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74B7A" w14:textId="5F6E9007" w:rsidR="00D10CBA" w:rsidRDefault="00187DBF" w:rsidP="00187DBF">
      <w:pPr>
        <w:pStyle w:val="Pagedecouverture"/>
        <w:rPr>
          <w:noProof/>
        </w:rPr>
      </w:pPr>
      <w:bookmarkStart w:id="0" w:name="LW_BM_COVERPAGE"/>
      <w:r>
        <w:rPr>
          <w:noProof/>
        </w:rPr>
        <w:pict w14:anchorId="3368E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AB80B07-0A20-4D7D-85FB-DC6F99902DF1" style="width:455pt;height:517.5pt">
            <v:imagedata r:id="rId8" o:title=""/>
          </v:shape>
        </w:pict>
      </w:r>
    </w:p>
    <w:bookmarkEnd w:id="0"/>
    <w:p w14:paraId="5BA1F0F5" w14:textId="77777777" w:rsidR="00D10CBA" w:rsidRDefault="00D10CBA" w:rsidP="00D10CBA">
      <w:pPr>
        <w:rPr>
          <w:noProof/>
        </w:rPr>
        <w:sectPr w:rsidR="00D10CBA" w:rsidSect="00187DBF">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4AE2F818" w14:textId="77777777" w:rsidR="000A7D9D" w:rsidRPr="00DC19E2" w:rsidRDefault="000A7D9D" w:rsidP="000A7D9D">
      <w:pPr>
        <w:pStyle w:val="TOCHeading"/>
        <w:jc w:val="center"/>
        <w:rPr>
          <w:rFonts w:ascii="Times New Roman" w:hAnsi="Times New Roman" w:cs="Times New Roman"/>
          <w:noProof/>
          <w:color w:val="000000" w:themeColor="text1"/>
          <w:sz w:val="24"/>
          <w:szCs w:val="24"/>
        </w:rPr>
      </w:pPr>
      <w:r w:rsidRPr="00DC19E2">
        <w:rPr>
          <w:rFonts w:ascii="Times New Roman" w:hAnsi="Times New Roman" w:cs="Times New Roman"/>
          <w:noProof/>
          <w:color w:val="000000" w:themeColor="text1"/>
          <w:sz w:val="24"/>
          <w:szCs w:val="24"/>
        </w:rPr>
        <w:lastRenderedPageBreak/>
        <w:t>Table of contents</w:t>
      </w:r>
    </w:p>
    <w:p w14:paraId="03DE1D25" w14:textId="06A0B410" w:rsidR="00957AB4" w:rsidRDefault="000A7D9D" w:rsidP="00957AB4">
      <w:pPr>
        <w:pStyle w:val="TOC1"/>
        <w:tabs>
          <w:tab w:val="clear" w:pos="8640"/>
          <w:tab w:val="left" w:pos="4962"/>
          <w:tab w:val="left" w:pos="9356"/>
        </w:tabs>
        <w:ind w:right="283"/>
        <w:jc w:val="left"/>
        <w:rPr>
          <w:rFonts w:asciiTheme="minorHAnsi" w:eastAsiaTheme="minorEastAsia" w:hAnsiTheme="minorHAnsi" w:cstheme="minorBidi"/>
          <w:caps w:val="0"/>
          <w:noProof/>
          <w:spacing w:val="0"/>
          <w:sz w:val="22"/>
          <w:szCs w:val="22"/>
          <w:lang w:val="en-IE" w:eastAsia="en-IE"/>
        </w:rPr>
      </w:pPr>
      <w:r>
        <w:rPr>
          <w:noProof/>
        </w:rPr>
        <w:fldChar w:fldCharType="begin"/>
      </w:r>
      <w:r>
        <w:rPr>
          <w:noProof/>
        </w:rPr>
        <w:instrText xml:space="preserve"> TOC \o "1-2" \h \z </w:instrText>
      </w:r>
      <w:r>
        <w:rPr>
          <w:noProof/>
        </w:rPr>
        <w:fldChar w:fldCharType="separate"/>
      </w:r>
      <w:hyperlink w:anchor="_Toc150499887" w:history="1">
        <w:r w:rsidR="00957AB4" w:rsidRPr="00960AF2">
          <w:rPr>
            <w:rStyle w:val="Hyperlink"/>
            <w:smallCaps/>
            <w:noProof/>
          </w:rPr>
          <w:t>1.</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Introduction: political and legal</w:t>
        </w:r>
        <w:r w:rsidR="00957AB4">
          <w:rPr>
            <w:rStyle w:val="Hyperlink"/>
            <w:smallCaps/>
            <w:noProof/>
          </w:rPr>
          <w:t xml:space="preserve"> </w:t>
        </w:r>
        <w:r w:rsidR="00957AB4" w:rsidRPr="00960AF2">
          <w:rPr>
            <w:rStyle w:val="Hyperlink"/>
            <w:smallCaps/>
            <w:noProof/>
          </w:rPr>
          <w:t>contex</w:t>
        </w:r>
        <w:r w:rsidR="00957AB4">
          <w:rPr>
            <w:rStyle w:val="Hyperlink"/>
            <w:smallCaps/>
            <w:noProof/>
          </w:rPr>
          <w:t xml:space="preserve">    </w:t>
        </w:r>
        <w:r w:rsidR="00957AB4">
          <w:rPr>
            <w:noProof/>
            <w:webHidden/>
          </w:rPr>
          <w:t>………….…………………………………...……..</w:t>
        </w:r>
        <w:r w:rsidR="00957AB4">
          <w:rPr>
            <w:noProof/>
            <w:webHidden/>
          </w:rPr>
          <w:fldChar w:fldCharType="begin"/>
        </w:r>
        <w:r w:rsidR="00957AB4">
          <w:rPr>
            <w:noProof/>
            <w:webHidden/>
          </w:rPr>
          <w:instrText xml:space="preserve"> PAGEREF _Toc150499887 \h </w:instrText>
        </w:r>
        <w:r w:rsidR="00957AB4">
          <w:rPr>
            <w:noProof/>
            <w:webHidden/>
          </w:rPr>
        </w:r>
        <w:r w:rsidR="00957AB4">
          <w:rPr>
            <w:noProof/>
            <w:webHidden/>
          </w:rPr>
          <w:fldChar w:fldCharType="separate"/>
        </w:r>
        <w:r w:rsidR="00187DBF">
          <w:rPr>
            <w:noProof/>
            <w:webHidden/>
          </w:rPr>
          <w:t>3</w:t>
        </w:r>
        <w:r w:rsidR="00957AB4">
          <w:rPr>
            <w:noProof/>
            <w:webHidden/>
          </w:rPr>
          <w:fldChar w:fldCharType="end"/>
        </w:r>
      </w:hyperlink>
    </w:p>
    <w:p w14:paraId="7B10CC4C" w14:textId="246E8F19" w:rsidR="00957AB4" w:rsidRDefault="00187DBF" w:rsidP="00957AB4">
      <w:pPr>
        <w:pStyle w:val="TOC2"/>
        <w:rPr>
          <w:rFonts w:asciiTheme="minorHAnsi" w:eastAsiaTheme="minorEastAsia" w:hAnsiTheme="minorHAnsi" w:cstheme="minorBidi"/>
          <w:snapToGrid/>
          <w:sz w:val="22"/>
          <w:szCs w:val="22"/>
          <w:lang w:val="en-IE" w:eastAsia="en-IE"/>
        </w:rPr>
      </w:pPr>
      <w:hyperlink w:anchor="_Toc150499888" w:history="1">
        <w:r w:rsidR="00957AB4" w:rsidRPr="00960AF2">
          <w:rPr>
            <w:rStyle w:val="Hyperlink"/>
            <w:b/>
          </w:rPr>
          <w:t>1.1</w:t>
        </w:r>
        <w:r w:rsidR="00957AB4">
          <w:rPr>
            <w:rFonts w:asciiTheme="minorHAnsi" w:eastAsiaTheme="minorEastAsia" w:hAnsiTheme="minorHAnsi" w:cstheme="minorBidi"/>
            <w:snapToGrid/>
            <w:sz w:val="22"/>
            <w:szCs w:val="22"/>
            <w:lang w:val="en-IE" w:eastAsia="en-IE"/>
          </w:rPr>
          <w:tab/>
        </w:r>
        <w:r w:rsidR="00957AB4" w:rsidRPr="00960AF2">
          <w:rPr>
            <w:rStyle w:val="Hyperlink"/>
            <w:b/>
          </w:rPr>
          <w:t>Political context</w:t>
        </w:r>
        <w:r w:rsidR="00957AB4">
          <w:rPr>
            <w:webHidden/>
          </w:rPr>
          <w:tab/>
        </w:r>
        <w:r w:rsidR="00957AB4">
          <w:rPr>
            <w:webHidden/>
          </w:rPr>
          <w:fldChar w:fldCharType="begin"/>
        </w:r>
        <w:r w:rsidR="00957AB4">
          <w:rPr>
            <w:webHidden/>
          </w:rPr>
          <w:instrText xml:space="preserve"> PAGEREF _Toc150499888 \h </w:instrText>
        </w:r>
        <w:r w:rsidR="00957AB4">
          <w:rPr>
            <w:webHidden/>
          </w:rPr>
        </w:r>
        <w:r w:rsidR="00957AB4">
          <w:rPr>
            <w:webHidden/>
          </w:rPr>
          <w:fldChar w:fldCharType="separate"/>
        </w:r>
        <w:r>
          <w:rPr>
            <w:webHidden/>
          </w:rPr>
          <w:t>3</w:t>
        </w:r>
        <w:r w:rsidR="00957AB4">
          <w:rPr>
            <w:webHidden/>
          </w:rPr>
          <w:fldChar w:fldCharType="end"/>
        </w:r>
      </w:hyperlink>
    </w:p>
    <w:p w14:paraId="4E7A7C7A" w14:textId="5BE764F1" w:rsidR="00957AB4" w:rsidRDefault="00187DBF" w:rsidP="00957AB4">
      <w:pPr>
        <w:pStyle w:val="TOC2"/>
        <w:rPr>
          <w:rFonts w:asciiTheme="minorHAnsi" w:eastAsiaTheme="minorEastAsia" w:hAnsiTheme="minorHAnsi" w:cstheme="minorBidi"/>
          <w:snapToGrid/>
          <w:sz w:val="22"/>
          <w:szCs w:val="22"/>
          <w:lang w:val="en-IE" w:eastAsia="en-IE"/>
        </w:rPr>
      </w:pPr>
      <w:hyperlink w:anchor="_Toc150499889" w:history="1">
        <w:r w:rsidR="00957AB4" w:rsidRPr="00960AF2">
          <w:rPr>
            <w:rStyle w:val="Hyperlink"/>
            <w:b/>
          </w:rPr>
          <w:t>1.2</w:t>
        </w:r>
        <w:r w:rsidR="00957AB4">
          <w:rPr>
            <w:rFonts w:asciiTheme="minorHAnsi" w:eastAsiaTheme="minorEastAsia" w:hAnsiTheme="minorHAnsi" w:cstheme="minorBidi"/>
            <w:snapToGrid/>
            <w:sz w:val="22"/>
            <w:szCs w:val="22"/>
            <w:lang w:val="en-IE" w:eastAsia="en-IE"/>
          </w:rPr>
          <w:tab/>
        </w:r>
        <w:r w:rsidR="00957AB4" w:rsidRPr="00960AF2">
          <w:rPr>
            <w:rStyle w:val="Hyperlink"/>
            <w:b/>
          </w:rPr>
          <w:t>Legal context</w:t>
        </w:r>
        <w:r w:rsidR="00957AB4">
          <w:rPr>
            <w:webHidden/>
          </w:rPr>
          <w:tab/>
        </w:r>
        <w:r w:rsidR="00957AB4">
          <w:rPr>
            <w:webHidden/>
          </w:rPr>
          <w:fldChar w:fldCharType="begin"/>
        </w:r>
        <w:r w:rsidR="00957AB4">
          <w:rPr>
            <w:webHidden/>
          </w:rPr>
          <w:instrText xml:space="preserve"> PAGEREF _Toc150499889 \h </w:instrText>
        </w:r>
        <w:r w:rsidR="00957AB4">
          <w:rPr>
            <w:webHidden/>
          </w:rPr>
        </w:r>
        <w:r w:rsidR="00957AB4">
          <w:rPr>
            <w:webHidden/>
          </w:rPr>
          <w:fldChar w:fldCharType="separate"/>
        </w:r>
        <w:r>
          <w:rPr>
            <w:webHidden/>
          </w:rPr>
          <w:t>4</w:t>
        </w:r>
        <w:r w:rsidR="00957AB4">
          <w:rPr>
            <w:webHidden/>
          </w:rPr>
          <w:fldChar w:fldCharType="end"/>
        </w:r>
      </w:hyperlink>
    </w:p>
    <w:p w14:paraId="4C06361A" w14:textId="4F5453C3" w:rsidR="00957AB4" w:rsidRDefault="00187DBF" w:rsidP="00957AB4">
      <w:pPr>
        <w:pStyle w:val="TOC2"/>
        <w:rPr>
          <w:rFonts w:asciiTheme="minorHAnsi" w:eastAsiaTheme="minorEastAsia" w:hAnsiTheme="minorHAnsi" w:cstheme="minorBidi"/>
          <w:snapToGrid/>
          <w:sz w:val="22"/>
          <w:szCs w:val="22"/>
          <w:lang w:val="en-IE" w:eastAsia="en-IE"/>
        </w:rPr>
      </w:pPr>
      <w:hyperlink w:anchor="_Toc150499890" w:history="1">
        <w:r w:rsidR="00957AB4" w:rsidRPr="00960AF2">
          <w:rPr>
            <w:rStyle w:val="Hyperlink"/>
            <w:b/>
          </w:rPr>
          <w:t>1.3</w:t>
        </w:r>
        <w:r w:rsidR="00957AB4">
          <w:rPr>
            <w:rFonts w:asciiTheme="minorHAnsi" w:eastAsiaTheme="minorEastAsia" w:hAnsiTheme="minorHAnsi" w:cstheme="minorBidi"/>
            <w:snapToGrid/>
            <w:sz w:val="22"/>
            <w:szCs w:val="22"/>
            <w:lang w:val="en-IE" w:eastAsia="en-IE"/>
          </w:rPr>
          <w:tab/>
        </w:r>
        <w:r w:rsidR="00957AB4" w:rsidRPr="00960AF2">
          <w:rPr>
            <w:rStyle w:val="Hyperlink"/>
            <w:b/>
          </w:rPr>
          <w:t>Scope of the document</w:t>
        </w:r>
        <w:r w:rsidR="00957AB4">
          <w:rPr>
            <w:webHidden/>
          </w:rPr>
          <w:tab/>
        </w:r>
        <w:r w:rsidR="00957AB4">
          <w:rPr>
            <w:webHidden/>
          </w:rPr>
          <w:fldChar w:fldCharType="begin"/>
        </w:r>
        <w:r w:rsidR="00957AB4">
          <w:rPr>
            <w:webHidden/>
          </w:rPr>
          <w:instrText xml:space="preserve"> PAGEREF _Toc150499890 \h </w:instrText>
        </w:r>
        <w:r w:rsidR="00957AB4">
          <w:rPr>
            <w:webHidden/>
          </w:rPr>
        </w:r>
        <w:r w:rsidR="00957AB4">
          <w:rPr>
            <w:webHidden/>
          </w:rPr>
          <w:fldChar w:fldCharType="separate"/>
        </w:r>
        <w:r>
          <w:rPr>
            <w:webHidden/>
          </w:rPr>
          <w:t>6</w:t>
        </w:r>
        <w:r w:rsidR="00957AB4">
          <w:rPr>
            <w:webHidden/>
          </w:rPr>
          <w:fldChar w:fldCharType="end"/>
        </w:r>
      </w:hyperlink>
    </w:p>
    <w:p w14:paraId="25565EDC" w14:textId="31CCC1B7"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891" w:history="1">
        <w:r w:rsidR="00957AB4" w:rsidRPr="00960AF2">
          <w:rPr>
            <w:rStyle w:val="Hyperlink"/>
            <w:smallCaps/>
            <w:noProof/>
          </w:rPr>
          <w:t>2.</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Problem definition</w:t>
        </w:r>
        <w:r w:rsidR="00957AB4">
          <w:rPr>
            <w:noProof/>
            <w:webHidden/>
          </w:rPr>
          <w:tab/>
        </w:r>
        <w:r w:rsidR="00957AB4">
          <w:rPr>
            <w:noProof/>
            <w:webHidden/>
          </w:rPr>
          <w:fldChar w:fldCharType="begin"/>
        </w:r>
        <w:r w:rsidR="00957AB4">
          <w:rPr>
            <w:noProof/>
            <w:webHidden/>
          </w:rPr>
          <w:instrText xml:space="preserve"> PAGEREF _Toc150499891 \h </w:instrText>
        </w:r>
        <w:r w:rsidR="00957AB4">
          <w:rPr>
            <w:noProof/>
            <w:webHidden/>
          </w:rPr>
        </w:r>
        <w:r w:rsidR="00957AB4">
          <w:rPr>
            <w:noProof/>
            <w:webHidden/>
          </w:rPr>
          <w:fldChar w:fldCharType="separate"/>
        </w:r>
        <w:r>
          <w:rPr>
            <w:noProof/>
            <w:webHidden/>
          </w:rPr>
          <w:t>7</w:t>
        </w:r>
        <w:r w:rsidR="00957AB4">
          <w:rPr>
            <w:noProof/>
            <w:webHidden/>
          </w:rPr>
          <w:fldChar w:fldCharType="end"/>
        </w:r>
      </w:hyperlink>
    </w:p>
    <w:p w14:paraId="7D81E879" w14:textId="1FB7BA82"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892" w:history="1">
        <w:r w:rsidR="00957AB4" w:rsidRPr="00960AF2">
          <w:rPr>
            <w:rStyle w:val="Hyperlink"/>
            <w:smallCaps/>
            <w:noProof/>
          </w:rPr>
          <w:t>3.</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Objectives: What is to be achieved?</w:t>
        </w:r>
        <w:r w:rsidR="00957AB4">
          <w:rPr>
            <w:noProof/>
            <w:webHidden/>
          </w:rPr>
          <w:tab/>
        </w:r>
        <w:r w:rsidR="00957AB4">
          <w:rPr>
            <w:noProof/>
            <w:webHidden/>
          </w:rPr>
          <w:fldChar w:fldCharType="begin"/>
        </w:r>
        <w:r w:rsidR="00957AB4">
          <w:rPr>
            <w:noProof/>
            <w:webHidden/>
          </w:rPr>
          <w:instrText xml:space="preserve"> PAGEREF _Toc150499892 \h </w:instrText>
        </w:r>
        <w:r w:rsidR="00957AB4">
          <w:rPr>
            <w:noProof/>
            <w:webHidden/>
          </w:rPr>
        </w:r>
        <w:r w:rsidR="00957AB4">
          <w:rPr>
            <w:noProof/>
            <w:webHidden/>
          </w:rPr>
          <w:fldChar w:fldCharType="separate"/>
        </w:r>
        <w:r>
          <w:rPr>
            <w:noProof/>
            <w:webHidden/>
          </w:rPr>
          <w:t>8</w:t>
        </w:r>
        <w:r w:rsidR="00957AB4">
          <w:rPr>
            <w:noProof/>
            <w:webHidden/>
          </w:rPr>
          <w:fldChar w:fldCharType="end"/>
        </w:r>
      </w:hyperlink>
    </w:p>
    <w:p w14:paraId="7BC05FE4" w14:textId="7AB7C60B"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893" w:history="1">
        <w:r w:rsidR="00957AB4" w:rsidRPr="00960AF2">
          <w:rPr>
            <w:rStyle w:val="Hyperlink"/>
            <w:smallCaps/>
            <w:noProof/>
          </w:rPr>
          <w:t>4.</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Available options</w:t>
        </w:r>
        <w:r w:rsidR="00957AB4">
          <w:rPr>
            <w:noProof/>
            <w:webHidden/>
          </w:rPr>
          <w:tab/>
        </w:r>
        <w:r w:rsidR="00957AB4">
          <w:rPr>
            <w:noProof/>
            <w:webHidden/>
          </w:rPr>
          <w:fldChar w:fldCharType="begin"/>
        </w:r>
        <w:r w:rsidR="00957AB4">
          <w:rPr>
            <w:noProof/>
            <w:webHidden/>
          </w:rPr>
          <w:instrText xml:space="preserve"> PAGEREF _Toc150499893 \h </w:instrText>
        </w:r>
        <w:r w:rsidR="00957AB4">
          <w:rPr>
            <w:noProof/>
            <w:webHidden/>
          </w:rPr>
        </w:r>
        <w:r w:rsidR="00957AB4">
          <w:rPr>
            <w:noProof/>
            <w:webHidden/>
          </w:rPr>
          <w:fldChar w:fldCharType="separate"/>
        </w:r>
        <w:r>
          <w:rPr>
            <w:noProof/>
            <w:webHidden/>
          </w:rPr>
          <w:t>8</w:t>
        </w:r>
        <w:r w:rsidR="00957AB4">
          <w:rPr>
            <w:noProof/>
            <w:webHidden/>
          </w:rPr>
          <w:fldChar w:fldCharType="end"/>
        </w:r>
      </w:hyperlink>
    </w:p>
    <w:p w14:paraId="1E2BAA70" w14:textId="0B84832C"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894" w:history="1">
        <w:r w:rsidR="00957AB4" w:rsidRPr="00960AF2">
          <w:rPr>
            <w:rStyle w:val="Hyperlink"/>
            <w:smallCaps/>
            <w:noProof/>
          </w:rPr>
          <w:t>5.</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Stakeholder views</w:t>
        </w:r>
        <w:r w:rsidR="00957AB4">
          <w:rPr>
            <w:noProof/>
            <w:webHidden/>
          </w:rPr>
          <w:tab/>
        </w:r>
        <w:r w:rsidR="00957AB4">
          <w:rPr>
            <w:noProof/>
            <w:webHidden/>
          </w:rPr>
          <w:fldChar w:fldCharType="begin"/>
        </w:r>
        <w:r w:rsidR="00957AB4">
          <w:rPr>
            <w:noProof/>
            <w:webHidden/>
          </w:rPr>
          <w:instrText xml:space="preserve"> PAGEREF _Toc150499894 \h </w:instrText>
        </w:r>
        <w:r w:rsidR="00957AB4">
          <w:rPr>
            <w:noProof/>
            <w:webHidden/>
          </w:rPr>
        </w:r>
        <w:r w:rsidR="00957AB4">
          <w:rPr>
            <w:noProof/>
            <w:webHidden/>
          </w:rPr>
          <w:fldChar w:fldCharType="separate"/>
        </w:r>
        <w:r>
          <w:rPr>
            <w:noProof/>
            <w:webHidden/>
          </w:rPr>
          <w:t>10</w:t>
        </w:r>
        <w:r w:rsidR="00957AB4">
          <w:rPr>
            <w:noProof/>
            <w:webHidden/>
          </w:rPr>
          <w:fldChar w:fldCharType="end"/>
        </w:r>
      </w:hyperlink>
    </w:p>
    <w:p w14:paraId="0C3640DD" w14:textId="5E4AC96B"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895" w:history="1">
        <w:r w:rsidR="00957AB4" w:rsidRPr="00960AF2">
          <w:rPr>
            <w:rStyle w:val="Hyperlink"/>
            <w:smallCaps/>
            <w:noProof/>
          </w:rPr>
          <w:t>6.</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Scientific and technical work on chemicals for (re-)attribution to the EU agencies and strengthening the cooperation among the Agencies</w:t>
        </w:r>
        <w:r w:rsidR="00957AB4">
          <w:rPr>
            <w:noProof/>
            <w:webHidden/>
          </w:rPr>
          <w:tab/>
        </w:r>
        <w:r w:rsidR="00957AB4">
          <w:rPr>
            <w:noProof/>
            <w:webHidden/>
          </w:rPr>
          <w:fldChar w:fldCharType="begin"/>
        </w:r>
        <w:r w:rsidR="00957AB4">
          <w:rPr>
            <w:noProof/>
            <w:webHidden/>
          </w:rPr>
          <w:instrText xml:space="preserve"> PAGEREF _Toc150499895 \h </w:instrText>
        </w:r>
        <w:r w:rsidR="00957AB4">
          <w:rPr>
            <w:noProof/>
            <w:webHidden/>
          </w:rPr>
        </w:r>
        <w:r w:rsidR="00957AB4">
          <w:rPr>
            <w:noProof/>
            <w:webHidden/>
          </w:rPr>
          <w:fldChar w:fldCharType="separate"/>
        </w:r>
        <w:r>
          <w:rPr>
            <w:noProof/>
            <w:webHidden/>
          </w:rPr>
          <w:t>11</w:t>
        </w:r>
        <w:r w:rsidR="00957AB4">
          <w:rPr>
            <w:noProof/>
            <w:webHidden/>
          </w:rPr>
          <w:fldChar w:fldCharType="end"/>
        </w:r>
      </w:hyperlink>
    </w:p>
    <w:p w14:paraId="18631E47" w14:textId="7D94F9C9"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896" w:history="1">
        <w:r w:rsidR="00957AB4" w:rsidRPr="00960AF2">
          <w:rPr>
            <w:rStyle w:val="Hyperlink"/>
            <w:smallCaps/>
            <w:noProof/>
          </w:rPr>
          <w:t>7.</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Assessment of impacts</w:t>
        </w:r>
        <w:r w:rsidR="00957AB4">
          <w:rPr>
            <w:noProof/>
            <w:webHidden/>
          </w:rPr>
          <w:tab/>
        </w:r>
        <w:r w:rsidR="00957AB4">
          <w:rPr>
            <w:noProof/>
            <w:webHidden/>
          </w:rPr>
          <w:fldChar w:fldCharType="begin"/>
        </w:r>
        <w:r w:rsidR="00957AB4">
          <w:rPr>
            <w:noProof/>
            <w:webHidden/>
          </w:rPr>
          <w:instrText xml:space="preserve"> PAGEREF _Toc150499896 \h </w:instrText>
        </w:r>
        <w:r w:rsidR="00957AB4">
          <w:rPr>
            <w:noProof/>
            <w:webHidden/>
          </w:rPr>
        </w:r>
        <w:r w:rsidR="00957AB4">
          <w:rPr>
            <w:noProof/>
            <w:webHidden/>
          </w:rPr>
          <w:fldChar w:fldCharType="separate"/>
        </w:r>
        <w:r>
          <w:rPr>
            <w:noProof/>
            <w:webHidden/>
          </w:rPr>
          <w:t>19</w:t>
        </w:r>
        <w:r w:rsidR="00957AB4">
          <w:rPr>
            <w:noProof/>
            <w:webHidden/>
          </w:rPr>
          <w:fldChar w:fldCharType="end"/>
        </w:r>
      </w:hyperlink>
    </w:p>
    <w:p w14:paraId="2D8D41EA" w14:textId="00FC7BDC"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897" w:history="1">
        <w:r w:rsidR="00957AB4" w:rsidRPr="00960AF2">
          <w:rPr>
            <w:rStyle w:val="Hyperlink"/>
            <w:smallCaps/>
            <w:noProof/>
          </w:rPr>
          <w:t>8.</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Impacts of the legislative proposals on reattribution of tasks</w:t>
        </w:r>
        <w:r w:rsidR="00957AB4">
          <w:rPr>
            <w:noProof/>
            <w:webHidden/>
          </w:rPr>
          <w:tab/>
        </w:r>
        <w:r w:rsidR="00957AB4">
          <w:rPr>
            <w:noProof/>
            <w:webHidden/>
          </w:rPr>
          <w:fldChar w:fldCharType="begin"/>
        </w:r>
        <w:r w:rsidR="00957AB4">
          <w:rPr>
            <w:noProof/>
            <w:webHidden/>
          </w:rPr>
          <w:instrText xml:space="preserve"> PAGEREF _Toc150499897 \h </w:instrText>
        </w:r>
        <w:r w:rsidR="00957AB4">
          <w:rPr>
            <w:noProof/>
            <w:webHidden/>
          </w:rPr>
        </w:r>
        <w:r w:rsidR="00957AB4">
          <w:rPr>
            <w:noProof/>
            <w:webHidden/>
          </w:rPr>
          <w:fldChar w:fldCharType="separate"/>
        </w:r>
        <w:r>
          <w:rPr>
            <w:noProof/>
            <w:webHidden/>
          </w:rPr>
          <w:t>20</w:t>
        </w:r>
        <w:r w:rsidR="00957AB4">
          <w:rPr>
            <w:noProof/>
            <w:webHidden/>
          </w:rPr>
          <w:fldChar w:fldCharType="end"/>
        </w:r>
      </w:hyperlink>
    </w:p>
    <w:p w14:paraId="1F2689B9" w14:textId="30AED7F4"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898" w:history="1">
        <w:r w:rsidR="00957AB4" w:rsidRPr="00960AF2">
          <w:rPr>
            <w:rStyle w:val="Hyperlink"/>
            <w:smallCaps/>
            <w:noProof/>
          </w:rPr>
          <w:t>9.</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Impact of the legislative proposal for a regulation establishing a common data platform and a monitoring and outlook framework for chemicals</w:t>
        </w:r>
        <w:r w:rsidR="00957AB4">
          <w:rPr>
            <w:noProof/>
            <w:webHidden/>
          </w:rPr>
          <w:tab/>
          <w:t>…</w:t>
        </w:r>
        <w:r w:rsidR="00957AB4">
          <w:rPr>
            <w:noProof/>
            <w:webHidden/>
          </w:rPr>
          <w:fldChar w:fldCharType="begin"/>
        </w:r>
        <w:r w:rsidR="00957AB4">
          <w:rPr>
            <w:noProof/>
            <w:webHidden/>
          </w:rPr>
          <w:instrText xml:space="preserve"> PAGEREF _Toc150499898 \h </w:instrText>
        </w:r>
        <w:r w:rsidR="00957AB4">
          <w:rPr>
            <w:noProof/>
            <w:webHidden/>
          </w:rPr>
        </w:r>
        <w:r w:rsidR="00957AB4">
          <w:rPr>
            <w:noProof/>
            <w:webHidden/>
          </w:rPr>
          <w:fldChar w:fldCharType="separate"/>
        </w:r>
        <w:r>
          <w:rPr>
            <w:noProof/>
            <w:webHidden/>
          </w:rPr>
          <w:t>23</w:t>
        </w:r>
        <w:r w:rsidR="00957AB4">
          <w:rPr>
            <w:noProof/>
            <w:webHidden/>
          </w:rPr>
          <w:fldChar w:fldCharType="end"/>
        </w:r>
      </w:hyperlink>
    </w:p>
    <w:p w14:paraId="247E3E46" w14:textId="2B78826F"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899" w:history="1">
        <w:r w:rsidR="00957AB4" w:rsidRPr="00960AF2">
          <w:rPr>
            <w:rStyle w:val="Hyperlink"/>
            <w:smallCaps/>
            <w:noProof/>
          </w:rPr>
          <w:t>10.</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Overall impacts from all (re-)attributions</w:t>
        </w:r>
        <w:r w:rsidR="00957AB4">
          <w:rPr>
            <w:noProof/>
            <w:webHidden/>
          </w:rPr>
          <w:tab/>
        </w:r>
        <w:r w:rsidR="00957AB4">
          <w:rPr>
            <w:noProof/>
            <w:webHidden/>
          </w:rPr>
          <w:fldChar w:fldCharType="begin"/>
        </w:r>
        <w:r w:rsidR="00957AB4">
          <w:rPr>
            <w:noProof/>
            <w:webHidden/>
          </w:rPr>
          <w:instrText xml:space="preserve"> PAGEREF _Toc150499899 \h </w:instrText>
        </w:r>
        <w:r w:rsidR="00957AB4">
          <w:rPr>
            <w:noProof/>
            <w:webHidden/>
          </w:rPr>
        </w:r>
        <w:r w:rsidR="00957AB4">
          <w:rPr>
            <w:noProof/>
            <w:webHidden/>
          </w:rPr>
          <w:fldChar w:fldCharType="separate"/>
        </w:r>
        <w:r>
          <w:rPr>
            <w:noProof/>
            <w:webHidden/>
          </w:rPr>
          <w:t>29</w:t>
        </w:r>
        <w:r w:rsidR="00957AB4">
          <w:rPr>
            <w:noProof/>
            <w:webHidden/>
          </w:rPr>
          <w:fldChar w:fldCharType="end"/>
        </w:r>
      </w:hyperlink>
    </w:p>
    <w:p w14:paraId="1A27C286" w14:textId="79EB3443" w:rsidR="00957AB4" w:rsidRDefault="00187DBF" w:rsidP="00957AB4">
      <w:pPr>
        <w:pStyle w:val="TOC2"/>
        <w:rPr>
          <w:rFonts w:asciiTheme="minorHAnsi" w:eastAsiaTheme="minorEastAsia" w:hAnsiTheme="minorHAnsi" w:cstheme="minorBidi"/>
          <w:snapToGrid/>
          <w:sz w:val="22"/>
          <w:szCs w:val="22"/>
          <w:lang w:val="en-IE" w:eastAsia="en-IE"/>
        </w:rPr>
      </w:pPr>
      <w:hyperlink w:anchor="_Toc150499900" w:history="1">
        <w:r w:rsidR="00957AB4" w:rsidRPr="00960AF2">
          <w:rPr>
            <w:rStyle w:val="Hyperlink"/>
            <w:b/>
          </w:rPr>
          <w:t>10.1</w:t>
        </w:r>
        <w:r w:rsidR="00957AB4">
          <w:rPr>
            <w:rFonts w:asciiTheme="minorHAnsi" w:eastAsiaTheme="minorEastAsia" w:hAnsiTheme="minorHAnsi" w:cstheme="minorBidi"/>
            <w:snapToGrid/>
            <w:sz w:val="22"/>
            <w:szCs w:val="22"/>
            <w:lang w:val="en-IE" w:eastAsia="en-IE"/>
          </w:rPr>
          <w:tab/>
        </w:r>
        <w:r w:rsidR="00957AB4" w:rsidRPr="00960AF2">
          <w:rPr>
            <w:rStyle w:val="Hyperlink"/>
            <w:b/>
          </w:rPr>
          <w:t>Added value and synergies of the (re-)attributions</w:t>
        </w:r>
        <w:r w:rsidR="00957AB4">
          <w:rPr>
            <w:webHidden/>
          </w:rPr>
          <w:tab/>
        </w:r>
        <w:r w:rsidR="00957AB4">
          <w:rPr>
            <w:webHidden/>
          </w:rPr>
          <w:fldChar w:fldCharType="begin"/>
        </w:r>
        <w:r w:rsidR="00957AB4">
          <w:rPr>
            <w:webHidden/>
          </w:rPr>
          <w:instrText xml:space="preserve"> PAGEREF _Toc150499900 \h </w:instrText>
        </w:r>
        <w:r w:rsidR="00957AB4">
          <w:rPr>
            <w:webHidden/>
          </w:rPr>
        </w:r>
        <w:r w:rsidR="00957AB4">
          <w:rPr>
            <w:webHidden/>
          </w:rPr>
          <w:fldChar w:fldCharType="separate"/>
        </w:r>
        <w:r>
          <w:rPr>
            <w:webHidden/>
          </w:rPr>
          <w:t>29</w:t>
        </w:r>
        <w:r w:rsidR="00957AB4">
          <w:rPr>
            <w:webHidden/>
          </w:rPr>
          <w:fldChar w:fldCharType="end"/>
        </w:r>
      </w:hyperlink>
    </w:p>
    <w:p w14:paraId="025E3FE9" w14:textId="33D567C1" w:rsidR="00957AB4" w:rsidRDefault="00187DBF" w:rsidP="00957AB4">
      <w:pPr>
        <w:pStyle w:val="TOC2"/>
        <w:rPr>
          <w:rFonts w:asciiTheme="minorHAnsi" w:eastAsiaTheme="minorEastAsia" w:hAnsiTheme="minorHAnsi" w:cstheme="minorBidi"/>
          <w:snapToGrid/>
          <w:sz w:val="22"/>
          <w:szCs w:val="22"/>
          <w:lang w:val="en-IE" w:eastAsia="en-IE"/>
        </w:rPr>
      </w:pPr>
      <w:hyperlink w:anchor="_Toc150499901" w:history="1">
        <w:r w:rsidR="00957AB4" w:rsidRPr="00960AF2">
          <w:rPr>
            <w:rStyle w:val="Hyperlink"/>
            <w:b/>
          </w:rPr>
          <w:t>10.2</w:t>
        </w:r>
        <w:r w:rsidR="00957AB4">
          <w:rPr>
            <w:rFonts w:asciiTheme="minorHAnsi" w:eastAsiaTheme="minorEastAsia" w:hAnsiTheme="minorHAnsi" w:cstheme="minorBidi"/>
            <w:snapToGrid/>
            <w:sz w:val="22"/>
            <w:szCs w:val="22"/>
            <w:lang w:val="en-IE" w:eastAsia="en-IE"/>
          </w:rPr>
          <w:tab/>
        </w:r>
        <w:r w:rsidR="00957AB4" w:rsidRPr="00960AF2">
          <w:rPr>
            <w:rStyle w:val="Hyperlink"/>
            <w:b/>
          </w:rPr>
          <w:t>Overall impact on resources</w:t>
        </w:r>
        <w:r w:rsidR="00957AB4">
          <w:rPr>
            <w:webHidden/>
          </w:rPr>
          <w:tab/>
        </w:r>
        <w:r w:rsidR="00957AB4">
          <w:rPr>
            <w:webHidden/>
          </w:rPr>
          <w:fldChar w:fldCharType="begin"/>
        </w:r>
        <w:r w:rsidR="00957AB4">
          <w:rPr>
            <w:webHidden/>
          </w:rPr>
          <w:instrText xml:space="preserve"> PAGEREF _Toc150499901 \h </w:instrText>
        </w:r>
        <w:r w:rsidR="00957AB4">
          <w:rPr>
            <w:webHidden/>
          </w:rPr>
        </w:r>
        <w:r w:rsidR="00957AB4">
          <w:rPr>
            <w:webHidden/>
          </w:rPr>
          <w:fldChar w:fldCharType="separate"/>
        </w:r>
        <w:r>
          <w:rPr>
            <w:webHidden/>
          </w:rPr>
          <w:t>30</w:t>
        </w:r>
        <w:r w:rsidR="00957AB4">
          <w:rPr>
            <w:webHidden/>
          </w:rPr>
          <w:fldChar w:fldCharType="end"/>
        </w:r>
      </w:hyperlink>
    </w:p>
    <w:p w14:paraId="74C68E14" w14:textId="189957A6" w:rsidR="00957AB4" w:rsidRDefault="00187DBF" w:rsidP="00957AB4">
      <w:pPr>
        <w:pStyle w:val="TOC2"/>
        <w:rPr>
          <w:rFonts w:asciiTheme="minorHAnsi" w:eastAsiaTheme="minorEastAsia" w:hAnsiTheme="minorHAnsi" w:cstheme="minorBidi"/>
          <w:snapToGrid/>
          <w:sz w:val="22"/>
          <w:szCs w:val="22"/>
          <w:lang w:val="en-IE" w:eastAsia="en-IE"/>
        </w:rPr>
      </w:pPr>
      <w:hyperlink w:anchor="_Toc150499902" w:history="1">
        <w:r w:rsidR="00957AB4" w:rsidRPr="00960AF2">
          <w:rPr>
            <w:rStyle w:val="Hyperlink"/>
            <w:b/>
          </w:rPr>
          <w:t>10.3</w:t>
        </w:r>
        <w:r w:rsidR="00957AB4">
          <w:rPr>
            <w:rFonts w:asciiTheme="minorHAnsi" w:eastAsiaTheme="minorEastAsia" w:hAnsiTheme="minorHAnsi" w:cstheme="minorBidi"/>
            <w:snapToGrid/>
            <w:sz w:val="22"/>
            <w:szCs w:val="22"/>
            <w:lang w:val="en-IE" w:eastAsia="en-IE"/>
          </w:rPr>
          <w:tab/>
        </w:r>
        <w:r w:rsidR="00957AB4" w:rsidRPr="00960AF2">
          <w:rPr>
            <w:rStyle w:val="Hyperlink"/>
            <w:b/>
          </w:rPr>
          <w:t>Overall impacts on ECHA</w:t>
        </w:r>
        <w:r w:rsidR="00957AB4">
          <w:rPr>
            <w:webHidden/>
          </w:rPr>
          <w:tab/>
        </w:r>
        <w:r w:rsidR="00957AB4">
          <w:rPr>
            <w:webHidden/>
          </w:rPr>
          <w:fldChar w:fldCharType="begin"/>
        </w:r>
        <w:r w:rsidR="00957AB4">
          <w:rPr>
            <w:webHidden/>
          </w:rPr>
          <w:instrText xml:space="preserve"> PAGEREF _Toc150499902 \h </w:instrText>
        </w:r>
        <w:r w:rsidR="00957AB4">
          <w:rPr>
            <w:webHidden/>
          </w:rPr>
        </w:r>
        <w:r w:rsidR="00957AB4">
          <w:rPr>
            <w:webHidden/>
          </w:rPr>
          <w:fldChar w:fldCharType="separate"/>
        </w:r>
        <w:r>
          <w:rPr>
            <w:webHidden/>
          </w:rPr>
          <w:t>34</w:t>
        </w:r>
        <w:r w:rsidR="00957AB4">
          <w:rPr>
            <w:webHidden/>
          </w:rPr>
          <w:fldChar w:fldCharType="end"/>
        </w:r>
      </w:hyperlink>
    </w:p>
    <w:p w14:paraId="00459D91" w14:textId="61EF71E0" w:rsidR="00957AB4" w:rsidRDefault="00187DBF" w:rsidP="00957AB4">
      <w:pPr>
        <w:pStyle w:val="TOC2"/>
        <w:rPr>
          <w:rFonts w:asciiTheme="minorHAnsi" w:eastAsiaTheme="minorEastAsia" w:hAnsiTheme="minorHAnsi" w:cstheme="minorBidi"/>
          <w:snapToGrid/>
          <w:sz w:val="22"/>
          <w:szCs w:val="22"/>
          <w:lang w:val="en-IE" w:eastAsia="en-IE"/>
        </w:rPr>
      </w:pPr>
      <w:hyperlink w:anchor="_Toc150499903" w:history="1">
        <w:r w:rsidR="00957AB4" w:rsidRPr="00960AF2">
          <w:rPr>
            <w:rStyle w:val="Hyperlink"/>
            <w:b/>
          </w:rPr>
          <w:t>10.4</w:t>
        </w:r>
        <w:r w:rsidR="00957AB4">
          <w:rPr>
            <w:rFonts w:asciiTheme="minorHAnsi" w:eastAsiaTheme="minorEastAsia" w:hAnsiTheme="minorHAnsi" w:cstheme="minorBidi"/>
            <w:snapToGrid/>
            <w:sz w:val="22"/>
            <w:szCs w:val="22"/>
            <w:lang w:val="en-IE" w:eastAsia="en-IE"/>
          </w:rPr>
          <w:tab/>
        </w:r>
        <w:r w:rsidR="00957AB4" w:rsidRPr="00960AF2">
          <w:rPr>
            <w:rStyle w:val="Hyperlink"/>
            <w:b/>
          </w:rPr>
          <w:t>Overall impacts on EEA</w:t>
        </w:r>
        <w:r w:rsidR="00957AB4">
          <w:rPr>
            <w:webHidden/>
          </w:rPr>
          <w:tab/>
        </w:r>
        <w:r w:rsidR="00957AB4">
          <w:rPr>
            <w:webHidden/>
          </w:rPr>
          <w:fldChar w:fldCharType="begin"/>
        </w:r>
        <w:r w:rsidR="00957AB4">
          <w:rPr>
            <w:webHidden/>
          </w:rPr>
          <w:instrText xml:space="preserve"> PAGEREF _Toc150499903 \h </w:instrText>
        </w:r>
        <w:r w:rsidR="00957AB4">
          <w:rPr>
            <w:webHidden/>
          </w:rPr>
        </w:r>
        <w:r w:rsidR="00957AB4">
          <w:rPr>
            <w:webHidden/>
          </w:rPr>
          <w:fldChar w:fldCharType="separate"/>
        </w:r>
        <w:r>
          <w:rPr>
            <w:webHidden/>
          </w:rPr>
          <w:t>36</w:t>
        </w:r>
        <w:r w:rsidR="00957AB4">
          <w:rPr>
            <w:webHidden/>
          </w:rPr>
          <w:fldChar w:fldCharType="end"/>
        </w:r>
      </w:hyperlink>
    </w:p>
    <w:p w14:paraId="09BA774E" w14:textId="573558EA" w:rsidR="00957AB4" w:rsidRDefault="00187DBF" w:rsidP="00957AB4">
      <w:pPr>
        <w:pStyle w:val="TOC2"/>
        <w:rPr>
          <w:rFonts w:asciiTheme="minorHAnsi" w:eastAsiaTheme="minorEastAsia" w:hAnsiTheme="minorHAnsi" w:cstheme="minorBidi"/>
          <w:snapToGrid/>
          <w:sz w:val="22"/>
          <w:szCs w:val="22"/>
          <w:lang w:val="en-IE" w:eastAsia="en-IE"/>
        </w:rPr>
      </w:pPr>
      <w:hyperlink w:anchor="_Toc150499904" w:history="1">
        <w:r w:rsidR="00957AB4" w:rsidRPr="00960AF2">
          <w:rPr>
            <w:rStyle w:val="Hyperlink"/>
            <w:b/>
          </w:rPr>
          <w:t>10.5</w:t>
        </w:r>
        <w:r w:rsidR="00957AB4">
          <w:rPr>
            <w:rFonts w:asciiTheme="minorHAnsi" w:eastAsiaTheme="minorEastAsia" w:hAnsiTheme="minorHAnsi" w:cstheme="minorBidi"/>
            <w:snapToGrid/>
            <w:sz w:val="22"/>
            <w:szCs w:val="22"/>
            <w:lang w:val="en-IE" w:eastAsia="en-IE"/>
          </w:rPr>
          <w:tab/>
        </w:r>
        <w:r w:rsidR="00957AB4" w:rsidRPr="00960AF2">
          <w:rPr>
            <w:rStyle w:val="Hyperlink"/>
            <w:b/>
          </w:rPr>
          <w:t>Overall impacts on EFSA</w:t>
        </w:r>
        <w:r w:rsidR="00957AB4">
          <w:rPr>
            <w:webHidden/>
          </w:rPr>
          <w:tab/>
        </w:r>
        <w:r w:rsidR="00957AB4">
          <w:rPr>
            <w:webHidden/>
          </w:rPr>
          <w:fldChar w:fldCharType="begin"/>
        </w:r>
        <w:r w:rsidR="00957AB4">
          <w:rPr>
            <w:webHidden/>
          </w:rPr>
          <w:instrText xml:space="preserve"> PAGEREF _Toc150499904 \h </w:instrText>
        </w:r>
        <w:r w:rsidR="00957AB4">
          <w:rPr>
            <w:webHidden/>
          </w:rPr>
        </w:r>
        <w:r w:rsidR="00957AB4">
          <w:rPr>
            <w:webHidden/>
          </w:rPr>
          <w:fldChar w:fldCharType="separate"/>
        </w:r>
        <w:r>
          <w:rPr>
            <w:webHidden/>
          </w:rPr>
          <w:t>37</w:t>
        </w:r>
        <w:r w:rsidR="00957AB4">
          <w:rPr>
            <w:webHidden/>
          </w:rPr>
          <w:fldChar w:fldCharType="end"/>
        </w:r>
      </w:hyperlink>
    </w:p>
    <w:p w14:paraId="517FA495" w14:textId="7948FE00" w:rsidR="00957AB4" w:rsidRDefault="00187DBF" w:rsidP="00957AB4">
      <w:pPr>
        <w:pStyle w:val="TOC2"/>
        <w:rPr>
          <w:rFonts w:asciiTheme="minorHAnsi" w:eastAsiaTheme="minorEastAsia" w:hAnsiTheme="minorHAnsi" w:cstheme="minorBidi"/>
          <w:snapToGrid/>
          <w:sz w:val="22"/>
          <w:szCs w:val="22"/>
          <w:lang w:val="en-IE" w:eastAsia="en-IE"/>
        </w:rPr>
      </w:pPr>
      <w:hyperlink w:anchor="_Toc150499905" w:history="1">
        <w:r w:rsidR="00957AB4" w:rsidRPr="00960AF2">
          <w:rPr>
            <w:rStyle w:val="Hyperlink"/>
            <w:b/>
          </w:rPr>
          <w:t>10.6</w:t>
        </w:r>
        <w:r w:rsidR="00957AB4">
          <w:rPr>
            <w:rFonts w:asciiTheme="minorHAnsi" w:eastAsiaTheme="minorEastAsia" w:hAnsiTheme="minorHAnsi" w:cstheme="minorBidi"/>
            <w:snapToGrid/>
            <w:sz w:val="22"/>
            <w:szCs w:val="22"/>
            <w:lang w:val="en-IE" w:eastAsia="en-IE"/>
          </w:rPr>
          <w:tab/>
        </w:r>
        <w:r w:rsidR="00957AB4" w:rsidRPr="00960AF2">
          <w:rPr>
            <w:rStyle w:val="Hyperlink"/>
            <w:b/>
          </w:rPr>
          <w:t>Overall impacts on EMA</w:t>
        </w:r>
        <w:r w:rsidR="00957AB4">
          <w:rPr>
            <w:webHidden/>
          </w:rPr>
          <w:tab/>
        </w:r>
        <w:r w:rsidR="00957AB4">
          <w:rPr>
            <w:webHidden/>
          </w:rPr>
          <w:fldChar w:fldCharType="begin"/>
        </w:r>
        <w:r w:rsidR="00957AB4">
          <w:rPr>
            <w:webHidden/>
          </w:rPr>
          <w:instrText xml:space="preserve"> PAGEREF _Toc150499905 \h </w:instrText>
        </w:r>
        <w:r w:rsidR="00957AB4">
          <w:rPr>
            <w:webHidden/>
          </w:rPr>
        </w:r>
        <w:r w:rsidR="00957AB4">
          <w:rPr>
            <w:webHidden/>
          </w:rPr>
          <w:fldChar w:fldCharType="separate"/>
        </w:r>
        <w:r>
          <w:rPr>
            <w:webHidden/>
          </w:rPr>
          <w:t>39</w:t>
        </w:r>
        <w:r w:rsidR="00957AB4">
          <w:rPr>
            <w:webHidden/>
          </w:rPr>
          <w:fldChar w:fldCharType="end"/>
        </w:r>
      </w:hyperlink>
    </w:p>
    <w:p w14:paraId="28D9C7A8" w14:textId="0496BFE0" w:rsidR="00957AB4" w:rsidRDefault="00187DBF" w:rsidP="00957AB4">
      <w:pPr>
        <w:pStyle w:val="TOC2"/>
        <w:rPr>
          <w:rFonts w:asciiTheme="minorHAnsi" w:eastAsiaTheme="minorEastAsia" w:hAnsiTheme="minorHAnsi" w:cstheme="minorBidi"/>
          <w:snapToGrid/>
          <w:sz w:val="22"/>
          <w:szCs w:val="22"/>
          <w:lang w:val="en-IE" w:eastAsia="en-IE"/>
        </w:rPr>
      </w:pPr>
      <w:hyperlink w:anchor="_Toc150499906" w:history="1">
        <w:r w:rsidR="00957AB4" w:rsidRPr="00960AF2">
          <w:rPr>
            <w:rStyle w:val="Hyperlink"/>
            <w:b/>
          </w:rPr>
          <w:t>10.7</w:t>
        </w:r>
        <w:r w:rsidR="00957AB4">
          <w:rPr>
            <w:rFonts w:asciiTheme="minorHAnsi" w:eastAsiaTheme="minorEastAsia" w:hAnsiTheme="minorHAnsi" w:cstheme="minorBidi"/>
            <w:snapToGrid/>
            <w:sz w:val="22"/>
            <w:szCs w:val="22"/>
            <w:lang w:val="en-IE" w:eastAsia="en-IE"/>
          </w:rPr>
          <w:tab/>
        </w:r>
        <w:r w:rsidR="00957AB4" w:rsidRPr="00960AF2">
          <w:rPr>
            <w:rStyle w:val="Hyperlink"/>
            <w:b/>
          </w:rPr>
          <w:t>Overall impacts on EU-OSHA</w:t>
        </w:r>
        <w:r w:rsidR="00957AB4">
          <w:rPr>
            <w:webHidden/>
          </w:rPr>
          <w:tab/>
        </w:r>
        <w:r w:rsidR="00957AB4">
          <w:rPr>
            <w:webHidden/>
          </w:rPr>
          <w:fldChar w:fldCharType="begin"/>
        </w:r>
        <w:r w:rsidR="00957AB4">
          <w:rPr>
            <w:webHidden/>
          </w:rPr>
          <w:instrText xml:space="preserve"> PAGEREF _Toc150499906 \h </w:instrText>
        </w:r>
        <w:r w:rsidR="00957AB4">
          <w:rPr>
            <w:webHidden/>
          </w:rPr>
        </w:r>
        <w:r w:rsidR="00957AB4">
          <w:rPr>
            <w:webHidden/>
          </w:rPr>
          <w:fldChar w:fldCharType="separate"/>
        </w:r>
        <w:r>
          <w:rPr>
            <w:webHidden/>
          </w:rPr>
          <w:t>41</w:t>
        </w:r>
        <w:r w:rsidR="00957AB4">
          <w:rPr>
            <w:webHidden/>
          </w:rPr>
          <w:fldChar w:fldCharType="end"/>
        </w:r>
      </w:hyperlink>
    </w:p>
    <w:p w14:paraId="45CD32ED" w14:textId="65EA7DC0"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07" w:history="1">
        <w:r w:rsidR="00957AB4" w:rsidRPr="00960AF2">
          <w:rPr>
            <w:rStyle w:val="Hyperlink"/>
            <w:noProof/>
          </w:rPr>
          <w:t>Annex I: Mission, core activities, competences and scientific bodies of the Agencies</w:t>
        </w:r>
        <w:r w:rsidR="00957AB4">
          <w:rPr>
            <w:noProof/>
            <w:webHidden/>
          </w:rPr>
          <w:tab/>
        </w:r>
        <w:r w:rsidR="00957AB4">
          <w:rPr>
            <w:noProof/>
            <w:webHidden/>
          </w:rPr>
          <w:fldChar w:fldCharType="begin"/>
        </w:r>
        <w:r w:rsidR="00957AB4">
          <w:rPr>
            <w:noProof/>
            <w:webHidden/>
          </w:rPr>
          <w:instrText xml:space="preserve"> PAGEREF _Toc150499907 \h </w:instrText>
        </w:r>
        <w:r w:rsidR="00957AB4">
          <w:rPr>
            <w:noProof/>
            <w:webHidden/>
          </w:rPr>
        </w:r>
        <w:r w:rsidR="00957AB4">
          <w:rPr>
            <w:noProof/>
            <w:webHidden/>
          </w:rPr>
          <w:fldChar w:fldCharType="separate"/>
        </w:r>
        <w:r>
          <w:rPr>
            <w:noProof/>
            <w:webHidden/>
          </w:rPr>
          <w:t>42</w:t>
        </w:r>
        <w:r w:rsidR="00957AB4">
          <w:rPr>
            <w:noProof/>
            <w:webHidden/>
          </w:rPr>
          <w:fldChar w:fldCharType="end"/>
        </w:r>
      </w:hyperlink>
    </w:p>
    <w:p w14:paraId="6C277F18" w14:textId="0908EB91"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08" w:history="1">
        <w:r w:rsidR="00957AB4" w:rsidRPr="00960AF2">
          <w:rPr>
            <w:rStyle w:val="Hyperlink"/>
            <w:smallCaps/>
            <w:noProof/>
          </w:rPr>
          <w:t>1.</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European Food Safety Authority</w:t>
        </w:r>
        <w:r w:rsidR="00957AB4">
          <w:rPr>
            <w:noProof/>
            <w:webHidden/>
          </w:rPr>
          <w:tab/>
          <w:t>….</w:t>
        </w:r>
        <w:r w:rsidR="00957AB4">
          <w:rPr>
            <w:noProof/>
            <w:webHidden/>
          </w:rPr>
          <w:fldChar w:fldCharType="begin"/>
        </w:r>
        <w:r w:rsidR="00957AB4">
          <w:rPr>
            <w:noProof/>
            <w:webHidden/>
          </w:rPr>
          <w:instrText xml:space="preserve"> PAGEREF _Toc150499908 \h </w:instrText>
        </w:r>
        <w:r w:rsidR="00957AB4">
          <w:rPr>
            <w:noProof/>
            <w:webHidden/>
          </w:rPr>
        </w:r>
        <w:r w:rsidR="00957AB4">
          <w:rPr>
            <w:noProof/>
            <w:webHidden/>
          </w:rPr>
          <w:fldChar w:fldCharType="separate"/>
        </w:r>
        <w:r>
          <w:rPr>
            <w:noProof/>
            <w:webHidden/>
          </w:rPr>
          <w:t>42</w:t>
        </w:r>
        <w:r w:rsidR="00957AB4">
          <w:rPr>
            <w:noProof/>
            <w:webHidden/>
          </w:rPr>
          <w:fldChar w:fldCharType="end"/>
        </w:r>
      </w:hyperlink>
    </w:p>
    <w:p w14:paraId="4243A31F" w14:textId="65A26FB8"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09" w:history="1">
        <w:r w:rsidR="00957AB4" w:rsidRPr="00960AF2">
          <w:rPr>
            <w:rStyle w:val="Hyperlink"/>
            <w:smallCaps/>
            <w:noProof/>
          </w:rPr>
          <w:t>2.</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European Chemicals Agency</w:t>
        </w:r>
        <w:r w:rsidR="00957AB4">
          <w:rPr>
            <w:noProof/>
            <w:webHidden/>
          </w:rPr>
          <w:tab/>
        </w:r>
        <w:r w:rsidR="00957AB4">
          <w:rPr>
            <w:noProof/>
            <w:webHidden/>
          </w:rPr>
          <w:fldChar w:fldCharType="begin"/>
        </w:r>
        <w:r w:rsidR="00957AB4">
          <w:rPr>
            <w:noProof/>
            <w:webHidden/>
          </w:rPr>
          <w:instrText xml:space="preserve"> PAGEREF _Toc150499909 \h </w:instrText>
        </w:r>
        <w:r w:rsidR="00957AB4">
          <w:rPr>
            <w:noProof/>
            <w:webHidden/>
          </w:rPr>
        </w:r>
        <w:r w:rsidR="00957AB4">
          <w:rPr>
            <w:noProof/>
            <w:webHidden/>
          </w:rPr>
          <w:fldChar w:fldCharType="separate"/>
        </w:r>
        <w:r>
          <w:rPr>
            <w:noProof/>
            <w:webHidden/>
          </w:rPr>
          <w:t>44</w:t>
        </w:r>
        <w:r w:rsidR="00957AB4">
          <w:rPr>
            <w:noProof/>
            <w:webHidden/>
          </w:rPr>
          <w:fldChar w:fldCharType="end"/>
        </w:r>
      </w:hyperlink>
    </w:p>
    <w:p w14:paraId="37D5A937" w14:textId="0C1ADA9D" w:rsidR="00957AB4" w:rsidRDefault="00187DBF" w:rsidP="00957AB4">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10" w:history="1">
        <w:r w:rsidR="00957AB4" w:rsidRPr="00960AF2">
          <w:rPr>
            <w:rStyle w:val="Hyperlink"/>
            <w:smallCaps/>
            <w:noProof/>
          </w:rPr>
          <w:t>3.</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European Medicines Agency</w:t>
        </w:r>
        <w:r w:rsidR="00957AB4">
          <w:rPr>
            <w:noProof/>
            <w:webHidden/>
          </w:rPr>
          <w:tab/>
        </w:r>
        <w:r w:rsidR="00957AB4">
          <w:rPr>
            <w:noProof/>
            <w:webHidden/>
          </w:rPr>
          <w:fldChar w:fldCharType="begin"/>
        </w:r>
        <w:r w:rsidR="00957AB4">
          <w:rPr>
            <w:noProof/>
            <w:webHidden/>
          </w:rPr>
          <w:instrText xml:space="preserve"> PAGEREF _Toc150499910 \h </w:instrText>
        </w:r>
        <w:r w:rsidR="00957AB4">
          <w:rPr>
            <w:noProof/>
            <w:webHidden/>
          </w:rPr>
        </w:r>
        <w:r w:rsidR="00957AB4">
          <w:rPr>
            <w:noProof/>
            <w:webHidden/>
          </w:rPr>
          <w:fldChar w:fldCharType="separate"/>
        </w:r>
        <w:r>
          <w:rPr>
            <w:noProof/>
            <w:webHidden/>
          </w:rPr>
          <w:t>46</w:t>
        </w:r>
        <w:r w:rsidR="00957AB4">
          <w:rPr>
            <w:noProof/>
            <w:webHidden/>
          </w:rPr>
          <w:fldChar w:fldCharType="end"/>
        </w:r>
      </w:hyperlink>
    </w:p>
    <w:p w14:paraId="1AC96B5D" w14:textId="7406BA3B"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11" w:history="1">
        <w:r w:rsidR="00957AB4" w:rsidRPr="00960AF2">
          <w:rPr>
            <w:rStyle w:val="Hyperlink"/>
            <w:smallCaps/>
            <w:noProof/>
          </w:rPr>
          <w:t>4.</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European Environment Agency</w:t>
        </w:r>
        <w:r w:rsidR="00957AB4">
          <w:rPr>
            <w:noProof/>
            <w:webHidden/>
          </w:rPr>
          <w:tab/>
        </w:r>
        <w:r w:rsidR="00957AB4">
          <w:rPr>
            <w:noProof/>
            <w:webHidden/>
          </w:rPr>
          <w:fldChar w:fldCharType="begin"/>
        </w:r>
        <w:r w:rsidR="00957AB4">
          <w:rPr>
            <w:noProof/>
            <w:webHidden/>
          </w:rPr>
          <w:instrText xml:space="preserve"> PAGEREF _Toc150499911 \h </w:instrText>
        </w:r>
        <w:r w:rsidR="00957AB4">
          <w:rPr>
            <w:noProof/>
            <w:webHidden/>
          </w:rPr>
        </w:r>
        <w:r w:rsidR="00957AB4">
          <w:rPr>
            <w:noProof/>
            <w:webHidden/>
          </w:rPr>
          <w:fldChar w:fldCharType="separate"/>
        </w:r>
        <w:r>
          <w:rPr>
            <w:noProof/>
            <w:webHidden/>
          </w:rPr>
          <w:t>48</w:t>
        </w:r>
        <w:r w:rsidR="00957AB4">
          <w:rPr>
            <w:noProof/>
            <w:webHidden/>
          </w:rPr>
          <w:fldChar w:fldCharType="end"/>
        </w:r>
      </w:hyperlink>
    </w:p>
    <w:p w14:paraId="3C289418" w14:textId="6257361D"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12" w:history="1">
        <w:r w:rsidR="00957AB4" w:rsidRPr="00960AF2">
          <w:rPr>
            <w:rStyle w:val="Hyperlink"/>
            <w:smallCaps/>
            <w:noProof/>
          </w:rPr>
          <w:t>5.</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European Agency for Safety and Health at Work</w:t>
        </w:r>
        <w:r w:rsidR="00957AB4">
          <w:rPr>
            <w:noProof/>
            <w:webHidden/>
          </w:rPr>
          <w:tab/>
        </w:r>
        <w:r w:rsidR="00957AB4">
          <w:rPr>
            <w:noProof/>
            <w:webHidden/>
          </w:rPr>
          <w:fldChar w:fldCharType="begin"/>
        </w:r>
        <w:r w:rsidR="00957AB4">
          <w:rPr>
            <w:noProof/>
            <w:webHidden/>
          </w:rPr>
          <w:instrText xml:space="preserve"> PAGEREF _Toc150499912 \h </w:instrText>
        </w:r>
        <w:r w:rsidR="00957AB4">
          <w:rPr>
            <w:noProof/>
            <w:webHidden/>
          </w:rPr>
        </w:r>
        <w:r w:rsidR="00957AB4">
          <w:rPr>
            <w:noProof/>
            <w:webHidden/>
          </w:rPr>
          <w:fldChar w:fldCharType="separate"/>
        </w:r>
        <w:r>
          <w:rPr>
            <w:noProof/>
            <w:webHidden/>
          </w:rPr>
          <w:t>50</w:t>
        </w:r>
        <w:r w:rsidR="00957AB4">
          <w:rPr>
            <w:noProof/>
            <w:webHidden/>
          </w:rPr>
          <w:fldChar w:fldCharType="end"/>
        </w:r>
      </w:hyperlink>
    </w:p>
    <w:p w14:paraId="7BC6373B" w14:textId="303ED001"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13" w:history="1">
        <w:r w:rsidR="00957AB4" w:rsidRPr="00960AF2">
          <w:rPr>
            <w:rStyle w:val="Hyperlink"/>
            <w:noProof/>
          </w:rPr>
          <w:t>Annex II: Summary of the Feedback Received through the Public Consultation on the Call for Evidence for the Initiative on (Re-)Attribution of Scientific and Technical Work on Chemicals to the EU Agencies</w:t>
        </w:r>
        <w:r w:rsidR="00957AB4">
          <w:rPr>
            <w:noProof/>
            <w:webHidden/>
          </w:rPr>
          <w:tab/>
        </w:r>
        <w:r w:rsidR="00957AB4">
          <w:rPr>
            <w:noProof/>
            <w:webHidden/>
          </w:rPr>
          <w:fldChar w:fldCharType="begin"/>
        </w:r>
        <w:r w:rsidR="00957AB4">
          <w:rPr>
            <w:noProof/>
            <w:webHidden/>
          </w:rPr>
          <w:instrText xml:space="preserve"> PAGEREF _Toc150499913 \h </w:instrText>
        </w:r>
        <w:r w:rsidR="00957AB4">
          <w:rPr>
            <w:noProof/>
            <w:webHidden/>
          </w:rPr>
        </w:r>
        <w:r w:rsidR="00957AB4">
          <w:rPr>
            <w:noProof/>
            <w:webHidden/>
          </w:rPr>
          <w:fldChar w:fldCharType="separate"/>
        </w:r>
        <w:r>
          <w:rPr>
            <w:noProof/>
            <w:webHidden/>
          </w:rPr>
          <w:t>52</w:t>
        </w:r>
        <w:r w:rsidR="00957AB4">
          <w:rPr>
            <w:noProof/>
            <w:webHidden/>
          </w:rPr>
          <w:fldChar w:fldCharType="end"/>
        </w:r>
      </w:hyperlink>
    </w:p>
    <w:p w14:paraId="7E41BC74" w14:textId="7B3CB0DA"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14" w:history="1">
        <w:r w:rsidR="00957AB4" w:rsidRPr="00960AF2">
          <w:rPr>
            <w:rStyle w:val="Hyperlink"/>
            <w:smallCaps/>
            <w:noProof/>
          </w:rPr>
          <w:t>1.</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Respondents</w:t>
        </w:r>
        <w:r w:rsidR="00957AB4">
          <w:rPr>
            <w:noProof/>
            <w:webHidden/>
          </w:rPr>
          <w:tab/>
        </w:r>
        <w:r w:rsidR="00957AB4">
          <w:rPr>
            <w:noProof/>
            <w:webHidden/>
          </w:rPr>
          <w:fldChar w:fldCharType="begin"/>
        </w:r>
        <w:r w:rsidR="00957AB4">
          <w:rPr>
            <w:noProof/>
            <w:webHidden/>
          </w:rPr>
          <w:instrText xml:space="preserve"> PAGEREF _Toc150499914 \h </w:instrText>
        </w:r>
        <w:r w:rsidR="00957AB4">
          <w:rPr>
            <w:noProof/>
            <w:webHidden/>
          </w:rPr>
        </w:r>
        <w:r w:rsidR="00957AB4">
          <w:rPr>
            <w:noProof/>
            <w:webHidden/>
          </w:rPr>
          <w:fldChar w:fldCharType="separate"/>
        </w:r>
        <w:r>
          <w:rPr>
            <w:noProof/>
            <w:webHidden/>
          </w:rPr>
          <w:t>52</w:t>
        </w:r>
        <w:r w:rsidR="00957AB4">
          <w:rPr>
            <w:noProof/>
            <w:webHidden/>
          </w:rPr>
          <w:fldChar w:fldCharType="end"/>
        </w:r>
      </w:hyperlink>
    </w:p>
    <w:p w14:paraId="3AE7AF3E" w14:textId="02E7C628"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15" w:history="1">
        <w:r w:rsidR="00957AB4" w:rsidRPr="00960AF2">
          <w:rPr>
            <w:rStyle w:val="Hyperlink"/>
            <w:smallCaps/>
            <w:noProof/>
          </w:rPr>
          <w:t>2.</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Type of responses</w:t>
        </w:r>
        <w:r w:rsidR="00957AB4">
          <w:rPr>
            <w:noProof/>
            <w:webHidden/>
          </w:rPr>
          <w:tab/>
        </w:r>
        <w:r w:rsidR="00957AB4">
          <w:rPr>
            <w:noProof/>
            <w:webHidden/>
          </w:rPr>
          <w:fldChar w:fldCharType="begin"/>
        </w:r>
        <w:r w:rsidR="00957AB4">
          <w:rPr>
            <w:noProof/>
            <w:webHidden/>
          </w:rPr>
          <w:instrText xml:space="preserve"> PAGEREF _Toc150499915 \h </w:instrText>
        </w:r>
        <w:r w:rsidR="00957AB4">
          <w:rPr>
            <w:noProof/>
            <w:webHidden/>
          </w:rPr>
        </w:r>
        <w:r w:rsidR="00957AB4">
          <w:rPr>
            <w:noProof/>
            <w:webHidden/>
          </w:rPr>
          <w:fldChar w:fldCharType="separate"/>
        </w:r>
        <w:r>
          <w:rPr>
            <w:noProof/>
            <w:webHidden/>
          </w:rPr>
          <w:t>52</w:t>
        </w:r>
        <w:r w:rsidR="00957AB4">
          <w:rPr>
            <w:noProof/>
            <w:webHidden/>
          </w:rPr>
          <w:fldChar w:fldCharType="end"/>
        </w:r>
      </w:hyperlink>
    </w:p>
    <w:p w14:paraId="653AB629" w14:textId="6DB8E0A7"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16" w:history="1">
        <w:r w:rsidR="00957AB4" w:rsidRPr="00960AF2">
          <w:rPr>
            <w:rStyle w:val="Hyperlink"/>
            <w:smallCaps/>
            <w:noProof/>
          </w:rPr>
          <w:t>3.</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Support to the initiative on 1S1A</w:t>
        </w:r>
        <w:r w:rsidR="00957AB4">
          <w:rPr>
            <w:noProof/>
            <w:webHidden/>
          </w:rPr>
          <w:tab/>
        </w:r>
        <w:r w:rsidR="00957AB4">
          <w:rPr>
            <w:noProof/>
            <w:webHidden/>
          </w:rPr>
          <w:fldChar w:fldCharType="begin"/>
        </w:r>
        <w:r w:rsidR="00957AB4">
          <w:rPr>
            <w:noProof/>
            <w:webHidden/>
          </w:rPr>
          <w:instrText xml:space="preserve"> PAGEREF _Toc150499916 \h </w:instrText>
        </w:r>
        <w:r w:rsidR="00957AB4">
          <w:rPr>
            <w:noProof/>
            <w:webHidden/>
          </w:rPr>
        </w:r>
        <w:r w:rsidR="00957AB4">
          <w:rPr>
            <w:noProof/>
            <w:webHidden/>
          </w:rPr>
          <w:fldChar w:fldCharType="separate"/>
        </w:r>
        <w:r>
          <w:rPr>
            <w:noProof/>
            <w:webHidden/>
          </w:rPr>
          <w:t>52</w:t>
        </w:r>
        <w:r w:rsidR="00957AB4">
          <w:rPr>
            <w:noProof/>
            <w:webHidden/>
          </w:rPr>
          <w:fldChar w:fldCharType="end"/>
        </w:r>
      </w:hyperlink>
    </w:p>
    <w:p w14:paraId="186B3E87" w14:textId="31359F3A"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17" w:history="1">
        <w:r w:rsidR="00957AB4" w:rsidRPr="00960AF2">
          <w:rPr>
            <w:rStyle w:val="Hyperlink"/>
            <w:smallCaps/>
            <w:noProof/>
          </w:rPr>
          <w:t>4.</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Scope and objectives of 1S1A</w:t>
        </w:r>
        <w:r w:rsidR="00957AB4">
          <w:rPr>
            <w:noProof/>
            <w:webHidden/>
          </w:rPr>
          <w:tab/>
        </w:r>
        <w:r w:rsidR="00957AB4">
          <w:rPr>
            <w:noProof/>
            <w:webHidden/>
          </w:rPr>
          <w:fldChar w:fldCharType="begin"/>
        </w:r>
        <w:r w:rsidR="00957AB4">
          <w:rPr>
            <w:noProof/>
            <w:webHidden/>
          </w:rPr>
          <w:instrText xml:space="preserve"> PAGEREF _Toc150499917 \h </w:instrText>
        </w:r>
        <w:r w:rsidR="00957AB4">
          <w:rPr>
            <w:noProof/>
            <w:webHidden/>
          </w:rPr>
        </w:r>
        <w:r w:rsidR="00957AB4">
          <w:rPr>
            <w:noProof/>
            <w:webHidden/>
          </w:rPr>
          <w:fldChar w:fldCharType="separate"/>
        </w:r>
        <w:r>
          <w:rPr>
            <w:noProof/>
            <w:webHidden/>
          </w:rPr>
          <w:t>54</w:t>
        </w:r>
        <w:r w:rsidR="00957AB4">
          <w:rPr>
            <w:noProof/>
            <w:webHidden/>
          </w:rPr>
          <w:fldChar w:fldCharType="end"/>
        </w:r>
      </w:hyperlink>
    </w:p>
    <w:p w14:paraId="654A8FA4" w14:textId="54434A55"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18" w:history="1">
        <w:r w:rsidR="00957AB4" w:rsidRPr="00960AF2">
          <w:rPr>
            <w:rStyle w:val="Hyperlink"/>
            <w:smallCaps/>
            <w:noProof/>
          </w:rPr>
          <w:t>5.</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Reattribution of tasks to EU agencies</w:t>
        </w:r>
        <w:r w:rsidR="00957AB4">
          <w:rPr>
            <w:noProof/>
            <w:webHidden/>
          </w:rPr>
          <w:tab/>
        </w:r>
        <w:r w:rsidR="00957AB4">
          <w:rPr>
            <w:noProof/>
            <w:webHidden/>
          </w:rPr>
          <w:fldChar w:fldCharType="begin"/>
        </w:r>
        <w:r w:rsidR="00957AB4">
          <w:rPr>
            <w:noProof/>
            <w:webHidden/>
          </w:rPr>
          <w:instrText xml:space="preserve"> PAGEREF _Toc150499918 \h </w:instrText>
        </w:r>
        <w:r w:rsidR="00957AB4">
          <w:rPr>
            <w:noProof/>
            <w:webHidden/>
          </w:rPr>
        </w:r>
        <w:r w:rsidR="00957AB4">
          <w:rPr>
            <w:noProof/>
            <w:webHidden/>
          </w:rPr>
          <w:fldChar w:fldCharType="separate"/>
        </w:r>
        <w:r>
          <w:rPr>
            <w:noProof/>
            <w:webHidden/>
          </w:rPr>
          <w:t>57</w:t>
        </w:r>
        <w:r w:rsidR="00957AB4">
          <w:rPr>
            <w:noProof/>
            <w:webHidden/>
          </w:rPr>
          <w:fldChar w:fldCharType="end"/>
        </w:r>
      </w:hyperlink>
    </w:p>
    <w:p w14:paraId="7875752B" w14:textId="312EFD42"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19" w:history="1">
        <w:r w:rsidR="00957AB4" w:rsidRPr="00960AF2">
          <w:rPr>
            <w:rStyle w:val="Hyperlink"/>
            <w:noProof/>
          </w:rPr>
          <w:t>Annex III: Detailed impact analysis of the (re-)attribution of scientific and technical work related to chemicals to EU agencies</w:t>
        </w:r>
        <w:r w:rsidR="00957AB4">
          <w:rPr>
            <w:noProof/>
            <w:webHidden/>
          </w:rPr>
          <w:tab/>
        </w:r>
        <w:r w:rsidR="00957AB4">
          <w:rPr>
            <w:noProof/>
            <w:webHidden/>
          </w:rPr>
          <w:fldChar w:fldCharType="begin"/>
        </w:r>
        <w:r w:rsidR="00957AB4">
          <w:rPr>
            <w:noProof/>
            <w:webHidden/>
          </w:rPr>
          <w:instrText xml:space="preserve"> PAGEREF _Toc150499919 \h </w:instrText>
        </w:r>
        <w:r w:rsidR="00957AB4">
          <w:rPr>
            <w:noProof/>
            <w:webHidden/>
          </w:rPr>
        </w:r>
        <w:r w:rsidR="00957AB4">
          <w:rPr>
            <w:noProof/>
            <w:webHidden/>
          </w:rPr>
          <w:fldChar w:fldCharType="separate"/>
        </w:r>
        <w:r>
          <w:rPr>
            <w:noProof/>
            <w:webHidden/>
          </w:rPr>
          <w:t>60</w:t>
        </w:r>
        <w:r w:rsidR="00957AB4">
          <w:rPr>
            <w:noProof/>
            <w:webHidden/>
          </w:rPr>
          <w:fldChar w:fldCharType="end"/>
        </w:r>
      </w:hyperlink>
    </w:p>
    <w:p w14:paraId="4D1CF6B8" w14:textId="6D50A323"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20" w:history="1">
        <w:r w:rsidR="00957AB4" w:rsidRPr="00960AF2">
          <w:rPr>
            <w:rStyle w:val="Hyperlink"/>
            <w:smallCaps/>
            <w:noProof/>
          </w:rPr>
          <w:t>1.</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Drinking water directive (2020/2184)</w:t>
        </w:r>
        <w:r w:rsidR="00957AB4">
          <w:rPr>
            <w:noProof/>
            <w:webHidden/>
          </w:rPr>
          <w:tab/>
        </w:r>
        <w:r w:rsidR="00957AB4">
          <w:rPr>
            <w:noProof/>
            <w:webHidden/>
          </w:rPr>
          <w:fldChar w:fldCharType="begin"/>
        </w:r>
        <w:r w:rsidR="00957AB4">
          <w:rPr>
            <w:noProof/>
            <w:webHidden/>
          </w:rPr>
          <w:instrText xml:space="preserve"> PAGEREF _Toc150499920 \h </w:instrText>
        </w:r>
        <w:r w:rsidR="00957AB4">
          <w:rPr>
            <w:noProof/>
            <w:webHidden/>
          </w:rPr>
        </w:r>
        <w:r w:rsidR="00957AB4">
          <w:rPr>
            <w:noProof/>
            <w:webHidden/>
          </w:rPr>
          <w:fldChar w:fldCharType="separate"/>
        </w:r>
        <w:r>
          <w:rPr>
            <w:noProof/>
            <w:webHidden/>
          </w:rPr>
          <w:t>60</w:t>
        </w:r>
        <w:r w:rsidR="00957AB4">
          <w:rPr>
            <w:noProof/>
            <w:webHidden/>
          </w:rPr>
          <w:fldChar w:fldCharType="end"/>
        </w:r>
      </w:hyperlink>
    </w:p>
    <w:p w14:paraId="6B31D3AC" w14:textId="5DAD4A32"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21" w:history="1">
        <w:r w:rsidR="00957AB4" w:rsidRPr="00960AF2">
          <w:rPr>
            <w:rStyle w:val="Hyperlink"/>
            <w:smallCaps/>
            <w:noProof/>
          </w:rPr>
          <w:t>2.</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Regulation on serious cross-border threats to health (2022/2371)</w:t>
        </w:r>
        <w:r w:rsidR="00957AB4">
          <w:rPr>
            <w:noProof/>
            <w:webHidden/>
          </w:rPr>
          <w:tab/>
        </w:r>
        <w:r w:rsidR="00957AB4">
          <w:rPr>
            <w:noProof/>
            <w:webHidden/>
          </w:rPr>
          <w:fldChar w:fldCharType="begin"/>
        </w:r>
        <w:r w:rsidR="00957AB4">
          <w:rPr>
            <w:noProof/>
            <w:webHidden/>
          </w:rPr>
          <w:instrText xml:space="preserve"> PAGEREF _Toc150499921 \h </w:instrText>
        </w:r>
        <w:r w:rsidR="00957AB4">
          <w:rPr>
            <w:noProof/>
            <w:webHidden/>
          </w:rPr>
        </w:r>
        <w:r w:rsidR="00957AB4">
          <w:rPr>
            <w:noProof/>
            <w:webHidden/>
          </w:rPr>
          <w:fldChar w:fldCharType="separate"/>
        </w:r>
        <w:r>
          <w:rPr>
            <w:noProof/>
            <w:webHidden/>
          </w:rPr>
          <w:t>64</w:t>
        </w:r>
        <w:r w:rsidR="00957AB4">
          <w:rPr>
            <w:noProof/>
            <w:webHidden/>
          </w:rPr>
          <w:fldChar w:fldCharType="end"/>
        </w:r>
      </w:hyperlink>
    </w:p>
    <w:p w14:paraId="71925DB9" w14:textId="6814F771"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22" w:history="1">
        <w:r w:rsidR="00957AB4" w:rsidRPr="00960AF2">
          <w:rPr>
            <w:rStyle w:val="Hyperlink"/>
            <w:smallCaps/>
            <w:noProof/>
          </w:rPr>
          <w:t>3.</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European Partnership for the Assessment of Risks from Chemicals (PARC)</w:t>
        </w:r>
        <w:r w:rsidR="00957AB4">
          <w:rPr>
            <w:noProof/>
            <w:webHidden/>
          </w:rPr>
          <w:tab/>
        </w:r>
        <w:r w:rsidR="00957AB4">
          <w:rPr>
            <w:noProof/>
            <w:webHidden/>
          </w:rPr>
          <w:fldChar w:fldCharType="begin"/>
        </w:r>
        <w:r w:rsidR="00957AB4">
          <w:rPr>
            <w:noProof/>
            <w:webHidden/>
          </w:rPr>
          <w:instrText xml:space="preserve"> PAGEREF _Toc150499922 \h </w:instrText>
        </w:r>
        <w:r w:rsidR="00957AB4">
          <w:rPr>
            <w:noProof/>
            <w:webHidden/>
          </w:rPr>
        </w:r>
        <w:r w:rsidR="00957AB4">
          <w:rPr>
            <w:noProof/>
            <w:webHidden/>
          </w:rPr>
          <w:fldChar w:fldCharType="separate"/>
        </w:r>
        <w:r>
          <w:rPr>
            <w:noProof/>
            <w:webHidden/>
          </w:rPr>
          <w:t>66</w:t>
        </w:r>
        <w:r w:rsidR="00957AB4">
          <w:rPr>
            <w:noProof/>
            <w:webHidden/>
          </w:rPr>
          <w:fldChar w:fldCharType="end"/>
        </w:r>
      </w:hyperlink>
    </w:p>
    <w:p w14:paraId="1722864F" w14:textId="013C52CD"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23" w:history="1">
        <w:r w:rsidR="00957AB4" w:rsidRPr="00960AF2">
          <w:rPr>
            <w:rStyle w:val="Hyperlink"/>
            <w:smallCaps/>
            <w:noProof/>
          </w:rPr>
          <w:t>4.</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Commission implementing decision 2022/1979 under SEVESO directive</w:t>
        </w:r>
        <w:r w:rsidR="00957AB4">
          <w:rPr>
            <w:noProof/>
            <w:webHidden/>
          </w:rPr>
          <w:tab/>
        </w:r>
        <w:r w:rsidR="00957AB4">
          <w:rPr>
            <w:noProof/>
            <w:webHidden/>
          </w:rPr>
          <w:fldChar w:fldCharType="begin"/>
        </w:r>
        <w:r w:rsidR="00957AB4">
          <w:rPr>
            <w:noProof/>
            <w:webHidden/>
          </w:rPr>
          <w:instrText xml:space="preserve"> PAGEREF _Toc150499923 \h </w:instrText>
        </w:r>
        <w:r w:rsidR="00957AB4">
          <w:rPr>
            <w:noProof/>
            <w:webHidden/>
          </w:rPr>
        </w:r>
        <w:r w:rsidR="00957AB4">
          <w:rPr>
            <w:noProof/>
            <w:webHidden/>
          </w:rPr>
          <w:fldChar w:fldCharType="separate"/>
        </w:r>
        <w:r>
          <w:rPr>
            <w:noProof/>
            <w:webHidden/>
          </w:rPr>
          <w:t>69</w:t>
        </w:r>
        <w:r w:rsidR="00957AB4">
          <w:rPr>
            <w:noProof/>
            <w:webHidden/>
          </w:rPr>
          <w:fldChar w:fldCharType="end"/>
        </w:r>
      </w:hyperlink>
    </w:p>
    <w:p w14:paraId="2287412B" w14:textId="58FA797F" w:rsidR="00957AB4" w:rsidRDefault="00187DBF" w:rsidP="00BC2BB9">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24" w:history="1">
        <w:r w:rsidR="00957AB4" w:rsidRPr="00960AF2">
          <w:rPr>
            <w:rStyle w:val="Hyperlink"/>
            <w:smallCaps/>
            <w:noProof/>
          </w:rPr>
          <w:t>5.</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Batteries Regulation (proposal)</w:t>
        </w:r>
        <w:r w:rsidR="00957AB4">
          <w:rPr>
            <w:noProof/>
            <w:webHidden/>
          </w:rPr>
          <w:tab/>
        </w:r>
        <w:r w:rsidR="00957AB4">
          <w:rPr>
            <w:noProof/>
            <w:webHidden/>
          </w:rPr>
          <w:fldChar w:fldCharType="begin"/>
        </w:r>
        <w:r w:rsidR="00957AB4">
          <w:rPr>
            <w:noProof/>
            <w:webHidden/>
          </w:rPr>
          <w:instrText xml:space="preserve"> PAGEREF _Toc150499924 \h </w:instrText>
        </w:r>
        <w:r w:rsidR="00957AB4">
          <w:rPr>
            <w:noProof/>
            <w:webHidden/>
          </w:rPr>
        </w:r>
        <w:r w:rsidR="00957AB4">
          <w:rPr>
            <w:noProof/>
            <w:webHidden/>
          </w:rPr>
          <w:fldChar w:fldCharType="separate"/>
        </w:r>
        <w:r>
          <w:rPr>
            <w:noProof/>
            <w:webHidden/>
          </w:rPr>
          <w:t>76</w:t>
        </w:r>
        <w:r w:rsidR="00957AB4">
          <w:rPr>
            <w:noProof/>
            <w:webHidden/>
          </w:rPr>
          <w:fldChar w:fldCharType="end"/>
        </w:r>
      </w:hyperlink>
    </w:p>
    <w:p w14:paraId="39DBD880" w14:textId="4D400C23"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25" w:history="1">
        <w:r w:rsidR="00957AB4" w:rsidRPr="00960AF2">
          <w:rPr>
            <w:rStyle w:val="Hyperlink"/>
            <w:smallCaps/>
            <w:noProof/>
          </w:rPr>
          <w:t>6.</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E-PRTR Regulation (2006/166)</w:t>
        </w:r>
        <w:r w:rsidR="00957AB4">
          <w:rPr>
            <w:noProof/>
            <w:webHidden/>
          </w:rPr>
          <w:tab/>
        </w:r>
        <w:r w:rsidR="00957AB4">
          <w:rPr>
            <w:noProof/>
            <w:webHidden/>
          </w:rPr>
          <w:fldChar w:fldCharType="begin"/>
        </w:r>
        <w:r w:rsidR="00957AB4">
          <w:rPr>
            <w:noProof/>
            <w:webHidden/>
          </w:rPr>
          <w:instrText xml:space="preserve"> PAGEREF _Toc150499925 \h </w:instrText>
        </w:r>
        <w:r w:rsidR="00957AB4">
          <w:rPr>
            <w:noProof/>
            <w:webHidden/>
          </w:rPr>
        </w:r>
        <w:r w:rsidR="00957AB4">
          <w:rPr>
            <w:noProof/>
            <w:webHidden/>
          </w:rPr>
          <w:fldChar w:fldCharType="separate"/>
        </w:r>
        <w:r>
          <w:rPr>
            <w:noProof/>
            <w:webHidden/>
          </w:rPr>
          <w:t>81</w:t>
        </w:r>
        <w:r w:rsidR="00957AB4">
          <w:rPr>
            <w:noProof/>
            <w:webHidden/>
          </w:rPr>
          <w:fldChar w:fldCharType="end"/>
        </w:r>
      </w:hyperlink>
    </w:p>
    <w:p w14:paraId="420D8416" w14:textId="52293339"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26" w:history="1">
        <w:r w:rsidR="00957AB4" w:rsidRPr="00960AF2">
          <w:rPr>
            <w:rStyle w:val="Hyperlink"/>
            <w:smallCaps/>
            <w:noProof/>
          </w:rPr>
          <w:t>7.</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Industrial Emissions Directive (2010/75/EU)</w:t>
        </w:r>
        <w:r w:rsidR="00957AB4">
          <w:rPr>
            <w:noProof/>
            <w:webHidden/>
          </w:rPr>
          <w:tab/>
        </w:r>
        <w:r w:rsidR="00957AB4">
          <w:rPr>
            <w:noProof/>
            <w:webHidden/>
          </w:rPr>
          <w:fldChar w:fldCharType="begin"/>
        </w:r>
        <w:r w:rsidR="00957AB4">
          <w:rPr>
            <w:noProof/>
            <w:webHidden/>
          </w:rPr>
          <w:instrText xml:space="preserve"> PAGEREF _Toc150499926 \h </w:instrText>
        </w:r>
        <w:r w:rsidR="00957AB4">
          <w:rPr>
            <w:noProof/>
            <w:webHidden/>
          </w:rPr>
        </w:r>
        <w:r w:rsidR="00957AB4">
          <w:rPr>
            <w:noProof/>
            <w:webHidden/>
          </w:rPr>
          <w:fldChar w:fldCharType="separate"/>
        </w:r>
        <w:r>
          <w:rPr>
            <w:noProof/>
            <w:webHidden/>
          </w:rPr>
          <w:t>82</w:t>
        </w:r>
        <w:r w:rsidR="00957AB4">
          <w:rPr>
            <w:noProof/>
            <w:webHidden/>
          </w:rPr>
          <w:fldChar w:fldCharType="end"/>
        </w:r>
      </w:hyperlink>
    </w:p>
    <w:p w14:paraId="1B9114D0" w14:textId="7852FC98"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27" w:history="1">
        <w:r w:rsidR="00957AB4" w:rsidRPr="00960AF2">
          <w:rPr>
            <w:rStyle w:val="Hyperlink"/>
            <w:smallCaps/>
            <w:noProof/>
          </w:rPr>
          <w:t>8.</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Environmental Quality Standard Directive (2008/105/EC) + Water Framework Directive (2000/60/EC) + Groundwater Directive (2006/118/EC)</w:t>
        </w:r>
        <w:r w:rsidR="00957AB4">
          <w:rPr>
            <w:noProof/>
            <w:webHidden/>
          </w:rPr>
          <w:tab/>
        </w:r>
        <w:r w:rsidR="00957AB4">
          <w:rPr>
            <w:noProof/>
            <w:webHidden/>
          </w:rPr>
          <w:fldChar w:fldCharType="begin"/>
        </w:r>
        <w:r w:rsidR="00957AB4">
          <w:rPr>
            <w:noProof/>
            <w:webHidden/>
          </w:rPr>
          <w:instrText xml:space="preserve"> PAGEREF _Toc150499927 \h </w:instrText>
        </w:r>
        <w:r w:rsidR="00957AB4">
          <w:rPr>
            <w:noProof/>
            <w:webHidden/>
          </w:rPr>
        </w:r>
        <w:r w:rsidR="00957AB4">
          <w:rPr>
            <w:noProof/>
            <w:webHidden/>
          </w:rPr>
          <w:fldChar w:fldCharType="separate"/>
        </w:r>
        <w:r>
          <w:rPr>
            <w:noProof/>
            <w:webHidden/>
          </w:rPr>
          <w:t>85</w:t>
        </w:r>
        <w:r w:rsidR="00957AB4">
          <w:rPr>
            <w:noProof/>
            <w:webHidden/>
          </w:rPr>
          <w:fldChar w:fldCharType="end"/>
        </w:r>
      </w:hyperlink>
    </w:p>
    <w:p w14:paraId="27D83AB8" w14:textId="38105592"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28" w:history="1">
        <w:r w:rsidR="00957AB4" w:rsidRPr="00960AF2">
          <w:rPr>
            <w:rStyle w:val="Hyperlink"/>
            <w:smallCaps/>
            <w:noProof/>
          </w:rPr>
          <w:t>9.</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CLP Regulation (1272/2008)</w:t>
        </w:r>
        <w:r w:rsidR="00957AB4">
          <w:rPr>
            <w:noProof/>
            <w:webHidden/>
          </w:rPr>
          <w:tab/>
        </w:r>
        <w:r w:rsidR="00957AB4">
          <w:rPr>
            <w:noProof/>
            <w:webHidden/>
          </w:rPr>
          <w:fldChar w:fldCharType="begin"/>
        </w:r>
        <w:r w:rsidR="00957AB4">
          <w:rPr>
            <w:noProof/>
            <w:webHidden/>
          </w:rPr>
          <w:instrText xml:space="preserve"> PAGEREF _Toc150499928 \h </w:instrText>
        </w:r>
        <w:r w:rsidR="00957AB4">
          <w:rPr>
            <w:noProof/>
            <w:webHidden/>
          </w:rPr>
        </w:r>
        <w:r w:rsidR="00957AB4">
          <w:rPr>
            <w:noProof/>
            <w:webHidden/>
          </w:rPr>
          <w:fldChar w:fldCharType="separate"/>
        </w:r>
        <w:r>
          <w:rPr>
            <w:noProof/>
            <w:webHidden/>
          </w:rPr>
          <w:t>96</w:t>
        </w:r>
        <w:r w:rsidR="00957AB4">
          <w:rPr>
            <w:noProof/>
            <w:webHidden/>
          </w:rPr>
          <w:fldChar w:fldCharType="end"/>
        </w:r>
      </w:hyperlink>
    </w:p>
    <w:p w14:paraId="2D515F70" w14:textId="472A5BE1"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29" w:history="1">
        <w:r w:rsidR="00957AB4" w:rsidRPr="00960AF2">
          <w:rPr>
            <w:rStyle w:val="Hyperlink"/>
            <w:smallCaps/>
            <w:noProof/>
          </w:rPr>
          <w:t>10.</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Packaging and Packaging Waste Directive</w:t>
        </w:r>
        <w:r w:rsidR="00957AB4">
          <w:rPr>
            <w:noProof/>
            <w:webHidden/>
          </w:rPr>
          <w:tab/>
        </w:r>
        <w:r w:rsidR="00957AB4">
          <w:rPr>
            <w:noProof/>
            <w:webHidden/>
          </w:rPr>
          <w:fldChar w:fldCharType="begin"/>
        </w:r>
        <w:r w:rsidR="00957AB4">
          <w:rPr>
            <w:noProof/>
            <w:webHidden/>
          </w:rPr>
          <w:instrText xml:space="preserve"> PAGEREF _Toc150499929 \h </w:instrText>
        </w:r>
        <w:r w:rsidR="00957AB4">
          <w:rPr>
            <w:noProof/>
            <w:webHidden/>
          </w:rPr>
        </w:r>
        <w:r w:rsidR="00957AB4">
          <w:rPr>
            <w:noProof/>
            <w:webHidden/>
          </w:rPr>
          <w:fldChar w:fldCharType="separate"/>
        </w:r>
        <w:r>
          <w:rPr>
            <w:noProof/>
            <w:webHidden/>
          </w:rPr>
          <w:t>100</w:t>
        </w:r>
        <w:r w:rsidR="00957AB4">
          <w:rPr>
            <w:noProof/>
            <w:webHidden/>
          </w:rPr>
          <w:fldChar w:fldCharType="end"/>
        </w:r>
      </w:hyperlink>
    </w:p>
    <w:p w14:paraId="25C7272D" w14:textId="51FA2098"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30" w:history="1">
        <w:r w:rsidR="00957AB4" w:rsidRPr="00960AF2">
          <w:rPr>
            <w:rStyle w:val="Hyperlink"/>
            <w:smallCaps/>
            <w:noProof/>
          </w:rPr>
          <w:t>11.</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Legislation on medicinal products for human use (726/2004)</w:t>
        </w:r>
        <w:r w:rsidR="00957AB4">
          <w:rPr>
            <w:noProof/>
            <w:webHidden/>
          </w:rPr>
          <w:tab/>
        </w:r>
        <w:r w:rsidR="00957AB4">
          <w:rPr>
            <w:noProof/>
            <w:webHidden/>
          </w:rPr>
          <w:fldChar w:fldCharType="begin"/>
        </w:r>
        <w:r w:rsidR="00957AB4">
          <w:rPr>
            <w:noProof/>
            <w:webHidden/>
          </w:rPr>
          <w:instrText xml:space="preserve"> PAGEREF _Toc150499930 \h </w:instrText>
        </w:r>
        <w:r w:rsidR="00957AB4">
          <w:rPr>
            <w:noProof/>
            <w:webHidden/>
          </w:rPr>
        </w:r>
        <w:r w:rsidR="00957AB4">
          <w:rPr>
            <w:noProof/>
            <w:webHidden/>
          </w:rPr>
          <w:fldChar w:fldCharType="separate"/>
        </w:r>
        <w:r>
          <w:rPr>
            <w:noProof/>
            <w:webHidden/>
          </w:rPr>
          <w:t>101</w:t>
        </w:r>
        <w:r w:rsidR="00957AB4">
          <w:rPr>
            <w:noProof/>
            <w:webHidden/>
          </w:rPr>
          <w:fldChar w:fldCharType="end"/>
        </w:r>
      </w:hyperlink>
    </w:p>
    <w:p w14:paraId="6436BADE" w14:textId="08579E26"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31" w:history="1">
        <w:r w:rsidR="00957AB4" w:rsidRPr="00960AF2">
          <w:rPr>
            <w:rStyle w:val="Hyperlink"/>
            <w:smallCaps/>
            <w:noProof/>
          </w:rPr>
          <w:t>12.</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End-of Life Vehicles (ELV) Directive</w:t>
        </w:r>
        <w:r w:rsidR="00957AB4">
          <w:rPr>
            <w:noProof/>
            <w:webHidden/>
          </w:rPr>
          <w:tab/>
        </w:r>
        <w:r w:rsidR="00957AB4">
          <w:rPr>
            <w:noProof/>
            <w:webHidden/>
          </w:rPr>
          <w:fldChar w:fldCharType="begin"/>
        </w:r>
        <w:r w:rsidR="00957AB4">
          <w:rPr>
            <w:noProof/>
            <w:webHidden/>
          </w:rPr>
          <w:instrText xml:space="preserve"> PAGEREF _Toc150499931 \h </w:instrText>
        </w:r>
        <w:r w:rsidR="00957AB4">
          <w:rPr>
            <w:noProof/>
            <w:webHidden/>
          </w:rPr>
        </w:r>
        <w:r w:rsidR="00957AB4">
          <w:rPr>
            <w:noProof/>
            <w:webHidden/>
          </w:rPr>
          <w:fldChar w:fldCharType="separate"/>
        </w:r>
        <w:r>
          <w:rPr>
            <w:noProof/>
            <w:webHidden/>
          </w:rPr>
          <w:t>105</w:t>
        </w:r>
        <w:r w:rsidR="00957AB4">
          <w:rPr>
            <w:noProof/>
            <w:webHidden/>
          </w:rPr>
          <w:fldChar w:fldCharType="end"/>
        </w:r>
      </w:hyperlink>
    </w:p>
    <w:p w14:paraId="22ABC877" w14:textId="336BA7EA"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32" w:history="1">
        <w:r w:rsidR="00957AB4" w:rsidRPr="00960AF2">
          <w:rPr>
            <w:rStyle w:val="Hyperlink"/>
            <w:smallCaps/>
            <w:noProof/>
          </w:rPr>
          <w:t>13.</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Toy Safety Directive</w:t>
        </w:r>
        <w:r w:rsidR="00957AB4">
          <w:rPr>
            <w:noProof/>
            <w:webHidden/>
          </w:rPr>
          <w:tab/>
        </w:r>
        <w:r w:rsidR="00957AB4">
          <w:rPr>
            <w:noProof/>
            <w:webHidden/>
          </w:rPr>
          <w:fldChar w:fldCharType="begin"/>
        </w:r>
        <w:r w:rsidR="00957AB4">
          <w:rPr>
            <w:noProof/>
            <w:webHidden/>
          </w:rPr>
          <w:instrText xml:space="preserve"> PAGEREF _Toc150499932 \h </w:instrText>
        </w:r>
        <w:r w:rsidR="00957AB4">
          <w:rPr>
            <w:noProof/>
            <w:webHidden/>
          </w:rPr>
        </w:r>
        <w:r w:rsidR="00957AB4">
          <w:rPr>
            <w:noProof/>
            <w:webHidden/>
          </w:rPr>
          <w:fldChar w:fldCharType="separate"/>
        </w:r>
        <w:r>
          <w:rPr>
            <w:noProof/>
            <w:webHidden/>
          </w:rPr>
          <w:t>110</w:t>
        </w:r>
        <w:r w:rsidR="00957AB4">
          <w:rPr>
            <w:noProof/>
            <w:webHidden/>
          </w:rPr>
          <w:fldChar w:fldCharType="end"/>
        </w:r>
      </w:hyperlink>
    </w:p>
    <w:p w14:paraId="333653B3" w14:textId="15CAFEA1"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33" w:history="1">
        <w:r w:rsidR="00957AB4" w:rsidRPr="00960AF2">
          <w:rPr>
            <w:rStyle w:val="Hyperlink"/>
            <w:smallCaps/>
            <w:noProof/>
          </w:rPr>
          <w:t>14.</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Restriction of Hazardous Substance (RoHS) Directive (2011/65/EU)</w:t>
        </w:r>
        <w:r w:rsidR="00957AB4">
          <w:rPr>
            <w:noProof/>
            <w:webHidden/>
          </w:rPr>
          <w:tab/>
        </w:r>
        <w:r w:rsidR="00957AB4">
          <w:rPr>
            <w:noProof/>
            <w:webHidden/>
          </w:rPr>
          <w:fldChar w:fldCharType="begin"/>
        </w:r>
        <w:r w:rsidR="00957AB4">
          <w:rPr>
            <w:noProof/>
            <w:webHidden/>
          </w:rPr>
          <w:instrText xml:space="preserve"> PAGEREF _Toc150499933 \h </w:instrText>
        </w:r>
        <w:r w:rsidR="00957AB4">
          <w:rPr>
            <w:noProof/>
            <w:webHidden/>
          </w:rPr>
        </w:r>
        <w:r w:rsidR="00957AB4">
          <w:rPr>
            <w:noProof/>
            <w:webHidden/>
          </w:rPr>
          <w:fldChar w:fldCharType="separate"/>
        </w:r>
        <w:r>
          <w:rPr>
            <w:noProof/>
            <w:webHidden/>
          </w:rPr>
          <w:t>115</w:t>
        </w:r>
        <w:r w:rsidR="00957AB4">
          <w:rPr>
            <w:noProof/>
            <w:webHidden/>
          </w:rPr>
          <w:fldChar w:fldCharType="end"/>
        </w:r>
      </w:hyperlink>
    </w:p>
    <w:p w14:paraId="4635C508" w14:textId="369D5E0E"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34" w:history="1">
        <w:r w:rsidR="00957AB4" w:rsidRPr="00960AF2">
          <w:rPr>
            <w:rStyle w:val="Hyperlink"/>
            <w:smallCaps/>
            <w:noProof/>
          </w:rPr>
          <w:t>15.</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POPs Regulation (2019/1021)</w:t>
        </w:r>
        <w:r w:rsidR="00957AB4">
          <w:rPr>
            <w:noProof/>
            <w:webHidden/>
          </w:rPr>
          <w:tab/>
        </w:r>
        <w:r w:rsidR="00957AB4">
          <w:rPr>
            <w:noProof/>
            <w:webHidden/>
          </w:rPr>
          <w:fldChar w:fldCharType="begin"/>
        </w:r>
        <w:r w:rsidR="00957AB4">
          <w:rPr>
            <w:noProof/>
            <w:webHidden/>
          </w:rPr>
          <w:instrText xml:space="preserve"> PAGEREF _Toc150499934 \h </w:instrText>
        </w:r>
        <w:r w:rsidR="00957AB4">
          <w:rPr>
            <w:noProof/>
            <w:webHidden/>
          </w:rPr>
        </w:r>
        <w:r w:rsidR="00957AB4">
          <w:rPr>
            <w:noProof/>
            <w:webHidden/>
          </w:rPr>
          <w:fldChar w:fldCharType="separate"/>
        </w:r>
        <w:r>
          <w:rPr>
            <w:noProof/>
            <w:webHidden/>
          </w:rPr>
          <w:t>121</w:t>
        </w:r>
        <w:r w:rsidR="00957AB4">
          <w:rPr>
            <w:noProof/>
            <w:webHidden/>
          </w:rPr>
          <w:fldChar w:fldCharType="end"/>
        </w:r>
      </w:hyperlink>
    </w:p>
    <w:p w14:paraId="17D496EE" w14:textId="6FB877A8" w:rsidR="00957AB4" w:rsidRDefault="00187DBF" w:rsidP="00530B22">
      <w:pPr>
        <w:pStyle w:val="TOC1"/>
        <w:tabs>
          <w:tab w:val="clear" w:pos="8640"/>
          <w:tab w:val="right" w:leader="dot" w:pos="9356"/>
        </w:tabs>
        <w:ind w:right="141"/>
        <w:rPr>
          <w:rFonts w:asciiTheme="minorHAnsi" w:eastAsiaTheme="minorEastAsia" w:hAnsiTheme="minorHAnsi" w:cstheme="minorBidi"/>
          <w:caps w:val="0"/>
          <w:noProof/>
          <w:spacing w:val="0"/>
          <w:sz w:val="22"/>
          <w:szCs w:val="22"/>
          <w:lang w:val="en-IE" w:eastAsia="en-IE"/>
        </w:rPr>
      </w:pPr>
      <w:hyperlink w:anchor="_Toc150499935" w:history="1">
        <w:r w:rsidR="00957AB4" w:rsidRPr="00960AF2">
          <w:rPr>
            <w:rStyle w:val="Hyperlink"/>
            <w:smallCaps/>
            <w:noProof/>
          </w:rPr>
          <w:t>16.</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Medical devices Regulation</w:t>
        </w:r>
        <w:r w:rsidR="00957AB4">
          <w:rPr>
            <w:noProof/>
            <w:webHidden/>
          </w:rPr>
          <w:tab/>
        </w:r>
        <w:r w:rsidR="00957AB4">
          <w:rPr>
            <w:noProof/>
            <w:webHidden/>
          </w:rPr>
          <w:fldChar w:fldCharType="begin"/>
        </w:r>
        <w:r w:rsidR="00957AB4">
          <w:rPr>
            <w:noProof/>
            <w:webHidden/>
          </w:rPr>
          <w:instrText xml:space="preserve"> PAGEREF _Toc150499935 \h </w:instrText>
        </w:r>
        <w:r w:rsidR="00957AB4">
          <w:rPr>
            <w:noProof/>
            <w:webHidden/>
          </w:rPr>
        </w:r>
        <w:r w:rsidR="00957AB4">
          <w:rPr>
            <w:noProof/>
            <w:webHidden/>
          </w:rPr>
          <w:fldChar w:fldCharType="separate"/>
        </w:r>
        <w:r>
          <w:rPr>
            <w:noProof/>
            <w:webHidden/>
          </w:rPr>
          <w:t>129</w:t>
        </w:r>
        <w:r w:rsidR="00957AB4">
          <w:rPr>
            <w:noProof/>
            <w:webHidden/>
          </w:rPr>
          <w:fldChar w:fldCharType="end"/>
        </w:r>
      </w:hyperlink>
    </w:p>
    <w:p w14:paraId="51AEE5D4" w14:textId="1AD3E64E" w:rsidR="00957AB4" w:rsidRDefault="00187DBF" w:rsidP="00530B22">
      <w:pPr>
        <w:pStyle w:val="TOC1"/>
        <w:tabs>
          <w:tab w:val="clear" w:pos="8640"/>
          <w:tab w:val="right" w:leader="dot" w:pos="9356"/>
        </w:tabs>
        <w:ind w:right="141"/>
        <w:rPr>
          <w:rFonts w:asciiTheme="minorHAnsi" w:eastAsiaTheme="minorEastAsia" w:hAnsiTheme="minorHAnsi" w:cstheme="minorBidi"/>
          <w:caps w:val="0"/>
          <w:noProof/>
          <w:spacing w:val="0"/>
          <w:sz w:val="22"/>
          <w:szCs w:val="22"/>
          <w:lang w:val="en-IE" w:eastAsia="en-IE"/>
        </w:rPr>
      </w:pPr>
      <w:hyperlink w:anchor="_Toc150499936" w:history="1">
        <w:r w:rsidR="00957AB4" w:rsidRPr="00960AF2">
          <w:rPr>
            <w:rStyle w:val="Hyperlink"/>
            <w:smallCaps/>
            <w:noProof/>
          </w:rPr>
          <w:t>17.</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EEA founding regulation (1210/90)</w:t>
        </w:r>
        <w:r w:rsidR="00957AB4">
          <w:rPr>
            <w:noProof/>
            <w:webHidden/>
          </w:rPr>
          <w:tab/>
        </w:r>
        <w:r w:rsidR="00957AB4">
          <w:rPr>
            <w:noProof/>
            <w:webHidden/>
          </w:rPr>
          <w:fldChar w:fldCharType="begin"/>
        </w:r>
        <w:r w:rsidR="00957AB4">
          <w:rPr>
            <w:noProof/>
            <w:webHidden/>
          </w:rPr>
          <w:instrText xml:space="preserve"> PAGEREF _Toc150499936 \h </w:instrText>
        </w:r>
        <w:r w:rsidR="00957AB4">
          <w:rPr>
            <w:noProof/>
            <w:webHidden/>
          </w:rPr>
        </w:r>
        <w:r w:rsidR="00957AB4">
          <w:rPr>
            <w:noProof/>
            <w:webHidden/>
          </w:rPr>
          <w:fldChar w:fldCharType="separate"/>
        </w:r>
        <w:r>
          <w:rPr>
            <w:noProof/>
            <w:webHidden/>
          </w:rPr>
          <w:t>134</w:t>
        </w:r>
        <w:r w:rsidR="00957AB4">
          <w:rPr>
            <w:noProof/>
            <w:webHidden/>
          </w:rPr>
          <w:fldChar w:fldCharType="end"/>
        </w:r>
      </w:hyperlink>
    </w:p>
    <w:p w14:paraId="3DB3C6CA" w14:textId="670C254A"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37" w:history="1">
        <w:r w:rsidR="00957AB4" w:rsidRPr="00960AF2">
          <w:rPr>
            <w:rStyle w:val="Hyperlink"/>
            <w:smallCaps/>
            <w:noProof/>
          </w:rPr>
          <w:t>18.</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General Food Law (178/2002)</w:t>
        </w:r>
        <w:r w:rsidR="00957AB4">
          <w:rPr>
            <w:noProof/>
            <w:webHidden/>
          </w:rPr>
          <w:tab/>
        </w:r>
        <w:r w:rsidR="00957AB4">
          <w:rPr>
            <w:noProof/>
            <w:webHidden/>
          </w:rPr>
          <w:fldChar w:fldCharType="begin"/>
        </w:r>
        <w:r w:rsidR="00957AB4">
          <w:rPr>
            <w:noProof/>
            <w:webHidden/>
          </w:rPr>
          <w:instrText xml:space="preserve"> PAGEREF _Toc150499937 \h </w:instrText>
        </w:r>
        <w:r w:rsidR="00957AB4">
          <w:rPr>
            <w:noProof/>
            <w:webHidden/>
          </w:rPr>
        </w:r>
        <w:r w:rsidR="00957AB4">
          <w:rPr>
            <w:noProof/>
            <w:webHidden/>
          </w:rPr>
          <w:fldChar w:fldCharType="separate"/>
        </w:r>
        <w:r>
          <w:rPr>
            <w:noProof/>
            <w:webHidden/>
          </w:rPr>
          <w:t>137</w:t>
        </w:r>
        <w:r w:rsidR="00957AB4">
          <w:rPr>
            <w:noProof/>
            <w:webHidden/>
          </w:rPr>
          <w:fldChar w:fldCharType="end"/>
        </w:r>
      </w:hyperlink>
    </w:p>
    <w:p w14:paraId="34DE05E1" w14:textId="7C16973C"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38" w:history="1">
        <w:r w:rsidR="00957AB4" w:rsidRPr="00960AF2">
          <w:rPr>
            <w:rStyle w:val="Hyperlink"/>
            <w:smallCaps/>
            <w:noProof/>
          </w:rPr>
          <w:t>19.</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EU Common Data Platform on Chemicals</w:t>
        </w:r>
        <w:r w:rsidR="00957AB4">
          <w:rPr>
            <w:noProof/>
            <w:webHidden/>
          </w:rPr>
          <w:tab/>
        </w:r>
        <w:r w:rsidR="00957AB4">
          <w:rPr>
            <w:noProof/>
            <w:webHidden/>
          </w:rPr>
          <w:fldChar w:fldCharType="begin"/>
        </w:r>
        <w:r w:rsidR="00957AB4">
          <w:rPr>
            <w:noProof/>
            <w:webHidden/>
          </w:rPr>
          <w:instrText xml:space="preserve"> PAGEREF _Toc150499938 \h </w:instrText>
        </w:r>
        <w:r w:rsidR="00957AB4">
          <w:rPr>
            <w:noProof/>
            <w:webHidden/>
          </w:rPr>
        </w:r>
        <w:r w:rsidR="00957AB4">
          <w:rPr>
            <w:noProof/>
            <w:webHidden/>
          </w:rPr>
          <w:fldChar w:fldCharType="separate"/>
        </w:r>
        <w:r>
          <w:rPr>
            <w:noProof/>
            <w:webHidden/>
          </w:rPr>
          <w:t>139</w:t>
        </w:r>
        <w:r w:rsidR="00957AB4">
          <w:rPr>
            <w:noProof/>
            <w:webHidden/>
          </w:rPr>
          <w:fldChar w:fldCharType="end"/>
        </w:r>
      </w:hyperlink>
    </w:p>
    <w:p w14:paraId="4494620E" w14:textId="17076DBB"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39" w:history="1">
        <w:r w:rsidR="00957AB4" w:rsidRPr="00960AF2">
          <w:rPr>
            <w:rStyle w:val="Hyperlink"/>
            <w:smallCaps/>
            <w:noProof/>
          </w:rPr>
          <w:t>20.</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Information Platform for Chemical Monitoring (IPCHEM)</w:t>
        </w:r>
        <w:r w:rsidR="00957AB4">
          <w:rPr>
            <w:noProof/>
            <w:webHidden/>
          </w:rPr>
          <w:tab/>
        </w:r>
        <w:r w:rsidR="00957AB4">
          <w:rPr>
            <w:noProof/>
            <w:webHidden/>
          </w:rPr>
          <w:fldChar w:fldCharType="begin"/>
        </w:r>
        <w:r w:rsidR="00957AB4">
          <w:rPr>
            <w:noProof/>
            <w:webHidden/>
          </w:rPr>
          <w:instrText xml:space="preserve"> PAGEREF _Toc150499939 \h </w:instrText>
        </w:r>
        <w:r w:rsidR="00957AB4">
          <w:rPr>
            <w:noProof/>
            <w:webHidden/>
          </w:rPr>
        </w:r>
        <w:r w:rsidR="00957AB4">
          <w:rPr>
            <w:noProof/>
            <w:webHidden/>
          </w:rPr>
          <w:fldChar w:fldCharType="separate"/>
        </w:r>
        <w:r>
          <w:rPr>
            <w:noProof/>
            <w:webHidden/>
          </w:rPr>
          <w:t>148</w:t>
        </w:r>
        <w:r w:rsidR="00957AB4">
          <w:rPr>
            <w:noProof/>
            <w:webHidden/>
          </w:rPr>
          <w:fldChar w:fldCharType="end"/>
        </w:r>
      </w:hyperlink>
    </w:p>
    <w:p w14:paraId="0B827A59" w14:textId="13FC2A59"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40" w:history="1">
        <w:r w:rsidR="00957AB4" w:rsidRPr="00960AF2">
          <w:rPr>
            <w:rStyle w:val="Hyperlink"/>
            <w:smallCaps/>
            <w:noProof/>
          </w:rPr>
          <w:t>21.</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Information on regulatory processes on chemicals</w:t>
        </w:r>
        <w:r w:rsidR="00957AB4">
          <w:rPr>
            <w:noProof/>
            <w:webHidden/>
          </w:rPr>
          <w:tab/>
        </w:r>
        <w:r w:rsidR="00957AB4">
          <w:rPr>
            <w:noProof/>
            <w:webHidden/>
          </w:rPr>
          <w:fldChar w:fldCharType="begin"/>
        </w:r>
        <w:r w:rsidR="00957AB4">
          <w:rPr>
            <w:noProof/>
            <w:webHidden/>
          </w:rPr>
          <w:instrText xml:space="preserve"> PAGEREF _Toc150499940 \h </w:instrText>
        </w:r>
        <w:r w:rsidR="00957AB4">
          <w:rPr>
            <w:noProof/>
            <w:webHidden/>
          </w:rPr>
        </w:r>
        <w:r w:rsidR="00957AB4">
          <w:rPr>
            <w:noProof/>
            <w:webHidden/>
          </w:rPr>
          <w:fldChar w:fldCharType="separate"/>
        </w:r>
        <w:r>
          <w:rPr>
            <w:noProof/>
            <w:webHidden/>
          </w:rPr>
          <w:t>155</w:t>
        </w:r>
        <w:r w:rsidR="00957AB4">
          <w:rPr>
            <w:noProof/>
            <w:webHidden/>
          </w:rPr>
          <w:fldChar w:fldCharType="end"/>
        </w:r>
      </w:hyperlink>
    </w:p>
    <w:p w14:paraId="279C51D8" w14:textId="3CCBC218"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41" w:history="1">
        <w:r w:rsidR="00957AB4" w:rsidRPr="00960AF2">
          <w:rPr>
            <w:rStyle w:val="Hyperlink"/>
            <w:smallCaps/>
            <w:noProof/>
          </w:rPr>
          <w:t>22.</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Repository of reference values</w:t>
        </w:r>
        <w:r w:rsidR="00957AB4">
          <w:rPr>
            <w:noProof/>
            <w:webHidden/>
          </w:rPr>
          <w:tab/>
        </w:r>
        <w:r w:rsidR="00957AB4">
          <w:rPr>
            <w:noProof/>
            <w:webHidden/>
          </w:rPr>
          <w:fldChar w:fldCharType="begin"/>
        </w:r>
        <w:r w:rsidR="00957AB4">
          <w:rPr>
            <w:noProof/>
            <w:webHidden/>
          </w:rPr>
          <w:instrText xml:space="preserve"> PAGEREF _Toc150499941 \h </w:instrText>
        </w:r>
        <w:r w:rsidR="00957AB4">
          <w:rPr>
            <w:noProof/>
            <w:webHidden/>
          </w:rPr>
        </w:r>
        <w:r w:rsidR="00957AB4">
          <w:rPr>
            <w:noProof/>
            <w:webHidden/>
          </w:rPr>
          <w:fldChar w:fldCharType="separate"/>
        </w:r>
        <w:r>
          <w:rPr>
            <w:noProof/>
            <w:webHidden/>
          </w:rPr>
          <w:t>163</w:t>
        </w:r>
        <w:r w:rsidR="00957AB4">
          <w:rPr>
            <w:noProof/>
            <w:webHidden/>
          </w:rPr>
          <w:fldChar w:fldCharType="end"/>
        </w:r>
      </w:hyperlink>
    </w:p>
    <w:p w14:paraId="32FC9713" w14:textId="1070BE57"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42" w:history="1">
        <w:r w:rsidR="00957AB4" w:rsidRPr="00960AF2">
          <w:rPr>
            <w:rStyle w:val="Hyperlink"/>
            <w:smallCaps/>
            <w:noProof/>
          </w:rPr>
          <w:t>23.</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Information on the obligations under Union acts on chemicals</w:t>
        </w:r>
        <w:r w:rsidR="00957AB4">
          <w:rPr>
            <w:noProof/>
            <w:webHidden/>
          </w:rPr>
          <w:tab/>
        </w:r>
        <w:r w:rsidR="00957AB4">
          <w:rPr>
            <w:noProof/>
            <w:webHidden/>
          </w:rPr>
          <w:fldChar w:fldCharType="begin"/>
        </w:r>
        <w:r w:rsidR="00957AB4">
          <w:rPr>
            <w:noProof/>
            <w:webHidden/>
          </w:rPr>
          <w:instrText xml:space="preserve"> PAGEREF _Toc150499942 \h </w:instrText>
        </w:r>
        <w:r w:rsidR="00957AB4">
          <w:rPr>
            <w:noProof/>
            <w:webHidden/>
          </w:rPr>
        </w:r>
        <w:r w:rsidR="00957AB4">
          <w:rPr>
            <w:noProof/>
            <w:webHidden/>
          </w:rPr>
          <w:fldChar w:fldCharType="separate"/>
        </w:r>
        <w:r>
          <w:rPr>
            <w:noProof/>
            <w:webHidden/>
          </w:rPr>
          <w:t>168</w:t>
        </w:r>
        <w:r w:rsidR="00957AB4">
          <w:rPr>
            <w:noProof/>
            <w:webHidden/>
          </w:rPr>
          <w:fldChar w:fldCharType="end"/>
        </w:r>
      </w:hyperlink>
    </w:p>
    <w:p w14:paraId="1F3C71F2" w14:textId="54F20332"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43" w:history="1">
        <w:r w:rsidR="00957AB4" w:rsidRPr="00960AF2">
          <w:rPr>
            <w:rStyle w:val="Hyperlink"/>
            <w:smallCaps/>
            <w:noProof/>
          </w:rPr>
          <w:t>24.</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Database on environmental sustainability related information</w:t>
        </w:r>
        <w:r w:rsidR="00957AB4">
          <w:rPr>
            <w:noProof/>
            <w:webHidden/>
          </w:rPr>
          <w:tab/>
        </w:r>
        <w:r w:rsidR="00957AB4">
          <w:rPr>
            <w:noProof/>
            <w:webHidden/>
          </w:rPr>
          <w:fldChar w:fldCharType="begin"/>
        </w:r>
        <w:r w:rsidR="00957AB4">
          <w:rPr>
            <w:noProof/>
            <w:webHidden/>
          </w:rPr>
          <w:instrText xml:space="preserve"> PAGEREF _Toc150499943 \h </w:instrText>
        </w:r>
        <w:r w:rsidR="00957AB4">
          <w:rPr>
            <w:noProof/>
            <w:webHidden/>
          </w:rPr>
        </w:r>
        <w:r w:rsidR="00957AB4">
          <w:rPr>
            <w:noProof/>
            <w:webHidden/>
          </w:rPr>
          <w:fldChar w:fldCharType="separate"/>
        </w:r>
        <w:r>
          <w:rPr>
            <w:noProof/>
            <w:webHidden/>
          </w:rPr>
          <w:t>171</w:t>
        </w:r>
        <w:r w:rsidR="00957AB4">
          <w:rPr>
            <w:noProof/>
            <w:webHidden/>
          </w:rPr>
          <w:fldChar w:fldCharType="end"/>
        </w:r>
      </w:hyperlink>
    </w:p>
    <w:p w14:paraId="6CEC13AC" w14:textId="7A6C4265"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44" w:history="1">
        <w:r w:rsidR="00957AB4" w:rsidRPr="00960AF2">
          <w:rPr>
            <w:rStyle w:val="Hyperlink"/>
            <w:smallCaps/>
            <w:noProof/>
          </w:rPr>
          <w:t>25.</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Mechanism for initiating testing and monitoring</w:t>
        </w:r>
        <w:r w:rsidR="00957AB4">
          <w:rPr>
            <w:noProof/>
            <w:webHidden/>
          </w:rPr>
          <w:tab/>
        </w:r>
        <w:r w:rsidR="00957AB4">
          <w:rPr>
            <w:noProof/>
            <w:webHidden/>
          </w:rPr>
          <w:fldChar w:fldCharType="begin"/>
        </w:r>
        <w:r w:rsidR="00957AB4">
          <w:rPr>
            <w:noProof/>
            <w:webHidden/>
          </w:rPr>
          <w:instrText xml:space="preserve"> PAGEREF _Toc150499944 \h </w:instrText>
        </w:r>
        <w:r w:rsidR="00957AB4">
          <w:rPr>
            <w:noProof/>
            <w:webHidden/>
          </w:rPr>
        </w:r>
        <w:r w:rsidR="00957AB4">
          <w:rPr>
            <w:noProof/>
            <w:webHidden/>
          </w:rPr>
          <w:fldChar w:fldCharType="separate"/>
        </w:r>
        <w:r>
          <w:rPr>
            <w:noProof/>
            <w:webHidden/>
          </w:rPr>
          <w:t>173</w:t>
        </w:r>
        <w:r w:rsidR="00957AB4">
          <w:rPr>
            <w:noProof/>
            <w:webHidden/>
          </w:rPr>
          <w:fldChar w:fldCharType="end"/>
        </w:r>
      </w:hyperlink>
    </w:p>
    <w:p w14:paraId="37BBA79E" w14:textId="0475A90E"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45" w:history="1">
        <w:r w:rsidR="00957AB4" w:rsidRPr="00960AF2">
          <w:rPr>
            <w:rStyle w:val="Hyperlink"/>
            <w:smallCaps/>
            <w:noProof/>
          </w:rPr>
          <w:t>26.</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Mechanism for notification of studies</w:t>
        </w:r>
        <w:r w:rsidR="00957AB4">
          <w:rPr>
            <w:noProof/>
            <w:webHidden/>
          </w:rPr>
          <w:tab/>
        </w:r>
        <w:r w:rsidR="00957AB4">
          <w:rPr>
            <w:noProof/>
            <w:webHidden/>
          </w:rPr>
          <w:fldChar w:fldCharType="begin"/>
        </w:r>
        <w:r w:rsidR="00957AB4">
          <w:rPr>
            <w:noProof/>
            <w:webHidden/>
          </w:rPr>
          <w:instrText xml:space="preserve"> PAGEREF _Toc150499945 \h </w:instrText>
        </w:r>
        <w:r w:rsidR="00957AB4">
          <w:rPr>
            <w:noProof/>
            <w:webHidden/>
          </w:rPr>
        </w:r>
        <w:r w:rsidR="00957AB4">
          <w:rPr>
            <w:noProof/>
            <w:webHidden/>
          </w:rPr>
          <w:fldChar w:fldCharType="separate"/>
        </w:r>
        <w:r>
          <w:rPr>
            <w:noProof/>
            <w:webHidden/>
          </w:rPr>
          <w:t>176</w:t>
        </w:r>
        <w:r w:rsidR="00957AB4">
          <w:rPr>
            <w:noProof/>
            <w:webHidden/>
          </w:rPr>
          <w:fldChar w:fldCharType="end"/>
        </w:r>
      </w:hyperlink>
    </w:p>
    <w:p w14:paraId="351A353C" w14:textId="37FA681D"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46" w:history="1">
        <w:r w:rsidR="00957AB4" w:rsidRPr="00960AF2">
          <w:rPr>
            <w:rStyle w:val="Hyperlink"/>
            <w:smallCaps/>
            <w:noProof/>
          </w:rPr>
          <w:t>27.</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EU Chemical Early Warning and Action System and Indicator Framework for Chemicals</w:t>
        </w:r>
        <w:r w:rsidR="00957AB4">
          <w:rPr>
            <w:noProof/>
            <w:webHidden/>
          </w:rPr>
          <w:tab/>
        </w:r>
        <w:r w:rsidR="00957AB4">
          <w:rPr>
            <w:noProof/>
            <w:webHidden/>
          </w:rPr>
          <w:fldChar w:fldCharType="begin"/>
        </w:r>
        <w:r w:rsidR="00957AB4">
          <w:rPr>
            <w:noProof/>
            <w:webHidden/>
          </w:rPr>
          <w:instrText xml:space="preserve"> PAGEREF _Toc150499946 \h </w:instrText>
        </w:r>
        <w:r w:rsidR="00957AB4">
          <w:rPr>
            <w:noProof/>
            <w:webHidden/>
          </w:rPr>
        </w:r>
        <w:r w:rsidR="00957AB4">
          <w:rPr>
            <w:noProof/>
            <w:webHidden/>
          </w:rPr>
          <w:fldChar w:fldCharType="separate"/>
        </w:r>
        <w:r>
          <w:rPr>
            <w:noProof/>
            <w:webHidden/>
          </w:rPr>
          <w:t>179</w:t>
        </w:r>
        <w:r w:rsidR="00957AB4">
          <w:rPr>
            <w:noProof/>
            <w:webHidden/>
          </w:rPr>
          <w:fldChar w:fldCharType="end"/>
        </w:r>
      </w:hyperlink>
    </w:p>
    <w:p w14:paraId="49791AA9" w14:textId="62F3F14C"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47" w:history="1">
        <w:r w:rsidR="00957AB4" w:rsidRPr="00960AF2">
          <w:rPr>
            <w:rStyle w:val="Hyperlink"/>
            <w:smallCaps/>
            <w:noProof/>
          </w:rPr>
          <w:t>28.</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Observatory for specific chemicals with potential contribution to emerging chemical risks</w:t>
        </w:r>
        <w:r w:rsidR="00957AB4">
          <w:rPr>
            <w:noProof/>
            <w:webHidden/>
          </w:rPr>
          <w:tab/>
        </w:r>
        <w:r w:rsidR="00957AB4">
          <w:rPr>
            <w:noProof/>
            <w:webHidden/>
          </w:rPr>
          <w:fldChar w:fldCharType="begin"/>
        </w:r>
        <w:r w:rsidR="00957AB4">
          <w:rPr>
            <w:noProof/>
            <w:webHidden/>
          </w:rPr>
          <w:instrText xml:space="preserve"> PAGEREF _Toc150499947 \h </w:instrText>
        </w:r>
        <w:r w:rsidR="00957AB4">
          <w:rPr>
            <w:noProof/>
            <w:webHidden/>
          </w:rPr>
        </w:r>
        <w:r w:rsidR="00957AB4">
          <w:rPr>
            <w:noProof/>
            <w:webHidden/>
          </w:rPr>
          <w:fldChar w:fldCharType="separate"/>
        </w:r>
        <w:r>
          <w:rPr>
            <w:noProof/>
            <w:webHidden/>
          </w:rPr>
          <w:t>184</w:t>
        </w:r>
        <w:r w:rsidR="00957AB4">
          <w:rPr>
            <w:noProof/>
            <w:webHidden/>
          </w:rPr>
          <w:fldChar w:fldCharType="end"/>
        </w:r>
      </w:hyperlink>
    </w:p>
    <w:p w14:paraId="46009365" w14:textId="38AD6B97"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48" w:history="1">
        <w:r w:rsidR="00957AB4" w:rsidRPr="00960AF2">
          <w:rPr>
            <w:rStyle w:val="Hyperlink"/>
            <w:smallCaps/>
            <w:noProof/>
          </w:rPr>
          <w:t>29.</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Cooperation of ECHA with other EU agencies</w:t>
        </w:r>
        <w:r w:rsidR="00957AB4">
          <w:rPr>
            <w:noProof/>
            <w:webHidden/>
          </w:rPr>
          <w:tab/>
        </w:r>
        <w:r w:rsidR="00957AB4">
          <w:rPr>
            <w:noProof/>
            <w:webHidden/>
          </w:rPr>
          <w:fldChar w:fldCharType="begin"/>
        </w:r>
        <w:r w:rsidR="00957AB4">
          <w:rPr>
            <w:noProof/>
            <w:webHidden/>
          </w:rPr>
          <w:instrText xml:space="preserve"> PAGEREF _Toc150499948 \h </w:instrText>
        </w:r>
        <w:r w:rsidR="00957AB4">
          <w:rPr>
            <w:noProof/>
            <w:webHidden/>
          </w:rPr>
        </w:r>
        <w:r w:rsidR="00957AB4">
          <w:rPr>
            <w:noProof/>
            <w:webHidden/>
          </w:rPr>
          <w:fldChar w:fldCharType="separate"/>
        </w:r>
        <w:r>
          <w:rPr>
            <w:noProof/>
            <w:webHidden/>
          </w:rPr>
          <w:t>187</w:t>
        </w:r>
        <w:r w:rsidR="00957AB4">
          <w:rPr>
            <w:noProof/>
            <w:webHidden/>
          </w:rPr>
          <w:fldChar w:fldCharType="end"/>
        </w:r>
      </w:hyperlink>
    </w:p>
    <w:p w14:paraId="1F2366E8" w14:textId="22731EF4"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49" w:history="1">
        <w:r w:rsidR="00957AB4" w:rsidRPr="00960AF2">
          <w:rPr>
            <w:rStyle w:val="Hyperlink"/>
            <w:smallCaps/>
            <w:noProof/>
            <w:lang w:val="fr-BE"/>
          </w:rPr>
          <w:t>30.</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lang w:val="fr-BE"/>
          </w:rPr>
          <w:t>Scientific opinions on occupational exposure limits</w:t>
        </w:r>
        <w:r w:rsidR="00957AB4">
          <w:rPr>
            <w:noProof/>
            <w:webHidden/>
          </w:rPr>
          <w:tab/>
        </w:r>
        <w:r w:rsidR="00957AB4">
          <w:rPr>
            <w:noProof/>
            <w:webHidden/>
          </w:rPr>
          <w:fldChar w:fldCharType="begin"/>
        </w:r>
        <w:r w:rsidR="00957AB4">
          <w:rPr>
            <w:noProof/>
            <w:webHidden/>
          </w:rPr>
          <w:instrText xml:space="preserve"> PAGEREF _Toc150499949 \h </w:instrText>
        </w:r>
        <w:r w:rsidR="00957AB4">
          <w:rPr>
            <w:noProof/>
            <w:webHidden/>
          </w:rPr>
        </w:r>
        <w:r w:rsidR="00957AB4">
          <w:rPr>
            <w:noProof/>
            <w:webHidden/>
          </w:rPr>
          <w:fldChar w:fldCharType="separate"/>
        </w:r>
        <w:r>
          <w:rPr>
            <w:noProof/>
            <w:webHidden/>
          </w:rPr>
          <w:t>190</w:t>
        </w:r>
        <w:r w:rsidR="00957AB4">
          <w:rPr>
            <w:noProof/>
            <w:webHidden/>
          </w:rPr>
          <w:fldChar w:fldCharType="end"/>
        </w:r>
      </w:hyperlink>
    </w:p>
    <w:p w14:paraId="2C2F8443" w14:textId="66B321E8"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50" w:history="1">
        <w:r w:rsidR="00957AB4" w:rsidRPr="00960AF2">
          <w:rPr>
            <w:rStyle w:val="Hyperlink"/>
            <w:smallCaps/>
            <w:noProof/>
          </w:rPr>
          <w:t>31.</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REACH regulation (1907/2006)</w:t>
        </w:r>
        <w:r w:rsidR="00957AB4">
          <w:rPr>
            <w:noProof/>
            <w:webHidden/>
          </w:rPr>
          <w:tab/>
        </w:r>
        <w:r w:rsidR="00957AB4">
          <w:rPr>
            <w:noProof/>
            <w:webHidden/>
          </w:rPr>
          <w:fldChar w:fldCharType="begin"/>
        </w:r>
        <w:r w:rsidR="00957AB4">
          <w:rPr>
            <w:noProof/>
            <w:webHidden/>
          </w:rPr>
          <w:instrText xml:space="preserve"> PAGEREF _Toc150499950 \h </w:instrText>
        </w:r>
        <w:r w:rsidR="00957AB4">
          <w:rPr>
            <w:noProof/>
            <w:webHidden/>
          </w:rPr>
        </w:r>
        <w:r w:rsidR="00957AB4">
          <w:rPr>
            <w:noProof/>
            <w:webHidden/>
          </w:rPr>
          <w:fldChar w:fldCharType="separate"/>
        </w:r>
        <w:r>
          <w:rPr>
            <w:noProof/>
            <w:webHidden/>
          </w:rPr>
          <w:t>192</w:t>
        </w:r>
        <w:r w:rsidR="00957AB4">
          <w:rPr>
            <w:noProof/>
            <w:webHidden/>
          </w:rPr>
          <w:fldChar w:fldCharType="end"/>
        </w:r>
      </w:hyperlink>
    </w:p>
    <w:p w14:paraId="35F1B7BC" w14:textId="4E298BAF"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51" w:history="1">
        <w:r w:rsidR="00957AB4" w:rsidRPr="00960AF2">
          <w:rPr>
            <w:rStyle w:val="Hyperlink"/>
            <w:smallCaps/>
            <w:noProof/>
          </w:rPr>
          <w:t>32.</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Cosmetic Products Regulation</w:t>
        </w:r>
        <w:r w:rsidR="00957AB4">
          <w:rPr>
            <w:noProof/>
            <w:webHidden/>
          </w:rPr>
          <w:tab/>
        </w:r>
        <w:r w:rsidR="00957AB4">
          <w:rPr>
            <w:noProof/>
            <w:webHidden/>
          </w:rPr>
          <w:fldChar w:fldCharType="begin"/>
        </w:r>
        <w:r w:rsidR="00957AB4">
          <w:rPr>
            <w:noProof/>
            <w:webHidden/>
          </w:rPr>
          <w:instrText xml:space="preserve"> PAGEREF _Toc150499951 \h </w:instrText>
        </w:r>
        <w:r w:rsidR="00957AB4">
          <w:rPr>
            <w:noProof/>
            <w:webHidden/>
          </w:rPr>
        </w:r>
        <w:r w:rsidR="00957AB4">
          <w:rPr>
            <w:noProof/>
            <w:webHidden/>
          </w:rPr>
          <w:fldChar w:fldCharType="separate"/>
        </w:r>
        <w:r>
          <w:rPr>
            <w:noProof/>
            <w:webHidden/>
          </w:rPr>
          <w:t>196</w:t>
        </w:r>
        <w:r w:rsidR="00957AB4">
          <w:rPr>
            <w:noProof/>
            <w:webHidden/>
          </w:rPr>
          <w:fldChar w:fldCharType="end"/>
        </w:r>
      </w:hyperlink>
    </w:p>
    <w:p w14:paraId="15228662" w14:textId="35B633BE"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52" w:history="1">
        <w:r w:rsidR="00957AB4" w:rsidRPr="00960AF2">
          <w:rPr>
            <w:rStyle w:val="Hyperlink"/>
            <w:smallCaps/>
            <w:noProof/>
          </w:rPr>
          <w:t>33.</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Scientific Committees and their secretariat (SCCS/SCHEER)</w:t>
        </w:r>
        <w:r w:rsidR="00957AB4">
          <w:rPr>
            <w:noProof/>
            <w:webHidden/>
          </w:rPr>
          <w:tab/>
        </w:r>
        <w:r w:rsidR="00957AB4">
          <w:rPr>
            <w:noProof/>
            <w:webHidden/>
          </w:rPr>
          <w:fldChar w:fldCharType="begin"/>
        </w:r>
        <w:r w:rsidR="00957AB4">
          <w:rPr>
            <w:noProof/>
            <w:webHidden/>
          </w:rPr>
          <w:instrText xml:space="preserve"> PAGEREF _Toc150499952 \h </w:instrText>
        </w:r>
        <w:r w:rsidR="00957AB4">
          <w:rPr>
            <w:noProof/>
            <w:webHidden/>
          </w:rPr>
        </w:r>
        <w:r w:rsidR="00957AB4">
          <w:rPr>
            <w:noProof/>
            <w:webHidden/>
          </w:rPr>
          <w:fldChar w:fldCharType="separate"/>
        </w:r>
        <w:r>
          <w:rPr>
            <w:noProof/>
            <w:webHidden/>
          </w:rPr>
          <w:t>204</w:t>
        </w:r>
        <w:r w:rsidR="00957AB4">
          <w:rPr>
            <w:noProof/>
            <w:webHidden/>
          </w:rPr>
          <w:fldChar w:fldCharType="end"/>
        </w:r>
      </w:hyperlink>
    </w:p>
    <w:p w14:paraId="688A2455" w14:textId="59FB75E0"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53" w:history="1">
        <w:r w:rsidR="00957AB4" w:rsidRPr="00960AF2">
          <w:rPr>
            <w:rStyle w:val="Hyperlink"/>
            <w:smallCaps/>
            <w:noProof/>
          </w:rPr>
          <w:t>34.</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Ecodesign for Sustainable Products Regulation</w:t>
        </w:r>
        <w:r w:rsidR="00957AB4">
          <w:rPr>
            <w:noProof/>
            <w:webHidden/>
          </w:rPr>
          <w:tab/>
        </w:r>
        <w:r w:rsidR="00957AB4">
          <w:rPr>
            <w:noProof/>
            <w:webHidden/>
          </w:rPr>
          <w:fldChar w:fldCharType="begin"/>
        </w:r>
        <w:r w:rsidR="00957AB4">
          <w:rPr>
            <w:noProof/>
            <w:webHidden/>
          </w:rPr>
          <w:instrText xml:space="preserve"> PAGEREF _Toc150499953 \h </w:instrText>
        </w:r>
        <w:r w:rsidR="00957AB4">
          <w:rPr>
            <w:noProof/>
            <w:webHidden/>
          </w:rPr>
        </w:r>
        <w:r w:rsidR="00957AB4">
          <w:rPr>
            <w:noProof/>
            <w:webHidden/>
          </w:rPr>
          <w:fldChar w:fldCharType="separate"/>
        </w:r>
        <w:r>
          <w:rPr>
            <w:noProof/>
            <w:webHidden/>
          </w:rPr>
          <w:t>212</w:t>
        </w:r>
        <w:r w:rsidR="00957AB4">
          <w:rPr>
            <w:noProof/>
            <w:webHidden/>
          </w:rPr>
          <w:fldChar w:fldCharType="end"/>
        </w:r>
      </w:hyperlink>
    </w:p>
    <w:p w14:paraId="16A0BCB4" w14:textId="5FCF8973"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54" w:history="1">
        <w:r w:rsidR="00957AB4" w:rsidRPr="00960AF2">
          <w:rPr>
            <w:rStyle w:val="Hyperlink"/>
            <w:smallCaps/>
            <w:noProof/>
          </w:rPr>
          <w:t>35.</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Tobacco products directive</w:t>
        </w:r>
        <w:r w:rsidR="00957AB4">
          <w:rPr>
            <w:noProof/>
            <w:webHidden/>
          </w:rPr>
          <w:tab/>
        </w:r>
        <w:r w:rsidR="00957AB4">
          <w:rPr>
            <w:noProof/>
            <w:webHidden/>
          </w:rPr>
          <w:fldChar w:fldCharType="begin"/>
        </w:r>
        <w:r w:rsidR="00957AB4">
          <w:rPr>
            <w:noProof/>
            <w:webHidden/>
          </w:rPr>
          <w:instrText xml:space="preserve"> PAGEREF _Toc150499954 \h </w:instrText>
        </w:r>
        <w:r w:rsidR="00957AB4">
          <w:rPr>
            <w:noProof/>
            <w:webHidden/>
          </w:rPr>
        </w:r>
        <w:r w:rsidR="00957AB4">
          <w:rPr>
            <w:noProof/>
            <w:webHidden/>
          </w:rPr>
          <w:fldChar w:fldCharType="separate"/>
        </w:r>
        <w:r>
          <w:rPr>
            <w:noProof/>
            <w:webHidden/>
          </w:rPr>
          <w:t>213</w:t>
        </w:r>
        <w:r w:rsidR="00957AB4">
          <w:rPr>
            <w:noProof/>
            <w:webHidden/>
          </w:rPr>
          <w:fldChar w:fldCharType="end"/>
        </w:r>
      </w:hyperlink>
    </w:p>
    <w:p w14:paraId="2F74077B" w14:textId="399E0D0E" w:rsidR="00957AB4" w:rsidRDefault="00187DBF" w:rsidP="00530B22">
      <w:pPr>
        <w:pStyle w:val="TOC1"/>
        <w:tabs>
          <w:tab w:val="clear" w:pos="8640"/>
          <w:tab w:val="right" w:leader="dot" w:pos="9356"/>
        </w:tabs>
        <w:ind w:right="283"/>
        <w:rPr>
          <w:rFonts w:asciiTheme="minorHAnsi" w:eastAsiaTheme="minorEastAsia" w:hAnsiTheme="minorHAnsi" w:cstheme="minorBidi"/>
          <w:caps w:val="0"/>
          <w:noProof/>
          <w:spacing w:val="0"/>
          <w:sz w:val="22"/>
          <w:szCs w:val="22"/>
          <w:lang w:val="en-IE" w:eastAsia="en-IE"/>
        </w:rPr>
      </w:pPr>
      <w:hyperlink w:anchor="_Toc150499955" w:history="1">
        <w:r w:rsidR="00957AB4" w:rsidRPr="00960AF2">
          <w:rPr>
            <w:rStyle w:val="Hyperlink"/>
            <w:smallCaps/>
            <w:noProof/>
          </w:rPr>
          <w:t>36.</w:t>
        </w:r>
        <w:r w:rsidR="00957AB4">
          <w:rPr>
            <w:rFonts w:asciiTheme="minorHAnsi" w:eastAsiaTheme="minorEastAsia" w:hAnsiTheme="minorHAnsi" w:cstheme="minorBidi"/>
            <w:caps w:val="0"/>
            <w:noProof/>
            <w:spacing w:val="0"/>
            <w:sz w:val="22"/>
            <w:szCs w:val="22"/>
            <w:lang w:val="en-IE" w:eastAsia="en-IE"/>
          </w:rPr>
          <w:tab/>
        </w:r>
        <w:r w:rsidR="00957AB4" w:rsidRPr="00960AF2">
          <w:rPr>
            <w:rStyle w:val="Hyperlink"/>
            <w:smallCaps/>
            <w:noProof/>
          </w:rPr>
          <w:t>Regulation on fluorinated greenhouse gases and Regulation on ozone depleting substances</w:t>
        </w:r>
        <w:r w:rsidR="00957AB4">
          <w:rPr>
            <w:noProof/>
            <w:webHidden/>
          </w:rPr>
          <w:tab/>
        </w:r>
        <w:r w:rsidR="00957AB4">
          <w:rPr>
            <w:noProof/>
            <w:webHidden/>
          </w:rPr>
          <w:fldChar w:fldCharType="begin"/>
        </w:r>
        <w:r w:rsidR="00957AB4">
          <w:rPr>
            <w:noProof/>
            <w:webHidden/>
          </w:rPr>
          <w:instrText xml:space="preserve"> PAGEREF _Toc150499955 \h </w:instrText>
        </w:r>
        <w:r w:rsidR="00957AB4">
          <w:rPr>
            <w:noProof/>
            <w:webHidden/>
          </w:rPr>
        </w:r>
        <w:r w:rsidR="00957AB4">
          <w:rPr>
            <w:noProof/>
            <w:webHidden/>
          </w:rPr>
          <w:fldChar w:fldCharType="separate"/>
        </w:r>
        <w:r>
          <w:rPr>
            <w:noProof/>
            <w:webHidden/>
          </w:rPr>
          <w:t>214</w:t>
        </w:r>
        <w:r w:rsidR="00957AB4">
          <w:rPr>
            <w:noProof/>
            <w:webHidden/>
          </w:rPr>
          <w:fldChar w:fldCharType="end"/>
        </w:r>
      </w:hyperlink>
    </w:p>
    <w:p w14:paraId="61BF6103" w14:textId="114FB51B" w:rsidR="000A7D9D" w:rsidRPr="00F92EAE" w:rsidRDefault="000A7D9D" w:rsidP="000A7D9D">
      <w:pPr>
        <w:tabs>
          <w:tab w:val="right" w:leader="dot" w:pos="9356"/>
        </w:tabs>
        <w:ind w:right="283"/>
        <w:rPr>
          <w:noProof/>
        </w:rPr>
      </w:pPr>
      <w:r>
        <w:rPr>
          <w:noProof/>
        </w:rPr>
        <w:fldChar w:fldCharType="end"/>
      </w:r>
    </w:p>
    <w:p w14:paraId="05F997B8" w14:textId="77777777" w:rsidR="000A7D9D" w:rsidRDefault="000A7D9D" w:rsidP="000A7D9D">
      <w:pPr>
        <w:pStyle w:val="TOC1"/>
        <w:rPr>
          <w:rStyle w:val="Hyperlink"/>
          <w:noProof/>
          <w:lang w:val="en-US" w:eastAsia="ja-JP"/>
        </w:rPr>
      </w:pPr>
    </w:p>
    <w:p w14:paraId="533E2956" w14:textId="77777777" w:rsidR="000A7D9D" w:rsidRDefault="000A7D9D" w:rsidP="000A7D9D">
      <w:pPr>
        <w:pStyle w:val="Heading1"/>
        <w:keepLines w:val="0"/>
        <w:widowControl/>
        <w:snapToGrid/>
        <w:spacing w:before="240"/>
        <w:jc w:val="both"/>
        <w:rPr>
          <w:rFonts w:ascii="Times New Roman" w:hAnsi="Times New Roman"/>
          <w:smallCaps/>
          <w:noProof/>
          <w:color w:val="auto"/>
          <w:sz w:val="24"/>
          <w:szCs w:val="20"/>
          <w:lang w:eastAsia="en-US"/>
        </w:rPr>
      </w:pPr>
    </w:p>
    <w:p w14:paraId="12C4AAA0" w14:textId="77777777" w:rsidR="000A7D9D" w:rsidRPr="00291F95" w:rsidRDefault="000A7D9D" w:rsidP="000A7D9D">
      <w:pPr>
        <w:pStyle w:val="BodyText"/>
        <w:rPr>
          <w:noProof/>
        </w:rPr>
      </w:pPr>
    </w:p>
    <w:p w14:paraId="1DD2828F" w14:textId="77777777" w:rsidR="000A7D9D" w:rsidRPr="00CB3F79" w:rsidRDefault="000A7D9D" w:rsidP="000A7D9D">
      <w:pPr>
        <w:pStyle w:val="Heading1"/>
        <w:keepLines w:val="0"/>
        <w:widowControl/>
        <w:numPr>
          <w:ilvl w:val="0"/>
          <w:numId w:val="7"/>
        </w:numPr>
        <w:tabs>
          <w:tab w:val="num" w:pos="480"/>
        </w:tabs>
        <w:snapToGrid/>
        <w:spacing w:before="240"/>
        <w:ind w:left="480" w:hanging="480"/>
        <w:jc w:val="both"/>
        <w:rPr>
          <w:rFonts w:ascii="Times New Roman" w:hAnsi="Times New Roman"/>
          <w:smallCaps/>
          <w:noProof/>
          <w:color w:val="auto"/>
          <w:sz w:val="24"/>
          <w:szCs w:val="20"/>
          <w:lang w:eastAsia="en-US"/>
        </w:rPr>
      </w:pPr>
      <w:bookmarkStart w:id="1" w:name="_Toc150499887"/>
      <w:r>
        <w:rPr>
          <w:rFonts w:ascii="Times New Roman" w:hAnsi="Times New Roman"/>
          <w:smallCaps/>
          <w:noProof/>
          <w:color w:val="auto"/>
          <w:sz w:val="24"/>
          <w:szCs w:val="20"/>
          <w:lang w:eastAsia="en-US"/>
        </w:rPr>
        <w:t>Introduction:</w:t>
      </w:r>
      <w:r w:rsidRPr="00CB3F79">
        <w:rPr>
          <w:rFonts w:ascii="Times New Roman" w:hAnsi="Times New Roman"/>
          <w:smallCaps/>
          <w:noProof/>
          <w:color w:val="auto"/>
          <w:sz w:val="24"/>
          <w:szCs w:val="20"/>
          <w:lang w:eastAsia="en-US"/>
        </w:rPr>
        <w:t xml:space="preserve"> </w:t>
      </w:r>
      <w:r>
        <w:rPr>
          <w:rFonts w:ascii="Times New Roman" w:hAnsi="Times New Roman"/>
          <w:smallCaps/>
          <w:noProof/>
          <w:color w:val="auto"/>
          <w:sz w:val="24"/>
          <w:szCs w:val="20"/>
          <w:lang w:eastAsia="en-US"/>
        </w:rPr>
        <w:t>political and legal context</w:t>
      </w:r>
      <w:bookmarkEnd w:id="1"/>
    </w:p>
    <w:p w14:paraId="2FE777E6" w14:textId="77777777" w:rsidR="000A7D9D" w:rsidRPr="00CB3F79" w:rsidRDefault="000A7D9D" w:rsidP="000A7D9D">
      <w:pPr>
        <w:pStyle w:val="Heading2"/>
        <w:keepLines w:val="0"/>
        <w:numPr>
          <w:ilvl w:val="1"/>
          <w:numId w:val="7"/>
        </w:numPr>
        <w:tabs>
          <w:tab w:val="num" w:pos="1200"/>
        </w:tabs>
        <w:spacing w:before="0" w:after="240"/>
        <w:ind w:left="1200" w:hanging="720"/>
        <w:jc w:val="both"/>
        <w:rPr>
          <w:rFonts w:ascii="Times New Roman" w:eastAsia="Times New Roman" w:hAnsi="Times New Roman" w:cs="Times New Roman"/>
          <w:b/>
          <w:noProof/>
          <w:color w:val="auto"/>
          <w:sz w:val="24"/>
          <w:szCs w:val="20"/>
        </w:rPr>
      </w:pPr>
      <w:bookmarkStart w:id="2" w:name="_Toc150499888"/>
      <w:r w:rsidRPr="00CB3F79">
        <w:rPr>
          <w:rFonts w:ascii="Times New Roman" w:eastAsia="Times New Roman" w:hAnsi="Times New Roman" w:cs="Times New Roman"/>
          <w:b/>
          <w:noProof/>
          <w:color w:val="auto"/>
          <w:sz w:val="24"/>
          <w:szCs w:val="20"/>
        </w:rPr>
        <w:t>Political context</w:t>
      </w:r>
      <w:bookmarkEnd w:id="2"/>
      <w:r w:rsidRPr="00CB3F79">
        <w:rPr>
          <w:rFonts w:ascii="Times New Roman" w:eastAsia="Times New Roman" w:hAnsi="Times New Roman" w:cs="Times New Roman"/>
          <w:b/>
          <w:noProof/>
          <w:color w:val="auto"/>
          <w:sz w:val="24"/>
          <w:szCs w:val="20"/>
        </w:rPr>
        <w:t xml:space="preserve"> </w:t>
      </w:r>
    </w:p>
    <w:p w14:paraId="5DEF8520" w14:textId="77777777" w:rsidR="000A7D9D" w:rsidRPr="00EC1412" w:rsidRDefault="000A7D9D" w:rsidP="000A7D9D">
      <w:pPr>
        <w:spacing w:before="120" w:after="120"/>
        <w:jc w:val="both"/>
        <w:rPr>
          <w:rFonts w:ascii="Times New Roman" w:hAnsi="Times New Roman" w:cs="Times New Roman"/>
          <w:noProof/>
        </w:rPr>
      </w:pPr>
      <w:r w:rsidRPr="00EC1412">
        <w:rPr>
          <w:rFonts w:ascii="Times New Roman" w:hAnsi="Times New Roman" w:cs="Times New Roman"/>
          <w:noProof/>
        </w:rPr>
        <w:t>Chemicals are everywhere in our daily lives and play a fundamental role in most of our activities, as they form part of virtually every device we use to ensure our well-being (be it for food, electronics, toys, clothes or industrial machines), protect our health and security, and meet new challenges through innovation. The EU is the second largest producer of chemicals in the world with EUR 541 billion turnover in 2018 (7.0% of EU manufacturing by turnover) and 14.4% of global sales in 2020</w:t>
      </w:r>
      <w:sdt>
        <w:sdtPr>
          <w:rPr>
            <w:rFonts w:ascii="Times New Roman" w:hAnsi="Times New Roman" w:cs="Times New Roman"/>
            <w:noProof/>
          </w:rPr>
          <w:id w:val="-130015546"/>
          <w:citation/>
        </w:sdtPr>
        <w:sdtEndPr/>
        <w:sdtContent>
          <w:r w:rsidRPr="00EC1412">
            <w:rPr>
              <w:rFonts w:ascii="Times New Roman" w:hAnsi="Times New Roman" w:cs="Times New Roman"/>
              <w:noProof/>
            </w:rPr>
            <w:fldChar w:fldCharType="begin"/>
          </w:r>
          <w:r w:rsidRPr="00EC1412">
            <w:rPr>
              <w:rFonts w:ascii="Times New Roman" w:hAnsi="Times New Roman" w:cs="Times New Roman"/>
              <w:noProof/>
              <w:lang w:val="en-IE"/>
            </w:rPr>
            <w:instrText xml:space="preserve"> CITATION CEFIC \l 6153 </w:instrText>
          </w:r>
          <w:r w:rsidRPr="00EC1412">
            <w:rPr>
              <w:rFonts w:ascii="Times New Roman" w:hAnsi="Times New Roman" w:cs="Times New Roman"/>
              <w:noProof/>
            </w:rPr>
            <w:fldChar w:fldCharType="separate"/>
          </w:r>
          <w:r w:rsidRPr="00EC1412">
            <w:rPr>
              <w:rFonts w:ascii="Times New Roman" w:hAnsi="Times New Roman" w:cs="Times New Roman"/>
              <w:noProof/>
              <w:lang w:val="en-IE"/>
            </w:rPr>
            <w:t xml:space="preserve"> (CEFIC, 2022)</w:t>
          </w:r>
          <w:r w:rsidRPr="00EC1412">
            <w:rPr>
              <w:rFonts w:ascii="Times New Roman" w:hAnsi="Times New Roman" w:cs="Times New Roman"/>
              <w:noProof/>
            </w:rPr>
            <w:fldChar w:fldCharType="end"/>
          </w:r>
        </w:sdtContent>
      </w:sdt>
      <w:r w:rsidRPr="00EC1412">
        <w:rPr>
          <w:rStyle w:val="FootnoteReference"/>
          <w:rFonts w:ascii="Times New Roman" w:hAnsi="Times New Roman" w:cs="Times New Roman"/>
          <w:noProof/>
        </w:rPr>
        <w:footnoteReference w:id="1"/>
      </w:r>
      <w:r w:rsidRPr="00EC1412">
        <w:rPr>
          <w:rFonts w:ascii="Times New Roman" w:hAnsi="Times New Roman" w:cs="Times New Roman"/>
          <w:noProof/>
        </w:rPr>
        <w:t xml:space="preserve"> and chemical manufacturing is the fourth largest industry in the EU comprising 30 000 companies, 95% of which are SMEs, directly employing approximately 1.2 million people and 3.6 million indirectly.  </w:t>
      </w:r>
    </w:p>
    <w:p w14:paraId="48D2FCE8" w14:textId="77777777" w:rsidR="000A7D9D" w:rsidRPr="00EC1412" w:rsidRDefault="000A7D9D" w:rsidP="000A7D9D">
      <w:pPr>
        <w:spacing w:before="120" w:after="120"/>
        <w:jc w:val="both"/>
        <w:rPr>
          <w:rFonts w:ascii="Times New Roman" w:hAnsi="Times New Roman" w:cs="Times New Roman"/>
          <w:noProof/>
        </w:rPr>
      </w:pPr>
      <w:r w:rsidRPr="00EC1412">
        <w:rPr>
          <w:rFonts w:ascii="Times New Roman" w:hAnsi="Times New Roman" w:cs="Times New Roman"/>
          <w:noProof/>
        </w:rPr>
        <w:t>At the same time, chemicals can cause harm to human health and the environment. Certain chemicals cause cancers, affect the immune, respiratory, endocrine, reproductive and cardiovascular systems and increase vulnerability to diseases. Exposure to these harmful chemicals is therefore a threat to human health. In addition, the pollution of environment with chemicals is one of the key drivers putting the Earth at risk</w:t>
      </w:r>
      <w:r w:rsidRPr="00EC1412">
        <w:rPr>
          <w:rStyle w:val="FootnoteReference"/>
          <w:rFonts w:ascii="Times New Roman" w:hAnsi="Times New Roman" w:cs="Times New Roman"/>
          <w:noProof/>
        </w:rPr>
        <w:footnoteReference w:id="2"/>
      </w:r>
      <w:r w:rsidRPr="00EC1412">
        <w:rPr>
          <w:rFonts w:ascii="Times New Roman" w:hAnsi="Times New Roman" w:cs="Times New Roman"/>
          <w:noProof/>
        </w:rPr>
        <w:t xml:space="preserve">, impacting and amplifying planetary crises such as climate change, degradation of ecosystems and loss of biodiversity, examples being negative effects on pollinators, insects, aquatic ecosystems and bird population. </w:t>
      </w:r>
    </w:p>
    <w:p w14:paraId="613D39C7" w14:textId="77777777" w:rsidR="000A7D9D" w:rsidRDefault="000A7D9D" w:rsidP="000A7D9D">
      <w:pPr>
        <w:spacing w:before="120" w:after="120"/>
        <w:jc w:val="both"/>
        <w:rPr>
          <w:rFonts w:ascii="Times New Roman" w:hAnsi="Times New Roman" w:cs="Times New Roman"/>
          <w:noProof/>
        </w:rPr>
      </w:pPr>
      <w:r w:rsidRPr="6017A922">
        <w:rPr>
          <w:rFonts w:ascii="Times New Roman" w:hAnsi="Times New Roman" w:cs="Times New Roman"/>
          <w:noProof/>
        </w:rPr>
        <w:t xml:space="preserve">In order to ensure a high level of protection of human health and the environment from the adverse effects of chemicals and to support the efficient functioning of the internal market for chemicals while promoting the competitiveness and innovation of EU industry, the European Union has developed a comprehensive regulatory framework for chemicals. </w:t>
      </w:r>
    </w:p>
    <w:p w14:paraId="04DE7DE9" w14:textId="77777777" w:rsidR="000A7D9D" w:rsidRPr="00A0069A" w:rsidRDefault="000A7D9D" w:rsidP="000A7D9D">
      <w:pPr>
        <w:spacing w:before="120" w:after="120"/>
        <w:jc w:val="both"/>
        <w:rPr>
          <w:rFonts w:ascii="Times New Roman" w:hAnsi="Times New Roman" w:cs="Times New Roman"/>
          <w:noProof/>
        </w:rPr>
      </w:pPr>
      <w:r w:rsidRPr="6017A922">
        <w:rPr>
          <w:rFonts w:ascii="Times New Roman" w:hAnsi="Times New Roman" w:cs="Times New Roman"/>
          <w:noProof/>
        </w:rPr>
        <w:t xml:space="preserve">The framework </w:t>
      </w:r>
      <w:r>
        <w:rPr>
          <w:rFonts w:ascii="Times New Roman" w:hAnsi="Times New Roman" w:cs="Times New Roman"/>
          <w:noProof/>
        </w:rPr>
        <w:t>has</w:t>
      </w:r>
      <w:r w:rsidRPr="6017A922">
        <w:rPr>
          <w:rFonts w:ascii="Times New Roman" w:hAnsi="Times New Roman" w:cs="Times New Roman"/>
          <w:noProof/>
        </w:rPr>
        <w:t xml:space="preserve"> been developed progressively, with the first legislation coming in place as early as in 1967. The framework consists currently of over 40 pieces of legislation, addressing</w:t>
      </w:r>
      <w:r>
        <w:rPr>
          <w:rFonts w:ascii="Times New Roman" w:hAnsi="Times New Roman" w:cs="Times New Roman"/>
          <w:noProof/>
        </w:rPr>
        <w:t xml:space="preserve">: the </w:t>
      </w:r>
      <w:r w:rsidRPr="00DF46A3">
        <w:rPr>
          <w:rFonts w:ascii="Times New Roman" w:hAnsi="Times New Roman" w:cs="Times New Roman"/>
          <w:b/>
          <w:noProof/>
        </w:rPr>
        <w:t>production and placing on the market of chemicals and chemical products, such as</w:t>
      </w:r>
      <w:r>
        <w:rPr>
          <w:rFonts w:ascii="Times New Roman" w:hAnsi="Times New Roman" w:cs="Times New Roman"/>
          <w:b/>
          <w:noProof/>
        </w:rPr>
        <w:t xml:space="preserve"> </w:t>
      </w:r>
      <w:r w:rsidRPr="00A0069A">
        <w:rPr>
          <w:rFonts w:ascii="Times New Roman" w:hAnsi="Times New Roman" w:cs="Times New Roman"/>
          <w:noProof/>
        </w:rPr>
        <w:t xml:space="preserve">(e.g. </w:t>
      </w:r>
      <w:r>
        <w:rPr>
          <w:rFonts w:ascii="Times New Roman" w:hAnsi="Times New Roman" w:cs="Times New Roman"/>
          <w:noProof/>
        </w:rPr>
        <w:t>industrial chemicals, b</w:t>
      </w:r>
      <w:r w:rsidRPr="00A0069A">
        <w:rPr>
          <w:rFonts w:ascii="Times New Roman" w:hAnsi="Times New Roman" w:cs="Times New Roman"/>
          <w:noProof/>
        </w:rPr>
        <w:t xml:space="preserve">iocidal </w:t>
      </w:r>
      <w:r>
        <w:rPr>
          <w:rFonts w:ascii="Times New Roman" w:hAnsi="Times New Roman" w:cs="Times New Roman"/>
          <w:noProof/>
        </w:rPr>
        <w:t>p</w:t>
      </w:r>
      <w:r w:rsidRPr="00A0069A">
        <w:rPr>
          <w:rFonts w:ascii="Times New Roman" w:hAnsi="Times New Roman" w:cs="Times New Roman"/>
          <w:noProof/>
        </w:rPr>
        <w:t>roduct</w:t>
      </w:r>
      <w:r>
        <w:rPr>
          <w:rFonts w:ascii="Times New Roman" w:hAnsi="Times New Roman" w:cs="Times New Roman"/>
          <w:noProof/>
        </w:rPr>
        <w:t>s,</w:t>
      </w:r>
      <w:r w:rsidRPr="00A0069A">
        <w:rPr>
          <w:rFonts w:ascii="Times New Roman" w:hAnsi="Times New Roman" w:cs="Times New Roman"/>
          <w:noProof/>
        </w:rPr>
        <w:t xml:space="preserve"> </w:t>
      </w:r>
      <w:r>
        <w:rPr>
          <w:rFonts w:ascii="Times New Roman" w:hAnsi="Times New Roman" w:cs="Times New Roman"/>
          <w:noProof/>
        </w:rPr>
        <w:t>p</w:t>
      </w:r>
      <w:r w:rsidRPr="00A0069A">
        <w:rPr>
          <w:rFonts w:ascii="Times New Roman" w:hAnsi="Times New Roman" w:cs="Times New Roman"/>
          <w:noProof/>
        </w:rPr>
        <w:t xml:space="preserve">lant </w:t>
      </w:r>
      <w:r>
        <w:rPr>
          <w:rFonts w:ascii="Times New Roman" w:hAnsi="Times New Roman" w:cs="Times New Roman"/>
          <w:noProof/>
        </w:rPr>
        <w:t>p</w:t>
      </w:r>
      <w:r w:rsidRPr="00A0069A">
        <w:rPr>
          <w:rFonts w:ascii="Times New Roman" w:hAnsi="Times New Roman" w:cs="Times New Roman"/>
          <w:noProof/>
        </w:rPr>
        <w:t xml:space="preserve">rotection </w:t>
      </w:r>
      <w:r>
        <w:rPr>
          <w:rFonts w:ascii="Times New Roman" w:hAnsi="Times New Roman" w:cs="Times New Roman"/>
          <w:noProof/>
        </w:rPr>
        <w:t>p</w:t>
      </w:r>
      <w:r w:rsidRPr="00A0069A">
        <w:rPr>
          <w:rFonts w:ascii="Times New Roman" w:hAnsi="Times New Roman" w:cs="Times New Roman"/>
          <w:noProof/>
        </w:rPr>
        <w:t>roduct</w:t>
      </w:r>
      <w:r>
        <w:rPr>
          <w:rFonts w:ascii="Times New Roman" w:hAnsi="Times New Roman" w:cs="Times New Roman"/>
          <w:noProof/>
        </w:rPr>
        <w:t>s</w:t>
      </w:r>
      <w:r w:rsidRPr="00A0069A">
        <w:rPr>
          <w:rFonts w:ascii="Times New Roman" w:hAnsi="Times New Roman" w:cs="Times New Roman"/>
          <w:noProof/>
        </w:rPr>
        <w:t xml:space="preserve">, </w:t>
      </w:r>
      <w:r>
        <w:rPr>
          <w:rFonts w:ascii="Times New Roman" w:hAnsi="Times New Roman" w:cs="Times New Roman"/>
          <w:noProof/>
        </w:rPr>
        <w:t xml:space="preserve">human </w:t>
      </w:r>
      <w:r w:rsidRPr="00A0069A">
        <w:rPr>
          <w:rFonts w:ascii="Times New Roman" w:hAnsi="Times New Roman" w:cs="Times New Roman"/>
          <w:noProof/>
        </w:rPr>
        <w:t xml:space="preserve">and </w:t>
      </w:r>
      <w:r>
        <w:rPr>
          <w:rFonts w:ascii="Times New Roman" w:hAnsi="Times New Roman" w:cs="Times New Roman"/>
          <w:noProof/>
        </w:rPr>
        <w:t>v</w:t>
      </w:r>
      <w:r w:rsidRPr="00A0069A">
        <w:rPr>
          <w:rFonts w:ascii="Times New Roman" w:hAnsi="Times New Roman" w:cs="Times New Roman"/>
          <w:noProof/>
        </w:rPr>
        <w:t xml:space="preserve">eterinary </w:t>
      </w:r>
      <w:r>
        <w:rPr>
          <w:rFonts w:ascii="Times New Roman" w:hAnsi="Times New Roman" w:cs="Times New Roman"/>
          <w:noProof/>
        </w:rPr>
        <w:t>pharmaceuticals</w:t>
      </w:r>
      <w:r w:rsidRPr="00A0069A">
        <w:rPr>
          <w:rFonts w:ascii="Times New Roman" w:hAnsi="Times New Roman" w:cs="Times New Roman"/>
          <w:noProof/>
        </w:rPr>
        <w:t xml:space="preserve">, </w:t>
      </w:r>
      <w:r>
        <w:rPr>
          <w:rFonts w:ascii="Times New Roman" w:hAnsi="Times New Roman" w:cs="Times New Roman"/>
          <w:noProof/>
        </w:rPr>
        <w:t>c</w:t>
      </w:r>
      <w:r w:rsidRPr="00A0069A">
        <w:rPr>
          <w:rFonts w:ascii="Times New Roman" w:hAnsi="Times New Roman" w:cs="Times New Roman"/>
          <w:noProof/>
        </w:rPr>
        <w:t>osmetic</w:t>
      </w:r>
      <w:r>
        <w:rPr>
          <w:rFonts w:ascii="Times New Roman" w:hAnsi="Times New Roman" w:cs="Times New Roman"/>
          <w:noProof/>
        </w:rPr>
        <w:t xml:space="preserve"> products, detergents</w:t>
      </w:r>
      <w:r w:rsidRPr="00A0069A">
        <w:rPr>
          <w:rFonts w:ascii="Times New Roman" w:hAnsi="Times New Roman" w:cs="Times New Roman"/>
          <w:noProof/>
        </w:rPr>
        <w:t xml:space="preserve">), </w:t>
      </w:r>
      <w:r w:rsidRPr="00A0069A">
        <w:rPr>
          <w:rFonts w:ascii="Times New Roman" w:hAnsi="Times New Roman" w:cs="Times New Roman"/>
          <w:b/>
          <w:bCs/>
          <w:noProof/>
        </w:rPr>
        <w:t>emissions of chemicals</w:t>
      </w:r>
      <w:r w:rsidRPr="00A0069A">
        <w:rPr>
          <w:rFonts w:ascii="Times New Roman" w:hAnsi="Times New Roman" w:cs="Times New Roman"/>
          <w:noProof/>
        </w:rPr>
        <w:t xml:space="preserve"> (e.g. </w:t>
      </w:r>
      <w:r>
        <w:rPr>
          <w:rFonts w:ascii="Times New Roman" w:hAnsi="Times New Roman" w:cs="Times New Roman"/>
          <w:noProof/>
        </w:rPr>
        <w:t xml:space="preserve">from industrial installations, </w:t>
      </w:r>
      <w:r w:rsidRPr="00A0069A">
        <w:rPr>
          <w:rFonts w:ascii="Times New Roman" w:hAnsi="Times New Roman" w:cs="Times New Roman"/>
          <w:noProof/>
        </w:rPr>
        <w:t xml:space="preserve"> waste water treatment </w:t>
      </w:r>
      <w:r>
        <w:rPr>
          <w:rFonts w:ascii="Times New Roman" w:hAnsi="Times New Roman" w:cs="Times New Roman"/>
          <w:noProof/>
        </w:rPr>
        <w:t>plants or use of fertilisers</w:t>
      </w:r>
      <w:r w:rsidRPr="00A0069A">
        <w:rPr>
          <w:rFonts w:ascii="Times New Roman" w:hAnsi="Times New Roman" w:cs="Times New Roman"/>
          <w:noProof/>
        </w:rPr>
        <w:t>), p</w:t>
      </w:r>
      <w:r w:rsidRPr="00A0069A">
        <w:rPr>
          <w:rFonts w:ascii="Times New Roman" w:hAnsi="Times New Roman" w:cs="Times New Roman"/>
          <w:b/>
          <w:bCs/>
          <w:noProof/>
        </w:rPr>
        <w:t>rotection of workers’ health</w:t>
      </w:r>
      <w:r w:rsidRPr="00A0069A">
        <w:rPr>
          <w:rFonts w:ascii="Times New Roman" w:hAnsi="Times New Roman" w:cs="Times New Roman"/>
          <w:noProof/>
        </w:rPr>
        <w:t xml:space="preserve"> (e.g. </w:t>
      </w:r>
      <w:r>
        <w:rPr>
          <w:rFonts w:ascii="Times New Roman" w:hAnsi="Times New Roman" w:cs="Times New Roman"/>
          <w:noProof/>
        </w:rPr>
        <w:t xml:space="preserve">from </w:t>
      </w:r>
      <w:r w:rsidRPr="00A0069A">
        <w:rPr>
          <w:rFonts w:ascii="Times New Roman" w:hAnsi="Times New Roman" w:cs="Times New Roman"/>
          <w:noProof/>
        </w:rPr>
        <w:t xml:space="preserve">carcinogens, mutagens and reprotoxic substances, </w:t>
      </w:r>
      <w:r>
        <w:rPr>
          <w:rFonts w:ascii="Times New Roman" w:hAnsi="Times New Roman" w:cs="Times New Roman"/>
          <w:noProof/>
        </w:rPr>
        <w:t xml:space="preserve">from </w:t>
      </w:r>
      <w:r w:rsidRPr="00A0069A">
        <w:rPr>
          <w:rFonts w:ascii="Times New Roman" w:hAnsi="Times New Roman" w:cs="Times New Roman"/>
          <w:noProof/>
        </w:rPr>
        <w:t xml:space="preserve">asbestos, </w:t>
      </w:r>
      <w:r>
        <w:rPr>
          <w:rFonts w:ascii="Times New Roman" w:hAnsi="Times New Roman" w:cs="Times New Roman"/>
          <w:noProof/>
        </w:rPr>
        <w:t xml:space="preserve">or from </w:t>
      </w:r>
      <w:r w:rsidRPr="00A0069A">
        <w:rPr>
          <w:rFonts w:ascii="Times New Roman" w:hAnsi="Times New Roman" w:cs="Times New Roman"/>
          <w:noProof/>
        </w:rPr>
        <w:t>chemical agent</w:t>
      </w:r>
      <w:r>
        <w:rPr>
          <w:rFonts w:ascii="Times New Roman" w:hAnsi="Times New Roman" w:cs="Times New Roman"/>
          <w:noProof/>
        </w:rPr>
        <w:t>s in general</w:t>
      </w:r>
      <w:r w:rsidRPr="00A0069A">
        <w:rPr>
          <w:rFonts w:ascii="Times New Roman" w:hAnsi="Times New Roman" w:cs="Times New Roman"/>
          <w:noProof/>
        </w:rPr>
        <w:t xml:space="preserve">), </w:t>
      </w:r>
      <w:r w:rsidRPr="00A0069A">
        <w:rPr>
          <w:rFonts w:ascii="Times New Roman" w:hAnsi="Times New Roman" w:cs="Times New Roman"/>
          <w:b/>
          <w:bCs/>
          <w:noProof/>
        </w:rPr>
        <w:t>chemicals in waste</w:t>
      </w:r>
      <w:r w:rsidRPr="00A0069A">
        <w:rPr>
          <w:rFonts w:ascii="Times New Roman" w:hAnsi="Times New Roman" w:cs="Times New Roman"/>
          <w:noProof/>
        </w:rPr>
        <w:t xml:space="preserve"> (</w:t>
      </w:r>
      <w:r>
        <w:rPr>
          <w:rFonts w:ascii="Times New Roman" w:hAnsi="Times New Roman" w:cs="Times New Roman"/>
          <w:noProof/>
        </w:rPr>
        <w:t xml:space="preserve">e.g. in general, in </w:t>
      </w:r>
      <w:r w:rsidRPr="00A0069A">
        <w:rPr>
          <w:rFonts w:ascii="Times New Roman" w:hAnsi="Times New Roman" w:cs="Times New Roman"/>
          <w:noProof/>
        </w:rPr>
        <w:t>packaging and packaging waste</w:t>
      </w:r>
      <w:r>
        <w:rPr>
          <w:rFonts w:ascii="Times New Roman" w:hAnsi="Times New Roman" w:cs="Times New Roman"/>
          <w:noProof/>
        </w:rPr>
        <w:t xml:space="preserve"> or in </w:t>
      </w:r>
      <w:r w:rsidRPr="00A0069A">
        <w:rPr>
          <w:rFonts w:ascii="Times New Roman" w:hAnsi="Times New Roman" w:cs="Times New Roman"/>
          <w:noProof/>
        </w:rPr>
        <w:t xml:space="preserve">end-of-life vehicles), </w:t>
      </w:r>
      <w:r w:rsidRPr="00A0069A">
        <w:rPr>
          <w:rFonts w:ascii="Times New Roman" w:hAnsi="Times New Roman" w:cs="Times New Roman"/>
          <w:b/>
          <w:bCs/>
          <w:noProof/>
        </w:rPr>
        <w:t>safety of consumer products</w:t>
      </w:r>
      <w:r w:rsidRPr="00A0069A">
        <w:rPr>
          <w:rFonts w:ascii="Times New Roman" w:hAnsi="Times New Roman" w:cs="Times New Roman"/>
          <w:noProof/>
        </w:rPr>
        <w:t xml:space="preserve"> (e.g. toys, food contact material</w:t>
      </w:r>
      <w:r>
        <w:rPr>
          <w:rFonts w:ascii="Times New Roman" w:hAnsi="Times New Roman" w:cs="Times New Roman"/>
          <w:noProof/>
        </w:rPr>
        <w:t>s</w:t>
      </w:r>
      <w:r w:rsidRPr="00A0069A">
        <w:rPr>
          <w:rFonts w:ascii="Times New Roman" w:hAnsi="Times New Roman" w:cs="Times New Roman"/>
          <w:noProof/>
        </w:rPr>
        <w:t xml:space="preserve">, batteries), </w:t>
      </w:r>
      <w:r w:rsidRPr="00A0069A">
        <w:rPr>
          <w:rFonts w:ascii="Times New Roman" w:hAnsi="Times New Roman" w:cs="Times New Roman"/>
          <w:b/>
          <w:bCs/>
          <w:noProof/>
        </w:rPr>
        <w:t>safety of foodstuff and feedstuff</w:t>
      </w:r>
      <w:r w:rsidRPr="00A0069A">
        <w:rPr>
          <w:rFonts w:ascii="Times New Roman" w:hAnsi="Times New Roman" w:cs="Times New Roman"/>
          <w:noProof/>
        </w:rPr>
        <w:t xml:space="preserve"> (e.g. food improvements agents</w:t>
      </w:r>
      <w:r>
        <w:rPr>
          <w:rFonts w:ascii="Times New Roman" w:hAnsi="Times New Roman" w:cs="Times New Roman"/>
          <w:noProof/>
        </w:rPr>
        <w:t xml:space="preserve"> or </w:t>
      </w:r>
      <w:r w:rsidRPr="00A0069A">
        <w:rPr>
          <w:rFonts w:ascii="Times New Roman" w:hAnsi="Times New Roman" w:cs="Times New Roman"/>
          <w:noProof/>
        </w:rPr>
        <w:t>maximum residue level</w:t>
      </w:r>
      <w:r>
        <w:rPr>
          <w:rFonts w:ascii="Times New Roman" w:hAnsi="Times New Roman" w:cs="Times New Roman"/>
          <w:noProof/>
        </w:rPr>
        <w:t xml:space="preserve">s of food contaminants </w:t>
      </w:r>
      <w:r w:rsidRPr="00A0069A">
        <w:rPr>
          <w:rFonts w:ascii="Times New Roman" w:hAnsi="Times New Roman" w:cs="Times New Roman"/>
          <w:noProof/>
        </w:rPr>
        <w:t xml:space="preserve">) and </w:t>
      </w:r>
      <w:r w:rsidRPr="00A0069A">
        <w:rPr>
          <w:rFonts w:ascii="Times New Roman" w:hAnsi="Times New Roman" w:cs="Times New Roman"/>
          <w:b/>
          <w:bCs/>
          <w:noProof/>
        </w:rPr>
        <w:t>protection of the environmental compartments (</w:t>
      </w:r>
      <w:r w:rsidRPr="00A0069A">
        <w:rPr>
          <w:rFonts w:ascii="Times New Roman" w:hAnsi="Times New Roman" w:cs="Times New Roman"/>
          <w:noProof/>
        </w:rPr>
        <w:t xml:space="preserve">e.g. </w:t>
      </w:r>
      <w:r>
        <w:rPr>
          <w:rFonts w:ascii="Times New Roman" w:hAnsi="Times New Roman" w:cs="Times New Roman"/>
          <w:noProof/>
        </w:rPr>
        <w:t xml:space="preserve">surface </w:t>
      </w:r>
      <w:r w:rsidRPr="00A0069A">
        <w:rPr>
          <w:rFonts w:ascii="Times New Roman" w:hAnsi="Times New Roman" w:cs="Times New Roman"/>
          <w:noProof/>
        </w:rPr>
        <w:t>water</w:t>
      </w:r>
      <w:r>
        <w:rPr>
          <w:rFonts w:ascii="Times New Roman" w:hAnsi="Times New Roman" w:cs="Times New Roman"/>
          <w:noProof/>
        </w:rPr>
        <w:t xml:space="preserve">s, </w:t>
      </w:r>
      <w:r w:rsidRPr="00A0069A">
        <w:rPr>
          <w:rFonts w:ascii="Times New Roman" w:hAnsi="Times New Roman" w:cs="Times New Roman"/>
          <w:noProof/>
        </w:rPr>
        <w:t>ground water</w:t>
      </w:r>
      <w:r>
        <w:rPr>
          <w:rFonts w:ascii="Times New Roman" w:hAnsi="Times New Roman" w:cs="Times New Roman"/>
          <w:noProof/>
        </w:rPr>
        <w:t xml:space="preserve">s, marine waters, </w:t>
      </w:r>
      <w:r w:rsidRPr="00A0069A">
        <w:rPr>
          <w:rFonts w:ascii="Times New Roman" w:hAnsi="Times New Roman" w:cs="Times New Roman"/>
          <w:noProof/>
        </w:rPr>
        <w:t>drinking water, air</w:t>
      </w:r>
      <w:r>
        <w:rPr>
          <w:rFonts w:ascii="Times New Roman" w:hAnsi="Times New Roman" w:cs="Times New Roman"/>
          <w:noProof/>
        </w:rPr>
        <w:t xml:space="preserve"> and soil</w:t>
      </w:r>
      <w:r w:rsidRPr="00A0069A">
        <w:rPr>
          <w:rFonts w:ascii="Times New Roman" w:hAnsi="Times New Roman" w:cs="Times New Roman"/>
          <w:noProof/>
        </w:rPr>
        <w:t>).</w:t>
      </w:r>
      <w:r>
        <w:rPr>
          <w:rFonts w:ascii="Times New Roman" w:hAnsi="Times New Roman" w:cs="Times New Roman"/>
          <w:noProof/>
        </w:rPr>
        <w:t xml:space="preserve"> </w:t>
      </w:r>
    </w:p>
    <w:p w14:paraId="6690F55C" w14:textId="77777777" w:rsidR="000A7D9D" w:rsidRPr="00EC1412" w:rsidRDefault="000A7D9D" w:rsidP="000A7D9D">
      <w:pPr>
        <w:spacing w:before="120" w:after="120"/>
        <w:jc w:val="both"/>
        <w:rPr>
          <w:rFonts w:ascii="Times New Roman" w:hAnsi="Times New Roman" w:cs="Times New Roman"/>
          <w:noProof/>
        </w:rPr>
      </w:pPr>
      <w:r w:rsidRPr="00EC1412">
        <w:rPr>
          <w:rFonts w:ascii="Times New Roman" w:hAnsi="Times New Roman" w:cs="Times New Roman"/>
          <w:noProof/>
        </w:rPr>
        <w:t>The fitness check of the most relevant chemicals legislation assessing over 40 pieces of legislation concluded that overall the EU chemicals legislation delivers results as intended and is fit-for-purpose, but a number of significant weaknesses prevent the EU chemicals legislation from living up to its full potential. There were identified shortcomings across legislative pieces as regards the coherence of safety assessments, efficiency of the underlying technical and scientific work and the coherence of transparency rules. These shortcomings can lead to inconsistency and incoherence in safety assessments, slow procedures, inefficient use of resources, unnecessary burden, (perceived) lack of transparency and sometimes low quality of scientific advice (see section 2).</w:t>
      </w:r>
    </w:p>
    <w:p w14:paraId="6221C095"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Building on the findings of the fitness check, the </w:t>
      </w:r>
      <w:hyperlink r:id="rId15" w:history="1">
        <w:r w:rsidRPr="00EC1412">
          <w:rPr>
            <w:rStyle w:val="Hyperlink"/>
            <w:noProof/>
            <w:color w:val="0563C1" w:themeColor="hyperlink"/>
            <w:spacing w:val="-4"/>
          </w:rPr>
          <w:t>European Green Deal</w:t>
        </w:r>
      </w:hyperlink>
      <w:r w:rsidRPr="00EC1412">
        <w:rPr>
          <w:rFonts w:ascii="Times New Roman" w:hAnsi="Times New Roman" w:cs="Times New Roman"/>
          <w:noProof/>
        </w:rPr>
        <w:t xml:space="preserve"> announced the commitment ‘</w:t>
      </w:r>
      <w:r w:rsidRPr="00EC1412">
        <w:rPr>
          <w:rFonts w:ascii="Times New Roman" w:hAnsi="Times New Roman" w:cs="Times New Roman"/>
          <w:i/>
          <w:noProof/>
        </w:rPr>
        <w:t>to review how to use better the EU’s agencies and scientific bodies to move towards a process of ‘one substance, one assessment’ and to provide greater transparency when prioritising action to deal with chemicals</w:t>
      </w:r>
      <w:r w:rsidRPr="00EC1412">
        <w:rPr>
          <w:rFonts w:ascii="Times New Roman" w:hAnsi="Times New Roman" w:cs="Times New Roman"/>
          <w:noProof/>
        </w:rPr>
        <w:t xml:space="preserve">’. The </w:t>
      </w:r>
      <w:hyperlink r:id="rId16" w:history="1">
        <w:r w:rsidRPr="00EC1412">
          <w:rPr>
            <w:rStyle w:val="Hyperlink"/>
            <w:noProof/>
            <w:color w:val="0563C1" w:themeColor="hyperlink"/>
            <w:spacing w:val="-4"/>
          </w:rPr>
          <w:t>Chemicals Strategy for Sustainability</w:t>
        </w:r>
      </w:hyperlink>
      <w:r w:rsidRPr="00EC1412">
        <w:rPr>
          <w:rFonts w:ascii="Times New Roman" w:hAnsi="Times New Roman" w:cs="Times New Roman"/>
          <w:noProof/>
        </w:rPr>
        <w:t xml:space="preserve"> elaborated further on the concept of ‘one substance, one assessment’ and defined it as an approach to improve the overall efficiency, coherence and transparency of the delivery of safety assessments of chemicals across legislation. The strategy identified five key areas affecting the coherence and efficiency of delivery of safety assessments and for each of them defined number of specific objectives and actions (see sections 2 and 3). </w:t>
      </w:r>
      <w:r w:rsidRPr="00EC1412">
        <w:rPr>
          <w:rFonts w:ascii="Times New Roman" w:hAnsi="Times New Roman" w:cs="Times New Roman"/>
          <w:noProof/>
          <w:lang w:eastAsia="en-GB"/>
        </w:rPr>
        <w:t xml:space="preserve">Two key actions identified are </w:t>
      </w:r>
      <w:r w:rsidRPr="00EC1412">
        <w:rPr>
          <w:rFonts w:ascii="Times New Roman" w:hAnsi="Times New Roman" w:cs="Times New Roman"/>
          <w:noProof/>
        </w:rPr>
        <w:t>to ‘</w:t>
      </w:r>
      <w:r w:rsidRPr="00EC1412">
        <w:rPr>
          <w:rFonts w:ascii="Times New Roman" w:hAnsi="Times New Roman" w:cs="Times New Roman"/>
          <w:iCs/>
          <w:noProof/>
        </w:rPr>
        <w:t xml:space="preserve">rationalise the use of expertise and resources by </w:t>
      </w:r>
      <w:r w:rsidRPr="00EC1412">
        <w:rPr>
          <w:rFonts w:ascii="Times New Roman" w:hAnsi="Times New Roman" w:cs="Times New Roman"/>
          <w:b/>
          <w:iCs/>
          <w:noProof/>
        </w:rPr>
        <w:t>proposing the reattribution of technical and scientific work on chemicals performed under the relevant pieces of legislation to European agencies</w:t>
      </w:r>
      <w:r w:rsidRPr="00EC1412">
        <w:rPr>
          <w:rFonts w:ascii="Times New Roman" w:hAnsi="Times New Roman" w:cs="Times New Roman"/>
          <w:iCs/>
          <w:noProof/>
        </w:rPr>
        <w:t xml:space="preserve">, including work of the Scientific Committee on Health, Environmental and Emerging Risks (SCHEER) and Scientific Committee on Consumer Safety (SCCS)’ and to ensure ‘a clear allocation of responsibilities and </w:t>
      </w:r>
      <w:r w:rsidRPr="00EC1412">
        <w:rPr>
          <w:rFonts w:ascii="Times New Roman" w:hAnsi="Times New Roman" w:cs="Times New Roman"/>
          <w:b/>
          <w:iCs/>
          <w:noProof/>
        </w:rPr>
        <w:t>good cooperation among the European Agencies</w:t>
      </w:r>
      <w:r w:rsidRPr="00EC1412">
        <w:rPr>
          <w:rFonts w:ascii="Times New Roman" w:hAnsi="Times New Roman" w:cs="Times New Roman"/>
          <w:iCs/>
          <w:noProof/>
        </w:rPr>
        <w:t>’.</w:t>
      </w:r>
    </w:p>
    <w:p w14:paraId="43E5FF20" w14:textId="77777777" w:rsidR="000A7D9D" w:rsidRPr="00EC1412" w:rsidRDefault="000A7D9D" w:rsidP="000A7D9D">
      <w:pPr>
        <w:spacing w:before="120" w:after="120"/>
        <w:jc w:val="both"/>
        <w:rPr>
          <w:rFonts w:ascii="Times New Roman" w:hAnsi="Times New Roman" w:cs="Times New Roman"/>
          <w:noProof/>
        </w:rPr>
      </w:pPr>
      <w:r w:rsidRPr="00EC1412">
        <w:rPr>
          <w:rFonts w:ascii="Times New Roman" w:hAnsi="Times New Roman" w:cs="Times New Roman"/>
          <w:noProof/>
        </w:rPr>
        <w:t xml:space="preserve">The </w:t>
      </w:r>
      <w:hyperlink r:id="rId17" w:history="1">
        <w:r w:rsidRPr="00EC1412">
          <w:rPr>
            <w:rStyle w:val="Hyperlink"/>
            <w:noProof/>
            <w:color w:val="0563C1" w:themeColor="hyperlink"/>
            <w:spacing w:val="-4"/>
          </w:rPr>
          <w:t>EU Action Plan ‘Towards Zero Pollution for Air, Water and Soil</w:t>
        </w:r>
        <w:r w:rsidRPr="00EC1412">
          <w:rPr>
            <w:rStyle w:val="Hyperlink"/>
            <w:noProof/>
          </w:rPr>
          <w:t>’</w:t>
        </w:r>
      </w:hyperlink>
      <w:r w:rsidRPr="00EC1412">
        <w:rPr>
          <w:rFonts w:ascii="Times New Roman" w:hAnsi="Times New Roman" w:cs="Times New Roman"/>
          <w:noProof/>
        </w:rPr>
        <w:t xml:space="preserve"> further contributed to the one substance, one assessment objectives </w:t>
      </w:r>
      <w:r w:rsidRPr="00EC1412">
        <w:rPr>
          <w:rFonts w:ascii="Times New Roman" w:hAnsi="Times New Roman" w:cs="Times New Roman"/>
          <w:noProof/>
          <w:lang w:eastAsia="en-GB"/>
        </w:rPr>
        <w:t>through commitments to consolidate the roles of the European Environment Agency and the Commission’s Joint Research Centre in close collaboration with the European Chemicals Agency, the European Food Safety Agency, the European Maritime Safety Agency and other relevant agencies as the EU’s Knowledge Centres of Excellence for Zero Pollution Monitoring and Outlook Framework.</w:t>
      </w:r>
    </w:p>
    <w:p w14:paraId="69795726"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lang w:eastAsia="en-GB"/>
        </w:rPr>
        <w:t xml:space="preserve">The </w:t>
      </w:r>
      <w:hyperlink r:id="rId18" w:history="1">
        <w:r w:rsidRPr="00EC1412">
          <w:rPr>
            <w:rStyle w:val="Hyperlink"/>
            <w:noProof/>
            <w:color w:val="0563C1" w:themeColor="hyperlink"/>
            <w:spacing w:val="-4"/>
          </w:rPr>
          <w:t>European Parliament resolution</w:t>
        </w:r>
      </w:hyperlink>
      <w:r w:rsidRPr="00EC1412">
        <w:rPr>
          <w:rFonts w:ascii="Times New Roman" w:hAnsi="Times New Roman" w:cs="Times New Roman"/>
          <w:noProof/>
          <w:lang w:eastAsia="en-GB"/>
        </w:rPr>
        <w:t xml:space="preserve"> of 10 July 2020 welcomed the Strategy and the ‘one substance – one hazard assessment’ </w:t>
      </w:r>
      <w:r w:rsidRPr="00EC1412">
        <w:rPr>
          <w:rFonts w:ascii="Times New Roman" w:hAnsi="Times New Roman" w:cs="Times New Roman"/>
          <w:noProof/>
        </w:rPr>
        <w:t xml:space="preserve">principle in order to better use the resources of the Union’s agencies and scientific bodies, avoid duplication of efforts, reduce the risk of diverging outcomes of assessments, speed up and bring consistency and transparency to chemicals regulation, and ensure enhanced health and environmental protection and a level playing field for industry. The resolution called </w:t>
      </w:r>
      <w:r w:rsidRPr="00EC1412">
        <w:rPr>
          <w:rFonts w:ascii="Times New Roman" w:hAnsi="Times New Roman" w:cs="Times New Roman"/>
          <w:noProof/>
          <w:lang w:eastAsia="en-GB"/>
        </w:rPr>
        <w:t>to achieve coherence and synergies between legislation dealing with chemicals and chemical products, specific products regulation, general product legislation, legislation on environmental compartments, legislation on sources of pollution and legislation on waste. The resolution further called to pay special attention to reducing overlaps between legal frameworks, and between tasks allocated to the European Chemicals Agency, the European Food Safety Agency and the European Medicines Agency. The resolution also u</w:t>
      </w:r>
      <w:r w:rsidRPr="00EC1412">
        <w:rPr>
          <w:rFonts w:ascii="Times New Roman" w:hAnsi="Times New Roman" w:cs="Times New Roman"/>
          <w:noProof/>
        </w:rPr>
        <w:t>nderlined the need to reinforce cooperation and coordination between the European evaluation agencies EFSA and ECHA together with national agencies, by developing common guidelines for risk assessment, namely for biocidal and phytopharmaceutical products, which take into account the most recent scientific results, so as to avoid inconsistencies. Finally, the European Parliament called on the Commission and Council to refrain from cutting ECHA’s resources in annual budget procedures and to provide ECHA with additional resources for any other tasks that may be required, such as conducting evaluations of substances.</w:t>
      </w:r>
    </w:p>
    <w:p w14:paraId="6F11358D" w14:textId="77777777" w:rsidR="000A7D9D" w:rsidRPr="00EC1412" w:rsidRDefault="000A7D9D" w:rsidP="000A7D9D">
      <w:pPr>
        <w:spacing w:after="240"/>
        <w:jc w:val="both"/>
        <w:rPr>
          <w:rFonts w:ascii="Times New Roman" w:hAnsi="Times New Roman" w:cs="Times New Roman"/>
          <w:noProof/>
        </w:rPr>
      </w:pPr>
      <w:r w:rsidRPr="00EC1412">
        <w:rPr>
          <w:rFonts w:ascii="Times New Roman" w:hAnsi="Times New Roman" w:cs="Times New Roman"/>
          <w:noProof/>
          <w:lang w:eastAsia="en-GB"/>
        </w:rPr>
        <w:t xml:space="preserve">The </w:t>
      </w:r>
      <w:hyperlink r:id="rId19" w:history="1">
        <w:r w:rsidRPr="00EC1412">
          <w:rPr>
            <w:rStyle w:val="Hyperlink"/>
            <w:noProof/>
            <w:color w:val="0563C1" w:themeColor="hyperlink"/>
            <w:spacing w:val="-4"/>
          </w:rPr>
          <w:t>Council conclusions</w:t>
        </w:r>
      </w:hyperlink>
      <w:r w:rsidRPr="00EC1412">
        <w:rPr>
          <w:rFonts w:ascii="Times New Roman" w:hAnsi="Times New Roman" w:cs="Times New Roman"/>
          <w:noProof/>
          <w:lang w:eastAsia="en-GB"/>
        </w:rPr>
        <w:t xml:space="preserve"> of 15 March 2021 also welcomed the Strategy and the ‘one substance, one assessment’ approach intending to simplify and improve the transparency of the regulatory framework for hazard and risk assessment of chemicals, to enhance coherence, to better coordinate the EU rules on chemicals, and to make decision-making faster. The conclusions called to continue ensuring policy coherence and exploit synergies among the chemicals and other policies. The conclusion further emphasised that the one substance, one assessment approach should not create delays in regulatory actions nor increase administrative burden, that the Member States are closely involved in the development of the approach and that the right of initiative of the Member States to initiate regulatory action is maintained</w:t>
      </w:r>
      <w:r w:rsidRPr="00EC1412">
        <w:rPr>
          <w:rFonts w:ascii="Times New Roman" w:hAnsi="Times New Roman" w:cs="Times New Roman"/>
          <w:i/>
          <w:noProof/>
          <w:lang w:eastAsia="en-GB"/>
        </w:rPr>
        <w:t xml:space="preserve">. </w:t>
      </w:r>
      <w:r w:rsidRPr="00EC1412">
        <w:rPr>
          <w:rFonts w:ascii="Times New Roman" w:hAnsi="Times New Roman" w:cs="Times New Roman"/>
          <w:noProof/>
          <w:lang w:eastAsia="en-GB"/>
        </w:rPr>
        <w:t xml:space="preserve">The conclusions also underlined </w:t>
      </w:r>
      <w:r w:rsidRPr="00EC1412">
        <w:rPr>
          <w:rFonts w:ascii="Times New Roman" w:hAnsi="Times New Roman" w:cs="Times New Roman"/>
          <w:noProof/>
        </w:rPr>
        <w:t xml:space="preserve">the importance of allocating the necessary resources for the European agencies in the light of the envisaged re-attribution of technical and scientific work on chemicals, including an appropriate and long-term budgetary framework, and, in particular, for ECHA, taking into consideration their central role in the implementation of some key objectives of the Chemicals Strategy. </w:t>
      </w:r>
    </w:p>
    <w:p w14:paraId="02405FE2" w14:textId="77777777" w:rsidR="000A7D9D" w:rsidRPr="00CB3F79" w:rsidRDefault="000A7D9D" w:rsidP="000A7D9D">
      <w:pPr>
        <w:pStyle w:val="Heading2"/>
        <w:keepLines w:val="0"/>
        <w:numPr>
          <w:ilvl w:val="1"/>
          <w:numId w:val="7"/>
        </w:numPr>
        <w:tabs>
          <w:tab w:val="num" w:pos="1200"/>
        </w:tabs>
        <w:spacing w:before="0" w:after="240"/>
        <w:ind w:left="1200" w:hanging="720"/>
        <w:jc w:val="both"/>
        <w:rPr>
          <w:rFonts w:ascii="Times New Roman" w:eastAsia="Times New Roman" w:hAnsi="Times New Roman" w:cs="Times New Roman"/>
          <w:b/>
          <w:noProof/>
          <w:color w:val="auto"/>
          <w:sz w:val="24"/>
          <w:szCs w:val="20"/>
        </w:rPr>
      </w:pPr>
      <w:bookmarkStart w:id="3" w:name="_Toc150499889"/>
      <w:r w:rsidRPr="00CB3F79">
        <w:rPr>
          <w:rFonts w:ascii="Times New Roman" w:eastAsia="Times New Roman" w:hAnsi="Times New Roman" w:cs="Times New Roman"/>
          <w:b/>
          <w:noProof/>
          <w:color w:val="auto"/>
          <w:sz w:val="24"/>
          <w:szCs w:val="20"/>
        </w:rPr>
        <w:t>Legal context</w:t>
      </w:r>
      <w:bookmarkEnd w:id="3"/>
      <w:r w:rsidRPr="00CB3F79">
        <w:rPr>
          <w:rFonts w:ascii="Times New Roman" w:eastAsia="Times New Roman" w:hAnsi="Times New Roman" w:cs="Times New Roman"/>
          <w:b/>
          <w:noProof/>
          <w:color w:val="auto"/>
          <w:sz w:val="24"/>
          <w:szCs w:val="20"/>
        </w:rPr>
        <w:t xml:space="preserve"> </w:t>
      </w:r>
    </w:p>
    <w:p w14:paraId="7AAB05BD" w14:textId="77777777" w:rsidR="000A7D9D" w:rsidRDefault="000A7D9D" w:rsidP="000A7D9D">
      <w:pPr>
        <w:spacing w:before="120" w:after="120"/>
        <w:jc w:val="both"/>
        <w:rPr>
          <w:rFonts w:ascii="Times New Roman" w:hAnsi="Times New Roman" w:cs="Times New Roman"/>
          <w:noProof/>
        </w:rPr>
      </w:pPr>
      <w:r w:rsidRPr="6017A922">
        <w:rPr>
          <w:rFonts w:ascii="Times New Roman" w:hAnsi="Times New Roman" w:cs="Times New Roman"/>
          <w:noProof/>
        </w:rPr>
        <w:t>The reattribution of existing tasks or attribution of new tasks to EU Agencies requires targeted amendments of the existing pieces of legislation on chemicals. The preferred way of doing it is by introducing changes in allocation of tasks when the individual pieces of legislation are being revised. Therefore, the relevant changes have been already proposed as part of the proposals for the regulation on serious cross-border threats to health</w:t>
      </w:r>
      <w:r>
        <w:rPr>
          <w:rStyle w:val="FootnoteReference"/>
          <w:rFonts w:ascii="Times New Roman" w:hAnsi="Times New Roman" w:cs="Times New Roman"/>
          <w:noProof/>
        </w:rPr>
        <w:footnoteReference w:id="3"/>
      </w:r>
      <w:r>
        <w:rPr>
          <w:rFonts w:ascii="Times New Roman" w:hAnsi="Times New Roman" w:cs="Times New Roman"/>
          <w:noProof/>
        </w:rPr>
        <w:t xml:space="preserve"> </w:t>
      </w:r>
      <w:r w:rsidRPr="6017A922">
        <w:rPr>
          <w:rFonts w:ascii="Times New Roman" w:hAnsi="Times New Roman" w:cs="Times New Roman"/>
          <w:noProof/>
        </w:rPr>
        <w:t>and for revisions of drinking water directive</w:t>
      </w:r>
      <w:r>
        <w:rPr>
          <w:rStyle w:val="FootnoteReference"/>
          <w:rFonts w:ascii="Times New Roman" w:hAnsi="Times New Roman" w:cs="Times New Roman"/>
          <w:noProof/>
        </w:rPr>
        <w:footnoteReference w:id="4"/>
      </w:r>
      <w:r w:rsidRPr="6017A922">
        <w:rPr>
          <w:rFonts w:ascii="Times New Roman" w:hAnsi="Times New Roman" w:cs="Times New Roman"/>
          <w:noProof/>
        </w:rPr>
        <w:t>, SEVESO III directive</w:t>
      </w:r>
      <w:r>
        <w:rPr>
          <w:rStyle w:val="FootnoteReference"/>
          <w:rFonts w:ascii="Times New Roman" w:hAnsi="Times New Roman" w:cs="Times New Roman"/>
          <w:noProof/>
        </w:rPr>
        <w:footnoteReference w:id="5"/>
      </w:r>
      <w:r w:rsidRPr="6017A922">
        <w:rPr>
          <w:rFonts w:ascii="Times New Roman" w:hAnsi="Times New Roman" w:cs="Times New Roman"/>
          <w:noProof/>
        </w:rPr>
        <w:t>, batteries regulation</w:t>
      </w:r>
      <w:r>
        <w:rPr>
          <w:rStyle w:val="FootnoteReference"/>
          <w:rFonts w:ascii="Times New Roman" w:hAnsi="Times New Roman" w:cs="Times New Roman"/>
          <w:noProof/>
        </w:rPr>
        <w:footnoteReference w:id="6"/>
      </w:r>
      <w:r w:rsidRPr="6017A922">
        <w:rPr>
          <w:rFonts w:ascii="Times New Roman" w:hAnsi="Times New Roman" w:cs="Times New Roman"/>
          <w:noProof/>
        </w:rPr>
        <w:t>, EPRTR regulation</w:t>
      </w:r>
      <w:r>
        <w:rPr>
          <w:rStyle w:val="FootnoteReference"/>
          <w:rFonts w:ascii="Times New Roman" w:hAnsi="Times New Roman" w:cs="Times New Roman"/>
          <w:noProof/>
        </w:rPr>
        <w:footnoteReference w:id="7"/>
      </w:r>
      <w:r w:rsidRPr="6017A922">
        <w:rPr>
          <w:rFonts w:ascii="Times New Roman" w:hAnsi="Times New Roman" w:cs="Times New Roman"/>
          <w:noProof/>
        </w:rPr>
        <w:t>, industrial emissions directive</w:t>
      </w:r>
      <w:r>
        <w:rPr>
          <w:rStyle w:val="FootnoteReference"/>
          <w:rFonts w:ascii="Times New Roman" w:hAnsi="Times New Roman" w:cs="Times New Roman"/>
          <w:noProof/>
        </w:rPr>
        <w:footnoteReference w:id="8"/>
      </w:r>
      <w:r w:rsidRPr="6017A922">
        <w:rPr>
          <w:rFonts w:ascii="Times New Roman" w:hAnsi="Times New Roman" w:cs="Times New Roman"/>
          <w:noProof/>
        </w:rPr>
        <w:t xml:space="preserve">, water framework directive, </w:t>
      </w:r>
      <w:r>
        <w:rPr>
          <w:rFonts w:ascii="Times New Roman" w:hAnsi="Times New Roman" w:cs="Times New Roman"/>
          <w:noProof/>
        </w:rPr>
        <w:t xml:space="preserve">ground water directive, </w:t>
      </w:r>
      <w:r w:rsidRPr="6017A922">
        <w:rPr>
          <w:rFonts w:ascii="Times New Roman" w:hAnsi="Times New Roman" w:cs="Times New Roman"/>
          <w:noProof/>
        </w:rPr>
        <w:t>environmental quality standard directive</w:t>
      </w:r>
      <w:r>
        <w:rPr>
          <w:rStyle w:val="FootnoteReference"/>
          <w:rFonts w:ascii="Times New Roman" w:hAnsi="Times New Roman" w:cs="Times New Roman"/>
          <w:noProof/>
        </w:rPr>
        <w:footnoteReference w:id="9"/>
      </w:r>
      <w:r w:rsidRPr="6017A922">
        <w:rPr>
          <w:rFonts w:ascii="Times New Roman" w:hAnsi="Times New Roman" w:cs="Times New Roman"/>
          <w:noProof/>
        </w:rPr>
        <w:t>, CLP regulation</w:t>
      </w:r>
      <w:r>
        <w:rPr>
          <w:rStyle w:val="FootnoteReference"/>
          <w:rFonts w:ascii="Times New Roman" w:hAnsi="Times New Roman" w:cs="Times New Roman"/>
          <w:noProof/>
        </w:rPr>
        <w:footnoteReference w:id="10"/>
      </w:r>
      <w:r w:rsidRPr="6689DE26">
        <w:rPr>
          <w:rFonts w:ascii="Times New Roman" w:hAnsi="Times New Roman" w:cs="Times New Roman"/>
          <w:noProof/>
        </w:rPr>
        <w:t xml:space="preserve">, </w:t>
      </w:r>
      <w:r w:rsidRPr="6017A922">
        <w:rPr>
          <w:rFonts w:ascii="Times New Roman" w:hAnsi="Times New Roman" w:cs="Times New Roman"/>
          <w:noProof/>
        </w:rPr>
        <w:t>packaging and packaging waste directive</w:t>
      </w:r>
      <w:r>
        <w:rPr>
          <w:rStyle w:val="FootnoteReference"/>
          <w:rFonts w:ascii="Times New Roman" w:hAnsi="Times New Roman" w:cs="Times New Roman"/>
          <w:noProof/>
        </w:rPr>
        <w:footnoteReference w:id="11"/>
      </w:r>
      <w:r w:rsidRPr="6689DE26">
        <w:rPr>
          <w:rFonts w:ascii="Times New Roman" w:hAnsi="Times New Roman" w:cs="Times New Roman"/>
          <w:noProof/>
        </w:rPr>
        <w:t>, legislation</w:t>
      </w:r>
      <w:r>
        <w:rPr>
          <w:rFonts w:ascii="Times New Roman" w:hAnsi="Times New Roman" w:cs="Times New Roman"/>
          <w:noProof/>
        </w:rPr>
        <w:t xml:space="preserve"> on medicinal products for human use</w:t>
      </w:r>
      <w:r w:rsidRPr="00D506B7">
        <w:rPr>
          <w:rStyle w:val="FootnoteReference"/>
          <w:noProof/>
        </w:rPr>
        <w:footnoteReference w:id="12"/>
      </w:r>
      <w:r w:rsidRPr="00D506B7">
        <w:rPr>
          <w:iCs/>
          <w:noProof/>
          <w:vertAlign w:val="superscript"/>
        </w:rPr>
        <w:t>,</w:t>
      </w:r>
      <w:r w:rsidRPr="00D506B7">
        <w:rPr>
          <w:rStyle w:val="FootnoteReference"/>
          <w:noProof/>
        </w:rPr>
        <w:footnoteReference w:id="13"/>
      </w:r>
      <w:r>
        <w:rPr>
          <w:rFonts w:ascii="Times New Roman" w:hAnsi="Times New Roman" w:cs="Times New Roman"/>
          <w:noProof/>
        </w:rPr>
        <w:t>, end-of-life vehicles directive</w:t>
      </w:r>
      <w:r>
        <w:rPr>
          <w:rStyle w:val="FootnoteReference"/>
          <w:rFonts w:ascii="Times New Roman" w:hAnsi="Times New Roman" w:cs="Times New Roman"/>
          <w:noProof/>
        </w:rPr>
        <w:footnoteReference w:id="14"/>
      </w:r>
      <w:r w:rsidRPr="6689DE26">
        <w:rPr>
          <w:rFonts w:ascii="Times New Roman" w:hAnsi="Times New Roman" w:cs="Times New Roman"/>
          <w:noProof/>
        </w:rPr>
        <w:t xml:space="preserve"> and directive on the safety of toys</w:t>
      </w:r>
      <w:r>
        <w:rPr>
          <w:rStyle w:val="FootnoteReference"/>
          <w:rFonts w:ascii="Times New Roman" w:hAnsi="Times New Roman" w:cs="Times New Roman"/>
          <w:noProof/>
        </w:rPr>
        <w:footnoteReference w:id="15"/>
      </w:r>
      <w:r w:rsidRPr="6017A922">
        <w:rPr>
          <w:rFonts w:ascii="Times New Roman" w:hAnsi="Times New Roman" w:cs="Times New Roman"/>
          <w:noProof/>
        </w:rPr>
        <w:t xml:space="preserve">. </w:t>
      </w:r>
      <w:r w:rsidRPr="6689DE26">
        <w:rPr>
          <w:rFonts w:ascii="Times New Roman" w:hAnsi="Times New Roman" w:cs="Times New Roman"/>
          <w:noProof/>
        </w:rPr>
        <w:t xml:space="preserve">The relevant changes, including </w:t>
      </w:r>
      <w:r w:rsidRPr="6017A922">
        <w:rPr>
          <w:rFonts w:ascii="Times New Roman" w:hAnsi="Times New Roman" w:cs="Times New Roman"/>
          <w:noProof/>
        </w:rPr>
        <w:t>new or additional tasks</w:t>
      </w:r>
      <w:r w:rsidRPr="6689DE26">
        <w:rPr>
          <w:rFonts w:ascii="Times New Roman" w:hAnsi="Times New Roman" w:cs="Times New Roman"/>
          <w:noProof/>
        </w:rPr>
        <w:t>,</w:t>
      </w:r>
      <w:r w:rsidRPr="6017A922">
        <w:rPr>
          <w:rFonts w:ascii="Times New Roman" w:hAnsi="Times New Roman" w:cs="Times New Roman"/>
          <w:noProof/>
        </w:rPr>
        <w:t xml:space="preserve"> are also planned to be introduced in the upcoming proposals for </w:t>
      </w:r>
      <w:r>
        <w:rPr>
          <w:rFonts w:ascii="Times New Roman" w:hAnsi="Times New Roman" w:cs="Times New Roman"/>
          <w:noProof/>
        </w:rPr>
        <w:t xml:space="preserve">a regulation on </w:t>
      </w:r>
      <w:r w:rsidRPr="6017A922">
        <w:rPr>
          <w:rFonts w:ascii="Times New Roman" w:hAnsi="Times New Roman" w:cs="Times New Roman"/>
          <w:noProof/>
        </w:rPr>
        <w:t>ECHA</w:t>
      </w:r>
      <w:r>
        <w:rPr>
          <w:rStyle w:val="FootnoteReference"/>
          <w:rFonts w:ascii="Times New Roman" w:hAnsi="Times New Roman" w:cs="Times New Roman"/>
          <w:noProof/>
        </w:rPr>
        <w:footnoteReference w:id="16"/>
      </w:r>
      <w:r>
        <w:rPr>
          <w:rFonts w:ascii="Times New Roman" w:hAnsi="Times New Roman" w:cs="Times New Roman"/>
          <w:noProof/>
        </w:rPr>
        <w:t xml:space="preserve"> </w:t>
      </w:r>
      <w:r w:rsidRPr="6017A922">
        <w:rPr>
          <w:rFonts w:ascii="Times New Roman" w:hAnsi="Times New Roman" w:cs="Times New Roman"/>
          <w:noProof/>
        </w:rPr>
        <w:t>and for the revisions of REACH</w:t>
      </w:r>
      <w:r>
        <w:rPr>
          <w:rStyle w:val="FootnoteReference"/>
          <w:rFonts w:ascii="Times New Roman" w:hAnsi="Times New Roman" w:cs="Times New Roman"/>
          <w:noProof/>
        </w:rPr>
        <w:footnoteReference w:id="17"/>
      </w:r>
      <w:r w:rsidRPr="6689DE26">
        <w:rPr>
          <w:rFonts w:ascii="Times New Roman" w:hAnsi="Times New Roman" w:cs="Times New Roman"/>
          <w:noProof/>
        </w:rPr>
        <w:t xml:space="preserve"> and </w:t>
      </w:r>
      <w:r w:rsidRPr="6017A922">
        <w:rPr>
          <w:rFonts w:ascii="Times New Roman" w:hAnsi="Times New Roman" w:cs="Times New Roman"/>
          <w:noProof/>
        </w:rPr>
        <w:t>cosmetics regulation</w:t>
      </w:r>
      <w:r>
        <w:rPr>
          <w:rStyle w:val="FootnoteReference"/>
          <w:rFonts w:ascii="Times New Roman" w:hAnsi="Times New Roman" w:cs="Times New Roman"/>
          <w:noProof/>
        </w:rPr>
        <w:footnoteReference w:id="18"/>
      </w:r>
      <w:r w:rsidRPr="6017A922">
        <w:rPr>
          <w:rFonts w:ascii="Times New Roman" w:hAnsi="Times New Roman" w:cs="Times New Roman"/>
          <w:noProof/>
        </w:rPr>
        <w:t xml:space="preserve">. </w:t>
      </w:r>
    </w:p>
    <w:p w14:paraId="0E081D0D" w14:textId="77777777" w:rsidR="000A7D9D" w:rsidRDefault="000A7D9D" w:rsidP="000A7D9D">
      <w:pPr>
        <w:spacing w:before="120" w:after="120"/>
        <w:jc w:val="both"/>
        <w:rPr>
          <w:rFonts w:ascii="Times New Roman" w:hAnsi="Times New Roman" w:cs="Times New Roman"/>
          <w:noProof/>
        </w:rPr>
      </w:pPr>
      <w:r w:rsidRPr="6017A922">
        <w:rPr>
          <w:rFonts w:ascii="Times New Roman" w:hAnsi="Times New Roman" w:cs="Times New Roman"/>
          <w:noProof/>
        </w:rPr>
        <w:t xml:space="preserve">Where the chemical legislation is not to be opened within this mandate of the Commission, the necessary changes in allocation of tasks </w:t>
      </w:r>
      <w:r w:rsidRPr="6689DE26">
        <w:rPr>
          <w:rFonts w:ascii="Times New Roman" w:hAnsi="Times New Roman" w:cs="Times New Roman"/>
          <w:noProof/>
        </w:rPr>
        <w:t xml:space="preserve"> </w:t>
      </w:r>
      <w:r>
        <w:rPr>
          <w:rFonts w:ascii="Times New Roman" w:hAnsi="Times New Roman" w:cs="Times New Roman"/>
          <w:noProof/>
        </w:rPr>
        <w:t>is</w:t>
      </w:r>
      <w:r w:rsidRPr="6017A922">
        <w:rPr>
          <w:rFonts w:ascii="Times New Roman" w:hAnsi="Times New Roman" w:cs="Times New Roman"/>
          <w:noProof/>
        </w:rPr>
        <w:t xml:space="preserve"> introduced through the horizontal proposal</w:t>
      </w:r>
      <w:r w:rsidRPr="6689DE26">
        <w:rPr>
          <w:rFonts w:ascii="Times New Roman" w:hAnsi="Times New Roman" w:cs="Times New Roman"/>
          <w:noProof/>
        </w:rPr>
        <w:t>s</w:t>
      </w:r>
      <w:r w:rsidRPr="6017A922">
        <w:rPr>
          <w:rFonts w:ascii="Times New Roman" w:hAnsi="Times New Roman" w:cs="Times New Roman"/>
          <w:noProof/>
        </w:rPr>
        <w:t xml:space="preserve"> on reattribution of tasks to the EU Agencies</w:t>
      </w:r>
      <w:r w:rsidRPr="6689DE26">
        <w:rPr>
          <w:rFonts w:ascii="Times New Roman" w:hAnsi="Times New Roman" w:cs="Times New Roman"/>
          <w:noProof/>
        </w:rPr>
        <w:t xml:space="preserve"> consisting of a regulation and a directive, for reasons of legal consistency</w:t>
      </w:r>
      <w:r w:rsidRPr="6017A922">
        <w:rPr>
          <w:rFonts w:ascii="Times New Roman" w:hAnsi="Times New Roman" w:cs="Times New Roman"/>
          <w:noProof/>
        </w:rPr>
        <w:t>. Th</w:t>
      </w:r>
      <w:r w:rsidRPr="6689DE26">
        <w:rPr>
          <w:rFonts w:ascii="Times New Roman" w:hAnsi="Times New Roman" w:cs="Times New Roman"/>
          <w:noProof/>
        </w:rPr>
        <w:t xml:space="preserve">e </w:t>
      </w:r>
      <w:r w:rsidRPr="6017A922">
        <w:rPr>
          <w:rFonts w:ascii="Times New Roman" w:hAnsi="Times New Roman" w:cs="Times New Roman"/>
          <w:noProof/>
        </w:rPr>
        <w:t xml:space="preserve">proposal </w:t>
      </w:r>
      <w:r w:rsidRPr="6689DE26">
        <w:rPr>
          <w:rFonts w:ascii="Times New Roman" w:hAnsi="Times New Roman" w:cs="Times New Roman"/>
          <w:noProof/>
        </w:rPr>
        <w:t xml:space="preserve">for the regulation </w:t>
      </w:r>
      <w:r w:rsidRPr="6017A922">
        <w:rPr>
          <w:rFonts w:ascii="Times New Roman" w:hAnsi="Times New Roman" w:cs="Times New Roman"/>
          <w:noProof/>
        </w:rPr>
        <w:t>propose</w:t>
      </w:r>
      <w:r>
        <w:rPr>
          <w:rFonts w:ascii="Times New Roman" w:hAnsi="Times New Roman" w:cs="Times New Roman"/>
          <w:noProof/>
        </w:rPr>
        <w:t>s</w:t>
      </w:r>
      <w:r w:rsidRPr="6017A922">
        <w:rPr>
          <w:rFonts w:ascii="Times New Roman" w:hAnsi="Times New Roman" w:cs="Times New Roman"/>
          <w:noProof/>
        </w:rPr>
        <w:t xml:space="preserve"> targeted amendments to allocations of tasks in the POPs regulation</w:t>
      </w:r>
      <w:r>
        <w:rPr>
          <w:rStyle w:val="FootnoteReference"/>
          <w:rFonts w:ascii="Times New Roman" w:hAnsi="Times New Roman" w:cs="Times New Roman"/>
          <w:noProof/>
        </w:rPr>
        <w:footnoteReference w:id="19"/>
      </w:r>
      <w:r w:rsidRPr="6017A922">
        <w:rPr>
          <w:rFonts w:ascii="Times New Roman" w:hAnsi="Times New Roman" w:cs="Times New Roman"/>
          <w:noProof/>
        </w:rPr>
        <w:t>, medical devices regulation</w:t>
      </w:r>
      <w:r>
        <w:rPr>
          <w:rStyle w:val="FootnoteReference"/>
          <w:rFonts w:ascii="Times New Roman" w:hAnsi="Times New Roman" w:cs="Times New Roman"/>
          <w:noProof/>
        </w:rPr>
        <w:footnoteReference w:id="20"/>
      </w:r>
      <w:r w:rsidRPr="6017A922">
        <w:rPr>
          <w:rFonts w:ascii="Times New Roman" w:hAnsi="Times New Roman" w:cs="Times New Roman"/>
          <w:noProof/>
        </w:rPr>
        <w:t>, EEA founding regulation</w:t>
      </w:r>
      <w:r>
        <w:rPr>
          <w:rStyle w:val="FootnoteReference"/>
          <w:rFonts w:ascii="Times New Roman" w:hAnsi="Times New Roman" w:cs="Times New Roman"/>
          <w:noProof/>
        </w:rPr>
        <w:footnoteReference w:id="21"/>
      </w:r>
      <w:r w:rsidRPr="6017A922">
        <w:rPr>
          <w:rFonts w:ascii="Times New Roman" w:hAnsi="Times New Roman" w:cs="Times New Roman"/>
          <w:noProof/>
        </w:rPr>
        <w:t xml:space="preserve"> and the general food law</w:t>
      </w:r>
      <w:r>
        <w:rPr>
          <w:rStyle w:val="FootnoteReference"/>
          <w:rFonts w:ascii="Times New Roman" w:hAnsi="Times New Roman" w:cs="Times New Roman"/>
          <w:noProof/>
        </w:rPr>
        <w:footnoteReference w:id="22"/>
      </w:r>
      <w:r w:rsidRPr="6689DE26">
        <w:rPr>
          <w:rFonts w:ascii="Times New Roman" w:hAnsi="Times New Roman" w:cs="Times New Roman"/>
          <w:noProof/>
        </w:rPr>
        <w:t>, while the proposal for a directive propose</w:t>
      </w:r>
      <w:r>
        <w:rPr>
          <w:rFonts w:ascii="Times New Roman" w:hAnsi="Times New Roman" w:cs="Times New Roman"/>
          <w:noProof/>
        </w:rPr>
        <w:t>s</w:t>
      </w:r>
      <w:r w:rsidRPr="6689DE26">
        <w:rPr>
          <w:rFonts w:ascii="Times New Roman" w:hAnsi="Times New Roman" w:cs="Times New Roman"/>
          <w:noProof/>
        </w:rPr>
        <w:t xml:space="preserve"> targeted amendments to allocations of tasks in the RoHS </w:t>
      </w:r>
      <w:r>
        <w:rPr>
          <w:rFonts w:ascii="Times New Roman" w:hAnsi="Times New Roman" w:cs="Times New Roman"/>
          <w:noProof/>
        </w:rPr>
        <w:t>d</w:t>
      </w:r>
      <w:r w:rsidRPr="6689DE26">
        <w:rPr>
          <w:rFonts w:ascii="Times New Roman" w:hAnsi="Times New Roman" w:cs="Times New Roman"/>
          <w:noProof/>
        </w:rPr>
        <w:t>irective</w:t>
      </w:r>
      <w:r>
        <w:rPr>
          <w:rStyle w:val="FootnoteReference"/>
          <w:rFonts w:ascii="Times New Roman" w:hAnsi="Times New Roman" w:cs="Times New Roman"/>
          <w:noProof/>
        </w:rPr>
        <w:footnoteReference w:id="23"/>
      </w:r>
      <w:r w:rsidRPr="6689DE26">
        <w:rPr>
          <w:rFonts w:ascii="Times New Roman" w:hAnsi="Times New Roman" w:cs="Times New Roman"/>
          <w:noProof/>
        </w:rPr>
        <w:t xml:space="preserve">. </w:t>
      </w:r>
    </w:p>
    <w:p w14:paraId="684F29CD" w14:textId="77777777" w:rsidR="000A7D9D" w:rsidRPr="00EC1412" w:rsidRDefault="000A7D9D" w:rsidP="000A7D9D">
      <w:pPr>
        <w:spacing w:before="120" w:after="120"/>
        <w:jc w:val="both"/>
        <w:rPr>
          <w:rFonts w:ascii="Times New Roman" w:hAnsi="Times New Roman" w:cs="Times New Roman"/>
          <w:noProof/>
        </w:rPr>
      </w:pPr>
      <w:r w:rsidRPr="6017A922">
        <w:rPr>
          <w:rFonts w:ascii="Times New Roman" w:hAnsi="Times New Roman" w:cs="Times New Roman"/>
          <w:noProof/>
        </w:rPr>
        <w:t xml:space="preserve">The Proposal for a Regulation of the European Parliament and of the Council establishing a common data platform on chemicals, laying down rules to ensure that the data contained in it are findable, accessible, interoperable and reusable and establishing a monitoring and outlook framework for chemicals is a standalone regulation </w:t>
      </w:r>
      <w:r>
        <w:rPr>
          <w:rFonts w:ascii="Times New Roman" w:hAnsi="Times New Roman" w:cs="Times New Roman"/>
          <w:noProof/>
        </w:rPr>
        <w:t xml:space="preserve">aiming </w:t>
      </w:r>
      <w:r w:rsidRPr="6017A922">
        <w:rPr>
          <w:rFonts w:ascii="Times New Roman" w:hAnsi="Times New Roman" w:cs="Times New Roman"/>
          <w:noProof/>
        </w:rPr>
        <w:t>to implement one substance, one assessment actions related to data, information and transparency, namely:</w:t>
      </w:r>
    </w:p>
    <w:p w14:paraId="40039283" w14:textId="77777777" w:rsidR="000A7D9D" w:rsidRPr="00EC1412" w:rsidRDefault="000A7D9D" w:rsidP="000A7D9D">
      <w:pPr>
        <w:pStyle w:val="ListParagraph"/>
        <w:numPr>
          <w:ilvl w:val="0"/>
          <w:numId w:val="8"/>
        </w:numPr>
        <w:spacing w:before="120" w:after="120"/>
        <w:jc w:val="both"/>
        <w:rPr>
          <w:noProof/>
          <w:sz w:val="22"/>
          <w:szCs w:val="22"/>
        </w:rPr>
      </w:pPr>
      <w:r w:rsidRPr="00EC1412">
        <w:rPr>
          <w:noProof/>
          <w:sz w:val="22"/>
          <w:szCs w:val="22"/>
        </w:rPr>
        <w:t>use a single ‘Public activities coordination tool’ to provide an up-to-date overview of all planned and ongoing initiatives on chemicals by authorities across legislation;</w:t>
      </w:r>
    </w:p>
    <w:p w14:paraId="64187ACA" w14:textId="77777777" w:rsidR="000A7D9D" w:rsidRPr="00EC1412" w:rsidRDefault="000A7D9D" w:rsidP="000A7D9D">
      <w:pPr>
        <w:pStyle w:val="ListParagraph"/>
        <w:numPr>
          <w:ilvl w:val="0"/>
          <w:numId w:val="8"/>
        </w:numPr>
        <w:spacing w:before="120" w:after="120"/>
        <w:jc w:val="both"/>
        <w:rPr>
          <w:noProof/>
          <w:sz w:val="22"/>
          <w:szCs w:val="22"/>
        </w:rPr>
      </w:pPr>
      <w:r w:rsidRPr="00EC1412">
        <w:rPr>
          <w:noProof/>
          <w:sz w:val="22"/>
          <w:szCs w:val="22"/>
        </w:rPr>
        <w:t>develop a common open data platform on chemicals to facilitate the sharing, access and re-use of information on chemicals coming from all sources;</w:t>
      </w:r>
    </w:p>
    <w:p w14:paraId="1A2B7100" w14:textId="77777777" w:rsidR="000A7D9D" w:rsidRPr="00EC1412" w:rsidRDefault="000A7D9D" w:rsidP="000A7D9D">
      <w:pPr>
        <w:pStyle w:val="ListParagraph"/>
        <w:numPr>
          <w:ilvl w:val="0"/>
          <w:numId w:val="8"/>
        </w:numPr>
        <w:spacing w:before="120" w:after="120"/>
        <w:jc w:val="both"/>
        <w:rPr>
          <w:noProof/>
          <w:sz w:val="22"/>
          <w:szCs w:val="22"/>
        </w:rPr>
      </w:pPr>
      <w:r w:rsidRPr="00EC1412">
        <w:rPr>
          <w:noProof/>
          <w:sz w:val="22"/>
          <w:szCs w:val="22"/>
        </w:rPr>
        <w:t>promote reuse and harmonisation of human and environmental health-based limit values among EU risk assessors and managers through a centralised and curated EU repository;</w:t>
      </w:r>
    </w:p>
    <w:p w14:paraId="0F9AC9C5" w14:textId="77777777" w:rsidR="000A7D9D" w:rsidRPr="00EC1412" w:rsidRDefault="000A7D9D" w:rsidP="000A7D9D">
      <w:pPr>
        <w:pStyle w:val="ListParagraph"/>
        <w:numPr>
          <w:ilvl w:val="0"/>
          <w:numId w:val="8"/>
        </w:numPr>
        <w:spacing w:before="120" w:after="120"/>
        <w:jc w:val="both"/>
        <w:rPr>
          <w:noProof/>
          <w:sz w:val="22"/>
          <w:szCs w:val="22"/>
        </w:rPr>
      </w:pPr>
      <w:r w:rsidRPr="00EC1412">
        <w:rPr>
          <w:noProof/>
          <w:sz w:val="22"/>
          <w:szCs w:val="22"/>
        </w:rPr>
        <w:t>remove legislative obstacles for the re-use of data and better streamline the flow of chemical data between EU and national authorities;</w:t>
      </w:r>
    </w:p>
    <w:p w14:paraId="403B49F5" w14:textId="77777777" w:rsidR="000A7D9D" w:rsidRPr="00EC1412" w:rsidRDefault="000A7D9D" w:rsidP="000A7D9D">
      <w:pPr>
        <w:pStyle w:val="ListParagraph"/>
        <w:numPr>
          <w:ilvl w:val="0"/>
          <w:numId w:val="8"/>
        </w:numPr>
        <w:spacing w:before="120" w:after="120"/>
        <w:jc w:val="both"/>
        <w:rPr>
          <w:noProof/>
          <w:sz w:val="22"/>
          <w:szCs w:val="22"/>
        </w:rPr>
      </w:pPr>
      <w:r w:rsidRPr="00EC1412">
        <w:rPr>
          <w:noProof/>
          <w:sz w:val="22"/>
          <w:szCs w:val="22"/>
        </w:rPr>
        <w:t>establish tools and practices to ensure that relevant academic data is easily and readily accessible for safety assessments and is suitable for regulatory purposes;</w:t>
      </w:r>
    </w:p>
    <w:p w14:paraId="3D91091B" w14:textId="77777777" w:rsidR="000A7D9D" w:rsidRPr="00EC1412" w:rsidRDefault="000A7D9D" w:rsidP="000A7D9D">
      <w:pPr>
        <w:pStyle w:val="ListParagraph"/>
        <w:numPr>
          <w:ilvl w:val="0"/>
          <w:numId w:val="8"/>
        </w:numPr>
        <w:spacing w:before="120" w:after="120"/>
        <w:jc w:val="both"/>
        <w:rPr>
          <w:noProof/>
          <w:sz w:val="22"/>
          <w:szCs w:val="22"/>
        </w:rPr>
      </w:pPr>
      <w:r w:rsidRPr="6017A922">
        <w:rPr>
          <w:noProof/>
          <w:sz w:val="22"/>
          <w:szCs w:val="22"/>
        </w:rPr>
        <w:t>enable EU  authorities to commission testing and monitoring of substances as part of the regulatory framework when further information is considered necessary;</w:t>
      </w:r>
    </w:p>
    <w:p w14:paraId="00172721" w14:textId="77777777" w:rsidR="000A7D9D" w:rsidRPr="00EC1412" w:rsidRDefault="000A7D9D" w:rsidP="000A7D9D">
      <w:pPr>
        <w:pStyle w:val="ListParagraph"/>
        <w:numPr>
          <w:ilvl w:val="0"/>
          <w:numId w:val="8"/>
        </w:numPr>
        <w:spacing w:before="120" w:after="120"/>
        <w:jc w:val="both"/>
        <w:rPr>
          <w:noProof/>
          <w:sz w:val="22"/>
          <w:szCs w:val="22"/>
        </w:rPr>
      </w:pPr>
      <w:r w:rsidRPr="00EC1412">
        <w:rPr>
          <w:noProof/>
          <w:sz w:val="22"/>
          <w:szCs w:val="22"/>
        </w:rPr>
        <w:t>extend the principle of open data and the relevant transparency principles from the EU food safety sector to other pieces of chemical legislation;</w:t>
      </w:r>
    </w:p>
    <w:p w14:paraId="1344DA0F" w14:textId="77777777" w:rsidR="000A7D9D" w:rsidRPr="00EC1412" w:rsidRDefault="000A7D9D" w:rsidP="000A7D9D">
      <w:pPr>
        <w:pStyle w:val="ListParagraph"/>
        <w:numPr>
          <w:ilvl w:val="0"/>
          <w:numId w:val="8"/>
        </w:numPr>
        <w:spacing w:before="120" w:after="120"/>
        <w:jc w:val="both"/>
        <w:rPr>
          <w:noProof/>
          <w:sz w:val="22"/>
          <w:szCs w:val="22"/>
        </w:rPr>
      </w:pPr>
      <w:r w:rsidRPr="00EC1412">
        <w:rPr>
          <w:noProof/>
          <w:sz w:val="22"/>
          <w:szCs w:val="22"/>
        </w:rPr>
        <w:t xml:space="preserve">develop an EU early warning and action system for chemicals to ensure that EU policies address emerging chemical risks as soon as identified by monitoring and research. </w:t>
      </w:r>
    </w:p>
    <w:p w14:paraId="536E2659" w14:textId="77777777" w:rsidR="000A7D9D" w:rsidRPr="00EC1412" w:rsidRDefault="000A7D9D" w:rsidP="000A7D9D">
      <w:pPr>
        <w:spacing w:before="120" w:after="240"/>
        <w:jc w:val="both"/>
        <w:rPr>
          <w:rFonts w:ascii="Times New Roman" w:hAnsi="Times New Roman" w:cs="Times New Roman"/>
          <w:noProof/>
        </w:rPr>
      </w:pPr>
      <w:r w:rsidRPr="2E8599C7">
        <w:rPr>
          <w:rFonts w:ascii="Times New Roman" w:hAnsi="Times New Roman" w:cs="Times New Roman"/>
          <w:noProof/>
        </w:rPr>
        <w:t>In order to implement these actions, the proposal also allocate</w:t>
      </w:r>
      <w:r>
        <w:rPr>
          <w:rFonts w:ascii="Times New Roman" w:hAnsi="Times New Roman" w:cs="Times New Roman"/>
          <w:noProof/>
        </w:rPr>
        <w:t>s</w:t>
      </w:r>
      <w:r w:rsidRPr="2E8599C7">
        <w:rPr>
          <w:rFonts w:ascii="Times New Roman" w:hAnsi="Times New Roman" w:cs="Times New Roman"/>
          <w:noProof/>
        </w:rPr>
        <w:t xml:space="preserve"> some new tasks to EU agencies as regards the management, sharing and generation of data and information</w:t>
      </w:r>
      <w:r>
        <w:rPr>
          <w:rFonts w:ascii="Times New Roman" w:hAnsi="Times New Roman" w:cs="Times New Roman"/>
          <w:noProof/>
        </w:rPr>
        <w:t>, operation of a monitoring and outlook framework for chemicals</w:t>
      </w:r>
      <w:r w:rsidRPr="2E8599C7">
        <w:rPr>
          <w:rFonts w:ascii="Times New Roman" w:hAnsi="Times New Roman" w:cs="Times New Roman"/>
          <w:noProof/>
        </w:rPr>
        <w:t xml:space="preserve"> and formalise</w:t>
      </w:r>
      <w:r>
        <w:rPr>
          <w:rFonts w:ascii="Times New Roman" w:hAnsi="Times New Roman" w:cs="Times New Roman"/>
          <w:noProof/>
        </w:rPr>
        <w:t>s</w:t>
      </w:r>
      <w:r w:rsidRPr="2E8599C7">
        <w:rPr>
          <w:rFonts w:ascii="Times New Roman" w:hAnsi="Times New Roman" w:cs="Times New Roman"/>
          <w:noProof/>
        </w:rPr>
        <w:t xml:space="preserve"> some existing tasks. </w:t>
      </w:r>
    </w:p>
    <w:p w14:paraId="43C214F8" w14:textId="77777777" w:rsidR="000A7D9D" w:rsidRPr="00CB3F79" w:rsidRDefault="000A7D9D" w:rsidP="000A7D9D">
      <w:pPr>
        <w:pStyle w:val="Heading2"/>
        <w:keepLines w:val="0"/>
        <w:numPr>
          <w:ilvl w:val="1"/>
          <w:numId w:val="7"/>
        </w:numPr>
        <w:tabs>
          <w:tab w:val="num" w:pos="1200"/>
        </w:tabs>
        <w:spacing w:before="0" w:after="240"/>
        <w:ind w:left="1200" w:hanging="720"/>
        <w:jc w:val="both"/>
        <w:rPr>
          <w:rFonts w:ascii="Times New Roman" w:eastAsia="Times New Roman" w:hAnsi="Times New Roman" w:cs="Times New Roman"/>
          <w:b/>
          <w:noProof/>
          <w:color w:val="auto"/>
          <w:sz w:val="24"/>
          <w:szCs w:val="20"/>
        </w:rPr>
      </w:pPr>
      <w:bookmarkStart w:id="4" w:name="_Toc150499890"/>
      <w:r w:rsidRPr="00CB3F79">
        <w:rPr>
          <w:rFonts w:ascii="Times New Roman" w:eastAsia="Times New Roman" w:hAnsi="Times New Roman" w:cs="Times New Roman"/>
          <w:b/>
          <w:noProof/>
          <w:color w:val="auto"/>
          <w:sz w:val="24"/>
          <w:szCs w:val="20"/>
        </w:rPr>
        <w:t>Scope of the document</w:t>
      </w:r>
      <w:bookmarkEnd w:id="4"/>
    </w:p>
    <w:p w14:paraId="07AB404B" w14:textId="77777777" w:rsidR="000A7D9D" w:rsidRDefault="000A7D9D" w:rsidP="000A7D9D">
      <w:pPr>
        <w:jc w:val="both"/>
        <w:rPr>
          <w:rFonts w:ascii="Times New Roman" w:hAnsi="Times New Roman" w:cs="Times New Roman"/>
          <w:noProof/>
        </w:rPr>
      </w:pPr>
      <w:r w:rsidRPr="2E8599C7">
        <w:rPr>
          <w:rFonts w:ascii="Times New Roman" w:hAnsi="Times New Roman" w:cs="Times New Roman"/>
          <w:noProof/>
        </w:rPr>
        <w:t xml:space="preserve">This document summarises all actions taken as of 2020 to (re-)attribute scientific and technical work on chemicals to EU agencies and to ensure good cooperation among the EU agencies in the area of chemicals. The document accompanies the horizontal legislative proposals on reattribution of tasks to EU agencies, and explains changes in (re-)attributions proposed in those proposals. </w:t>
      </w:r>
      <w:r w:rsidRPr="2E8599C7">
        <w:rPr>
          <w:rFonts w:ascii="Times New Roman" w:eastAsia="Times New Roman" w:hAnsi="Times New Roman" w:cs="Times New Roman"/>
          <w:noProof/>
        </w:rPr>
        <w:t>It also explains, for the purpose of completeness of information changes which will be made to allocation of tasks via revisions of individual pieces of legislation or via a new legislation, including via the proposal for a Regulation o</w:t>
      </w:r>
      <w:r w:rsidRPr="2E8599C7">
        <w:rPr>
          <w:rFonts w:ascii="Times New Roman" w:hAnsi="Times New Roman" w:cs="Times New Roman"/>
          <w:noProof/>
        </w:rPr>
        <w:t xml:space="preserve">n establishing a common data platform on chemicals, laying down rules to ensure that the data contained in it are findable, accessible, interoperable and reusable and establishing a monitoring and outlook framework for chemicals (‘proposal for a regulation establishing a common data platform and a monitoring and outlook framework for chemicals’). The document explains how the changes in allocation of tasks to EU agencies contribute to achieving the one substance, one assessment objectives and provides an assessment of cumulative impacts of the changes in allocations of tasks on the functioning of the EU Agencies. </w:t>
      </w:r>
    </w:p>
    <w:p w14:paraId="4FCE3AB0" w14:textId="77777777" w:rsidR="000A7D9D" w:rsidRPr="00CB3F79" w:rsidRDefault="000A7D9D" w:rsidP="000A7D9D">
      <w:pPr>
        <w:pStyle w:val="Heading1"/>
        <w:keepLines w:val="0"/>
        <w:widowControl/>
        <w:numPr>
          <w:ilvl w:val="0"/>
          <w:numId w:val="7"/>
        </w:numPr>
        <w:tabs>
          <w:tab w:val="num" w:pos="480"/>
        </w:tabs>
        <w:snapToGrid/>
        <w:spacing w:before="240"/>
        <w:ind w:left="480" w:hanging="480"/>
        <w:jc w:val="both"/>
        <w:rPr>
          <w:rFonts w:ascii="Times New Roman" w:hAnsi="Times New Roman"/>
          <w:smallCaps/>
          <w:noProof/>
          <w:color w:val="auto"/>
          <w:sz w:val="24"/>
          <w:szCs w:val="20"/>
          <w:lang w:eastAsia="en-US"/>
        </w:rPr>
      </w:pPr>
      <w:bookmarkStart w:id="5" w:name="_Toc150499891"/>
      <w:r w:rsidRPr="00CB3F79">
        <w:rPr>
          <w:rFonts w:ascii="Times New Roman" w:hAnsi="Times New Roman"/>
          <w:smallCaps/>
          <w:noProof/>
          <w:color w:val="auto"/>
          <w:sz w:val="24"/>
          <w:szCs w:val="20"/>
          <w:lang w:eastAsia="en-US"/>
        </w:rPr>
        <w:t>Problem definition</w:t>
      </w:r>
      <w:bookmarkEnd w:id="5"/>
      <w:r w:rsidRPr="00CB3F79">
        <w:rPr>
          <w:rFonts w:ascii="Times New Roman" w:hAnsi="Times New Roman"/>
          <w:smallCaps/>
          <w:noProof/>
          <w:color w:val="auto"/>
          <w:sz w:val="24"/>
          <w:szCs w:val="20"/>
          <w:lang w:eastAsia="en-US"/>
        </w:rPr>
        <w:t xml:space="preserve"> </w:t>
      </w:r>
    </w:p>
    <w:p w14:paraId="35AE49AE" w14:textId="77777777" w:rsidR="000A7D9D" w:rsidRPr="00EC1412" w:rsidRDefault="000A7D9D" w:rsidP="000A7D9D">
      <w:pPr>
        <w:spacing w:after="120"/>
        <w:jc w:val="both"/>
        <w:rPr>
          <w:rFonts w:ascii="Times New Roman" w:hAnsi="Times New Roman" w:cs="Times New Roman"/>
          <w:noProof/>
        </w:rPr>
      </w:pPr>
      <w:r w:rsidRPr="6017A922">
        <w:rPr>
          <w:rFonts w:ascii="Times New Roman" w:hAnsi="Times New Roman" w:cs="Times New Roman"/>
          <w:noProof/>
        </w:rPr>
        <w:t>The EU regulatory framework for hazard and risk assessment and management of chemicals is comprehensive. It consists of many pieces of legislation, addressing production and placing on the market of chemicals and chemical products, emissions of chemicals, chemicals in waste, protection of workers’ health and safety of consumer products, foodstuff and feedstuff, and the environment. A high volume of technical and scientific work supports the implementation of the individual legislative acts. Depending on the legislation, the work is performed using different data and methodologies and involving various EU Agencies (</w:t>
      </w:r>
      <w:r>
        <w:rPr>
          <w:rFonts w:ascii="Times New Roman" w:hAnsi="Times New Roman" w:cs="Times New Roman"/>
          <w:noProof/>
        </w:rPr>
        <w:t xml:space="preserve">the </w:t>
      </w:r>
      <w:r w:rsidRPr="6017A922">
        <w:rPr>
          <w:rFonts w:ascii="Times New Roman" w:hAnsi="Times New Roman" w:cs="Times New Roman"/>
          <w:noProof/>
        </w:rPr>
        <w:t xml:space="preserve">European Chemicals Agency (ECHA), </w:t>
      </w:r>
      <w:r>
        <w:rPr>
          <w:rFonts w:ascii="Times New Roman" w:hAnsi="Times New Roman" w:cs="Times New Roman"/>
          <w:noProof/>
        </w:rPr>
        <w:t xml:space="preserve">the </w:t>
      </w:r>
      <w:r w:rsidRPr="6017A922">
        <w:rPr>
          <w:rFonts w:ascii="Times New Roman" w:hAnsi="Times New Roman" w:cs="Times New Roman"/>
          <w:noProof/>
        </w:rPr>
        <w:t xml:space="preserve">European Food Safety Authority (EFSA), </w:t>
      </w:r>
      <w:r>
        <w:rPr>
          <w:rFonts w:ascii="Times New Roman" w:hAnsi="Times New Roman" w:cs="Times New Roman"/>
          <w:noProof/>
        </w:rPr>
        <w:t xml:space="preserve">the </w:t>
      </w:r>
      <w:r w:rsidRPr="6017A922">
        <w:rPr>
          <w:rFonts w:ascii="Times New Roman" w:hAnsi="Times New Roman" w:cs="Times New Roman"/>
          <w:noProof/>
        </w:rPr>
        <w:t xml:space="preserve">European Environment Agency (EEA), </w:t>
      </w:r>
      <w:r>
        <w:rPr>
          <w:rFonts w:ascii="Times New Roman" w:hAnsi="Times New Roman" w:cs="Times New Roman"/>
          <w:noProof/>
        </w:rPr>
        <w:t xml:space="preserve">the </w:t>
      </w:r>
      <w:r w:rsidRPr="6017A922">
        <w:rPr>
          <w:rFonts w:ascii="Times New Roman" w:hAnsi="Times New Roman" w:cs="Times New Roman"/>
          <w:noProof/>
        </w:rPr>
        <w:t xml:space="preserve">European Medicine Agency (EMA) and </w:t>
      </w:r>
      <w:r>
        <w:rPr>
          <w:rFonts w:ascii="Times New Roman" w:hAnsi="Times New Roman" w:cs="Times New Roman"/>
          <w:noProof/>
        </w:rPr>
        <w:t xml:space="preserve">the </w:t>
      </w:r>
      <w:r w:rsidRPr="6017A922">
        <w:rPr>
          <w:rFonts w:ascii="Times New Roman" w:hAnsi="Times New Roman" w:cs="Times New Roman"/>
          <w:noProof/>
        </w:rPr>
        <w:t>European Agency for Safety and Health at Work (</w:t>
      </w:r>
      <w:r>
        <w:rPr>
          <w:rFonts w:ascii="Times New Roman" w:hAnsi="Times New Roman" w:cs="Times New Roman"/>
          <w:noProof/>
        </w:rPr>
        <w:t>EU-</w:t>
      </w:r>
      <w:r w:rsidRPr="6017A922">
        <w:rPr>
          <w:rFonts w:ascii="Times New Roman" w:hAnsi="Times New Roman" w:cs="Times New Roman"/>
          <w:noProof/>
        </w:rPr>
        <w:t xml:space="preserve">OSHA)), scientific committees, (ad hoc) expert groups, Commission services or external contractors. This situation may lead to inconsistent and incoherent outcomes of assessments across legislation (in respect of the same chemicals), inefficient use of resources and unnecessary costs (from operating several committees performing similar assessments, from assessing the same chemical by several committees/bodies or from duplicating supporting technical and scientific work). In addition, the assessments that are not performed by the EU Agencies are often being criticised by the stakeholders as not sufficiently transparent and inclusive, having insufficient scientific quality and robustness or having insufficient separation between risk assessment and risk management. </w:t>
      </w:r>
    </w:p>
    <w:tbl>
      <w:tblPr>
        <w:tblStyle w:val="TableGrid"/>
        <w:tblW w:w="0" w:type="auto"/>
        <w:tblLook w:val="04A0" w:firstRow="1" w:lastRow="0" w:firstColumn="1" w:lastColumn="0" w:noHBand="0" w:noVBand="1"/>
      </w:tblPr>
      <w:tblGrid>
        <w:gridCol w:w="5077"/>
        <w:gridCol w:w="4211"/>
      </w:tblGrid>
      <w:tr w:rsidR="000A7D9D" w:rsidRPr="00EC1412" w14:paraId="50047525" w14:textId="77777777" w:rsidTr="00F31937">
        <w:tc>
          <w:tcPr>
            <w:tcW w:w="5077" w:type="dxa"/>
            <w:tcBorders>
              <w:top w:val="nil"/>
              <w:left w:val="nil"/>
              <w:bottom w:val="nil"/>
              <w:right w:val="nil"/>
            </w:tcBorders>
          </w:tcPr>
          <w:p w14:paraId="7A4D6695" w14:textId="77777777" w:rsidR="000A7D9D" w:rsidRPr="00EC1412" w:rsidRDefault="000A7D9D" w:rsidP="00F31937">
            <w:pPr>
              <w:spacing w:after="120"/>
              <w:jc w:val="both"/>
              <w:rPr>
                <w:noProof/>
                <w:sz w:val="22"/>
                <w:szCs w:val="22"/>
              </w:rPr>
            </w:pPr>
            <w:r w:rsidRPr="00EC1412">
              <w:rPr>
                <w:noProof/>
              </w:rPr>
              <w:drawing>
                <wp:anchor distT="0" distB="0" distL="114300" distR="114300" simplePos="0" relativeHeight="251659264" behindDoc="0" locked="0" layoutInCell="1" allowOverlap="1" wp14:anchorId="18E744DE" wp14:editId="7B49BA35">
                  <wp:simplePos x="0" y="0"/>
                  <wp:positionH relativeFrom="column">
                    <wp:posOffset>-1270</wp:posOffset>
                  </wp:positionH>
                  <wp:positionV relativeFrom="paragraph">
                    <wp:posOffset>245745</wp:posOffset>
                  </wp:positionV>
                  <wp:extent cx="3086973" cy="2171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973" cy="2171700"/>
                          </a:xfrm>
                          <a:prstGeom prst="rect">
                            <a:avLst/>
                          </a:prstGeom>
                          <a:noFill/>
                        </pic:spPr>
                      </pic:pic>
                    </a:graphicData>
                  </a:graphic>
                </wp:anchor>
              </w:drawing>
            </w:r>
          </w:p>
        </w:tc>
        <w:tc>
          <w:tcPr>
            <w:tcW w:w="4211" w:type="dxa"/>
            <w:tcBorders>
              <w:top w:val="nil"/>
              <w:left w:val="nil"/>
              <w:bottom w:val="nil"/>
              <w:right w:val="nil"/>
            </w:tcBorders>
          </w:tcPr>
          <w:p w14:paraId="0665622F" w14:textId="77777777" w:rsidR="000A7D9D" w:rsidRPr="00EC1412" w:rsidRDefault="000A7D9D" w:rsidP="00F31937">
            <w:pPr>
              <w:jc w:val="both"/>
              <w:rPr>
                <w:noProof/>
                <w:sz w:val="22"/>
                <w:szCs w:val="22"/>
              </w:rPr>
            </w:pPr>
            <w:r w:rsidRPr="6017A922">
              <w:rPr>
                <w:noProof/>
                <w:sz w:val="22"/>
                <w:szCs w:val="22"/>
              </w:rPr>
              <w:t>The key drivers  that one substance, one assessment approach intends to address are:</w:t>
            </w:r>
          </w:p>
          <w:p w14:paraId="7A7468E2" w14:textId="77777777" w:rsidR="000A7D9D" w:rsidRPr="00EC1412" w:rsidRDefault="000A7D9D" w:rsidP="000A7D9D">
            <w:pPr>
              <w:pStyle w:val="ListParagraph"/>
              <w:numPr>
                <w:ilvl w:val="0"/>
                <w:numId w:val="10"/>
              </w:numPr>
              <w:spacing w:after="120"/>
              <w:jc w:val="both"/>
              <w:rPr>
                <w:noProof/>
                <w:sz w:val="22"/>
                <w:szCs w:val="22"/>
              </w:rPr>
            </w:pPr>
            <w:r w:rsidRPr="00EC1412">
              <w:rPr>
                <w:noProof/>
                <w:sz w:val="22"/>
                <w:szCs w:val="22"/>
              </w:rPr>
              <w:t>Assessments are initiated under various pieces of legislation, by various actors and at different points in time;</w:t>
            </w:r>
          </w:p>
          <w:p w14:paraId="5EE88EB3" w14:textId="77777777" w:rsidR="000A7D9D" w:rsidRPr="00EC1412" w:rsidRDefault="000A7D9D" w:rsidP="000A7D9D">
            <w:pPr>
              <w:pStyle w:val="ListParagraph"/>
              <w:numPr>
                <w:ilvl w:val="0"/>
                <w:numId w:val="10"/>
              </w:numPr>
              <w:spacing w:after="120"/>
              <w:jc w:val="both"/>
              <w:rPr>
                <w:noProof/>
                <w:sz w:val="22"/>
                <w:szCs w:val="22"/>
              </w:rPr>
            </w:pPr>
            <w:r w:rsidRPr="6017A922">
              <w:rPr>
                <w:noProof/>
                <w:sz w:val="22"/>
                <w:szCs w:val="22"/>
              </w:rPr>
              <w:t>Assessments are performed by various agencies, scientific committees, expert groups or external consultants;</w:t>
            </w:r>
          </w:p>
          <w:p w14:paraId="1AB758BF" w14:textId="77777777" w:rsidR="000A7D9D" w:rsidRPr="00EC1412" w:rsidRDefault="000A7D9D" w:rsidP="000A7D9D">
            <w:pPr>
              <w:pStyle w:val="ListParagraph"/>
              <w:numPr>
                <w:ilvl w:val="0"/>
                <w:numId w:val="10"/>
              </w:numPr>
              <w:spacing w:after="120"/>
              <w:jc w:val="both"/>
              <w:rPr>
                <w:noProof/>
                <w:sz w:val="22"/>
                <w:szCs w:val="22"/>
              </w:rPr>
            </w:pPr>
            <w:r w:rsidRPr="00EC1412">
              <w:rPr>
                <w:noProof/>
                <w:sz w:val="22"/>
                <w:szCs w:val="22"/>
              </w:rPr>
              <w:t>Assessments are using various data and they varies in their availability, accessibility, quality and are stored in different formats;</w:t>
            </w:r>
          </w:p>
          <w:p w14:paraId="06D46A90" w14:textId="77777777" w:rsidR="000A7D9D" w:rsidRPr="00EC1412" w:rsidRDefault="000A7D9D" w:rsidP="000A7D9D">
            <w:pPr>
              <w:pStyle w:val="ListParagraph"/>
              <w:numPr>
                <w:ilvl w:val="0"/>
                <w:numId w:val="10"/>
              </w:numPr>
              <w:spacing w:after="120"/>
              <w:jc w:val="both"/>
              <w:rPr>
                <w:noProof/>
                <w:sz w:val="22"/>
                <w:szCs w:val="22"/>
              </w:rPr>
            </w:pPr>
            <w:r w:rsidRPr="00EC1412">
              <w:rPr>
                <w:noProof/>
                <w:sz w:val="22"/>
                <w:szCs w:val="22"/>
              </w:rPr>
              <w:t>Assessments are using various methodologies and guidance documents;</w:t>
            </w:r>
          </w:p>
          <w:p w14:paraId="1E08BB41" w14:textId="77777777" w:rsidR="000A7D9D" w:rsidRPr="00EC1412" w:rsidRDefault="000A7D9D" w:rsidP="000A7D9D">
            <w:pPr>
              <w:pStyle w:val="ListParagraph"/>
              <w:numPr>
                <w:ilvl w:val="0"/>
                <w:numId w:val="10"/>
              </w:numPr>
              <w:spacing w:after="120"/>
              <w:jc w:val="both"/>
              <w:rPr>
                <w:noProof/>
                <w:sz w:val="22"/>
                <w:szCs w:val="22"/>
              </w:rPr>
            </w:pPr>
            <w:r w:rsidRPr="00EC1412">
              <w:rPr>
                <w:noProof/>
                <w:sz w:val="22"/>
                <w:szCs w:val="22"/>
              </w:rPr>
              <w:t>Various transparency rules and practices are applied</w:t>
            </w:r>
            <w:r>
              <w:rPr>
                <w:noProof/>
                <w:sz w:val="22"/>
                <w:szCs w:val="22"/>
              </w:rPr>
              <w:t>.</w:t>
            </w:r>
          </w:p>
        </w:tc>
      </w:tr>
    </w:tbl>
    <w:p w14:paraId="560EDFB0" w14:textId="77777777" w:rsidR="000A7D9D" w:rsidRPr="00EC1412" w:rsidRDefault="000A7D9D" w:rsidP="000A7D9D">
      <w:pPr>
        <w:spacing w:after="120"/>
        <w:jc w:val="both"/>
        <w:rPr>
          <w:rFonts w:ascii="Times New Roman" w:hAnsi="Times New Roman" w:cs="Times New Roman"/>
          <w:noProof/>
        </w:rPr>
      </w:pPr>
      <w:r w:rsidRPr="6017A922">
        <w:rPr>
          <w:rFonts w:ascii="Times New Roman" w:hAnsi="Times New Roman" w:cs="Times New Roman"/>
          <w:noProof/>
        </w:rPr>
        <w:t>The key problems arising from these drivers that the legislative proposals on (re-)attribution of tasks to EU Agencies aim to address are:</w:t>
      </w:r>
    </w:p>
    <w:p w14:paraId="13A83536" w14:textId="77777777" w:rsidR="000A7D9D" w:rsidRPr="00EC1412" w:rsidRDefault="000A7D9D" w:rsidP="000A7D9D">
      <w:pPr>
        <w:pStyle w:val="ListParagraph"/>
        <w:numPr>
          <w:ilvl w:val="0"/>
          <w:numId w:val="9"/>
        </w:numPr>
        <w:ind w:left="714" w:hanging="357"/>
        <w:jc w:val="both"/>
        <w:rPr>
          <w:noProof/>
          <w:sz w:val="22"/>
          <w:szCs w:val="22"/>
        </w:rPr>
      </w:pPr>
      <w:r w:rsidRPr="00EC1412">
        <w:rPr>
          <w:noProof/>
          <w:sz w:val="22"/>
          <w:szCs w:val="22"/>
        </w:rPr>
        <w:t>multiple actors performing scientific and technical work;</w:t>
      </w:r>
    </w:p>
    <w:p w14:paraId="370E1D07" w14:textId="77777777" w:rsidR="000A7D9D" w:rsidRPr="00EC1412" w:rsidRDefault="000A7D9D" w:rsidP="000A7D9D">
      <w:pPr>
        <w:pStyle w:val="ListParagraph"/>
        <w:numPr>
          <w:ilvl w:val="0"/>
          <w:numId w:val="9"/>
        </w:numPr>
        <w:jc w:val="both"/>
        <w:rPr>
          <w:noProof/>
          <w:sz w:val="22"/>
          <w:szCs w:val="22"/>
        </w:rPr>
      </w:pPr>
      <w:r w:rsidRPr="00EC1412">
        <w:rPr>
          <w:noProof/>
          <w:sz w:val="22"/>
          <w:szCs w:val="22"/>
        </w:rPr>
        <w:t xml:space="preserve">varying degree of scientific robustness and procedural rigour of the actors performing scientific and technical work; </w:t>
      </w:r>
    </w:p>
    <w:p w14:paraId="337C692A" w14:textId="77777777" w:rsidR="000A7D9D" w:rsidRPr="00EC1412" w:rsidRDefault="000A7D9D" w:rsidP="000A7D9D">
      <w:pPr>
        <w:pStyle w:val="ListParagraph"/>
        <w:numPr>
          <w:ilvl w:val="0"/>
          <w:numId w:val="9"/>
        </w:numPr>
        <w:jc w:val="both"/>
        <w:rPr>
          <w:noProof/>
          <w:sz w:val="22"/>
          <w:szCs w:val="22"/>
        </w:rPr>
      </w:pPr>
      <w:r w:rsidRPr="00EC1412">
        <w:rPr>
          <w:noProof/>
          <w:sz w:val="22"/>
          <w:szCs w:val="22"/>
        </w:rPr>
        <w:t>incoherent methodologies and guidance documents;</w:t>
      </w:r>
    </w:p>
    <w:p w14:paraId="46DB3F02" w14:textId="77777777" w:rsidR="000A7D9D" w:rsidRPr="00EC1412" w:rsidRDefault="000A7D9D" w:rsidP="000A7D9D">
      <w:pPr>
        <w:pStyle w:val="ListParagraph"/>
        <w:numPr>
          <w:ilvl w:val="0"/>
          <w:numId w:val="9"/>
        </w:numPr>
        <w:spacing w:after="120"/>
        <w:contextualSpacing w:val="0"/>
        <w:jc w:val="both"/>
        <w:rPr>
          <w:noProof/>
          <w:sz w:val="22"/>
          <w:szCs w:val="22"/>
        </w:rPr>
      </w:pPr>
      <w:r w:rsidRPr="6017A922">
        <w:rPr>
          <w:noProof/>
          <w:sz w:val="22"/>
          <w:szCs w:val="22"/>
        </w:rPr>
        <w:t>insufficient cooperation and coordination among the actors performing scientific and technical work on chemicals.</w:t>
      </w:r>
    </w:p>
    <w:p w14:paraId="640D05E4" w14:textId="77777777" w:rsidR="000A7D9D" w:rsidRPr="00F74E70" w:rsidRDefault="000A7D9D" w:rsidP="000A7D9D">
      <w:pPr>
        <w:jc w:val="both"/>
        <w:rPr>
          <w:rFonts w:ascii="Times New Roman" w:hAnsi="Times New Roman" w:cs="Times New Roman"/>
          <w:noProof/>
        </w:rPr>
      </w:pPr>
      <w:r w:rsidRPr="6017A922">
        <w:rPr>
          <w:rFonts w:ascii="Times New Roman" w:hAnsi="Times New Roman" w:cs="Times New Roman"/>
          <w:noProof/>
        </w:rPr>
        <w:t>The other problems arising from these drivers are being addressed as part of other ‘one substance, one assessment’ legislative as well as non-legislative actions. For example, the problems related to complicated accessibility and availability of data underlying the assessments are being addressed by the proposal for a Regulation on establishing a common data platform on chemicals, laying down rules to ensure that the data contained in it are findable, accessible, interoperable and reusable and establishing a monitoring and outlook framework for chemicals</w:t>
      </w:r>
      <w:r>
        <w:rPr>
          <w:rFonts w:ascii="Times New Roman" w:hAnsi="Times New Roman" w:cs="Times New Roman"/>
          <w:noProof/>
        </w:rPr>
        <w:t>.</w:t>
      </w:r>
    </w:p>
    <w:p w14:paraId="62A7F7AF" w14:textId="77777777" w:rsidR="000A7D9D" w:rsidRDefault="000A7D9D" w:rsidP="000A7D9D">
      <w:pPr>
        <w:jc w:val="both"/>
        <w:rPr>
          <w:rFonts w:ascii="Times New Roman" w:hAnsi="Times New Roman" w:cs="Times New Roman"/>
          <w:noProof/>
        </w:rPr>
      </w:pPr>
      <w:r w:rsidRPr="6017A922">
        <w:rPr>
          <w:rFonts w:ascii="Times New Roman" w:hAnsi="Times New Roman" w:cs="Times New Roman"/>
          <w:noProof/>
        </w:rPr>
        <w:t xml:space="preserve">The problems have evolved as a consequence of the progressive development of the EU legislative framework for chemicals over the last 55 years and without this intervention, it will continue to persist. </w:t>
      </w:r>
    </w:p>
    <w:p w14:paraId="60D5D814" w14:textId="77777777" w:rsidR="000A7D9D" w:rsidRPr="00EC1412" w:rsidRDefault="000A7D9D" w:rsidP="000A7D9D">
      <w:pPr>
        <w:jc w:val="both"/>
        <w:rPr>
          <w:rFonts w:ascii="Times New Roman" w:hAnsi="Times New Roman" w:cs="Times New Roman"/>
          <w:noProof/>
        </w:rPr>
      </w:pPr>
    </w:p>
    <w:p w14:paraId="06CF5980" w14:textId="77777777" w:rsidR="000A7D9D" w:rsidRPr="00CB3F79" w:rsidRDefault="000A7D9D" w:rsidP="000A7D9D">
      <w:pPr>
        <w:pStyle w:val="Heading1"/>
        <w:keepLines w:val="0"/>
        <w:widowControl/>
        <w:numPr>
          <w:ilvl w:val="0"/>
          <w:numId w:val="7"/>
        </w:numPr>
        <w:tabs>
          <w:tab w:val="num" w:pos="480"/>
        </w:tabs>
        <w:snapToGrid/>
        <w:spacing w:before="240"/>
        <w:ind w:left="480" w:hanging="480"/>
        <w:jc w:val="both"/>
        <w:rPr>
          <w:rFonts w:ascii="Times New Roman" w:hAnsi="Times New Roman"/>
          <w:smallCaps/>
          <w:noProof/>
          <w:color w:val="auto"/>
          <w:sz w:val="24"/>
          <w:szCs w:val="20"/>
          <w:lang w:eastAsia="en-US"/>
        </w:rPr>
      </w:pPr>
      <w:bookmarkStart w:id="6" w:name="_Toc150499892"/>
      <w:r w:rsidRPr="00CB3F79">
        <w:rPr>
          <w:rFonts w:ascii="Times New Roman" w:hAnsi="Times New Roman"/>
          <w:smallCaps/>
          <w:noProof/>
          <w:color w:val="auto"/>
          <w:sz w:val="24"/>
          <w:szCs w:val="20"/>
          <w:lang w:eastAsia="en-US"/>
        </w:rPr>
        <w:t>Objectives: What is to be achieved?</w:t>
      </w:r>
      <w:bookmarkEnd w:id="6"/>
      <w:r w:rsidRPr="00CB3F79">
        <w:rPr>
          <w:rFonts w:ascii="Times New Roman" w:hAnsi="Times New Roman"/>
          <w:smallCaps/>
          <w:noProof/>
          <w:color w:val="auto"/>
          <w:sz w:val="24"/>
          <w:szCs w:val="20"/>
          <w:lang w:eastAsia="en-US"/>
        </w:rPr>
        <w:t xml:space="preserve"> </w:t>
      </w:r>
    </w:p>
    <w:p w14:paraId="5BA93BFF" w14:textId="77777777" w:rsidR="000A7D9D" w:rsidRPr="00EC1412" w:rsidRDefault="000A7D9D" w:rsidP="000A7D9D">
      <w:pPr>
        <w:spacing w:after="120"/>
        <w:jc w:val="both"/>
        <w:rPr>
          <w:rFonts w:ascii="Times New Roman" w:hAnsi="Times New Roman" w:cs="Times New Roman"/>
          <w:noProof/>
        </w:rPr>
      </w:pPr>
      <w:r w:rsidRPr="6017A922">
        <w:rPr>
          <w:rFonts w:ascii="Times New Roman" w:hAnsi="Times New Roman" w:cs="Times New Roman"/>
          <w:noProof/>
        </w:rPr>
        <w:t>The general objective of one substance, one assessment approach and of this initiative is to ensure coherent, efficient and transparent delivery of safety assessments of chemicals across EU chemical legislation  and thus contribute to a well-functioning single market for chemicals and a high level of protection of human health and the environment from chemicals.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644"/>
      </w:tblGrid>
      <w:tr w:rsidR="000A7D9D" w:rsidRPr="00EC1412" w14:paraId="7DBBB3FF" w14:textId="77777777" w:rsidTr="00F31937">
        <w:tc>
          <w:tcPr>
            <w:tcW w:w="4644" w:type="dxa"/>
          </w:tcPr>
          <w:p w14:paraId="066F7DD5" w14:textId="77777777" w:rsidR="000A7D9D" w:rsidRPr="00EC1412" w:rsidRDefault="000A7D9D" w:rsidP="00F31937">
            <w:pPr>
              <w:jc w:val="both"/>
              <w:rPr>
                <w:noProof/>
                <w:sz w:val="22"/>
                <w:szCs w:val="22"/>
              </w:rPr>
            </w:pPr>
          </w:p>
          <w:p w14:paraId="7E3AFFD5" w14:textId="77777777" w:rsidR="000A7D9D" w:rsidRPr="00EC1412" w:rsidRDefault="000A7D9D" w:rsidP="00F31937">
            <w:pPr>
              <w:jc w:val="both"/>
              <w:rPr>
                <w:noProof/>
                <w:sz w:val="22"/>
                <w:szCs w:val="22"/>
              </w:rPr>
            </w:pPr>
          </w:p>
          <w:p w14:paraId="38759C12" w14:textId="77777777" w:rsidR="000A7D9D" w:rsidRPr="00EC1412" w:rsidRDefault="000A7D9D" w:rsidP="00F31937">
            <w:pPr>
              <w:jc w:val="both"/>
              <w:rPr>
                <w:noProof/>
                <w:sz w:val="22"/>
                <w:szCs w:val="22"/>
              </w:rPr>
            </w:pPr>
          </w:p>
          <w:p w14:paraId="12F1249A" w14:textId="77777777" w:rsidR="000A7D9D" w:rsidRPr="00EC1412" w:rsidRDefault="000A7D9D" w:rsidP="00F31937">
            <w:pPr>
              <w:jc w:val="both"/>
              <w:rPr>
                <w:noProof/>
                <w:sz w:val="22"/>
                <w:szCs w:val="22"/>
              </w:rPr>
            </w:pPr>
            <w:r w:rsidRPr="00EC1412">
              <w:rPr>
                <w:noProof/>
              </w:rPr>
              <w:drawing>
                <wp:inline distT="0" distB="0" distL="0" distR="0" wp14:anchorId="567980FC" wp14:editId="0E561599">
                  <wp:extent cx="2914650" cy="205047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4146" cy="2078256"/>
                          </a:xfrm>
                          <a:prstGeom prst="rect">
                            <a:avLst/>
                          </a:prstGeom>
                          <a:noFill/>
                        </pic:spPr>
                      </pic:pic>
                    </a:graphicData>
                  </a:graphic>
                </wp:inline>
              </w:drawing>
            </w:r>
          </w:p>
          <w:p w14:paraId="4815D50D" w14:textId="77777777" w:rsidR="000A7D9D" w:rsidRPr="00EC1412" w:rsidRDefault="000A7D9D" w:rsidP="00F31937">
            <w:pPr>
              <w:jc w:val="both"/>
              <w:rPr>
                <w:noProof/>
                <w:sz w:val="22"/>
                <w:szCs w:val="22"/>
              </w:rPr>
            </w:pPr>
          </w:p>
          <w:p w14:paraId="089B3AE7" w14:textId="77777777" w:rsidR="000A7D9D" w:rsidRPr="00EC1412" w:rsidRDefault="000A7D9D" w:rsidP="00F31937">
            <w:pPr>
              <w:jc w:val="both"/>
              <w:rPr>
                <w:noProof/>
                <w:sz w:val="22"/>
                <w:szCs w:val="22"/>
              </w:rPr>
            </w:pPr>
          </w:p>
          <w:p w14:paraId="462F67F7" w14:textId="77777777" w:rsidR="000A7D9D" w:rsidRPr="00EC1412" w:rsidRDefault="000A7D9D" w:rsidP="00F31937">
            <w:pPr>
              <w:jc w:val="both"/>
              <w:rPr>
                <w:noProof/>
                <w:sz w:val="22"/>
                <w:szCs w:val="22"/>
              </w:rPr>
            </w:pPr>
          </w:p>
        </w:tc>
        <w:tc>
          <w:tcPr>
            <w:tcW w:w="4644" w:type="dxa"/>
          </w:tcPr>
          <w:p w14:paraId="23B4437A" w14:textId="77777777" w:rsidR="000A7D9D" w:rsidRPr="00EC1412" w:rsidRDefault="000A7D9D" w:rsidP="00F31937">
            <w:pPr>
              <w:jc w:val="both"/>
              <w:rPr>
                <w:noProof/>
                <w:sz w:val="22"/>
                <w:szCs w:val="22"/>
              </w:rPr>
            </w:pPr>
            <w:r w:rsidRPr="00EC1412">
              <w:rPr>
                <w:noProof/>
                <w:sz w:val="22"/>
                <w:szCs w:val="22"/>
              </w:rPr>
              <w:t>The specific objectives of the one substance, one assessment approach are:</w:t>
            </w:r>
          </w:p>
          <w:p w14:paraId="558D6381" w14:textId="77777777" w:rsidR="000A7D9D" w:rsidRPr="00EC1412" w:rsidRDefault="000A7D9D" w:rsidP="000A7D9D">
            <w:pPr>
              <w:pStyle w:val="ListParagraph"/>
              <w:numPr>
                <w:ilvl w:val="0"/>
                <w:numId w:val="12"/>
              </w:numPr>
              <w:ind w:left="304" w:hanging="304"/>
              <w:jc w:val="both"/>
              <w:rPr>
                <w:noProof/>
                <w:sz w:val="22"/>
                <w:szCs w:val="22"/>
              </w:rPr>
            </w:pPr>
            <w:r w:rsidRPr="00EC1412">
              <w:rPr>
                <w:noProof/>
                <w:sz w:val="22"/>
                <w:szCs w:val="22"/>
              </w:rPr>
              <w:t>Initiation or triggering of the assessments is to the extent possible synchronised and coordinated and substances are assessed in groups rather than substance-by-substance</w:t>
            </w:r>
          </w:p>
          <w:p w14:paraId="2C2F30F1" w14:textId="77777777" w:rsidR="000A7D9D" w:rsidRPr="00EC1412" w:rsidRDefault="000A7D9D" w:rsidP="000A7D9D">
            <w:pPr>
              <w:pStyle w:val="ListParagraph"/>
              <w:numPr>
                <w:ilvl w:val="0"/>
                <w:numId w:val="12"/>
              </w:numPr>
              <w:ind w:left="304" w:hanging="304"/>
              <w:jc w:val="both"/>
              <w:rPr>
                <w:noProof/>
                <w:sz w:val="22"/>
                <w:szCs w:val="22"/>
              </w:rPr>
            </w:pPr>
            <w:r w:rsidRPr="00EC1412">
              <w:rPr>
                <w:noProof/>
                <w:sz w:val="22"/>
                <w:szCs w:val="22"/>
              </w:rPr>
              <w:t>Responsibilities for performing the assessment are clear and allocated to make the best use of available expertise and resources and there is a good cooperation among all players</w:t>
            </w:r>
          </w:p>
          <w:p w14:paraId="297568AA" w14:textId="77777777" w:rsidR="000A7D9D" w:rsidRPr="00EC1412" w:rsidRDefault="000A7D9D" w:rsidP="000A7D9D">
            <w:pPr>
              <w:pStyle w:val="ListParagraph"/>
              <w:numPr>
                <w:ilvl w:val="0"/>
                <w:numId w:val="12"/>
              </w:numPr>
              <w:ind w:left="304" w:hanging="304"/>
              <w:jc w:val="both"/>
              <w:rPr>
                <w:noProof/>
                <w:sz w:val="22"/>
                <w:szCs w:val="22"/>
              </w:rPr>
            </w:pPr>
            <w:r w:rsidRPr="00EC1412">
              <w:rPr>
                <w:noProof/>
                <w:sz w:val="22"/>
                <w:szCs w:val="22"/>
              </w:rPr>
              <w:t>Assessments have access to all available data without technical and administrative burden</w:t>
            </w:r>
          </w:p>
          <w:p w14:paraId="183D16CE" w14:textId="77777777" w:rsidR="000A7D9D" w:rsidRPr="00EC1412" w:rsidRDefault="000A7D9D" w:rsidP="000A7D9D">
            <w:pPr>
              <w:pStyle w:val="ListParagraph"/>
              <w:numPr>
                <w:ilvl w:val="0"/>
                <w:numId w:val="12"/>
              </w:numPr>
              <w:ind w:left="304" w:hanging="304"/>
              <w:jc w:val="both"/>
              <w:rPr>
                <w:noProof/>
                <w:sz w:val="22"/>
                <w:szCs w:val="22"/>
              </w:rPr>
            </w:pPr>
            <w:r w:rsidRPr="00EC1412">
              <w:rPr>
                <w:noProof/>
                <w:sz w:val="22"/>
                <w:szCs w:val="22"/>
              </w:rPr>
              <w:t>Methodologies used are coherent and to the extent possible harmonised</w:t>
            </w:r>
          </w:p>
          <w:p w14:paraId="7AA09687" w14:textId="77777777" w:rsidR="000A7D9D" w:rsidRPr="00EC1412" w:rsidRDefault="000A7D9D" w:rsidP="000A7D9D">
            <w:pPr>
              <w:pStyle w:val="ListParagraph"/>
              <w:numPr>
                <w:ilvl w:val="0"/>
                <w:numId w:val="12"/>
              </w:numPr>
              <w:ind w:left="304" w:hanging="304"/>
              <w:jc w:val="both"/>
              <w:rPr>
                <w:noProof/>
                <w:sz w:val="22"/>
                <w:szCs w:val="22"/>
              </w:rPr>
            </w:pPr>
            <w:r w:rsidRPr="00EC1412">
              <w:rPr>
                <w:noProof/>
                <w:sz w:val="22"/>
                <w:szCs w:val="22"/>
              </w:rPr>
              <w:t>There is a high level of transparency in performing assessments as well as in the underlying scientific data and information</w:t>
            </w:r>
          </w:p>
        </w:tc>
      </w:tr>
    </w:tbl>
    <w:p w14:paraId="24F540B0" w14:textId="77777777" w:rsidR="000A7D9D" w:rsidRPr="00EC1412" w:rsidRDefault="000A7D9D" w:rsidP="000A7D9D">
      <w:pPr>
        <w:jc w:val="both"/>
        <w:rPr>
          <w:rFonts w:ascii="Times New Roman" w:hAnsi="Times New Roman" w:cs="Times New Roman"/>
          <w:noProof/>
        </w:rPr>
      </w:pPr>
      <w:r w:rsidRPr="6017A922">
        <w:rPr>
          <w:rFonts w:ascii="Times New Roman" w:hAnsi="Times New Roman" w:cs="Times New Roman"/>
          <w:noProof/>
        </w:rPr>
        <w:t>The specific objectives of the legislative proposals on (re-)attribution of tasks to EU Agencies</w:t>
      </w:r>
      <w:r>
        <w:rPr>
          <w:noProof/>
        </w:rPr>
        <w:t xml:space="preserve"> </w:t>
      </w:r>
      <w:r w:rsidRPr="6017A922">
        <w:rPr>
          <w:rFonts w:ascii="Times New Roman" w:hAnsi="Times New Roman" w:cs="Times New Roman"/>
          <w:noProof/>
        </w:rPr>
        <w:t>are one step to achieve the one substance, one assessment approach. They are to ensure that:</w:t>
      </w:r>
    </w:p>
    <w:p w14:paraId="6FBF6DEF" w14:textId="77777777" w:rsidR="000A7D9D" w:rsidRPr="00EC1412" w:rsidRDefault="000A7D9D" w:rsidP="000A7D9D">
      <w:pPr>
        <w:pStyle w:val="ListParagraph"/>
        <w:numPr>
          <w:ilvl w:val="0"/>
          <w:numId w:val="11"/>
        </w:numPr>
        <w:jc w:val="both"/>
        <w:rPr>
          <w:noProof/>
          <w:sz w:val="22"/>
          <w:szCs w:val="22"/>
        </w:rPr>
      </w:pPr>
      <w:r w:rsidRPr="00EC1412">
        <w:rPr>
          <w:noProof/>
          <w:sz w:val="22"/>
          <w:szCs w:val="22"/>
        </w:rPr>
        <w:t>allocation of responsibilities for performing the assessments and the underlying technical and scientific work on chemicals is clear, exploits and maximises synergies and makes the best use of available expertise and resources;</w:t>
      </w:r>
    </w:p>
    <w:p w14:paraId="1DE96D67" w14:textId="77777777" w:rsidR="000A7D9D" w:rsidRPr="00EC1412" w:rsidRDefault="000A7D9D" w:rsidP="000A7D9D">
      <w:pPr>
        <w:pStyle w:val="ListParagraph"/>
        <w:numPr>
          <w:ilvl w:val="0"/>
          <w:numId w:val="11"/>
        </w:numPr>
        <w:jc w:val="both"/>
        <w:rPr>
          <w:noProof/>
          <w:sz w:val="22"/>
          <w:szCs w:val="22"/>
        </w:rPr>
      </w:pPr>
      <w:r w:rsidRPr="00EC1412">
        <w:rPr>
          <w:noProof/>
          <w:sz w:val="22"/>
          <w:szCs w:val="22"/>
        </w:rPr>
        <w:t>there is a good cooperation among all players on all aspects underling the assessment of chemicals (such as methodology development and exchange of data);</w:t>
      </w:r>
    </w:p>
    <w:p w14:paraId="1F16BA66" w14:textId="77777777" w:rsidR="000A7D9D" w:rsidRPr="00CB3F79" w:rsidRDefault="000A7D9D" w:rsidP="000A7D9D">
      <w:pPr>
        <w:pStyle w:val="ListParagraph"/>
        <w:numPr>
          <w:ilvl w:val="0"/>
          <w:numId w:val="11"/>
        </w:numPr>
        <w:jc w:val="both"/>
        <w:rPr>
          <w:noProof/>
        </w:rPr>
      </w:pPr>
      <w:r w:rsidRPr="00EC1412">
        <w:rPr>
          <w:noProof/>
          <w:sz w:val="22"/>
          <w:szCs w:val="22"/>
        </w:rPr>
        <w:t xml:space="preserve">the deliverables are of high scientific quality and the procedures are transparent and inclusive. </w:t>
      </w:r>
    </w:p>
    <w:p w14:paraId="45F99473" w14:textId="77777777" w:rsidR="000A7D9D" w:rsidRPr="00CB3F79" w:rsidRDefault="000A7D9D" w:rsidP="000A7D9D">
      <w:pPr>
        <w:pStyle w:val="Heading1"/>
        <w:keepLines w:val="0"/>
        <w:widowControl/>
        <w:numPr>
          <w:ilvl w:val="0"/>
          <w:numId w:val="7"/>
        </w:numPr>
        <w:tabs>
          <w:tab w:val="num" w:pos="480"/>
        </w:tabs>
        <w:snapToGrid/>
        <w:spacing w:before="240"/>
        <w:ind w:left="480" w:hanging="480"/>
        <w:jc w:val="both"/>
        <w:rPr>
          <w:rFonts w:ascii="Times New Roman" w:hAnsi="Times New Roman"/>
          <w:smallCaps/>
          <w:noProof/>
          <w:color w:val="auto"/>
          <w:sz w:val="24"/>
          <w:szCs w:val="20"/>
          <w:lang w:eastAsia="en-US"/>
        </w:rPr>
      </w:pPr>
      <w:bookmarkStart w:id="7" w:name="_Toc150499893"/>
      <w:r>
        <w:rPr>
          <w:rFonts w:ascii="Times New Roman" w:hAnsi="Times New Roman"/>
          <w:smallCaps/>
          <w:noProof/>
          <w:color w:val="auto"/>
          <w:sz w:val="24"/>
          <w:szCs w:val="20"/>
          <w:lang w:eastAsia="en-US"/>
        </w:rPr>
        <w:t>A</w:t>
      </w:r>
      <w:r w:rsidRPr="00CB3F79">
        <w:rPr>
          <w:rFonts w:ascii="Times New Roman" w:hAnsi="Times New Roman"/>
          <w:smallCaps/>
          <w:noProof/>
          <w:color w:val="auto"/>
          <w:sz w:val="24"/>
          <w:szCs w:val="20"/>
          <w:lang w:eastAsia="en-US"/>
        </w:rPr>
        <w:t>vailable options</w:t>
      </w:r>
      <w:bookmarkEnd w:id="7"/>
    </w:p>
    <w:p w14:paraId="12C0DEDD" w14:textId="77777777" w:rsidR="000A7D9D" w:rsidRPr="00EC1412" w:rsidRDefault="000A7D9D" w:rsidP="000A7D9D">
      <w:pPr>
        <w:spacing w:after="120"/>
        <w:jc w:val="both"/>
        <w:rPr>
          <w:rFonts w:ascii="Times New Roman" w:hAnsi="Times New Roman" w:cs="Times New Roman"/>
          <w:noProof/>
          <w:shd w:val="clear" w:color="auto" w:fill="FFFFFF"/>
        </w:rPr>
      </w:pPr>
      <w:r w:rsidRPr="00EC1412">
        <w:rPr>
          <w:rFonts w:ascii="Times New Roman" w:hAnsi="Times New Roman" w:cs="Times New Roman"/>
          <w:noProof/>
          <w:shd w:val="clear" w:color="auto" w:fill="FFFFFF"/>
        </w:rPr>
        <w:t xml:space="preserve">Considering the problem drivers and the specific objectives to be achieved, there is very little discretion on the main policy choices. The </w:t>
      </w:r>
      <w:r w:rsidRPr="00EC1412">
        <w:rPr>
          <w:rFonts w:ascii="Times New Roman" w:hAnsi="Times New Roman" w:cs="Times New Roman"/>
          <w:b/>
          <w:noProof/>
          <w:shd w:val="clear" w:color="auto" w:fill="FFFFFF"/>
        </w:rPr>
        <w:t>preferred option</w:t>
      </w:r>
      <w:r w:rsidRPr="00EC1412">
        <w:rPr>
          <w:rFonts w:ascii="Times New Roman" w:hAnsi="Times New Roman" w:cs="Times New Roman"/>
          <w:noProof/>
          <w:shd w:val="clear" w:color="auto" w:fill="FFFFFF"/>
        </w:rPr>
        <w:t xml:space="preserve"> is clearly to </w:t>
      </w:r>
      <w:r w:rsidRPr="00EC1412">
        <w:rPr>
          <w:rFonts w:ascii="Times New Roman" w:hAnsi="Times New Roman" w:cs="Times New Roman"/>
          <w:b/>
          <w:noProof/>
          <w:shd w:val="clear" w:color="auto" w:fill="FFFFFF"/>
        </w:rPr>
        <w:t>consolidate the technical and scientific work on chemicals performed under the relevant pieces of EU legislation in the EU Agencies</w:t>
      </w:r>
      <w:r w:rsidRPr="00EC1412">
        <w:rPr>
          <w:rFonts w:ascii="Times New Roman" w:hAnsi="Times New Roman" w:cs="Times New Roman"/>
          <w:noProof/>
          <w:shd w:val="clear" w:color="auto" w:fill="FFFFFF"/>
        </w:rPr>
        <w:t xml:space="preserve"> and to </w:t>
      </w:r>
      <w:r w:rsidRPr="00EC1412">
        <w:rPr>
          <w:rFonts w:ascii="Times New Roman" w:hAnsi="Times New Roman" w:cs="Times New Roman"/>
          <w:b/>
          <w:noProof/>
          <w:shd w:val="clear" w:color="auto" w:fill="FFFFFF"/>
        </w:rPr>
        <w:t>strengthen the cooperation among the EU Agencies</w:t>
      </w:r>
      <w:r w:rsidRPr="00EC1412">
        <w:rPr>
          <w:rFonts w:ascii="Times New Roman" w:hAnsi="Times New Roman" w:cs="Times New Roman"/>
          <w:noProof/>
          <w:shd w:val="clear" w:color="auto" w:fill="FFFFFF"/>
        </w:rPr>
        <w:t xml:space="preserve"> as regards technical and scientific work on chemicals. The EU agencies have been founded as independent bodies with adequate funding, they maintain the necessary expertise, provide robust and high quality scientific work and follow transparent and inclusive procedures. Any other possible option (</w:t>
      </w:r>
      <w:r w:rsidRPr="00EC1412">
        <w:rPr>
          <w:rFonts w:ascii="Times New Roman" w:hAnsi="Times New Roman" w:cs="Times New Roman"/>
          <w:i/>
          <w:noProof/>
          <w:shd w:val="clear" w:color="auto" w:fill="FFFFFF"/>
        </w:rPr>
        <w:t>e.g.</w:t>
      </w:r>
      <w:r w:rsidRPr="00EC1412">
        <w:rPr>
          <w:rFonts w:ascii="Times New Roman" w:hAnsi="Times New Roman" w:cs="Times New Roman"/>
          <w:noProof/>
          <w:shd w:val="clear" w:color="auto" w:fill="FFFFFF"/>
        </w:rPr>
        <w:t xml:space="preserve"> consolidation of work at other actors than EU Agencies or bringing all the existing actors at the same level of scientific robustness and procedural transparency and ensuring cooperation among them) would be less efficient, more expensive and provide less benefits. </w:t>
      </w:r>
    </w:p>
    <w:p w14:paraId="0C328B05" w14:textId="77777777" w:rsidR="000A7D9D" w:rsidRPr="00EC1412" w:rsidRDefault="000A7D9D" w:rsidP="000A7D9D">
      <w:pPr>
        <w:spacing w:after="120"/>
        <w:jc w:val="both"/>
        <w:rPr>
          <w:rFonts w:ascii="Times New Roman" w:hAnsi="Times New Roman" w:cs="Times New Roman"/>
          <w:noProof/>
          <w:shd w:val="clear" w:color="auto" w:fill="FFFFFF"/>
        </w:rPr>
      </w:pPr>
      <w:r w:rsidRPr="00EC1412">
        <w:rPr>
          <w:rFonts w:ascii="Times New Roman" w:hAnsi="Times New Roman" w:cs="Times New Roman"/>
          <w:noProof/>
          <w:shd w:val="clear" w:color="auto" w:fill="FFFFFF"/>
        </w:rPr>
        <w:t xml:space="preserve">While the main policy option is clear and straightforward, there are sub-options as regards which tasks are suitable and useful to be reattributed to EU Agencies, which EU agency the (re-)attributed tasks should be assigned to and how and in which areas to strengthen the cooperation among the EU Agencies. </w:t>
      </w:r>
    </w:p>
    <w:p w14:paraId="0A0C0447"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Guiding principles for (re-)attribution of scientific and technical work to EU Agencies</w:t>
      </w:r>
    </w:p>
    <w:p w14:paraId="0A0CD9E2" w14:textId="77777777" w:rsidR="000A7D9D" w:rsidRPr="00EC1412" w:rsidRDefault="000A7D9D" w:rsidP="000A7D9D">
      <w:pPr>
        <w:spacing w:after="120"/>
        <w:jc w:val="both"/>
        <w:rPr>
          <w:rFonts w:ascii="Times New Roman" w:hAnsi="Times New Roman" w:cs="Times New Roman"/>
          <w:noProof/>
          <w:shd w:val="clear" w:color="auto" w:fill="FFFFFF"/>
        </w:rPr>
      </w:pPr>
      <w:r w:rsidRPr="00EC1412">
        <w:rPr>
          <w:rFonts w:ascii="Times New Roman" w:hAnsi="Times New Roman" w:cs="Times New Roman"/>
          <w:noProof/>
        </w:rPr>
        <w:t>The following guiding principles were developed and followed</w:t>
      </w:r>
      <w:r w:rsidRPr="00EC1412">
        <w:rPr>
          <w:rFonts w:ascii="Times New Roman" w:hAnsi="Times New Roman" w:cs="Times New Roman"/>
          <w:noProof/>
          <w:shd w:val="clear" w:color="auto" w:fill="FFFFFF"/>
        </w:rPr>
        <w:t xml:space="preserve"> to identify tasks for (re-)attribution to EU Agencies and to decide as to which EU Agency the task should be assigned: </w:t>
      </w:r>
    </w:p>
    <w:p w14:paraId="2A0F6E85" w14:textId="77777777" w:rsidR="000A7D9D" w:rsidRPr="00EC1412" w:rsidRDefault="000A7D9D" w:rsidP="000A7D9D">
      <w:pPr>
        <w:pStyle w:val="ListParagraph"/>
        <w:numPr>
          <w:ilvl w:val="0"/>
          <w:numId w:val="16"/>
        </w:numPr>
        <w:jc w:val="both"/>
        <w:rPr>
          <w:noProof/>
          <w:sz w:val="22"/>
          <w:szCs w:val="22"/>
        </w:rPr>
      </w:pPr>
      <w:r w:rsidRPr="00EC1412">
        <w:rPr>
          <w:noProof/>
          <w:sz w:val="22"/>
          <w:szCs w:val="22"/>
        </w:rPr>
        <w:t>The ‘</w:t>
      </w:r>
      <w:r w:rsidRPr="00EC1412">
        <w:rPr>
          <w:b/>
          <w:noProof/>
          <w:sz w:val="22"/>
          <w:szCs w:val="22"/>
        </w:rPr>
        <w:t>technical and scientific work on chemicals</w:t>
      </w:r>
      <w:r w:rsidRPr="00EC1412">
        <w:rPr>
          <w:noProof/>
          <w:sz w:val="22"/>
          <w:szCs w:val="22"/>
        </w:rPr>
        <w:t xml:space="preserve">’ </w:t>
      </w:r>
      <w:r w:rsidRPr="00EC1412">
        <w:rPr>
          <w:b/>
          <w:noProof/>
          <w:sz w:val="22"/>
          <w:szCs w:val="22"/>
        </w:rPr>
        <w:t>is considered in a broad sense</w:t>
      </w:r>
      <w:r w:rsidRPr="00EC1412">
        <w:rPr>
          <w:noProof/>
          <w:sz w:val="22"/>
          <w:szCs w:val="22"/>
        </w:rPr>
        <w:t xml:space="preserve"> and includes:</w:t>
      </w:r>
    </w:p>
    <w:p w14:paraId="2D0FBFBB" w14:textId="77777777" w:rsidR="000A7D9D" w:rsidRPr="00EC1412" w:rsidRDefault="000A7D9D" w:rsidP="000A7D9D">
      <w:pPr>
        <w:pStyle w:val="ListParagraph"/>
        <w:numPr>
          <w:ilvl w:val="0"/>
          <w:numId w:val="13"/>
        </w:numPr>
        <w:jc w:val="both"/>
        <w:rPr>
          <w:rFonts w:eastAsiaTheme="minorEastAsia"/>
          <w:noProof/>
          <w:sz w:val="22"/>
          <w:szCs w:val="22"/>
        </w:rPr>
      </w:pPr>
      <w:r w:rsidRPr="00EC1412">
        <w:rPr>
          <w:noProof/>
          <w:sz w:val="22"/>
          <w:szCs w:val="22"/>
        </w:rPr>
        <w:t xml:space="preserve">assessments of risk from, hazard of and exposure to chemicals; </w:t>
      </w:r>
    </w:p>
    <w:p w14:paraId="503B337D" w14:textId="77777777" w:rsidR="000A7D9D" w:rsidRPr="00EC1412" w:rsidRDefault="000A7D9D" w:rsidP="000A7D9D">
      <w:pPr>
        <w:pStyle w:val="ListParagraph"/>
        <w:numPr>
          <w:ilvl w:val="0"/>
          <w:numId w:val="13"/>
        </w:numPr>
        <w:jc w:val="both"/>
        <w:rPr>
          <w:noProof/>
          <w:sz w:val="22"/>
          <w:szCs w:val="22"/>
        </w:rPr>
      </w:pPr>
      <w:r w:rsidRPr="00EC1412">
        <w:rPr>
          <w:noProof/>
          <w:sz w:val="22"/>
          <w:szCs w:val="22"/>
        </w:rPr>
        <w:t xml:space="preserve">monitoring of occurrence and emissions of chemicals; </w:t>
      </w:r>
    </w:p>
    <w:p w14:paraId="0A3311FD" w14:textId="77777777" w:rsidR="000A7D9D" w:rsidRPr="00EC1412" w:rsidRDefault="000A7D9D" w:rsidP="000A7D9D">
      <w:pPr>
        <w:pStyle w:val="ListParagraph"/>
        <w:numPr>
          <w:ilvl w:val="0"/>
          <w:numId w:val="13"/>
        </w:numPr>
        <w:jc w:val="both"/>
        <w:rPr>
          <w:noProof/>
          <w:sz w:val="22"/>
          <w:szCs w:val="22"/>
        </w:rPr>
      </w:pPr>
      <w:r w:rsidRPr="00EC1412">
        <w:rPr>
          <w:noProof/>
          <w:sz w:val="22"/>
          <w:szCs w:val="22"/>
        </w:rPr>
        <w:t xml:space="preserve">determination of safe levels of chemicals for ecosystems and for humans; </w:t>
      </w:r>
    </w:p>
    <w:p w14:paraId="6445C6A3" w14:textId="77777777" w:rsidR="000A7D9D" w:rsidRPr="00EC1412" w:rsidRDefault="000A7D9D" w:rsidP="000A7D9D">
      <w:pPr>
        <w:pStyle w:val="ListParagraph"/>
        <w:numPr>
          <w:ilvl w:val="0"/>
          <w:numId w:val="13"/>
        </w:numPr>
        <w:jc w:val="both"/>
        <w:rPr>
          <w:noProof/>
          <w:sz w:val="22"/>
          <w:szCs w:val="22"/>
        </w:rPr>
      </w:pPr>
      <w:r w:rsidRPr="00EC1412">
        <w:rPr>
          <w:noProof/>
          <w:sz w:val="22"/>
          <w:szCs w:val="22"/>
        </w:rPr>
        <w:t xml:space="preserve">development of guidance documents; </w:t>
      </w:r>
    </w:p>
    <w:p w14:paraId="63E2501A" w14:textId="77777777" w:rsidR="000A7D9D" w:rsidRPr="00EC1412" w:rsidRDefault="000A7D9D" w:rsidP="000A7D9D">
      <w:pPr>
        <w:pStyle w:val="ListParagraph"/>
        <w:numPr>
          <w:ilvl w:val="0"/>
          <w:numId w:val="13"/>
        </w:numPr>
        <w:jc w:val="both"/>
        <w:rPr>
          <w:noProof/>
          <w:sz w:val="22"/>
          <w:szCs w:val="22"/>
        </w:rPr>
      </w:pPr>
      <w:r w:rsidRPr="00EC1412">
        <w:rPr>
          <w:noProof/>
          <w:sz w:val="22"/>
          <w:szCs w:val="22"/>
        </w:rPr>
        <w:t xml:space="preserve">managing scientific committees, expert groups and network of experts; </w:t>
      </w:r>
    </w:p>
    <w:p w14:paraId="7C27DD11" w14:textId="77777777" w:rsidR="000A7D9D" w:rsidRPr="00EC1412" w:rsidRDefault="000A7D9D" w:rsidP="000A7D9D">
      <w:pPr>
        <w:pStyle w:val="ListParagraph"/>
        <w:numPr>
          <w:ilvl w:val="0"/>
          <w:numId w:val="13"/>
        </w:numPr>
        <w:jc w:val="both"/>
        <w:rPr>
          <w:noProof/>
          <w:sz w:val="22"/>
          <w:szCs w:val="22"/>
        </w:rPr>
      </w:pPr>
      <w:r w:rsidRPr="00EC1412">
        <w:rPr>
          <w:noProof/>
          <w:sz w:val="22"/>
          <w:szCs w:val="22"/>
        </w:rPr>
        <w:t xml:space="preserve">collecting, analysing and hosting data and information on chemicals and associated processes; </w:t>
      </w:r>
    </w:p>
    <w:p w14:paraId="2058DD66" w14:textId="77777777" w:rsidR="000A7D9D" w:rsidRPr="00EC1412" w:rsidRDefault="000A7D9D" w:rsidP="000A7D9D">
      <w:pPr>
        <w:pStyle w:val="ListParagraph"/>
        <w:numPr>
          <w:ilvl w:val="0"/>
          <w:numId w:val="13"/>
        </w:numPr>
        <w:jc w:val="both"/>
        <w:rPr>
          <w:noProof/>
          <w:sz w:val="22"/>
          <w:szCs w:val="22"/>
        </w:rPr>
      </w:pPr>
      <w:r w:rsidRPr="00EC1412">
        <w:rPr>
          <w:noProof/>
          <w:sz w:val="22"/>
          <w:szCs w:val="22"/>
        </w:rPr>
        <w:t xml:space="preserve">hosting and operating (public) information platforms on chemicals; </w:t>
      </w:r>
    </w:p>
    <w:p w14:paraId="0C324E3A" w14:textId="77777777" w:rsidR="000A7D9D" w:rsidRPr="00EC1412" w:rsidRDefault="000A7D9D" w:rsidP="000A7D9D">
      <w:pPr>
        <w:pStyle w:val="ListParagraph"/>
        <w:numPr>
          <w:ilvl w:val="0"/>
          <w:numId w:val="13"/>
        </w:numPr>
        <w:jc w:val="both"/>
        <w:rPr>
          <w:noProof/>
          <w:sz w:val="22"/>
          <w:szCs w:val="22"/>
        </w:rPr>
      </w:pPr>
      <w:r w:rsidRPr="00EC1412">
        <w:rPr>
          <w:noProof/>
          <w:sz w:val="22"/>
          <w:szCs w:val="22"/>
        </w:rPr>
        <w:t>managing the data flows on chemicals and defining data formats; and</w:t>
      </w:r>
    </w:p>
    <w:p w14:paraId="00EFB515" w14:textId="77777777" w:rsidR="000A7D9D" w:rsidRPr="00EC1412" w:rsidRDefault="000A7D9D" w:rsidP="000A7D9D">
      <w:pPr>
        <w:pStyle w:val="ListParagraph"/>
        <w:numPr>
          <w:ilvl w:val="0"/>
          <w:numId w:val="13"/>
        </w:numPr>
        <w:spacing w:after="120"/>
        <w:ind w:left="1077" w:hanging="357"/>
        <w:contextualSpacing w:val="0"/>
        <w:jc w:val="both"/>
        <w:rPr>
          <w:noProof/>
          <w:sz w:val="22"/>
          <w:szCs w:val="22"/>
        </w:rPr>
      </w:pPr>
      <w:r w:rsidRPr="00EC1412">
        <w:rPr>
          <w:noProof/>
          <w:sz w:val="22"/>
          <w:szCs w:val="22"/>
        </w:rPr>
        <w:t xml:space="preserve">assessments of socio-economic consequences/impacts of risk management measures on chemicals. </w:t>
      </w:r>
    </w:p>
    <w:p w14:paraId="070287FA" w14:textId="77777777" w:rsidR="000A7D9D" w:rsidRPr="00EC1412" w:rsidRDefault="000A7D9D" w:rsidP="000A7D9D">
      <w:pPr>
        <w:pStyle w:val="ListParagraph"/>
        <w:numPr>
          <w:ilvl w:val="0"/>
          <w:numId w:val="16"/>
        </w:numPr>
        <w:spacing w:after="120"/>
        <w:ind w:left="714" w:hanging="357"/>
        <w:contextualSpacing w:val="0"/>
        <w:jc w:val="both"/>
        <w:rPr>
          <w:noProof/>
          <w:sz w:val="22"/>
          <w:szCs w:val="22"/>
        </w:rPr>
      </w:pPr>
      <w:r w:rsidRPr="00EC1412">
        <w:rPr>
          <w:noProof/>
          <w:sz w:val="22"/>
          <w:szCs w:val="22"/>
        </w:rPr>
        <w:t xml:space="preserve">The existing technical and scientific work on chemicals performed at EU level under, or in support of, </w:t>
      </w:r>
      <w:r w:rsidRPr="00EC1412">
        <w:rPr>
          <w:b/>
          <w:noProof/>
          <w:sz w:val="22"/>
          <w:szCs w:val="22"/>
        </w:rPr>
        <w:t>all relevant EU legislation is considered</w:t>
      </w:r>
      <w:r w:rsidRPr="00EC1412">
        <w:rPr>
          <w:noProof/>
          <w:sz w:val="22"/>
          <w:szCs w:val="22"/>
        </w:rPr>
        <w:t xml:space="preserve">. No legislation is a priory excluded. </w:t>
      </w:r>
    </w:p>
    <w:p w14:paraId="07272EC8" w14:textId="77777777" w:rsidR="000A7D9D" w:rsidRPr="00EC1412" w:rsidRDefault="000A7D9D" w:rsidP="000A7D9D">
      <w:pPr>
        <w:pStyle w:val="ListParagraph"/>
        <w:numPr>
          <w:ilvl w:val="0"/>
          <w:numId w:val="16"/>
        </w:numPr>
        <w:spacing w:after="120"/>
        <w:ind w:left="714" w:hanging="357"/>
        <w:contextualSpacing w:val="0"/>
        <w:jc w:val="both"/>
        <w:rPr>
          <w:noProof/>
          <w:sz w:val="22"/>
          <w:szCs w:val="22"/>
        </w:rPr>
      </w:pPr>
      <w:r w:rsidRPr="00EC1412">
        <w:rPr>
          <w:b/>
          <w:noProof/>
          <w:sz w:val="22"/>
          <w:szCs w:val="22"/>
        </w:rPr>
        <w:t>Consider</w:t>
      </w:r>
      <w:r w:rsidRPr="00EC1412">
        <w:rPr>
          <w:noProof/>
          <w:sz w:val="22"/>
          <w:szCs w:val="22"/>
        </w:rPr>
        <w:t xml:space="preserve"> attributing the scientific and technical work related to safety assessment of chemicals to one of the EU Agencies with a mandate related to chemicals, </w:t>
      </w:r>
      <w:r w:rsidRPr="00EC1412">
        <w:rPr>
          <w:i/>
          <w:iCs/>
          <w:noProof/>
          <w:sz w:val="22"/>
          <w:szCs w:val="22"/>
        </w:rPr>
        <w:t>i.e.</w:t>
      </w:r>
      <w:r w:rsidRPr="00EC1412">
        <w:rPr>
          <w:noProof/>
          <w:sz w:val="22"/>
          <w:szCs w:val="22"/>
        </w:rPr>
        <w:t xml:space="preserve"> </w:t>
      </w:r>
      <w:r>
        <w:rPr>
          <w:noProof/>
          <w:sz w:val="22"/>
          <w:szCs w:val="22"/>
        </w:rPr>
        <w:t xml:space="preserve">the </w:t>
      </w:r>
      <w:r w:rsidRPr="00EC1412">
        <w:rPr>
          <w:noProof/>
          <w:sz w:val="22"/>
          <w:szCs w:val="22"/>
        </w:rPr>
        <w:t>European Chemicals Agency (</w:t>
      </w:r>
      <w:r w:rsidRPr="00EC1412">
        <w:rPr>
          <w:b/>
          <w:noProof/>
          <w:sz w:val="22"/>
          <w:szCs w:val="22"/>
        </w:rPr>
        <w:t>ECHA</w:t>
      </w:r>
      <w:r w:rsidRPr="00EC1412">
        <w:rPr>
          <w:noProof/>
          <w:sz w:val="22"/>
          <w:szCs w:val="22"/>
        </w:rPr>
        <w:t xml:space="preserve">), </w:t>
      </w:r>
      <w:r>
        <w:rPr>
          <w:noProof/>
          <w:sz w:val="22"/>
          <w:szCs w:val="22"/>
        </w:rPr>
        <w:t xml:space="preserve">the </w:t>
      </w:r>
      <w:r w:rsidRPr="00EC1412">
        <w:rPr>
          <w:noProof/>
          <w:sz w:val="22"/>
          <w:szCs w:val="22"/>
        </w:rPr>
        <w:t>European Food Safety Authority (</w:t>
      </w:r>
      <w:r w:rsidRPr="00EC1412">
        <w:rPr>
          <w:b/>
          <w:noProof/>
          <w:sz w:val="22"/>
          <w:szCs w:val="22"/>
        </w:rPr>
        <w:t>EFSA</w:t>
      </w:r>
      <w:r w:rsidRPr="00EC1412">
        <w:rPr>
          <w:noProof/>
          <w:sz w:val="22"/>
          <w:szCs w:val="22"/>
        </w:rPr>
        <w:t xml:space="preserve">), </w:t>
      </w:r>
      <w:r>
        <w:rPr>
          <w:noProof/>
          <w:sz w:val="22"/>
          <w:szCs w:val="22"/>
        </w:rPr>
        <w:t xml:space="preserve">the </w:t>
      </w:r>
      <w:r w:rsidRPr="00EC1412">
        <w:rPr>
          <w:noProof/>
          <w:sz w:val="22"/>
          <w:szCs w:val="22"/>
        </w:rPr>
        <w:t>European Medicine Agency (</w:t>
      </w:r>
      <w:r w:rsidRPr="00EC1412">
        <w:rPr>
          <w:b/>
          <w:noProof/>
          <w:sz w:val="22"/>
          <w:szCs w:val="22"/>
        </w:rPr>
        <w:t>EMA</w:t>
      </w:r>
      <w:r w:rsidRPr="00EC1412">
        <w:rPr>
          <w:noProof/>
          <w:sz w:val="22"/>
          <w:szCs w:val="22"/>
        </w:rPr>
        <w:t xml:space="preserve">), </w:t>
      </w:r>
      <w:r>
        <w:rPr>
          <w:noProof/>
          <w:sz w:val="22"/>
          <w:szCs w:val="22"/>
        </w:rPr>
        <w:t xml:space="preserve">the </w:t>
      </w:r>
      <w:r w:rsidRPr="00EC1412">
        <w:rPr>
          <w:noProof/>
          <w:sz w:val="22"/>
          <w:szCs w:val="22"/>
        </w:rPr>
        <w:t>European Environment Agency (</w:t>
      </w:r>
      <w:r w:rsidRPr="00EC1412">
        <w:rPr>
          <w:b/>
          <w:noProof/>
          <w:sz w:val="22"/>
          <w:szCs w:val="22"/>
        </w:rPr>
        <w:t>EEA</w:t>
      </w:r>
      <w:r w:rsidRPr="00EC1412">
        <w:rPr>
          <w:noProof/>
          <w:sz w:val="22"/>
          <w:szCs w:val="22"/>
        </w:rPr>
        <w:t xml:space="preserve">) or </w:t>
      </w:r>
      <w:r>
        <w:rPr>
          <w:noProof/>
          <w:sz w:val="22"/>
          <w:szCs w:val="22"/>
        </w:rPr>
        <w:t xml:space="preserve">the </w:t>
      </w:r>
      <w:r w:rsidRPr="00EC1412">
        <w:rPr>
          <w:noProof/>
          <w:sz w:val="22"/>
          <w:szCs w:val="22"/>
        </w:rPr>
        <w:t>European Agency for Safety and Health at Work (</w:t>
      </w:r>
      <w:r>
        <w:rPr>
          <w:noProof/>
          <w:sz w:val="22"/>
          <w:szCs w:val="22"/>
        </w:rPr>
        <w:t>EU-</w:t>
      </w:r>
      <w:r w:rsidRPr="00EC1412">
        <w:rPr>
          <w:b/>
          <w:noProof/>
          <w:sz w:val="22"/>
          <w:szCs w:val="22"/>
        </w:rPr>
        <w:t>OSHA</w:t>
      </w:r>
      <w:r w:rsidRPr="00EC1412">
        <w:rPr>
          <w:noProof/>
          <w:sz w:val="22"/>
          <w:szCs w:val="22"/>
        </w:rPr>
        <w:t xml:space="preserve">); </w:t>
      </w:r>
    </w:p>
    <w:p w14:paraId="053A6D0A" w14:textId="77777777" w:rsidR="000A7D9D" w:rsidRPr="00EC1412" w:rsidRDefault="000A7D9D" w:rsidP="000A7D9D">
      <w:pPr>
        <w:pStyle w:val="ListParagraph"/>
        <w:numPr>
          <w:ilvl w:val="0"/>
          <w:numId w:val="16"/>
        </w:numPr>
        <w:spacing w:after="120"/>
        <w:contextualSpacing w:val="0"/>
        <w:jc w:val="both"/>
        <w:rPr>
          <w:noProof/>
          <w:sz w:val="22"/>
          <w:szCs w:val="22"/>
        </w:rPr>
      </w:pPr>
      <w:r w:rsidRPr="00EC1412">
        <w:rPr>
          <w:b/>
          <w:noProof/>
          <w:sz w:val="22"/>
          <w:szCs w:val="22"/>
        </w:rPr>
        <w:t>Ensure fit with the core focus</w:t>
      </w:r>
      <w:r w:rsidRPr="00EC1412">
        <w:rPr>
          <w:noProof/>
          <w:sz w:val="22"/>
          <w:szCs w:val="22"/>
        </w:rPr>
        <w:t xml:space="preserve"> of the EU Agencies’ work on chemicals, in terms of use of substance in specific products, the route of exposure assessed, the type of sectors covered and mission of the agency.</w:t>
      </w:r>
    </w:p>
    <w:p w14:paraId="2D75C135" w14:textId="77777777" w:rsidR="000A7D9D" w:rsidRPr="00EC1412" w:rsidRDefault="000A7D9D" w:rsidP="000A7D9D">
      <w:pPr>
        <w:spacing w:after="120"/>
        <w:jc w:val="right"/>
        <w:rPr>
          <w:rFonts w:ascii="Times New Roman" w:hAnsi="Times New Roman" w:cs="Times New Roman"/>
          <w:noProof/>
        </w:rPr>
      </w:pPr>
      <w:r w:rsidRPr="00EC1412">
        <w:rPr>
          <w:rFonts w:ascii="Times New Roman" w:hAnsi="Times New Roman" w:cs="Times New Roman"/>
          <w:noProof/>
          <w:lang w:eastAsia="en-GB"/>
        </w:rPr>
        <w:drawing>
          <wp:inline distT="0" distB="0" distL="0" distR="0" wp14:anchorId="17873E17" wp14:editId="1EC2104D">
            <wp:extent cx="5607685" cy="1798744"/>
            <wp:effectExtent l="19050" t="19050" r="1206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 t="14912" r="-55" b="1580"/>
                    <a:stretch/>
                  </pic:blipFill>
                  <pic:spPr bwMode="auto">
                    <a:xfrm>
                      <a:off x="0" y="0"/>
                      <a:ext cx="5661647" cy="181605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81E2AA" w14:textId="77777777" w:rsidR="000A7D9D" w:rsidRPr="00EC1412" w:rsidRDefault="000A7D9D" w:rsidP="000A7D9D">
      <w:pPr>
        <w:pStyle w:val="ListParagraph"/>
        <w:numPr>
          <w:ilvl w:val="0"/>
          <w:numId w:val="16"/>
        </w:numPr>
        <w:spacing w:after="120"/>
        <w:jc w:val="both"/>
        <w:rPr>
          <w:noProof/>
          <w:sz w:val="22"/>
          <w:szCs w:val="22"/>
        </w:rPr>
      </w:pPr>
      <w:r w:rsidRPr="00EC1412">
        <w:rPr>
          <w:b/>
          <w:noProof/>
          <w:sz w:val="22"/>
          <w:szCs w:val="22"/>
        </w:rPr>
        <w:t>Maximize synergies and coherence</w:t>
      </w:r>
      <w:r w:rsidRPr="00EC1412">
        <w:rPr>
          <w:noProof/>
          <w:sz w:val="22"/>
          <w:szCs w:val="22"/>
        </w:rPr>
        <w:t xml:space="preserve"> with ongoing activities, by attributing new activities on the basis of similarity with:</w:t>
      </w:r>
    </w:p>
    <w:p w14:paraId="26E14BC5" w14:textId="77777777" w:rsidR="000A7D9D" w:rsidRPr="00EC1412" w:rsidRDefault="000A7D9D" w:rsidP="000A7D9D">
      <w:pPr>
        <w:pStyle w:val="ListParagraph"/>
        <w:numPr>
          <w:ilvl w:val="1"/>
          <w:numId w:val="14"/>
        </w:numPr>
        <w:spacing w:after="120"/>
        <w:rPr>
          <w:noProof/>
          <w:sz w:val="22"/>
          <w:szCs w:val="22"/>
        </w:rPr>
      </w:pPr>
      <w:r w:rsidRPr="00EC1412">
        <w:rPr>
          <w:noProof/>
          <w:sz w:val="22"/>
          <w:szCs w:val="22"/>
        </w:rPr>
        <w:t xml:space="preserve">Substances, data and data flows currently managed by the Agency; </w:t>
      </w:r>
    </w:p>
    <w:p w14:paraId="2C2482A5" w14:textId="77777777" w:rsidR="000A7D9D" w:rsidRPr="00EC1412" w:rsidRDefault="000A7D9D" w:rsidP="000A7D9D">
      <w:pPr>
        <w:pStyle w:val="ListParagraph"/>
        <w:numPr>
          <w:ilvl w:val="1"/>
          <w:numId w:val="14"/>
        </w:numPr>
        <w:spacing w:after="120"/>
        <w:rPr>
          <w:noProof/>
          <w:sz w:val="22"/>
          <w:szCs w:val="22"/>
        </w:rPr>
      </w:pPr>
      <w:r w:rsidRPr="00EC1412">
        <w:rPr>
          <w:noProof/>
          <w:sz w:val="22"/>
          <w:szCs w:val="22"/>
        </w:rPr>
        <w:t>Existing expertise and competence;</w:t>
      </w:r>
    </w:p>
    <w:p w14:paraId="0FB4CD5F" w14:textId="77777777" w:rsidR="000A7D9D" w:rsidRPr="00EC1412" w:rsidRDefault="000A7D9D" w:rsidP="000A7D9D">
      <w:pPr>
        <w:pStyle w:val="ListParagraph"/>
        <w:numPr>
          <w:ilvl w:val="1"/>
          <w:numId w:val="14"/>
        </w:numPr>
        <w:spacing w:after="120"/>
        <w:rPr>
          <w:noProof/>
          <w:sz w:val="22"/>
          <w:szCs w:val="22"/>
        </w:rPr>
      </w:pPr>
      <w:r w:rsidRPr="00EC1412">
        <w:rPr>
          <w:noProof/>
          <w:sz w:val="22"/>
          <w:szCs w:val="22"/>
        </w:rPr>
        <w:t xml:space="preserve">Output being provided by the Agency; </w:t>
      </w:r>
    </w:p>
    <w:p w14:paraId="2637740B" w14:textId="77777777" w:rsidR="000A7D9D" w:rsidRPr="00EC1412" w:rsidRDefault="000A7D9D" w:rsidP="000A7D9D">
      <w:pPr>
        <w:pStyle w:val="ListParagraph"/>
        <w:numPr>
          <w:ilvl w:val="1"/>
          <w:numId w:val="14"/>
        </w:numPr>
        <w:spacing w:after="120"/>
        <w:rPr>
          <w:noProof/>
          <w:sz w:val="22"/>
          <w:szCs w:val="22"/>
        </w:rPr>
      </w:pPr>
      <w:r w:rsidRPr="00EC1412">
        <w:rPr>
          <w:noProof/>
          <w:sz w:val="22"/>
          <w:szCs w:val="22"/>
        </w:rPr>
        <w:t>Existing processes and procedures implemented by the Agency;</w:t>
      </w:r>
    </w:p>
    <w:p w14:paraId="386B8082" w14:textId="77777777" w:rsidR="000A7D9D" w:rsidRPr="00EC1412" w:rsidRDefault="000A7D9D" w:rsidP="000A7D9D">
      <w:pPr>
        <w:pStyle w:val="ListParagraph"/>
        <w:numPr>
          <w:ilvl w:val="1"/>
          <w:numId w:val="14"/>
        </w:numPr>
        <w:spacing w:after="120"/>
        <w:rPr>
          <w:noProof/>
          <w:sz w:val="22"/>
          <w:szCs w:val="22"/>
        </w:rPr>
      </w:pPr>
      <w:r w:rsidRPr="00EC1412">
        <w:rPr>
          <w:noProof/>
          <w:sz w:val="22"/>
          <w:szCs w:val="22"/>
        </w:rPr>
        <w:t xml:space="preserve">Methodologies developed and applied by the Agency; </w:t>
      </w:r>
    </w:p>
    <w:p w14:paraId="0F2DC765" w14:textId="77777777" w:rsidR="000A7D9D" w:rsidRPr="00EC1412" w:rsidRDefault="000A7D9D" w:rsidP="000A7D9D">
      <w:pPr>
        <w:pStyle w:val="ListParagraph"/>
        <w:numPr>
          <w:ilvl w:val="1"/>
          <w:numId w:val="14"/>
        </w:numPr>
        <w:spacing w:after="120"/>
        <w:rPr>
          <w:noProof/>
          <w:sz w:val="22"/>
          <w:szCs w:val="22"/>
        </w:rPr>
      </w:pPr>
      <w:r w:rsidRPr="00EC1412">
        <w:rPr>
          <w:noProof/>
          <w:sz w:val="22"/>
          <w:szCs w:val="22"/>
        </w:rPr>
        <w:t>Existing IT tools and planned developments;</w:t>
      </w:r>
    </w:p>
    <w:p w14:paraId="6A47267C" w14:textId="77777777" w:rsidR="000A7D9D" w:rsidRPr="00EC1412" w:rsidRDefault="000A7D9D" w:rsidP="000A7D9D">
      <w:pPr>
        <w:pStyle w:val="ListParagraph"/>
        <w:numPr>
          <w:ilvl w:val="1"/>
          <w:numId w:val="14"/>
        </w:numPr>
        <w:spacing w:after="120"/>
        <w:contextualSpacing w:val="0"/>
        <w:rPr>
          <w:noProof/>
          <w:sz w:val="22"/>
          <w:szCs w:val="22"/>
        </w:rPr>
      </w:pPr>
      <w:r w:rsidRPr="00EC1412">
        <w:rPr>
          <w:noProof/>
          <w:sz w:val="22"/>
          <w:szCs w:val="22"/>
        </w:rPr>
        <w:t>Networks of experts or committees governed or managed by the Agency.</w:t>
      </w:r>
    </w:p>
    <w:p w14:paraId="469C571C" w14:textId="77777777" w:rsidR="000A7D9D" w:rsidRDefault="000A7D9D" w:rsidP="000A7D9D">
      <w:pPr>
        <w:pStyle w:val="ListParagraph"/>
        <w:numPr>
          <w:ilvl w:val="0"/>
          <w:numId w:val="16"/>
        </w:numPr>
        <w:jc w:val="both"/>
        <w:rPr>
          <w:noProof/>
          <w:sz w:val="22"/>
          <w:szCs w:val="22"/>
        </w:rPr>
      </w:pPr>
      <w:r w:rsidRPr="6017A922">
        <w:rPr>
          <w:noProof/>
          <w:sz w:val="22"/>
          <w:szCs w:val="22"/>
        </w:rPr>
        <w:t>Strive  that the (re-)attribution of tasks brings synergies and benefits to the Union beyond a mere shift of responsibilities.</w:t>
      </w:r>
    </w:p>
    <w:p w14:paraId="76C6B4DF" w14:textId="77777777" w:rsidR="000A7D9D" w:rsidRPr="00557B0C" w:rsidRDefault="000A7D9D" w:rsidP="000A7D9D">
      <w:pPr>
        <w:pStyle w:val="ListParagraph"/>
        <w:jc w:val="both"/>
        <w:rPr>
          <w:noProof/>
          <w:sz w:val="22"/>
          <w:szCs w:val="22"/>
        </w:rPr>
      </w:pPr>
    </w:p>
    <w:p w14:paraId="4015B7D6" w14:textId="77777777" w:rsidR="000A7D9D" w:rsidRPr="00EC1412" w:rsidRDefault="000A7D9D" w:rsidP="000A7D9D">
      <w:pPr>
        <w:spacing w:before="240" w:after="120" w:line="240" w:lineRule="auto"/>
        <w:jc w:val="both"/>
        <w:rPr>
          <w:rFonts w:ascii="Times New Roman" w:hAnsi="Times New Roman" w:cs="Times New Roman"/>
          <w:i/>
          <w:iCs/>
          <w:noProof/>
        </w:rPr>
      </w:pPr>
      <w:r w:rsidRPr="6017A922">
        <w:rPr>
          <w:rFonts w:ascii="Times New Roman" w:hAnsi="Times New Roman" w:cs="Times New Roman"/>
          <w:i/>
          <w:iCs/>
          <w:noProof/>
        </w:rPr>
        <w:t xml:space="preserve">Solutions to strengthen the cooperation among the EU Agencies </w:t>
      </w:r>
    </w:p>
    <w:p w14:paraId="1C3A6B14" w14:textId="77777777" w:rsidR="000A7D9D" w:rsidRPr="00EC1412" w:rsidRDefault="000A7D9D" w:rsidP="000A7D9D">
      <w:pPr>
        <w:spacing w:after="120"/>
        <w:jc w:val="both"/>
        <w:rPr>
          <w:rFonts w:ascii="Times New Roman" w:hAnsi="Times New Roman" w:cs="Times New Roman"/>
          <w:noProof/>
        </w:rPr>
      </w:pPr>
      <w:r w:rsidRPr="6017A922">
        <w:rPr>
          <w:rFonts w:ascii="Times New Roman" w:hAnsi="Times New Roman" w:cs="Times New Roman"/>
          <w:noProof/>
        </w:rPr>
        <w:t xml:space="preserve">The following solutions were identified for strengthening the cooperation among the EU Agencies: </w:t>
      </w:r>
    </w:p>
    <w:p w14:paraId="082AAC0C" w14:textId="77777777" w:rsidR="000A7D9D" w:rsidRPr="00EC1412" w:rsidRDefault="000A7D9D" w:rsidP="000A7D9D">
      <w:pPr>
        <w:pStyle w:val="ListParagraph"/>
        <w:numPr>
          <w:ilvl w:val="0"/>
          <w:numId w:val="17"/>
        </w:numPr>
        <w:jc w:val="both"/>
        <w:rPr>
          <w:noProof/>
          <w:sz w:val="22"/>
          <w:szCs w:val="22"/>
        </w:rPr>
      </w:pPr>
      <w:r w:rsidRPr="00EC1412">
        <w:rPr>
          <w:noProof/>
          <w:sz w:val="22"/>
          <w:szCs w:val="22"/>
        </w:rPr>
        <w:t xml:space="preserve">All agencies have equal legal obligations to cooperate with other agencies. The areas to be covered are those identified under the one substance, one assessment as affecting the coherence and efficiency of the assessments of chemicals, such as </w:t>
      </w:r>
    </w:p>
    <w:p w14:paraId="6816EA4D" w14:textId="77777777" w:rsidR="000A7D9D" w:rsidRPr="00EC1412" w:rsidRDefault="000A7D9D" w:rsidP="000A7D9D">
      <w:pPr>
        <w:pStyle w:val="ListParagraph"/>
        <w:numPr>
          <w:ilvl w:val="0"/>
          <w:numId w:val="15"/>
        </w:numPr>
        <w:jc w:val="both"/>
        <w:rPr>
          <w:noProof/>
          <w:sz w:val="22"/>
          <w:szCs w:val="22"/>
        </w:rPr>
      </w:pPr>
      <w:r w:rsidRPr="00EC1412">
        <w:rPr>
          <w:noProof/>
          <w:sz w:val="22"/>
          <w:szCs w:val="22"/>
        </w:rPr>
        <w:t xml:space="preserve">development of methodologies, </w:t>
      </w:r>
    </w:p>
    <w:p w14:paraId="522770AD" w14:textId="77777777" w:rsidR="000A7D9D" w:rsidRPr="00EC1412" w:rsidRDefault="000A7D9D" w:rsidP="000A7D9D">
      <w:pPr>
        <w:pStyle w:val="ListParagraph"/>
        <w:numPr>
          <w:ilvl w:val="0"/>
          <w:numId w:val="15"/>
        </w:numPr>
        <w:jc w:val="both"/>
        <w:rPr>
          <w:noProof/>
          <w:sz w:val="22"/>
          <w:szCs w:val="22"/>
        </w:rPr>
      </w:pPr>
      <w:r w:rsidRPr="00EC1412">
        <w:rPr>
          <w:noProof/>
          <w:sz w:val="22"/>
          <w:szCs w:val="22"/>
        </w:rPr>
        <w:t xml:space="preserve">development of formats and controlled vocabularies, </w:t>
      </w:r>
    </w:p>
    <w:p w14:paraId="4E1A7B7B" w14:textId="77777777" w:rsidR="000A7D9D" w:rsidRPr="00EC1412" w:rsidRDefault="000A7D9D" w:rsidP="000A7D9D">
      <w:pPr>
        <w:pStyle w:val="ListParagraph"/>
        <w:numPr>
          <w:ilvl w:val="0"/>
          <w:numId w:val="15"/>
        </w:numPr>
        <w:spacing w:after="120"/>
        <w:ind w:left="714" w:hanging="357"/>
        <w:contextualSpacing w:val="0"/>
        <w:jc w:val="both"/>
        <w:rPr>
          <w:noProof/>
          <w:sz w:val="22"/>
          <w:szCs w:val="22"/>
        </w:rPr>
      </w:pPr>
      <w:r w:rsidRPr="00EC1412">
        <w:rPr>
          <w:noProof/>
          <w:sz w:val="22"/>
          <w:szCs w:val="22"/>
        </w:rPr>
        <w:t>exchange of data and information related to chemicals and their assessment.</w:t>
      </w:r>
    </w:p>
    <w:p w14:paraId="69000755" w14:textId="77777777" w:rsidR="000A7D9D" w:rsidRPr="00EC1412" w:rsidRDefault="000A7D9D" w:rsidP="000A7D9D">
      <w:pPr>
        <w:pStyle w:val="ListParagraph"/>
        <w:numPr>
          <w:ilvl w:val="0"/>
          <w:numId w:val="17"/>
        </w:numPr>
        <w:spacing w:after="120"/>
        <w:ind w:left="357" w:hanging="357"/>
        <w:contextualSpacing w:val="0"/>
        <w:jc w:val="both"/>
        <w:rPr>
          <w:noProof/>
          <w:sz w:val="22"/>
          <w:szCs w:val="22"/>
        </w:rPr>
      </w:pPr>
      <w:r w:rsidRPr="00EC1412">
        <w:rPr>
          <w:noProof/>
          <w:sz w:val="22"/>
          <w:szCs w:val="22"/>
        </w:rPr>
        <w:t xml:space="preserve">All agencies have a clear and equal mandate to develop methodologies for assessments related to chemicals in the fields falling within their mandate and to set formats and controlled vocabularies for data and information they hold. </w:t>
      </w:r>
    </w:p>
    <w:p w14:paraId="41262610" w14:textId="77777777" w:rsidR="000A7D9D" w:rsidRPr="00EC1412" w:rsidRDefault="000A7D9D" w:rsidP="000A7D9D">
      <w:pPr>
        <w:pStyle w:val="ListParagraph"/>
        <w:numPr>
          <w:ilvl w:val="0"/>
          <w:numId w:val="17"/>
        </w:numPr>
        <w:spacing w:after="120"/>
        <w:jc w:val="both"/>
        <w:rPr>
          <w:noProof/>
          <w:sz w:val="22"/>
          <w:szCs w:val="22"/>
        </w:rPr>
      </w:pPr>
      <w:r w:rsidRPr="6017A922">
        <w:rPr>
          <w:noProof/>
          <w:sz w:val="22"/>
          <w:szCs w:val="22"/>
        </w:rPr>
        <w:t xml:space="preserve">All agencies performing the assessment of chemicals should have an obligation to cooperate to prevent the divergent opinions and if divergent opinions appear, they should cooperate to solve it. A procedure for solving the divergent opinions should be specified. </w:t>
      </w:r>
    </w:p>
    <w:p w14:paraId="6F8F1A03" w14:textId="77777777" w:rsidR="000A7D9D" w:rsidRPr="00EC1412" w:rsidRDefault="000A7D9D" w:rsidP="000A7D9D">
      <w:pPr>
        <w:jc w:val="both"/>
        <w:rPr>
          <w:rFonts w:ascii="Times New Roman" w:hAnsi="Times New Roman" w:cs="Times New Roman"/>
          <w:noProof/>
        </w:rPr>
      </w:pPr>
      <w:r w:rsidRPr="6017A922">
        <w:rPr>
          <w:rFonts w:ascii="Times New Roman" w:hAnsi="Times New Roman" w:cs="Times New Roman"/>
          <w:noProof/>
        </w:rPr>
        <w:t xml:space="preserve">The </w:t>
      </w:r>
      <w:r>
        <w:rPr>
          <w:rFonts w:ascii="Times New Roman" w:hAnsi="Times New Roman" w:cs="Times New Roman"/>
          <w:noProof/>
        </w:rPr>
        <w:t xml:space="preserve">best results in terms of </w:t>
      </w:r>
      <w:r w:rsidRPr="6017A922">
        <w:rPr>
          <w:rFonts w:ascii="Times New Roman" w:hAnsi="Times New Roman" w:cs="Times New Roman"/>
          <w:noProof/>
        </w:rPr>
        <w:t xml:space="preserve">strengthening the cooperation among the EU Agencies and </w:t>
      </w:r>
      <w:r>
        <w:rPr>
          <w:rFonts w:ascii="Times New Roman" w:hAnsi="Times New Roman" w:cs="Times New Roman"/>
          <w:noProof/>
        </w:rPr>
        <w:t xml:space="preserve"> enabling</w:t>
      </w:r>
      <w:r w:rsidRPr="6017A922">
        <w:rPr>
          <w:rFonts w:ascii="Times New Roman" w:hAnsi="Times New Roman" w:cs="Times New Roman"/>
          <w:noProof/>
        </w:rPr>
        <w:t xml:space="preserve"> coherence of scientific and technical work provided by the EU Agencies is achieved by implementing all three solutions.  Requiring cooperation among the agencies on certain areas without providing a clear mandate for those areas would not achieve the desired objective. Providing a mandate to an agency for certain areas and not obliging the cooperation among agencies might lead to even more divergence. </w:t>
      </w:r>
    </w:p>
    <w:p w14:paraId="5FE5DC00" w14:textId="77777777" w:rsidR="000A7D9D" w:rsidRPr="00CB3F79" w:rsidRDefault="000A7D9D" w:rsidP="000A7D9D">
      <w:pPr>
        <w:pStyle w:val="Heading1"/>
        <w:keepLines w:val="0"/>
        <w:widowControl/>
        <w:numPr>
          <w:ilvl w:val="0"/>
          <w:numId w:val="7"/>
        </w:numPr>
        <w:tabs>
          <w:tab w:val="num" w:pos="480"/>
        </w:tabs>
        <w:snapToGrid/>
        <w:spacing w:before="240"/>
        <w:ind w:left="480" w:hanging="480"/>
        <w:jc w:val="both"/>
        <w:rPr>
          <w:rFonts w:ascii="Times New Roman" w:hAnsi="Times New Roman"/>
          <w:smallCaps/>
          <w:noProof/>
          <w:color w:val="auto"/>
          <w:sz w:val="24"/>
          <w:szCs w:val="20"/>
          <w:lang w:eastAsia="en-US"/>
        </w:rPr>
      </w:pPr>
      <w:bookmarkStart w:id="8" w:name="_Toc150499894"/>
      <w:r w:rsidRPr="00CB3F79">
        <w:rPr>
          <w:rFonts w:ascii="Times New Roman" w:hAnsi="Times New Roman"/>
          <w:smallCaps/>
          <w:noProof/>
          <w:color w:val="auto"/>
          <w:sz w:val="24"/>
          <w:szCs w:val="20"/>
          <w:lang w:eastAsia="en-US"/>
        </w:rPr>
        <w:t>Stakeholder views</w:t>
      </w:r>
      <w:bookmarkEnd w:id="8"/>
      <w:r w:rsidRPr="00CB3F79">
        <w:rPr>
          <w:rFonts w:ascii="Times New Roman" w:hAnsi="Times New Roman"/>
          <w:smallCaps/>
          <w:noProof/>
          <w:color w:val="auto"/>
          <w:sz w:val="24"/>
          <w:szCs w:val="20"/>
          <w:lang w:eastAsia="en-US"/>
        </w:rPr>
        <w:t xml:space="preserve"> </w:t>
      </w:r>
    </w:p>
    <w:p w14:paraId="1035D008" w14:textId="77777777" w:rsidR="000A7D9D" w:rsidRDefault="000A7D9D" w:rsidP="000A7D9D">
      <w:pPr>
        <w:pStyle w:val="paragraph"/>
        <w:spacing w:before="0" w:beforeAutospacing="0" w:after="120" w:afterAutospacing="0"/>
        <w:jc w:val="both"/>
        <w:textAlignment w:val="baseline"/>
        <w:rPr>
          <w:rStyle w:val="normaltextrun"/>
          <w:noProof/>
          <w:sz w:val="22"/>
          <w:szCs w:val="22"/>
        </w:rPr>
      </w:pPr>
      <w:r w:rsidRPr="00EC1412">
        <w:rPr>
          <w:rStyle w:val="normaltextrun"/>
          <w:noProof/>
          <w:sz w:val="22"/>
          <w:szCs w:val="22"/>
        </w:rPr>
        <w:t>A </w:t>
      </w:r>
      <w:r w:rsidRPr="00EC1412">
        <w:rPr>
          <w:rStyle w:val="normaltextrun"/>
          <w:bCs/>
          <w:noProof/>
          <w:sz w:val="22"/>
          <w:szCs w:val="22"/>
        </w:rPr>
        <w:t>call for evidence</w:t>
      </w:r>
      <w:r w:rsidRPr="00EC1412">
        <w:rPr>
          <w:rStyle w:val="normaltextrun"/>
          <w:noProof/>
          <w:sz w:val="22"/>
          <w:szCs w:val="22"/>
        </w:rPr>
        <w:t xml:space="preserve"> for the initiative on making best use of EU agencies to streamline scientific assessments was published on the Commission website ‘</w:t>
      </w:r>
      <w:hyperlink r:id="rId23" w:tgtFrame="_blank" w:history="1">
        <w:r w:rsidRPr="00EC1412">
          <w:rPr>
            <w:rStyle w:val="normaltextrun"/>
            <w:noProof/>
            <w:color w:val="0000FF"/>
            <w:sz w:val="22"/>
            <w:szCs w:val="22"/>
            <w:u w:val="single"/>
          </w:rPr>
          <w:t>Have your say</w:t>
        </w:r>
      </w:hyperlink>
      <w:r w:rsidRPr="00EC1412">
        <w:rPr>
          <w:rStyle w:val="normaltextrun"/>
          <w:noProof/>
          <w:sz w:val="22"/>
          <w:szCs w:val="22"/>
        </w:rPr>
        <w:t>’ on 15 March 2022. The public and stakeholders were invited to provide feedback on this initiative until 12 April 2022. In total, 65 submissions were received</w:t>
      </w:r>
      <w:r>
        <w:rPr>
          <w:rStyle w:val="normaltextrun"/>
          <w:noProof/>
          <w:sz w:val="22"/>
          <w:szCs w:val="22"/>
        </w:rPr>
        <w:t xml:space="preserve">. Most were </w:t>
      </w:r>
      <w:r w:rsidRPr="00EC1412">
        <w:rPr>
          <w:rStyle w:val="normaltextrun"/>
          <w:noProof/>
          <w:sz w:val="22"/>
          <w:szCs w:val="22"/>
        </w:rPr>
        <w:t>from business associations and companies (in total around 70% of submissions), followed by submissions from EU citizens (11%), non-governmental organisations (6%), public authorities (6%), others (5 %) and academic/research institutions (1.5%).</w:t>
      </w:r>
      <w:r w:rsidRPr="00EC1412">
        <w:rPr>
          <w:rStyle w:val="eop"/>
          <w:noProof/>
          <w:sz w:val="22"/>
          <w:szCs w:val="22"/>
        </w:rPr>
        <w:t> </w:t>
      </w:r>
      <w:r w:rsidRPr="00EC1412">
        <w:rPr>
          <w:rStyle w:val="normaltextrun"/>
          <w:noProof/>
          <w:sz w:val="22"/>
          <w:szCs w:val="22"/>
        </w:rPr>
        <w:t xml:space="preserve">Generally, there was a large support of the initiative among the respondents, whether of the </w:t>
      </w:r>
      <w:r>
        <w:rPr>
          <w:rStyle w:val="normaltextrun"/>
          <w:noProof/>
          <w:sz w:val="22"/>
          <w:szCs w:val="22"/>
        </w:rPr>
        <w:t>‘</w:t>
      </w:r>
      <w:r w:rsidRPr="00EC1412">
        <w:rPr>
          <w:rStyle w:val="normaltextrun"/>
          <w:noProof/>
          <w:sz w:val="22"/>
          <w:szCs w:val="22"/>
        </w:rPr>
        <w:t>one</w:t>
      </w:r>
      <w:r>
        <w:rPr>
          <w:rStyle w:val="normaltextrun"/>
          <w:noProof/>
          <w:sz w:val="22"/>
          <w:szCs w:val="22"/>
        </w:rPr>
        <w:t xml:space="preserve"> </w:t>
      </w:r>
      <w:r w:rsidRPr="00EC1412">
        <w:rPr>
          <w:rStyle w:val="normaltextrun"/>
          <w:noProof/>
          <w:sz w:val="22"/>
          <w:szCs w:val="22"/>
        </w:rPr>
        <w:t>substance</w:t>
      </w:r>
      <w:r>
        <w:rPr>
          <w:rStyle w:val="normaltextrun"/>
          <w:noProof/>
          <w:sz w:val="22"/>
          <w:szCs w:val="22"/>
        </w:rPr>
        <w:t>,</w:t>
      </w:r>
      <w:r w:rsidRPr="00EC1412">
        <w:rPr>
          <w:rStyle w:val="normaltextrun"/>
          <w:noProof/>
          <w:sz w:val="22"/>
          <w:szCs w:val="22"/>
        </w:rPr>
        <w:t xml:space="preserve"> one</w:t>
      </w:r>
      <w:r>
        <w:rPr>
          <w:rStyle w:val="normaltextrun"/>
          <w:noProof/>
          <w:sz w:val="22"/>
          <w:szCs w:val="22"/>
        </w:rPr>
        <w:t xml:space="preserve"> </w:t>
      </w:r>
      <w:r w:rsidRPr="00EC1412">
        <w:rPr>
          <w:rStyle w:val="normaltextrun"/>
          <w:noProof/>
          <w:sz w:val="22"/>
          <w:szCs w:val="22"/>
        </w:rPr>
        <w:t>assessment</w:t>
      </w:r>
      <w:r>
        <w:rPr>
          <w:rStyle w:val="normaltextrun"/>
          <w:noProof/>
          <w:sz w:val="22"/>
          <w:szCs w:val="22"/>
        </w:rPr>
        <w:t>’</w:t>
      </w:r>
      <w:r w:rsidRPr="00EC1412">
        <w:rPr>
          <w:rStyle w:val="normaltextrun"/>
          <w:noProof/>
          <w:sz w:val="22"/>
          <w:szCs w:val="22"/>
        </w:rPr>
        <w:t xml:space="preserve"> approach as a whole or of the specific initiative on the reattribution of tasks. 67% of respondents expressed their explicit support, 23% did not expressed explicitly their opinion but provided relevant advices on how to develop the one substance, one assessment approach</w:t>
      </w:r>
      <w:r>
        <w:rPr>
          <w:rStyle w:val="normaltextrun"/>
          <w:noProof/>
          <w:sz w:val="22"/>
          <w:szCs w:val="22"/>
        </w:rPr>
        <w:t>. A</w:t>
      </w:r>
      <w:r w:rsidRPr="00EC1412">
        <w:rPr>
          <w:rStyle w:val="normaltextrun"/>
          <w:noProof/>
          <w:sz w:val="22"/>
          <w:szCs w:val="22"/>
        </w:rPr>
        <w:t>bout 10% expressed doubts about usefulness of the initiative or opposition to the initiative.</w:t>
      </w:r>
    </w:p>
    <w:p w14:paraId="7B7A8930" w14:textId="77777777" w:rsidR="000A7D9D" w:rsidRPr="00EC1412" w:rsidRDefault="000A7D9D" w:rsidP="000A7D9D">
      <w:pPr>
        <w:pStyle w:val="paragraph"/>
        <w:spacing w:before="0" w:beforeAutospacing="0" w:after="120" w:afterAutospacing="0"/>
        <w:jc w:val="both"/>
        <w:textAlignment w:val="baseline"/>
        <w:rPr>
          <w:noProof/>
          <w:sz w:val="22"/>
          <w:szCs w:val="22"/>
        </w:rPr>
      </w:pPr>
      <w:r w:rsidRPr="00EC1412">
        <w:rPr>
          <w:noProof/>
          <w:sz w:val="22"/>
          <w:szCs w:val="22"/>
        </w:rPr>
        <w:t xml:space="preserve">As the call for evidence was the first public consultation on an initiative under the one substance, one assessment, a lot of feedback received was not specific about the consulted initiative on the (re-)attribution of task to the EU Agencies but about the general scope of the one substance, one assessment approach as well as other initiatives announced under the one substance, one assessment. </w:t>
      </w:r>
      <w:r w:rsidRPr="00EC1412">
        <w:rPr>
          <w:b/>
          <w:noProof/>
          <w:sz w:val="22"/>
          <w:szCs w:val="22"/>
        </w:rPr>
        <w:t>Annex II</w:t>
      </w:r>
      <w:r w:rsidRPr="00EC1412">
        <w:rPr>
          <w:noProof/>
          <w:sz w:val="22"/>
          <w:szCs w:val="22"/>
        </w:rPr>
        <w:t xml:space="preserve"> provides a summary of all the feedback received.</w:t>
      </w:r>
    </w:p>
    <w:p w14:paraId="26EDDED1" w14:textId="77777777" w:rsidR="000A7D9D" w:rsidRDefault="000A7D9D" w:rsidP="000A7D9D">
      <w:pPr>
        <w:pStyle w:val="paragraph"/>
        <w:spacing w:before="0" w:beforeAutospacing="0" w:after="120" w:afterAutospacing="0"/>
        <w:jc w:val="both"/>
        <w:textAlignment w:val="baseline"/>
        <w:rPr>
          <w:rStyle w:val="normaltextrun"/>
          <w:noProof/>
          <w:sz w:val="22"/>
          <w:szCs w:val="22"/>
        </w:rPr>
      </w:pPr>
      <w:r w:rsidRPr="00EC1412">
        <w:rPr>
          <w:rStyle w:val="normaltextrun"/>
          <w:noProof/>
          <w:sz w:val="22"/>
          <w:szCs w:val="22"/>
        </w:rPr>
        <w:t xml:space="preserve">Stakeholders were </w:t>
      </w:r>
      <w:r>
        <w:rPr>
          <w:rStyle w:val="normaltextrun"/>
          <w:noProof/>
          <w:sz w:val="22"/>
          <w:szCs w:val="22"/>
        </w:rPr>
        <w:t xml:space="preserve">also </w:t>
      </w:r>
      <w:r w:rsidRPr="00EC1412">
        <w:rPr>
          <w:rStyle w:val="normaltextrun"/>
          <w:noProof/>
          <w:sz w:val="22"/>
          <w:szCs w:val="22"/>
        </w:rPr>
        <w:t xml:space="preserve">informed and consulted on the reattribution of tasks to EU agencies during the </w:t>
      </w:r>
      <w:r w:rsidRPr="00EC1412">
        <w:rPr>
          <w:rStyle w:val="normaltextrun"/>
          <w:bCs/>
          <w:noProof/>
          <w:sz w:val="22"/>
          <w:szCs w:val="22"/>
        </w:rPr>
        <w:t>Information Session on One Substance, One Assessment with Stakeholders</w:t>
      </w:r>
      <w:r w:rsidRPr="00EC1412">
        <w:rPr>
          <w:rStyle w:val="normaltextrun"/>
          <w:noProof/>
          <w:sz w:val="22"/>
          <w:szCs w:val="22"/>
        </w:rPr>
        <w:t xml:space="preserve"> held on 1 June 2022. Some 800 participants followed this on-line event.</w:t>
      </w:r>
    </w:p>
    <w:p w14:paraId="0E89AC74" w14:textId="77777777" w:rsidR="000A7D9D" w:rsidRPr="00EC1412" w:rsidRDefault="000A7D9D" w:rsidP="000A7D9D">
      <w:pPr>
        <w:pStyle w:val="paragraph"/>
        <w:spacing w:before="0" w:beforeAutospacing="0" w:after="120" w:afterAutospacing="0"/>
        <w:jc w:val="both"/>
        <w:textAlignment w:val="baseline"/>
        <w:rPr>
          <w:noProof/>
          <w:sz w:val="22"/>
          <w:szCs w:val="22"/>
          <w:lang w:val="en-US"/>
        </w:rPr>
      </w:pPr>
      <w:r w:rsidRPr="00EC1412">
        <w:rPr>
          <w:rStyle w:val="normaltextrun"/>
          <w:noProof/>
          <w:sz w:val="22"/>
          <w:szCs w:val="22"/>
        </w:rPr>
        <w:t>An extensive discussion on re</w:t>
      </w:r>
      <w:r>
        <w:rPr>
          <w:rStyle w:val="normaltextrun"/>
          <w:noProof/>
          <w:sz w:val="22"/>
          <w:szCs w:val="22"/>
        </w:rPr>
        <w:t>-</w:t>
      </w:r>
      <w:r w:rsidRPr="00EC1412">
        <w:rPr>
          <w:rStyle w:val="normaltextrun"/>
          <w:noProof/>
          <w:sz w:val="22"/>
          <w:szCs w:val="22"/>
        </w:rPr>
        <w:t xml:space="preserve">attribution of tasks to EU </w:t>
      </w:r>
      <w:r>
        <w:rPr>
          <w:rStyle w:val="normaltextrun"/>
          <w:noProof/>
          <w:sz w:val="22"/>
          <w:szCs w:val="22"/>
        </w:rPr>
        <w:t>a</w:t>
      </w:r>
      <w:r w:rsidRPr="00EC1412">
        <w:rPr>
          <w:rStyle w:val="normaltextrun"/>
          <w:noProof/>
          <w:sz w:val="22"/>
          <w:szCs w:val="22"/>
        </w:rPr>
        <w:t xml:space="preserve">gencies was held with representatives of Member States and EU </w:t>
      </w:r>
      <w:r>
        <w:rPr>
          <w:rStyle w:val="normaltextrun"/>
          <w:noProof/>
          <w:sz w:val="22"/>
          <w:szCs w:val="22"/>
        </w:rPr>
        <w:t>a</w:t>
      </w:r>
      <w:r w:rsidRPr="00EC1412">
        <w:rPr>
          <w:rStyle w:val="normaltextrun"/>
          <w:noProof/>
          <w:sz w:val="22"/>
          <w:szCs w:val="22"/>
        </w:rPr>
        <w:t xml:space="preserve">gencies at the </w:t>
      </w:r>
      <w:r w:rsidRPr="00EC1412">
        <w:rPr>
          <w:rStyle w:val="normaltextrun"/>
          <w:bCs/>
          <w:noProof/>
          <w:sz w:val="22"/>
          <w:szCs w:val="22"/>
        </w:rPr>
        <w:t>meeting</w:t>
      </w:r>
      <w:r>
        <w:rPr>
          <w:rStyle w:val="normaltextrun"/>
          <w:bCs/>
          <w:noProof/>
          <w:sz w:val="22"/>
          <w:szCs w:val="22"/>
        </w:rPr>
        <w:t>s</w:t>
      </w:r>
      <w:r w:rsidRPr="00EC1412">
        <w:rPr>
          <w:rStyle w:val="normaltextrun"/>
          <w:bCs/>
          <w:noProof/>
          <w:sz w:val="22"/>
          <w:szCs w:val="22"/>
        </w:rPr>
        <w:t xml:space="preserve"> of the Expert Group on One Substance, One Assessment</w:t>
      </w:r>
      <w:r w:rsidRPr="00EC1412">
        <w:rPr>
          <w:rStyle w:val="superscript"/>
          <w:noProof/>
          <w:sz w:val="22"/>
          <w:szCs w:val="22"/>
          <w:vertAlign w:val="superscript"/>
        </w:rPr>
        <w:t>7</w:t>
      </w:r>
      <w:r w:rsidRPr="00EC1412">
        <w:rPr>
          <w:rStyle w:val="normaltextrun"/>
          <w:noProof/>
          <w:sz w:val="22"/>
          <w:szCs w:val="22"/>
        </w:rPr>
        <w:t xml:space="preserve"> held on 2-3 June 2022</w:t>
      </w:r>
      <w:r>
        <w:rPr>
          <w:rStyle w:val="normaltextrun"/>
          <w:noProof/>
          <w:sz w:val="22"/>
          <w:szCs w:val="22"/>
        </w:rPr>
        <w:t xml:space="preserve"> and on 30 March 2023</w:t>
      </w:r>
      <w:r w:rsidRPr="00EC1412">
        <w:rPr>
          <w:rStyle w:val="normaltextrun"/>
          <w:noProof/>
          <w:sz w:val="22"/>
          <w:szCs w:val="22"/>
        </w:rPr>
        <w:t xml:space="preserve">. </w:t>
      </w:r>
      <w:r w:rsidRPr="00EC1412">
        <w:rPr>
          <w:rStyle w:val="eop"/>
          <w:noProof/>
          <w:sz w:val="22"/>
          <w:szCs w:val="22"/>
          <w:lang w:val="en-US"/>
        </w:rPr>
        <w:t> </w:t>
      </w:r>
    </w:p>
    <w:p w14:paraId="52A99E47" w14:textId="77777777" w:rsidR="000A7D9D" w:rsidRPr="00EC1412" w:rsidRDefault="000A7D9D" w:rsidP="000A7D9D">
      <w:pPr>
        <w:pStyle w:val="paragraph"/>
        <w:spacing w:before="0" w:beforeAutospacing="0" w:after="120" w:afterAutospacing="0"/>
        <w:jc w:val="both"/>
        <w:textAlignment w:val="baseline"/>
        <w:rPr>
          <w:rStyle w:val="normaltextrun"/>
          <w:noProof/>
          <w:sz w:val="22"/>
          <w:szCs w:val="22"/>
        </w:rPr>
      </w:pPr>
      <w:r w:rsidRPr="00EC1412">
        <w:rPr>
          <w:rStyle w:val="normaltextrun"/>
          <w:noProof/>
          <w:sz w:val="22"/>
          <w:szCs w:val="22"/>
        </w:rPr>
        <w:t xml:space="preserve">Representatives of Member States and EU </w:t>
      </w:r>
      <w:r>
        <w:rPr>
          <w:rStyle w:val="normaltextrun"/>
          <w:noProof/>
          <w:sz w:val="22"/>
          <w:szCs w:val="22"/>
        </w:rPr>
        <w:t>a</w:t>
      </w:r>
      <w:r w:rsidRPr="00EC1412">
        <w:rPr>
          <w:rStyle w:val="normaltextrun"/>
          <w:noProof/>
          <w:sz w:val="22"/>
          <w:szCs w:val="22"/>
        </w:rPr>
        <w:t>gencies participating in the expert group meetings were supportive to the initiative as well, providing concrete suggestions on the reattributions.</w:t>
      </w:r>
    </w:p>
    <w:p w14:paraId="5029F637" w14:textId="77777777" w:rsidR="000A7D9D" w:rsidRPr="00EC1412" w:rsidRDefault="000A7D9D" w:rsidP="000A7D9D">
      <w:pPr>
        <w:pStyle w:val="paragraph"/>
        <w:spacing w:before="0" w:beforeAutospacing="0" w:after="120" w:afterAutospacing="0"/>
        <w:jc w:val="both"/>
        <w:textAlignment w:val="baseline"/>
        <w:rPr>
          <w:noProof/>
          <w:sz w:val="22"/>
          <w:szCs w:val="22"/>
          <w:lang w:val="en-US"/>
        </w:rPr>
      </w:pPr>
      <w:r w:rsidRPr="00EC1412">
        <w:rPr>
          <w:rStyle w:val="normaltextrun"/>
          <w:noProof/>
          <w:sz w:val="22"/>
          <w:szCs w:val="22"/>
        </w:rPr>
        <w:t xml:space="preserve">The feedback regarding the (re-)attribution of tasks to the EU agencies </w:t>
      </w:r>
      <w:r>
        <w:rPr>
          <w:rStyle w:val="normaltextrun"/>
          <w:noProof/>
          <w:sz w:val="22"/>
          <w:szCs w:val="22"/>
        </w:rPr>
        <w:t xml:space="preserve">received from the call for evidence and from Member States and EU agencies during meetings of the Expert Group on One Substance, One Assessment </w:t>
      </w:r>
      <w:r w:rsidRPr="00EC1412">
        <w:rPr>
          <w:rStyle w:val="normaltextrun"/>
          <w:noProof/>
          <w:sz w:val="22"/>
          <w:szCs w:val="22"/>
        </w:rPr>
        <w:t xml:space="preserve">can be grouped in </w:t>
      </w:r>
      <w:r>
        <w:rPr>
          <w:rStyle w:val="normaltextrun"/>
          <w:noProof/>
          <w:sz w:val="22"/>
          <w:szCs w:val="22"/>
        </w:rPr>
        <w:t>6</w:t>
      </w:r>
      <w:r w:rsidRPr="00EC1412">
        <w:rPr>
          <w:rStyle w:val="normaltextrun"/>
          <w:noProof/>
          <w:sz w:val="22"/>
          <w:szCs w:val="22"/>
        </w:rPr>
        <w:t xml:space="preserve"> areas</w:t>
      </w:r>
      <w:r>
        <w:rPr>
          <w:rStyle w:val="normaltextrun"/>
          <w:noProof/>
          <w:sz w:val="22"/>
          <w:szCs w:val="22"/>
        </w:rPr>
        <w:t xml:space="preserve"> and summarised as follows</w:t>
      </w:r>
      <w:r w:rsidRPr="00EC1412">
        <w:rPr>
          <w:rStyle w:val="normaltextrun"/>
          <w:noProof/>
          <w:sz w:val="22"/>
          <w:szCs w:val="22"/>
        </w:rPr>
        <w:t xml:space="preserve">: </w:t>
      </w:r>
    </w:p>
    <w:p w14:paraId="74D76F73" w14:textId="77777777" w:rsidR="000A7D9D" w:rsidRPr="00EC1412" w:rsidRDefault="000A7D9D" w:rsidP="000A7D9D">
      <w:pPr>
        <w:pStyle w:val="paragraph"/>
        <w:numPr>
          <w:ilvl w:val="0"/>
          <w:numId w:val="18"/>
        </w:numPr>
        <w:spacing w:before="0" w:beforeAutospacing="0" w:after="120" w:afterAutospacing="0"/>
        <w:ind w:left="357" w:hanging="357"/>
        <w:jc w:val="both"/>
        <w:textAlignment w:val="baseline"/>
        <w:rPr>
          <w:noProof/>
          <w:sz w:val="22"/>
          <w:szCs w:val="22"/>
          <w:lang w:val="en-US"/>
        </w:rPr>
      </w:pPr>
      <w:r w:rsidRPr="00EC1412">
        <w:rPr>
          <w:rStyle w:val="normaltextrun"/>
          <w:i/>
          <w:noProof/>
          <w:sz w:val="22"/>
          <w:szCs w:val="22"/>
        </w:rPr>
        <w:t>Level of centralisation:</w:t>
      </w:r>
      <w:r w:rsidRPr="00EC1412">
        <w:rPr>
          <w:rStyle w:val="normaltextrun"/>
          <w:noProof/>
          <w:sz w:val="22"/>
          <w:szCs w:val="22"/>
        </w:rPr>
        <w:t xml:space="preserve"> </w:t>
      </w:r>
      <w:r>
        <w:rPr>
          <w:rStyle w:val="normaltextrun"/>
          <w:noProof/>
          <w:sz w:val="22"/>
          <w:szCs w:val="22"/>
        </w:rPr>
        <w:t>Stakeholders and Member States suggested that r</w:t>
      </w:r>
      <w:r w:rsidRPr="00EC1412">
        <w:rPr>
          <w:rStyle w:val="normaltextrun"/>
          <w:noProof/>
          <w:sz w:val="22"/>
          <w:szCs w:val="22"/>
        </w:rPr>
        <w:t>e</w:t>
      </w:r>
      <w:r>
        <w:rPr>
          <w:rStyle w:val="normaltextrun"/>
          <w:noProof/>
          <w:sz w:val="22"/>
          <w:szCs w:val="22"/>
        </w:rPr>
        <w:t>-</w:t>
      </w:r>
      <w:r w:rsidRPr="00EC1412">
        <w:rPr>
          <w:rStyle w:val="normaltextrun"/>
          <w:noProof/>
          <w:sz w:val="22"/>
          <w:szCs w:val="22"/>
        </w:rPr>
        <w:t xml:space="preserve">attribution of work should not result in a single agency being responsible for the risk evaluations of all chemicals. </w:t>
      </w:r>
      <w:r>
        <w:rPr>
          <w:rStyle w:val="normaltextrun"/>
          <w:noProof/>
          <w:sz w:val="22"/>
          <w:szCs w:val="22"/>
        </w:rPr>
        <w:t xml:space="preserve">The regulations must clearly set out the responsibilities of each agency. </w:t>
      </w:r>
      <w:r w:rsidRPr="00EC1412">
        <w:rPr>
          <w:rStyle w:val="eop"/>
          <w:noProof/>
          <w:sz w:val="22"/>
          <w:szCs w:val="22"/>
          <w:lang w:val="en-US"/>
        </w:rPr>
        <w:t> </w:t>
      </w:r>
    </w:p>
    <w:p w14:paraId="07DB75F5" w14:textId="77777777" w:rsidR="000A7D9D" w:rsidRPr="00EC1412" w:rsidRDefault="000A7D9D" w:rsidP="000A7D9D">
      <w:pPr>
        <w:pStyle w:val="paragraph"/>
        <w:numPr>
          <w:ilvl w:val="0"/>
          <w:numId w:val="18"/>
        </w:numPr>
        <w:spacing w:before="0" w:beforeAutospacing="0" w:after="120" w:afterAutospacing="0"/>
        <w:ind w:left="357" w:hanging="357"/>
        <w:jc w:val="both"/>
        <w:textAlignment w:val="baseline"/>
        <w:rPr>
          <w:noProof/>
          <w:sz w:val="22"/>
          <w:szCs w:val="22"/>
          <w:lang w:val="en-US"/>
        </w:rPr>
      </w:pPr>
      <w:r w:rsidRPr="00EC1412">
        <w:rPr>
          <w:rStyle w:val="normaltextrun"/>
          <w:i/>
          <w:noProof/>
          <w:sz w:val="22"/>
          <w:szCs w:val="22"/>
        </w:rPr>
        <w:t>Expertise:</w:t>
      </w:r>
      <w:r w:rsidRPr="00EC1412">
        <w:rPr>
          <w:rStyle w:val="normaltextrun"/>
          <w:noProof/>
          <w:sz w:val="22"/>
          <w:szCs w:val="22"/>
        </w:rPr>
        <w:t xml:space="preserve"> </w:t>
      </w:r>
      <w:r>
        <w:rPr>
          <w:rStyle w:val="normaltextrun"/>
          <w:noProof/>
          <w:sz w:val="22"/>
          <w:szCs w:val="22"/>
        </w:rPr>
        <w:t xml:space="preserve">Stakeholders suggested that </w:t>
      </w:r>
      <w:r w:rsidRPr="00EC1412">
        <w:rPr>
          <w:rStyle w:val="normaltextrun"/>
          <w:noProof/>
          <w:sz w:val="22"/>
          <w:szCs w:val="22"/>
        </w:rPr>
        <w:t>reattributi</w:t>
      </w:r>
      <w:r>
        <w:rPr>
          <w:rStyle w:val="normaltextrun"/>
          <w:noProof/>
          <w:sz w:val="22"/>
          <w:szCs w:val="22"/>
        </w:rPr>
        <w:t>ng tasks</w:t>
      </w:r>
      <w:r w:rsidRPr="00EC1412">
        <w:rPr>
          <w:rStyle w:val="normaltextrun"/>
          <w:noProof/>
          <w:sz w:val="22"/>
          <w:szCs w:val="22"/>
        </w:rPr>
        <w:t xml:space="preserve"> should be done based on the existing expertise available in the </w:t>
      </w:r>
      <w:r>
        <w:rPr>
          <w:rStyle w:val="normaltextrun"/>
          <w:noProof/>
          <w:sz w:val="22"/>
          <w:szCs w:val="22"/>
        </w:rPr>
        <w:t>a</w:t>
      </w:r>
      <w:r w:rsidRPr="00EC1412">
        <w:rPr>
          <w:rStyle w:val="normaltextrun"/>
          <w:noProof/>
          <w:sz w:val="22"/>
          <w:szCs w:val="22"/>
        </w:rPr>
        <w:t xml:space="preserve">gencies to </w:t>
      </w:r>
      <w:r>
        <w:rPr>
          <w:rStyle w:val="normaltextrun"/>
          <w:noProof/>
          <w:sz w:val="22"/>
          <w:szCs w:val="22"/>
        </w:rPr>
        <w:t xml:space="preserve">ensure </w:t>
      </w:r>
      <w:r w:rsidRPr="00EC1412">
        <w:rPr>
          <w:rStyle w:val="normaltextrun"/>
          <w:noProof/>
          <w:sz w:val="22"/>
          <w:szCs w:val="22"/>
        </w:rPr>
        <w:t xml:space="preserve">that </w:t>
      </w:r>
      <w:r>
        <w:rPr>
          <w:rStyle w:val="normaltextrun"/>
          <w:noProof/>
          <w:sz w:val="22"/>
          <w:szCs w:val="22"/>
        </w:rPr>
        <w:t xml:space="preserve">the </w:t>
      </w:r>
      <w:r w:rsidRPr="00EC1412">
        <w:rPr>
          <w:rStyle w:val="normaltextrun"/>
          <w:noProof/>
          <w:sz w:val="22"/>
          <w:szCs w:val="22"/>
        </w:rPr>
        <w:t xml:space="preserve">agency </w:t>
      </w:r>
      <w:r>
        <w:rPr>
          <w:rStyle w:val="normaltextrun"/>
          <w:noProof/>
          <w:sz w:val="22"/>
          <w:szCs w:val="22"/>
        </w:rPr>
        <w:t xml:space="preserve">receiving the task benefits from </w:t>
      </w:r>
      <w:r w:rsidRPr="00EC1412">
        <w:rPr>
          <w:rStyle w:val="normaltextrun"/>
          <w:noProof/>
          <w:sz w:val="22"/>
          <w:szCs w:val="22"/>
        </w:rPr>
        <w:t xml:space="preserve">the necessary expertise. </w:t>
      </w:r>
      <w:r>
        <w:rPr>
          <w:rStyle w:val="normaltextrun"/>
          <w:noProof/>
          <w:sz w:val="22"/>
          <w:szCs w:val="22"/>
        </w:rPr>
        <w:t xml:space="preserve">It </w:t>
      </w:r>
      <w:r w:rsidRPr="00EC1412">
        <w:rPr>
          <w:rStyle w:val="normaltextrun"/>
          <w:noProof/>
          <w:sz w:val="22"/>
          <w:szCs w:val="22"/>
        </w:rPr>
        <w:t xml:space="preserve">should </w:t>
      </w:r>
      <w:r>
        <w:rPr>
          <w:rStyle w:val="normaltextrun"/>
          <w:noProof/>
          <w:sz w:val="22"/>
          <w:szCs w:val="22"/>
        </w:rPr>
        <w:t xml:space="preserve">be </w:t>
      </w:r>
      <w:r w:rsidRPr="00EC1412">
        <w:rPr>
          <w:rStyle w:val="normaltextrun"/>
          <w:noProof/>
          <w:sz w:val="22"/>
          <w:szCs w:val="22"/>
        </w:rPr>
        <w:t>ensure</w:t>
      </w:r>
      <w:r>
        <w:rPr>
          <w:rStyle w:val="normaltextrun"/>
          <w:noProof/>
          <w:sz w:val="22"/>
          <w:szCs w:val="22"/>
        </w:rPr>
        <w:t>d</w:t>
      </w:r>
      <w:r w:rsidRPr="00EC1412">
        <w:rPr>
          <w:rStyle w:val="normaltextrun"/>
          <w:noProof/>
          <w:sz w:val="22"/>
          <w:szCs w:val="22"/>
        </w:rPr>
        <w:t xml:space="preserve"> that valuable expertise </w:t>
      </w:r>
      <w:r>
        <w:rPr>
          <w:rStyle w:val="normaltextrun"/>
          <w:noProof/>
          <w:sz w:val="22"/>
          <w:szCs w:val="22"/>
        </w:rPr>
        <w:t xml:space="preserve">acquired </w:t>
      </w:r>
      <w:r w:rsidRPr="00EC1412">
        <w:rPr>
          <w:rStyle w:val="normaltextrun"/>
          <w:noProof/>
          <w:sz w:val="22"/>
          <w:szCs w:val="22"/>
        </w:rPr>
        <w:t xml:space="preserve">by existing </w:t>
      </w:r>
      <w:r>
        <w:rPr>
          <w:rStyle w:val="normaltextrun"/>
          <w:noProof/>
          <w:sz w:val="22"/>
          <w:szCs w:val="22"/>
        </w:rPr>
        <w:t xml:space="preserve">bodies </w:t>
      </w:r>
      <w:r w:rsidRPr="00EC1412">
        <w:rPr>
          <w:rStyle w:val="normaltextrun"/>
          <w:noProof/>
          <w:sz w:val="22"/>
          <w:szCs w:val="22"/>
        </w:rPr>
        <w:t xml:space="preserve">is preserved. Expertise </w:t>
      </w:r>
      <w:r>
        <w:rPr>
          <w:rStyle w:val="normaltextrun"/>
          <w:noProof/>
          <w:sz w:val="22"/>
          <w:szCs w:val="22"/>
        </w:rPr>
        <w:t xml:space="preserve">in </w:t>
      </w:r>
      <w:r w:rsidRPr="00EC1412">
        <w:rPr>
          <w:rStyle w:val="normaltextrun"/>
          <w:noProof/>
          <w:sz w:val="22"/>
          <w:szCs w:val="22"/>
        </w:rPr>
        <w:t xml:space="preserve">risk assessment under the different regulations should stay with </w:t>
      </w:r>
      <w:r>
        <w:rPr>
          <w:rStyle w:val="normaltextrun"/>
          <w:noProof/>
          <w:sz w:val="22"/>
          <w:szCs w:val="22"/>
        </w:rPr>
        <w:t xml:space="preserve">those agencies currently </w:t>
      </w:r>
      <w:r w:rsidRPr="00EC1412">
        <w:rPr>
          <w:rStyle w:val="normaltextrun"/>
          <w:noProof/>
          <w:sz w:val="22"/>
          <w:szCs w:val="22"/>
        </w:rPr>
        <w:t xml:space="preserve">responsible </w:t>
      </w:r>
      <w:r>
        <w:rPr>
          <w:rStyle w:val="normaltextrun"/>
          <w:noProof/>
          <w:sz w:val="22"/>
          <w:szCs w:val="22"/>
        </w:rPr>
        <w:t>for them</w:t>
      </w:r>
      <w:r w:rsidRPr="00EC1412">
        <w:rPr>
          <w:rStyle w:val="normaltextrun"/>
          <w:noProof/>
          <w:sz w:val="22"/>
          <w:szCs w:val="22"/>
        </w:rPr>
        <w:t xml:space="preserve">. Each Agency is best positioned to lead and </w:t>
      </w:r>
      <w:r>
        <w:rPr>
          <w:rStyle w:val="normaltextrun"/>
          <w:noProof/>
          <w:sz w:val="22"/>
          <w:szCs w:val="22"/>
        </w:rPr>
        <w:t xml:space="preserve">carry out </w:t>
      </w:r>
      <w:r w:rsidRPr="00EC1412">
        <w:rPr>
          <w:rStyle w:val="normaltextrun"/>
          <w:noProof/>
          <w:sz w:val="22"/>
          <w:szCs w:val="22"/>
        </w:rPr>
        <w:t xml:space="preserve">specific assessments </w:t>
      </w:r>
      <w:r>
        <w:rPr>
          <w:rStyle w:val="normaltextrun"/>
          <w:noProof/>
          <w:sz w:val="22"/>
          <w:szCs w:val="22"/>
        </w:rPr>
        <w:t xml:space="preserve">because of </w:t>
      </w:r>
      <w:r w:rsidRPr="00EC1412">
        <w:rPr>
          <w:rStyle w:val="normaltextrun"/>
          <w:noProof/>
          <w:sz w:val="22"/>
          <w:szCs w:val="22"/>
        </w:rPr>
        <w:t>their extensive experience in product</w:t>
      </w:r>
      <w:r>
        <w:rPr>
          <w:rStyle w:val="normaltextrun"/>
          <w:noProof/>
          <w:sz w:val="22"/>
          <w:szCs w:val="22"/>
        </w:rPr>
        <w:t>-</w:t>
      </w:r>
      <w:r w:rsidRPr="00EC1412">
        <w:rPr>
          <w:rStyle w:val="normaltextrun"/>
          <w:noProof/>
          <w:sz w:val="22"/>
          <w:szCs w:val="22"/>
        </w:rPr>
        <w:t>specific matters, e.g., EFSA for food use</w:t>
      </w:r>
      <w:r>
        <w:rPr>
          <w:rStyle w:val="normaltextrun"/>
          <w:noProof/>
          <w:sz w:val="22"/>
          <w:szCs w:val="22"/>
        </w:rPr>
        <w:t xml:space="preserve"> and </w:t>
      </w:r>
      <w:r w:rsidRPr="00EC1412">
        <w:rPr>
          <w:rStyle w:val="normaltextrun"/>
          <w:noProof/>
          <w:sz w:val="22"/>
          <w:szCs w:val="22"/>
        </w:rPr>
        <w:t>EMA for medicines use.</w:t>
      </w:r>
      <w:r w:rsidRPr="00EC1412">
        <w:rPr>
          <w:rStyle w:val="eop"/>
          <w:noProof/>
          <w:sz w:val="22"/>
          <w:szCs w:val="22"/>
          <w:lang w:val="en-US"/>
        </w:rPr>
        <w:t> </w:t>
      </w:r>
    </w:p>
    <w:p w14:paraId="0948F021" w14:textId="77777777" w:rsidR="000A7D9D" w:rsidRPr="00EC1412" w:rsidRDefault="000A7D9D" w:rsidP="000A7D9D">
      <w:pPr>
        <w:pStyle w:val="paragraph"/>
        <w:numPr>
          <w:ilvl w:val="0"/>
          <w:numId w:val="18"/>
        </w:numPr>
        <w:spacing w:before="0" w:beforeAutospacing="0" w:after="120" w:afterAutospacing="0"/>
        <w:ind w:left="357" w:hanging="357"/>
        <w:jc w:val="both"/>
        <w:textAlignment w:val="baseline"/>
        <w:rPr>
          <w:noProof/>
          <w:sz w:val="22"/>
          <w:szCs w:val="22"/>
          <w:lang w:val="en-US"/>
        </w:rPr>
      </w:pPr>
      <w:r w:rsidRPr="00EC1412">
        <w:rPr>
          <w:rStyle w:val="normaltextrun"/>
          <w:i/>
          <w:noProof/>
          <w:sz w:val="22"/>
          <w:szCs w:val="22"/>
        </w:rPr>
        <w:t>Resources:</w:t>
      </w:r>
      <w:r w:rsidRPr="00EC1412">
        <w:rPr>
          <w:rStyle w:val="normaltextrun"/>
          <w:bCs/>
          <w:noProof/>
          <w:sz w:val="22"/>
          <w:szCs w:val="22"/>
        </w:rPr>
        <w:t xml:space="preserve"> </w:t>
      </w:r>
      <w:r>
        <w:rPr>
          <w:rStyle w:val="normaltextrun"/>
          <w:bCs/>
          <w:noProof/>
          <w:sz w:val="22"/>
          <w:szCs w:val="22"/>
        </w:rPr>
        <w:t xml:space="preserve">Member States insisted that the new tasks for the agencies must be accompanied by the required resources. </w:t>
      </w:r>
      <w:r>
        <w:rPr>
          <w:rStyle w:val="normaltextrun"/>
          <w:noProof/>
          <w:sz w:val="22"/>
          <w:szCs w:val="22"/>
        </w:rPr>
        <w:t>R</w:t>
      </w:r>
      <w:r w:rsidRPr="00EC1412">
        <w:rPr>
          <w:rStyle w:val="normaltextrun"/>
          <w:noProof/>
          <w:sz w:val="22"/>
          <w:szCs w:val="22"/>
        </w:rPr>
        <w:t>e</w:t>
      </w:r>
      <w:r>
        <w:rPr>
          <w:rStyle w:val="normaltextrun"/>
          <w:noProof/>
          <w:sz w:val="22"/>
          <w:szCs w:val="22"/>
        </w:rPr>
        <w:t>-</w:t>
      </w:r>
      <w:r w:rsidRPr="00EC1412">
        <w:rPr>
          <w:rStyle w:val="normaltextrun"/>
          <w:noProof/>
          <w:sz w:val="22"/>
          <w:szCs w:val="22"/>
        </w:rPr>
        <w:t>attributi</w:t>
      </w:r>
      <w:r>
        <w:rPr>
          <w:rStyle w:val="normaltextrun"/>
          <w:noProof/>
          <w:sz w:val="22"/>
          <w:szCs w:val="22"/>
        </w:rPr>
        <w:t xml:space="preserve">ng </w:t>
      </w:r>
      <w:r w:rsidRPr="00EC1412">
        <w:rPr>
          <w:rStyle w:val="normaltextrun"/>
          <w:noProof/>
          <w:sz w:val="22"/>
          <w:szCs w:val="22"/>
        </w:rPr>
        <w:t xml:space="preserve">work should not lead to </w:t>
      </w:r>
      <w:r>
        <w:rPr>
          <w:rStyle w:val="normaltextrun"/>
          <w:noProof/>
          <w:sz w:val="22"/>
          <w:szCs w:val="22"/>
        </w:rPr>
        <w:t>an a</w:t>
      </w:r>
      <w:r w:rsidRPr="00EC1412">
        <w:rPr>
          <w:rStyle w:val="normaltextrun"/>
          <w:noProof/>
          <w:sz w:val="22"/>
          <w:szCs w:val="22"/>
        </w:rPr>
        <w:t xml:space="preserve">gency or </w:t>
      </w:r>
      <w:r>
        <w:rPr>
          <w:rStyle w:val="normaltextrun"/>
          <w:noProof/>
          <w:sz w:val="22"/>
          <w:szCs w:val="22"/>
        </w:rPr>
        <w:t xml:space="preserve">a </w:t>
      </w:r>
      <w:r w:rsidRPr="00EC1412">
        <w:rPr>
          <w:rStyle w:val="normaltextrun"/>
          <w:noProof/>
          <w:sz w:val="22"/>
          <w:szCs w:val="22"/>
        </w:rPr>
        <w:t xml:space="preserve">committee </w:t>
      </w:r>
      <w:r>
        <w:rPr>
          <w:rStyle w:val="normaltextrun"/>
          <w:noProof/>
          <w:sz w:val="22"/>
          <w:szCs w:val="22"/>
        </w:rPr>
        <w:t xml:space="preserve">being unable </w:t>
      </w:r>
      <w:r w:rsidRPr="00EC1412">
        <w:rPr>
          <w:rStyle w:val="normaltextrun"/>
          <w:noProof/>
          <w:sz w:val="22"/>
          <w:szCs w:val="22"/>
        </w:rPr>
        <w:t xml:space="preserve">to </w:t>
      </w:r>
      <w:r>
        <w:rPr>
          <w:rStyle w:val="normaltextrun"/>
          <w:noProof/>
          <w:sz w:val="22"/>
          <w:szCs w:val="22"/>
        </w:rPr>
        <w:t xml:space="preserve">manage </w:t>
      </w:r>
      <w:r w:rsidRPr="00EC1412">
        <w:rPr>
          <w:rStyle w:val="normaltextrun"/>
          <w:noProof/>
          <w:sz w:val="22"/>
          <w:szCs w:val="22"/>
        </w:rPr>
        <w:t xml:space="preserve">the workload and jeopardise the quality of the work. </w:t>
      </w:r>
      <w:r w:rsidRPr="00EC1412">
        <w:rPr>
          <w:rStyle w:val="eop"/>
          <w:noProof/>
          <w:sz w:val="22"/>
          <w:szCs w:val="22"/>
          <w:lang w:val="en-US"/>
        </w:rPr>
        <w:t> </w:t>
      </w:r>
    </w:p>
    <w:p w14:paraId="4E30D756" w14:textId="77777777" w:rsidR="000A7D9D" w:rsidRPr="00EC1412" w:rsidRDefault="000A7D9D" w:rsidP="000A7D9D">
      <w:pPr>
        <w:pStyle w:val="paragraph"/>
        <w:numPr>
          <w:ilvl w:val="0"/>
          <w:numId w:val="18"/>
        </w:numPr>
        <w:spacing w:before="0" w:beforeAutospacing="0" w:after="120" w:afterAutospacing="0"/>
        <w:ind w:left="357" w:hanging="357"/>
        <w:jc w:val="both"/>
        <w:textAlignment w:val="baseline"/>
        <w:rPr>
          <w:noProof/>
          <w:sz w:val="22"/>
          <w:szCs w:val="22"/>
          <w:lang w:val="en-US"/>
        </w:rPr>
      </w:pPr>
      <w:r w:rsidRPr="00EC1412">
        <w:rPr>
          <w:rStyle w:val="normaltextrun"/>
          <w:i/>
          <w:noProof/>
          <w:sz w:val="22"/>
          <w:szCs w:val="22"/>
        </w:rPr>
        <w:t>Organisation of scientific committees:</w:t>
      </w:r>
      <w:r w:rsidRPr="00EC1412">
        <w:rPr>
          <w:rStyle w:val="normaltextrun"/>
          <w:bCs/>
          <w:noProof/>
          <w:sz w:val="22"/>
          <w:szCs w:val="22"/>
        </w:rPr>
        <w:t xml:space="preserve"> </w:t>
      </w:r>
      <w:r>
        <w:rPr>
          <w:rStyle w:val="normaltextrun"/>
          <w:bCs/>
          <w:noProof/>
          <w:sz w:val="22"/>
          <w:szCs w:val="22"/>
        </w:rPr>
        <w:t xml:space="preserve">Member State indicated that </w:t>
      </w:r>
      <w:r>
        <w:rPr>
          <w:rStyle w:val="normaltextrun"/>
          <w:noProof/>
          <w:sz w:val="22"/>
          <w:szCs w:val="22"/>
        </w:rPr>
        <w:t>t</w:t>
      </w:r>
      <w:r w:rsidRPr="00EC1412">
        <w:rPr>
          <w:rStyle w:val="normaltextrun"/>
          <w:noProof/>
          <w:sz w:val="22"/>
          <w:szCs w:val="22"/>
        </w:rPr>
        <w:t>he agencies</w:t>
      </w:r>
      <w:r>
        <w:rPr>
          <w:rStyle w:val="normaltextrun"/>
          <w:noProof/>
          <w:sz w:val="22"/>
          <w:szCs w:val="22"/>
        </w:rPr>
        <w:t>’</w:t>
      </w:r>
      <w:r w:rsidRPr="00EC1412">
        <w:rPr>
          <w:rStyle w:val="normaltextrun"/>
          <w:noProof/>
          <w:sz w:val="22"/>
          <w:szCs w:val="22"/>
        </w:rPr>
        <w:t xml:space="preserve"> </w:t>
      </w:r>
      <w:r>
        <w:rPr>
          <w:rStyle w:val="normaltextrun"/>
          <w:noProof/>
          <w:sz w:val="22"/>
          <w:szCs w:val="22"/>
        </w:rPr>
        <w:t xml:space="preserve">committees, especially of ECHA, </w:t>
      </w:r>
      <w:r w:rsidRPr="00EC1412">
        <w:rPr>
          <w:rStyle w:val="normaltextrun"/>
          <w:noProof/>
          <w:sz w:val="22"/>
          <w:szCs w:val="22"/>
        </w:rPr>
        <w:t>might need to be reorganised to deal with increased workload</w:t>
      </w:r>
      <w:r>
        <w:rPr>
          <w:rStyle w:val="normaltextrun"/>
          <w:noProof/>
          <w:sz w:val="22"/>
          <w:szCs w:val="22"/>
        </w:rPr>
        <w:t xml:space="preserve">, as the committee for risk assessment of ECHA has already now a high workload. </w:t>
      </w:r>
      <w:r w:rsidRPr="00EC1412">
        <w:rPr>
          <w:rStyle w:val="normaltextrun"/>
          <w:noProof/>
          <w:sz w:val="22"/>
          <w:szCs w:val="22"/>
        </w:rPr>
        <w:t>Instead of creating new scientific panels</w:t>
      </w:r>
      <w:r>
        <w:rPr>
          <w:rStyle w:val="normaltextrun"/>
          <w:noProof/>
          <w:sz w:val="22"/>
          <w:szCs w:val="22"/>
        </w:rPr>
        <w:t xml:space="preserve"> or committees</w:t>
      </w:r>
      <w:r w:rsidRPr="00EC1412">
        <w:rPr>
          <w:rStyle w:val="normaltextrun"/>
          <w:noProof/>
          <w:sz w:val="22"/>
          <w:szCs w:val="22"/>
        </w:rPr>
        <w:t xml:space="preserve">, the agencies should </w:t>
      </w:r>
      <w:r>
        <w:rPr>
          <w:rStyle w:val="normaltextrun"/>
          <w:noProof/>
          <w:sz w:val="22"/>
          <w:szCs w:val="22"/>
        </w:rPr>
        <w:t xml:space="preserve">preferably </w:t>
      </w:r>
      <w:r w:rsidRPr="00EC1412">
        <w:rPr>
          <w:rStyle w:val="normaltextrun"/>
          <w:noProof/>
          <w:sz w:val="22"/>
          <w:szCs w:val="22"/>
        </w:rPr>
        <w:t xml:space="preserve">reinforce </w:t>
      </w:r>
      <w:r>
        <w:rPr>
          <w:rStyle w:val="normaltextrun"/>
          <w:noProof/>
          <w:sz w:val="22"/>
          <w:szCs w:val="22"/>
        </w:rPr>
        <w:t xml:space="preserve">and reuse </w:t>
      </w:r>
      <w:r w:rsidRPr="00EC1412">
        <w:rPr>
          <w:rStyle w:val="normaltextrun"/>
          <w:noProof/>
          <w:sz w:val="22"/>
          <w:szCs w:val="22"/>
        </w:rPr>
        <w:t xml:space="preserve">the existing </w:t>
      </w:r>
      <w:r>
        <w:rPr>
          <w:rStyle w:val="normaltextrun"/>
          <w:noProof/>
          <w:sz w:val="22"/>
          <w:szCs w:val="22"/>
        </w:rPr>
        <w:t xml:space="preserve">panels, </w:t>
      </w:r>
      <w:r w:rsidRPr="00EC1412">
        <w:rPr>
          <w:rStyle w:val="normaltextrun"/>
          <w:noProof/>
          <w:sz w:val="22"/>
          <w:szCs w:val="22"/>
        </w:rPr>
        <w:t>committees and expert</w:t>
      </w:r>
      <w:r>
        <w:rPr>
          <w:rStyle w:val="normaltextrun"/>
          <w:noProof/>
          <w:sz w:val="22"/>
          <w:szCs w:val="22"/>
        </w:rPr>
        <w:t>/working</w:t>
      </w:r>
      <w:r w:rsidRPr="00EC1412">
        <w:rPr>
          <w:rStyle w:val="normaltextrun"/>
          <w:noProof/>
          <w:sz w:val="22"/>
          <w:szCs w:val="22"/>
        </w:rPr>
        <w:t xml:space="preserve"> groups. </w:t>
      </w:r>
      <w:r>
        <w:rPr>
          <w:rStyle w:val="normaltextrun"/>
          <w:noProof/>
          <w:sz w:val="22"/>
          <w:szCs w:val="22"/>
        </w:rPr>
        <w:t xml:space="preserve">In any event, </w:t>
      </w:r>
      <w:r w:rsidRPr="00EC1412">
        <w:rPr>
          <w:rStyle w:val="normaltextrun"/>
          <w:noProof/>
          <w:sz w:val="22"/>
          <w:szCs w:val="22"/>
        </w:rPr>
        <w:t>safety assessments should be performed by a</w:t>
      </w:r>
      <w:r>
        <w:rPr>
          <w:rStyle w:val="normaltextrun"/>
          <w:noProof/>
          <w:sz w:val="22"/>
          <w:szCs w:val="22"/>
        </w:rPr>
        <w:t xml:space="preserve">n independent panel, independent committee or expert group that is </w:t>
      </w:r>
      <w:r w:rsidRPr="00EC1412">
        <w:rPr>
          <w:rStyle w:val="normaltextrun"/>
          <w:noProof/>
          <w:sz w:val="22"/>
          <w:szCs w:val="22"/>
        </w:rPr>
        <w:t xml:space="preserve">independent. </w:t>
      </w:r>
      <w:r w:rsidRPr="00EC1412">
        <w:rPr>
          <w:rStyle w:val="eop"/>
          <w:noProof/>
          <w:sz w:val="22"/>
          <w:szCs w:val="22"/>
          <w:lang w:val="en-US"/>
        </w:rPr>
        <w:t> </w:t>
      </w:r>
    </w:p>
    <w:p w14:paraId="42C1E4AB" w14:textId="77777777" w:rsidR="000A7D9D" w:rsidRDefault="000A7D9D" w:rsidP="000A7D9D">
      <w:pPr>
        <w:pStyle w:val="paragraph"/>
        <w:numPr>
          <w:ilvl w:val="0"/>
          <w:numId w:val="18"/>
        </w:numPr>
        <w:spacing w:before="0" w:beforeAutospacing="0" w:after="120" w:afterAutospacing="0"/>
        <w:ind w:left="357" w:hanging="357"/>
        <w:jc w:val="both"/>
        <w:textAlignment w:val="baseline"/>
        <w:rPr>
          <w:rStyle w:val="eop"/>
          <w:noProof/>
          <w:sz w:val="22"/>
          <w:szCs w:val="22"/>
          <w:lang w:val="en-US"/>
        </w:rPr>
      </w:pPr>
      <w:r w:rsidRPr="00EC1412">
        <w:rPr>
          <w:rStyle w:val="normaltextrun"/>
          <w:i/>
          <w:noProof/>
          <w:sz w:val="22"/>
          <w:szCs w:val="22"/>
        </w:rPr>
        <w:t>Tasks to re-attribute:</w:t>
      </w:r>
      <w:r w:rsidRPr="00EC1412">
        <w:rPr>
          <w:rStyle w:val="normaltextrun"/>
          <w:bCs/>
          <w:noProof/>
          <w:sz w:val="22"/>
          <w:szCs w:val="22"/>
        </w:rPr>
        <w:t xml:space="preserve"> </w:t>
      </w:r>
      <w:r w:rsidRPr="00526A54">
        <w:rPr>
          <w:rStyle w:val="normaltextrun"/>
          <w:bCs/>
          <w:noProof/>
          <w:sz w:val="22"/>
          <w:szCs w:val="22"/>
        </w:rPr>
        <w:t>Some stakeholders and Member States</w:t>
      </w:r>
      <w:r>
        <w:rPr>
          <w:rStyle w:val="normaltextrun"/>
          <w:bCs/>
          <w:noProof/>
          <w:sz w:val="22"/>
          <w:szCs w:val="22"/>
        </w:rPr>
        <w:t xml:space="preserve"> </w:t>
      </w:r>
      <w:r w:rsidRPr="00526A54">
        <w:rPr>
          <w:rStyle w:val="normaltextrun"/>
          <w:bCs/>
          <w:noProof/>
          <w:sz w:val="22"/>
          <w:szCs w:val="22"/>
        </w:rPr>
        <w:t>suggested</w:t>
      </w:r>
      <w:r>
        <w:rPr>
          <w:rStyle w:val="normaltextrun"/>
          <w:bCs/>
          <w:noProof/>
          <w:sz w:val="22"/>
          <w:szCs w:val="22"/>
        </w:rPr>
        <w:t xml:space="preserve"> </w:t>
      </w:r>
      <w:r>
        <w:rPr>
          <w:rStyle w:val="normaltextrun"/>
          <w:noProof/>
          <w:sz w:val="22"/>
          <w:szCs w:val="22"/>
        </w:rPr>
        <w:t xml:space="preserve">that the </w:t>
      </w:r>
      <w:r w:rsidRPr="00EC1412">
        <w:rPr>
          <w:rStyle w:val="normaltextrun"/>
          <w:noProof/>
          <w:sz w:val="22"/>
          <w:szCs w:val="22"/>
        </w:rPr>
        <w:t xml:space="preserve">ECHA </w:t>
      </w:r>
      <w:r>
        <w:rPr>
          <w:rStyle w:val="normaltextrun"/>
          <w:noProof/>
          <w:sz w:val="22"/>
          <w:szCs w:val="22"/>
        </w:rPr>
        <w:t xml:space="preserve">should be involved </w:t>
      </w:r>
      <w:r w:rsidRPr="00EC1412">
        <w:rPr>
          <w:rStyle w:val="normaltextrun"/>
          <w:noProof/>
          <w:sz w:val="22"/>
          <w:szCs w:val="22"/>
        </w:rPr>
        <w:t>in hazard assessment as part of the assessment of food contact materials</w:t>
      </w:r>
      <w:r>
        <w:rPr>
          <w:rStyle w:val="normaltextrun"/>
          <w:noProof/>
          <w:sz w:val="22"/>
          <w:szCs w:val="22"/>
        </w:rPr>
        <w:t xml:space="preserve">, and EFSA should be involved in risk assessments. The </w:t>
      </w:r>
      <w:r w:rsidRPr="00EC1412">
        <w:rPr>
          <w:rStyle w:val="normaltextrun"/>
          <w:noProof/>
          <w:sz w:val="22"/>
          <w:szCs w:val="22"/>
        </w:rPr>
        <w:t xml:space="preserve">agencies </w:t>
      </w:r>
      <w:r>
        <w:rPr>
          <w:rStyle w:val="normaltextrun"/>
          <w:noProof/>
          <w:sz w:val="22"/>
          <w:szCs w:val="22"/>
        </w:rPr>
        <w:t xml:space="preserve">should be involved </w:t>
      </w:r>
      <w:r w:rsidRPr="00EC1412">
        <w:rPr>
          <w:rStyle w:val="normaltextrun"/>
          <w:noProof/>
          <w:sz w:val="22"/>
          <w:szCs w:val="22"/>
        </w:rPr>
        <w:t>in evaluati</w:t>
      </w:r>
      <w:r>
        <w:rPr>
          <w:rStyle w:val="normaltextrun"/>
          <w:noProof/>
          <w:sz w:val="22"/>
          <w:szCs w:val="22"/>
        </w:rPr>
        <w:t xml:space="preserve">ng </w:t>
      </w:r>
      <w:r w:rsidRPr="00EC1412">
        <w:rPr>
          <w:rStyle w:val="normaltextrun"/>
          <w:noProof/>
          <w:sz w:val="22"/>
          <w:szCs w:val="22"/>
        </w:rPr>
        <w:t xml:space="preserve"> cosmetic ingredients, deriv</w:t>
      </w:r>
      <w:r>
        <w:rPr>
          <w:rStyle w:val="normaltextrun"/>
          <w:noProof/>
          <w:sz w:val="22"/>
          <w:szCs w:val="22"/>
        </w:rPr>
        <w:t xml:space="preserve">ing </w:t>
      </w:r>
      <w:r w:rsidRPr="00EC1412">
        <w:rPr>
          <w:rStyle w:val="normaltextrun"/>
          <w:noProof/>
          <w:sz w:val="22"/>
          <w:szCs w:val="22"/>
        </w:rPr>
        <w:t xml:space="preserve">environmental quality standards under the Water Framework Directive, </w:t>
      </w:r>
      <w:r>
        <w:rPr>
          <w:rStyle w:val="normaltextrun"/>
          <w:noProof/>
          <w:sz w:val="22"/>
          <w:szCs w:val="22"/>
        </w:rPr>
        <w:t xml:space="preserve">and in </w:t>
      </w:r>
      <w:r w:rsidRPr="00EC1412">
        <w:rPr>
          <w:rStyle w:val="normaltextrun"/>
          <w:noProof/>
          <w:sz w:val="22"/>
          <w:szCs w:val="22"/>
        </w:rPr>
        <w:t xml:space="preserve">opinions on chemical substances </w:t>
      </w:r>
      <w:r>
        <w:rPr>
          <w:rStyle w:val="normaltextrun"/>
          <w:noProof/>
          <w:sz w:val="22"/>
          <w:szCs w:val="22"/>
        </w:rPr>
        <w:t xml:space="preserve">in products (for example </w:t>
      </w:r>
      <w:r w:rsidRPr="00EC1412">
        <w:rPr>
          <w:rStyle w:val="normaltextrun"/>
          <w:noProof/>
          <w:sz w:val="22"/>
          <w:szCs w:val="22"/>
        </w:rPr>
        <w:t xml:space="preserve">in </w:t>
      </w:r>
      <w:r>
        <w:rPr>
          <w:rStyle w:val="normaltextrun"/>
          <w:noProof/>
          <w:sz w:val="22"/>
          <w:szCs w:val="22"/>
        </w:rPr>
        <w:t xml:space="preserve">toys). </w:t>
      </w:r>
    </w:p>
    <w:p w14:paraId="236E5993" w14:textId="77777777" w:rsidR="000A7D9D" w:rsidRPr="00EC1412" w:rsidRDefault="000A7D9D" w:rsidP="000A7D9D">
      <w:pPr>
        <w:pStyle w:val="paragraph"/>
        <w:numPr>
          <w:ilvl w:val="0"/>
          <w:numId w:val="18"/>
        </w:numPr>
        <w:spacing w:before="0" w:beforeAutospacing="0" w:after="0" w:afterAutospacing="0"/>
        <w:jc w:val="both"/>
        <w:textAlignment w:val="baseline"/>
        <w:rPr>
          <w:rStyle w:val="eop"/>
          <w:noProof/>
          <w:sz w:val="22"/>
          <w:szCs w:val="22"/>
          <w:lang w:val="en-US"/>
        </w:rPr>
      </w:pPr>
      <w:r w:rsidRPr="00EC1412">
        <w:rPr>
          <w:rStyle w:val="normaltextrun"/>
          <w:i/>
          <w:noProof/>
          <w:sz w:val="22"/>
          <w:szCs w:val="22"/>
        </w:rPr>
        <w:t>Impact assessment:</w:t>
      </w:r>
      <w:r w:rsidRPr="00EC1412">
        <w:rPr>
          <w:rStyle w:val="normaltextrun"/>
          <w:noProof/>
          <w:sz w:val="22"/>
          <w:szCs w:val="22"/>
        </w:rPr>
        <w:t xml:space="preserve"> </w:t>
      </w:r>
      <w:r>
        <w:rPr>
          <w:rStyle w:val="normaltextrun"/>
          <w:noProof/>
          <w:sz w:val="22"/>
          <w:szCs w:val="22"/>
        </w:rPr>
        <w:t>A f</w:t>
      </w:r>
      <w:r w:rsidRPr="00EC1412">
        <w:rPr>
          <w:rStyle w:val="normaltextrun"/>
          <w:noProof/>
          <w:sz w:val="22"/>
          <w:szCs w:val="22"/>
        </w:rPr>
        <w:t xml:space="preserve">ew respondents </w:t>
      </w:r>
      <w:r>
        <w:rPr>
          <w:rStyle w:val="normaltextrun"/>
          <w:noProof/>
          <w:sz w:val="22"/>
          <w:szCs w:val="22"/>
        </w:rPr>
        <w:t xml:space="preserve">from stakeholders </w:t>
      </w:r>
      <w:r w:rsidRPr="00EC1412">
        <w:rPr>
          <w:rStyle w:val="normaltextrun"/>
          <w:noProof/>
          <w:sz w:val="22"/>
          <w:szCs w:val="22"/>
        </w:rPr>
        <w:t xml:space="preserve">suggested to </w:t>
      </w:r>
      <w:r>
        <w:rPr>
          <w:rStyle w:val="normaltextrun"/>
          <w:noProof/>
          <w:sz w:val="22"/>
          <w:szCs w:val="22"/>
        </w:rPr>
        <w:t xml:space="preserve">carry out </w:t>
      </w:r>
      <w:r w:rsidRPr="00EC1412">
        <w:rPr>
          <w:rStyle w:val="normaltextrun"/>
          <w:noProof/>
          <w:sz w:val="22"/>
          <w:szCs w:val="22"/>
        </w:rPr>
        <w:t xml:space="preserve">an impact assessment </w:t>
      </w:r>
      <w:r>
        <w:rPr>
          <w:rStyle w:val="normaltextrun"/>
          <w:noProof/>
          <w:sz w:val="22"/>
          <w:szCs w:val="22"/>
        </w:rPr>
        <w:t xml:space="preserve">on </w:t>
      </w:r>
      <w:r w:rsidRPr="00EC1412">
        <w:rPr>
          <w:rStyle w:val="normaltextrun"/>
          <w:noProof/>
          <w:sz w:val="22"/>
          <w:szCs w:val="22"/>
        </w:rPr>
        <w:t xml:space="preserve">the one substance, one assessment initiative to </w:t>
      </w:r>
      <w:r>
        <w:rPr>
          <w:rStyle w:val="normaltextrun"/>
          <w:noProof/>
          <w:sz w:val="22"/>
          <w:szCs w:val="22"/>
        </w:rPr>
        <w:t xml:space="preserve">ensure </w:t>
      </w:r>
      <w:r w:rsidRPr="00EC1412">
        <w:rPr>
          <w:rStyle w:val="normaltextrun"/>
          <w:noProof/>
          <w:sz w:val="22"/>
          <w:szCs w:val="22"/>
        </w:rPr>
        <w:t xml:space="preserve">that </w:t>
      </w:r>
      <w:r>
        <w:rPr>
          <w:rStyle w:val="normaltextrun"/>
          <w:noProof/>
          <w:sz w:val="22"/>
          <w:szCs w:val="22"/>
        </w:rPr>
        <w:t xml:space="preserve">possible </w:t>
      </w:r>
      <w:r w:rsidRPr="00EC1412">
        <w:rPr>
          <w:rStyle w:val="normaltextrun"/>
          <w:noProof/>
          <w:sz w:val="22"/>
          <w:szCs w:val="22"/>
        </w:rPr>
        <w:t>impacts on business</w:t>
      </w:r>
      <w:r>
        <w:rPr>
          <w:rStyle w:val="normaltextrun"/>
          <w:noProof/>
          <w:sz w:val="22"/>
          <w:szCs w:val="22"/>
        </w:rPr>
        <w:t>es</w:t>
      </w:r>
      <w:r w:rsidRPr="00EC1412">
        <w:rPr>
          <w:rStyle w:val="normaltextrun"/>
          <w:noProof/>
          <w:sz w:val="22"/>
          <w:szCs w:val="22"/>
        </w:rPr>
        <w:t xml:space="preserve"> are considered </w:t>
      </w:r>
      <w:r>
        <w:rPr>
          <w:rStyle w:val="normaltextrun"/>
          <w:noProof/>
          <w:sz w:val="22"/>
          <w:szCs w:val="22"/>
        </w:rPr>
        <w:t xml:space="preserve">sufficiently </w:t>
      </w:r>
      <w:r w:rsidRPr="00EC1412">
        <w:rPr>
          <w:rStyle w:val="normaltextrun"/>
          <w:noProof/>
          <w:sz w:val="22"/>
          <w:szCs w:val="22"/>
        </w:rPr>
        <w:t>and that businesses are involved in develop</w:t>
      </w:r>
      <w:r>
        <w:rPr>
          <w:rStyle w:val="normaltextrun"/>
          <w:noProof/>
          <w:sz w:val="22"/>
          <w:szCs w:val="22"/>
        </w:rPr>
        <w:t xml:space="preserve">ing </w:t>
      </w:r>
      <w:r w:rsidRPr="00EC1412">
        <w:rPr>
          <w:rStyle w:val="normaltextrun"/>
          <w:noProof/>
          <w:sz w:val="22"/>
          <w:szCs w:val="22"/>
        </w:rPr>
        <w:t>the initiative.</w:t>
      </w:r>
      <w:r w:rsidRPr="00EC1412">
        <w:rPr>
          <w:rStyle w:val="eop"/>
          <w:noProof/>
          <w:sz w:val="22"/>
          <w:szCs w:val="22"/>
          <w:lang w:val="en-US"/>
        </w:rPr>
        <w:t> </w:t>
      </w:r>
    </w:p>
    <w:p w14:paraId="5B6F33FE" w14:textId="77777777" w:rsidR="000A7D9D" w:rsidRPr="00EC1412" w:rsidRDefault="000A7D9D" w:rsidP="000A7D9D">
      <w:pPr>
        <w:jc w:val="both"/>
        <w:rPr>
          <w:rFonts w:ascii="Times New Roman" w:hAnsi="Times New Roman" w:cs="Times New Roman"/>
          <w:noProof/>
          <w:lang w:val="en-US"/>
        </w:rPr>
      </w:pPr>
    </w:p>
    <w:p w14:paraId="542A7E13" w14:textId="77777777" w:rsidR="000A7D9D" w:rsidRPr="00CB3F79" w:rsidRDefault="000A7D9D" w:rsidP="000A7D9D">
      <w:pPr>
        <w:pStyle w:val="Heading1"/>
        <w:keepLines w:val="0"/>
        <w:widowControl/>
        <w:numPr>
          <w:ilvl w:val="0"/>
          <w:numId w:val="7"/>
        </w:numPr>
        <w:tabs>
          <w:tab w:val="num" w:pos="480"/>
        </w:tabs>
        <w:snapToGrid/>
        <w:spacing w:before="240"/>
        <w:ind w:left="480" w:hanging="480"/>
        <w:jc w:val="both"/>
        <w:rPr>
          <w:rFonts w:ascii="Times New Roman" w:hAnsi="Times New Roman"/>
          <w:smallCaps/>
          <w:noProof/>
          <w:color w:val="auto"/>
          <w:sz w:val="24"/>
          <w:lang w:eastAsia="en-US"/>
        </w:rPr>
      </w:pPr>
      <w:bookmarkStart w:id="9" w:name="_Toc150499895"/>
      <w:r w:rsidRPr="2E8599C7">
        <w:rPr>
          <w:rFonts w:ascii="Times New Roman" w:hAnsi="Times New Roman"/>
          <w:smallCaps/>
          <w:noProof/>
          <w:color w:val="auto"/>
          <w:sz w:val="24"/>
          <w:lang w:eastAsia="en-US"/>
        </w:rPr>
        <w:t>Scientific and technical work on chemicals for (re-)attribution to the EU agencies and strengthening the cooperation among the Agencies</w:t>
      </w:r>
      <w:bookmarkEnd w:id="9"/>
    </w:p>
    <w:p w14:paraId="7D3380D5"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Scientific and technical work on chemicals for (re-)attribution to the EU Agencies have been identified under 3</w:t>
      </w:r>
      <w:r>
        <w:rPr>
          <w:rFonts w:ascii="Times New Roman" w:hAnsi="Times New Roman" w:cs="Times New Roman"/>
          <w:noProof/>
        </w:rPr>
        <w:t>6</w:t>
      </w:r>
      <w:r w:rsidRPr="00EC1412">
        <w:rPr>
          <w:rFonts w:ascii="Times New Roman" w:hAnsi="Times New Roman" w:cs="Times New Roman"/>
          <w:noProof/>
        </w:rPr>
        <w:t xml:space="preserve"> pieces of legislation or work packages (see Table 1 below). The tasks for (re-)attribution have been identified through the targeted inter-service consultation including the EU Agencies, targeted consultation with Member States and targeted consultation with stakeholders and by applying the guiding principles for the (re-)attribution of scientific and technical work on chemicals to the EU Agencies (see section 4). The way how the tasks are (re-)attributed to the EU Agencies was discussed at length between the concerned Commission Service and the receiving Agency, taking into account the policy objectives, desired scientific rigour, scrutiny and technical and organisational feasibility. A particular attention was pa</w:t>
      </w:r>
      <w:r>
        <w:rPr>
          <w:rFonts w:ascii="Times New Roman" w:hAnsi="Times New Roman" w:cs="Times New Roman"/>
          <w:noProof/>
        </w:rPr>
        <w:t>id</w:t>
      </w:r>
      <w:r w:rsidRPr="00EC1412">
        <w:rPr>
          <w:rFonts w:ascii="Times New Roman" w:hAnsi="Times New Roman" w:cs="Times New Roman"/>
          <w:noProof/>
        </w:rPr>
        <w:t xml:space="preserve"> to the assessment of the proximity of a task for (re-)attribution with the Agency’s mandate and to the identification of potential synergies and added value of the (re-)attribution. </w:t>
      </w:r>
    </w:p>
    <w:p w14:paraId="3BE254BB" w14:textId="61EFB343"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There are various types of task (re-)attributions that have been proposed or are being considered</w:t>
      </w:r>
      <w:r>
        <w:rPr>
          <w:rFonts w:ascii="Times New Roman" w:hAnsi="Times New Roman" w:cs="Times New Roman"/>
          <w:noProof/>
        </w:rPr>
        <w:t xml:space="preserve"> (see ‘task type’ in Table 1)</w:t>
      </w:r>
      <w:r w:rsidRPr="00EC1412">
        <w:rPr>
          <w:rFonts w:ascii="Times New Roman" w:hAnsi="Times New Roman" w:cs="Times New Roman"/>
          <w:noProof/>
        </w:rPr>
        <w:t xml:space="preserve">. Reattribution of existing tasks from a non-agency body to the EU Agencies have been proposed or are being considered to be proposed under 12 pieces of legislation or work packages. Out of these 12 pieces of legislation or work packages, </w:t>
      </w:r>
      <w:r>
        <w:rPr>
          <w:rFonts w:ascii="Times New Roman" w:hAnsi="Times New Roman" w:cs="Times New Roman"/>
          <w:noProof/>
        </w:rPr>
        <w:t>3</w:t>
      </w:r>
      <w:r w:rsidRPr="00EC1412">
        <w:rPr>
          <w:rFonts w:ascii="Times New Roman" w:hAnsi="Times New Roman" w:cs="Times New Roman"/>
          <w:noProof/>
        </w:rPr>
        <w:t xml:space="preserve"> contains reattributions that are accompanied with improvement or expansion of the reattributed tasks while </w:t>
      </w:r>
      <w:r>
        <w:rPr>
          <w:rFonts w:ascii="Times New Roman" w:hAnsi="Times New Roman" w:cs="Times New Roman"/>
          <w:noProof/>
        </w:rPr>
        <w:t>9</w:t>
      </w:r>
      <w:r w:rsidRPr="00EC1412">
        <w:rPr>
          <w:rFonts w:ascii="Times New Roman" w:hAnsi="Times New Roman" w:cs="Times New Roman"/>
          <w:noProof/>
        </w:rPr>
        <w:t xml:space="preserve"> contains reattributions of tasks without their expansion. Attributions under 8 pieces of legislation or work packages are formalisation of the existing attributions of a task to an agency without a legal basis or are improvements of the specification of existing tasks. Attributions under 1</w:t>
      </w:r>
      <w:r>
        <w:rPr>
          <w:rFonts w:ascii="Times New Roman" w:hAnsi="Times New Roman" w:cs="Times New Roman"/>
          <w:noProof/>
        </w:rPr>
        <w:t>7</w:t>
      </w:r>
      <w:r w:rsidRPr="00EC1412">
        <w:rPr>
          <w:rFonts w:ascii="Times New Roman" w:hAnsi="Times New Roman" w:cs="Times New Roman"/>
          <w:noProof/>
        </w:rPr>
        <w:t xml:space="preserve"> pieces of legislation or work packages contain tasks that are new. Either they are extension of the tasks that already exists at the agencies or they are completely new tasks. </w:t>
      </w:r>
    </w:p>
    <w:p w14:paraId="74D94C64"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changes in the founding provisions of ECHA, EEA, EFSA and EMA to strengthen the cooperation among the agencies are listed here as a (re-)attribution, or improvement of the specification of existing tasks, under the respective founding regulations. </w:t>
      </w:r>
    </w:p>
    <w:p w14:paraId="4F549CF3"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(re-)attribution of tasks have been already adopted </w:t>
      </w:r>
      <w:r>
        <w:rPr>
          <w:rFonts w:ascii="Times New Roman" w:hAnsi="Times New Roman" w:cs="Times New Roman"/>
          <w:noProof/>
        </w:rPr>
        <w:t xml:space="preserve">for 5 pieces of legislation / work packages, and it was proposed for another 8 pieces of legislation. </w:t>
      </w:r>
      <w:r w:rsidRPr="00EC1412">
        <w:rPr>
          <w:rFonts w:ascii="Times New Roman" w:hAnsi="Times New Roman" w:cs="Times New Roman"/>
          <w:noProof/>
        </w:rPr>
        <w:t>The (re-)attributions are still to be proposed for 2</w:t>
      </w:r>
      <w:r>
        <w:rPr>
          <w:rFonts w:ascii="Times New Roman" w:hAnsi="Times New Roman" w:cs="Times New Roman"/>
          <w:noProof/>
        </w:rPr>
        <w:t>0</w:t>
      </w:r>
      <w:r w:rsidRPr="00EC1412">
        <w:rPr>
          <w:rFonts w:ascii="Times New Roman" w:hAnsi="Times New Roman" w:cs="Times New Roman"/>
          <w:noProof/>
        </w:rPr>
        <w:t xml:space="preserve"> pieces of legislation/work packages and for 3 pieces of legislation the tasks are being defined and some of them might be suitable for attribution to the EU Agencies, but it is premature to conclude on this. </w:t>
      </w:r>
    </w:p>
    <w:p w14:paraId="7C160398" w14:textId="77777777" w:rsidR="000A7D9D"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Following the guiding principles, the highest number of tasks is to be (re-)attributed to ECHA, followed by EEA, EFSA</w:t>
      </w:r>
      <w:r>
        <w:rPr>
          <w:rFonts w:ascii="Times New Roman" w:hAnsi="Times New Roman" w:cs="Times New Roman"/>
          <w:noProof/>
        </w:rPr>
        <w:t xml:space="preserve">, </w:t>
      </w:r>
      <w:r w:rsidRPr="00EC1412">
        <w:rPr>
          <w:rFonts w:ascii="Times New Roman" w:hAnsi="Times New Roman" w:cs="Times New Roman"/>
          <w:noProof/>
        </w:rPr>
        <w:t>EMA</w:t>
      </w:r>
      <w:r>
        <w:rPr>
          <w:rFonts w:ascii="Times New Roman" w:hAnsi="Times New Roman" w:cs="Times New Roman"/>
          <w:noProof/>
        </w:rPr>
        <w:t xml:space="preserve"> and EU-OSHA.</w:t>
      </w:r>
    </w:p>
    <w:p w14:paraId="7394DEF1" w14:textId="77777777" w:rsidR="000A7D9D" w:rsidRDefault="000A7D9D" w:rsidP="000A7D9D">
      <w:pPr>
        <w:spacing w:after="120"/>
        <w:jc w:val="both"/>
        <w:rPr>
          <w:rFonts w:ascii="Times New Roman" w:hAnsi="Times New Roman" w:cs="Times New Roman"/>
          <w:noProof/>
        </w:rPr>
      </w:pPr>
    </w:p>
    <w:p w14:paraId="3139C627" w14:textId="77777777" w:rsidR="000A7D9D" w:rsidRDefault="000A7D9D" w:rsidP="000A7D9D">
      <w:pPr>
        <w:spacing w:after="120"/>
        <w:jc w:val="both"/>
        <w:rPr>
          <w:rFonts w:ascii="Times New Roman" w:hAnsi="Times New Roman" w:cs="Times New Roman"/>
          <w:noProof/>
        </w:rPr>
      </w:pPr>
    </w:p>
    <w:p w14:paraId="107390BA" w14:textId="77777777" w:rsidR="000A7D9D" w:rsidRPr="00EC1412" w:rsidRDefault="000A7D9D" w:rsidP="000A7D9D">
      <w:pPr>
        <w:spacing w:after="120"/>
        <w:jc w:val="both"/>
        <w:rPr>
          <w:rFonts w:ascii="Times New Roman" w:hAnsi="Times New Roman" w:cs="Times New Roman"/>
          <w:noProof/>
        </w:rPr>
      </w:pPr>
    </w:p>
    <w:tbl>
      <w:tblPr>
        <w:tblStyle w:val="TableGrid"/>
        <w:tblW w:w="9639" w:type="dxa"/>
        <w:tblInd w:w="-10" w:type="dxa"/>
        <w:tblLayout w:type="fixed"/>
        <w:tblLook w:val="04A0" w:firstRow="1" w:lastRow="0" w:firstColumn="1" w:lastColumn="0" w:noHBand="0" w:noVBand="1"/>
      </w:tblPr>
      <w:tblGrid>
        <w:gridCol w:w="426"/>
        <w:gridCol w:w="5244"/>
        <w:gridCol w:w="2835"/>
        <w:gridCol w:w="1134"/>
      </w:tblGrid>
      <w:tr w:rsidR="000A7D9D" w:rsidRPr="00EC1412" w14:paraId="292046C0" w14:textId="77777777" w:rsidTr="00F31937">
        <w:tc>
          <w:tcPr>
            <w:tcW w:w="9639" w:type="dxa"/>
            <w:gridSpan w:val="4"/>
            <w:tcBorders>
              <w:top w:val="single" w:sz="8" w:space="0" w:color="auto"/>
              <w:left w:val="single" w:sz="8" w:space="0" w:color="auto"/>
              <w:bottom w:val="single" w:sz="4" w:space="0" w:color="auto"/>
              <w:right w:val="single" w:sz="8" w:space="0" w:color="auto"/>
            </w:tcBorders>
            <w:shd w:val="clear" w:color="auto" w:fill="A6A6A6" w:themeFill="background1" w:themeFillShade="A6"/>
          </w:tcPr>
          <w:p w14:paraId="3C83D8C8" w14:textId="77777777" w:rsidR="000A7D9D" w:rsidRPr="00EC1412" w:rsidRDefault="000A7D9D" w:rsidP="00F31937">
            <w:pPr>
              <w:pStyle w:val="ListParagraph"/>
              <w:spacing w:before="60" w:after="60"/>
              <w:ind w:left="0"/>
              <w:contextualSpacing w:val="0"/>
              <w:jc w:val="both"/>
              <w:rPr>
                <w:rStyle w:val="normaltextrun"/>
                <w:b/>
                <w:noProof/>
                <w:sz w:val="18"/>
                <w:szCs w:val="18"/>
              </w:rPr>
            </w:pPr>
            <w:r w:rsidRPr="00EC1412">
              <w:rPr>
                <w:rStyle w:val="normaltextrun"/>
                <w:noProof/>
                <w:sz w:val="18"/>
                <w:szCs w:val="18"/>
              </w:rPr>
              <w:t xml:space="preserve">Table 1. </w:t>
            </w:r>
            <w:r w:rsidRPr="00EC1412">
              <w:rPr>
                <w:b/>
                <w:noProof/>
                <w:sz w:val="18"/>
                <w:szCs w:val="18"/>
              </w:rPr>
              <w:t xml:space="preserve">Overview of legislation and work packages with tasks for (re-)attribution to the EU </w:t>
            </w:r>
            <w:r>
              <w:rPr>
                <w:b/>
                <w:noProof/>
                <w:sz w:val="18"/>
                <w:szCs w:val="18"/>
              </w:rPr>
              <w:t>a</w:t>
            </w:r>
            <w:r w:rsidRPr="00EC1412">
              <w:rPr>
                <w:b/>
                <w:noProof/>
                <w:sz w:val="18"/>
                <w:szCs w:val="18"/>
              </w:rPr>
              <w:t>gencies</w:t>
            </w:r>
          </w:p>
        </w:tc>
      </w:tr>
      <w:tr w:rsidR="000A7D9D" w:rsidRPr="00EC1412" w14:paraId="5DA02914" w14:textId="77777777" w:rsidTr="00F31937">
        <w:tc>
          <w:tcPr>
            <w:tcW w:w="5670" w:type="dxa"/>
            <w:gridSpan w:val="2"/>
            <w:tcBorders>
              <w:top w:val="single" w:sz="8" w:space="0" w:color="auto"/>
              <w:left w:val="single" w:sz="8" w:space="0" w:color="auto"/>
              <w:bottom w:val="single" w:sz="4" w:space="0" w:color="auto"/>
              <w:right w:val="dotted" w:sz="4" w:space="0" w:color="auto"/>
            </w:tcBorders>
            <w:shd w:val="clear" w:color="auto" w:fill="A6A6A6" w:themeFill="background1" w:themeFillShade="A6"/>
          </w:tcPr>
          <w:p w14:paraId="56470246" w14:textId="77777777" w:rsidR="000A7D9D" w:rsidRPr="00EC1412" w:rsidRDefault="000A7D9D" w:rsidP="00F31937">
            <w:pPr>
              <w:pStyle w:val="ListParagraph"/>
              <w:spacing w:before="10" w:after="10"/>
              <w:ind w:left="0"/>
              <w:contextualSpacing w:val="0"/>
              <w:jc w:val="both"/>
              <w:rPr>
                <w:rStyle w:val="normaltextrun"/>
                <w:b/>
                <w:noProof/>
                <w:sz w:val="18"/>
                <w:szCs w:val="18"/>
              </w:rPr>
            </w:pPr>
            <w:r w:rsidRPr="00EC1412">
              <w:rPr>
                <w:rStyle w:val="normaltextrun"/>
                <w:noProof/>
                <w:sz w:val="18"/>
                <w:szCs w:val="18"/>
              </w:rPr>
              <w:t xml:space="preserve">Legislation/work packages with tasks for (re-)attribution </w:t>
            </w:r>
          </w:p>
        </w:tc>
        <w:tc>
          <w:tcPr>
            <w:tcW w:w="2835" w:type="dxa"/>
            <w:tcBorders>
              <w:top w:val="single" w:sz="8" w:space="0" w:color="auto"/>
              <w:left w:val="dotted" w:sz="4" w:space="0" w:color="auto"/>
              <w:bottom w:val="single" w:sz="4" w:space="0" w:color="auto"/>
              <w:right w:val="dotted" w:sz="4" w:space="0" w:color="auto"/>
            </w:tcBorders>
            <w:shd w:val="clear" w:color="auto" w:fill="A6A6A6" w:themeFill="background1" w:themeFillShade="A6"/>
          </w:tcPr>
          <w:p w14:paraId="7D2F1F0D" w14:textId="77777777" w:rsidR="000A7D9D" w:rsidRPr="00EC1412" w:rsidRDefault="000A7D9D" w:rsidP="00F31937">
            <w:pPr>
              <w:pStyle w:val="ListParagraph"/>
              <w:spacing w:before="10" w:after="10"/>
              <w:ind w:left="0"/>
              <w:contextualSpacing w:val="0"/>
              <w:jc w:val="both"/>
              <w:rPr>
                <w:rStyle w:val="normaltextrun"/>
                <w:b/>
                <w:noProof/>
                <w:sz w:val="18"/>
                <w:szCs w:val="18"/>
              </w:rPr>
            </w:pPr>
            <w:r w:rsidRPr="00EC1412">
              <w:rPr>
                <w:rStyle w:val="normaltextrun"/>
                <w:noProof/>
                <w:sz w:val="18"/>
                <w:szCs w:val="18"/>
              </w:rPr>
              <w:t>Receiving body</w:t>
            </w:r>
          </w:p>
        </w:tc>
        <w:tc>
          <w:tcPr>
            <w:tcW w:w="1134" w:type="dxa"/>
            <w:tcBorders>
              <w:top w:val="single" w:sz="8" w:space="0" w:color="auto"/>
              <w:left w:val="dotted" w:sz="4" w:space="0" w:color="auto"/>
              <w:bottom w:val="single" w:sz="4" w:space="0" w:color="auto"/>
              <w:right w:val="single" w:sz="8" w:space="0" w:color="auto"/>
            </w:tcBorders>
            <w:shd w:val="clear" w:color="auto" w:fill="A6A6A6" w:themeFill="background1" w:themeFillShade="A6"/>
          </w:tcPr>
          <w:p w14:paraId="13C73DF2" w14:textId="77777777" w:rsidR="000A7D9D" w:rsidRPr="00EC1412" w:rsidRDefault="000A7D9D" w:rsidP="00F31937">
            <w:pPr>
              <w:pStyle w:val="ListParagraph"/>
              <w:spacing w:before="10" w:after="10"/>
              <w:ind w:left="0"/>
              <w:contextualSpacing w:val="0"/>
              <w:jc w:val="both"/>
              <w:rPr>
                <w:rStyle w:val="normaltextrun"/>
                <w:b/>
                <w:noProof/>
                <w:sz w:val="18"/>
                <w:szCs w:val="18"/>
              </w:rPr>
            </w:pPr>
            <w:r w:rsidRPr="00EC1412">
              <w:rPr>
                <w:rStyle w:val="normaltextrun"/>
                <w:noProof/>
                <w:sz w:val="18"/>
                <w:szCs w:val="18"/>
              </w:rPr>
              <w:t xml:space="preserve">Task type </w:t>
            </w:r>
          </w:p>
        </w:tc>
      </w:tr>
      <w:tr w:rsidR="000A7D9D" w:rsidRPr="00EC1412" w14:paraId="1C789325" w14:textId="77777777" w:rsidTr="00F31937">
        <w:tc>
          <w:tcPr>
            <w:tcW w:w="5670" w:type="dxa"/>
            <w:gridSpan w:val="2"/>
            <w:tcBorders>
              <w:left w:val="single" w:sz="8" w:space="0" w:color="auto"/>
              <w:bottom w:val="single" w:sz="4" w:space="0" w:color="auto"/>
              <w:right w:val="dotted" w:sz="4" w:space="0" w:color="auto"/>
            </w:tcBorders>
            <w:shd w:val="clear" w:color="auto" w:fill="BFBFBF" w:themeFill="background1" w:themeFillShade="BF"/>
          </w:tcPr>
          <w:p w14:paraId="6454DEFF" w14:textId="77777777" w:rsidR="000A7D9D" w:rsidRPr="00EC1412" w:rsidRDefault="000A7D9D" w:rsidP="00F31937">
            <w:pPr>
              <w:pStyle w:val="ListParagraph"/>
              <w:spacing w:before="10" w:after="10"/>
              <w:ind w:left="0"/>
              <w:contextualSpacing w:val="0"/>
              <w:jc w:val="both"/>
              <w:rPr>
                <w:rStyle w:val="normaltextrun"/>
                <w:b/>
                <w:noProof/>
                <w:sz w:val="18"/>
                <w:szCs w:val="18"/>
              </w:rPr>
            </w:pPr>
            <w:r w:rsidRPr="00EC1412">
              <w:rPr>
                <w:rStyle w:val="normaltextrun"/>
                <w:noProof/>
                <w:sz w:val="18"/>
                <w:szCs w:val="18"/>
              </w:rPr>
              <w:t xml:space="preserve">Already adopted by the co-legislators </w:t>
            </w:r>
          </w:p>
        </w:tc>
        <w:tc>
          <w:tcPr>
            <w:tcW w:w="2835" w:type="dxa"/>
            <w:tcBorders>
              <w:left w:val="dotted" w:sz="4" w:space="0" w:color="auto"/>
              <w:bottom w:val="single" w:sz="4" w:space="0" w:color="auto"/>
              <w:right w:val="dotted" w:sz="4" w:space="0" w:color="auto"/>
            </w:tcBorders>
            <w:shd w:val="clear" w:color="auto" w:fill="BFBFBF" w:themeFill="background1" w:themeFillShade="BF"/>
          </w:tcPr>
          <w:p w14:paraId="26FBCAB5" w14:textId="77777777" w:rsidR="000A7D9D" w:rsidRPr="00EC1412" w:rsidRDefault="000A7D9D" w:rsidP="00F31937">
            <w:pPr>
              <w:pStyle w:val="ListParagraph"/>
              <w:spacing w:before="10" w:after="10"/>
              <w:ind w:left="0"/>
              <w:contextualSpacing w:val="0"/>
              <w:jc w:val="both"/>
              <w:rPr>
                <w:rStyle w:val="normaltextrun"/>
                <w:b/>
                <w:noProof/>
                <w:sz w:val="18"/>
                <w:szCs w:val="18"/>
              </w:rPr>
            </w:pPr>
          </w:p>
        </w:tc>
        <w:tc>
          <w:tcPr>
            <w:tcW w:w="1134" w:type="dxa"/>
            <w:tcBorders>
              <w:left w:val="dotted" w:sz="4" w:space="0" w:color="auto"/>
              <w:bottom w:val="single" w:sz="4" w:space="0" w:color="auto"/>
              <w:right w:val="single" w:sz="8" w:space="0" w:color="auto"/>
            </w:tcBorders>
            <w:shd w:val="clear" w:color="auto" w:fill="BFBFBF" w:themeFill="background1" w:themeFillShade="BF"/>
          </w:tcPr>
          <w:p w14:paraId="249C5513" w14:textId="77777777" w:rsidR="000A7D9D" w:rsidRPr="00EC1412" w:rsidRDefault="000A7D9D" w:rsidP="00F31937">
            <w:pPr>
              <w:pStyle w:val="ListParagraph"/>
              <w:spacing w:before="10" w:after="10"/>
              <w:ind w:left="0"/>
              <w:contextualSpacing w:val="0"/>
              <w:jc w:val="both"/>
              <w:rPr>
                <w:rStyle w:val="normaltextrun"/>
                <w:b/>
                <w:noProof/>
                <w:sz w:val="18"/>
                <w:szCs w:val="18"/>
              </w:rPr>
            </w:pPr>
          </w:p>
        </w:tc>
      </w:tr>
      <w:tr w:rsidR="000A7D9D" w:rsidRPr="00EC1412" w14:paraId="2B6E2CA7"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FFF4CC"/>
          </w:tcPr>
          <w:p w14:paraId="58B1B2BB"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1</w:t>
            </w:r>
          </w:p>
        </w:tc>
        <w:tc>
          <w:tcPr>
            <w:tcW w:w="5244" w:type="dxa"/>
            <w:tcBorders>
              <w:top w:val="single" w:sz="4" w:space="0" w:color="auto"/>
              <w:left w:val="dotted" w:sz="4" w:space="0" w:color="auto"/>
              <w:bottom w:val="single" w:sz="4" w:space="0" w:color="auto"/>
              <w:right w:val="dotted" w:sz="4" w:space="0" w:color="auto"/>
            </w:tcBorders>
            <w:shd w:val="clear" w:color="auto" w:fill="FFF4CC"/>
          </w:tcPr>
          <w:p w14:paraId="342283EE"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Drinking water directive</w:t>
            </w:r>
          </w:p>
        </w:tc>
        <w:tc>
          <w:tcPr>
            <w:tcW w:w="2835" w:type="dxa"/>
            <w:tcBorders>
              <w:top w:val="single" w:sz="4" w:space="0" w:color="auto"/>
              <w:left w:val="dotted" w:sz="4" w:space="0" w:color="auto"/>
              <w:bottom w:val="single" w:sz="4" w:space="0" w:color="auto"/>
              <w:right w:val="dotted" w:sz="4" w:space="0" w:color="auto"/>
            </w:tcBorders>
            <w:shd w:val="clear" w:color="auto" w:fill="FFF4CC"/>
          </w:tcPr>
          <w:p w14:paraId="2B2C0CB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single" w:sz="4" w:space="0" w:color="auto"/>
              <w:left w:val="dotted" w:sz="4" w:space="0" w:color="auto"/>
              <w:bottom w:val="single" w:sz="4" w:space="0" w:color="auto"/>
              <w:right w:val="single" w:sz="8" w:space="0" w:color="auto"/>
            </w:tcBorders>
            <w:shd w:val="clear" w:color="auto" w:fill="FFF4CC"/>
          </w:tcPr>
          <w:p w14:paraId="53EFA3DD"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w:t>
            </w:r>
          </w:p>
        </w:tc>
      </w:tr>
      <w:tr w:rsidR="000A7D9D" w:rsidRPr="00EC1412" w14:paraId="4F8A75B7"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C1ECFF"/>
          </w:tcPr>
          <w:p w14:paraId="3CB3D49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2</w:t>
            </w:r>
          </w:p>
        </w:tc>
        <w:tc>
          <w:tcPr>
            <w:tcW w:w="5244" w:type="dxa"/>
            <w:tcBorders>
              <w:top w:val="single" w:sz="4" w:space="0" w:color="auto"/>
              <w:left w:val="dotted" w:sz="4" w:space="0" w:color="auto"/>
              <w:bottom w:val="single" w:sz="4" w:space="0" w:color="auto"/>
              <w:right w:val="dotted" w:sz="4" w:space="0" w:color="auto"/>
            </w:tcBorders>
            <w:shd w:val="clear" w:color="auto" w:fill="C1ECFF"/>
          </w:tcPr>
          <w:p w14:paraId="59EE869B"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Regulation on serious cross-border threats to health</w:t>
            </w:r>
          </w:p>
        </w:tc>
        <w:tc>
          <w:tcPr>
            <w:tcW w:w="2835" w:type="dxa"/>
            <w:tcBorders>
              <w:top w:val="single" w:sz="4" w:space="0" w:color="auto"/>
              <w:left w:val="dotted" w:sz="4" w:space="0" w:color="auto"/>
              <w:bottom w:val="single" w:sz="4" w:space="0" w:color="auto"/>
              <w:right w:val="dotted" w:sz="4" w:space="0" w:color="auto"/>
            </w:tcBorders>
            <w:shd w:val="clear" w:color="auto" w:fill="C1ECFF"/>
          </w:tcPr>
          <w:p w14:paraId="2EAED089"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 EEA, EFSA, EMA</w:t>
            </w:r>
          </w:p>
        </w:tc>
        <w:tc>
          <w:tcPr>
            <w:tcW w:w="1134" w:type="dxa"/>
            <w:tcBorders>
              <w:top w:val="single" w:sz="4" w:space="0" w:color="auto"/>
              <w:left w:val="dotted" w:sz="4" w:space="0" w:color="auto"/>
              <w:bottom w:val="single" w:sz="4" w:space="0" w:color="auto"/>
              <w:right w:val="single" w:sz="8" w:space="0" w:color="auto"/>
            </w:tcBorders>
            <w:shd w:val="clear" w:color="auto" w:fill="C1ECFF"/>
          </w:tcPr>
          <w:p w14:paraId="0382E4A6"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t>
            </w:r>
          </w:p>
        </w:tc>
      </w:tr>
      <w:tr w:rsidR="000A7D9D" w:rsidRPr="00EC1412" w14:paraId="10F74581"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FFF4CC"/>
          </w:tcPr>
          <w:p w14:paraId="0DD2DD47"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3</w:t>
            </w:r>
          </w:p>
        </w:tc>
        <w:tc>
          <w:tcPr>
            <w:tcW w:w="5244" w:type="dxa"/>
            <w:tcBorders>
              <w:top w:val="single" w:sz="4" w:space="0" w:color="auto"/>
              <w:left w:val="dotted" w:sz="4" w:space="0" w:color="auto"/>
              <w:bottom w:val="single" w:sz="4" w:space="0" w:color="auto"/>
              <w:right w:val="dotted" w:sz="4" w:space="0" w:color="auto"/>
            </w:tcBorders>
            <w:shd w:val="clear" w:color="auto" w:fill="FFF4CC"/>
          </w:tcPr>
          <w:p w14:paraId="6D7FA09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European Partnership for the Assessment of Risks from Chemicals</w:t>
            </w:r>
          </w:p>
        </w:tc>
        <w:tc>
          <w:tcPr>
            <w:tcW w:w="2835" w:type="dxa"/>
            <w:tcBorders>
              <w:top w:val="single" w:sz="4" w:space="0" w:color="auto"/>
              <w:left w:val="dotted" w:sz="4" w:space="0" w:color="auto"/>
              <w:bottom w:val="single" w:sz="4" w:space="0" w:color="auto"/>
              <w:right w:val="dotted" w:sz="4" w:space="0" w:color="auto"/>
            </w:tcBorders>
            <w:shd w:val="clear" w:color="auto" w:fill="FFF4CC"/>
          </w:tcPr>
          <w:p w14:paraId="543FC838"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 EEA, EFSA</w:t>
            </w:r>
          </w:p>
        </w:tc>
        <w:tc>
          <w:tcPr>
            <w:tcW w:w="1134" w:type="dxa"/>
            <w:tcBorders>
              <w:top w:val="single" w:sz="4" w:space="0" w:color="auto"/>
              <w:left w:val="dotted" w:sz="4" w:space="0" w:color="auto"/>
              <w:bottom w:val="single" w:sz="4" w:space="0" w:color="auto"/>
              <w:right w:val="single" w:sz="8" w:space="0" w:color="auto"/>
            </w:tcBorders>
            <w:shd w:val="clear" w:color="auto" w:fill="FFF4CC"/>
          </w:tcPr>
          <w:p w14:paraId="2DF0FBC3"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w:t>
            </w:r>
          </w:p>
        </w:tc>
      </w:tr>
      <w:tr w:rsidR="000A7D9D" w:rsidRPr="00EC1412" w14:paraId="6522DF51"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C1ECFF"/>
          </w:tcPr>
          <w:p w14:paraId="79321B49"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4</w:t>
            </w:r>
          </w:p>
        </w:tc>
        <w:tc>
          <w:tcPr>
            <w:tcW w:w="5244" w:type="dxa"/>
            <w:tcBorders>
              <w:top w:val="single" w:sz="4" w:space="0" w:color="auto"/>
              <w:left w:val="dotted" w:sz="4" w:space="0" w:color="auto"/>
              <w:bottom w:val="single" w:sz="4" w:space="0" w:color="auto"/>
              <w:right w:val="dotted" w:sz="4" w:space="0" w:color="auto"/>
            </w:tcBorders>
            <w:shd w:val="clear" w:color="auto" w:fill="C1ECFF"/>
          </w:tcPr>
          <w:p w14:paraId="124DACEB"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Commission implementing decision 2022/1979 under SEVESO </w:t>
            </w:r>
            <w:r>
              <w:rPr>
                <w:rStyle w:val="normaltextrun"/>
                <w:noProof/>
                <w:sz w:val="18"/>
                <w:szCs w:val="18"/>
              </w:rPr>
              <w:t>d</w:t>
            </w:r>
            <w:r w:rsidRPr="00EC1412">
              <w:rPr>
                <w:rStyle w:val="normaltextrun"/>
                <w:noProof/>
                <w:sz w:val="18"/>
                <w:szCs w:val="18"/>
              </w:rPr>
              <w:t xml:space="preserve">irective </w:t>
            </w:r>
          </w:p>
        </w:tc>
        <w:tc>
          <w:tcPr>
            <w:tcW w:w="2835" w:type="dxa"/>
            <w:tcBorders>
              <w:top w:val="single" w:sz="4" w:space="0" w:color="auto"/>
              <w:left w:val="dotted" w:sz="4" w:space="0" w:color="auto"/>
              <w:bottom w:val="single" w:sz="4" w:space="0" w:color="auto"/>
              <w:right w:val="dotted" w:sz="4" w:space="0" w:color="auto"/>
            </w:tcBorders>
            <w:shd w:val="clear" w:color="auto" w:fill="C1ECFF"/>
          </w:tcPr>
          <w:p w14:paraId="48EF6E57"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EEA</w:t>
            </w:r>
          </w:p>
        </w:tc>
        <w:tc>
          <w:tcPr>
            <w:tcW w:w="1134" w:type="dxa"/>
            <w:tcBorders>
              <w:top w:val="single" w:sz="4" w:space="0" w:color="auto"/>
              <w:left w:val="dotted" w:sz="4" w:space="0" w:color="auto"/>
              <w:bottom w:val="single" w:sz="4" w:space="0" w:color="auto"/>
              <w:right w:val="single" w:sz="8" w:space="0" w:color="auto"/>
            </w:tcBorders>
            <w:shd w:val="clear" w:color="auto" w:fill="C1ECFF"/>
          </w:tcPr>
          <w:p w14:paraId="2468D793"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t>
            </w:r>
          </w:p>
        </w:tc>
      </w:tr>
      <w:tr w:rsidR="000A7D9D" w:rsidRPr="00EC1412" w14:paraId="35F02098"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FFF4CC"/>
          </w:tcPr>
          <w:p w14:paraId="05DE1A1E"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5</w:t>
            </w:r>
          </w:p>
        </w:tc>
        <w:tc>
          <w:tcPr>
            <w:tcW w:w="5244" w:type="dxa"/>
            <w:tcBorders>
              <w:top w:val="single" w:sz="4" w:space="0" w:color="auto"/>
              <w:left w:val="dotted" w:sz="4" w:space="0" w:color="auto"/>
              <w:bottom w:val="single" w:sz="4" w:space="0" w:color="auto"/>
              <w:right w:val="dotted" w:sz="4" w:space="0" w:color="auto"/>
            </w:tcBorders>
            <w:shd w:val="clear" w:color="auto" w:fill="FFF4CC"/>
          </w:tcPr>
          <w:p w14:paraId="349CB5C2"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Batteries regulation</w:t>
            </w:r>
          </w:p>
        </w:tc>
        <w:tc>
          <w:tcPr>
            <w:tcW w:w="2835" w:type="dxa"/>
            <w:tcBorders>
              <w:top w:val="single" w:sz="4" w:space="0" w:color="auto"/>
              <w:left w:val="dotted" w:sz="4" w:space="0" w:color="auto"/>
              <w:bottom w:val="single" w:sz="4" w:space="0" w:color="auto"/>
              <w:right w:val="dotted" w:sz="4" w:space="0" w:color="auto"/>
            </w:tcBorders>
            <w:shd w:val="clear" w:color="auto" w:fill="FFF4CC"/>
          </w:tcPr>
          <w:p w14:paraId="7AF5AA8A"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single" w:sz="4" w:space="0" w:color="auto"/>
              <w:left w:val="dotted" w:sz="4" w:space="0" w:color="auto"/>
              <w:bottom w:val="single" w:sz="4" w:space="0" w:color="auto"/>
              <w:right w:val="single" w:sz="8" w:space="0" w:color="auto"/>
            </w:tcBorders>
            <w:shd w:val="clear" w:color="auto" w:fill="FFF4CC"/>
          </w:tcPr>
          <w:p w14:paraId="3D9C72E2"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w:t>
            </w:r>
          </w:p>
        </w:tc>
      </w:tr>
      <w:tr w:rsidR="000A7D9D" w:rsidRPr="00EC1412" w14:paraId="3F49AE11" w14:textId="77777777" w:rsidTr="00F31937">
        <w:tc>
          <w:tcPr>
            <w:tcW w:w="9639" w:type="dxa"/>
            <w:gridSpan w:val="4"/>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581F2E8D" w14:textId="77777777" w:rsidR="000A7D9D" w:rsidRPr="00EC1412" w:rsidRDefault="000A7D9D" w:rsidP="00F31937">
            <w:pPr>
              <w:pStyle w:val="ListParagraph"/>
              <w:spacing w:before="10" w:after="10"/>
              <w:ind w:left="0"/>
              <w:contextualSpacing w:val="0"/>
              <w:rPr>
                <w:rStyle w:val="normaltextrun"/>
                <w:noProof/>
                <w:sz w:val="18"/>
                <w:szCs w:val="18"/>
              </w:rPr>
            </w:pPr>
            <w:r>
              <w:rPr>
                <w:rStyle w:val="normaltextrun"/>
                <w:noProof/>
                <w:sz w:val="18"/>
                <w:szCs w:val="18"/>
              </w:rPr>
              <w:t>Already</w:t>
            </w:r>
            <w:r w:rsidRPr="00EC1412">
              <w:rPr>
                <w:rStyle w:val="normaltextrun"/>
                <w:noProof/>
                <w:sz w:val="18"/>
                <w:szCs w:val="18"/>
              </w:rPr>
              <w:t xml:space="preserve"> proposed by the Commission</w:t>
            </w:r>
          </w:p>
        </w:tc>
      </w:tr>
      <w:tr w:rsidR="000A7D9D" w:rsidRPr="00EC1412" w14:paraId="2B822C90"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C1ECFF"/>
          </w:tcPr>
          <w:p w14:paraId="08A789A9"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6</w:t>
            </w:r>
          </w:p>
        </w:tc>
        <w:tc>
          <w:tcPr>
            <w:tcW w:w="5244" w:type="dxa"/>
            <w:tcBorders>
              <w:top w:val="single" w:sz="4" w:space="0" w:color="auto"/>
              <w:left w:val="dotted" w:sz="4" w:space="0" w:color="auto"/>
              <w:bottom w:val="single" w:sz="4" w:space="0" w:color="auto"/>
              <w:right w:val="dotted" w:sz="4" w:space="0" w:color="auto"/>
            </w:tcBorders>
            <w:shd w:val="clear" w:color="auto" w:fill="C1ECFF"/>
          </w:tcPr>
          <w:p w14:paraId="1E58D6D0"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E-PRTR regulation </w:t>
            </w:r>
          </w:p>
        </w:tc>
        <w:tc>
          <w:tcPr>
            <w:tcW w:w="2835" w:type="dxa"/>
            <w:tcBorders>
              <w:top w:val="single" w:sz="4" w:space="0" w:color="auto"/>
              <w:left w:val="dotted" w:sz="4" w:space="0" w:color="auto"/>
              <w:bottom w:val="single" w:sz="4" w:space="0" w:color="auto"/>
              <w:right w:val="dotted" w:sz="4" w:space="0" w:color="auto"/>
            </w:tcBorders>
            <w:shd w:val="clear" w:color="auto" w:fill="C1ECFF"/>
          </w:tcPr>
          <w:p w14:paraId="5135A8CD" w14:textId="77777777" w:rsidR="000A7D9D" w:rsidRPr="00EC1412" w:rsidRDefault="000A7D9D" w:rsidP="00F31937">
            <w:pPr>
              <w:pStyle w:val="ListParagraph"/>
              <w:spacing w:before="10" w:after="10"/>
              <w:ind w:left="0"/>
              <w:contextualSpacing w:val="0"/>
              <w:rPr>
                <w:rStyle w:val="normaltextrun"/>
                <w:noProof/>
                <w:sz w:val="18"/>
                <w:szCs w:val="18"/>
                <w:lang w:eastAsia="en-US"/>
              </w:rPr>
            </w:pPr>
            <w:r>
              <w:rPr>
                <w:rStyle w:val="normaltextrun"/>
                <w:noProof/>
                <w:sz w:val="18"/>
                <w:szCs w:val="18"/>
              </w:rPr>
              <w:t xml:space="preserve">             </w:t>
            </w:r>
            <w:r w:rsidRPr="00EC1412">
              <w:rPr>
                <w:rStyle w:val="normaltextrun"/>
                <w:noProof/>
                <w:sz w:val="18"/>
                <w:szCs w:val="18"/>
              </w:rPr>
              <w:t>EEA</w:t>
            </w:r>
          </w:p>
        </w:tc>
        <w:tc>
          <w:tcPr>
            <w:tcW w:w="1134" w:type="dxa"/>
            <w:tcBorders>
              <w:top w:val="single" w:sz="4" w:space="0" w:color="auto"/>
              <w:left w:val="dotted" w:sz="4" w:space="0" w:color="auto"/>
              <w:bottom w:val="single" w:sz="4" w:space="0" w:color="auto"/>
              <w:right w:val="single" w:sz="8" w:space="0" w:color="auto"/>
            </w:tcBorders>
            <w:shd w:val="clear" w:color="auto" w:fill="C1ECFF"/>
          </w:tcPr>
          <w:p w14:paraId="1299A601"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REwE</w:t>
            </w:r>
          </w:p>
        </w:tc>
      </w:tr>
      <w:tr w:rsidR="000A7D9D" w:rsidRPr="00EC1412" w14:paraId="36693227"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FFF4CC"/>
          </w:tcPr>
          <w:p w14:paraId="3BF44CA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7</w:t>
            </w:r>
          </w:p>
        </w:tc>
        <w:tc>
          <w:tcPr>
            <w:tcW w:w="5244" w:type="dxa"/>
            <w:tcBorders>
              <w:top w:val="single" w:sz="4" w:space="0" w:color="auto"/>
              <w:left w:val="dotted" w:sz="4" w:space="0" w:color="auto"/>
              <w:bottom w:val="single" w:sz="4" w:space="0" w:color="auto"/>
              <w:right w:val="dotted" w:sz="4" w:space="0" w:color="auto"/>
            </w:tcBorders>
            <w:shd w:val="clear" w:color="auto" w:fill="FFF4CC"/>
          </w:tcPr>
          <w:p w14:paraId="262C9ECC"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Industrial emissions directive</w:t>
            </w:r>
          </w:p>
        </w:tc>
        <w:tc>
          <w:tcPr>
            <w:tcW w:w="2835" w:type="dxa"/>
            <w:tcBorders>
              <w:top w:val="single" w:sz="4" w:space="0" w:color="auto"/>
              <w:left w:val="dotted" w:sz="4" w:space="0" w:color="auto"/>
              <w:bottom w:val="single" w:sz="4" w:space="0" w:color="auto"/>
              <w:right w:val="dotted" w:sz="4" w:space="0" w:color="auto"/>
            </w:tcBorders>
            <w:shd w:val="clear" w:color="auto" w:fill="FFF4CC"/>
          </w:tcPr>
          <w:p w14:paraId="18D4B794"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single" w:sz="4" w:space="0" w:color="auto"/>
              <w:left w:val="dotted" w:sz="4" w:space="0" w:color="auto"/>
              <w:bottom w:val="single" w:sz="4" w:space="0" w:color="auto"/>
              <w:right w:val="single" w:sz="8" w:space="0" w:color="auto"/>
            </w:tcBorders>
            <w:shd w:val="clear" w:color="auto" w:fill="FFF4CC"/>
          </w:tcPr>
          <w:p w14:paraId="33935679"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FE, EwE</w:t>
            </w:r>
          </w:p>
        </w:tc>
      </w:tr>
      <w:tr w:rsidR="000A7D9D" w:rsidRPr="00EC1412" w14:paraId="2D680873"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C1ECFF"/>
          </w:tcPr>
          <w:p w14:paraId="7CB5E5F8"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8</w:t>
            </w:r>
          </w:p>
        </w:tc>
        <w:tc>
          <w:tcPr>
            <w:tcW w:w="5244" w:type="dxa"/>
            <w:tcBorders>
              <w:top w:val="single" w:sz="4" w:space="0" w:color="auto"/>
              <w:left w:val="dotted" w:sz="4" w:space="0" w:color="auto"/>
              <w:bottom w:val="single" w:sz="4" w:space="0" w:color="auto"/>
              <w:right w:val="dotted" w:sz="4" w:space="0" w:color="auto"/>
            </w:tcBorders>
            <w:shd w:val="clear" w:color="auto" w:fill="C1ECFF"/>
          </w:tcPr>
          <w:p w14:paraId="69445932"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Water legislation (surface and ground water)</w:t>
            </w:r>
          </w:p>
        </w:tc>
        <w:tc>
          <w:tcPr>
            <w:tcW w:w="2835" w:type="dxa"/>
            <w:tcBorders>
              <w:top w:val="single" w:sz="4" w:space="0" w:color="auto"/>
              <w:left w:val="dotted" w:sz="4" w:space="0" w:color="auto"/>
              <w:bottom w:val="single" w:sz="4" w:space="0" w:color="auto"/>
              <w:right w:val="dotted" w:sz="4" w:space="0" w:color="auto"/>
            </w:tcBorders>
            <w:shd w:val="clear" w:color="auto" w:fill="C1ECFF"/>
          </w:tcPr>
          <w:p w14:paraId="7E1EC7F9"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 EEA</w:t>
            </w:r>
          </w:p>
        </w:tc>
        <w:tc>
          <w:tcPr>
            <w:tcW w:w="1134" w:type="dxa"/>
            <w:tcBorders>
              <w:top w:val="single" w:sz="4" w:space="0" w:color="auto"/>
              <w:left w:val="dotted" w:sz="4" w:space="0" w:color="auto"/>
              <w:bottom w:val="single" w:sz="4" w:space="0" w:color="auto"/>
              <w:right w:val="single" w:sz="8" w:space="0" w:color="auto"/>
            </w:tcBorders>
            <w:shd w:val="clear" w:color="auto" w:fill="C1ECFF"/>
          </w:tcPr>
          <w:p w14:paraId="7DEAA279" w14:textId="77777777" w:rsidR="000A7D9D" w:rsidRPr="00EC1412" w:rsidRDefault="000A7D9D" w:rsidP="00F31937">
            <w:pPr>
              <w:pStyle w:val="ListParagraph"/>
              <w:spacing w:before="10" w:after="10"/>
              <w:ind w:left="-102"/>
              <w:contextualSpacing w:val="0"/>
              <w:jc w:val="center"/>
              <w:rPr>
                <w:rStyle w:val="normaltextrun"/>
                <w:noProof/>
                <w:sz w:val="18"/>
                <w:szCs w:val="18"/>
              </w:rPr>
            </w:pPr>
            <w:r w:rsidRPr="00EC1412">
              <w:rPr>
                <w:rStyle w:val="normaltextrun"/>
                <w:noProof/>
                <w:sz w:val="18"/>
                <w:szCs w:val="18"/>
              </w:rPr>
              <w:t>RE,N,EwE</w:t>
            </w:r>
          </w:p>
        </w:tc>
      </w:tr>
      <w:tr w:rsidR="000A7D9D" w:rsidRPr="00EC1412" w14:paraId="78D036FC"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FFF4CC"/>
          </w:tcPr>
          <w:p w14:paraId="0B18ED6F"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9</w:t>
            </w:r>
          </w:p>
        </w:tc>
        <w:tc>
          <w:tcPr>
            <w:tcW w:w="5244" w:type="dxa"/>
            <w:tcBorders>
              <w:top w:val="single" w:sz="4" w:space="0" w:color="auto"/>
              <w:left w:val="dotted" w:sz="4" w:space="0" w:color="auto"/>
              <w:bottom w:val="single" w:sz="4" w:space="0" w:color="auto"/>
              <w:right w:val="dotted" w:sz="4" w:space="0" w:color="auto"/>
            </w:tcBorders>
            <w:shd w:val="clear" w:color="auto" w:fill="FFF4CC"/>
          </w:tcPr>
          <w:p w14:paraId="5659840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CLP regulation </w:t>
            </w:r>
          </w:p>
        </w:tc>
        <w:tc>
          <w:tcPr>
            <w:tcW w:w="2835" w:type="dxa"/>
            <w:tcBorders>
              <w:top w:val="single" w:sz="4" w:space="0" w:color="auto"/>
              <w:left w:val="dotted" w:sz="4" w:space="0" w:color="auto"/>
              <w:bottom w:val="single" w:sz="4" w:space="0" w:color="auto"/>
              <w:right w:val="dotted" w:sz="4" w:space="0" w:color="auto"/>
            </w:tcBorders>
            <w:shd w:val="clear" w:color="auto" w:fill="FFF4CC"/>
          </w:tcPr>
          <w:p w14:paraId="4329FB8C"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           EFSA</w:t>
            </w:r>
          </w:p>
        </w:tc>
        <w:tc>
          <w:tcPr>
            <w:tcW w:w="1134" w:type="dxa"/>
            <w:tcBorders>
              <w:top w:val="single" w:sz="4" w:space="0" w:color="auto"/>
              <w:left w:val="dotted" w:sz="4" w:space="0" w:color="auto"/>
              <w:bottom w:val="single" w:sz="4" w:space="0" w:color="auto"/>
              <w:right w:val="single" w:sz="8" w:space="0" w:color="auto"/>
            </w:tcBorders>
            <w:shd w:val="clear" w:color="auto" w:fill="FFF4CC"/>
          </w:tcPr>
          <w:p w14:paraId="3CA3F3E4"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 EwE</w:t>
            </w:r>
          </w:p>
        </w:tc>
      </w:tr>
      <w:tr w:rsidR="000A7D9D" w:rsidRPr="00EC1412" w14:paraId="7F56148A"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C1ECFF"/>
          </w:tcPr>
          <w:p w14:paraId="66DA547C"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10</w:t>
            </w:r>
          </w:p>
        </w:tc>
        <w:tc>
          <w:tcPr>
            <w:tcW w:w="5244" w:type="dxa"/>
            <w:tcBorders>
              <w:top w:val="single" w:sz="4" w:space="0" w:color="auto"/>
              <w:left w:val="dotted" w:sz="4" w:space="0" w:color="auto"/>
              <w:bottom w:val="single" w:sz="4" w:space="0" w:color="auto"/>
              <w:right w:val="dotted" w:sz="4" w:space="0" w:color="auto"/>
            </w:tcBorders>
            <w:shd w:val="clear" w:color="auto" w:fill="C1ECFF"/>
          </w:tcPr>
          <w:p w14:paraId="60E80B76"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Packaging and packaging waste directive </w:t>
            </w:r>
          </w:p>
        </w:tc>
        <w:tc>
          <w:tcPr>
            <w:tcW w:w="2835" w:type="dxa"/>
            <w:tcBorders>
              <w:top w:val="single" w:sz="4" w:space="0" w:color="auto"/>
              <w:left w:val="dotted" w:sz="4" w:space="0" w:color="auto"/>
              <w:bottom w:val="single" w:sz="4" w:space="0" w:color="auto"/>
              <w:right w:val="dotted" w:sz="4" w:space="0" w:color="auto"/>
            </w:tcBorders>
            <w:shd w:val="clear" w:color="auto" w:fill="C1ECFF"/>
          </w:tcPr>
          <w:p w14:paraId="410C95B8"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single" w:sz="4" w:space="0" w:color="auto"/>
              <w:left w:val="dotted" w:sz="4" w:space="0" w:color="auto"/>
              <w:bottom w:val="single" w:sz="4" w:space="0" w:color="auto"/>
              <w:right w:val="single" w:sz="8" w:space="0" w:color="auto"/>
            </w:tcBorders>
            <w:shd w:val="clear" w:color="auto" w:fill="C1ECFF"/>
          </w:tcPr>
          <w:p w14:paraId="1AD8843F"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EwE</w:t>
            </w:r>
          </w:p>
        </w:tc>
      </w:tr>
      <w:tr w:rsidR="000A7D9D" w:rsidRPr="00EC1412" w14:paraId="3D17CB14"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FFF4CC"/>
          </w:tcPr>
          <w:p w14:paraId="245EE00E"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11</w:t>
            </w:r>
          </w:p>
        </w:tc>
        <w:tc>
          <w:tcPr>
            <w:tcW w:w="5244" w:type="dxa"/>
            <w:tcBorders>
              <w:top w:val="single" w:sz="4" w:space="0" w:color="auto"/>
              <w:left w:val="dotted" w:sz="4" w:space="0" w:color="auto"/>
              <w:bottom w:val="single" w:sz="4" w:space="0" w:color="auto"/>
              <w:right w:val="dotted" w:sz="4" w:space="0" w:color="auto"/>
            </w:tcBorders>
            <w:shd w:val="clear" w:color="auto" w:fill="FFF4CC"/>
          </w:tcPr>
          <w:p w14:paraId="66C63E8B" w14:textId="77777777" w:rsidR="000A7D9D" w:rsidRPr="00EC1412" w:rsidRDefault="000A7D9D" w:rsidP="00F31937">
            <w:pPr>
              <w:pStyle w:val="ListParagraph"/>
              <w:spacing w:before="10" w:after="10"/>
              <w:ind w:left="0"/>
              <w:contextualSpacing w:val="0"/>
              <w:jc w:val="both"/>
              <w:rPr>
                <w:rStyle w:val="normaltextrun"/>
                <w:noProof/>
                <w:sz w:val="18"/>
                <w:szCs w:val="18"/>
              </w:rPr>
            </w:pPr>
            <w:r>
              <w:rPr>
                <w:rStyle w:val="normaltextrun"/>
                <w:noProof/>
                <w:sz w:val="18"/>
                <w:szCs w:val="18"/>
              </w:rPr>
              <w:t>Legislation on m</w:t>
            </w:r>
            <w:r w:rsidRPr="00EC1412">
              <w:rPr>
                <w:rStyle w:val="normaltextrun"/>
                <w:noProof/>
                <w:sz w:val="18"/>
                <w:szCs w:val="18"/>
              </w:rPr>
              <w:t xml:space="preserve">edicinal products </w:t>
            </w:r>
            <w:r>
              <w:rPr>
                <w:rStyle w:val="normaltextrun"/>
                <w:noProof/>
                <w:sz w:val="18"/>
                <w:szCs w:val="18"/>
              </w:rPr>
              <w:t>for human use</w:t>
            </w:r>
          </w:p>
        </w:tc>
        <w:tc>
          <w:tcPr>
            <w:tcW w:w="2835" w:type="dxa"/>
            <w:tcBorders>
              <w:top w:val="single" w:sz="4" w:space="0" w:color="auto"/>
              <w:left w:val="dotted" w:sz="4" w:space="0" w:color="auto"/>
              <w:bottom w:val="single" w:sz="4" w:space="0" w:color="auto"/>
              <w:right w:val="dotted" w:sz="4" w:space="0" w:color="auto"/>
            </w:tcBorders>
            <w:shd w:val="clear" w:color="auto" w:fill="FFF4CC"/>
          </w:tcPr>
          <w:p w14:paraId="5E5A42F2"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EMA</w:t>
            </w:r>
          </w:p>
        </w:tc>
        <w:tc>
          <w:tcPr>
            <w:tcW w:w="1134" w:type="dxa"/>
            <w:tcBorders>
              <w:top w:val="single" w:sz="4" w:space="0" w:color="auto"/>
              <w:left w:val="dotted" w:sz="4" w:space="0" w:color="auto"/>
              <w:bottom w:val="single" w:sz="4" w:space="0" w:color="auto"/>
              <w:right w:val="single" w:sz="8" w:space="0" w:color="auto"/>
            </w:tcBorders>
            <w:shd w:val="clear" w:color="auto" w:fill="FFF4CC"/>
          </w:tcPr>
          <w:p w14:paraId="47C71FB2"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FE</w:t>
            </w:r>
          </w:p>
        </w:tc>
      </w:tr>
      <w:tr w:rsidR="000A7D9D" w:rsidRPr="00EC1412" w14:paraId="0B6DBA78"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FFF4CC"/>
          </w:tcPr>
          <w:p w14:paraId="54D688D1" w14:textId="77777777" w:rsidR="000A7D9D" w:rsidRPr="00EC1412" w:rsidRDefault="000A7D9D" w:rsidP="00F31937">
            <w:pPr>
              <w:pStyle w:val="ListParagraph"/>
              <w:spacing w:before="10" w:after="10"/>
              <w:ind w:left="0"/>
              <w:contextualSpacing w:val="0"/>
              <w:jc w:val="both"/>
              <w:rPr>
                <w:rStyle w:val="normaltextrun"/>
                <w:noProof/>
                <w:sz w:val="18"/>
                <w:szCs w:val="18"/>
              </w:rPr>
            </w:pPr>
            <w:r>
              <w:rPr>
                <w:rStyle w:val="normaltextrun"/>
                <w:noProof/>
                <w:sz w:val="18"/>
                <w:szCs w:val="18"/>
              </w:rPr>
              <w:t>12</w:t>
            </w:r>
          </w:p>
        </w:tc>
        <w:tc>
          <w:tcPr>
            <w:tcW w:w="5244" w:type="dxa"/>
            <w:tcBorders>
              <w:top w:val="single" w:sz="4" w:space="0" w:color="auto"/>
              <w:left w:val="dotted" w:sz="4" w:space="0" w:color="auto"/>
              <w:bottom w:val="single" w:sz="4" w:space="0" w:color="auto"/>
              <w:right w:val="dotted" w:sz="4" w:space="0" w:color="auto"/>
            </w:tcBorders>
            <w:shd w:val="clear" w:color="auto" w:fill="FFF4CC"/>
          </w:tcPr>
          <w:p w14:paraId="454BAFDD"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Directive on end-of-life vehicles</w:t>
            </w:r>
          </w:p>
        </w:tc>
        <w:tc>
          <w:tcPr>
            <w:tcW w:w="2835" w:type="dxa"/>
            <w:tcBorders>
              <w:top w:val="single" w:sz="4" w:space="0" w:color="auto"/>
              <w:left w:val="dotted" w:sz="4" w:space="0" w:color="auto"/>
              <w:bottom w:val="single" w:sz="4" w:space="0" w:color="auto"/>
              <w:right w:val="dotted" w:sz="4" w:space="0" w:color="auto"/>
            </w:tcBorders>
            <w:shd w:val="clear" w:color="auto" w:fill="FFF4CC"/>
          </w:tcPr>
          <w:p w14:paraId="03A68762"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single" w:sz="4" w:space="0" w:color="auto"/>
              <w:left w:val="dotted" w:sz="4" w:space="0" w:color="auto"/>
              <w:bottom w:val="single" w:sz="4" w:space="0" w:color="auto"/>
              <w:right w:val="single" w:sz="8" w:space="0" w:color="auto"/>
            </w:tcBorders>
            <w:shd w:val="clear" w:color="auto" w:fill="FFF4CC"/>
          </w:tcPr>
          <w:p w14:paraId="26A462C4"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t>
            </w:r>
          </w:p>
        </w:tc>
      </w:tr>
      <w:tr w:rsidR="000A7D9D" w:rsidRPr="00EC1412" w14:paraId="1278B0E1"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C1ECFF"/>
          </w:tcPr>
          <w:p w14:paraId="0B974917" w14:textId="77777777" w:rsidR="000A7D9D" w:rsidRPr="00EC1412" w:rsidRDefault="000A7D9D" w:rsidP="00F31937">
            <w:pPr>
              <w:pStyle w:val="ListParagraph"/>
              <w:spacing w:before="10" w:after="10"/>
              <w:ind w:left="0"/>
              <w:contextualSpacing w:val="0"/>
              <w:jc w:val="both"/>
              <w:rPr>
                <w:rStyle w:val="normaltextrun"/>
                <w:noProof/>
                <w:sz w:val="18"/>
                <w:szCs w:val="18"/>
              </w:rPr>
            </w:pPr>
            <w:r>
              <w:rPr>
                <w:rStyle w:val="normaltextrun"/>
                <w:noProof/>
                <w:sz w:val="18"/>
                <w:szCs w:val="18"/>
              </w:rPr>
              <w:t>13</w:t>
            </w:r>
          </w:p>
        </w:tc>
        <w:tc>
          <w:tcPr>
            <w:tcW w:w="5244" w:type="dxa"/>
            <w:tcBorders>
              <w:top w:val="single" w:sz="4" w:space="0" w:color="auto"/>
              <w:left w:val="dotted" w:sz="4" w:space="0" w:color="auto"/>
              <w:bottom w:val="single" w:sz="4" w:space="0" w:color="auto"/>
              <w:right w:val="dotted" w:sz="4" w:space="0" w:color="auto"/>
            </w:tcBorders>
            <w:shd w:val="clear" w:color="auto" w:fill="C1ECFF"/>
          </w:tcPr>
          <w:p w14:paraId="45DBB35F"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Toys safety directive</w:t>
            </w:r>
          </w:p>
        </w:tc>
        <w:tc>
          <w:tcPr>
            <w:tcW w:w="2835" w:type="dxa"/>
            <w:tcBorders>
              <w:top w:val="single" w:sz="4" w:space="0" w:color="auto"/>
              <w:left w:val="dotted" w:sz="4" w:space="0" w:color="auto"/>
              <w:bottom w:val="single" w:sz="4" w:space="0" w:color="auto"/>
              <w:right w:val="dotted" w:sz="4" w:space="0" w:color="auto"/>
            </w:tcBorders>
            <w:shd w:val="clear" w:color="auto" w:fill="C1ECFF"/>
          </w:tcPr>
          <w:p w14:paraId="187D304F"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single" w:sz="4" w:space="0" w:color="auto"/>
              <w:left w:val="dotted" w:sz="4" w:space="0" w:color="auto"/>
              <w:bottom w:val="single" w:sz="4" w:space="0" w:color="auto"/>
              <w:right w:val="single" w:sz="8" w:space="0" w:color="auto"/>
            </w:tcBorders>
            <w:shd w:val="clear" w:color="auto" w:fill="C1ECFF"/>
          </w:tcPr>
          <w:p w14:paraId="15B316A7"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t>
            </w:r>
          </w:p>
        </w:tc>
      </w:tr>
      <w:tr w:rsidR="000A7D9D" w:rsidRPr="00EC1412" w14:paraId="4A7D5388" w14:textId="77777777" w:rsidTr="00F31937">
        <w:tc>
          <w:tcPr>
            <w:tcW w:w="9639" w:type="dxa"/>
            <w:gridSpan w:val="4"/>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3B2661A9" w14:textId="77777777" w:rsidR="000A7D9D" w:rsidRPr="00EC1412" w:rsidRDefault="000A7D9D" w:rsidP="00F31937">
            <w:pPr>
              <w:pStyle w:val="ListParagraph"/>
              <w:spacing w:before="10" w:after="10"/>
              <w:ind w:left="0"/>
              <w:contextualSpacing w:val="0"/>
              <w:rPr>
                <w:rStyle w:val="normaltextrun"/>
                <w:b/>
                <w:noProof/>
                <w:sz w:val="18"/>
                <w:szCs w:val="18"/>
              </w:rPr>
            </w:pPr>
            <w:r>
              <w:rPr>
                <w:rStyle w:val="normaltextrun"/>
                <w:noProof/>
                <w:sz w:val="18"/>
                <w:szCs w:val="18"/>
              </w:rPr>
              <w:t>P</w:t>
            </w:r>
            <w:r w:rsidRPr="00EC1412">
              <w:rPr>
                <w:rStyle w:val="normaltextrun"/>
                <w:noProof/>
                <w:sz w:val="18"/>
                <w:szCs w:val="18"/>
              </w:rPr>
              <w:t xml:space="preserve">roposed </w:t>
            </w:r>
            <w:r>
              <w:rPr>
                <w:rStyle w:val="normaltextrun"/>
                <w:noProof/>
                <w:sz w:val="18"/>
                <w:szCs w:val="18"/>
              </w:rPr>
              <w:t>by the Commission as part of the package on one substance, one assessment</w:t>
            </w:r>
          </w:p>
        </w:tc>
      </w:tr>
      <w:tr w:rsidR="000A7D9D" w:rsidRPr="00EC1412" w14:paraId="2D3A2DE7" w14:textId="77777777" w:rsidTr="00F31937">
        <w:tc>
          <w:tcPr>
            <w:tcW w:w="426" w:type="dxa"/>
            <w:tcBorders>
              <w:top w:val="single" w:sz="4" w:space="0" w:color="auto"/>
              <w:left w:val="single" w:sz="8" w:space="0" w:color="auto"/>
              <w:bottom w:val="dotted" w:sz="4" w:space="0" w:color="auto"/>
              <w:right w:val="dotted" w:sz="4" w:space="0" w:color="auto"/>
            </w:tcBorders>
            <w:shd w:val="clear" w:color="auto" w:fill="FFF4CC"/>
          </w:tcPr>
          <w:p w14:paraId="44FA58A8" w14:textId="77777777" w:rsidR="000A7D9D" w:rsidRPr="00EC1412" w:rsidRDefault="000A7D9D" w:rsidP="00F31937">
            <w:pPr>
              <w:pStyle w:val="ListParagraph"/>
              <w:spacing w:before="10" w:after="10"/>
              <w:ind w:left="0"/>
              <w:contextualSpacing w:val="0"/>
              <w:jc w:val="both"/>
              <w:rPr>
                <w:rStyle w:val="normaltextrun"/>
                <w:b/>
                <w:noProof/>
                <w:sz w:val="18"/>
                <w:szCs w:val="18"/>
              </w:rPr>
            </w:pPr>
          </w:p>
        </w:tc>
        <w:tc>
          <w:tcPr>
            <w:tcW w:w="5244" w:type="dxa"/>
            <w:tcBorders>
              <w:top w:val="single" w:sz="4" w:space="0" w:color="auto"/>
              <w:left w:val="dotted" w:sz="4" w:space="0" w:color="auto"/>
              <w:bottom w:val="dotted" w:sz="4" w:space="0" w:color="auto"/>
              <w:right w:val="dotted" w:sz="4" w:space="0" w:color="auto"/>
            </w:tcBorders>
            <w:shd w:val="clear" w:color="auto" w:fill="FFF4CC"/>
          </w:tcPr>
          <w:p w14:paraId="5327ED1D" w14:textId="77777777" w:rsidR="000A7D9D" w:rsidRPr="00EC1412" w:rsidRDefault="000A7D9D" w:rsidP="00F31937">
            <w:pPr>
              <w:pStyle w:val="ListParagraph"/>
              <w:spacing w:before="10" w:after="10"/>
              <w:ind w:left="0"/>
              <w:contextualSpacing w:val="0"/>
              <w:jc w:val="both"/>
              <w:rPr>
                <w:rStyle w:val="normaltextrun"/>
                <w:b/>
                <w:noProof/>
                <w:sz w:val="18"/>
                <w:szCs w:val="18"/>
              </w:rPr>
            </w:pPr>
            <w:r>
              <w:rPr>
                <w:rStyle w:val="normaltextrun"/>
                <w:noProof/>
                <w:sz w:val="18"/>
                <w:szCs w:val="18"/>
              </w:rPr>
              <w:t>P</w:t>
            </w:r>
            <w:r w:rsidRPr="00EC1412">
              <w:rPr>
                <w:rStyle w:val="normaltextrun"/>
                <w:noProof/>
                <w:sz w:val="18"/>
                <w:szCs w:val="18"/>
              </w:rPr>
              <w:t xml:space="preserve">roposal </w:t>
            </w:r>
            <w:r>
              <w:rPr>
                <w:rStyle w:val="normaltextrun"/>
                <w:noProof/>
                <w:sz w:val="18"/>
                <w:szCs w:val="18"/>
              </w:rPr>
              <w:t xml:space="preserve">for a directive </w:t>
            </w:r>
            <w:r w:rsidRPr="00EC1412">
              <w:rPr>
                <w:rStyle w:val="normaltextrun"/>
                <w:noProof/>
                <w:sz w:val="18"/>
                <w:szCs w:val="18"/>
              </w:rPr>
              <w:t xml:space="preserve">for reattribution of </w:t>
            </w:r>
            <w:r>
              <w:rPr>
                <w:rStyle w:val="normaltextrun"/>
                <w:noProof/>
                <w:sz w:val="18"/>
                <w:szCs w:val="18"/>
              </w:rPr>
              <w:t>tasks</w:t>
            </w:r>
          </w:p>
        </w:tc>
        <w:tc>
          <w:tcPr>
            <w:tcW w:w="2835" w:type="dxa"/>
            <w:tcBorders>
              <w:top w:val="single" w:sz="4" w:space="0" w:color="auto"/>
              <w:left w:val="dotted" w:sz="4" w:space="0" w:color="auto"/>
              <w:bottom w:val="dotted" w:sz="4" w:space="0" w:color="auto"/>
              <w:right w:val="dotted" w:sz="4" w:space="0" w:color="auto"/>
            </w:tcBorders>
            <w:shd w:val="clear" w:color="auto" w:fill="FFF4CC"/>
          </w:tcPr>
          <w:p w14:paraId="3DC04156" w14:textId="77777777" w:rsidR="000A7D9D" w:rsidRPr="00EC1412" w:rsidRDefault="000A7D9D" w:rsidP="00F31937">
            <w:pPr>
              <w:pStyle w:val="ListParagraph"/>
              <w:spacing w:before="10" w:after="10"/>
              <w:ind w:left="0"/>
              <w:contextualSpacing w:val="0"/>
              <w:jc w:val="both"/>
              <w:rPr>
                <w:rStyle w:val="normaltextrun"/>
                <w:b/>
                <w:noProof/>
                <w:sz w:val="18"/>
                <w:szCs w:val="18"/>
              </w:rPr>
            </w:pPr>
          </w:p>
        </w:tc>
        <w:tc>
          <w:tcPr>
            <w:tcW w:w="1134" w:type="dxa"/>
            <w:tcBorders>
              <w:top w:val="single" w:sz="4" w:space="0" w:color="auto"/>
              <w:left w:val="dotted" w:sz="4" w:space="0" w:color="auto"/>
              <w:bottom w:val="dotted" w:sz="4" w:space="0" w:color="auto"/>
              <w:right w:val="single" w:sz="8" w:space="0" w:color="auto"/>
            </w:tcBorders>
            <w:shd w:val="clear" w:color="auto" w:fill="FFF4CC"/>
          </w:tcPr>
          <w:p w14:paraId="139744E1" w14:textId="77777777" w:rsidR="000A7D9D" w:rsidRPr="00EC1412" w:rsidRDefault="000A7D9D" w:rsidP="00F31937">
            <w:pPr>
              <w:pStyle w:val="ListParagraph"/>
              <w:spacing w:before="10" w:after="10"/>
              <w:ind w:left="0"/>
              <w:contextualSpacing w:val="0"/>
              <w:jc w:val="center"/>
              <w:rPr>
                <w:rStyle w:val="normaltextrun"/>
                <w:b/>
                <w:noProof/>
                <w:sz w:val="18"/>
                <w:szCs w:val="18"/>
              </w:rPr>
            </w:pPr>
          </w:p>
        </w:tc>
      </w:tr>
      <w:tr w:rsidR="000A7D9D" w:rsidRPr="00EC1412" w14:paraId="07C478AA" w14:textId="77777777" w:rsidTr="00F31937">
        <w:tc>
          <w:tcPr>
            <w:tcW w:w="426" w:type="dxa"/>
            <w:tcBorders>
              <w:top w:val="dotted" w:sz="4" w:space="0" w:color="auto"/>
              <w:left w:val="single" w:sz="8" w:space="0" w:color="auto"/>
              <w:bottom w:val="single" w:sz="4" w:space="0" w:color="auto"/>
              <w:right w:val="dotted" w:sz="4" w:space="0" w:color="auto"/>
            </w:tcBorders>
            <w:shd w:val="clear" w:color="auto" w:fill="FFF4CC"/>
          </w:tcPr>
          <w:p w14:paraId="2BFFB94E"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1</w:t>
            </w:r>
            <w:r>
              <w:rPr>
                <w:rStyle w:val="normaltextrun"/>
                <w:noProof/>
                <w:sz w:val="18"/>
                <w:szCs w:val="18"/>
              </w:rPr>
              <w:t>4</w:t>
            </w:r>
          </w:p>
        </w:tc>
        <w:tc>
          <w:tcPr>
            <w:tcW w:w="5244" w:type="dxa"/>
            <w:tcBorders>
              <w:top w:val="dotted" w:sz="4" w:space="0" w:color="auto"/>
              <w:left w:val="dotted" w:sz="4" w:space="0" w:color="auto"/>
              <w:bottom w:val="single" w:sz="4" w:space="0" w:color="auto"/>
              <w:right w:val="dotted" w:sz="4" w:space="0" w:color="auto"/>
            </w:tcBorders>
            <w:shd w:val="clear" w:color="auto" w:fill="FFF4CC"/>
          </w:tcPr>
          <w:p w14:paraId="0C74BCA2"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RoHS</w:t>
            </w:r>
            <w:r>
              <w:rPr>
                <w:rStyle w:val="normaltextrun"/>
                <w:noProof/>
                <w:sz w:val="18"/>
                <w:szCs w:val="18"/>
              </w:rPr>
              <w:t xml:space="preserve"> directive</w:t>
            </w:r>
          </w:p>
        </w:tc>
        <w:tc>
          <w:tcPr>
            <w:tcW w:w="2835" w:type="dxa"/>
            <w:tcBorders>
              <w:top w:val="dotted" w:sz="4" w:space="0" w:color="auto"/>
              <w:left w:val="dotted" w:sz="4" w:space="0" w:color="auto"/>
              <w:bottom w:val="single" w:sz="4" w:space="0" w:color="auto"/>
              <w:right w:val="dotted" w:sz="4" w:space="0" w:color="auto"/>
            </w:tcBorders>
            <w:shd w:val="clear" w:color="auto" w:fill="FFF4CC"/>
          </w:tcPr>
          <w:p w14:paraId="7575376A"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dotted" w:sz="4" w:space="0" w:color="auto"/>
              <w:left w:val="dotted" w:sz="4" w:space="0" w:color="auto"/>
              <w:bottom w:val="single" w:sz="4" w:space="0" w:color="auto"/>
              <w:right w:val="single" w:sz="8" w:space="0" w:color="auto"/>
            </w:tcBorders>
            <w:shd w:val="clear" w:color="auto" w:fill="FFF4CC"/>
          </w:tcPr>
          <w:p w14:paraId="2CDBCFED"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REwE</w:t>
            </w:r>
          </w:p>
        </w:tc>
      </w:tr>
      <w:tr w:rsidR="000A7D9D" w:rsidRPr="00EC1412" w14:paraId="3A79B582" w14:textId="77777777" w:rsidTr="00F31937">
        <w:tc>
          <w:tcPr>
            <w:tcW w:w="426" w:type="dxa"/>
            <w:tcBorders>
              <w:top w:val="single" w:sz="4" w:space="0" w:color="auto"/>
              <w:left w:val="single" w:sz="8" w:space="0" w:color="auto"/>
              <w:bottom w:val="dotted" w:sz="4" w:space="0" w:color="auto"/>
              <w:right w:val="dotted" w:sz="4" w:space="0" w:color="auto"/>
            </w:tcBorders>
            <w:shd w:val="clear" w:color="auto" w:fill="C1ECFF"/>
          </w:tcPr>
          <w:p w14:paraId="1755C2C4" w14:textId="77777777" w:rsidR="000A7D9D" w:rsidRPr="00EC1412" w:rsidRDefault="000A7D9D" w:rsidP="00F31937">
            <w:pPr>
              <w:pStyle w:val="ListParagraph"/>
              <w:spacing w:before="10" w:after="10"/>
              <w:ind w:left="0"/>
              <w:contextualSpacing w:val="0"/>
              <w:jc w:val="both"/>
              <w:rPr>
                <w:rStyle w:val="normaltextrun"/>
                <w:noProof/>
                <w:sz w:val="18"/>
                <w:szCs w:val="18"/>
              </w:rPr>
            </w:pPr>
          </w:p>
        </w:tc>
        <w:tc>
          <w:tcPr>
            <w:tcW w:w="5244" w:type="dxa"/>
            <w:tcBorders>
              <w:top w:val="single" w:sz="4" w:space="0" w:color="auto"/>
              <w:left w:val="dotted" w:sz="4" w:space="0" w:color="auto"/>
              <w:bottom w:val="dotted" w:sz="4" w:space="0" w:color="auto"/>
              <w:right w:val="dotted" w:sz="4" w:space="0" w:color="auto"/>
            </w:tcBorders>
            <w:shd w:val="clear" w:color="auto" w:fill="C1ECFF"/>
          </w:tcPr>
          <w:p w14:paraId="501D84BC" w14:textId="77777777" w:rsidR="000A7D9D" w:rsidRPr="000008EC" w:rsidRDefault="000A7D9D" w:rsidP="00F31937">
            <w:pPr>
              <w:pStyle w:val="ListParagraph"/>
              <w:spacing w:before="10" w:after="10"/>
              <w:ind w:left="0"/>
              <w:contextualSpacing w:val="0"/>
              <w:jc w:val="both"/>
              <w:rPr>
                <w:rStyle w:val="normaltextrun"/>
                <w:b/>
                <w:noProof/>
                <w:sz w:val="18"/>
                <w:szCs w:val="18"/>
              </w:rPr>
            </w:pPr>
            <w:r w:rsidRPr="000008EC">
              <w:rPr>
                <w:rStyle w:val="normaltextrun"/>
                <w:noProof/>
                <w:sz w:val="18"/>
                <w:szCs w:val="18"/>
              </w:rPr>
              <w:t xml:space="preserve">Proposal for a regulation for reattribution of </w:t>
            </w:r>
            <w:r>
              <w:rPr>
                <w:rStyle w:val="normaltextrun"/>
                <w:noProof/>
                <w:sz w:val="18"/>
                <w:szCs w:val="18"/>
              </w:rPr>
              <w:t>tasks</w:t>
            </w:r>
          </w:p>
        </w:tc>
        <w:tc>
          <w:tcPr>
            <w:tcW w:w="2835" w:type="dxa"/>
            <w:tcBorders>
              <w:top w:val="single" w:sz="4" w:space="0" w:color="auto"/>
              <w:left w:val="dotted" w:sz="4" w:space="0" w:color="auto"/>
              <w:bottom w:val="dotted" w:sz="4" w:space="0" w:color="auto"/>
              <w:right w:val="dotted" w:sz="4" w:space="0" w:color="auto"/>
            </w:tcBorders>
            <w:shd w:val="clear" w:color="auto" w:fill="C1ECFF"/>
          </w:tcPr>
          <w:p w14:paraId="177A0E98" w14:textId="77777777" w:rsidR="000A7D9D" w:rsidRPr="00EC1412" w:rsidRDefault="000A7D9D" w:rsidP="00F31937">
            <w:pPr>
              <w:pStyle w:val="ListParagraph"/>
              <w:spacing w:before="10" w:after="10"/>
              <w:ind w:left="0"/>
              <w:contextualSpacing w:val="0"/>
              <w:jc w:val="both"/>
              <w:rPr>
                <w:rStyle w:val="normaltextrun"/>
                <w:noProof/>
                <w:sz w:val="18"/>
                <w:szCs w:val="18"/>
              </w:rPr>
            </w:pPr>
          </w:p>
        </w:tc>
        <w:tc>
          <w:tcPr>
            <w:tcW w:w="1134" w:type="dxa"/>
            <w:tcBorders>
              <w:top w:val="single" w:sz="4" w:space="0" w:color="auto"/>
              <w:left w:val="dotted" w:sz="4" w:space="0" w:color="auto"/>
              <w:bottom w:val="dotted" w:sz="4" w:space="0" w:color="auto"/>
              <w:right w:val="single" w:sz="8" w:space="0" w:color="auto"/>
            </w:tcBorders>
            <w:shd w:val="clear" w:color="auto" w:fill="C1ECFF"/>
          </w:tcPr>
          <w:p w14:paraId="408E9F15" w14:textId="77777777" w:rsidR="000A7D9D" w:rsidRPr="00EC1412" w:rsidRDefault="000A7D9D" w:rsidP="00F31937">
            <w:pPr>
              <w:pStyle w:val="ListParagraph"/>
              <w:spacing w:before="10" w:after="10"/>
              <w:ind w:left="0"/>
              <w:contextualSpacing w:val="0"/>
              <w:jc w:val="center"/>
              <w:rPr>
                <w:rStyle w:val="normaltextrun"/>
                <w:noProof/>
                <w:sz w:val="18"/>
                <w:szCs w:val="18"/>
              </w:rPr>
            </w:pPr>
          </w:p>
        </w:tc>
      </w:tr>
      <w:tr w:rsidR="000A7D9D" w:rsidRPr="00EC1412" w14:paraId="2359E749"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C1ECFF"/>
          </w:tcPr>
          <w:p w14:paraId="6A34FDA3"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1</w:t>
            </w:r>
            <w:r>
              <w:rPr>
                <w:rStyle w:val="normaltextrun"/>
                <w:noProof/>
                <w:sz w:val="18"/>
                <w:szCs w:val="18"/>
              </w:rPr>
              <w:t>5</w:t>
            </w:r>
          </w:p>
        </w:tc>
        <w:tc>
          <w:tcPr>
            <w:tcW w:w="5244" w:type="dxa"/>
            <w:tcBorders>
              <w:top w:val="dotted" w:sz="4" w:space="0" w:color="auto"/>
              <w:left w:val="dotted" w:sz="4" w:space="0" w:color="auto"/>
              <w:bottom w:val="dotted" w:sz="4" w:space="0" w:color="auto"/>
              <w:right w:val="dotted" w:sz="4" w:space="0" w:color="auto"/>
            </w:tcBorders>
            <w:shd w:val="clear" w:color="auto" w:fill="C1ECFF"/>
          </w:tcPr>
          <w:p w14:paraId="0DF34603"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POPs </w:t>
            </w:r>
            <w:r>
              <w:rPr>
                <w:rStyle w:val="normaltextrun"/>
                <w:noProof/>
                <w:sz w:val="18"/>
                <w:szCs w:val="18"/>
              </w:rPr>
              <w:t>r</w:t>
            </w:r>
            <w:r w:rsidRPr="00EC1412">
              <w:rPr>
                <w:rStyle w:val="normaltextrun"/>
                <w:noProof/>
                <w:sz w:val="18"/>
                <w:szCs w:val="18"/>
              </w:rPr>
              <w:t xml:space="preserve">egulation </w:t>
            </w:r>
          </w:p>
        </w:tc>
        <w:tc>
          <w:tcPr>
            <w:tcW w:w="2835" w:type="dxa"/>
            <w:tcBorders>
              <w:top w:val="dotted" w:sz="4" w:space="0" w:color="auto"/>
              <w:left w:val="dotted" w:sz="4" w:space="0" w:color="auto"/>
              <w:bottom w:val="dotted" w:sz="4" w:space="0" w:color="auto"/>
              <w:right w:val="dotted" w:sz="4" w:space="0" w:color="auto"/>
            </w:tcBorders>
            <w:shd w:val="clear" w:color="auto" w:fill="C1ECFF"/>
          </w:tcPr>
          <w:p w14:paraId="48D194DD"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 EEA</w:t>
            </w:r>
          </w:p>
        </w:tc>
        <w:tc>
          <w:tcPr>
            <w:tcW w:w="1134" w:type="dxa"/>
            <w:tcBorders>
              <w:top w:val="dotted" w:sz="4" w:space="0" w:color="auto"/>
              <w:left w:val="dotted" w:sz="4" w:space="0" w:color="auto"/>
              <w:bottom w:val="dotted" w:sz="4" w:space="0" w:color="auto"/>
              <w:right w:val="single" w:sz="8" w:space="0" w:color="auto"/>
            </w:tcBorders>
            <w:shd w:val="clear" w:color="auto" w:fill="C1ECFF"/>
          </w:tcPr>
          <w:p w14:paraId="2B48CFD5"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REwE</w:t>
            </w:r>
          </w:p>
        </w:tc>
      </w:tr>
      <w:tr w:rsidR="000A7D9D" w:rsidRPr="00EC1412" w14:paraId="2DBE8FBC"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C1ECFF"/>
          </w:tcPr>
          <w:p w14:paraId="4B0AAB3E"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1</w:t>
            </w:r>
            <w:r>
              <w:rPr>
                <w:rStyle w:val="normaltextrun"/>
                <w:noProof/>
                <w:sz w:val="18"/>
                <w:szCs w:val="18"/>
              </w:rPr>
              <w:t>6</w:t>
            </w:r>
          </w:p>
        </w:tc>
        <w:tc>
          <w:tcPr>
            <w:tcW w:w="5244" w:type="dxa"/>
            <w:tcBorders>
              <w:top w:val="dotted" w:sz="4" w:space="0" w:color="auto"/>
              <w:left w:val="dotted" w:sz="4" w:space="0" w:color="auto"/>
              <w:bottom w:val="dotted" w:sz="4" w:space="0" w:color="auto"/>
              <w:right w:val="dotted" w:sz="4" w:space="0" w:color="auto"/>
            </w:tcBorders>
            <w:shd w:val="clear" w:color="auto" w:fill="C1ECFF"/>
          </w:tcPr>
          <w:p w14:paraId="73584D8D"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Medical devices regulation </w:t>
            </w:r>
          </w:p>
        </w:tc>
        <w:tc>
          <w:tcPr>
            <w:tcW w:w="2835" w:type="dxa"/>
            <w:tcBorders>
              <w:top w:val="dotted" w:sz="4" w:space="0" w:color="auto"/>
              <w:left w:val="dotted" w:sz="4" w:space="0" w:color="auto"/>
              <w:bottom w:val="dotted" w:sz="4" w:space="0" w:color="auto"/>
              <w:right w:val="dotted" w:sz="4" w:space="0" w:color="auto"/>
            </w:tcBorders>
            <w:shd w:val="clear" w:color="auto" w:fill="C1ECFF"/>
          </w:tcPr>
          <w:p w14:paraId="1DA406DF"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dotted" w:sz="4" w:space="0" w:color="auto"/>
              <w:left w:val="dotted" w:sz="4" w:space="0" w:color="auto"/>
              <w:bottom w:val="dotted" w:sz="4" w:space="0" w:color="auto"/>
              <w:right w:val="single" w:sz="8" w:space="0" w:color="auto"/>
            </w:tcBorders>
            <w:shd w:val="clear" w:color="auto" w:fill="C1ECFF"/>
          </w:tcPr>
          <w:p w14:paraId="38A85B2D"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t>
            </w:r>
          </w:p>
        </w:tc>
      </w:tr>
      <w:tr w:rsidR="000A7D9D" w:rsidRPr="00EC1412" w14:paraId="0AAEA707"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C1ECFF"/>
          </w:tcPr>
          <w:p w14:paraId="029CF698"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1</w:t>
            </w:r>
            <w:r>
              <w:rPr>
                <w:rStyle w:val="normaltextrun"/>
                <w:noProof/>
                <w:sz w:val="18"/>
                <w:szCs w:val="18"/>
              </w:rPr>
              <w:t>7</w:t>
            </w:r>
          </w:p>
        </w:tc>
        <w:tc>
          <w:tcPr>
            <w:tcW w:w="5244" w:type="dxa"/>
            <w:tcBorders>
              <w:top w:val="dotted" w:sz="4" w:space="0" w:color="auto"/>
              <w:left w:val="dotted" w:sz="4" w:space="0" w:color="auto"/>
              <w:bottom w:val="dotted" w:sz="4" w:space="0" w:color="auto"/>
              <w:right w:val="dotted" w:sz="4" w:space="0" w:color="auto"/>
            </w:tcBorders>
            <w:shd w:val="clear" w:color="auto" w:fill="C1ECFF"/>
          </w:tcPr>
          <w:p w14:paraId="5AACC9C8"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EEA founding regulation</w:t>
            </w:r>
          </w:p>
        </w:tc>
        <w:tc>
          <w:tcPr>
            <w:tcW w:w="2835" w:type="dxa"/>
            <w:tcBorders>
              <w:top w:val="dotted" w:sz="4" w:space="0" w:color="auto"/>
              <w:left w:val="dotted" w:sz="4" w:space="0" w:color="auto"/>
              <w:bottom w:val="dotted" w:sz="4" w:space="0" w:color="auto"/>
              <w:right w:val="dotted" w:sz="4" w:space="0" w:color="auto"/>
            </w:tcBorders>
            <w:shd w:val="clear" w:color="auto" w:fill="C1ECFF"/>
          </w:tcPr>
          <w:p w14:paraId="31C5F013"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EEA</w:t>
            </w:r>
          </w:p>
        </w:tc>
        <w:tc>
          <w:tcPr>
            <w:tcW w:w="1134" w:type="dxa"/>
            <w:tcBorders>
              <w:top w:val="dotted" w:sz="4" w:space="0" w:color="auto"/>
              <w:left w:val="dotted" w:sz="4" w:space="0" w:color="auto"/>
              <w:bottom w:val="dotted" w:sz="4" w:space="0" w:color="auto"/>
              <w:right w:val="single" w:sz="8" w:space="0" w:color="auto"/>
            </w:tcBorders>
            <w:shd w:val="clear" w:color="auto" w:fill="C1ECFF"/>
          </w:tcPr>
          <w:p w14:paraId="1197E165"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FE</w:t>
            </w:r>
          </w:p>
        </w:tc>
      </w:tr>
      <w:tr w:rsidR="000A7D9D" w:rsidRPr="00EC1412" w14:paraId="59230A05" w14:textId="77777777" w:rsidTr="00F31937">
        <w:tc>
          <w:tcPr>
            <w:tcW w:w="426" w:type="dxa"/>
            <w:tcBorders>
              <w:top w:val="dotted" w:sz="4" w:space="0" w:color="auto"/>
              <w:left w:val="single" w:sz="8" w:space="0" w:color="auto"/>
              <w:bottom w:val="single" w:sz="4" w:space="0" w:color="auto"/>
              <w:right w:val="dotted" w:sz="4" w:space="0" w:color="auto"/>
            </w:tcBorders>
            <w:shd w:val="clear" w:color="auto" w:fill="C1ECFF"/>
          </w:tcPr>
          <w:p w14:paraId="694A6805"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1</w:t>
            </w:r>
            <w:r>
              <w:rPr>
                <w:rStyle w:val="normaltextrun"/>
                <w:noProof/>
                <w:sz w:val="18"/>
                <w:szCs w:val="18"/>
              </w:rPr>
              <w:t>8</w:t>
            </w:r>
          </w:p>
        </w:tc>
        <w:tc>
          <w:tcPr>
            <w:tcW w:w="5244" w:type="dxa"/>
            <w:tcBorders>
              <w:top w:val="dotted" w:sz="4" w:space="0" w:color="auto"/>
              <w:left w:val="dotted" w:sz="4" w:space="0" w:color="auto"/>
              <w:bottom w:val="single" w:sz="4" w:space="0" w:color="auto"/>
              <w:right w:val="dotted" w:sz="4" w:space="0" w:color="auto"/>
            </w:tcBorders>
            <w:shd w:val="clear" w:color="auto" w:fill="C1ECFF"/>
          </w:tcPr>
          <w:p w14:paraId="668575A9"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General Food Law</w:t>
            </w:r>
          </w:p>
        </w:tc>
        <w:tc>
          <w:tcPr>
            <w:tcW w:w="2835" w:type="dxa"/>
            <w:tcBorders>
              <w:top w:val="dotted" w:sz="4" w:space="0" w:color="auto"/>
              <w:left w:val="dotted" w:sz="4" w:space="0" w:color="auto"/>
              <w:bottom w:val="single" w:sz="4" w:space="0" w:color="auto"/>
              <w:right w:val="dotted" w:sz="4" w:space="0" w:color="auto"/>
            </w:tcBorders>
            <w:shd w:val="clear" w:color="auto" w:fill="C1ECFF"/>
          </w:tcPr>
          <w:p w14:paraId="28FFB92D"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EFSA</w:t>
            </w:r>
          </w:p>
        </w:tc>
        <w:tc>
          <w:tcPr>
            <w:tcW w:w="1134" w:type="dxa"/>
            <w:tcBorders>
              <w:top w:val="dotted" w:sz="4" w:space="0" w:color="auto"/>
              <w:left w:val="dotted" w:sz="4" w:space="0" w:color="auto"/>
              <w:bottom w:val="single" w:sz="4" w:space="0" w:color="auto"/>
              <w:right w:val="single" w:sz="8" w:space="0" w:color="auto"/>
            </w:tcBorders>
            <w:shd w:val="clear" w:color="auto" w:fill="C1ECFF"/>
          </w:tcPr>
          <w:p w14:paraId="756FB296"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FE</w:t>
            </w:r>
          </w:p>
        </w:tc>
      </w:tr>
      <w:tr w:rsidR="000A7D9D" w:rsidRPr="00EC1412" w14:paraId="2D3F7279" w14:textId="77777777" w:rsidTr="00F31937">
        <w:tc>
          <w:tcPr>
            <w:tcW w:w="426" w:type="dxa"/>
            <w:tcBorders>
              <w:top w:val="single" w:sz="4" w:space="0" w:color="auto"/>
              <w:left w:val="single" w:sz="8" w:space="0" w:color="auto"/>
              <w:bottom w:val="dotted" w:sz="4" w:space="0" w:color="auto"/>
              <w:right w:val="dotted" w:sz="4" w:space="0" w:color="auto"/>
            </w:tcBorders>
            <w:shd w:val="clear" w:color="auto" w:fill="FFF4CC"/>
          </w:tcPr>
          <w:p w14:paraId="30444074" w14:textId="77777777" w:rsidR="000A7D9D" w:rsidRPr="00EC1412" w:rsidRDefault="000A7D9D" w:rsidP="00F31937">
            <w:pPr>
              <w:pStyle w:val="ListParagraph"/>
              <w:spacing w:before="10" w:after="10"/>
              <w:ind w:left="0"/>
              <w:contextualSpacing w:val="0"/>
              <w:jc w:val="both"/>
              <w:rPr>
                <w:rStyle w:val="normaltextrun"/>
                <w:noProof/>
                <w:sz w:val="18"/>
                <w:szCs w:val="18"/>
              </w:rPr>
            </w:pPr>
          </w:p>
        </w:tc>
        <w:tc>
          <w:tcPr>
            <w:tcW w:w="5244" w:type="dxa"/>
            <w:tcBorders>
              <w:top w:val="single" w:sz="4" w:space="0" w:color="auto"/>
              <w:left w:val="dotted" w:sz="4" w:space="0" w:color="auto"/>
              <w:bottom w:val="dotted" w:sz="4" w:space="0" w:color="auto"/>
              <w:right w:val="dotted" w:sz="4" w:space="0" w:color="auto"/>
            </w:tcBorders>
            <w:shd w:val="clear" w:color="auto" w:fill="FFF4CC"/>
          </w:tcPr>
          <w:p w14:paraId="4569656D" w14:textId="77777777" w:rsidR="000A7D9D" w:rsidRPr="0003687E" w:rsidRDefault="000A7D9D" w:rsidP="00F31937">
            <w:pPr>
              <w:pStyle w:val="ListParagraph"/>
              <w:spacing w:before="10" w:after="10"/>
              <w:ind w:left="0"/>
              <w:jc w:val="both"/>
              <w:rPr>
                <w:rStyle w:val="normaltextrun"/>
                <w:bCs/>
                <w:noProof/>
                <w:sz w:val="18"/>
                <w:szCs w:val="18"/>
                <w:lang w:eastAsia="en-US"/>
              </w:rPr>
            </w:pPr>
            <w:r w:rsidRPr="00EF55CB">
              <w:rPr>
                <w:rStyle w:val="normaltextrun"/>
                <w:noProof/>
                <w:sz w:val="18"/>
                <w:szCs w:val="18"/>
              </w:rPr>
              <w:t xml:space="preserve">Proposal for a regulation establishing a common data platform and a monitoring and outlook framework for chemicals </w:t>
            </w:r>
          </w:p>
        </w:tc>
        <w:tc>
          <w:tcPr>
            <w:tcW w:w="2835" w:type="dxa"/>
            <w:tcBorders>
              <w:top w:val="single" w:sz="4" w:space="0" w:color="auto"/>
              <w:left w:val="dotted" w:sz="4" w:space="0" w:color="auto"/>
              <w:bottom w:val="dotted" w:sz="4" w:space="0" w:color="auto"/>
              <w:right w:val="dotted" w:sz="4" w:space="0" w:color="auto"/>
            </w:tcBorders>
            <w:shd w:val="clear" w:color="auto" w:fill="FFF4CC"/>
          </w:tcPr>
          <w:p w14:paraId="7764E4C8" w14:textId="77777777" w:rsidR="000A7D9D" w:rsidRPr="00EC1412" w:rsidRDefault="000A7D9D" w:rsidP="00F31937">
            <w:pPr>
              <w:pStyle w:val="ListParagraph"/>
              <w:spacing w:before="10" w:after="10"/>
              <w:ind w:left="0"/>
              <w:contextualSpacing w:val="0"/>
              <w:jc w:val="both"/>
              <w:rPr>
                <w:rStyle w:val="normaltextrun"/>
                <w:noProof/>
                <w:sz w:val="18"/>
                <w:szCs w:val="18"/>
              </w:rPr>
            </w:pPr>
          </w:p>
        </w:tc>
        <w:tc>
          <w:tcPr>
            <w:tcW w:w="1134" w:type="dxa"/>
            <w:tcBorders>
              <w:top w:val="single" w:sz="4" w:space="0" w:color="auto"/>
              <w:left w:val="dotted" w:sz="4" w:space="0" w:color="auto"/>
              <w:bottom w:val="dotted" w:sz="4" w:space="0" w:color="auto"/>
              <w:right w:val="single" w:sz="8" w:space="0" w:color="auto"/>
            </w:tcBorders>
            <w:shd w:val="clear" w:color="auto" w:fill="FFF4CC"/>
          </w:tcPr>
          <w:p w14:paraId="74A9B2DB" w14:textId="77777777" w:rsidR="000A7D9D" w:rsidRPr="00EC1412" w:rsidRDefault="000A7D9D" w:rsidP="00F31937">
            <w:pPr>
              <w:pStyle w:val="ListParagraph"/>
              <w:spacing w:before="10" w:after="10"/>
              <w:ind w:left="0"/>
              <w:contextualSpacing w:val="0"/>
              <w:jc w:val="center"/>
              <w:rPr>
                <w:rStyle w:val="normaltextrun"/>
                <w:noProof/>
                <w:sz w:val="18"/>
                <w:szCs w:val="18"/>
              </w:rPr>
            </w:pPr>
          </w:p>
        </w:tc>
      </w:tr>
      <w:tr w:rsidR="000A7D9D" w:rsidRPr="00EC1412" w14:paraId="5336DF27"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FFF4CC"/>
          </w:tcPr>
          <w:p w14:paraId="7617499F"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1</w:t>
            </w:r>
            <w:r>
              <w:rPr>
                <w:rStyle w:val="normaltextrun"/>
                <w:noProof/>
                <w:sz w:val="18"/>
                <w:szCs w:val="18"/>
              </w:rPr>
              <w:t>9</w:t>
            </w:r>
          </w:p>
        </w:tc>
        <w:tc>
          <w:tcPr>
            <w:tcW w:w="5244" w:type="dxa"/>
            <w:tcBorders>
              <w:top w:val="dotted" w:sz="4" w:space="0" w:color="auto"/>
              <w:left w:val="dotted" w:sz="4" w:space="0" w:color="auto"/>
              <w:bottom w:val="dotted" w:sz="4" w:space="0" w:color="auto"/>
              <w:right w:val="dotted" w:sz="4" w:space="0" w:color="auto"/>
            </w:tcBorders>
            <w:shd w:val="clear" w:color="auto" w:fill="FFF4CC"/>
          </w:tcPr>
          <w:p w14:paraId="76704568"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Common Data Platform on Chemicals</w:t>
            </w:r>
          </w:p>
        </w:tc>
        <w:tc>
          <w:tcPr>
            <w:tcW w:w="2835" w:type="dxa"/>
            <w:tcBorders>
              <w:top w:val="dotted" w:sz="4" w:space="0" w:color="auto"/>
              <w:left w:val="dotted" w:sz="4" w:space="0" w:color="auto"/>
              <w:bottom w:val="dotted" w:sz="4" w:space="0" w:color="auto"/>
              <w:right w:val="dotted" w:sz="4" w:space="0" w:color="auto"/>
            </w:tcBorders>
            <w:shd w:val="clear" w:color="auto" w:fill="FFF4CC"/>
          </w:tcPr>
          <w:p w14:paraId="4C238F4E" w14:textId="77777777" w:rsidR="000A7D9D" w:rsidRPr="003334A5" w:rsidRDefault="000A7D9D" w:rsidP="00F31937">
            <w:pPr>
              <w:pStyle w:val="ListParagraph"/>
              <w:spacing w:before="10" w:after="10"/>
              <w:ind w:left="0"/>
              <w:contextualSpacing w:val="0"/>
              <w:jc w:val="both"/>
              <w:rPr>
                <w:rStyle w:val="normaltextrun"/>
                <w:noProof/>
                <w:sz w:val="18"/>
                <w:szCs w:val="18"/>
                <w:lang w:val="nl-BE"/>
              </w:rPr>
            </w:pPr>
            <w:r w:rsidRPr="003334A5">
              <w:rPr>
                <w:rStyle w:val="normaltextrun"/>
                <w:noProof/>
                <w:sz w:val="18"/>
                <w:szCs w:val="18"/>
                <w:lang w:val="nl-BE"/>
              </w:rPr>
              <w:t>ECHA, EEA, EFSA, EMA, OSHA</w:t>
            </w:r>
          </w:p>
        </w:tc>
        <w:tc>
          <w:tcPr>
            <w:tcW w:w="1134" w:type="dxa"/>
            <w:tcBorders>
              <w:top w:val="dotted" w:sz="4" w:space="0" w:color="auto"/>
              <w:left w:val="dotted" w:sz="4" w:space="0" w:color="auto"/>
              <w:bottom w:val="dotted" w:sz="4" w:space="0" w:color="auto"/>
              <w:right w:val="single" w:sz="8" w:space="0" w:color="auto"/>
            </w:tcBorders>
            <w:shd w:val="clear" w:color="auto" w:fill="FFF4CC"/>
          </w:tcPr>
          <w:p w14:paraId="0B3D8C2A"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w:t>
            </w:r>
          </w:p>
        </w:tc>
      </w:tr>
      <w:tr w:rsidR="000A7D9D" w:rsidRPr="00EC1412" w14:paraId="4722D067"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FFF4CC"/>
          </w:tcPr>
          <w:p w14:paraId="7B1BC856" w14:textId="77777777" w:rsidR="000A7D9D" w:rsidRPr="00EC1412" w:rsidRDefault="000A7D9D" w:rsidP="00F31937">
            <w:pPr>
              <w:pStyle w:val="ListParagraph"/>
              <w:spacing w:before="10" w:after="10"/>
              <w:ind w:left="0"/>
              <w:contextualSpacing w:val="0"/>
              <w:jc w:val="both"/>
              <w:rPr>
                <w:rStyle w:val="normaltextrun"/>
                <w:noProof/>
                <w:sz w:val="18"/>
                <w:szCs w:val="18"/>
              </w:rPr>
            </w:pPr>
            <w:r>
              <w:rPr>
                <w:rStyle w:val="normaltextrun"/>
                <w:noProof/>
                <w:sz w:val="18"/>
                <w:szCs w:val="18"/>
              </w:rPr>
              <w:t>20</w:t>
            </w:r>
          </w:p>
        </w:tc>
        <w:tc>
          <w:tcPr>
            <w:tcW w:w="5244" w:type="dxa"/>
            <w:tcBorders>
              <w:top w:val="dotted" w:sz="4" w:space="0" w:color="auto"/>
              <w:left w:val="dotted" w:sz="4" w:space="0" w:color="auto"/>
              <w:bottom w:val="dotted" w:sz="4" w:space="0" w:color="auto"/>
              <w:right w:val="dotted" w:sz="4" w:space="0" w:color="auto"/>
            </w:tcBorders>
            <w:shd w:val="clear" w:color="auto" w:fill="FFF4CC"/>
          </w:tcPr>
          <w:p w14:paraId="73E17E08"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Information Platform for Chemical Monitoring</w:t>
            </w:r>
          </w:p>
        </w:tc>
        <w:tc>
          <w:tcPr>
            <w:tcW w:w="2835" w:type="dxa"/>
            <w:tcBorders>
              <w:top w:val="dotted" w:sz="4" w:space="0" w:color="auto"/>
              <w:left w:val="dotted" w:sz="4" w:space="0" w:color="auto"/>
              <w:bottom w:val="dotted" w:sz="4" w:space="0" w:color="auto"/>
              <w:right w:val="dotted" w:sz="4" w:space="0" w:color="auto"/>
            </w:tcBorders>
            <w:shd w:val="clear" w:color="auto" w:fill="FFF4CC"/>
          </w:tcPr>
          <w:p w14:paraId="2CACDD3D" w14:textId="77777777" w:rsidR="000A7D9D" w:rsidRPr="003334A5" w:rsidRDefault="000A7D9D" w:rsidP="00F31937">
            <w:pPr>
              <w:pStyle w:val="ListParagraph"/>
              <w:spacing w:before="10" w:after="10"/>
              <w:ind w:left="0"/>
              <w:contextualSpacing w:val="0"/>
              <w:jc w:val="both"/>
              <w:rPr>
                <w:rStyle w:val="normaltextrun"/>
                <w:noProof/>
                <w:sz w:val="18"/>
                <w:szCs w:val="18"/>
                <w:lang w:val="nl-BE"/>
              </w:rPr>
            </w:pPr>
            <w:r w:rsidRPr="003334A5">
              <w:rPr>
                <w:rStyle w:val="normaltextrun"/>
                <w:noProof/>
                <w:sz w:val="18"/>
                <w:szCs w:val="18"/>
                <w:lang w:val="nl-BE"/>
              </w:rPr>
              <w:t>ECHA, EEA, EFSA, EMA</w:t>
            </w:r>
            <w:r>
              <w:rPr>
                <w:rStyle w:val="normaltextrun"/>
                <w:noProof/>
                <w:sz w:val="18"/>
                <w:szCs w:val="18"/>
                <w:lang w:val="nl-BE"/>
              </w:rPr>
              <w:t>,</w:t>
            </w:r>
            <w:r w:rsidRPr="003334A5">
              <w:rPr>
                <w:rStyle w:val="normaltextrun"/>
                <w:noProof/>
                <w:sz w:val="18"/>
                <w:szCs w:val="18"/>
                <w:lang w:val="nl-BE"/>
              </w:rPr>
              <w:t xml:space="preserve"> OSHA</w:t>
            </w:r>
          </w:p>
        </w:tc>
        <w:tc>
          <w:tcPr>
            <w:tcW w:w="1134" w:type="dxa"/>
            <w:tcBorders>
              <w:top w:val="dotted" w:sz="4" w:space="0" w:color="auto"/>
              <w:left w:val="dotted" w:sz="4" w:space="0" w:color="auto"/>
              <w:bottom w:val="dotted" w:sz="4" w:space="0" w:color="auto"/>
              <w:right w:val="single" w:sz="8" w:space="0" w:color="auto"/>
            </w:tcBorders>
            <w:shd w:val="clear" w:color="auto" w:fill="FFF4CC"/>
          </w:tcPr>
          <w:p w14:paraId="7EB02906"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t>
            </w:r>
            <w:r>
              <w:rPr>
                <w:rStyle w:val="normaltextrun"/>
                <w:noProof/>
                <w:sz w:val="18"/>
                <w:szCs w:val="18"/>
              </w:rPr>
              <w:t>, FE</w:t>
            </w:r>
          </w:p>
        </w:tc>
      </w:tr>
      <w:tr w:rsidR="000A7D9D" w:rsidRPr="00EC1412" w14:paraId="648F6833"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FFF4CC"/>
          </w:tcPr>
          <w:p w14:paraId="1DA1D7C3" w14:textId="77777777" w:rsidR="000A7D9D" w:rsidRPr="00EC1412" w:rsidRDefault="000A7D9D" w:rsidP="00F31937">
            <w:pPr>
              <w:pStyle w:val="ListParagraph"/>
              <w:spacing w:before="10" w:after="10"/>
              <w:ind w:left="0"/>
              <w:contextualSpacing w:val="0"/>
              <w:jc w:val="both"/>
              <w:rPr>
                <w:rStyle w:val="normaltextrun"/>
                <w:noProof/>
                <w:sz w:val="18"/>
                <w:szCs w:val="18"/>
              </w:rPr>
            </w:pPr>
            <w:r>
              <w:rPr>
                <w:rStyle w:val="normaltextrun"/>
                <w:noProof/>
                <w:sz w:val="18"/>
                <w:szCs w:val="18"/>
              </w:rPr>
              <w:t>21</w:t>
            </w:r>
          </w:p>
        </w:tc>
        <w:tc>
          <w:tcPr>
            <w:tcW w:w="5244" w:type="dxa"/>
            <w:tcBorders>
              <w:top w:val="dotted" w:sz="4" w:space="0" w:color="auto"/>
              <w:left w:val="dotted" w:sz="4" w:space="0" w:color="auto"/>
              <w:bottom w:val="dotted" w:sz="4" w:space="0" w:color="auto"/>
              <w:right w:val="dotted" w:sz="4" w:space="0" w:color="auto"/>
            </w:tcBorders>
            <w:shd w:val="clear" w:color="auto" w:fill="FFF4CC"/>
          </w:tcPr>
          <w:p w14:paraId="64DF0D3C" w14:textId="77777777" w:rsidR="000A7D9D" w:rsidRPr="00EC1412" w:rsidRDefault="000A7D9D" w:rsidP="00F31937">
            <w:pPr>
              <w:pStyle w:val="ListParagraph"/>
              <w:spacing w:before="10" w:after="10"/>
              <w:ind w:left="0"/>
              <w:jc w:val="both"/>
              <w:rPr>
                <w:rStyle w:val="normaltextrun"/>
                <w:noProof/>
                <w:sz w:val="18"/>
                <w:szCs w:val="18"/>
              </w:rPr>
            </w:pPr>
            <w:r w:rsidRPr="2E8599C7">
              <w:rPr>
                <w:rStyle w:val="normaltextrun"/>
                <w:noProof/>
                <w:sz w:val="18"/>
                <w:szCs w:val="18"/>
              </w:rPr>
              <w:t xml:space="preserve">   Information on regulatory processes on chemicals</w:t>
            </w:r>
          </w:p>
        </w:tc>
        <w:tc>
          <w:tcPr>
            <w:tcW w:w="2835" w:type="dxa"/>
            <w:tcBorders>
              <w:top w:val="dotted" w:sz="4" w:space="0" w:color="auto"/>
              <w:left w:val="dotted" w:sz="4" w:space="0" w:color="auto"/>
              <w:bottom w:val="dotted" w:sz="4" w:space="0" w:color="auto"/>
              <w:right w:val="dotted" w:sz="4" w:space="0" w:color="auto"/>
            </w:tcBorders>
            <w:shd w:val="clear" w:color="auto" w:fill="FFF4CC"/>
          </w:tcPr>
          <w:p w14:paraId="5C0B95E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ECHA, </w:t>
            </w:r>
            <w:r>
              <w:rPr>
                <w:rStyle w:val="normaltextrun"/>
                <w:noProof/>
                <w:sz w:val="18"/>
                <w:szCs w:val="18"/>
              </w:rPr>
              <w:t xml:space="preserve">EEA, </w:t>
            </w:r>
            <w:r w:rsidRPr="00EC1412">
              <w:rPr>
                <w:rStyle w:val="normaltextrun"/>
                <w:noProof/>
                <w:sz w:val="18"/>
                <w:szCs w:val="18"/>
              </w:rPr>
              <w:t>EFSA</w:t>
            </w:r>
            <w:r>
              <w:rPr>
                <w:rStyle w:val="normaltextrun"/>
                <w:noProof/>
                <w:sz w:val="18"/>
                <w:szCs w:val="18"/>
              </w:rPr>
              <w:t>,            OSHA</w:t>
            </w:r>
          </w:p>
        </w:tc>
        <w:tc>
          <w:tcPr>
            <w:tcW w:w="1134" w:type="dxa"/>
            <w:tcBorders>
              <w:top w:val="dotted" w:sz="4" w:space="0" w:color="auto"/>
              <w:left w:val="dotted" w:sz="4" w:space="0" w:color="auto"/>
              <w:bottom w:val="dotted" w:sz="4" w:space="0" w:color="auto"/>
              <w:right w:val="single" w:sz="8" w:space="0" w:color="auto"/>
            </w:tcBorders>
            <w:shd w:val="clear" w:color="auto" w:fill="FFF4CC"/>
          </w:tcPr>
          <w:p w14:paraId="4381C5D5"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EwE</w:t>
            </w:r>
          </w:p>
        </w:tc>
      </w:tr>
      <w:tr w:rsidR="000A7D9D" w:rsidRPr="00EC1412" w14:paraId="5997EA27"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FFF4CC"/>
          </w:tcPr>
          <w:p w14:paraId="6C9D54FA"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2</w:t>
            </w:r>
            <w:r>
              <w:rPr>
                <w:rStyle w:val="normaltextrun"/>
                <w:noProof/>
                <w:sz w:val="18"/>
                <w:szCs w:val="18"/>
              </w:rPr>
              <w:t>2</w:t>
            </w:r>
          </w:p>
        </w:tc>
        <w:tc>
          <w:tcPr>
            <w:tcW w:w="5244" w:type="dxa"/>
            <w:tcBorders>
              <w:top w:val="dotted" w:sz="4" w:space="0" w:color="auto"/>
              <w:left w:val="dotted" w:sz="4" w:space="0" w:color="auto"/>
              <w:bottom w:val="dotted" w:sz="4" w:space="0" w:color="auto"/>
              <w:right w:val="dotted" w:sz="4" w:space="0" w:color="auto"/>
            </w:tcBorders>
            <w:shd w:val="clear" w:color="auto" w:fill="FFF4CC"/>
          </w:tcPr>
          <w:p w14:paraId="6AD1DC99" w14:textId="77777777" w:rsidR="000A7D9D" w:rsidRPr="00EC1412" w:rsidRDefault="000A7D9D" w:rsidP="00F31937">
            <w:pPr>
              <w:pStyle w:val="ListParagraph"/>
              <w:spacing w:before="10" w:after="10"/>
              <w:ind w:left="0"/>
              <w:jc w:val="both"/>
              <w:rPr>
                <w:rStyle w:val="normaltextrun"/>
                <w:noProof/>
                <w:sz w:val="18"/>
                <w:szCs w:val="18"/>
              </w:rPr>
            </w:pPr>
            <w:r w:rsidRPr="2E8599C7">
              <w:rPr>
                <w:rStyle w:val="normaltextrun"/>
                <w:noProof/>
                <w:sz w:val="18"/>
                <w:szCs w:val="18"/>
              </w:rPr>
              <w:t xml:space="preserve">   Repository of reference values</w:t>
            </w:r>
          </w:p>
        </w:tc>
        <w:tc>
          <w:tcPr>
            <w:tcW w:w="2835" w:type="dxa"/>
            <w:tcBorders>
              <w:top w:val="dotted" w:sz="4" w:space="0" w:color="auto"/>
              <w:left w:val="dotted" w:sz="4" w:space="0" w:color="auto"/>
              <w:bottom w:val="dotted" w:sz="4" w:space="0" w:color="auto"/>
              <w:right w:val="dotted" w:sz="4" w:space="0" w:color="auto"/>
            </w:tcBorders>
            <w:shd w:val="clear" w:color="auto" w:fill="FFF4CC"/>
          </w:tcPr>
          <w:p w14:paraId="1008DB70" w14:textId="77777777" w:rsidR="000A7D9D" w:rsidRPr="003334A5" w:rsidRDefault="000A7D9D" w:rsidP="00F31937">
            <w:pPr>
              <w:pStyle w:val="ListParagraph"/>
              <w:spacing w:before="10" w:after="10"/>
              <w:ind w:left="0"/>
              <w:contextualSpacing w:val="0"/>
              <w:jc w:val="both"/>
              <w:rPr>
                <w:rStyle w:val="normaltextrun"/>
                <w:noProof/>
                <w:sz w:val="18"/>
                <w:szCs w:val="18"/>
                <w:lang w:val="nl-BE"/>
              </w:rPr>
            </w:pPr>
            <w:r w:rsidRPr="003334A5">
              <w:rPr>
                <w:rStyle w:val="normaltextrun"/>
                <w:noProof/>
                <w:sz w:val="18"/>
                <w:szCs w:val="18"/>
                <w:lang w:val="nl-BE"/>
              </w:rPr>
              <w:t>ECHA, EEA, EFSA, EMA, OSHA</w:t>
            </w:r>
          </w:p>
        </w:tc>
        <w:tc>
          <w:tcPr>
            <w:tcW w:w="1134" w:type="dxa"/>
            <w:tcBorders>
              <w:top w:val="dotted" w:sz="4" w:space="0" w:color="auto"/>
              <w:left w:val="dotted" w:sz="4" w:space="0" w:color="auto"/>
              <w:bottom w:val="dotted" w:sz="4" w:space="0" w:color="auto"/>
              <w:right w:val="single" w:sz="8" w:space="0" w:color="auto"/>
            </w:tcBorders>
            <w:shd w:val="clear" w:color="auto" w:fill="FFF4CC"/>
          </w:tcPr>
          <w:p w14:paraId="3ED702EC"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w:t>
            </w:r>
          </w:p>
        </w:tc>
      </w:tr>
      <w:tr w:rsidR="000A7D9D" w:rsidRPr="00EC1412" w14:paraId="69CCAE5B"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FFF4CC"/>
          </w:tcPr>
          <w:p w14:paraId="33FED2E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2</w:t>
            </w:r>
            <w:r>
              <w:rPr>
                <w:rStyle w:val="normaltextrun"/>
                <w:noProof/>
                <w:sz w:val="18"/>
                <w:szCs w:val="18"/>
              </w:rPr>
              <w:t>3</w:t>
            </w:r>
          </w:p>
        </w:tc>
        <w:tc>
          <w:tcPr>
            <w:tcW w:w="5244" w:type="dxa"/>
            <w:tcBorders>
              <w:top w:val="dotted" w:sz="4" w:space="0" w:color="auto"/>
              <w:left w:val="dotted" w:sz="4" w:space="0" w:color="auto"/>
              <w:bottom w:val="dotted" w:sz="4" w:space="0" w:color="auto"/>
              <w:right w:val="dotted" w:sz="4" w:space="0" w:color="auto"/>
            </w:tcBorders>
            <w:shd w:val="clear" w:color="auto" w:fill="FFF4CC"/>
          </w:tcPr>
          <w:p w14:paraId="51ECCD1E" w14:textId="77777777" w:rsidR="000A7D9D" w:rsidRPr="00EC1412" w:rsidRDefault="000A7D9D" w:rsidP="00F31937">
            <w:pPr>
              <w:pStyle w:val="ListParagraph"/>
              <w:spacing w:before="10" w:after="10"/>
              <w:ind w:left="0"/>
              <w:jc w:val="both"/>
              <w:rPr>
                <w:rStyle w:val="normaltextrun"/>
                <w:noProof/>
                <w:sz w:val="18"/>
                <w:szCs w:val="18"/>
              </w:rPr>
            </w:pPr>
            <w:r w:rsidRPr="2E8599C7">
              <w:rPr>
                <w:rStyle w:val="normaltextrun"/>
                <w:noProof/>
                <w:sz w:val="18"/>
                <w:szCs w:val="18"/>
              </w:rPr>
              <w:t xml:space="preserve">   Information on the obligations under Union acts on chemicals</w:t>
            </w:r>
          </w:p>
        </w:tc>
        <w:tc>
          <w:tcPr>
            <w:tcW w:w="2835" w:type="dxa"/>
            <w:tcBorders>
              <w:top w:val="dotted" w:sz="4" w:space="0" w:color="auto"/>
              <w:left w:val="dotted" w:sz="4" w:space="0" w:color="auto"/>
              <w:bottom w:val="dotted" w:sz="4" w:space="0" w:color="auto"/>
              <w:right w:val="dotted" w:sz="4" w:space="0" w:color="auto"/>
            </w:tcBorders>
            <w:shd w:val="clear" w:color="auto" w:fill="FFF4CC"/>
          </w:tcPr>
          <w:p w14:paraId="0485C767"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dotted" w:sz="4" w:space="0" w:color="auto"/>
              <w:left w:val="dotted" w:sz="4" w:space="0" w:color="auto"/>
              <w:bottom w:val="dotted" w:sz="4" w:space="0" w:color="auto"/>
              <w:right w:val="single" w:sz="8" w:space="0" w:color="auto"/>
            </w:tcBorders>
            <w:shd w:val="clear" w:color="auto" w:fill="FFF4CC"/>
          </w:tcPr>
          <w:p w14:paraId="1B3F632E"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EwE</w:t>
            </w:r>
          </w:p>
        </w:tc>
      </w:tr>
      <w:tr w:rsidR="000A7D9D" w:rsidRPr="00EC1412" w14:paraId="1FF6E76A"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FFF4CC"/>
          </w:tcPr>
          <w:p w14:paraId="6C49C04F" w14:textId="77777777" w:rsidR="000A7D9D" w:rsidRPr="00EC1412" w:rsidRDefault="000A7D9D" w:rsidP="00F31937">
            <w:pPr>
              <w:pStyle w:val="ListParagraph"/>
              <w:spacing w:before="10" w:after="10"/>
              <w:ind w:left="0"/>
              <w:contextualSpacing w:val="0"/>
              <w:jc w:val="both"/>
              <w:rPr>
                <w:rStyle w:val="normaltextrun"/>
                <w:noProof/>
                <w:sz w:val="18"/>
                <w:szCs w:val="18"/>
              </w:rPr>
            </w:pPr>
            <w:r>
              <w:rPr>
                <w:rStyle w:val="normaltextrun"/>
                <w:noProof/>
                <w:sz w:val="18"/>
                <w:szCs w:val="18"/>
              </w:rPr>
              <w:t>24</w:t>
            </w:r>
          </w:p>
        </w:tc>
        <w:tc>
          <w:tcPr>
            <w:tcW w:w="5244" w:type="dxa"/>
            <w:tcBorders>
              <w:top w:val="dotted" w:sz="4" w:space="0" w:color="auto"/>
              <w:left w:val="dotted" w:sz="4" w:space="0" w:color="auto"/>
              <w:bottom w:val="dotted" w:sz="4" w:space="0" w:color="auto"/>
              <w:right w:val="dotted" w:sz="4" w:space="0" w:color="auto"/>
            </w:tcBorders>
            <w:shd w:val="clear" w:color="auto" w:fill="FFF4CC"/>
          </w:tcPr>
          <w:p w14:paraId="64637C13" w14:textId="77777777" w:rsidR="000A7D9D" w:rsidRPr="00CA0F6C" w:rsidRDefault="000A7D9D" w:rsidP="00F31937">
            <w:pPr>
              <w:pStyle w:val="ListParagraph"/>
              <w:spacing w:before="10" w:after="10"/>
              <w:ind w:left="0"/>
              <w:jc w:val="both"/>
              <w:rPr>
                <w:rStyle w:val="normaltextrun"/>
                <w:noProof/>
                <w:sz w:val="18"/>
                <w:szCs w:val="18"/>
              </w:rPr>
            </w:pPr>
            <w:r w:rsidRPr="2D69C30E">
              <w:rPr>
                <w:rStyle w:val="normaltextrun"/>
                <w:noProof/>
                <w:sz w:val="18"/>
                <w:szCs w:val="18"/>
              </w:rPr>
              <w:t xml:space="preserve">   Environmental sustainability related data on chemicals</w:t>
            </w:r>
          </w:p>
        </w:tc>
        <w:tc>
          <w:tcPr>
            <w:tcW w:w="2835" w:type="dxa"/>
            <w:tcBorders>
              <w:top w:val="dotted" w:sz="4" w:space="0" w:color="auto"/>
              <w:left w:val="dotted" w:sz="4" w:space="0" w:color="auto"/>
              <w:bottom w:val="dotted" w:sz="4" w:space="0" w:color="auto"/>
              <w:right w:val="dotted" w:sz="4" w:space="0" w:color="auto"/>
            </w:tcBorders>
            <w:shd w:val="clear" w:color="auto" w:fill="FFF4CC"/>
          </w:tcPr>
          <w:p w14:paraId="579BDBF6" w14:textId="77777777" w:rsidR="000A7D9D" w:rsidRPr="003334A5" w:rsidRDefault="000A7D9D" w:rsidP="00F31937">
            <w:pPr>
              <w:pStyle w:val="ListParagraph"/>
              <w:spacing w:before="10" w:after="10"/>
              <w:ind w:left="0"/>
              <w:contextualSpacing w:val="0"/>
              <w:jc w:val="both"/>
              <w:rPr>
                <w:rStyle w:val="normaltextrun"/>
                <w:noProof/>
                <w:sz w:val="18"/>
                <w:szCs w:val="18"/>
                <w:lang w:val="nl-BE"/>
              </w:rPr>
            </w:pPr>
            <w:r w:rsidRPr="003334A5">
              <w:rPr>
                <w:rStyle w:val="normaltextrun"/>
                <w:noProof/>
                <w:sz w:val="18"/>
                <w:szCs w:val="18"/>
                <w:lang w:val="nl-BE"/>
              </w:rPr>
              <w:t>ECHA, EEA, EFSA, EMA, OSHA</w:t>
            </w:r>
          </w:p>
        </w:tc>
        <w:tc>
          <w:tcPr>
            <w:tcW w:w="1134" w:type="dxa"/>
            <w:tcBorders>
              <w:top w:val="dotted" w:sz="4" w:space="0" w:color="auto"/>
              <w:left w:val="dotted" w:sz="4" w:space="0" w:color="auto"/>
              <w:bottom w:val="dotted" w:sz="4" w:space="0" w:color="auto"/>
              <w:right w:val="single" w:sz="8" w:space="0" w:color="auto"/>
            </w:tcBorders>
            <w:shd w:val="clear" w:color="auto" w:fill="FFF4CC"/>
          </w:tcPr>
          <w:p w14:paraId="11525E43" w14:textId="77777777" w:rsidR="000A7D9D" w:rsidRPr="00EC1412" w:rsidRDefault="000A7D9D" w:rsidP="00F31937">
            <w:pPr>
              <w:pStyle w:val="ListParagraph"/>
              <w:spacing w:before="10" w:after="10"/>
              <w:ind w:left="0"/>
              <w:contextualSpacing w:val="0"/>
              <w:jc w:val="center"/>
              <w:rPr>
                <w:rStyle w:val="normaltextrun"/>
                <w:noProof/>
                <w:sz w:val="18"/>
                <w:szCs w:val="18"/>
              </w:rPr>
            </w:pPr>
            <w:r>
              <w:rPr>
                <w:rStyle w:val="normaltextrun"/>
                <w:noProof/>
                <w:sz w:val="18"/>
                <w:szCs w:val="18"/>
              </w:rPr>
              <w:t>N</w:t>
            </w:r>
          </w:p>
        </w:tc>
      </w:tr>
      <w:tr w:rsidR="000A7D9D" w:rsidRPr="00EC1412" w14:paraId="4074E501"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FFF4CC"/>
          </w:tcPr>
          <w:p w14:paraId="5E189463"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2</w:t>
            </w:r>
            <w:r>
              <w:rPr>
                <w:rStyle w:val="normaltextrun"/>
                <w:noProof/>
                <w:sz w:val="18"/>
                <w:szCs w:val="18"/>
              </w:rPr>
              <w:t>5</w:t>
            </w:r>
          </w:p>
        </w:tc>
        <w:tc>
          <w:tcPr>
            <w:tcW w:w="5244" w:type="dxa"/>
            <w:tcBorders>
              <w:top w:val="dotted" w:sz="4" w:space="0" w:color="auto"/>
              <w:left w:val="dotted" w:sz="4" w:space="0" w:color="auto"/>
              <w:bottom w:val="dotted" w:sz="4" w:space="0" w:color="auto"/>
              <w:right w:val="dotted" w:sz="4" w:space="0" w:color="auto"/>
            </w:tcBorders>
            <w:shd w:val="clear" w:color="auto" w:fill="FFF4CC"/>
          </w:tcPr>
          <w:p w14:paraId="700193B9"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Data generation mechanism</w:t>
            </w:r>
          </w:p>
        </w:tc>
        <w:tc>
          <w:tcPr>
            <w:tcW w:w="2835" w:type="dxa"/>
            <w:tcBorders>
              <w:top w:val="dotted" w:sz="4" w:space="0" w:color="auto"/>
              <w:left w:val="dotted" w:sz="4" w:space="0" w:color="auto"/>
              <w:bottom w:val="dotted" w:sz="4" w:space="0" w:color="auto"/>
              <w:right w:val="dotted" w:sz="4" w:space="0" w:color="auto"/>
            </w:tcBorders>
            <w:shd w:val="clear" w:color="auto" w:fill="FFF4CC"/>
          </w:tcPr>
          <w:p w14:paraId="078D006B" w14:textId="77777777" w:rsidR="000A7D9D" w:rsidRPr="00EC1412" w:rsidRDefault="000A7D9D" w:rsidP="00F31937">
            <w:pPr>
              <w:pStyle w:val="ListParagraph"/>
              <w:spacing w:before="10" w:after="10"/>
              <w:ind w:left="0"/>
              <w:jc w:val="both"/>
              <w:rPr>
                <w:rStyle w:val="normaltextrun"/>
                <w:noProof/>
                <w:sz w:val="18"/>
                <w:szCs w:val="18"/>
              </w:rPr>
            </w:pPr>
            <w:r w:rsidRPr="2E8599C7">
              <w:rPr>
                <w:rStyle w:val="normaltextrun"/>
                <w:noProof/>
                <w:sz w:val="18"/>
                <w:szCs w:val="18"/>
              </w:rPr>
              <w:t>ECHA,           EFSA</w:t>
            </w:r>
          </w:p>
        </w:tc>
        <w:tc>
          <w:tcPr>
            <w:tcW w:w="1134" w:type="dxa"/>
            <w:tcBorders>
              <w:top w:val="dotted" w:sz="4" w:space="0" w:color="auto"/>
              <w:left w:val="dotted" w:sz="4" w:space="0" w:color="auto"/>
              <w:bottom w:val="dotted" w:sz="4" w:space="0" w:color="auto"/>
              <w:right w:val="single" w:sz="8" w:space="0" w:color="auto"/>
            </w:tcBorders>
            <w:shd w:val="clear" w:color="auto" w:fill="FFF4CC"/>
          </w:tcPr>
          <w:p w14:paraId="4755C50A"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w:t>
            </w:r>
          </w:p>
        </w:tc>
      </w:tr>
      <w:tr w:rsidR="000A7D9D" w:rsidRPr="00EC1412" w14:paraId="57DECF01"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FFF4CC"/>
          </w:tcPr>
          <w:p w14:paraId="5F821F1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2</w:t>
            </w:r>
            <w:r>
              <w:rPr>
                <w:rStyle w:val="normaltextrun"/>
                <w:noProof/>
                <w:sz w:val="18"/>
                <w:szCs w:val="18"/>
              </w:rPr>
              <w:t>6</w:t>
            </w:r>
          </w:p>
        </w:tc>
        <w:tc>
          <w:tcPr>
            <w:tcW w:w="5244" w:type="dxa"/>
            <w:tcBorders>
              <w:top w:val="dotted" w:sz="4" w:space="0" w:color="auto"/>
              <w:left w:val="dotted" w:sz="4" w:space="0" w:color="auto"/>
              <w:bottom w:val="dotted" w:sz="4" w:space="0" w:color="auto"/>
              <w:right w:val="dotted" w:sz="4" w:space="0" w:color="auto"/>
            </w:tcBorders>
            <w:shd w:val="clear" w:color="auto" w:fill="FFF4CC"/>
          </w:tcPr>
          <w:p w14:paraId="1DEEC8DD" w14:textId="77777777" w:rsidR="000A7D9D" w:rsidRPr="00EC1412" w:rsidRDefault="000A7D9D" w:rsidP="00F31937">
            <w:pPr>
              <w:pStyle w:val="ListParagraph"/>
              <w:spacing w:before="10" w:after="10"/>
              <w:ind w:left="171" w:hanging="171"/>
              <w:jc w:val="both"/>
              <w:rPr>
                <w:rStyle w:val="normaltextrun"/>
                <w:noProof/>
                <w:sz w:val="18"/>
                <w:szCs w:val="18"/>
              </w:rPr>
            </w:pPr>
            <w:r w:rsidRPr="2E8599C7">
              <w:rPr>
                <w:rStyle w:val="normaltextrun"/>
                <w:noProof/>
                <w:sz w:val="18"/>
                <w:szCs w:val="18"/>
              </w:rPr>
              <w:t xml:space="preserve">   Mechanism for notification of studies &amp; database for study notifications</w:t>
            </w:r>
          </w:p>
        </w:tc>
        <w:tc>
          <w:tcPr>
            <w:tcW w:w="2835" w:type="dxa"/>
            <w:tcBorders>
              <w:top w:val="dotted" w:sz="4" w:space="0" w:color="auto"/>
              <w:left w:val="dotted" w:sz="4" w:space="0" w:color="auto"/>
              <w:bottom w:val="dotted" w:sz="4" w:space="0" w:color="auto"/>
              <w:right w:val="dotted" w:sz="4" w:space="0" w:color="auto"/>
            </w:tcBorders>
            <w:shd w:val="clear" w:color="auto" w:fill="FFF4CC"/>
          </w:tcPr>
          <w:p w14:paraId="6C9C7929"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           EFSA</w:t>
            </w:r>
          </w:p>
        </w:tc>
        <w:tc>
          <w:tcPr>
            <w:tcW w:w="1134" w:type="dxa"/>
            <w:tcBorders>
              <w:top w:val="dotted" w:sz="4" w:space="0" w:color="auto"/>
              <w:left w:val="dotted" w:sz="4" w:space="0" w:color="auto"/>
              <w:bottom w:val="dotted" w:sz="4" w:space="0" w:color="auto"/>
              <w:right w:val="single" w:sz="8" w:space="0" w:color="auto"/>
            </w:tcBorders>
            <w:shd w:val="clear" w:color="auto" w:fill="FFF4CC"/>
          </w:tcPr>
          <w:p w14:paraId="49E1008C"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w:t>
            </w:r>
          </w:p>
        </w:tc>
      </w:tr>
      <w:tr w:rsidR="000A7D9D" w:rsidRPr="00EC1412" w14:paraId="612875D4"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FFF4CC"/>
          </w:tcPr>
          <w:p w14:paraId="19B83288"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2</w:t>
            </w:r>
            <w:r>
              <w:rPr>
                <w:rStyle w:val="normaltextrun"/>
                <w:noProof/>
                <w:sz w:val="18"/>
                <w:szCs w:val="18"/>
              </w:rPr>
              <w:t>7</w:t>
            </w:r>
          </w:p>
        </w:tc>
        <w:tc>
          <w:tcPr>
            <w:tcW w:w="5244" w:type="dxa"/>
            <w:tcBorders>
              <w:top w:val="dotted" w:sz="4" w:space="0" w:color="auto"/>
              <w:left w:val="dotted" w:sz="4" w:space="0" w:color="auto"/>
              <w:bottom w:val="dotted" w:sz="4" w:space="0" w:color="auto"/>
              <w:right w:val="dotted" w:sz="4" w:space="0" w:color="auto"/>
            </w:tcBorders>
            <w:shd w:val="clear" w:color="auto" w:fill="FFF4CC"/>
          </w:tcPr>
          <w:p w14:paraId="4A7744BA" w14:textId="77777777" w:rsidR="000A7D9D" w:rsidRPr="00EC1412" w:rsidRDefault="000A7D9D" w:rsidP="00F31937">
            <w:pPr>
              <w:pStyle w:val="ListParagraph"/>
              <w:spacing w:before="10" w:after="10"/>
              <w:ind w:left="171" w:hanging="171"/>
              <w:jc w:val="both"/>
              <w:rPr>
                <w:rStyle w:val="normaltextrun"/>
                <w:noProof/>
                <w:sz w:val="18"/>
                <w:szCs w:val="18"/>
              </w:rPr>
            </w:pPr>
            <w:r w:rsidRPr="2E8599C7">
              <w:rPr>
                <w:rStyle w:val="normaltextrun"/>
                <w:noProof/>
                <w:sz w:val="18"/>
                <w:szCs w:val="18"/>
              </w:rPr>
              <w:t xml:space="preserve">   Early warning and action system for emerging chemical risks and framework of indicators</w:t>
            </w:r>
          </w:p>
        </w:tc>
        <w:tc>
          <w:tcPr>
            <w:tcW w:w="2835" w:type="dxa"/>
            <w:tcBorders>
              <w:top w:val="dotted" w:sz="4" w:space="0" w:color="auto"/>
              <w:left w:val="dotted" w:sz="4" w:space="0" w:color="auto"/>
              <w:bottom w:val="dotted" w:sz="4" w:space="0" w:color="auto"/>
              <w:right w:val="dotted" w:sz="4" w:space="0" w:color="auto"/>
            </w:tcBorders>
            <w:shd w:val="clear" w:color="auto" w:fill="FFF4CC"/>
          </w:tcPr>
          <w:p w14:paraId="5C946BAF" w14:textId="77777777" w:rsidR="000A7D9D" w:rsidRPr="00DB5484" w:rsidRDefault="000A7D9D" w:rsidP="00F31937">
            <w:pPr>
              <w:pStyle w:val="ListParagraph"/>
              <w:spacing w:before="10" w:after="10"/>
              <w:ind w:left="0"/>
              <w:contextualSpacing w:val="0"/>
              <w:jc w:val="both"/>
              <w:rPr>
                <w:rStyle w:val="normaltextrun"/>
                <w:noProof/>
                <w:sz w:val="18"/>
                <w:szCs w:val="18"/>
                <w:lang w:val="nl-BE"/>
              </w:rPr>
            </w:pPr>
            <w:r w:rsidRPr="00DB5484">
              <w:rPr>
                <w:rStyle w:val="normaltextrun"/>
                <w:noProof/>
                <w:sz w:val="18"/>
                <w:szCs w:val="18"/>
                <w:lang w:val="nl-BE"/>
              </w:rPr>
              <w:t>ECHA, EEA, EFSA, EMA</w:t>
            </w:r>
            <w:r>
              <w:rPr>
                <w:rStyle w:val="normaltextrun"/>
                <w:noProof/>
                <w:sz w:val="18"/>
                <w:szCs w:val="18"/>
                <w:lang w:val="nl-BE"/>
              </w:rPr>
              <w:t>,</w:t>
            </w:r>
            <w:r w:rsidRPr="00DB5484">
              <w:rPr>
                <w:rStyle w:val="normaltextrun"/>
                <w:noProof/>
                <w:sz w:val="18"/>
                <w:szCs w:val="18"/>
                <w:lang w:val="nl-BE"/>
              </w:rPr>
              <w:t xml:space="preserve"> OSHA</w:t>
            </w:r>
          </w:p>
        </w:tc>
        <w:tc>
          <w:tcPr>
            <w:tcW w:w="1134" w:type="dxa"/>
            <w:tcBorders>
              <w:top w:val="dotted" w:sz="4" w:space="0" w:color="auto"/>
              <w:left w:val="dotted" w:sz="4" w:space="0" w:color="auto"/>
              <w:bottom w:val="dotted" w:sz="4" w:space="0" w:color="auto"/>
              <w:right w:val="single" w:sz="8" w:space="0" w:color="auto"/>
            </w:tcBorders>
            <w:shd w:val="clear" w:color="auto" w:fill="FFF4CC"/>
          </w:tcPr>
          <w:p w14:paraId="44F409CA"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 EwE</w:t>
            </w:r>
          </w:p>
        </w:tc>
      </w:tr>
      <w:tr w:rsidR="000A7D9D" w:rsidRPr="00EC1412" w14:paraId="06F804CB" w14:textId="77777777" w:rsidTr="00F31937">
        <w:tc>
          <w:tcPr>
            <w:tcW w:w="426" w:type="dxa"/>
            <w:tcBorders>
              <w:top w:val="dotted" w:sz="4" w:space="0" w:color="auto"/>
              <w:left w:val="single" w:sz="8" w:space="0" w:color="auto"/>
              <w:bottom w:val="single" w:sz="4" w:space="0" w:color="auto"/>
              <w:right w:val="dotted" w:sz="4" w:space="0" w:color="auto"/>
            </w:tcBorders>
            <w:shd w:val="clear" w:color="auto" w:fill="FFF4CC"/>
          </w:tcPr>
          <w:p w14:paraId="683D31FC"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2</w:t>
            </w:r>
            <w:r>
              <w:rPr>
                <w:rStyle w:val="normaltextrun"/>
                <w:noProof/>
                <w:sz w:val="18"/>
                <w:szCs w:val="18"/>
              </w:rPr>
              <w:t>8</w:t>
            </w:r>
          </w:p>
        </w:tc>
        <w:tc>
          <w:tcPr>
            <w:tcW w:w="5244" w:type="dxa"/>
            <w:tcBorders>
              <w:top w:val="dotted" w:sz="4" w:space="0" w:color="auto"/>
              <w:left w:val="dotted" w:sz="4" w:space="0" w:color="auto"/>
              <w:bottom w:val="single" w:sz="4" w:space="0" w:color="auto"/>
              <w:right w:val="dotted" w:sz="4" w:space="0" w:color="auto"/>
            </w:tcBorders>
            <w:shd w:val="clear" w:color="auto" w:fill="FFF4CC"/>
          </w:tcPr>
          <w:p w14:paraId="0EB386F0" w14:textId="77777777" w:rsidR="000A7D9D" w:rsidRPr="00EC1412" w:rsidRDefault="000A7D9D" w:rsidP="00F31937">
            <w:pPr>
              <w:pStyle w:val="ListParagraph"/>
              <w:spacing w:before="10" w:after="10"/>
              <w:ind w:left="171" w:hanging="171"/>
              <w:jc w:val="both"/>
              <w:rPr>
                <w:rStyle w:val="normaltextrun"/>
                <w:noProof/>
                <w:sz w:val="18"/>
                <w:szCs w:val="18"/>
              </w:rPr>
            </w:pPr>
            <w:r w:rsidRPr="2D69C30E">
              <w:rPr>
                <w:rStyle w:val="normaltextrun"/>
                <w:noProof/>
                <w:sz w:val="18"/>
                <w:szCs w:val="18"/>
              </w:rPr>
              <w:t xml:space="preserve">   Observatory for specific chemicals with potential contribution to emerging chemical risks</w:t>
            </w:r>
          </w:p>
        </w:tc>
        <w:tc>
          <w:tcPr>
            <w:tcW w:w="2835" w:type="dxa"/>
            <w:tcBorders>
              <w:top w:val="dotted" w:sz="4" w:space="0" w:color="auto"/>
              <w:left w:val="dotted" w:sz="4" w:space="0" w:color="auto"/>
              <w:bottom w:val="single" w:sz="4" w:space="0" w:color="auto"/>
              <w:right w:val="dotted" w:sz="4" w:space="0" w:color="auto"/>
            </w:tcBorders>
            <w:shd w:val="clear" w:color="auto" w:fill="FFF4CC"/>
          </w:tcPr>
          <w:p w14:paraId="184C585E"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dotted" w:sz="4" w:space="0" w:color="auto"/>
              <w:left w:val="dotted" w:sz="4" w:space="0" w:color="auto"/>
              <w:bottom w:val="single" w:sz="4" w:space="0" w:color="auto"/>
              <w:right w:val="single" w:sz="8" w:space="0" w:color="auto"/>
            </w:tcBorders>
            <w:shd w:val="clear" w:color="auto" w:fill="FFF4CC"/>
          </w:tcPr>
          <w:p w14:paraId="43E6C3F2"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FE, EwE</w:t>
            </w:r>
          </w:p>
        </w:tc>
      </w:tr>
      <w:tr w:rsidR="000A7D9D" w:rsidRPr="00EC1412" w14:paraId="6E11BA02" w14:textId="77777777" w:rsidTr="00F31937">
        <w:tc>
          <w:tcPr>
            <w:tcW w:w="9639" w:type="dxa"/>
            <w:gridSpan w:val="4"/>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3DC861B" w14:textId="77777777" w:rsidR="000A7D9D" w:rsidRPr="00C91411" w:rsidRDefault="000A7D9D" w:rsidP="00F31937">
            <w:pPr>
              <w:pStyle w:val="ListParagraph"/>
              <w:spacing w:before="10" w:after="10"/>
              <w:ind w:left="0"/>
              <w:contextualSpacing w:val="0"/>
              <w:rPr>
                <w:rStyle w:val="normaltextrun"/>
                <w:b/>
                <w:noProof/>
                <w:sz w:val="18"/>
                <w:szCs w:val="18"/>
              </w:rPr>
            </w:pPr>
            <w:r w:rsidRPr="00C91411">
              <w:rPr>
                <w:rStyle w:val="normaltextrun"/>
                <w:noProof/>
                <w:sz w:val="18"/>
                <w:szCs w:val="18"/>
              </w:rPr>
              <w:t>Planned to be proposed by the Commission</w:t>
            </w:r>
          </w:p>
        </w:tc>
      </w:tr>
      <w:tr w:rsidR="000A7D9D" w:rsidRPr="00EC1412" w14:paraId="0356855C" w14:textId="77777777" w:rsidTr="00F31937">
        <w:tc>
          <w:tcPr>
            <w:tcW w:w="426" w:type="dxa"/>
            <w:tcBorders>
              <w:top w:val="single" w:sz="4" w:space="0" w:color="auto"/>
              <w:left w:val="single" w:sz="8" w:space="0" w:color="auto"/>
              <w:bottom w:val="dotted" w:sz="4" w:space="0" w:color="auto"/>
              <w:right w:val="dotted" w:sz="4" w:space="0" w:color="auto"/>
            </w:tcBorders>
            <w:shd w:val="clear" w:color="auto" w:fill="C1ECFF"/>
          </w:tcPr>
          <w:p w14:paraId="3919D6D6" w14:textId="77777777" w:rsidR="000A7D9D" w:rsidRPr="00EC1412" w:rsidRDefault="000A7D9D" w:rsidP="00F31937">
            <w:pPr>
              <w:pStyle w:val="ListParagraph"/>
              <w:spacing w:before="10" w:after="10"/>
              <w:ind w:left="0"/>
              <w:contextualSpacing w:val="0"/>
              <w:jc w:val="both"/>
              <w:rPr>
                <w:rStyle w:val="normaltextrun"/>
                <w:noProof/>
                <w:sz w:val="18"/>
                <w:szCs w:val="18"/>
              </w:rPr>
            </w:pPr>
          </w:p>
        </w:tc>
        <w:tc>
          <w:tcPr>
            <w:tcW w:w="5244" w:type="dxa"/>
            <w:tcBorders>
              <w:top w:val="single" w:sz="4" w:space="0" w:color="auto"/>
              <w:left w:val="dotted" w:sz="4" w:space="0" w:color="auto"/>
              <w:bottom w:val="dotted" w:sz="4" w:space="0" w:color="auto"/>
              <w:right w:val="dotted" w:sz="4" w:space="0" w:color="auto"/>
            </w:tcBorders>
            <w:shd w:val="clear" w:color="auto" w:fill="C1ECFF"/>
          </w:tcPr>
          <w:p w14:paraId="2F53B02D" w14:textId="77777777" w:rsidR="000A7D9D" w:rsidRPr="00EC1412" w:rsidRDefault="000A7D9D" w:rsidP="00F31937">
            <w:pPr>
              <w:pStyle w:val="ListParagraph"/>
              <w:spacing w:before="10" w:after="10"/>
              <w:ind w:left="0"/>
              <w:contextualSpacing w:val="0"/>
              <w:jc w:val="both"/>
              <w:rPr>
                <w:rStyle w:val="normaltextrun"/>
                <w:b/>
                <w:noProof/>
                <w:sz w:val="18"/>
                <w:szCs w:val="18"/>
              </w:rPr>
            </w:pPr>
            <w:r w:rsidRPr="00EC1412">
              <w:rPr>
                <w:rStyle w:val="normaltextrun"/>
                <w:noProof/>
                <w:sz w:val="18"/>
                <w:szCs w:val="18"/>
              </w:rPr>
              <w:t xml:space="preserve">Legislative proposal for </w:t>
            </w:r>
            <w:r>
              <w:rPr>
                <w:rStyle w:val="normaltextrun"/>
                <w:noProof/>
                <w:sz w:val="18"/>
                <w:szCs w:val="18"/>
              </w:rPr>
              <w:t xml:space="preserve">a regulation on </w:t>
            </w:r>
            <w:r w:rsidRPr="00EC1412">
              <w:rPr>
                <w:rStyle w:val="normaltextrun"/>
                <w:noProof/>
                <w:sz w:val="18"/>
                <w:szCs w:val="18"/>
              </w:rPr>
              <w:t>ECHA</w:t>
            </w:r>
          </w:p>
        </w:tc>
        <w:tc>
          <w:tcPr>
            <w:tcW w:w="2835" w:type="dxa"/>
            <w:tcBorders>
              <w:top w:val="single" w:sz="4" w:space="0" w:color="auto"/>
              <w:left w:val="dotted" w:sz="4" w:space="0" w:color="auto"/>
              <w:bottom w:val="dotted" w:sz="4" w:space="0" w:color="auto"/>
              <w:right w:val="dotted" w:sz="4" w:space="0" w:color="auto"/>
            </w:tcBorders>
            <w:shd w:val="clear" w:color="auto" w:fill="C1ECFF"/>
          </w:tcPr>
          <w:p w14:paraId="389A7F6C" w14:textId="77777777" w:rsidR="000A7D9D" w:rsidRPr="00EC1412" w:rsidRDefault="000A7D9D" w:rsidP="00F31937">
            <w:pPr>
              <w:pStyle w:val="ListParagraph"/>
              <w:spacing w:before="10" w:after="10"/>
              <w:ind w:left="0"/>
              <w:contextualSpacing w:val="0"/>
              <w:jc w:val="both"/>
              <w:rPr>
                <w:rStyle w:val="normaltextrun"/>
                <w:noProof/>
                <w:sz w:val="18"/>
                <w:szCs w:val="18"/>
              </w:rPr>
            </w:pPr>
          </w:p>
        </w:tc>
        <w:tc>
          <w:tcPr>
            <w:tcW w:w="1134" w:type="dxa"/>
            <w:tcBorders>
              <w:top w:val="single" w:sz="4" w:space="0" w:color="auto"/>
              <w:left w:val="dotted" w:sz="4" w:space="0" w:color="auto"/>
              <w:bottom w:val="dotted" w:sz="4" w:space="0" w:color="auto"/>
              <w:right w:val="single" w:sz="8" w:space="0" w:color="auto"/>
            </w:tcBorders>
            <w:shd w:val="clear" w:color="auto" w:fill="C1ECFF"/>
          </w:tcPr>
          <w:p w14:paraId="1A171A3E" w14:textId="77777777" w:rsidR="000A7D9D" w:rsidRPr="00EC1412" w:rsidRDefault="000A7D9D" w:rsidP="00F31937">
            <w:pPr>
              <w:pStyle w:val="ListParagraph"/>
              <w:spacing w:before="10" w:after="10"/>
              <w:ind w:left="0"/>
              <w:contextualSpacing w:val="0"/>
              <w:jc w:val="center"/>
              <w:rPr>
                <w:rStyle w:val="normaltextrun"/>
                <w:noProof/>
                <w:sz w:val="18"/>
                <w:szCs w:val="18"/>
              </w:rPr>
            </w:pPr>
          </w:p>
        </w:tc>
      </w:tr>
      <w:tr w:rsidR="000A7D9D" w:rsidRPr="00EC1412" w14:paraId="287A2158" w14:textId="77777777" w:rsidTr="00F31937">
        <w:tc>
          <w:tcPr>
            <w:tcW w:w="426" w:type="dxa"/>
            <w:tcBorders>
              <w:top w:val="dotted" w:sz="4" w:space="0" w:color="auto"/>
              <w:left w:val="single" w:sz="8" w:space="0" w:color="auto"/>
              <w:bottom w:val="dotted" w:sz="4" w:space="0" w:color="auto"/>
              <w:right w:val="dotted" w:sz="4" w:space="0" w:color="auto"/>
            </w:tcBorders>
            <w:shd w:val="clear" w:color="auto" w:fill="C1ECFF"/>
          </w:tcPr>
          <w:p w14:paraId="2946BCD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2</w:t>
            </w:r>
            <w:r>
              <w:rPr>
                <w:rStyle w:val="normaltextrun"/>
                <w:noProof/>
                <w:sz w:val="18"/>
                <w:szCs w:val="18"/>
              </w:rPr>
              <w:t>9</w:t>
            </w:r>
          </w:p>
        </w:tc>
        <w:tc>
          <w:tcPr>
            <w:tcW w:w="5244" w:type="dxa"/>
            <w:tcBorders>
              <w:top w:val="dotted" w:sz="4" w:space="0" w:color="auto"/>
              <w:left w:val="dotted" w:sz="4" w:space="0" w:color="auto"/>
              <w:bottom w:val="dotted" w:sz="4" w:space="0" w:color="auto"/>
              <w:right w:val="dotted" w:sz="4" w:space="0" w:color="auto"/>
            </w:tcBorders>
            <w:shd w:val="clear" w:color="auto" w:fill="C1ECFF"/>
          </w:tcPr>
          <w:p w14:paraId="19C65FB7"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   Cooperation of ECHA with other EU agencies</w:t>
            </w:r>
          </w:p>
        </w:tc>
        <w:tc>
          <w:tcPr>
            <w:tcW w:w="2835" w:type="dxa"/>
            <w:tcBorders>
              <w:top w:val="dotted" w:sz="4" w:space="0" w:color="auto"/>
              <w:left w:val="dotted" w:sz="4" w:space="0" w:color="auto"/>
              <w:bottom w:val="dotted" w:sz="4" w:space="0" w:color="auto"/>
              <w:right w:val="dotted" w:sz="4" w:space="0" w:color="auto"/>
            </w:tcBorders>
            <w:shd w:val="clear" w:color="auto" w:fill="C1ECFF"/>
          </w:tcPr>
          <w:p w14:paraId="6A52B563"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dotted" w:sz="4" w:space="0" w:color="auto"/>
              <w:left w:val="dotted" w:sz="4" w:space="0" w:color="auto"/>
              <w:bottom w:val="dotted" w:sz="4" w:space="0" w:color="auto"/>
              <w:right w:val="single" w:sz="8" w:space="0" w:color="auto"/>
            </w:tcBorders>
            <w:shd w:val="clear" w:color="auto" w:fill="C1ECFF"/>
          </w:tcPr>
          <w:p w14:paraId="020582DE" w14:textId="77777777" w:rsidR="000A7D9D" w:rsidRPr="00EC1412" w:rsidRDefault="000A7D9D" w:rsidP="00F31937">
            <w:pPr>
              <w:pStyle w:val="ListParagraph"/>
              <w:spacing w:before="10" w:after="10"/>
              <w:ind w:left="0"/>
              <w:contextualSpacing w:val="0"/>
              <w:jc w:val="center"/>
              <w:rPr>
                <w:rStyle w:val="normaltextrun"/>
                <w:noProof/>
                <w:sz w:val="18"/>
                <w:szCs w:val="18"/>
              </w:rPr>
            </w:pPr>
            <w:r>
              <w:rPr>
                <w:rStyle w:val="normaltextrun"/>
                <w:noProof/>
                <w:sz w:val="18"/>
                <w:szCs w:val="18"/>
              </w:rPr>
              <w:t>FE</w:t>
            </w:r>
          </w:p>
        </w:tc>
      </w:tr>
      <w:tr w:rsidR="000A7D9D" w:rsidRPr="00EC1412" w14:paraId="60157FD6" w14:textId="77777777" w:rsidTr="00F31937">
        <w:tc>
          <w:tcPr>
            <w:tcW w:w="426" w:type="dxa"/>
            <w:tcBorders>
              <w:top w:val="dotted" w:sz="4" w:space="0" w:color="auto"/>
              <w:left w:val="single" w:sz="8" w:space="0" w:color="auto"/>
              <w:bottom w:val="single" w:sz="4" w:space="0" w:color="auto"/>
              <w:right w:val="dotted" w:sz="4" w:space="0" w:color="auto"/>
            </w:tcBorders>
            <w:shd w:val="clear" w:color="auto" w:fill="C1ECFF"/>
          </w:tcPr>
          <w:p w14:paraId="705DE444" w14:textId="77777777" w:rsidR="000A7D9D" w:rsidRPr="00EC1412" w:rsidRDefault="000A7D9D" w:rsidP="00F31937">
            <w:pPr>
              <w:pStyle w:val="ListParagraph"/>
              <w:spacing w:before="10" w:after="10"/>
              <w:ind w:left="0"/>
              <w:contextualSpacing w:val="0"/>
              <w:jc w:val="both"/>
              <w:rPr>
                <w:rStyle w:val="normaltextrun"/>
                <w:noProof/>
                <w:sz w:val="18"/>
                <w:szCs w:val="18"/>
              </w:rPr>
            </w:pPr>
            <w:r>
              <w:rPr>
                <w:rStyle w:val="normaltextrun"/>
                <w:noProof/>
                <w:sz w:val="18"/>
                <w:szCs w:val="18"/>
              </w:rPr>
              <w:t>30</w:t>
            </w:r>
          </w:p>
        </w:tc>
        <w:tc>
          <w:tcPr>
            <w:tcW w:w="5244" w:type="dxa"/>
            <w:tcBorders>
              <w:top w:val="dotted" w:sz="4" w:space="0" w:color="auto"/>
              <w:left w:val="dotted" w:sz="4" w:space="0" w:color="auto"/>
              <w:bottom w:val="single" w:sz="4" w:space="0" w:color="auto"/>
              <w:right w:val="dotted" w:sz="4" w:space="0" w:color="auto"/>
            </w:tcBorders>
            <w:shd w:val="clear" w:color="auto" w:fill="C1ECFF"/>
          </w:tcPr>
          <w:p w14:paraId="5D0AF77E" w14:textId="77777777" w:rsidR="000A7D9D" w:rsidRPr="00EC1412" w:rsidRDefault="000A7D9D" w:rsidP="00F31937">
            <w:pPr>
              <w:pStyle w:val="ListParagraph"/>
              <w:spacing w:before="10" w:after="10"/>
              <w:ind w:left="0"/>
              <w:contextualSpacing w:val="0"/>
              <w:jc w:val="both"/>
              <w:rPr>
                <w:rStyle w:val="normaltextrun"/>
                <w:noProof/>
                <w:sz w:val="18"/>
                <w:szCs w:val="18"/>
                <w:lang w:val="fr-BE"/>
              </w:rPr>
            </w:pPr>
            <w:r w:rsidRPr="00EC1412">
              <w:rPr>
                <w:noProof/>
                <w:sz w:val="18"/>
                <w:szCs w:val="18"/>
                <w:lang w:val="fr-BE"/>
              </w:rPr>
              <w:t xml:space="preserve">   Scientific opinions on occupational exposure limits</w:t>
            </w:r>
          </w:p>
        </w:tc>
        <w:tc>
          <w:tcPr>
            <w:tcW w:w="2835" w:type="dxa"/>
            <w:tcBorders>
              <w:top w:val="dotted" w:sz="4" w:space="0" w:color="auto"/>
              <w:left w:val="dotted" w:sz="4" w:space="0" w:color="auto"/>
              <w:bottom w:val="single" w:sz="4" w:space="0" w:color="auto"/>
              <w:right w:val="dotted" w:sz="4" w:space="0" w:color="auto"/>
            </w:tcBorders>
            <w:shd w:val="clear" w:color="auto" w:fill="C1ECFF"/>
          </w:tcPr>
          <w:p w14:paraId="08C5811B"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dotted" w:sz="4" w:space="0" w:color="auto"/>
              <w:left w:val="dotted" w:sz="4" w:space="0" w:color="auto"/>
              <w:bottom w:val="single" w:sz="4" w:space="0" w:color="auto"/>
              <w:right w:val="single" w:sz="8" w:space="0" w:color="auto"/>
            </w:tcBorders>
            <w:shd w:val="clear" w:color="auto" w:fill="C1ECFF"/>
          </w:tcPr>
          <w:p w14:paraId="1BF6A49B" w14:textId="77777777" w:rsidR="000A7D9D" w:rsidRPr="00EC1412" w:rsidRDefault="000A7D9D" w:rsidP="00F31937">
            <w:pPr>
              <w:pStyle w:val="ListParagraph"/>
              <w:spacing w:before="10" w:after="10"/>
              <w:ind w:left="0"/>
              <w:contextualSpacing w:val="0"/>
              <w:jc w:val="center"/>
              <w:rPr>
                <w:rStyle w:val="normaltextrun"/>
                <w:noProof/>
                <w:sz w:val="18"/>
                <w:szCs w:val="18"/>
              </w:rPr>
            </w:pPr>
            <w:r>
              <w:rPr>
                <w:rStyle w:val="normaltextrun"/>
                <w:noProof/>
                <w:sz w:val="18"/>
                <w:szCs w:val="18"/>
              </w:rPr>
              <w:t>FE</w:t>
            </w:r>
          </w:p>
        </w:tc>
      </w:tr>
      <w:tr w:rsidR="000A7D9D" w:rsidRPr="00EC1412" w14:paraId="01CFEC86" w14:textId="77777777" w:rsidTr="00F31937">
        <w:tc>
          <w:tcPr>
            <w:tcW w:w="426" w:type="dxa"/>
            <w:tcBorders>
              <w:left w:val="single" w:sz="8" w:space="0" w:color="auto"/>
              <w:bottom w:val="single" w:sz="4" w:space="0" w:color="auto"/>
              <w:right w:val="dotted" w:sz="4" w:space="0" w:color="auto"/>
            </w:tcBorders>
            <w:shd w:val="clear" w:color="auto" w:fill="FFF4CC"/>
          </w:tcPr>
          <w:p w14:paraId="33D6110E" w14:textId="77777777" w:rsidR="000A7D9D" w:rsidRPr="00EC1412" w:rsidRDefault="000A7D9D" w:rsidP="00F31937">
            <w:pPr>
              <w:pStyle w:val="ListParagraph"/>
              <w:spacing w:before="10" w:after="10"/>
              <w:ind w:left="0"/>
              <w:contextualSpacing w:val="0"/>
              <w:jc w:val="both"/>
              <w:rPr>
                <w:rStyle w:val="normaltextrun"/>
                <w:noProof/>
                <w:sz w:val="18"/>
                <w:szCs w:val="18"/>
              </w:rPr>
            </w:pPr>
            <w:r>
              <w:rPr>
                <w:rStyle w:val="normaltextrun"/>
                <w:noProof/>
                <w:sz w:val="18"/>
                <w:szCs w:val="18"/>
              </w:rPr>
              <w:t>31</w:t>
            </w:r>
          </w:p>
        </w:tc>
        <w:tc>
          <w:tcPr>
            <w:tcW w:w="5244" w:type="dxa"/>
            <w:tcBorders>
              <w:left w:val="dotted" w:sz="4" w:space="0" w:color="auto"/>
              <w:bottom w:val="single" w:sz="4" w:space="0" w:color="auto"/>
              <w:right w:val="dotted" w:sz="4" w:space="0" w:color="auto"/>
            </w:tcBorders>
            <w:shd w:val="clear" w:color="auto" w:fill="FFF4CC"/>
          </w:tcPr>
          <w:p w14:paraId="36591789"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REACH regulation</w:t>
            </w:r>
          </w:p>
        </w:tc>
        <w:tc>
          <w:tcPr>
            <w:tcW w:w="2835" w:type="dxa"/>
            <w:tcBorders>
              <w:left w:val="dotted" w:sz="4" w:space="0" w:color="auto"/>
              <w:bottom w:val="single" w:sz="4" w:space="0" w:color="auto"/>
              <w:right w:val="dotted" w:sz="4" w:space="0" w:color="auto"/>
            </w:tcBorders>
            <w:shd w:val="clear" w:color="auto" w:fill="FFF4CC"/>
          </w:tcPr>
          <w:p w14:paraId="12E8A742"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left w:val="dotted" w:sz="4" w:space="0" w:color="auto"/>
              <w:bottom w:val="single" w:sz="4" w:space="0" w:color="auto"/>
              <w:right w:val="single" w:sz="8" w:space="0" w:color="auto"/>
            </w:tcBorders>
            <w:shd w:val="clear" w:color="auto" w:fill="FFF4CC"/>
          </w:tcPr>
          <w:p w14:paraId="02654335"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EwE</w:t>
            </w:r>
          </w:p>
        </w:tc>
      </w:tr>
      <w:tr w:rsidR="000A7D9D" w:rsidRPr="00EC1412" w14:paraId="6A6A7C80"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C1ECFF"/>
          </w:tcPr>
          <w:p w14:paraId="20B180DD"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3</w:t>
            </w:r>
            <w:r>
              <w:rPr>
                <w:rStyle w:val="normaltextrun"/>
                <w:noProof/>
                <w:sz w:val="18"/>
                <w:szCs w:val="18"/>
              </w:rPr>
              <w:t>2</w:t>
            </w:r>
          </w:p>
        </w:tc>
        <w:tc>
          <w:tcPr>
            <w:tcW w:w="5244" w:type="dxa"/>
            <w:tcBorders>
              <w:top w:val="single" w:sz="4" w:space="0" w:color="auto"/>
              <w:left w:val="dotted" w:sz="4" w:space="0" w:color="auto"/>
              <w:bottom w:val="single" w:sz="4" w:space="0" w:color="auto"/>
              <w:right w:val="dotted" w:sz="4" w:space="0" w:color="auto"/>
            </w:tcBorders>
            <w:shd w:val="clear" w:color="auto" w:fill="C1ECFF"/>
          </w:tcPr>
          <w:p w14:paraId="54A960E4"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Cosmetic products regulation </w:t>
            </w:r>
          </w:p>
        </w:tc>
        <w:tc>
          <w:tcPr>
            <w:tcW w:w="2835" w:type="dxa"/>
            <w:tcBorders>
              <w:top w:val="single" w:sz="4" w:space="0" w:color="auto"/>
              <w:left w:val="dotted" w:sz="4" w:space="0" w:color="auto"/>
              <w:bottom w:val="single" w:sz="4" w:space="0" w:color="auto"/>
              <w:right w:val="dotted" w:sz="4" w:space="0" w:color="auto"/>
            </w:tcBorders>
            <w:shd w:val="clear" w:color="auto" w:fill="C1ECFF"/>
          </w:tcPr>
          <w:p w14:paraId="00F6EF63"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ECHA</w:t>
            </w:r>
          </w:p>
        </w:tc>
        <w:tc>
          <w:tcPr>
            <w:tcW w:w="1134" w:type="dxa"/>
            <w:tcBorders>
              <w:top w:val="single" w:sz="4" w:space="0" w:color="auto"/>
              <w:left w:val="dotted" w:sz="4" w:space="0" w:color="auto"/>
              <w:bottom w:val="single" w:sz="4" w:space="0" w:color="auto"/>
              <w:right w:val="single" w:sz="8" w:space="0" w:color="auto"/>
            </w:tcBorders>
            <w:shd w:val="clear" w:color="auto" w:fill="C1ECFF"/>
          </w:tcPr>
          <w:p w14:paraId="1C4A534D"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t>
            </w:r>
          </w:p>
        </w:tc>
      </w:tr>
      <w:tr w:rsidR="000A7D9D" w:rsidRPr="00EC1412" w14:paraId="001A97AF"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FFF4CC"/>
          </w:tcPr>
          <w:p w14:paraId="1237237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3</w:t>
            </w:r>
            <w:r>
              <w:rPr>
                <w:rStyle w:val="normaltextrun"/>
                <w:noProof/>
                <w:sz w:val="18"/>
                <w:szCs w:val="18"/>
              </w:rPr>
              <w:t>3</w:t>
            </w:r>
          </w:p>
        </w:tc>
        <w:tc>
          <w:tcPr>
            <w:tcW w:w="5244" w:type="dxa"/>
            <w:tcBorders>
              <w:top w:val="single" w:sz="4" w:space="0" w:color="auto"/>
              <w:left w:val="dotted" w:sz="4" w:space="0" w:color="auto"/>
              <w:bottom w:val="single" w:sz="4" w:space="0" w:color="auto"/>
              <w:right w:val="dotted" w:sz="4" w:space="0" w:color="auto"/>
            </w:tcBorders>
            <w:shd w:val="clear" w:color="auto" w:fill="FFF4CC"/>
          </w:tcPr>
          <w:p w14:paraId="6857554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Scientific advice of SCHEER on non-chemical topics</w:t>
            </w:r>
          </w:p>
        </w:tc>
        <w:tc>
          <w:tcPr>
            <w:tcW w:w="2835" w:type="dxa"/>
            <w:tcBorders>
              <w:top w:val="single" w:sz="4" w:space="0" w:color="auto"/>
              <w:left w:val="dotted" w:sz="4" w:space="0" w:color="auto"/>
              <w:bottom w:val="single" w:sz="4" w:space="0" w:color="auto"/>
              <w:right w:val="dotted" w:sz="4" w:space="0" w:color="auto"/>
            </w:tcBorders>
            <w:shd w:val="clear" w:color="auto" w:fill="FFF4CC"/>
          </w:tcPr>
          <w:p w14:paraId="796E8915"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SAM</w:t>
            </w:r>
          </w:p>
        </w:tc>
        <w:tc>
          <w:tcPr>
            <w:tcW w:w="1134" w:type="dxa"/>
            <w:tcBorders>
              <w:top w:val="single" w:sz="4" w:space="0" w:color="auto"/>
              <w:left w:val="dotted" w:sz="4" w:space="0" w:color="auto"/>
              <w:bottom w:val="single" w:sz="4" w:space="0" w:color="auto"/>
              <w:right w:val="single" w:sz="8" w:space="0" w:color="auto"/>
            </w:tcBorders>
            <w:shd w:val="clear" w:color="auto" w:fill="FFF4CC"/>
          </w:tcPr>
          <w:p w14:paraId="208DEF1B"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RE</w:t>
            </w:r>
          </w:p>
        </w:tc>
      </w:tr>
      <w:tr w:rsidR="000A7D9D" w:rsidRPr="00EC1412" w14:paraId="0BE4DD16" w14:textId="77777777" w:rsidTr="00F31937">
        <w:tc>
          <w:tcPr>
            <w:tcW w:w="5670" w:type="dxa"/>
            <w:gridSpan w:val="2"/>
            <w:tcBorders>
              <w:top w:val="single" w:sz="4" w:space="0" w:color="auto"/>
              <w:left w:val="single" w:sz="8" w:space="0" w:color="auto"/>
              <w:bottom w:val="single" w:sz="4" w:space="0" w:color="auto"/>
              <w:right w:val="dotted" w:sz="4" w:space="0" w:color="auto"/>
            </w:tcBorders>
            <w:shd w:val="clear" w:color="auto" w:fill="BFBFBF" w:themeFill="background1" w:themeFillShade="BF"/>
          </w:tcPr>
          <w:p w14:paraId="1739C2E2" w14:textId="77777777" w:rsidR="000A7D9D" w:rsidRPr="00EC1412" w:rsidRDefault="000A7D9D" w:rsidP="00F31937">
            <w:pPr>
              <w:pStyle w:val="ListParagraph"/>
              <w:spacing w:before="10" w:after="10"/>
              <w:ind w:left="0"/>
              <w:contextualSpacing w:val="0"/>
              <w:jc w:val="both"/>
              <w:rPr>
                <w:rStyle w:val="normaltextrun"/>
                <w:b/>
                <w:noProof/>
                <w:sz w:val="18"/>
                <w:szCs w:val="18"/>
              </w:rPr>
            </w:pPr>
            <w:r w:rsidRPr="00EC1412">
              <w:rPr>
                <w:rStyle w:val="normaltextrun"/>
                <w:noProof/>
                <w:sz w:val="18"/>
                <w:szCs w:val="18"/>
              </w:rPr>
              <w:t>Tasks attribution considered</w:t>
            </w:r>
          </w:p>
        </w:tc>
        <w:tc>
          <w:tcPr>
            <w:tcW w:w="2835" w:type="dxa"/>
            <w:tcBorders>
              <w:top w:val="single" w:sz="4" w:space="0" w:color="auto"/>
              <w:left w:val="dotted" w:sz="4" w:space="0" w:color="auto"/>
              <w:bottom w:val="single" w:sz="4" w:space="0" w:color="auto"/>
              <w:right w:val="dotted" w:sz="4" w:space="0" w:color="auto"/>
            </w:tcBorders>
            <w:shd w:val="clear" w:color="auto" w:fill="BFBFBF" w:themeFill="background1" w:themeFillShade="BF"/>
          </w:tcPr>
          <w:p w14:paraId="1DF61552" w14:textId="77777777" w:rsidR="000A7D9D" w:rsidRPr="00EC1412" w:rsidRDefault="000A7D9D" w:rsidP="00F31937">
            <w:pPr>
              <w:pStyle w:val="ListParagraph"/>
              <w:spacing w:before="10" w:after="10"/>
              <w:ind w:left="0"/>
              <w:contextualSpacing w:val="0"/>
              <w:jc w:val="both"/>
              <w:rPr>
                <w:rStyle w:val="normaltextrun"/>
                <w:b/>
                <w:noProof/>
                <w:sz w:val="18"/>
                <w:szCs w:val="18"/>
              </w:rPr>
            </w:pPr>
          </w:p>
        </w:tc>
        <w:tc>
          <w:tcPr>
            <w:tcW w:w="1134" w:type="dxa"/>
            <w:tcBorders>
              <w:top w:val="single" w:sz="4" w:space="0" w:color="auto"/>
              <w:left w:val="dotted" w:sz="4" w:space="0" w:color="auto"/>
              <w:bottom w:val="single" w:sz="4" w:space="0" w:color="auto"/>
              <w:right w:val="single" w:sz="8" w:space="0" w:color="auto"/>
            </w:tcBorders>
            <w:shd w:val="clear" w:color="auto" w:fill="BFBFBF" w:themeFill="background1" w:themeFillShade="BF"/>
          </w:tcPr>
          <w:p w14:paraId="049CBBFF" w14:textId="77777777" w:rsidR="000A7D9D" w:rsidRPr="00EC1412" w:rsidRDefault="000A7D9D" w:rsidP="00F31937">
            <w:pPr>
              <w:pStyle w:val="ListParagraph"/>
              <w:spacing w:before="10" w:after="10"/>
              <w:ind w:left="0"/>
              <w:contextualSpacing w:val="0"/>
              <w:jc w:val="center"/>
              <w:rPr>
                <w:rStyle w:val="normaltextrun"/>
                <w:b/>
                <w:noProof/>
                <w:sz w:val="18"/>
                <w:szCs w:val="18"/>
              </w:rPr>
            </w:pPr>
          </w:p>
        </w:tc>
      </w:tr>
      <w:tr w:rsidR="000A7D9D" w:rsidRPr="00EC1412" w14:paraId="5B8C31E5"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C1ECFF"/>
          </w:tcPr>
          <w:p w14:paraId="6602585A"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3</w:t>
            </w:r>
            <w:r>
              <w:rPr>
                <w:rStyle w:val="normaltextrun"/>
                <w:noProof/>
                <w:sz w:val="18"/>
                <w:szCs w:val="18"/>
              </w:rPr>
              <w:t>4</w:t>
            </w:r>
          </w:p>
        </w:tc>
        <w:tc>
          <w:tcPr>
            <w:tcW w:w="5244" w:type="dxa"/>
            <w:tcBorders>
              <w:top w:val="single" w:sz="4" w:space="0" w:color="auto"/>
              <w:left w:val="dotted" w:sz="4" w:space="0" w:color="auto"/>
              <w:bottom w:val="single" w:sz="4" w:space="0" w:color="auto"/>
              <w:right w:val="dotted" w:sz="4" w:space="0" w:color="auto"/>
            </w:tcBorders>
            <w:shd w:val="clear" w:color="auto" w:fill="C1ECFF"/>
          </w:tcPr>
          <w:p w14:paraId="030459DA"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Sustainable product regulation </w:t>
            </w:r>
          </w:p>
        </w:tc>
        <w:tc>
          <w:tcPr>
            <w:tcW w:w="2835" w:type="dxa"/>
            <w:tcBorders>
              <w:top w:val="single" w:sz="4" w:space="0" w:color="auto"/>
              <w:left w:val="dotted" w:sz="4" w:space="0" w:color="auto"/>
              <w:bottom w:val="single" w:sz="4" w:space="0" w:color="auto"/>
              <w:right w:val="dotted" w:sz="4" w:space="0" w:color="auto"/>
            </w:tcBorders>
            <w:shd w:val="clear" w:color="auto" w:fill="C1ECFF"/>
          </w:tcPr>
          <w:p w14:paraId="58F7BBE9"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w:t>
            </w:r>
          </w:p>
        </w:tc>
        <w:tc>
          <w:tcPr>
            <w:tcW w:w="1134" w:type="dxa"/>
            <w:tcBorders>
              <w:top w:val="single" w:sz="4" w:space="0" w:color="auto"/>
              <w:left w:val="dotted" w:sz="4" w:space="0" w:color="auto"/>
              <w:bottom w:val="single" w:sz="4" w:space="0" w:color="auto"/>
              <w:right w:val="single" w:sz="8" w:space="0" w:color="auto"/>
            </w:tcBorders>
            <w:shd w:val="clear" w:color="auto" w:fill="C1ECFF"/>
          </w:tcPr>
          <w:p w14:paraId="32F0D0EF"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w:t>
            </w:r>
          </w:p>
        </w:tc>
      </w:tr>
      <w:tr w:rsidR="000A7D9D" w:rsidRPr="00EC1412" w14:paraId="0C156848" w14:textId="77777777" w:rsidTr="00F31937">
        <w:tc>
          <w:tcPr>
            <w:tcW w:w="426" w:type="dxa"/>
            <w:tcBorders>
              <w:top w:val="single" w:sz="4" w:space="0" w:color="auto"/>
              <w:left w:val="single" w:sz="8" w:space="0" w:color="auto"/>
              <w:bottom w:val="single" w:sz="4" w:space="0" w:color="auto"/>
              <w:right w:val="dotted" w:sz="4" w:space="0" w:color="auto"/>
            </w:tcBorders>
            <w:shd w:val="clear" w:color="auto" w:fill="FFF4CC"/>
          </w:tcPr>
          <w:p w14:paraId="2C630C90"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3</w:t>
            </w:r>
            <w:r>
              <w:rPr>
                <w:rStyle w:val="normaltextrun"/>
                <w:noProof/>
                <w:sz w:val="18"/>
                <w:szCs w:val="18"/>
              </w:rPr>
              <w:t>5</w:t>
            </w:r>
          </w:p>
        </w:tc>
        <w:tc>
          <w:tcPr>
            <w:tcW w:w="5244" w:type="dxa"/>
            <w:tcBorders>
              <w:top w:val="single" w:sz="4" w:space="0" w:color="auto"/>
              <w:left w:val="dotted" w:sz="4" w:space="0" w:color="auto"/>
              <w:bottom w:val="single" w:sz="4" w:space="0" w:color="auto"/>
              <w:right w:val="dotted" w:sz="4" w:space="0" w:color="auto"/>
            </w:tcBorders>
            <w:shd w:val="clear" w:color="auto" w:fill="FFF4CC"/>
          </w:tcPr>
          <w:p w14:paraId="6EE5B924"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 xml:space="preserve">Tobacco </w:t>
            </w:r>
            <w:r>
              <w:rPr>
                <w:rStyle w:val="normaltextrun"/>
                <w:noProof/>
                <w:sz w:val="18"/>
                <w:szCs w:val="18"/>
              </w:rPr>
              <w:t xml:space="preserve">products </w:t>
            </w:r>
            <w:r w:rsidRPr="00EC1412">
              <w:rPr>
                <w:rStyle w:val="normaltextrun"/>
                <w:noProof/>
                <w:sz w:val="18"/>
                <w:szCs w:val="18"/>
              </w:rPr>
              <w:t>directive</w:t>
            </w:r>
          </w:p>
        </w:tc>
        <w:tc>
          <w:tcPr>
            <w:tcW w:w="2835" w:type="dxa"/>
            <w:tcBorders>
              <w:top w:val="single" w:sz="4" w:space="0" w:color="auto"/>
              <w:left w:val="dotted" w:sz="4" w:space="0" w:color="auto"/>
              <w:bottom w:val="single" w:sz="4" w:space="0" w:color="auto"/>
              <w:right w:val="dotted" w:sz="4" w:space="0" w:color="auto"/>
            </w:tcBorders>
            <w:shd w:val="clear" w:color="auto" w:fill="FFF4CC"/>
          </w:tcPr>
          <w:p w14:paraId="7DFC893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w:t>
            </w:r>
          </w:p>
        </w:tc>
        <w:tc>
          <w:tcPr>
            <w:tcW w:w="1134" w:type="dxa"/>
            <w:tcBorders>
              <w:top w:val="single" w:sz="4" w:space="0" w:color="auto"/>
              <w:left w:val="dotted" w:sz="4" w:space="0" w:color="auto"/>
              <w:bottom w:val="single" w:sz="4" w:space="0" w:color="auto"/>
              <w:right w:val="single" w:sz="8" w:space="0" w:color="auto"/>
            </w:tcBorders>
            <w:shd w:val="clear" w:color="auto" w:fill="FFF4CC"/>
          </w:tcPr>
          <w:p w14:paraId="5C282B63"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w:t>
            </w:r>
          </w:p>
        </w:tc>
      </w:tr>
      <w:tr w:rsidR="000A7D9D" w:rsidRPr="00EC1412" w14:paraId="38CA0DE8" w14:textId="77777777" w:rsidTr="00F31937">
        <w:tc>
          <w:tcPr>
            <w:tcW w:w="426" w:type="dxa"/>
            <w:tcBorders>
              <w:top w:val="single" w:sz="4" w:space="0" w:color="auto"/>
              <w:left w:val="single" w:sz="8" w:space="0" w:color="auto"/>
              <w:bottom w:val="single" w:sz="8" w:space="0" w:color="auto"/>
              <w:right w:val="dotted" w:sz="4" w:space="0" w:color="auto"/>
            </w:tcBorders>
            <w:shd w:val="clear" w:color="auto" w:fill="C1ECFF"/>
          </w:tcPr>
          <w:p w14:paraId="2C4E5A8A"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3</w:t>
            </w:r>
            <w:r>
              <w:rPr>
                <w:rStyle w:val="normaltextrun"/>
                <w:noProof/>
                <w:sz w:val="18"/>
                <w:szCs w:val="18"/>
              </w:rPr>
              <w:t>6</w:t>
            </w:r>
          </w:p>
        </w:tc>
        <w:tc>
          <w:tcPr>
            <w:tcW w:w="5244" w:type="dxa"/>
            <w:tcBorders>
              <w:top w:val="single" w:sz="4" w:space="0" w:color="auto"/>
              <w:left w:val="dotted" w:sz="4" w:space="0" w:color="auto"/>
              <w:bottom w:val="single" w:sz="8" w:space="0" w:color="auto"/>
              <w:right w:val="dotted" w:sz="4" w:space="0" w:color="auto"/>
            </w:tcBorders>
            <w:shd w:val="clear" w:color="auto" w:fill="C1ECFF"/>
          </w:tcPr>
          <w:p w14:paraId="54F42571" w14:textId="77777777" w:rsidR="000A7D9D" w:rsidRPr="00EC1412" w:rsidRDefault="000A7D9D" w:rsidP="00F31937">
            <w:pPr>
              <w:pStyle w:val="ListParagraph"/>
              <w:spacing w:before="10" w:after="10"/>
              <w:ind w:left="0"/>
              <w:contextualSpacing w:val="0"/>
              <w:jc w:val="both"/>
              <w:rPr>
                <w:rStyle w:val="normaltextrun"/>
                <w:noProof/>
                <w:sz w:val="18"/>
                <w:szCs w:val="18"/>
              </w:rPr>
            </w:pPr>
            <w:r>
              <w:rPr>
                <w:rStyle w:val="normaltextrun"/>
                <w:noProof/>
                <w:sz w:val="18"/>
                <w:szCs w:val="18"/>
              </w:rPr>
              <w:t>Regulation on f</w:t>
            </w:r>
            <w:r w:rsidRPr="00EC1412">
              <w:rPr>
                <w:rStyle w:val="normaltextrun"/>
                <w:noProof/>
                <w:sz w:val="18"/>
                <w:szCs w:val="18"/>
              </w:rPr>
              <w:t xml:space="preserve">luorinated greenhouse gases </w:t>
            </w:r>
            <w:r w:rsidRPr="00FF3BB8">
              <w:rPr>
                <w:rStyle w:val="normaltextrun"/>
                <w:noProof/>
                <w:sz w:val="18"/>
                <w:szCs w:val="18"/>
              </w:rPr>
              <w:t>and Regulation on ozone depleting substances</w:t>
            </w:r>
          </w:p>
        </w:tc>
        <w:tc>
          <w:tcPr>
            <w:tcW w:w="2835" w:type="dxa"/>
            <w:tcBorders>
              <w:top w:val="single" w:sz="4" w:space="0" w:color="auto"/>
              <w:left w:val="dotted" w:sz="4" w:space="0" w:color="auto"/>
              <w:bottom w:val="single" w:sz="8" w:space="0" w:color="auto"/>
              <w:right w:val="dotted" w:sz="4" w:space="0" w:color="auto"/>
            </w:tcBorders>
            <w:shd w:val="clear" w:color="auto" w:fill="C1ECFF"/>
          </w:tcPr>
          <w:p w14:paraId="354D3A91" w14:textId="77777777" w:rsidR="000A7D9D" w:rsidRPr="00EC1412" w:rsidRDefault="000A7D9D" w:rsidP="00F31937">
            <w:pPr>
              <w:pStyle w:val="ListParagraph"/>
              <w:spacing w:before="10" w:after="10"/>
              <w:ind w:left="0"/>
              <w:contextualSpacing w:val="0"/>
              <w:jc w:val="both"/>
              <w:rPr>
                <w:rStyle w:val="normaltextrun"/>
                <w:noProof/>
                <w:sz w:val="18"/>
                <w:szCs w:val="18"/>
              </w:rPr>
            </w:pPr>
            <w:r w:rsidRPr="00EC1412">
              <w:rPr>
                <w:rStyle w:val="normaltextrun"/>
                <w:noProof/>
                <w:sz w:val="18"/>
                <w:szCs w:val="18"/>
              </w:rPr>
              <w:t>-</w:t>
            </w:r>
          </w:p>
        </w:tc>
        <w:tc>
          <w:tcPr>
            <w:tcW w:w="1134" w:type="dxa"/>
            <w:tcBorders>
              <w:top w:val="single" w:sz="4" w:space="0" w:color="auto"/>
              <w:left w:val="dotted" w:sz="4" w:space="0" w:color="auto"/>
              <w:bottom w:val="single" w:sz="8" w:space="0" w:color="auto"/>
              <w:right w:val="single" w:sz="8" w:space="0" w:color="auto"/>
            </w:tcBorders>
            <w:shd w:val="clear" w:color="auto" w:fill="C1ECFF"/>
          </w:tcPr>
          <w:p w14:paraId="6ECC9055" w14:textId="77777777" w:rsidR="000A7D9D" w:rsidRPr="00EC1412" w:rsidRDefault="000A7D9D" w:rsidP="00F31937">
            <w:pPr>
              <w:pStyle w:val="ListParagraph"/>
              <w:spacing w:before="10" w:after="10"/>
              <w:ind w:left="0"/>
              <w:contextualSpacing w:val="0"/>
              <w:jc w:val="center"/>
              <w:rPr>
                <w:rStyle w:val="normaltextrun"/>
                <w:noProof/>
                <w:sz w:val="18"/>
                <w:szCs w:val="18"/>
              </w:rPr>
            </w:pPr>
            <w:r w:rsidRPr="00EC1412">
              <w:rPr>
                <w:rStyle w:val="normaltextrun"/>
                <w:noProof/>
                <w:sz w:val="18"/>
                <w:szCs w:val="18"/>
              </w:rPr>
              <w:t>N</w:t>
            </w:r>
          </w:p>
        </w:tc>
      </w:tr>
    </w:tbl>
    <w:p w14:paraId="3A844F07" w14:textId="77777777" w:rsidR="000A7D9D" w:rsidRPr="00EC1412" w:rsidRDefault="000A7D9D" w:rsidP="000A7D9D">
      <w:pPr>
        <w:pStyle w:val="ListParagraph"/>
        <w:spacing w:before="120" w:after="120"/>
        <w:ind w:left="0"/>
        <w:contextualSpacing w:val="0"/>
        <w:jc w:val="both"/>
        <w:rPr>
          <w:caps/>
          <w:noProof/>
          <w:sz w:val="22"/>
          <w:szCs w:val="22"/>
          <w:highlight w:val="yellow"/>
        </w:rPr>
      </w:pPr>
      <w:r w:rsidRPr="00EC1412">
        <w:rPr>
          <w:rStyle w:val="normaltextrun"/>
          <w:noProof/>
          <w:sz w:val="18"/>
          <w:szCs w:val="18"/>
          <w:lang w:eastAsia="en-GB"/>
        </w:rPr>
        <w:t xml:space="preserve">Legend: </w:t>
      </w:r>
      <w:r w:rsidRPr="00EC1412">
        <w:rPr>
          <w:noProof/>
          <w:sz w:val="18"/>
          <w:szCs w:val="18"/>
        </w:rPr>
        <w:t xml:space="preserve">Colours are used to distinguish the legislative initiatives; </w:t>
      </w:r>
      <w:r w:rsidRPr="00EC1412">
        <w:rPr>
          <w:rStyle w:val="normaltextrun"/>
          <w:noProof/>
          <w:sz w:val="18"/>
          <w:szCs w:val="18"/>
          <w:lang w:eastAsia="en-GB"/>
        </w:rPr>
        <w:t>N – attribution of a new task, EwE – existing task expanded; FE – formalisation of attribution of an existing task</w:t>
      </w:r>
      <w:r>
        <w:rPr>
          <w:rStyle w:val="normaltextrun"/>
          <w:noProof/>
          <w:sz w:val="18"/>
          <w:szCs w:val="18"/>
          <w:lang w:eastAsia="en-GB"/>
        </w:rPr>
        <w:t xml:space="preserve"> or better specification of an existing task</w:t>
      </w:r>
      <w:r w:rsidRPr="00EC1412">
        <w:rPr>
          <w:rStyle w:val="normaltextrun"/>
          <w:noProof/>
          <w:sz w:val="18"/>
          <w:szCs w:val="18"/>
          <w:lang w:eastAsia="en-GB"/>
        </w:rPr>
        <w:t>, RE – reattribution of an existing task, REwE – reattribution of existing task and its expansion</w:t>
      </w:r>
      <w:r>
        <w:rPr>
          <w:rStyle w:val="normaltextrun"/>
          <w:noProof/>
          <w:sz w:val="18"/>
          <w:szCs w:val="18"/>
          <w:lang w:eastAsia="en-GB"/>
        </w:rPr>
        <w:t xml:space="preserve"> or improvement</w:t>
      </w:r>
      <w:r w:rsidRPr="00EC1412">
        <w:rPr>
          <w:rStyle w:val="normaltextrun"/>
          <w:noProof/>
          <w:sz w:val="18"/>
          <w:szCs w:val="18"/>
          <w:lang w:eastAsia="en-GB"/>
        </w:rPr>
        <w:t xml:space="preserve">; </w:t>
      </w:r>
    </w:p>
    <w:p w14:paraId="00D89FE8"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A brief description of the tasks and work for (re-)attribution per legislation or work package, including the strengthening the provisions for cooperation among the EU Agencies, is provided below (for detailed description see Annex III): </w:t>
      </w:r>
    </w:p>
    <w:p w14:paraId="117B2B06" w14:textId="77777777" w:rsidR="000A7D9D" w:rsidRPr="00EC1412" w:rsidRDefault="000A7D9D" w:rsidP="000A7D9D">
      <w:pPr>
        <w:pStyle w:val="ListParagraph"/>
        <w:numPr>
          <w:ilvl w:val="0"/>
          <w:numId w:val="19"/>
        </w:numPr>
        <w:spacing w:before="240" w:after="120"/>
        <w:ind w:left="357" w:hanging="357"/>
        <w:jc w:val="both"/>
        <w:rPr>
          <w:rStyle w:val="normaltextrun"/>
          <w:rFonts w:asciiTheme="minorHAnsi" w:eastAsiaTheme="minorEastAsia" w:hAnsiTheme="minorHAnsi" w:cstheme="minorBidi"/>
          <w:i/>
          <w:iCs/>
          <w:noProof/>
          <w:sz w:val="22"/>
          <w:szCs w:val="22"/>
          <w:lang w:eastAsia="en-GB"/>
        </w:rPr>
      </w:pPr>
      <w:r w:rsidRPr="2D69C30E">
        <w:rPr>
          <w:rStyle w:val="normaltextrun"/>
          <w:i/>
          <w:noProof/>
          <w:sz w:val="22"/>
          <w:szCs w:val="22"/>
          <w:lang w:eastAsia="en-GB"/>
        </w:rPr>
        <w:t>Drinking water directive</w:t>
      </w:r>
      <w:r w:rsidRPr="00447EA6">
        <w:rPr>
          <w:rStyle w:val="FootnoteReference"/>
          <w:i/>
          <w:noProof/>
        </w:rPr>
        <w:footnoteReference w:id="24"/>
      </w:r>
    </w:p>
    <w:p w14:paraId="3D2E514F" w14:textId="77777777" w:rsidR="000A7D9D" w:rsidRPr="00EC1412" w:rsidRDefault="000A7D9D" w:rsidP="000A7D9D">
      <w:pPr>
        <w:spacing w:after="120"/>
        <w:jc w:val="both"/>
        <w:rPr>
          <w:rFonts w:ascii="Times New Roman" w:hAnsi="Times New Roman" w:cs="Times New Roman"/>
          <w:noProof/>
          <w:lang w:val="en-US"/>
        </w:rPr>
      </w:pPr>
      <w:r w:rsidRPr="00EC1412">
        <w:rPr>
          <w:rFonts w:ascii="Times New Roman" w:hAnsi="Times New Roman" w:cs="Times New Roman"/>
          <w:noProof/>
        </w:rPr>
        <w:t xml:space="preserve">Revision of the drinking water directive in 2020 attributed </w:t>
      </w:r>
      <w:r w:rsidRPr="00EC1412">
        <w:rPr>
          <w:rFonts w:ascii="Times New Roman" w:hAnsi="Times New Roman" w:cs="Times New Roman"/>
          <w:b/>
          <w:noProof/>
        </w:rPr>
        <w:t>new tasks</w:t>
      </w:r>
      <w:r w:rsidRPr="00EC1412">
        <w:rPr>
          <w:rFonts w:ascii="Times New Roman" w:hAnsi="Times New Roman" w:cs="Times New Roman"/>
          <w:noProof/>
        </w:rPr>
        <w:t xml:space="preserve"> to </w:t>
      </w:r>
      <w:r w:rsidRPr="00EC1412">
        <w:rPr>
          <w:rFonts w:ascii="Times New Roman" w:hAnsi="Times New Roman" w:cs="Times New Roman"/>
          <w:b/>
          <w:noProof/>
        </w:rPr>
        <w:t>ECHA</w:t>
      </w:r>
      <w:r w:rsidRPr="00EC1412">
        <w:rPr>
          <w:rFonts w:ascii="Times New Roman" w:hAnsi="Times New Roman" w:cs="Times New Roman"/>
          <w:noProof/>
        </w:rPr>
        <w:t>. ECHA is responsible for e</w:t>
      </w:r>
      <w:r w:rsidRPr="00EC1412">
        <w:rPr>
          <w:rFonts w:ascii="Times New Roman" w:hAnsi="Times New Roman" w:cs="Times New Roman"/>
          <w:noProof/>
          <w:lang w:val="en-US"/>
        </w:rPr>
        <w:t xml:space="preserve">stablishing and maintaining four EU positive lists for substances and compositions authorized to be used for the manufacturing of organic, cementitious, metallic and inorganic materials in contact with water intended for human consumption. ECHA first supports the Commission in compiling the first EU positive lists based on the national lists. Once established, ECHA will maintain the lists through the review of all the entries in the lists and then through the addition, removal and updating of the entries.  </w:t>
      </w:r>
    </w:p>
    <w:p w14:paraId="34F217A8" w14:textId="77777777" w:rsidR="000A7D9D" w:rsidRPr="00EC1412" w:rsidRDefault="000A7D9D" w:rsidP="000A7D9D">
      <w:pPr>
        <w:pStyle w:val="ListParagraph"/>
        <w:numPr>
          <w:ilvl w:val="0"/>
          <w:numId w:val="19"/>
        </w:numPr>
        <w:spacing w:before="240" w:after="120"/>
        <w:ind w:left="357" w:hanging="357"/>
        <w:contextualSpacing w:val="0"/>
        <w:jc w:val="both"/>
        <w:rPr>
          <w:rStyle w:val="normaltextrun"/>
          <w:rFonts w:asciiTheme="minorHAnsi" w:eastAsiaTheme="minorHAnsi" w:hAnsiTheme="minorHAnsi" w:cstheme="minorBidi"/>
          <w:i/>
          <w:noProof/>
          <w:sz w:val="22"/>
          <w:szCs w:val="22"/>
          <w:lang w:eastAsia="en-GB"/>
        </w:rPr>
      </w:pPr>
      <w:r w:rsidRPr="00EC1412">
        <w:rPr>
          <w:rStyle w:val="normaltextrun"/>
          <w:i/>
          <w:noProof/>
          <w:sz w:val="22"/>
          <w:szCs w:val="22"/>
          <w:lang w:eastAsia="en-GB"/>
        </w:rPr>
        <w:t>Regulation on serious cross-border threats to health</w:t>
      </w:r>
      <w:r w:rsidRPr="00447EA6">
        <w:rPr>
          <w:rStyle w:val="FootnoteReference"/>
          <w:i/>
          <w:noProof/>
        </w:rPr>
        <w:footnoteReference w:id="25"/>
      </w:r>
      <w:r w:rsidRPr="00EC1412">
        <w:rPr>
          <w:rStyle w:val="normaltextrun"/>
          <w:i/>
          <w:noProof/>
          <w:sz w:val="22"/>
          <w:szCs w:val="22"/>
          <w:lang w:eastAsia="en-GB"/>
        </w:rPr>
        <w:t xml:space="preserve"> </w:t>
      </w:r>
    </w:p>
    <w:p w14:paraId="468262FE"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new regulation on serious cross-border threats to health </w:t>
      </w:r>
      <w:r w:rsidRPr="00EC1412">
        <w:rPr>
          <w:rFonts w:ascii="Times New Roman" w:hAnsi="Times New Roman" w:cs="Times New Roman"/>
          <w:b/>
          <w:noProof/>
        </w:rPr>
        <w:t>reattributed an existing task</w:t>
      </w:r>
      <w:r w:rsidRPr="00EC1412">
        <w:rPr>
          <w:rFonts w:ascii="Times New Roman" w:hAnsi="Times New Roman" w:cs="Times New Roman"/>
          <w:noProof/>
        </w:rPr>
        <w:t xml:space="preserve"> performed by the Scientific Committee on Health, Environmental and Emerging Risks (SCHEER) to </w:t>
      </w:r>
      <w:r w:rsidRPr="00EC1412">
        <w:rPr>
          <w:rFonts w:ascii="Times New Roman" w:hAnsi="Times New Roman" w:cs="Times New Roman"/>
          <w:b/>
          <w:noProof/>
        </w:rPr>
        <w:t>ECHA, EEA, EFSA, EMA</w:t>
      </w:r>
      <w:r w:rsidRPr="00EC1412">
        <w:rPr>
          <w:rFonts w:ascii="Times New Roman" w:hAnsi="Times New Roman" w:cs="Times New Roman"/>
          <w:noProof/>
        </w:rPr>
        <w:t xml:space="preserve"> and also to </w:t>
      </w:r>
      <w:r>
        <w:rPr>
          <w:rFonts w:ascii="Times New Roman" w:hAnsi="Times New Roman" w:cs="Times New Roman"/>
          <w:noProof/>
        </w:rPr>
        <w:t xml:space="preserve">the European Centre for Disease Prevention and Control </w:t>
      </w:r>
      <w:r w:rsidRPr="00EC1412">
        <w:rPr>
          <w:rFonts w:ascii="Times New Roman" w:hAnsi="Times New Roman" w:cs="Times New Roman"/>
          <w:noProof/>
        </w:rPr>
        <w:t xml:space="preserve">and </w:t>
      </w:r>
      <w:r>
        <w:rPr>
          <w:rFonts w:ascii="Times New Roman" w:hAnsi="Times New Roman" w:cs="Times New Roman"/>
          <w:noProof/>
        </w:rPr>
        <w:t xml:space="preserve">the European Monitoring Centre for Drugs and Drug Addiction. </w:t>
      </w:r>
      <w:r w:rsidRPr="00EC1412">
        <w:rPr>
          <w:rFonts w:ascii="Times New Roman" w:hAnsi="Times New Roman" w:cs="Times New Roman"/>
          <w:noProof/>
        </w:rPr>
        <w:t xml:space="preserve">The regulation requires the agencies, on the request of the Commission, to carry out a risk assessment of the potential severity of the threat to public health, including possible public health measures when there is an alert of a cross-border threat of chemical origin. The responsibility for rapid risk assessment for risks of a cross-border threat that is linked to medicinal products and medical devices is assigned to </w:t>
      </w:r>
      <w:r>
        <w:rPr>
          <w:rFonts w:ascii="Times New Roman" w:hAnsi="Times New Roman" w:cs="Times New Roman"/>
          <w:noProof/>
        </w:rPr>
        <w:t xml:space="preserve">the </w:t>
      </w:r>
      <w:r w:rsidRPr="00EC1412">
        <w:rPr>
          <w:rFonts w:ascii="Times New Roman" w:hAnsi="Times New Roman" w:cs="Times New Roman"/>
          <w:noProof/>
        </w:rPr>
        <w:t xml:space="preserve">EMA, for risks of a cross-border threat of chemical origin is shared between </w:t>
      </w:r>
      <w:r>
        <w:rPr>
          <w:rFonts w:ascii="Times New Roman" w:hAnsi="Times New Roman" w:cs="Times New Roman"/>
          <w:noProof/>
        </w:rPr>
        <w:t xml:space="preserve">the </w:t>
      </w:r>
      <w:r w:rsidRPr="00EC1412">
        <w:rPr>
          <w:rFonts w:ascii="Times New Roman" w:hAnsi="Times New Roman" w:cs="Times New Roman"/>
          <w:noProof/>
        </w:rPr>
        <w:t xml:space="preserve">ECHA and </w:t>
      </w:r>
      <w:r>
        <w:rPr>
          <w:rFonts w:ascii="Times New Roman" w:hAnsi="Times New Roman" w:cs="Times New Roman"/>
          <w:noProof/>
        </w:rPr>
        <w:t xml:space="preserve">the </w:t>
      </w:r>
      <w:r w:rsidRPr="00EC1412">
        <w:rPr>
          <w:rFonts w:ascii="Times New Roman" w:hAnsi="Times New Roman" w:cs="Times New Roman"/>
          <w:noProof/>
        </w:rPr>
        <w:t xml:space="preserve">EFSA based on their mandate and for risk of a cross border threat of threats of environmental origin, including those due to the climate, are shared among </w:t>
      </w:r>
      <w:r>
        <w:rPr>
          <w:rFonts w:ascii="Times New Roman" w:hAnsi="Times New Roman" w:cs="Times New Roman"/>
          <w:noProof/>
        </w:rPr>
        <w:t xml:space="preserve">the </w:t>
      </w:r>
      <w:r w:rsidRPr="00EC1412">
        <w:rPr>
          <w:rFonts w:ascii="Times New Roman" w:hAnsi="Times New Roman" w:cs="Times New Roman"/>
          <w:noProof/>
        </w:rPr>
        <w:t xml:space="preserve">ECHA, </w:t>
      </w:r>
      <w:r>
        <w:rPr>
          <w:rFonts w:ascii="Times New Roman" w:hAnsi="Times New Roman" w:cs="Times New Roman"/>
          <w:noProof/>
        </w:rPr>
        <w:t xml:space="preserve">the </w:t>
      </w:r>
      <w:r w:rsidRPr="00EC1412">
        <w:rPr>
          <w:rFonts w:ascii="Times New Roman" w:hAnsi="Times New Roman" w:cs="Times New Roman"/>
          <w:noProof/>
        </w:rPr>
        <w:t xml:space="preserve">EFSA and </w:t>
      </w:r>
      <w:r>
        <w:rPr>
          <w:rFonts w:ascii="Times New Roman" w:hAnsi="Times New Roman" w:cs="Times New Roman"/>
          <w:noProof/>
        </w:rPr>
        <w:t xml:space="preserve">the </w:t>
      </w:r>
      <w:r w:rsidRPr="00EC1412">
        <w:rPr>
          <w:rFonts w:ascii="Times New Roman" w:hAnsi="Times New Roman" w:cs="Times New Roman"/>
          <w:noProof/>
        </w:rPr>
        <w:t xml:space="preserve">EEA based on their mandate. The agencies will have to set up and maintain a continuous readiness to provide rapid risk assessments and on the request provide the requested risk assessment. </w:t>
      </w:r>
    </w:p>
    <w:p w14:paraId="131C97BF"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00EC1412">
        <w:rPr>
          <w:i/>
          <w:noProof/>
          <w:sz w:val="22"/>
          <w:szCs w:val="22"/>
        </w:rPr>
        <w:t>European Partnership for the Assessment of Risks from Chemicals (PARC)</w:t>
      </w:r>
      <w:r>
        <w:rPr>
          <w:rStyle w:val="FootnoteReference"/>
          <w:i/>
          <w:noProof/>
          <w:sz w:val="22"/>
          <w:szCs w:val="22"/>
        </w:rPr>
        <w:footnoteReference w:id="26"/>
      </w:r>
    </w:p>
    <w:p w14:paraId="4AF63C53"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PARC is a 7-year partnership funded by Horizon Europe that started in May 2022 and aims to advance research, share knowledge and improve skills in chemical risk assessment. </w:t>
      </w:r>
      <w:r w:rsidRPr="00EC1412">
        <w:rPr>
          <w:rFonts w:ascii="Times New Roman" w:hAnsi="Times New Roman" w:cs="Times New Roman"/>
          <w:b/>
          <w:noProof/>
        </w:rPr>
        <w:t>ECHA, EEA</w:t>
      </w:r>
      <w:r w:rsidRPr="00EC1412">
        <w:rPr>
          <w:rFonts w:ascii="Times New Roman" w:hAnsi="Times New Roman" w:cs="Times New Roman"/>
          <w:noProof/>
        </w:rPr>
        <w:t xml:space="preserve"> and </w:t>
      </w:r>
      <w:r w:rsidRPr="00EC1412">
        <w:rPr>
          <w:rFonts w:ascii="Times New Roman" w:hAnsi="Times New Roman" w:cs="Times New Roman"/>
          <w:b/>
          <w:noProof/>
        </w:rPr>
        <w:t>EFSA</w:t>
      </w:r>
      <w:r w:rsidRPr="00EC1412">
        <w:rPr>
          <w:rFonts w:ascii="Times New Roman" w:hAnsi="Times New Roman" w:cs="Times New Roman"/>
          <w:noProof/>
        </w:rPr>
        <w:t xml:space="preserve"> took a </w:t>
      </w:r>
      <w:r w:rsidRPr="00EC1412">
        <w:rPr>
          <w:rFonts w:ascii="Times New Roman" w:hAnsi="Times New Roman" w:cs="Times New Roman"/>
          <w:b/>
          <w:noProof/>
        </w:rPr>
        <w:t>new task</w:t>
      </w:r>
      <w:r w:rsidRPr="00EC1412">
        <w:rPr>
          <w:rFonts w:ascii="Times New Roman" w:hAnsi="Times New Roman" w:cs="Times New Roman"/>
          <w:noProof/>
        </w:rPr>
        <w:t xml:space="preserve"> to provide input and support to the project in order to ensure maximum links with and benefits for the regulatory risk assessments of chemicals. </w:t>
      </w:r>
    </w:p>
    <w:p w14:paraId="63750FFF"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00EC1412">
        <w:rPr>
          <w:i/>
          <w:noProof/>
          <w:sz w:val="22"/>
          <w:szCs w:val="22"/>
        </w:rPr>
        <w:t>Commission implementing decision (EU) 2022/1979 under the SEVESO Directive</w:t>
      </w:r>
      <w:r w:rsidRPr="00447EA6">
        <w:rPr>
          <w:rStyle w:val="FootnoteReference"/>
          <w:i/>
          <w:noProof/>
        </w:rPr>
        <w:footnoteReference w:id="27"/>
      </w:r>
      <w:r w:rsidRPr="00447EA6">
        <w:rPr>
          <w:i/>
          <w:noProof/>
          <w:sz w:val="22"/>
          <w:szCs w:val="22"/>
        </w:rPr>
        <w:t xml:space="preserve"> </w:t>
      </w:r>
    </w:p>
    <w:p w14:paraId="1CF38D4B"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commission implementing decision </w:t>
      </w:r>
      <w:r w:rsidRPr="00EC1412">
        <w:rPr>
          <w:rFonts w:ascii="Times New Roman" w:hAnsi="Times New Roman" w:cs="Times New Roman"/>
          <w:b/>
          <w:noProof/>
        </w:rPr>
        <w:t xml:space="preserve">reattributed an existing task </w:t>
      </w:r>
      <w:r w:rsidRPr="00EC1412">
        <w:rPr>
          <w:rFonts w:ascii="Times New Roman" w:hAnsi="Times New Roman" w:cs="Times New Roman"/>
          <w:noProof/>
        </w:rPr>
        <w:t xml:space="preserve">performed by the Commission (DG JRC) to </w:t>
      </w:r>
      <w:r w:rsidRPr="00EC1412">
        <w:rPr>
          <w:rFonts w:ascii="Times New Roman" w:hAnsi="Times New Roman" w:cs="Times New Roman"/>
          <w:b/>
          <w:noProof/>
        </w:rPr>
        <w:t>EEA</w:t>
      </w:r>
      <w:r w:rsidRPr="00EC1412">
        <w:rPr>
          <w:rFonts w:ascii="Times New Roman" w:hAnsi="Times New Roman" w:cs="Times New Roman"/>
          <w:noProof/>
        </w:rPr>
        <w:t>. EEA is tasked to redevelop and maintain the databases and associated procedures for the reporting of information on industrial major accidents (eMARS) and for reporting of the location of Seveso establishments (eSPIRS) under the SEVESO III directive.</w:t>
      </w:r>
    </w:p>
    <w:p w14:paraId="4680400D"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00EC1412">
        <w:rPr>
          <w:i/>
          <w:noProof/>
          <w:sz w:val="22"/>
          <w:szCs w:val="22"/>
        </w:rPr>
        <w:t>Batteries regulation</w:t>
      </w:r>
      <w:r w:rsidRPr="00447EA6">
        <w:rPr>
          <w:rStyle w:val="FootnoteReference"/>
          <w:i/>
          <w:noProof/>
        </w:rPr>
        <w:footnoteReference w:id="28"/>
      </w:r>
      <w:r w:rsidRPr="00EC1412">
        <w:rPr>
          <w:i/>
          <w:noProof/>
          <w:sz w:val="22"/>
          <w:szCs w:val="22"/>
        </w:rPr>
        <w:t xml:space="preserve">  </w:t>
      </w:r>
    </w:p>
    <w:p w14:paraId="41260957"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new regulation on batteries revising an old battery directive attributed a </w:t>
      </w:r>
      <w:r w:rsidRPr="00EC1412">
        <w:rPr>
          <w:rFonts w:ascii="Times New Roman" w:hAnsi="Times New Roman" w:cs="Times New Roman"/>
          <w:b/>
          <w:noProof/>
        </w:rPr>
        <w:t xml:space="preserve">new task </w:t>
      </w:r>
      <w:r w:rsidRPr="00EC1412">
        <w:rPr>
          <w:rFonts w:ascii="Times New Roman" w:hAnsi="Times New Roman" w:cs="Times New Roman"/>
          <w:noProof/>
        </w:rPr>
        <w:t xml:space="preserve">to </w:t>
      </w:r>
      <w:r w:rsidRPr="00EC1412">
        <w:rPr>
          <w:rFonts w:ascii="Times New Roman" w:hAnsi="Times New Roman" w:cs="Times New Roman"/>
          <w:b/>
          <w:noProof/>
        </w:rPr>
        <w:t>ECHA</w:t>
      </w:r>
      <w:r w:rsidRPr="00EC1412">
        <w:rPr>
          <w:rFonts w:ascii="Times New Roman" w:hAnsi="Times New Roman" w:cs="Times New Roman"/>
          <w:noProof/>
        </w:rPr>
        <w:t xml:space="preserve">. ECHA is tasked to prepare, on the request of the Commission, restriction dossiers for substances in batteries, to get opinions on them from the Committee for Risk Assessment and from the Committee on Socio-Economic Analysis and to submit the opinions to the Commission for potential restrictions via a delegated act. </w:t>
      </w:r>
    </w:p>
    <w:p w14:paraId="6B41278B" w14:textId="77777777" w:rsidR="000A7D9D" w:rsidRPr="00EC1412" w:rsidRDefault="000A7D9D" w:rsidP="000A7D9D">
      <w:pPr>
        <w:pStyle w:val="ListParagraph"/>
        <w:numPr>
          <w:ilvl w:val="0"/>
          <w:numId w:val="19"/>
        </w:numPr>
        <w:spacing w:before="240" w:after="120"/>
        <w:jc w:val="both"/>
        <w:rPr>
          <w:i/>
          <w:noProof/>
          <w:sz w:val="22"/>
          <w:szCs w:val="22"/>
        </w:rPr>
      </w:pPr>
      <w:r w:rsidRPr="00EC1412">
        <w:rPr>
          <w:i/>
          <w:noProof/>
          <w:sz w:val="22"/>
          <w:szCs w:val="22"/>
        </w:rPr>
        <w:t>E-PRTR regulation</w:t>
      </w:r>
      <w:r w:rsidRPr="00447EA6">
        <w:rPr>
          <w:rStyle w:val="FootnoteReference"/>
          <w:i/>
          <w:noProof/>
        </w:rPr>
        <w:footnoteReference w:id="29"/>
      </w:r>
      <w:r w:rsidRPr="00EC1412">
        <w:rPr>
          <w:i/>
          <w:noProof/>
          <w:sz w:val="22"/>
          <w:szCs w:val="22"/>
        </w:rPr>
        <w:t xml:space="preserve"> </w:t>
      </w:r>
    </w:p>
    <w:p w14:paraId="3D96F0A3"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revision of the E-PRTR regulation proposes to </w:t>
      </w:r>
      <w:r w:rsidRPr="00EC1412">
        <w:rPr>
          <w:rFonts w:ascii="Times New Roman" w:hAnsi="Times New Roman" w:cs="Times New Roman"/>
          <w:b/>
          <w:noProof/>
        </w:rPr>
        <w:t>expand the existing task</w:t>
      </w:r>
      <w:r w:rsidRPr="00EC1412">
        <w:rPr>
          <w:rFonts w:ascii="Times New Roman" w:hAnsi="Times New Roman" w:cs="Times New Roman"/>
          <w:noProof/>
        </w:rPr>
        <w:t xml:space="preserve"> of </w:t>
      </w:r>
      <w:r w:rsidRPr="00EC1412">
        <w:rPr>
          <w:rFonts w:ascii="Times New Roman" w:hAnsi="Times New Roman" w:cs="Times New Roman"/>
          <w:b/>
          <w:noProof/>
        </w:rPr>
        <w:t>EEA</w:t>
      </w:r>
      <w:r w:rsidRPr="00EC1412">
        <w:rPr>
          <w:rFonts w:ascii="Times New Roman" w:hAnsi="Times New Roman" w:cs="Times New Roman"/>
          <w:noProof/>
        </w:rPr>
        <w:t xml:space="preserve"> to operate the European Pollutant Release and Transfer Register. EEA is tasked to operate an Industrial Emission Portal, which should replace the E-PRTR register and as compared to the E-PRTR should contain information on emissions for more substances and for more industrial activities and should contain also information on the use of water, energy and raw materials. </w:t>
      </w:r>
    </w:p>
    <w:p w14:paraId="629A81D7"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00EC1412">
        <w:rPr>
          <w:i/>
          <w:noProof/>
          <w:sz w:val="22"/>
          <w:szCs w:val="22"/>
        </w:rPr>
        <w:t>Industrial emissions directive</w:t>
      </w:r>
      <w:r>
        <w:rPr>
          <w:rStyle w:val="FootnoteReference"/>
          <w:i/>
          <w:noProof/>
          <w:sz w:val="22"/>
          <w:szCs w:val="22"/>
        </w:rPr>
        <w:footnoteReference w:id="30"/>
      </w:r>
      <w:r w:rsidRPr="00EC1412">
        <w:rPr>
          <w:i/>
          <w:noProof/>
          <w:sz w:val="22"/>
          <w:szCs w:val="22"/>
        </w:rPr>
        <w:t xml:space="preserve"> </w:t>
      </w:r>
    </w:p>
    <w:p w14:paraId="5C741322"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the revision of the Industrial Emissions Directive proposes to </w:t>
      </w:r>
      <w:r w:rsidRPr="00EC1412">
        <w:rPr>
          <w:rFonts w:ascii="Times New Roman" w:hAnsi="Times New Roman" w:cs="Times New Roman"/>
          <w:b/>
          <w:noProof/>
        </w:rPr>
        <w:t>formalise existing task</w:t>
      </w:r>
      <w:r w:rsidRPr="00EC1412">
        <w:rPr>
          <w:rFonts w:ascii="Times New Roman" w:hAnsi="Times New Roman" w:cs="Times New Roman"/>
          <w:noProof/>
        </w:rPr>
        <w:t xml:space="preserve"> of </w:t>
      </w:r>
      <w:r w:rsidRPr="00EC1412">
        <w:rPr>
          <w:rFonts w:ascii="Times New Roman" w:hAnsi="Times New Roman" w:cs="Times New Roman"/>
          <w:b/>
          <w:noProof/>
        </w:rPr>
        <w:t>ECHA</w:t>
      </w:r>
      <w:r w:rsidRPr="00EC1412">
        <w:rPr>
          <w:rFonts w:ascii="Times New Roman" w:hAnsi="Times New Roman" w:cs="Times New Roman"/>
          <w:noProof/>
        </w:rPr>
        <w:t xml:space="preserve"> performed at ad-hoc basis and </w:t>
      </w:r>
      <w:r w:rsidRPr="00EC1412">
        <w:rPr>
          <w:rFonts w:ascii="Times New Roman" w:hAnsi="Times New Roman" w:cs="Times New Roman"/>
          <w:b/>
          <w:noProof/>
        </w:rPr>
        <w:t>extend it</w:t>
      </w:r>
      <w:r w:rsidRPr="00EC1412">
        <w:rPr>
          <w:rFonts w:ascii="Times New Roman" w:hAnsi="Times New Roman" w:cs="Times New Roman"/>
          <w:noProof/>
        </w:rPr>
        <w:t xml:space="preserve"> to cover holistic consideration of chemicals in the permits of the </w:t>
      </w:r>
      <w:r>
        <w:rPr>
          <w:rFonts w:ascii="Times New Roman" w:hAnsi="Times New Roman" w:cs="Times New Roman"/>
          <w:noProof/>
        </w:rPr>
        <w:t xml:space="preserve">industrial emissions directive </w:t>
      </w:r>
      <w:r w:rsidRPr="00EC1412">
        <w:rPr>
          <w:rFonts w:ascii="Times New Roman" w:hAnsi="Times New Roman" w:cs="Times New Roman"/>
          <w:noProof/>
        </w:rPr>
        <w:t xml:space="preserve">installations, from their presence in the (primary or secondary) raw materials to their presence in the emissions from the installations, as well as in the waste and by-products generated. ECHA is requested to support the Commission in the review of the Best Available Techniques Reference (BREF) documents as regards the chemicals and industrial chemicals processes. </w:t>
      </w:r>
    </w:p>
    <w:p w14:paraId="6C0EED1F"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00EC1412">
        <w:rPr>
          <w:i/>
          <w:noProof/>
          <w:sz w:val="22"/>
          <w:szCs w:val="22"/>
        </w:rPr>
        <w:t>Water framework directive, Environmental Quality Standard Directive and Ground Water Directive</w:t>
      </w:r>
      <w:r>
        <w:rPr>
          <w:rStyle w:val="FootnoteReference"/>
          <w:i/>
          <w:noProof/>
          <w:sz w:val="22"/>
          <w:szCs w:val="22"/>
        </w:rPr>
        <w:footnoteReference w:id="31"/>
      </w:r>
      <w:r w:rsidRPr="00EC1412">
        <w:rPr>
          <w:i/>
          <w:noProof/>
          <w:sz w:val="22"/>
          <w:szCs w:val="22"/>
        </w:rPr>
        <w:t xml:space="preserve"> </w:t>
      </w:r>
    </w:p>
    <w:p w14:paraId="13AB9C13"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the revision of the water framework directive, the environmental quality standard directive and the ground water directive proposes to </w:t>
      </w:r>
      <w:r w:rsidRPr="00EC1412">
        <w:rPr>
          <w:rFonts w:ascii="Times New Roman" w:hAnsi="Times New Roman" w:cs="Times New Roman"/>
          <w:b/>
          <w:noProof/>
        </w:rPr>
        <w:t>reattribute existing tasks</w:t>
      </w:r>
      <w:r w:rsidRPr="00EC1412">
        <w:rPr>
          <w:rFonts w:ascii="Times New Roman" w:hAnsi="Times New Roman" w:cs="Times New Roman"/>
          <w:noProof/>
        </w:rPr>
        <w:t xml:space="preserve"> performed by the Commission and the Scientific Committee on Health, Environmental and Emerging Risks (SCHEER) to </w:t>
      </w:r>
      <w:r w:rsidRPr="00EC1412">
        <w:rPr>
          <w:rFonts w:ascii="Times New Roman" w:hAnsi="Times New Roman" w:cs="Times New Roman"/>
          <w:b/>
          <w:noProof/>
        </w:rPr>
        <w:t xml:space="preserve">ECHA, attribute a new task </w:t>
      </w:r>
      <w:r w:rsidRPr="00EC1412">
        <w:rPr>
          <w:rFonts w:ascii="Times New Roman" w:hAnsi="Times New Roman" w:cs="Times New Roman"/>
          <w:noProof/>
        </w:rPr>
        <w:t>to</w:t>
      </w:r>
      <w:r w:rsidRPr="00EC1412">
        <w:rPr>
          <w:rFonts w:ascii="Times New Roman" w:hAnsi="Times New Roman" w:cs="Times New Roman"/>
          <w:b/>
          <w:noProof/>
        </w:rPr>
        <w:t xml:space="preserve"> ECHA</w:t>
      </w:r>
      <w:r w:rsidRPr="00EC1412">
        <w:rPr>
          <w:rFonts w:ascii="Times New Roman" w:hAnsi="Times New Roman" w:cs="Times New Roman"/>
          <w:noProof/>
        </w:rPr>
        <w:t xml:space="preserve"> and </w:t>
      </w:r>
      <w:r w:rsidRPr="00EC1412">
        <w:rPr>
          <w:rFonts w:ascii="Times New Roman" w:hAnsi="Times New Roman" w:cs="Times New Roman"/>
          <w:b/>
          <w:noProof/>
        </w:rPr>
        <w:t>expand the existing tasks</w:t>
      </w:r>
      <w:r w:rsidRPr="00EC1412">
        <w:rPr>
          <w:rFonts w:ascii="Times New Roman" w:hAnsi="Times New Roman" w:cs="Times New Roman"/>
          <w:noProof/>
        </w:rPr>
        <w:t xml:space="preserve"> performed by </w:t>
      </w:r>
      <w:r w:rsidRPr="00EC1412">
        <w:rPr>
          <w:rFonts w:ascii="Times New Roman" w:hAnsi="Times New Roman" w:cs="Times New Roman"/>
          <w:b/>
          <w:noProof/>
        </w:rPr>
        <w:t>EEA</w:t>
      </w:r>
      <w:r w:rsidRPr="00EC1412">
        <w:rPr>
          <w:rFonts w:ascii="Times New Roman" w:hAnsi="Times New Roman" w:cs="Times New Roman"/>
          <w:noProof/>
        </w:rPr>
        <w:t xml:space="preserve">. ECHA and its Committee for Risk Assessment are requested under the Environmental Quality Standard directive to take over performing assessments underpinning the amendment of priority list of substances, derivation of Environmental Quality Standards, amendment of the ‘watch list’ and coordination of the ‘watch list’ activities. ECHA and its Committee for Risk Assessment are requested under the Ground Water Directive to perform new assessments underpinning the review of Annexes I and II with limit values for chemicals in ground water, the amendment of ‘watch list’ and coordination of the ‘watch list’ activities. EEA is requested to expand its task on collection of monitoring data in surface waters and to harvest all chemical monitoring data in waters generated by Member States. </w:t>
      </w:r>
    </w:p>
    <w:p w14:paraId="398F4843"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00EC1412">
        <w:rPr>
          <w:i/>
          <w:noProof/>
          <w:sz w:val="22"/>
          <w:szCs w:val="22"/>
        </w:rPr>
        <w:t>CLP Regulation</w:t>
      </w:r>
      <w:r w:rsidRPr="00A42432">
        <w:rPr>
          <w:rStyle w:val="FootnoteReference"/>
          <w:i/>
          <w:noProof/>
        </w:rPr>
        <w:footnoteReference w:id="32"/>
      </w:r>
    </w:p>
    <w:p w14:paraId="48D4177E"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revision of the CLP regulation proposes to attribute a </w:t>
      </w:r>
      <w:r w:rsidRPr="00EC1412">
        <w:rPr>
          <w:rFonts w:ascii="Times New Roman" w:hAnsi="Times New Roman" w:cs="Times New Roman"/>
          <w:b/>
          <w:noProof/>
        </w:rPr>
        <w:t>new task</w:t>
      </w:r>
      <w:r w:rsidRPr="00EC1412">
        <w:rPr>
          <w:rFonts w:ascii="Times New Roman" w:hAnsi="Times New Roman" w:cs="Times New Roman"/>
          <w:noProof/>
        </w:rPr>
        <w:t xml:space="preserve"> to </w:t>
      </w:r>
      <w:r w:rsidRPr="00EC1412">
        <w:rPr>
          <w:rFonts w:ascii="Times New Roman" w:hAnsi="Times New Roman" w:cs="Times New Roman"/>
          <w:b/>
          <w:noProof/>
        </w:rPr>
        <w:t>ECHA</w:t>
      </w:r>
      <w:r w:rsidRPr="00EC1412">
        <w:rPr>
          <w:rFonts w:ascii="Times New Roman" w:hAnsi="Times New Roman" w:cs="Times New Roman"/>
          <w:noProof/>
        </w:rPr>
        <w:t xml:space="preserve"> and </w:t>
      </w:r>
      <w:r w:rsidRPr="00EC1412">
        <w:rPr>
          <w:rFonts w:ascii="Times New Roman" w:hAnsi="Times New Roman" w:cs="Times New Roman"/>
          <w:b/>
          <w:noProof/>
        </w:rPr>
        <w:t>EFSA</w:t>
      </w:r>
      <w:r w:rsidRPr="00EC1412">
        <w:rPr>
          <w:rFonts w:ascii="Times New Roman" w:hAnsi="Times New Roman" w:cs="Times New Roman"/>
          <w:noProof/>
        </w:rPr>
        <w:t xml:space="preserve"> and </w:t>
      </w:r>
      <w:r w:rsidRPr="00EC1412">
        <w:rPr>
          <w:rFonts w:ascii="Times New Roman" w:hAnsi="Times New Roman" w:cs="Times New Roman"/>
          <w:b/>
          <w:noProof/>
        </w:rPr>
        <w:t>expand the existing tasks</w:t>
      </w:r>
      <w:r w:rsidRPr="00EC1412">
        <w:rPr>
          <w:rFonts w:ascii="Times New Roman" w:hAnsi="Times New Roman" w:cs="Times New Roman"/>
          <w:noProof/>
        </w:rPr>
        <w:t xml:space="preserve"> of </w:t>
      </w:r>
      <w:r w:rsidRPr="00EC1412">
        <w:rPr>
          <w:rFonts w:ascii="Times New Roman" w:hAnsi="Times New Roman" w:cs="Times New Roman"/>
          <w:b/>
          <w:noProof/>
        </w:rPr>
        <w:t>ECHA</w:t>
      </w:r>
      <w:r w:rsidRPr="00EC1412">
        <w:rPr>
          <w:rFonts w:ascii="Times New Roman" w:hAnsi="Times New Roman" w:cs="Times New Roman"/>
          <w:noProof/>
        </w:rPr>
        <w:t xml:space="preserve">. ECHA and EFSA are required to prepare, on the request of the Commission, dossiers for harmonised classification of substances. ECHA’s Committee for Risk Assessment is then expected to prepare opinions on the dossiers prepared by ECHA </w:t>
      </w:r>
      <w:r>
        <w:rPr>
          <w:rFonts w:ascii="Times New Roman" w:hAnsi="Times New Roman" w:cs="Times New Roman"/>
          <w:noProof/>
        </w:rPr>
        <w:t xml:space="preserve">or </w:t>
      </w:r>
      <w:r w:rsidRPr="00EC1412">
        <w:rPr>
          <w:rFonts w:ascii="Times New Roman" w:hAnsi="Times New Roman" w:cs="Times New Roman"/>
          <w:noProof/>
        </w:rPr>
        <w:t xml:space="preserve">EFSA, which will be submitted to the Commission for potential amendment of Annex VI of CLP. </w:t>
      </w:r>
    </w:p>
    <w:p w14:paraId="0B961EDC"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00EC1412">
        <w:rPr>
          <w:i/>
          <w:noProof/>
          <w:sz w:val="22"/>
          <w:szCs w:val="22"/>
        </w:rPr>
        <w:t>Packaging and packaging waste directive</w:t>
      </w:r>
      <w:r w:rsidRPr="001B5DCE">
        <w:rPr>
          <w:rStyle w:val="FootnoteReference"/>
          <w:i/>
          <w:noProof/>
        </w:rPr>
        <w:footnoteReference w:id="33"/>
      </w:r>
      <w:r w:rsidRPr="00EC1412">
        <w:rPr>
          <w:i/>
          <w:noProof/>
          <w:sz w:val="22"/>
          <w:szCs w:val="22"/>
        </w:rPr>
        <w:t xml:space="preserve"> </w:t>
      </w:r>
    </w:p>
    <w:p w14:paraId="192A887C"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revision of the packaging and packaging waste proposes to </w:t>
      </w:r>
      <w:r w:rsidRPr="00EC1412">
        <w:rPr>
          <w:rFonts w:ascii="Times New Roman" w:hAnsi="Times New Roman" w:cs="Times New Roman"/>
          <w:b/>
          <w:noProof/>
        </w:rPr>
        <w:t>extend the scope of task</w:t>
      </w:r>
      <w:r w:rsidRPr="00EC1412">
        <w:rPr>
          <w:rFonts w:ascii="Times New Roman" w:hAnsi="Times New Roman" w:cs="Times New Roman"/>
          <w:noProof/>
        </w:rPr>
        <w:t xml:space="preserve"> of </w:t>
      </w:r>
      <w:r w:rsidRPr="00EC1412">
        <w:rPr>
          <w:rFonts w:ascii="Times New Roman" w:hAnsi="Times New Roman" w:cs="Times New Roman"/>
          <w:b/>
          <w:noProof/>
        </w:rPr>
        <w:t>ECHA</w:t>
      </w:r>
      <w:r w:rsidRPr="00EC1412">
        <w:rPr>
          <w:rFonts w:ascii="Times New Roman" w:hAnsi="Times New Roman" w:cs="Times New Roman"/>
          <w:noProof/>
        </w:rPr>
        <w:t xml:space="preserve"> to process or eventually also to prepare a proposal for restriction under REACH that covers or is focused on a presence of a substance in packaging. Such restriction will be under the scope of REACH, so this relies on the existing REACH task.</w:t>
      </w:r>
    </w:p>
    <w:p w14:paraId="0FC2B71F" w14:textId="77777777" w:rsidR="000A7D9D" w:rsidRPr="00EC1412" w:rsidRDefault="000A7D9D" w:rsidP="000A7D9D">
      <w:pPr>
        <w:pStyle w:val="ListParagraph"/>
        <w:numPr>
          <w:ilvl w:val="0"/>
          <w:numId w:val="19"/>
        </w:numPr>
        <w:spacing w:before="240" w:after="120"/>
        <w:jc w:val="both"/>
        <w:rPr>
          <w:i/>
          <w:iCs/>
          <w:noProof/>
          <w:sz w:val="22"/>
          <w:szCs w:val="22"/>
        </w:rPr>
      </w:pPr>
      <w:r>
        <w:rPr>
          <w:i/>
          <w:iCs/>
          <w:noProof/>
          <w:sz w:val="22"/>
          <w:szCs w:val="22"/>
        </w:rPr>
        <w:t>Legislation on medicinal products for human use</w:t>
      </w:r>
      <w:r>
        <w:rPr>
          <w:rStyle w:val="FootnoteReference"/>
          <w:i/>
          <w:noProof/>
          <w:sz w:val="22"/>
          <w:szCs w:val="22"/>
        </w:rPr>
        <w:footnoteReference w:id="34"/>
      </w:r>
      <w:r w:rsidRPr="009D2FD7">
        <w:rPr>
          <w:i/>
          <w:iCs/>
          <w:noProof/>
          <w:sz w:val="22"/>
          <w:szCs w:val="22"/>
          <w:vertAlign w:val="superscript"/>
        </w:rPr>
        <w:t>,</w:t>
      </w:r>
      <w:r>
        <w:rPr>
          <w:rStyle w:val="FootnoteReference"/>
          <w:i/>
          <w:noProof/>
          <w:sz w:val="22"/>
          <w:szCs w:val="22"/>
        </w:rPr>
        <w:footnoteReference w:id="35"/>
      </w:r>
      <w:r w:rsidRPr="2E8599C7">
        <w:rPr>
          <w:i/>
          <w:iCs/>
          <w:noProof/>
          <w:sz w:val="22"/>
          <w:szCs w:val="22"/>
        </w:rPr>
        <w:t xml:space="preserve"> </w:t>
      </w:r>
    </w:p>
    <w:p w14:paraId="3BF7CAF9" w14:textId="77777777" w:rsidR="000A7D9D"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revision of the </w:t>
      </w:r>
      <w:r>
        <w:rPr>
          <w:rFonts w:ascii="Times New Roman" w:hAnsi="Times New Roman" w:cs="Times New Roman"/>
          <w:noProof/>
        </w:rPr>
        <w:t xml:space="preserve">regulation and directive on </w:t>
      </w:r>
      <w:r w:rsidRPr="00EC1412">
        <w:rPr>
          <w:rFonts w:ascii="Times New Roman" w:hAnsi="Times New Roman" w:cs="Times New Roman"/>
          <w:noProof/>
        </w:rPr>
        <w:t>medicinal product</w:t>
      </w:r>
      <w:r>
        <w:rPr>
          <w:rFonts w:ascii="Times New Roman" w:hAnsi="Times New Roman" w:cs="Times New Roman"/>
          <w:noProof/>
        </w:rPr>
        <w:t xml:space="preserve">s for human use </w:t>
      </w:r>
      <w:r w:rsidRPr="00EC1412">
        <w:rPr>
          <w:rFonts w:ascii="Times New Roman" w:hAnsi="Times New Roman" w:cs="Times New Roman"/>
          <w:noProof/>
        </w:rPr>
        <w:t xml:space="preserve">proposes to introduce a </w:t>
      </w:r>
      <w:r w:rsidRPr="00EC1412">
        <w:rPr>
          <w:rFonts w:ascii="Times New Roman" w:hAnsi="Times New Roman" w:cs="Times New Roman"/>
          <w:b/>
          <w:noProof/>
        </w:rPr>
        <w:t>new task</w:t>
      </w:r>
      <w:r w:rsidRPr="00EC1412">
        <w:rPr>
          <w:rFonts w:ascii="Times New Roman" w:hAnsi="Times New Roman" w:cs="Times New Roman"/>
          <w:noProof/>
        </w:rPr>
        <w:t xml:space="preserve"> and </w:t>
      </w:r>
      <w:r w:rsidRPr="00EC1412">
        <w:rPr>
          <w:rFonts w:ascii="Times New Roman" w:hAnsi="Times New Roman" w:cs="Times New Roman"/>
          <w:b/>
          <w:noProof/>
        </w:rPr>
        <w:t>better specify existing task</w:t>
      </w:r>
      <w:r>
        <w:rPr>
          <w:rFonts w:ascii="Times New Roman" w:hAnsi="Times New Roman" w:cs="Times New Roman"/>
          <w:b/>
          <w:noProof/>
        </w:rPr>
        <w:t>s</w:t>
      </w:r>
      <w:r w:rsidRPr="00EC1412">
        <w:rPr>
          <w:rFonts w:ascii="Times New Roman" w:hAnsi="Times New Roman" w:cs="Times New Roman"/>
          <w:noProof/>
        </w:rPr>
        <w:t xml:space="preserve"> of </w:t>
      </w:r>
      <w:r w:rsidRPr="00EC1412">
        <w:rPr>
          <w:rFonts w:ascii="Times New Roman" w:hAnsi="Times New Roman" w:cs="Times New Roman"/>
          <w:b/>
          <w:noProof/>
        </w:rPr>
        <w:t>EMA</w:t>
      </w:r>
      <w:r w:rsidRPr="00EC1412">
        <w:rPr>
          <w:rFonts w:ascii="Times New Roman" w:hAnsi="Times New Roman" w:cs="Times New Roman"/>
          <w:noProof/>
        </w:rPr>
        <w:t>. EMA is required to actively cooperate with other EU Agencies as regards exchange of data</w:t>
      </w:r>
      <w:r>
        <w:rPr>
          <w:rFonts w:ascii="Times New Roman" w:hAnsi="Times New Roman" w:cs="Times New Roman"/>
          <w:noProof/>
        </w:rPr>
        <w:t xml:space="preserve">, </w:t>
      </w:r>
      <w:r w:rsidRPr="00EC1412">
        <w:rPr>
          <w:rFonts w:ascii="Times New Roman" w:hAnsi="Times New Roman" w:cs="Times New Roman"/>
          <w:noProof/>
        </w:rPr>
        <w:t>methodologies</w:t>
      </w:r>
      <w:r>
        <w:rPr>
          <w:rFonts w:ascii="Times New Roman" w:hAnsi="Times New Roman" w:cs="Times New Roman"/>
          <w:noProof/>
        </w:rPr>
        <w:t xml:space="preserve"> and scientific assessments</w:t>
      </w:r>
      <w:r w:rsidRPr="00EC1412">
        <w:rPr>
          <w:rFonts w:ascii="Times New Roman" w:hAnsi="Times New Roman" w:cs="Times New Roman"/>
          <w:noProof/>
        </w:rPr>
        <w:t>. EMA is further required to engage more in preventing or solving a divergent opinion with other EU Agencies. The goal is to ensure coherence, consistency and interoperability in the specified areas.</w:t>
      </w:r>
      <w:r>
        <w:rPr>
          <w:rFonts w:ascii="Times New Roman" w:hAnsi="Times New Roman" w:cs="Times New Roman"/>
          <w:noProof/>
        </w:rPr>
        <w:t xml:space="preserve"> EMA is also expected to receive marketing authorisation applications, like any other applications submitted to EMA, in electronic form and follow the digital by default principle. In addition, EMA is requested to set up an active substance based monograph system from environmental risk assessments.</w:t>
      </w:r>
    </w:p>
    <w:p w14:paraId="2C327A77" w14:textId="77777777" w:rsidR="000A7D9D" w:rsidRPr="00EC1412" w:rsidRDefault="000A7D9D" w:rsidP="000A7D9D">
      <w:pPr>
        <w:pStyle w:val="ListParagraph"/>
        <w:numPr>
          <w:ilvl w:val="0"/>
          <w:numId w:val="19"/>
        </w:numPr>
        <w:spacing w:before="240" w:after="120"/>
        <w:jc w:val="both"/>
        <w:rPr>
          <w:i/>
          <w:noProof/>
          <w:sz w:val="22"/>
          <w:szCs w:val="22"/>
        </w:rPr>
      </w:pPr>
      <w:r w:rsidRPr="2D69C30E">
        <w:rPr>
          <w:i/>
          <w:iCs/>
          <w:noProof/>
          <w:sz w:val="22"/>
          <w:szCs w:val="22"/>
        </w:rPr>
        <w:t>Directive on end-of-life vehicles</w:t>
      </w:r>
      <w:r w:rsidRPr="00E24C9B">
        <w:rPr>
          <w:rStyle w:val="FootnoteReference"/>
          <w:i/>
          <w:noProof/>
        </w:rPr>
        <w:footnoteReference w:id="36"/>
      </w:r>
      <w:r w:rsidRPr="2D69C30E">
        <w:rPr>
          <w:i/>
          <w:iCs/>
          <w:noProof/>
          <w:sz w:val="22"/>
          <w:szCs w:val="22"/>
        </w:rPr>
        <w:t xml:space="preserve"> </w:t>
      </w:r>
    </w:p>
    <w:p w14:paraId="2790F010"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The proposal for the revision of the directive on end-of-life vehicles propose</w:t>
      </w:r>
      <w:r>
        <w:rPr>
          <w:rFonts w:ascii="Times New Roman" w:hAnsi="Times New Roman" w:cs="Times New Roman"/>
          <w:noProof/>
        </w:rPr>
        <w:t>s</w:t>
      </w:r>
      <w:r w:rsidRPr="00EC1412">
        <w:rPr>
          <w:rFonts w:ascii="Times New Roman" w:hAnsi="Times New Roman" w:cs="Times New Roman"/>
          <w:noProof/>
        </w:rPr>
        <w:t xml:space="preserve"> </w:t>
      </w:r>
      <w:r w:rsidRPr="00EC1412">
        <w:rPr>
          <w:rFonts w:ascii="Times New Roman" w:hAnsi="Times New Roman" w:cs="Times New Roman"/>
          <w:b/>
          <w:noProof/>
        </w:rPr>
        <w:t xml:space="preserve">reattribution of an existing task </w:t>
      </w:r>
      <w:r w:rsidRPr="00EC1412">
        <w:rPr>
          <w:rFonts w:ascii="Times New Roman" w:hAnsi="Times New Roman" w:cs="Times New Roman"/>
          <w:noProof/>
        </w:rPr>
        <w:t xml:space="preserve">to </w:t>
      </w:r>
      <w:r w:rsidRPr="00EC1412">
        <w:rPr>
          <w:rFonts w:ascii="Times New Roman" w:hAnsi="Times New Roman" w:cs="Times New Roman"/>
          <w:b/>
          <w:noProof/>
        </w:rPr>
        <w:t>ECHA</w:t>
      </w:r>
      <w:r w:rsidRPr="00EC1412">
        <w:rPr>
          <w:rFonts w:ascii="Times New Roman" w:hAnsi="Times New Roman" w:cs="Times New Roman"/>
          <w:noProof/>
        </w:rPr>
        <w:t xml:space="preserve">. ECHA’s Committee for Socio-Economic Assessment will be required to provide assessments underpinning review of exemption from existing restriction on lead, mercury, cadmium or hexavalent chromium. ECHA </w:t>
      </w:r>
      <w:r>
        <w:rPr>
          <w:rFonts w:ascii="Times New Roman" w:hAnsi="Times New Roman" w:cs="Times New Roman"/>
          <w:noProof/>
        </w:rPr>
        <w:t xml:space="preserve">is </w:t>
      </w:r>
      <w:r w:rsidRPr="00EC1412">
        <w:rPr>
          <w:rFonts w:ascii="Times New Roman" w:hAnsi="Times New Roman" w:cs="Times New Roman"/>
          <w:noProof/>
        </w:rPr>
        <w:t xml:space="preserve">also required as part of REACH </w:t>
      </w:r>
      <w:r>
        <w:rPr>
          <w:rFonts w:ascii="Times New Roman" w:hAnsi="Times New Roman" w:cs="Times New Roman"/>
          <w:noProof/>
        </w:rPr>
        <w:t xml:space="preserve">process </w:t>
      </w:r>
      <w:r w:rsidRPr="00EC1412">
        <w:rPr>
          <w:rFonts w:ascii="Times New Roman" w:hAnsi="Times New Roman" w:cs="Times New Roman"/>
          <w:noProof/>
        </w:rPr>
        <w:t>to provide assessments underpinning restriction of hazardous substances in end-of-life vehicles. Such restriction will be under the scope of REACH, so this relies on the existing REACH task.</w:t>
      </w:r>
    </w:p>
    <w:p w14:paraId="7E565E90"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00EC1412">
        <w:rPr>
          <w:i/>
          <w:noProof/>
          <w:sz w:val="22"/>
          <w:szCs w:val="22"/>
        </w:rPr>
        <w:t>Toy safety directive</w:t>
      </w:r>
      <w:r w:rsidRPr="001B5DCE">
        <w:rPr>
          <w:rStyle w:val="FootnoteReference"/>
          <w:i/>
          <w:noProof/>
        </w:rPr>
        <w:footnoteReference w:id="37"/>
      </w:r>
    </w:p>
    <w:p w14:paraId="5276C8D3"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The proposal for the revision of the toy safety directive propose</w:t>
      </w:r>
      <w:r>
        <w:rPr>
          <w:rFonts w:ascii="Times New Roman" w:hAnsi="Times New Roman" w:cs="Times New Roman"/>
          <w:noProof/>
        </w:rPr>
        <w:t>s</w:t>
      </w:r>
      <w:r w:rsidRPr="00EC1412">
        <w:rPr>
          <w:rFonts w:ascii="Times New Roman" w:hAnsi="Times New Roman" w:cs="Times New Roman"/>
          <w:noProof/>
        </w:rPr>
        <w:t xml:space="preserve"> </w:t>
      </w:r>
      <w:r w:rsidRPr="00EC1412">
        <w:rPr>
          <w:rFonts w:ascii="Times New Roman" w:hAnsi="Times New Roman" w:cs="Times New Roman"/>
          <w:b/>
          <w:noProof/>
        </w:rPr>
        <w:t xml:space="preserve">reattribution of existing tasks </w:t>
      </w:r>
      <w:r w:rsidRPr="00EC1412">
        <w:rPr>
          <w:rFonts w:ascii="Times New Roman" w:hAnsi="Times New Roman" w:cs="Times New Roman"/>
          <w:noProof/>
        </w:rPr>
        <w:t xml:space="preserve">to </w:t>
      </w:r>
      <w:r w:rsidRPr="00EC1412">
        <w:rPr>
          <w:rFonts w:ascii="Times New Roman" w:hAnsi="Times New Roman" w:cs="Times New Roman"/>
          <w:b/>
          <w:noProof/>
        </w:rPr>
        <w:t xml:space="preserve">ECHA </w:t>
      </w:r>
      <w:r w:rsidRPr="00EC1412">
        <w:rPr>
          <w:rFonts w:ascii="Times New Roman" w:hAnsi="Times New Roman" w:cs="Times New Roman"/>
          <w:noProof/>
        </w:rPr>
        <w:t xml:space="preserve">and </w:t>
      </w:r>
      <w:r w:rsidRPr="00EC1412">
        <w:rPr>
          <w:rFonts w:ascii="Times New Roman" w:hAnsi="Times New Roman" w:cs="Times New Roman"/>
          <w:b/>
          <w:noProof/>
        </w:rPr>
        <w:t>extending</w:t>
      </w:r>
      <w:r w:rsidRPr="00EC1412">
        <w:rPr>
          <w:rFonts w:ascii="Times New Roman" w:hAnsi="Times New Roman" w:cs="Times New Roman"/>
          <w:noProof/>
        </w:rPr>
        <w:t xml:space="preserve"> some of them. ECHA’s committees for risk assessment and socio-economic analysis </w:t>
      </w:r>
      <w:r>
        <w:rPr>
          <w:rFonts w:ascii="Times New Roman" w:hAnsi="Times New Roman" w:cs="Times New Roman"/>
          <w:noProof/>
        </w:rPr>
        <w:t xml:space="preserve">is </w:t>
      </w:r>
      <w:r w:rsidRPr="00EC1412">
        <w:rPr>
          <w:rFonts w:ascii="Times New Roman" w:hAnsi="Times New Roman" w:cs="Times New Roman"/>
          <w:noProof/>
        </w:rPr>
        <w:t xml:space="preserve">required to provide assessments underpinning the establishment or strengthening of chemical limit values in toys, the amendment of the limit values for heavy metals in toys, the amendments to the lists of allergenic fragrances that are prohibited in toys or that have to be labelled if present in toys and the granting of derogations for the use of carcinogenic, mutagenic and reprotoxic substances in toys. </w:t>
      </w:r>
    </w:p>
    <w:p w14:paraId="32033313" w14:textId="77777777" w:rsidR="000A7D9D" w:rsidRPr="00EC1412" w:rsidRDefault="000A7D9D" w:rsidP="000A7D9D">
      <w:pPr>
        <w:pStyle w:val="ListParagraph"/>
        <w:numPr>
          <w:ilvl w:val="0"/>
          <w:numId w:val="19"/>
        </w:numPr>
        <w:spacing w:before="240" w:after="120"/>
        <w:jc w:val="both"/>
        <w:rPr>
          <w:i/>
          <w:noProof/>
          <w:sz w:val="22"/>
          <w:szCs w:val="22"/>
        </w:rPr>
      </w:pPr>
      <w:r w:rsidRPr="00EC1412">
        <w:rPr>
          <w:i/>
          <w:noProof/>
          <w:sz w:val="22"/>
          <w:szCs w:val="22"/>
        </w:rPr>
        <w:t xml:space="preserve">Directive on restriction of hazardous substances (RoHS) in electrical and electronic equipment </w:t>
      </w:r>
    </w:p>
    <w:p w14:paraId="3FCB335F"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amendment of the RoHS directive </w:t>
      </w:r>
      <w:r>
        <w:rPr>
          <w:rFonts w:ascii="Times New Roman" w:hAnsi="Times New Roman" w:cs="Times New Roman"/>
          <w:noProof/>
        </w:rPr>
        <w:t xml:space="preserve">adopted as part the one substance, one assessment package </w:t>
      </w:r>
      <w:r w:rsidRPr="00EC1412">
        <w:rPr>
          <w:rFonts w:ascii="Times New Roman" w:hAnsi="Times New Roman" w:cs="Times New Roman"/>
          <w:noProof/>
        </w:rPr>
        <w:t xml:space="preserve">proposes to </w:t>
      </w:r>
      <w:r w:rsidRPr="00EC1412">
        <w:rPr>
          <w:rFonts w:ascii="Times New Roman" w:hAnsi="Times New Roman" w:cs="Times New Roman"/>
          <w:b/>
          <w:noProof/>
        </w:rPr>
        <w:t>reattribute the existing tasks</w:t>
      </w:r>
      <w:r w:rsidRPr="00EC1412">
        <w:rPr>
          <w:rFonts w:ascii="Times New Roman" w:hAnsi="Times New Roman" w:cs="Times New Roman"/>
          <w:noProof/>
        </w:rPr>
        <w:t xml:space="preserve"> performed by the Commission to </w:t>
      </w:r>
      <w:r w:rsidRPr="00EC1412">
        <w:rPr>
          <w:rFonts w:ascii="Times New Roman" w:hAnsi="Times New Roman" w:cs="Times New Roman"/>
          <w:b/>
          <w:noProof/>
        </w:rPr>
        <w:t>ECHA</w:t>
      </w:r>
      <w:r w:rsidRPr="00EC1412">
        <w:rPr>
          <w:rFonts w:ascii="Times New Roman" w:hAnsi="Times New Roman" w:cs="Times New Roman"/>
          <w:noProof/>
        </w:rPr>
        <w:t xml:space="preserve"> and </w:t>
      </w:r>
      <w:r w:rsidRPr="00EC1412">
        <w:rPr>
          <w:rFonts w:ascii="Times New Roman" w:hAnsi="Times New Roman" w:cs="Times New Roman"/>
          <w:b/>
          <w:noProof/>
        </w:rPr>
        <w:t>improve how those tasks are executed</w:t>
      </w:r>
      <w:r w:rsidRPr="00EC1412">
        <w:rPr>
          <w:rFonts w:ascii="Times New Roman" w:hAnsi="Times New Roman" w:cs="Times New Roman"/>
          <w:noProof/>
        </w:rPr>
        <w:t xml:space="preserve">. ECHA is required to prepare, on the request of the Commission, a restriction dossier for substances in </w:t>
      </w:r>
      <w:r>
        <w:rPr>
          <w:rFonts w:ascii="Times New Roman" w:hAnsi="Times New Roman" w:cs="Times New Roman"/>
          <w:noProof/>
        </w:rPr>
        <w:t>electrical and electronic equipment</w:t>
      </w:r>
      <w:r w:rsidRPr="00EC1412">
        <w:rPr>
          <w:rFonts w:ascii="Times New Roman" w:hAnsi="Times New Roman" w:cs="Times New Roman"/>
          <w:noProof/>
        </w:rPr>
        <w:t xml:space="preserve">. Such dossier can be also prepared by a Member State. ECHA’s Committees for Risk Assessment and for Socio-Economic Analysis are then requested to prepare an opinion on the restriction dossier (prepared by itself or by a Member State) and submit such opinions to the Commission. ECHA is also requested to receive </w:t>
      </w:r>
      <w:r w:rsidRPr="00EC1412">
        <w:rPr>
          <w:rStyle w:val="normaltextrun"/>
          <w:rFonts w:ascii="Times New Roman" w:hAnsi="Times New Roman" w:cs="Times New Roman"/>
          <w:noProof/>
        </w:rPr>
        <w:t>applications for granting, renewing or revoking an exemption</w:t>
      </w:r>
      <w:r>
        <w:rPr>
          <w:rStyle w:val="normaltextrun"/>
          <w:rFonts w:ascii="Times New Roman" w:hAnsi="Times New Roman" w:cs="Times New Roman"/>
          <w:noProof/>
        </w:rPr>
        <w:t xml:space="preserve"> from the substance restrictions</w:t>
      </w:r>
      <w:r w:rsidRPr="00EC1412">
        <w:rPr>
          <w:rStyle w:val="normaltextrun"/>
          <w:rFonts w:ascii="Times New Roman" w:hAnsi="Times New Roman" w:cs="Times New Roman"/>
          <w:noProof/>
        </w:rPr>
        <w:t xml:space="preserve">, verify its completeness, get an opinion of its Committee for Socio-Economic Analysis and </w:t>
      </w:r>
      <w:r>
        <w:rPr>
          <w:rStyle w:val="normaltextrun"/>
          <w:rFonts w:ascii="Times New Roman" w:hAnsi="Times New Roman" w:cs="Times New Roman"/>
          <w:noProof/>
        </w:rPr>
        <w:t>if necessary from</w:t>
      </w:r>
      <w:r w:rsidRPr="00EC1412">
        <w:rPr>
          <w:rStyle w:val="normaltextrun"/>
          <w:rFonts w:ascii="Times New Roman" w:hAnsi="Times New Roman" w:cs="Times New Roman"/>
          <w:noProof/>
        </w:rPr>
        <w:t xml:space="preserve"> its Committee for Risk Assessment and submit the opinions to the Commission. </w:t>
      </w:r>
    </w:p>
    <w:p w14:paraId="717EAAAF" w14:textId="77777777" w:rsidR="000A7D9D" w:rsidRPr="00EC1412" w:rsidRDefault="000A7D9D" w:rsidP="000A7D9D">
      <w:pPr>
        <w:pStyle w:val="ListParagraph"/>
        <w:numPr>
          <w:ilvl w:val="0"/>
          <w:numId w:val="19"/>
        </w:numPr>
        <w:spacing w:before="240" w:after="120"/>
        <w:jc w:val="both"/>
        <w:rPr>
          <w:i/>
          <w:noProof/>
          <w:sz w:val="22"/>
          <w:szCs w:val="22"/>
        </w:rPr>
      </w:pPr>
      <w:r w:rsidRPr="00EC1412">
        <w:rPr>
          <w:i/>
          <w:noProof/>
          <w:sz w:val="22"/>
          <w:szCs w:val="22"/>
        </w:rPr>
        <w:t>POPs regulation</w:t>
      </w:r>
    </w:p>
    <w:p w14:paraId="23670059"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amendment of the POPs regulation via the omnibus regulation on (re-)attribution of tasks </w:t>
      </w:r>
      <w:r>
        <w:rPr>
          <w:rFonts w:ascii="Times New Roman" w:hAnsi="Times New Roman" w:cs="Times New Roman"/>
          <w:noProof/>
        </w:rPr>
        <w:t xml:space="preserve">adopted as part of the one substance, one assessment package </w:t>
      </w:r>
      <w:r w:rsidRPr="00EC1412">
        <w:rPr>
          <w:rFonts w:ascii="Times New Roman" w:hAnsi="Times New Roman" w:cs="Times New Roman"/>
          <w:noProof/>
        </w:rPr>
        <w:t xml:space="preserve">proposes to </w:t>
      </w:r>
      <w:r w:rsidRPr="00EC1412">
        <w:rPr>
          <w:rFonts w:ascii="Times New Roman" w:hAnsi="Times New Roman" w:cs="Times New Roman"/>
          <w:b/>
          <w:noProof/>
        </w:rPr>
        <w:t>reattribute the existing tasks</w:t>
      </w:r>
      <w:r w:rsidRPr="00EC1412">
        <w:rPr>
          <w:rFonts w:ascii="Times New Roman" w:hAnsi="Times New Roman" w:cs="Times New Roman"/>
          <w:noProof/>
        </w:rPr>
        <w:t xml:space="preserve"> performed by the Commission to </w:t>
      </w:r>
      <w:r w:rsidRPr="00EC1412">
        <w:rPr>
          <w:rFonts w:ascii="Times New Roman" w:hAnsi="Times New Roman" w:cs="Times New Roman"/>
          <w:b/>
          <w:noProof/>
        </w:rPr>
        <w:t>ECHA</w:t>
      </w:r>
      <w:r w:rsidRPr="00EC1412">
        <w:rPr>
          <w:rFonts w:ascii="Times New Roman" w:hAnsi="Times New Roman" w:cs="Times New Roman"/>
          <w:noProof/>
        </w:rPr>
        <w:t xml:space="preserve"> and </w:t>
      </w:r>
      <w:r w:rsidRPr="00EC1412">
        <w:rPr>
          <w:rFonts w:ascii="Times New Roman" w:hAnsi="Times New Roman" w:cs="Times New Roman"/>
          <w:b/>
          <w:noProof/>
        </w:rPr>
        <w:t>EEA</w:t>
      </w:r>
      <w:r w:rsidRPr="00EC1412">
        <w:rPr>
          <w:rFonts w:ascii="Times New Roman" w:hAnsi="Times New Roman" w:cs="Times New Roman"/>
          <w:noProof/>
        </w:rPr>
        <w:t xml:space="preserve"> and </w:t>
      </w:r>
      <w:r w:rsidRPr="00EC1412">
        <w:rPr>
          <w:rFonts w:ascii="Times New Roman" w:hAnsi="Times New Roman" w:cs="Times New Roman"/>
          <w:b/>
          <w:noProof/>
        </w:rPr>
        <w:t>improve how those tasks are executed</w:t>
      </w:r>
      <w:r w:rsidRPr="00EC1412">
        <w:rPr>
          <w:rFonts w:ascii="Times New Roman" w:hAnsi="Times New Roman" w:cs="Times New Roman"/>
          <w:noProof/>
        </w:rPr>
        <w:t xml:space="preserve">. On the request of the Commission, ECHA is expected to provide assessments underpinning setting concentration limit values for substances subject to waste management provisions as part of the review of Annexes IV and V of the POPs regulation. As part of that assessment, ECHA is required to prepare a report on the assessment with the proposal for concentration limit values, get opinion of its Committee for Socio-Economic Assessment on the report and submit the opinion to the Commission as an input for amendment of Annexes IV and V via the delegated act. EEA is expected to host the chemical monitoring data in the environment of the POPs listed in Annex III, Part I. </w:t>
      </w:r>
    </w:p>
    <w:p w14:paraId="41852B13" w14:textId="77777777" w:rsidR="000A7D9D" w:rsidRPr="00EC1412" w:rsidRDefault="000A7D9D" w:rsidP="000A7D9D">
      <w:pPr>
        <w:pStyle w:val="ListParagraph"/>
        <w:numPr>
          <w:ilvl w:val="0"/>
          <w:numId w:val="19"/>
        </w:numPr>
        <w:spacing w:before="240" w:after="120"/>
        <w:jc w:val="both"/>
        <w:rPr>
          <w:i/>
          <w:noProof/>
          <w:sz w:val="22"/>
          <w:szCs w:val="22"/>
        </w:rPr>
      </w:pPr>
      <w:r w:rsidRPr="00EC1412">
        <w:rPr>
          <w:i/>
          <w:noProof/>
          <w:sz w:val="22"/>
          <w:szCs w:val="22"/>
        </w:rPr>
        <w:t xml:space="preserve">Medical devices regulation </w:t>
      </w:r>
    </w:p>
    <w:p w14:paraId="2CD26274"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amendment of the medical product regulation via the omnibus regulation on (re-)attribution of tasks </w:t>
      </w:r>
      <w:r>
        <w:rPr>
          <w:rFonts w:ascii="Times New Roman" w:hAnsi="Times New Roman" w:cs="Times New Roman"/>
          <w:noProof/>
        </w:rPr>
        <w:t>adopted as part of the one substance, one assessment package</w:t>
      </w:r>
      <w:r w:rsidRPr="00EC1412">
        <w:rPr>
          <w:rFonts w:ascii="Times New Roman" w:hAnsi="Times New Roman" w:cs="Times New Roman"/>
          <w:noProof/>
        </w:rPr>
        <w:t xml:space="preserve"> proposes to </w:t>
      </w:r>
      <w:r w:rsidRPr="00EC1412">
        <w:rPr>
          <w:rFonts w:ascii="Times New Roman" w:hAnsi="Times New Roman" w:cs="Times New Roman"/>
          <w:b/>
          <w:noProof/>
        </w:rPr>
        <w:t>reattribute the existing tasks</w:t>
      </w:r>
      <w:r w:rsidRPr="00EC1412">
        <w:rPr>
          <w:rFonts w:ascii="Times New Roman" w:hAnsi="Times New Roman" w:cs="Times New Roman"/>
          <w:noProof/>
        </w:rPr>
        <w:t xml:space="preserve"> performed by the Commission and its Scientific Committee on Health, Environmental and Emerging Risks (SCHEER) to </w:t>
      </w:r>
      <w:r w:rsidRPr="00EC1412">
        <w:rPr>
          <w:rFonts w:ascii="Times New Roman" w:hAnsi="Times New Roman" w:cs="Times New Roman"/>
          <w:b/>
          <w:noProof/>
        </w:rPr>
        <w:t>ECHA</w:t>
      </w:r>
      <w:r w:rsidRPr="00EC1412">
        <w:rPr>
          <w:rFonts w:ascii="Times New Roman" w:hAnsi="Times New Roman" w:cs="Times New Roman"/>
          <w:noProof/>
        </w:rPr>
        <w:t xml:space="preserve">. ECHA is required every 5 years to review the guidelines on how to perform the benefit-risk assessment of the presence of phthalates in medical devices. In addition, on the request of the Commission, ECHA is required to prepare and review the guidelines on how to perform the benefit-risk assessment of the presence of carcinogenic, mutagenic, reprotoxic or endocrine-disrupting substances in medical devices. </w:t>
      </w:r>
    </w:p>
    <w:p w14:paraId="1E17BADC" w14:textId="77777777" w:rsidR="000A7D9D" w:rsidRPr="00EC1412" w:rsidRDefault="000A7D9D" w:rsidP="000A7D9D">
      <w:pPr>
        <w:pStyle w:val="ListParagraph"/>
        <w:numPr>
          <w:ilvl w:val="0"/>
          <w:numId w:val="19"/>
        </w:numPr>
        <w:spacing w:before="240" w:after="120"/>
        <w:jc w:val="both"/>
        <w:rPr>
          <w:i/>
          <w:noProof/>
          <w:sz w:val="22"/>
          <w:szCs w:val="22"/>
        </w:rPr>
      </w:pPr>
      <w:r w:rsidRPr="00EC1412">
        <w:rPr>
          <w:i/>
          <w:noProof/>
          <w:sz w:val="22"/>
          <w:szCs w:val="22"/>
        </w:rPr>
        <w:t xml:space="preserve">EEA founding regulation </w:t>
      </w:r>
    </w:p>
    <w:p w14:paraId="0F683EAD"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The proposal for amendment of the EEA founding regulation via the omnibus regulation on (re-)attribution of tasks</w:t>
      </w:r>
      <w:r>
        <w:rPr>
          <w:rFonts w:ascii="Times New Roman" w:hAnsi="Times New Roman" w:cs="Times New Roman"/>
          <w:noProof/>
        </w:rPr>
        <w:t xml:space="preserve"> adopted</w:t>
      </w:r>
      <w:r w:rsidRPr="00EC1412">
        <w:rPr>
          <w:rFonts w:ascii="Times New Roman" w:hAnsi="Times New Roman" w:cs="Times New Roman"/>
          <w:noProof/>
        </w:rPr>
        <w:t xml:space="preserve"> </w:t>
      </w:r>
      <w:r>
        <w:rPr>
          <w:rFonts w:ascii="Times New Roman" w:hAnsi="Times New Roman" w:cs="Times New Roman"/>
          <w:noProof/>
        </w:rPr>
        <w:t>as part of the one substance, one assessment package</w:t>
      </w:r>
      <w:r w:rsidRPr="00EC1412">
        <w:rPr>
          <w:rFonts w:ascii="Times New Roman" w:hAnsi="Times New Roman" w:cs="Times New Roman"/>
          <w:noProof/>
        </w:rPr>
        <w:t xml:space="preserve"> proposes to </w:t>
      </w:r>
      <w:r w:rsidRPr="00EC1412">
        <w:rPr>
          <w:rFonts w:ascii="Times New Roman" w:hAnsi="Times New Roman" w:cs="Times New Roman"/>
          <w:b/>
          <w:noProof/>
        </w:rPr>
        <w:t>better specify existing tasks</w:t>
      </w:r>
      <w:r w:rsidRPr="00EC1412">
        <w:rPr>
          <w:rFonts w:ascii="Times New Roman" w:hAnsi="Times New Roman" w:cs="Times New Roman"/>
          <w:noProof/>
        </w:rPr>
        <w:t xml:space="preserve"> of </w:t>
      </w:r>
      <w:r w:rsidRPr="00EC1412">
        <w:rPr>
          <w:rFonts w:ascii="Times New Roman" w:hAnsi="Times New Roman" w:cs="Times New Roman"/>
          <w:b/>
          <w:noProof/>
        </w:rPr>
        <w:t>EEA</w:t>
      </w:r>
      <w:r w:rsidRPr="00EC1412">
        <w:rPr>
          <w:rFonts w:ascii="Times New Roman" w:hAnsi="Times New Roman" w:cs="Times New Roman"/>
          <w:noProof/>
        </w:rPr>
        <w:t>. EEA is given a mandate to develop assessment methodologies related to chemicals within the mission of the agency and EEA is required to actively cooperate with other EU Agencies as regards exchange of data and development of methodologies. The goal is to ensure coherence, consistency and interoperability in the specified areas.</w:t>
      </w:r>
    </w:p>
    <w:p w14:paraId="2D392188" w14:textId="77777777" w:rsidR="000A7D9D" w:rsidRPr="00EC1412" w:rsidRDefault="000A7D9D" w:rsidP="000A7D9D">
      <w:pPr>
        <w:pStyle w:val="ListParagraph"/>
        <w:numPr>
          <w:ilvl w:val="0"/>
          <w:numId w:val="19"/>
        </w:numPr>
        <w:spacing w:before="240" w:after="120"/>
        <w:jc w:val="both"/>
        <w:rPr>
          <w:i/>
          <w:noProof/>
          <w:sz w:val="22"/>
          <w:szCs w:val="22"/>
        </w:rPr>
      </w:pPr>
      <w:r w:rsidRPr="00EC1412">
        <w:rPr>
          <w:i/>
          <w:noProof/>
          <w:sz w:val="22"/>
          <w:szCs w:val="22"/>
        </w:rPr>
        <w:t>General Food Law</w:t>
      </w:r>
    </w:p>
    <w:p w14:paraId="03C8181B"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amendment of the General Food Law establishing EFSA via the omnibus regulation on (re-)attribution of tasks </w:t>
      </w:r>
      <w:r>
        <w:rPr>
          <w:rFonts w:ascii="Times New Roman" w:hAnsi="Times New Roman" w:cs="Times New Roman"/>
          <w:noProof/>
        </w:rPr>
        <w:t>adopted as part of the one substance, one assessment package</w:t>
      </w:r>
      <w:r w:rsidRPr="00EC1412">
        <w:rPr>
          <w:rFonts w:ascii="Times New Roman" w:hAnsi="Times New Roman" w:cs="Times New Roman"/>
          <w:noProof/>
        </w:rPr>
        <w:t xml:space="preserve"> proposes to </w:t>
      </w:r>
      <w:r w:rsidRPr="00EC1412">
        <w:rPr>
          <w:rFonts w:ascii="Times New Roman" w:hAnsi="Times New Roman" w:cs="Times New Roman"/>
          <w:b/>
          <w:noProof/>
        </w:rPr>
        <w:t>better specify existing tasks</w:t>
      </w:r>
      <w:r w:rsidRPr="00EC1412">
        <w:rPr>
          <w:rFonts w:ascii="Times New Roman" w:hAnsi="Times New Roman" w:cs="Times New Roman"/>
          <w:noProof/>
        </w:rPr>
        <w:t xml:space="preserve"> of </w:t>
      </w:r>
      <w:r w:rsidRPr="00EC1412">
        <w:rPr>
          <w:rFonts w:ascii="Times New Roman" w:hAnsi="Times New Roman" w:cs="Times New Roman"/>
          <w:b/>
          <w:noProof/>
        </w:rPr>
        <w:t>EFSA</w:t>
      </w:r>
      <w:r w:rsidRPr="00EC1412">
        <w:rPr>
          <w:rFonts w:ascii="Times New Roman" w:hAnsi="Times New Roman" w:cs="Times New Roman"/>
          <w:noProof/>
        </w:rPr>
        <w:t>. EFSA is required to actively cooperate with other EU Agencies as regards exchange of data and development of methodologies. EFSA is further required to engage more in preventing or solving a divergent opinion with other EU Agencies. The goal is to ensure coherence, consistency and interoperability in the specified areas.</w:t>
      </w:r>
    </w:p>
    <w:p w14:paraId="2E51720A" w14:textId="77777777" w:rsidR="000A7D9D" w:rsidRPr="00EC1412" w:rsidRDefault="000A7D9D" w:rsidP="000A7D9D">
      <w:pPr>
        <w:pStyle w:val="ListParagraph"/>
        <w:numPr>
          <w:ilvl w:val="0"/>
          <w:numId w:val="19"/>
        </w:numPr>
        <w:spacing w:before="240" w:after="120"/>
        <w:jc w:val="both"/>
        <w:rPr>
          <w:i/>
          <w:noProof/>
          <w:sz w:val="22"/>
          <w:szCs w:val="22"/>
        </w:rPr>
      </w:pPr>
      <w:r w:rsidRPr="00EC1412">
        <w:rPr>
          <w:i/>
          <w:noProof/>
          <w:sz w:val="22"/>
          <w:szCs w:val="22"/>
        </w:rPr>
        <w:t xml:space="preserve">Common Data Platform on Chemicals </w:t>
      </w:r>
    </w:p>
    <w:p w14:paraId="0590C640"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proposal for a regulation establishing a common data platform and a monitoring and outlook framework for chemicals </w:t>
      </w:r>
      <w:r>
        <w:rPr>
          <w:rFonts w:ascii="Times New Roman" w:hAnsi="Times New Roman" w:cs="Times New Roman"/>
          <w:noProof/>
        </w:rPr>
        <w:t>adopted as part of the one substance, one assessment package</w:t>
      </w:r>
      <w:r w:rsidRPr="00EC1412">
        <w:rPr>
          <w:rFonts w:ascii="Times New Roman" w:hAnsi="Times New Roman" w:cs="Times New Roman"/>
          <w:noProof/>
        </w:rPr>
        <w:t xml:space="preserve"> </w:t>
      </w:r>
      <w:r w:rsidRPr="2D69C30E">
        <w:rPr>
          <w:rFonts w:ascii="Times New Roman" w:hAnsi="Times New Roman" w:cs="Times New Roman"/>
          <w:noProof/>
        </w:rPr>
        <w:t xml:space="preserve">assigns </w:t>
      </w:r>
      <w:r w:rsidRPr="2D69C30E">
        <w:rPr>
          <w:rFonts w:ascii="Times New Roman" w:hAnsi="Times New Roman" w:cs="Times New Roman"/>
          <w:b/>
          <w:bCs/>
          <w:noProof/>
        </w:rPr>
        <w:t>new tasks</w:t>
      </w:r>
      <w:r w:rsidRPr="2D69C30E">
        <w:rPr>
          <w:rFonts w:ascii="Times New Roman" w:hAnsi="Times New Roman" w:cs="Times New Roman"/>
          <w:noProof/>
        </w:rPr>
        <w:t xml:space="preserve"> to </w:t>
      </w:r>
      <w:r w:rsidRPr="2D69C30E">
        <w:rPr>
          <w:rFonts w:ascii="Times New Roman" w:hAnsi="Times New Roman" w:cs="Times New Roman"/>
          <w:b/>
          <w:bCs/>
          <w:noProof/>
        </w:rPr>
        <w:t xml:space="preserve">ECHA, EEA, EFSA, EMA and </w:t>
      </w:r>
      <w:r>
        <w:rPr>
          <w:rFonts w:ascii="Times New Roman" w:hAnsi="Times New Roman" w:cs="Times New Roman"/>
          <w:b/>
          <w:bCs/>
          <w:noProof/>
        </w:rPr>
        <w:t>EU-</w:t>
      </w:r>
      <w:r w:rsidRPr="2D69C30E">
        <w:rPr>
          <w:rFonts w:ascii="Times New Roman" w:hAnsi="Times New Roman" w:cs="Times New Roman"/>
          <w:b/>
          <w:bCs/>
          <w:noProof/>
        </w:rPr>
        <w:t>OSHA</w:t>
      </w:r>
      <w:r w:rsidRPr="2D69C30E">
        <w:rPr>
          <w:rFonts w:ascii="Times New Roman" w:hAnsi="Times New Roman" w:cs="Times New Roman"/>
          <w:noProof/>
        </w:rPr>
        <w:t>. ECHA is requested to set up and operate the common data platform on chemicals</w:t>
      </w:r>
      <w:r>
        <w:rPr>
          <w:rFonts w:ascii="Times New Roman" w:hAnsi="Times New Roman" w:cs="Times New Roman"/>
          <w:noProof/>
        </w:rPr>
        <w:t xml:space="preserve">, </w:t>
      </w:r>
      <w:r w:rsidRPr="00EF55CB">
        <w:rPr>
          <w:rFonts w:ascii="Times New Roman" w:hAnsi="Times New Roman" w:cs="Times New Roman"/>
          <w:noProof/>
        </w:rPr>
        <w:t>including the database of standard formats and controlled vocabularies.</w:t>
      </w:r>
      <w:r w:rsidRPr="2D69C30E">
        <w:rPr>
          <w:rFonts w:ascii="Times New Roman" w:hAnsi="Times New Roman" w:cs="Times New Roman"/>
          <w:noProof/>
        </w:rPr>
        <w:t xml:space="preserve"> All agencies are requested to make the data on chemicals they hold available to the platform in appropriate formats for sharing among the authorities, to set formats and controlled vocabularies in their area of competence so data can be easily shared and to cooperate </w:t>
      </w:r>
      <w:r>
        <w:rPr>
          <w:rFonts w:ascii="Times New Roman" w:hAnsi="Times New Roman" w:cs="Times New Roman"/>
          <w:noProof/>
        </w:rPr>
        <w:t xml:space="preserve">with ECHA and </w:t>
      </w:r>
      <w:r w:rsidRPr="2D69C30E">
        <w:rPr>
          <w:rFonts w:ascii="Times New Roman" w:hAnsi="Times New Roman" w:cs="Times New Roman"/>
          <w:noProof/>
        </w:rPr>
        <w:t>among each other in developing and operating the common data platform.</w:t>
      </w:r>
    </w:p>
    <w:p w14:paraId="1E1225D9" w14:textId="77777777" w:rsidR="000A7D9D" w:rsidRPr="00EC1412" w:rsidRDefault="000A7D9D" w:rsidP="000A7D9D">
      <w:pPr>
        <w:pStyle w:val="ListParagraph"/>
        <w:numPr>
          <w:ilvl w:val="0"/>
          <w:numId w:val="19"/>
        </w:numPr>
        <w:spacing w:before="240" w:after="120"/>
        <w:jc w:val="both"/>
        <w:rPr>
          <w:i/>
          <w:iCs/>
          <w:noProof/>
          <w:sz w:val="22"/>
          <w:szCs w:val="22"/>
        </w:rPr>
      </w:pPr>
      <w:r w:rsidRPr="2D69C30E">
        <w:rPr>
          <w:i/>
          <w:iCs/>
          <w:noProof/>
          <w:sz w:val="22"/>
          <w:szCs w:val="22"/>
        </w:rPr>
        <w:t>Information platform for chemical monitoring (IPCHEM)</w:t>
      </w:r>
    </w:p>
    <w:p w14:paraId="3942A9D5"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proposal for a regulation establishing a common data platform and a monitoring and outlook framework for chemicals </w:t>
      </w:r>
      <w:r>
        <w:rPr>
          <w:rFonts w:ascii="Times New Roman" w:hAnsi="Times New Roman" w:cs="Times New Roman"/>
          <w:noProof/>
        </w:rPr>
        <w:t>adopted as part of the one substance, one assessment package</w:t>
      </w:r>
      <w:r w:rsidRPr="00EC1412">
        <w:rPr>
          <w:rFonts w:ascii="Times New Roman" w:hAnsi="Times New Roman" w:cs="Times New Roman"/>
          <w:noProof/>
        </w:rPr>
        <w:t xml:space="preserve"> </w:t>
      </w:r>
      <w:r w:rsidRPr="2D69C30E">
        <w:rPr>
          <w:rFonts w:ascii="Times New Roman" w:hAnsi="Times New Roman" w:cs="Times New Roman"/>
          <w:noProof/>
        </w:rPr>
        <w:t xml:space="preserve">proposes to </w:t>
      </w:r>
      <w:r w:rsidRPr="2D69C30E">
        <w:rPr>
          <w:rFonts w:ascii="Times New Roman" w:hAnsi="Times New Roman" w:cs="Times New Roman"/>
          <w:b/>
          <w:bCs/>
          <w:noProof/>
        </w:rPr>
        <w:t>reattribute the existing task</w:t>
      </w:r>
      <w:r w:rsidRPr="2D69C30E">
        <w:rPr>
          <w:rFonts w:ascii="Times New Roman" w:hAnsi="Times New Roman" w:cs="Times New Roman"/>
          <w:noProof/>
        </w:rPr>
        <w:t xml:space="preserve"> performed by the Commission to </w:t>
      </w:r>
      <w:r w:rsidRPr="2D69C30E">
        <w:rPr>
          <w:rFonts w:ascii="Times New Roman" w:hAnsi="Times New Roman" w:cs="Times New Roman"/>
          <w:b/>
          <w:bCs/>
          <w:noProof/>
        </w:rPr>
        <w:t>ECHA</w:t>
      </w:r>
      <w:r w:rsidRPr="2D69C30E">
        <w:rPr>
          <w:rFonts w:ascii="Times New Roman" w:hAnsi="Times New Roman" w:cs="Times New Roman"/>
          <w:noProof/>
        </w:rPr>
        <w:t xml:space="preserve"> and </w:t>
      </w:r>
      <w:r w:rsidRPr="2D69C30E">
        <w:rPr>
          <w:rFonts w:ascii="Times New Roman" w:hAnsi="Times New Roman" w:cs="Times New Roman"/>
          <w:b/>
          <w:bCs/>
          <w:noProof/>
        </w:rPr>
        <w:t>EEA</w:t>
      </w:r>
      <w:r w:rsidRPr="2D69C30E">
        <w:rPr>
          <w:rFonts w:ascii="Times New Roman" w:hAnsi="Times New Roman" w:cs="Times New Roman"/>
          <w:noProof/>
        </w:rPr>
        <w:t xml:space="preserve">. ECHA is required to operate the IPCHEM as part of the common data platform on chemicals and host occupational monitoring data. EEA is requested to collect and host the human biomonitoring data and host environmental occurrence data and indoor air quality data. </w:t>
      </w:r>
      <w:r>
        <w:rPr>
          <w:rFonts w:ascii="Times New Roman" w:hAnsi="Times New Roman" w:cs="Times New Roman"/>
          <w:noProof/>
        </w:rPr>
        <w:t xml:space="preserve">The proposal will also </w:t>
      </w:r>
      <w:r w:rsidRPr="00E613EC">
        <w:rPr>
          <w:rFonts w:ascii="Times New Roman" w:hAnsi="Times New Roman" w:cs="Times New Roman"/>
          <w:b/>
          <w:noProof/>
        </w:rPr>
        <w:t>formalise the tasks</w:t>
      </w:r>
      <w:r>
        <w:rPr>
          <w:rFonts w:ascii="Times New Roman" w:hAnsi="Times New Roman" w:cs="Times New Roman"/>
          <w:noProof/>
        </w:rPr>
        <w:t xml:space="preserve"> of ECHA, EFSA, EEA, EMA and EU-OSHA to provide available chemical monitoring data to ECHA for integration into IPCHEM. </w:t>
      </w:r>
    </w:p>
    <w:p w14:paraId="4D7A2C77" w14:textId="77777777" w:rsidR="000A7D9D" w:rsidRPr="00EC1412" w:rsidRDefault="000A7D9D" w:rsidP="000A7D9D">
      <w:pPr>
        <w:pStyle w:val="ListParagraph"/>
        <w:numPr>
          <w:ilvl w:val="0"/>
          <w:numId w:val="19"/>
        </w:numPr>
        <w:spacing w:before="240" w:after="120"/>
        <w:jc w:val="both"/>
        <w:rPr>
          <w:i/>
          <w:iCs/>
          <w:noProof/>
          <w:sz w:val="22"/>
          <w:szCs w:val="22"/>
        </w:rPr>
      </w:pPr>
      <w:r w:rsidRPr="2E8599C7">
        <w:rPr>
          <w:i/>
          <w:iCs/>
          <w:noProof/>
          <w:sz w:val="22"/>
          <w:szCs w:val="22"/>
        </w:rPr>
        <w:t>Information on regulatory processes on chemicals</w:t>
      </w:r>
    </w:p>
    <w:p w14:paraId="6308B422" w14:textId="77777777" w:rsidR="000A7D9D" w:rsidRPr="00EC1412" w:rsidRDefault="000A7D9D" w:rsidP="000A7D9D">
      <w:pPr>
        <w:spacing w:after="120"/>
        <w:jc w:val="both"/>
        <w:rPr>
          <w:rFonts w:ascii="Times New Roman" w:hAnsi="Times New Roman" w:cs="Times New Roman"/>
          <w:noProof/>
        </w:rPr>
      </w:pPr>
      <w:r w:rsidRPr="2E8599C7">
        <w:rPr>
          <w:rFonts w:ascii="Times New Roman" w:hAnsi="Times New Roman" w:cs="Times New Roman"/>
          <w:noProof/>
        </w:rPr>
        <w:t xml:space="preserve">The proposal for a regulation establishing a common data platform and a monitoring and outlook framework for chemicals </w:t>
      </w:r>
      <w:r>
        <w:rPr>
          <w:rFonts w:ascii="Times New Roman" w:hAnsi="Times New Roman" w:cs="Times New Roman"/>
          <w:noProof/>
        </w:rPr>
        <w:t>adopted as part of the one substance, one assessment package</w:t>
      </w:r>
      <w:r w:rsidRPr="00EC1412">
        <w:rPr>
          <w:rFonts w:ascii="Times New Roman" w:hAnsi="Times New Roman" w:cs="Times New Roman"/>
          <w:noProof/>
        </w:rPr>
        <w:t xml:space="preserve"> </w:t>
      </w:r>
      <w:r w:rsidRPr="2E8599C7">
        <w:rPr>
          <w:rFonts w:ascii="Times New Roman" w:hAnsi="Times New Roman" w:cs="Times New Roman"/>
          <w:noProof/>
        </w:rPr>
        <w:t xml:space="preserve">proposes to </w:t>
      </w:r>
      <w:r w:rsidRPr="2E8599C7">
        <w:rPr>
          <w:rFonts w:ascii="Times New Roman" w:hAnsi="Times New Roman" w:cs="Times New Roman"/>
          <w:b/>
          <w:bCs/>
          <w:noProof/>
        </w:rPr>
        <w:t>extend the existing task</w:t>
      </w:r>
      <w:r w:rsidRPr="2E8599C7">
        <w:rPr>
          <w:rFonts w:ascii="Times New Roman" w:hAnsi="Times New Roman" w:cs="Times New Roman"/>
          <w:noProof/>
        </w:rPr>
        <w:t xml:space="preserve"> currently managed by </w:t>
      </w:r>
      <w:r w:rsidRPr="2E8599C7">
        <w:rPr>
          <w:rFonts w:ascii="Times New Roman" w:hAnsi="Times New Roman" w:cs="Times New Roman"/>
          <w:b/>
          <w:bCs/>
          <w:noProof/>
        </w:rPr>
        <w:t>ECHA</w:t>
      </w:r>
      <w:r w:rsidRPr="2E8599C7">
        <w:rPr>
          <w:rFonts w:ascii="Times New Roman" w:hAnsi="Times New Roman" w:cs="Times New Roman"/>
          <w:noProof/>
        </w:rPr>
        <w:t xml:space="preserve">. ECHA is requested to continue operating the (public) activities coordination tool ((P)ACT) system and extend it to other pieces of legislation. </w:t>
      </w:r>
      <w:r w:rsidRPr="2E8599C7">
        <w:rPr>
          <w:rFonts w:ascii="Times New Roman" w:hAnsi="Times New Roman" w:cs="Times New Roman"/>
          <w:b/>
          <w:bCs/>
          <w:noProof/>
        </w:rPr>
        <w:t>EFSA</w:t>
      </w:r>
      <w:r w:rsidRPr="2E8599C7">
        <w:rPr>
          <w:rFonts w:ascii="Times New Roman" w:hAnsi="Times New Roman" w:cs="Times New Roman"/>
          <w:noProof/>
        </w:rPr>
        <w:t>,</w:t>
      </w:r>
      <w:r w:rsidRPr="2E8599C7">
        <w:rPr>
          <w:rFonts w:ascii="Times New Roman" w:hAnsi="Times New Roman" w:cs="Times New Roman"/>
          <w:b/>
          <w:bCs/>
          <w:noProof/>
        </w:rPr>
        <w:t xml:space="preserve"> </w:t>
      </w:r>
      <w:r>
        <w:rPr>
          <w:rFonts w:ascii="Times New Roman" w:hAnsi="Times New Roman" w:cs="Times New Roman"/>
          <w:b/>
          <w:bCs/>
          <w:noProof/>
        </w:rPr>
        <w:t xml:space="preserve"> </w:t>
      </w:r>
      <w:r w:rsidRPr="2E8599C7">
        <w:rPr>
          <w:rFonts w:ascii="Times New Roman" w:hAnsi="Times New Roman" w:cs="Times New Roman"/>
          <w:b/>
          <w:bCs/>
          <w:noProof/>
        </w:rPr>
        <w:t>EEA and EU-OSHA</w:t>
      </w:r>
      <w:r w:rsidRPr="2E8599C7">
        <w:rPr>
          <w:rFonts w:ascii="Times New Roman" w:hAnsi="Times New Roman" w:cs="Times New Roman"/>
          <w:noProof/>
        </w:rPr>
        <w:t xml:space="preserve"> are required to provide the relevant information to ECHA. </w:t>
      </w:r>
    </w:p>
    <w:p w14:paraId="5FF37390" w14:textId="77777777" w:rsidR="000A7D9D" w:rsidRPr="00EC1412" w:rsidRDefault="000A7D9D" w:rsidP="000A7D9D">
      <w:pPr>
        <w:pStyle w:val="ListParagraph"/>
        <w:numPr>
          <w:ilvl w:val="0"/>
          <w:numId w:val="19"/>
        </w:numPr>
        <w:spacing w:before="240" w:after="120"/>
        <w:jc w:val="both"/>
        <w:rPr>
          <w:i/>
          <w:iCs/>
          <w:noProof/>
          <w:sz w:val="22"/>
          <w:szCs w:val="22"/>
        </w:rPr>
      </w:pPr>
      <w:r w:rsidRPr="2E8599C7">
        <w:rPr>
          <w:i/>
          <w:iCs/>
          <w:noProof/>
          <w:sz w:val="22"/>
          <w:szCs w:val="22"/>
        </w:rPr>
        <w:t>Repository of reference values</w:t>
      </w:r>
    </w:p>
    <w:p w14:paraId="19A534C8"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proposal for a regulation establishing a common data platform and a monitoring and outlook framework for chemicals </w:t>
      </w:r>
      <w:r>
        <w:rPr>
          <w:rFonts w:ascii="Times New Roman" w:hAnsi="Times New Roman" w:cs="Times New Roman"/>
          <w:noProof/>
        </w:rPr>
        <w:t>adopted as part of the one substance, one assessment package</w:t>
      </w:r>
      <w:r w:rsidRPr="00EC1412">
        <w:rPr>
          <w:rFonts w:ascii="Times New Roman" w:hAnsi="Times New Roman" w:cs="Times New Roman"/>
          <w:noProof/>
        </w:rPr>
        <w:t xml:space="preserve"> </w:t>
      </w:r>
      <w:r w:rsidRPr="2D69C30E">
        <w:rPr>
          <w:rFonts w:ascii="Times New Roman" w:hAnsi="Times New Roman" w:cs="Times New Roman"/>
          <w:noProof/>
        </w:rPr>
        <w:t xml:space="preserve">proposes a </w:t>
      </w:r>
      <w:r w:rsidRPr="2D69C30E">
        <w:rPr>
          <w:rFonts w:ascii="Times New Roman" w:hAnsi="Times New Roman" w:cs="Times New Roman"/>
          <w:b/>
          <w:bCs/>
          <w:noProof/>
        </w:rPr>
        <w:t>new task</w:t>
      </w:r>
      <w:r w:rsidRPr="2D69C30E">
        <w:rPr>
          <w:rFonts w:ascii="Times New Roman" w:hAnsi="Times New Roman" w:cs="Times New Roman"/>
          <w:noProof/>
        </w:rPr>
        <w:t xml:space="preserve"> to </w:t>
      </w:r>
      <w:r w:rsidRPr="2D69C30E">
        <w:rPr>
          <w:rFonts w:ascii="Times New Roman" w:hAnsi="Times New Roman" w:cs="Times New Roman"/>
          <w:b/>
          <w:bCs/>
          <w:noProof/>
        </w:rPr>
        <w:t>ECHA</w:t>
      </w:r>
      <w:r w:rsidRPr="2D69C30E">
        <w:rPr>
          <w:rFonts w:ascii="Times New Roman" w:hAnsi="Times New Roman" w:cs="Times New Roman"/>
          <w:noProof/>
        </w:rPr>
        <w:t xml:space="preserve">, </w:t>
      </w:r>
      <w:r w:rsidRPr="2D69C30E">
        <w:rPr>
          <w:rFonts w:ascii="Times New Roman" w:hAnsi="Times New Roman" w:cs="Times New Roman"/>
          <w:b/>
          <w:bCs/>
          <w:noProof/>
        </w:rPr>
        <w:t>EFSA, EEA, EMA and EU-OSHA</w:t>
      </w:r>
      <w:r w:rsidRPr="2D69C30E">
        <w:rPr>
          <w:rFonts w:ascii="Times New Roman" w:hAnsi="Times New Roman" w:cs="Times New Roman"/>
          <w:noProof/>
        </w:rPr>
        <w:t>. ECHA is requested to set up, operate and populate with scientific and regulatory reference values a repository of reference values</w:t>
      </w:r>
      <w:r>
        <w:rPr>
          <w:rFonts w:ascii="Times New Roman" w:hAnsi="Times New Roman" w:cs="Times New Roman"/>
          <w:noProof/>
        </w:rPr>
        <w:t xml:space="preserve"> and to collate in it the regulatory reference values</w:t>
      </w:r>
      <w:r w:rsidRPr="2D69C30E">
        <w:rPr>
          <w:rFonts w:ascii="Times New Roman" w:hAnsi="Times New Roman" w:cs="Times New Roman"/>
          <w:noProof/>
        </w:rPr>
        <w:t xml:space="preserve">. </w:t>
      </w:r>
      <w:r w:rsidRPr="2D69C30E">
        <w:rPr>
          <w:rFonts w:ascii="Times New Roman" w:hAnsi="Times New Roman" w:cs="Times New Roman"/>
          <w:b/>
          <w:bCs/>
          <w:noProof/>
        </w:rPr>
        <w:t>EFSA, EEA, EMA and EU-OSHA</w:t>
      </w:r>
      <w:r w:rsidRPr="2D69C30E">
        <w:rPr>
          <w:rFonts w:ascii="Times New Roman" w:hAnsi="Times New Roman" w:cs="Times New Roman"/>
          <w:noProof/>
        </w:rPr>
        <w:t xml:space="preserve"> are required to cooperate with ECHA in the operation of the repository and provide to ECHA the </w:t>
      </w:r>
      <w:r>
        <w:rPr>
          <w:rFonts w:ascii="Times New Roman" w:hAnsi="Times New Roman" w:cs="Times New Roman"/>
          <w:noProof/>
        </w:rPr>
        <w:t xml:space="preserve">scientific </w:t>
      </w:r>
      <w:r w:rsidRPr="2D69C30E">
        <w:rPr>
          <w:rFonts w:ascii="Times New Roman" w:hAnsi="Times New Roman" w:cs="Times New Roman"/>
          <w:noProof/>
        </w:rPr>
        <w:t>reference values they derive.</w:t>
      </w:r>
    </w:p>
    <w:p w14:paraId="71E68B7C" w14:textId="77777777" w:rsidR="000A7D9D" w:rsidRPr="00EC1412" w:rsidRDefault="000A7D9D" w:rsidP="000A7D9D">
      <w:pPr>
        <w:pStyle w:val="ListParagraph"/>
        <w:numPr>
          <w:ilvl w:val="0"/>
          <w:numId w:val="19"/>
        </w:numPr>
        <w:spacing w:before="240" w:after="120"/>
        <w:jc w:val="both"/>
        <w:rPr>
          <w:i/>
          <w:iCs/>
          <w:noProof/>
          <w:sz w:val="22"/>
          <w:szCs w:val="22"/>
        </w:rPr>
      </w:pPr>
      <w:r w:rsidRPr="2D69C30E">
        <w:rPr>
          <w:i/>
          <w:iCs/>
          <w:noProof/>
          <w:sz w:val="22"/>
          <w:szCs w:val="22"/>
        </w:rPr>
        <w:t xml:space="preserve">Information on regulatory processes on chemicals  </w:t>
      </w:r>
    </w:p>
    <w:p w14:paraId="3482020B" w14:textId="77777777" w:rsidR="000A7D9D" w:rsidRPr="00EC1412" w:rsidRDefault="000A7D9D" w:rsidP="000A7D9D">
      <w:pPr>
        <w:spacing w:after="120"/>
        <w:jc w:val="both"/>
        <w:rPr>
          <w:rFonts w:ascii="Times New Roman" w:hAnsi="Times New Roman" w:cs="Times New Roman"/>
          <w:i/>
          <w:iCs/>
          <w:noProof/>
        </w:rPr>
      </w:pPr>
      <w:r w:rsidRPr="2D69C30E">
        <w:rPr>
          <w:rFonts w:ascii="Times New Roman" w:hAnsi="Times New Roman" w:cs="Times New Roman"/>
          <w:noProof/>
        </w:rPr>
        <w:t>The proposal for a regulation establishing a common data platform and a monitoring and outlook framework for chemicals</w:t>
      </w:r>
      <w:r>
        <w:rPr>
          <w:rFonts w:ascii="Times New Roman" w:hAnsi="Times New Roman" w:cs="Times New Roman"/>
          <w:noProof/>
        </w:rPr>
        <w:t xml:space="preserve"> adopted as part of the one substance, one assessment package</w:t>
      </w:r>
      <w:r w:rsidRPr="2D69C30E">
        <w:rPr>
          <w:rFonts w:ascii="Times New Roman" w:hAnsi="Times New Roman" w:cs="Times New Roman"/>
          <w:noProof/>
        </w:rPr>
        <w:t xml:space="preserve"> proposes to formalise and </w:t>
      </w:r>
      <w:r w:rsidRPr="2D69C30E">
        <w:rPr>
          <w:rFonts w:ascii="Times New Roman" w:hAnsi="Times New Roman" w:cs="Times New Roman"/>
          <w:b/>
          <w:bCs/>
          <w:noProof/>
        </w:rPr>
        <w:t xml:space="preserve">expand the existing task </w:t>
      </w:r>
      <w:r w:rsidRPr="00C45202">
        <w:rPr>
          <w:rFonts w:ascii="Times New Roman" w:hAnsi="Times New Roman" w:cs="Times New Roman"/>
          <w:noProof/>
        </w:rPr>
        <w:t>ECHA is already carrying out with the EU chemicals legislation finder (EUCLEF)</w:t>
      </w:r>
      <w:r w:rsidRPr="2D69C30E">
        <w:rPr>
          <w:rFonts w:ascii="Times New Roman" w:hAnsi="Times New Roman" w:cs="Times New Roman"/>
          <w:noProof/>
        </w:rPr>
        <w:t xml:space="preserve">. </w:t>
      </w:r>
      <w:r w:rsidRPr="2D69C30E">
        <w:rPr>
          <w:rFonts w:ascii="Times New Roman" w:hAnsi="Times New Roman" w:cs="Times New Roman"/>
          <w:b/>
          <w:bCs/>
          <w:noProof/>
        </w:rPr>
        <w:t>ECHA</w:t>
      </w:r>
      <w:r w:rsidRPr="2D69C30E">
        <w:rPr>
          <w:rFonts w:ascii="Times New Roman" w:hAnsi="Times New Roman" w:cs="Times New Roman"/>
          <w:noProof/>
        </w:rPr>
        <w:t xml:space="preserve"> is required to continue the operation of EUCLEF and extend it to cover all relevant legislative pieces on chemicals.</w:t>
      </w:r>
    </w:p>
    <w:p w14:paraId="7A952C58" w14:textId="77777777" w:rsidR="000A7D9D" w:rsidRPr="00EA7D47" w:rsidRDefault="000A7D9D" w:rsidP="000A7D9D">
      <w:pPr>
        <w:pStyle w:val="ListParagraph"/>
        <w:numPr>
          <w:ilvl w:val="0"/>
          <w:numId w:val="19"/>
        </w:numPr>
        <w:spacing w:before="240" w:after="120"/>
        <w:jc w:val="both"/>
        <w:rPr>
          <w:noProof/>
        </w:rPr>
      </w:pPr>
      <w:r w:rsidRPr="2D69C30E">
        <w:rPr>
          <w:i/>
          <w:iCs/>
          <w:noProof/>
          <w:sz w:val="22"/>
          <w:szCs w:val="22"/>
        </w:rPr>
        <w:t>Database on environmental sustainability related data</w:t>
      </w:r>
    </w:p>
    <w:p w14:paraId="47D32FB1" w14:textId="77777777" w:rsidR="000A7D9D" w:rsidRPr="00EA7D47" w:rsidRDefault="000A7D9D" w:rsidP="000A7D9D">
      <w:pPr>
        <w:spacing w:before="240" w:after="120"/>
        <w:jc w:val="both"/>
        <w:rPr>
          <w:rFonts w:ascii="Times New Roman" w:hAnsi="Times New Roman" w:cs="Times New Roman"/>
          <w:noProof/>
        </w:rPr>
      </w:pPr>
      <w:r w:rsidRPr="13AEFEEB">
        <w:rPr>
          <w:rFonts w:ascii="Times New Roman" w:hAnsi="Times New Roman" w:cs="Times New Roman"/>
          <w:noProof/>
        </w:rPr>
        <w:t xml:space="preserve">The proposal for a regulation establishing a common data platform and a monitoring and outlook framework for chemicals </w:t>
      </w:r>
      <w:r>
        <w:rPr>
          <w:rFonts w:ascii="Times New Roman" w:hAnsi="Times New Roman" w:cs="Times New Roman"/>
          <w:noProof/>
        </w:rPr>
        <w:t>adopted as part of the one substance, one assessment package</w:t>
      </w:r>
      <w:r w:rsidRPr="00EC1412">
        <w:rPr>
          <w:rFonts w:ascii="Times New Roman" w:hAnsi="Times New Roman" w:cs="Times New Roman"/>
          <w:noProof/>
        </w:rPr>
        <w:t xml:space="preserve"> </w:t>
      </w:r>
      <w:r w:rsidRPr="13AEFEEB">
        <w:rPr>
          <w:rFonts w:ascii="Times New Roman" w:hAnsi="Times New Roman" w:cs="Times New Roman"/>
          <w:noProof/>
        </w:rPr>
        <w:t xml:space="preserve">proposes a </w:t>
      </w:r>
      <w:r w:rsidRPr="13AEFEEB">
        <w:rPr>
          <w:rFonts w:ascii="Times New Roman" w:hAnsi="Times New Roman" w:cs="Times New Roman"/>
          <w:b/>
          <w:bCs/>
          <w:noProof/>
        </w:rPr>
        <w:t>new task to ECHA</w:t>
      </w:r>
      <w:r w:rsidRPr="13AEFEEB">
        <w:rPr>
          <w:rFonts w:ascii="Times New Roman" w:hAnsi="Times New Roman" w:cs="Times New Roman"/>
          <w:noProof/>
        </w:rPr>
        <w:t xml:space="preserve">. ECHA is requested to set up and operate a database with environmental sustainability data on chemicals. ECHA, EEA, EFSA, EMA and EU-OSHA are required to make available to the ECHA any environmental sustainability related data they host or hold. The agencies also need to provide the necessary technical cooperation to ECHA to enable the integration of the data in the common data platform on chemicals. </w:t>
      </w:r>
    </w:p>
    <w:p w14:paraId="0BD97FBB" w14:textId="77777777" w:rsidR="000A7D9D" w:rsidRPr="00EC1412" w:rsidRDefault="000A7D9D" w:rsidP="000A7D9D">
      <w:pPr>
        <w:pStyle w:val="ListParagraph"/>
        <w:numPr>
          <w:ilvl w:val="0"/>
          <w:numId w:val="19"/>
        </w:numPr>
        <w:spacing w:before="240" w:after="120"/>
        <w:jc w:val="both"/>
        <w:rPr>
          <w:noProof/>
        </w:rPr>
      </w:pPr>
      <w:r w:rsidRPr="2D69C30E">
        <w:rPr>
          <w:i/>
          <w:iCs/>
          <w:noProof/>
          <w:sz w:val="22"/>
          <w:szCs w:val="22"/>
        </w:rPr>
        <w:t>Data generation mechanism</w:t>
      </w:r>
    </w:p>
    <w:p w14:paraId="3205E806"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proposal a regulation establishing a common data platform and a monitoring and outlook framework for chemicals </w:t>
      </w:r>
      <w:r>
        <w:rPr>
          <w:rFonts w:ascii="Times New Roman" w:hAnsi="Times New Roman" w:cs="Times New Roman"/>
          <w:noProof/>
        </w:rPr>
        <w:t>adopted as part of the one substance, one assessment package</w:t>
      </w:r>
      <w:r w:rsidRPr="2D69C30E">
        <w:rPr>
          <w:rFonts w:ascii="Times New Roman" w:hAnsi="Times New Roman" w:cs="Times New Roman"/>
          <w:noProof/>
        </w:rPr>
        <w:t xml:space="preserve"> proposes a </w:t>
      </w:r>
      <w:r w:rsidRPr="2D69C30E">
        <w:rPr>
          <w:rFonts w:ascii="Times New Roman" w:hAnsi="Times New Roman" w:cs="Times New Roman"/>
          <w:b/>
          <w:bCs/>
          <w:noProof/>
        </w:rPr>
        <w:t>new task</w:t>
      </w:r>
      <w:r w:rsidRPr="2D69C30E">
        <w:rPr>
          <w:rFonts w:ascii="Times New Roman" w:hAnsi="Times New Roman" w:cs="Times New Roman"/>
          <w:noProof/>
        </w:rPr>
        <w:t xml:space="preserve"> to </w:t>
      </w:r>
      <w:r w:rsidRPr="2D69C30E">
        <w:rPr>
          <w:rFonts w:ascii="Times New Roman" w:hAnsi="Times New Roman" w:cs="Times New Roman"/>
          <w:b/>
          <w:bCs/>
          <w:noProof/>
        </w:rPr>
        <w:t xml:space="preserve">ECHA </w:t>
      </w:r>
      <w:r w:rsidRPr="2D69C30E">
        <w:rPr>
          <w:rFonts w:ascii="Times New Roman" w:hAnsi="Times New Roman" w:cs="Times New Roman"/>
          <w:noProof/>
        </w:rPr>
        <w:t>and</w:t>
      </w:r>
      <w:r w:rsidRPr="2D69C30E">
        <w:rPr>
          <w:rFonts w:ascii="Times New Roman" w:hAnsi="Times New Roman" w:cs="Times New Roman"/>
          <w:b/>
          <w:bCs/>
          <w:noProof/>
        </w:rPr>
        <w:t xml:space="preserve"> EFSA</w:t>
      </w:r>
      <w:r w:rsidRPr="2D69C30E">
        <w:rPr>
          <w:rFonts w:ascii="Times New Roman" w:hAnsi="Times New Roman" w:cs="Times New Roman"/>
          <w:noProof/>
        </w:rPr>
        <w:t>. ECHA is required to commission studies in support of the implementation of chemicals legislation and to contribute to the support, evaluation or development of EU chemicals policy. ECHA is required to do it on its own initiative or on the request of the Commission. The procedure is complementary to the existing procedure operated by EFSA under Article 32 of the General Food Law and ECHA and EFSA should cooperate in designing and commissioning the studies under both procedures.</w:t>
      </w:r>
    </w:p>
    <w:p w14:paraId="27A305C6" w14:textId="77777777" w:rsidR="000A7D9D" w:rsidRPr="00EC1412" w:rsidRDefault="000A7D9D" w:rsidP="000A7D9D">
      <w:pPr>
        <w:pStyle w:val="ListParagraph"/>
        <w:numPr>
          <w:ilvl w:val="0"/>
          <w:numId w:val="19"/>
        </w:numPr>
        <w:spacing w:before="240" w:after="120"/>
        <w:jc w:val="both"/>
        <w:rPr>
          <w:i/>
          <w:iCs/>
          <w:noProof/>
          <w:sz w:val="22"/>
          <w:szCs w:val="22"/>
        </w:rPr>
      </w:pPr>
      <w:r w:rsidRPr="2D69C30E">
        <w:rPr>
          <w:i/>
          <w:iCs/>
          <w:noProof/>
          <w:sz w:val="22"/>
          <w:szCs w:val="22"/>
        </w:rPr>
        <w:t>Mechanism for notification of studies and database for study notifications</w:t>
      </w:r>
    </w:p>
    <w:p w14:paraId="34213D5E"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The proposal for a regulation establishing a common data platform and a monitoring and outlook framework for chemicals</w:t>
      </w:r>
      <w:r>
        <w:rPr>
          <w:rFonts w:ascii="Times New Roman" w:hAnsi="Times New Roman" w:cs="Times New Roman"/>
          <w:noProof/>
        </w:rPr>
        <w:t xml:space="preserve"> adopted as part of the one substance, one assessment package</w:t>
      </w:r>
      <w:r w:rsidRPr="2D69C30E">
        <w:rPr>
          <w:rFonts w:ascii="Times New Roman" w:hAnsi="Times New Roman" w:cs="Times New Roman"/>
          <w:noProof/>
        </w:rPr>
        <w:t xml:space="preserve"> proposes a </w:t>
      </w:r>
      <w:r w:rsidRPr="2D69C30E">
        <w:rPr>
          <w:rFonts w:ascii="Times New Roman" w:hAnsi="Times New Roman" w:cs="Times New Roman"/>
          <w:b/>
          <w:bCs/>
          <w:noProof/>
        </w:rPr>
        <w:t>new task</w:t>
      </w:r>
      <w:r w:rsidRPr="2D69C30E">
        <w:rPr>
          <w:rFonts w:ascii="Times New Roman" w:hAnsi="Times New Roman" w:cs="Times New Roman"/>
          <w:noProof/>
        </w:rPr>
        <w:t xml:space="preserve"> to </w:t>
      </w:r>
      <w:r w:rsidRPr="2D69C30E">
        <w:rPr>
          <w:rFonts w:ascii="Times New Roman" w:hAnsi="Times New Roman" w:cs="Times New Roman"/>
          <w:b/>
          <w:bCs/>
          <w:noProof/>
        </w:rPr>
        <w:t>ECHA</w:t>
      </w:r>
      <w:r w:rsidRPr="2D69C30E">
        <w:rPr>
          <w:rFonts w:ascii="Times New Roman" w:hAnsi="Times New Roman" w:cs="Times New Roman"/>
          <w:noProof/>
        </w:rPr>
        <w:t>. ECHA is required to set up a database of study notifications for studies beyond the food sector (</w:t>
      </w:r>
      <w:r w:rsidRPr="00C45202">
        <w:rPr>
          <w:rFonts w:ascii="Times New Roman" w:hAnsi="Times New Roman" w:cs="Times New Roman"/>
          <w:i/>
          <w:noProof/>
        </w:rPr>
        <w:t>i.e.</w:t>
      </w:r>
      <w:r w:rsidRPr="2D69C30E">
        <w:rPr>
          <w:rFonts w:ascii="Times New Roman" w:hAnsi="Times New Roman" w:cs="Times New Roman"/>
          <w:noProof/>
        </w:rPr>
        <w:t xml:space="preserve"> for studies not already subject to the notification obligation of Article 32b of the General Food Law</w:t>
      </w:r>
      <w:r>
        <w:rPr>
          <w:rFonts w:ascii="Times New Roman" w:hAnsi="Times New Roman" w:cs="Times New Roman"/>
          <w:noProof/>
        </w:rPr>
        <w:t xml:space="preserve"> and notified to EFSA</w:t>
      </w:r>
      <w:r w:rsidRPr="2D69C30E">
        <w:rPr>
          <w:rFonts w:ascii="Times New Roman" w:hAnsi="Times New Roman" w:cs="Times New Roman"/>
          <w:noProof/>
        </w:rPr>
        <w:t xml:space="preserve">). </w:t>
      </w:r>
      <w:r>
        <w:rPr>
          <w:rFonts w:ascii="Times New Roman" w:hAnsi="Times New Roman" w:cs="Times New Roman"/>
          <w:noProof/>
        </w:rPr>
        <w:t xml:space="preserve">ECHA and EFSA are required to cooperate to ensure compatibility of the respective systems. </w:t>
      </w:r>
      <w:r w:rsidRPr="2D69C30E">
        <w:rPr>
          <w:rFonts w:ascii="Times New Roman" w:hAnsi="Times New Roman" w:cs="Times New Roman"/>
          <w:noProof/>
        </w:rPr>
        <w:t xml:space="preserve">ECHA is </w:t>
      </w:r>
      <w:r>
        <w:rPr>
          <w:rFonts w:ascii="Times New Roman" w:hAnsi="Times New Roman" w:cs="Times New Roman"/>
          <w:noProof/>
        </w:rPr>
        <w:t>expected</w:t>
      </w:r>
      <w:r w:rsidRPr="2D69C30E">
        <w:rPr>
          <w:rFonts w:ascii="Times New Roman" w:hAnsi="Times New Roman" w:cs="Times New Roman"/>
          <w:noProof/>
        </w:rPr>
        <w:t xml:space="preserve"> to control fulfilment of the obligations to notify the studies as part of the compliance check under REACH and as part of approval of biocidal active substances and products. </w:t>
      </w:r>
    </w:p>
    <w:p w14:paraId="7A3C2114" w14:textId="77777777" w:rsidR="000A7D9D" w:rsidRPr="00EC1412" w:rsidRDefault="000A7D9D" w:rsidP="000A7D9D">
      <w:pPr>
        <w:pStyle w:val="ListParagraph"/>
        <w:numPr>
          <w:ilvl w:val="0"/>
          <w:numId w:val="19"/>
        </w:numPr>
        <w:spacing w:before="240" w:after="120"/>
        <w:jc w:val="both"/>
        <w:rPr>
          <w:i/>
          <w:iCs/>
          <w:noProof/>
          <w:sz w:val="22"/>
          <w:szCs w:val="22"/>
        </w:rPr>
      </w:pPr>
      <w:r w:rsidRPr="2D69C30E">
        <w:rPr>
          <w:i/>
          <w:iCs/>
          <w:noProof/>
          <w:sz w:val="22"/>
          <w:szCs w:val="22"/>
        </w:rPr>
        <w:t>Early warning and action system for emerging chemical risks and framework of indicators</w:t>
      </w:r>
    </w:p>
    <w:p w14:paraId="6FCDE59D" w14:textId="77777777" w:rsidR="000A7D9D" w:rsidRPr="00EC1412" w:rsidRDefault="000A7D9D" w:rsidP="000A7D9D">
      <w:pPr>
        <w:jc w:val="both"/>
        <w:rPr>
          <w:rFonts w:ascii="Times New Roman" w:hAnsi="Times New Roman" w:cs="Times New Roman"/>
          <w:noProof/>
        </w:rPr>
      </w:pPr>
      <w:r w:rsidRPr="2D69C30E">
        <w:rPr>
          <w:rFonts w:ascii="Times New Roman" w:hAnsi="Times New Roman" w:cs="Times New Roman"/>
          <w:noProof/>
        </w:rPr>
        <w:t xml:space="preserve">The proposal for a regulation establishing a common data platform and a monitoring and outlook framework for chemicals </w:t>
      </w:r>
      <w:r>
        <w:rPr>
          <w:rFonts w:ascii="Times New Roman" w:hAnsi="Times New Roman" w:cs="Times New Roman"/>
          <w:noProof/>
        </w:rPr>
        <w:t>adopted as part of the one substance, one assessment package</w:t>
      </w:r>
      <w:r w:rsidRPr="2D69C30E">
        <w:rPr>
          <w:rFonts w:ascii="Times New Roman" w:hAnsi="Times New Roman" w:cs="Times New Roman"/>
          <w:noProof/>
        </w:rPr>
        <w:t xml:space="preserve"> proposes a </w:t>
      </w:r>
      <w:r w:rsidRPr="2D69C30E">
        <w:rPr>
          <w:rFonts w:ascii="Times New Roman" w:hAnsi="Times New Roman" w:cs="Times New Roman"/>
          <w:b/>
          <w:bCs/>
          <w:noProof/>
        </w:rPr>
        <w:t>new task</w:t>
      </w:r>
      <w:r w:rsidRPr="2D69C30E">
        <w:rPr>
          <w:rFonts w:ascii="Times New Roman" w:hAnsi="Times New Roman" w:cs="Times New Roman"/>
          <w:noProof/>
        </w:rPr>
        <w:t xml:space="preserve"> on an early warning and action system to </w:t>
      </w:r>
      <w:r w:rsidRPr="2D69C30E">
        <w:rPr>
          <w:rFonts w:ascii="Times New Roman" w:hAnsi="Times New Roman" w:cs="Times New Roman"/>
          <w:b/>
          <w:bCs/>
          <w:noProof/>
        </w:rPr>
        <w:t>EEA, ECHA, EFSA, EMA and EU-OSHA</w:t>
      </w:r>
      <w:r>
        <w:rPr>
          <w:rFonts w:ascii="Times New Roman" w:hAnsi="Times New Roman" w:cs="Times New Roman"/>
          <w:b/>
          <w:bCs/>
          <w:noProof/>
        </w:rPr>
        <w:t>. It also proposes</w:t>
      </w:r>
      <w:r w:rsidRPr="2D69C30E">
        <w:rPr>
          <w:rFonts w:ascii="Times New Roman" w:hAnsi="Times New Roman" w:cs="Times New Roman"/>
          <w:b/>
          <w:bCs/>
          <w:noProof/>
        </w:rPr>
        <w:t xml:space="preserve"> to formalise the existing task </w:t>
      </w:r>
      <w:r w:rsidRPr="2D69C30E">
        <w:rPr>
          <w:rFonts w:ascii="Times New Roman" w:hAnsi="Times New Roman" w:cs="Times New Roman"/>
          <w:noProof/>
        </w:rPr>
        <w:t>on an indicator framework performed by</w:t>
      </w:r>
      <w:r w:rsidRPr="2D69C30E">
        <w:rPr>
          <w:rFonts w:ascii="Times New Roman" w:hAnsi="Times New Roman" w:cs="Times New Roman"/>
          <w:b/>
          <w:bCs/>
          <w:noProof/>
        </w:rPr>
        <w:t xml:space="preserve"> EEA and ECHA. </w:t>
      </w:r>
      <w:r w:rsidRPr="00166494">
        <w:rPr>
          <w:rFonts w:ascii="Times New Roman" w:hAnsi="Times New Roman" w:cs="Times New Roman"/>
          <w:noProof/>
        </w:rPr>
        <w:t>For the early warning system,</w:t>
      </w:r>
      <w:r w:rsidRPr="2D69C30E">
        <w:rPr>
          <w:rFonts w:ascii="Times New Roman" w:hAnsi="Times New Roman" w:cs="Times New Roman"/>
          <w:b/>
          <w:bCs/>
          <w:noProof/>
        </w:rPr>
        <w:t xml:space="preserve"> </w:t>
      </w:r>
      <w:r w:rsidRPr="2D69C30E">
        <w:rPr>
          <w:rFonts w:ascii="Times New Roman" w:hAnsi="Times New Roman" w:cs="Times New Roman"/>
          <w:noProof/>
        </w:rPr>
        <w:t>EEA</w:t>
      </w:r>
      <w:r w:rsidRPr="2D69C30E">
        <w:rPr>
          <w:rFonts w:ascii="Times New Roman" w:hAnsi="Times New Roman" w:cs="Times New Roman"/>
          <w:b/>
          <w:bCs/>
          <w:noProof/>
        </w:rPr>
        <w:t xml:space="preserve"> </w:t>
      </w:r>
      <w:r w:rsidRPr="2D69C30E">
        <w:rPr>
          <w:rFonts w:ascii="Times New Roman" w:hAnsi="Times New Roman" w:cs="Times New Roman"/>
          <w:noProof/>
        </w:rPr>
        <w:t>is required to compile and collect annually the early warning signals into a report to be presented to the Member State authorities, relevant EU agencies and the Commission to consider whether any regulatory action is needed. ECHA, EFSA, EMA and EU-OSHA are required to cooperate with EEA and provide early warning signals from their areas of responsibility. For the framework of indicators, EEA and ECHA are required to operat</w:t>
      </w:r>
      <w:r>
        <w:rPr>
          <w:rFonts w:ascii="Times New Roman" w:hAnsi="Times New Roman" w:cs="Times New Roman"/>
          <w:noProof/>
        </w:rPr>
        <w:t>e</w:t>
      </w:r>
      <w:r w:rsidRPr="2D69C30E">
        <w:rPr>
          <w:rFonts w:ascii="Times New Roman" w:hAnsi="Times New Roman" w:cs="Times New Roman"/>
          <w:noProof/>
        </w:rPr>
        <w:t xml:space="preserve"> and populat</w:t>
      </w:r>
      <w:r>
        <w:rPr>
          <w:rFonts w:ascii="Times New Roman" w:hAnsi="Times New Roman" w:cs="Times New Roman"/>
          <w:noProof/>
        </w:rPr>
        <w:t>e</w:t>
      </w:r>
      <w:r w:rsidRPr="2D69C30E">
        <w:rPr>
          <w:rFonts w:ascii="Times New Roman" w:hAnsi="Times New Roman" w:cs="Times New Roman"/>
          <w:noProof/>
        </w:rPr>
        <w:t xml:space="preserve"> the indicator framework for chemicals policy.</w:t>
      </w:r>
    </w:p>
    <w:p w14:paraId="48EEA0DC" w14:textId="77777777" w:rsidR="000A7D9D" w:rsidRPr="00EC1412" w:rsidRDefault="000A7D9D" w:rsidP="000A7D9D">
      <w:pPr>
        <w:pStyle w:val="ListParagraph"/>
        <w:numPr>
          <w:ilvl w:val="0"/>
          <w:numId w:val="19"/>
        </w:numPr>
        <w:spacing w:before="240" w:after="120"/>
        <w:jc w:val="both"/>
        <w:rPr>
          <w:i/>
          <w:iCs/>
          <w:noProof/>
          <w:sz w:val="22"/>
          <w:szCs w:val="22"/>
        </w:rPr>
      </w:pPr>
      <w:r w:rsidRPr="2D69C30E">
        <w:rPr>
          <w:i/>
          <w:iCs/>
          <w:noProof/>
          <w:sz w:val="22"/>
          <w:szCs w:val="22"/>
        </w:rPr>
        <w:t>Observatory for specific chemicals with potential contribution to emerging chemical risks</w:t>
      </w:r>
    </w:p>
    <w:p w14:paraId="059DF643"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proposal for a regulation establishing a common data platform and a monitoring and outlook framework for chemicals </w:t>
      </w:r>
      <w:r>
        <w:rPr>
          <w:rFonts w:ascii="Times New Roman" w:hAnsi="Times New Roman" w:cs="Times New Roman"/>
          <w:noProof/>
        </w:rPr>
        <w:t>adopted as part of the one substance, one assessment package</w:t>
      </w:r>
      <w:r w:rsidRPr="2D69C30E">
        <w:rPr>
          <w:rFonts w:ascii="Times New Roman" w:hAnsi="Times New Roman" w:cs="Times New Roman"/>
          <w:noProof/>
        </w:rPr>
        <w:t xml:space="preserve"> proposes to </w:t>
      </w:r>
      <w:r w:rsidRPr="2D69C30E">
        <w:rPr>
          <w:rFonts w:ascii="Times New Roman" w:hAnsi="Times New Roman" w:cs="Times New Roman"/>
          <w:b/>
          <w:bCs/>
          <w:noProof/>
        </w:rPr>
        <w:t>formalise the existing task</w:t>
      </w:r>
      <w:r w:rsidRPr="2D69C30E">
        <w:rPr>
          <w:rFonts w:ascii="Times New Roman" w:hAnsi="Times New Roman" w:cs="Times New Roman"/>
          <w:noProof/>
        </w:rPr>
        <w:t xml:space="preserve"> performed by </w:t>
      </w:r>
      <w:r w:rsidRPr="2D69C30E">
        <w:rPr>
          <w:rFonts w:ascii="Times New Roman" w:hAnsi="Times New Roman" w:cs="Times New Roman"/>
          <w:b/>
          <w:bCs/>
          <w:noProof/>
        </w:rPr>
        <w:t>ECHA</w:t>
      </w:r>
      <w:r w:rsidRPr="2D69C30E">
        <w:rPr>
          <w:rFonts w:ascii="Times New Roman" w:hAnsi="Times New Roman" w:cs="Times New Roman"/>
          <w:noProof/>
        </w:rPr>
        <w:t xml:space="preserve"> and </w:t>
      </w:r>
      <w:r w:rsidRPr="2D69C30E">
        <w:rPr>
          <w:rFonts w:ascii="Times New Roman" w:hAnsi="Times New Roman" w:cs="Times New Roman"/>
          <w:b/>
          <w:bCs/>
          <w:noProof/>
        </w:rPr>
        <w:t>expand</w:t>
      </w:r>
      <w:r w:rsidRPr="2D69C30E">
        <w:rPr>
          <w:rFonts w:ascii="Times New Roman" w:hAnsi="Times New Roman" w:cs="Times New Roman"/>
          <w:noProof/>
        </w:rPr>
        <w:t xml:space="preserve"> its scope. ECHA is required to continue operating the existing observatory for nanomaterials and extend its scope to chemicals and materials of potential emerging risk. </w:t>
      </w:r>
    </w:p>
    <w:p w14:paraId="17FD0FC1" w14:textId="77777777" w:rsidR="000A7D9D" w:rsidRPr="00EC1412" w:rsidRDefault="000A7D9D" w:rsidP="000A7D9D">
      <w:pPr>
        <w:pStyle w:val="ListParagraph"/>
        <w:numPr>
          <w:ilvl w:val="0"/>
          <w:numId w:val="19"/>
        </w:numPr>
        <w:spacing w:before="240" w:after="120"/>
        <w:jc w:val="both"/>
        <w:rPr>
          <w:i/>
          <w:noProof/>
          <w:sz w:val="22"/>
          <w:szCs w:val="22"/>
        </w:rPr>
      </w:pPr>
      <w:r w:rsidRPr="2D69C30E">
        <w:rPr>
          <w:i/>
          <w:iCs/>
          <w:noProof/>
          <w:sz w:val="22"/>
          <w:szCs w:val="22"/>
        </w:rPr>
        <w:t>Cooperation of ECHA with other EU agencies</w:t>
      </w:r>
    </w:p>
    <w:p w14:paraId="6252276B"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proposal for the </w:t>
      </w:r>
      <w:r>
        <w:rPr>
          <w:rFonts w:ascii="Times New Roman" w:hAnsi="Times New Roman" w:cs="Times New Roman"/>
          <w:noProof/>
        </w:rPr>
        <w:t xml:space="preserve">regulation on </w:t>
      </w:r>
      <w:r w:rsidRPr="2D69C30E">
        <w:rPr>
          <w:rFonts w:ascii="Times New Roman" w:hAnsi="Times New Roman" w:cs="Times New Roman"/>
          <w:noProof/>
        </w:rPr>
        <w:t xml:space="preserve">ECHA will </w:t>
      </w:r>
      <w:r>
        <w:rPr>
          <w:rFonts w:ascii="Times New Roman" w:hAnsi="Times New Roman" w:cs="Times New Roman"/>
          <w:noProof/>
        </w:rPr>
        <w:t xml:space="preserve">consider </w:t>
      </w:r>
      <w:r w:rsidRPr="2D69C30E">
        <w:rPr>
          <w:rFonts w:ascii="Times New Roman" w:hAnsi="Times New Roman" w:cs="Times New Roman"/>
          <w:noProof/>
        </w:rPr>
        <w:t>propos</w:t>
      </w:r>
      <w:r>
        <w:rPr>
          <w:rFonts w:ascii="Times New Roman" w:hAnsi="Times New Roman" w:cs="Times New Roman"/>
          <w:noProof/>
        </w:rPr>
        <w:t xml:space="preserve">ing </w:t>
      </w:r>
      <w:r w:rsidRPr="2D69C30E">
        <w:rPr>
          <w:rFonts w:ascii="Times New Roman" w:hAnsi="Times New Roman" w:cs="Times New Roman"/>
          <w:b/>
          <w:bCs/>
          <w:noProof/>
        </w:rPr>
        <w:t>a new task to ECHA</w:t>
      </w:r>
      <w:r w:rsidRPr="2D69C30E">
        <w:rPr>
          <w:rFonts w:ascii="Times New Roman" w:hAnsi="Times New Roman" w:cs="Times New Roman"/>
          <w:noProof/>
        </w:rPr>
        <w:t xml:space="preserve"> and </w:t>
      </w:r>
      <w:r w:rsidRPr="2D69C30E">
        <w:rPr>
          <w:rFonts w:ascii="Times New Roman" w:hAnsi="Times New Roman" w:cs="Times New Roman"/>
          <w:b/>
          <w:bCs/>
          <w:noProof/>
        </w:rPr>
        <w:t>better specify the existing tasks</w:t>
      </w:r>
      <w:r w:rsidRPr="2D69C30E">
        <w:rPr>
          <w:rFonts w:ascii="Times New Roman" w:hAnsi="Times New Roman" w:cs="Times New Roman"/>
          <w:noProof/>
        </w:rPr>
        <w:t xml:space="preserve">. ECHA </w:t>
      </w:r>
      <w:r>
        <w:rPr>
          <w:rFonts w:ascii="Times New Roman" w:hAnsi="Times New Roman" w:cs="Times New Roman"/>
          <w:noProof/>
        </w:rPr>
        <w:t xml:space="preserve">should </w:t>
      </w:r>
      <w:r w:rsidRPr="2D69C30E">
        <w:rPr>
          <w:rFonts w:ascii="Times New Roman" w:hAnsi="Times New Roman" w:cs="Times New Roman"/>
          <w:noProof/>
        </w:rPr>
        <w:t xml:space="preserve">be given a formal mandate to develop methodologies for assessment of chemicals in the areas falling within its mission. ECHA </w:t>
      </w:r>
      <w:r>
        <w:rPr>
          <w:rFonts w:ascii="Times New Roman" w:hAnsi="Times New Roman" w:cs="Times New Roman"/>
          <w:noProof/>
        </w:rPr>
        <w:t xml:space="preserve">should </w:t>
      </w:r>
      <w:r w:rsidRPr="2D69C30E">
        <w:rPr>
          <w:rFonts w:ascii="Times New Roman" w:hAnsi="Times New Roman" w:cs="Times New Roman"/>
          <w:noProof/>
        </w:rPr>
        <w:t xml:space="preserve">be required to actively cooperate with other EU Agencies as regards exchange of data and development of methodologies. Finally, ECHA </w:t>
      </w:r>
      <w:r>
        <w:rPr>
          <w:rFonts w:ascii="Times New Roman" w:hAnsi="Times New Roman" w:cs="Times New Roman"/>
          <w:noProof/>
        </w:rPr>
        <w:t xml:space="preserve">should </w:t>
      </w:r>
      <w:r w:rsidRPr="2D69C30E">
        <w:rPr>
          <w:rFonts w:ascii="Times New Roman" w:hAnsi="Times New Roman" w:cs="Times New Roman"/>
          <w:noProof/>
        </w:rPr>
        <w:t>be further required to engage more in preventing or solving a divergent opinion with other EU Agencies. The goal is to ensure coherence, consistency and interoperability in the specified areas.</w:t>
      </w:r>
    </w:p>
    <w:p w14:paraId="04BF1894" w14:textId="77777777" w:rsidR="000A7D9D" w:rsidRPr="00EC1412" w:rsidRDefault="000A7D9D" w:rsidP="000A7D9D">
      <w:pPr>
        <w:pStyle w:val="ListParagraph"/>
        <w:numPr>
          <w:ilvl w:val="0"/>
          <w:numId w:val="19"/>
        </w:numPr>
        <w:spacing w:before="240" w:after="120"/>
        <w:jc w:val="both"/>
        <w:rPr>
          <w:i/>
          <w:noProof/>
          <w:sz w:val="22"/>
          <w:szCs w:val="22"/>
          <w:lang w:val="fr-BE"/>
        </w:rPr>
      </w:pPr>
      <w:r w:rsidRPr="2D69C30E">
        <w:rPr>
          <w:i/>
          <w:iCs/>
          <w:noProof/>
          <w:sz w:val="22"/>
          <w:szCs w:val="22"/>
          <w:lang w:val="fr-BE"/>
        </w:rPr>
        <w:t>Scientific opinions on occupational exposure limits</w:t>
      </w:r>
    </w:p>
    <w:p w14:paraId="321E9E0A"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the </w:t>
      </w:r>
      <w:r>
        <w:rPr>
          <w:rFonts w:ascii="Times New Roman" w:hAnsi="Times New Roman" w:cs="Times New Roman"/>
          <w:noProof/>
        </w:rPr>
        <w:t xml:space="preserve">regulation on </w:t>
      </w:r>
      <w:r w:rsidRPr="00EC1412">
        <w:rPr>
          <w:rFonts w:ascii="Times New Roman" w:hAnsi="Times New Roman" w:cs="Times New Roman"/>
          <w:noProof/>
        </w:rPr>
        <w:t xml:space="preserve">ECHA will </w:t>
      </w:r>
      <w:r>
        <w:rPr>
          <w:rFonts w:ascii="Times New Roman" w:hAnsi="Times New Roman" w:cs="Times New Roman"/>
          <w:noProof/>
        </w:rPr>
        <w:t xml:space="preserve">consider </w:t>
      </w:r>
      <w:r w:rsidRPr="00EC1412">
        <w:rPr>
          <w:rFonts w:ascii="Times New Roman" w:hAnsi="Times New Roman" w:cs="Times New Roman"/>
          <w:noProof/>
        </w:rPr>
        <w:t xml:space="preserve">to </w:t>
      </w:r>
      <w:r w:rsidRPr="00EC1412">
        <w:rPr>
          <w:rFonts w:ascii="Times New Roman" w:hAnsi="Times New Roman" w:cs="Times New Roman"/>
          <w:b/>
          <w:noProof/>
        </w:rPr>
        <w:t>formalise the existing task</w:t>
      </w:r>
      <w:r w:rsidRPr="00EC1412">
        <w:rPr>
          <w:rFonts w:ascii="Times New Roman" w:hAnsi="Times New Roman" w:cs="Times New Roman"/>
          <w:noProof/>
        </w:rPr>
        <w:t xml:space="preserve"> of </w:t>
      </w:r>
      <w:r w:rsidRPr="00EC1412">
        <w:rPr>
          <w:rFonts w:ascii="Times New Roman" w:hAnsi="Times New Roman" w:cs="Times New Roman"/>
          <w:b/>
          <w:noProof/>
        </w:rPr>
        <w:t>ECHA</w:t>
      </w:r>
      <w:r w:rsidRPr="00EC1412">
        <w:rPr>
          <w:rFonts w:ascii="Times New Roman" w:hAnsi="Times New Roman" w:cs="Times New Roman"/>
          <w:noProof/>
        </w:rPr>
        <w:t xml:space="preserve">. ECHA and its Committee for Risk Assessment </w:t>
      </w:r>
      <w:r>
        <w:rPr>
          <w:rFonts w:ascii="Times New Roman" w:hAnsi="Times New Roman" w:cs="Times New Roman"/>
          <w:noProof/>
        </w:rPr>
        <w:t xml:space="preserve">should </w:t>
      </w:r>
      <w:r w:rsidRPr="00EC1412">
        <w:rPr>
          <w:rFonts w:ascii="Times New Roman" w:hAnsi="Times New Roman" w:cs="Times New Roman"/>
          <w:noProof/>
        </w:rPr>
        <w:t>be given a legal mandate to provide opinions on occupational exposure limits in support of the Directive on carcinogens, mutagen or reprotoxic substances at work, Chemical Agent Directive and Asbestos Directive. ECHA already does so, but without a formal mandate and via a service level agreement with the Commission.</w:t>
      </w:r>
    </w:p>
    <w:p w14:paraId="5BA1A8EB" w14:textId="77777777" w:rsidR="000A7D9D" w:rsidRPr="00EC1412" w:rsidRDefault="000A7D9D" w:rsidP="000A7D9D">
      <w:pPr>
        <w:pStyle w:val="ListParagraph"/>
        <w:numPr>
          <w:ilvl w:val="0"/>
          <w:numId w:val="19"/>
        </w:numPr>
        <w:spacing w:before="240" w:after="120"/>
        <w:jc w:val="both"/>
        <w:rPr>
          <w:i/>
          <w:iCs/>
          <w:noProof/>
          <w:sz w:val="22"/>
          <w:szCs w:val="22"/>
        </w:rPr>
      </w:pPr>
      <w:r w:rsidRPr="2D69C30E">
        <w:rPr>
          <w:i/>
          <w:iCs/>
          <w:noProof/>
          <w:sz w:val="22"/>
          <w:szCs w:val="22"/>
        </w:rPr>
        <w:t>REACH regulation</w:t>
      </w:r>
      <w:r>
        <w:rPr>
          <w:rStyle w:val="FootnoteReference"/>
          <w:i/>
          <w:noProof/>
          <w:sz w:val="22"/>
          <w:szCs w:val="22"/>
        </w:rPr>
        <w:footnoteReference w:id="38"/>
      </w:r>
    </w:p>
    <w:p w14:paraId="63DA1D8E"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proposal for a REACH revision will </w:t>
      </w:r>
      <w:r>
        <w:rPr>
          <w:rFonts w:ascii="Times New Roman" w:hAnsi="Times New Roman" w:cs="Times New Roman"/>
          <w:noProof/>
        </w:rPr>
        <w:t xml:space="preserve">consider </w:t>
      </w:r>
      <w:r w:rsidRPr="2D69C30E">
        <w:rPr>
          <w:rFonts w:ascii="Times New Roman" w:hAnsi="Times New Roman" w:cs="Times New Roman"/>
          <w:noProof/>
        </w:rPr>
        <w:t>propos</w:t>
      </w:r>
      <w:r>
        <w:rPr>
          <w:rFonts w:ascii="Times New Roman" w:hAnsi="Times New Roman" w:cs="Times New Roman"/>
          <w:noProof/>
        </w:rPr>
        <w:t>ing</w:t>
      </w:r>
      <w:r w:rsidRPr="2D69C30E">
        <w:rPr>
          <w:rFonts w:ascii="Times New Roman" w:hAnsi="Times New Roman" w:cs="Times New Roman"/>
          <w:noProof/>
        </w:rPr>
        <w:t xml:space="preserve"> </w:t>
      </w:r>
      <w:r w:rsidRPr="2D69C30E">
        <w:rPr>
          <w:rFonts w:ascii="Times New Roman" w:hAnsi="Times New Roman" w:cs="Times New Roman"/>
          <w:b/>
          <w:bCs/>
          <w:noProof/>
        </w:rPr>
        <w:t>changes in the existing</w:t>
      </w:r>
      <w:r w:rsidRPr="2D69C30E">
        <w:rPr>
          <w:rFonts w:ascii="Times New Roman" w:hAnsi="Times New Roman" w:cs="Times New Roman"/>
          <w:noProof/>
        </w:rPr>
        <w:t xml:space="preserve"> tasks of </w:t>
      </w:r>
      <w:r w:rsidRPr="2D69C30E">
        <w:rPr>
          <w:rFonts w:ascii="Times New Roman" w:hAnsi="Times New Roman" w:cs="Times New Roman"/>
          <w:b/>
          <w:bCs/>
          <w:noProof/>
        </w:rPr>
        <w:t>ECHA</w:t>
      </w:r>
      <w:r w:rsidRPr="2D69C30E">
        <w:rPr>
          <w:rFonts w:ascii="Times New Roman" w:hAnsi="Times New Roman" w:cs="Times New Roman"/>
          <w:noProof/>
        </w:rPr>
        <w:t xml:space="preserve">. ECHA </w:t>
      </w:r>
      <w:r>
        <w:rPr>
          <w:rFonts w:ascii="Times New Roman" w:hAnsi="Times New Roman" w:cs="Times New Roman"/>
          <w:noProof/>
        </w:rPr>
        <w:t xml:space="preserve">should </w:t>
      </w:r>
      <w:r w:rsidRPr="2D69C30E">
        <w:rPr>
          <w:rFonts w:ascii="Times New Roman" w:hAnsi="Times New Roman" w:cs="Times New Roman"/>
          <w:noProof/>
        </w:rPr>
        <w:t xml:space="preserve">be required to implement the changed tasks. This </w:t>
      </w:r>
      <w:r>
        <w:rPr>
          <w:rFonts w:ascii="Times New Roman" w:hAnsi="Times New Roman" w:cs="Times New Roman"/>
          <w:noProof/>
        </w:rPr>
        <w:t xml:space="preserve">should </w:t>
      </w:r>
      <w:r w:rsidRPr="2D69C30E">
        <w:rPr>
          <w:rFonts w:ascii="Times New Roman" w:hAnsi="Times New Roman" w:cs="Times New Roman"/>
          <w:noProof/>
        </w:rPr>
        <w:t xml:space="preserve">include expanded registration obligations (to polymers), changes in the restriction (expansion of the generic approach to risk management) and authorisation procedures and changes in enforcement provisions. </w:t>
      </w:r>
    </w:p>
    <w:p w14:paraId="41ACB6CA"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2D69C30E">
        <w:rPr>
          <w:i/>
          <w:iCs/>
          <w:noProof/>
          <w:sz w:val="22"/>
          <w:szCs w:val="22"/>
        </w:rPr>
        <w:t>Cosmetic products regulation</w:t>
      </w:r>
      <w:r>
        <w:rPr>
          <w:rStyle w:val="FootnoteReference"/>
          <w:i/>
          <w:noProof/>
          <w:sz w:val="22"/>
          <w:szCs w:val="22"/>
        </w:rPr>
        <w:footnoteReference w:id="39"/>
      </w:r>
      <w:r w:rsidRPr="2D69C30E">
        <w:rPr>
          <w:i/>
          <w:iCs/>
          <w:noProof/>
          <w:sz w:val="22"/>
          <w:szCs w:val="22"/>
        </w:rPr>
        <w:t xml:space="preserve"> </w:t>
      </w:r>
    </w:p>
    <w:p w14:paraId="19ED33EF" w14:textId="77777777" w:rsidR="000A7D9D" w:rsidRPr="003D2ABE" w:rsidRDefault="000A7D9D" w:rsidP="000A7D9D">
      <w:pPr>
        <w:spacing w:after="120" w:line="257" w:lineRule="auto"/>
        <w:jc w:val="both"/>
        <w:rPr>
          <w:rFonts w:ascii="Times New Roman" w:eastAsia="Times New Roman" w:hAnsi="Times New Roman" w:cs="Times New Roman"/>
          <w:noProof/>
        </w:rPr>
      </w:pPr>
      <w:r w:rsidRPr="35406341">
        <w:rPr>
          <w:rFonts w:ascii="Times New Roman" w:eastAsia="Times New Roman" w:hAnsi="Times New Roman" w:cs="Times New Roman"/>
          <w:noProof/>
        </w:rPr>
        <w:t xml:space="preserve">The proposal for the targeted revision of the </w:t>
      </w:r>
      <w:r>
        <w:rPr>
          <w:rFonts w:ascii="Times New Roman" w:eastAsia="Times New Roman" w:hAnsi="Times New Roman" w:cs="Times New Roman"/>
          <w:noProof/>
        </w:rPr>
        <w:t>C</w:t>
      </w:r>
      <w:r w:rsidRPr="35406341">
        <w:rPr>
          <w:rFonts w:ascii="Times New Roman" w:eastAsia="Times New Roman" w:hAnsi="Times New Roman" w:cs="Times New Roman"/>
          <w:noProof/>
        </w:rPr>
        <w:t xml:space="preserve">osmetic </w:t>
      </w:r>
      <w:r>
        <w:rPr>
          <w:rFonts w:ascii="Times New Roman" w:eastAsia="Times New Roman" w:hAnsi="Times New Roman" w:cs="Times New Roman"/>
          <w:noProof/>
        </w:rPr>
        <w:t>P</w:t>
      </w:r>
      <w:r w:rsidRPr="35406341">
        <w:rPr>
          <w:rFonts w:ascii="Times New Roman" w:eastAsia="Times New Roman" w:hAnsi="Times New Roman" w:cs="Times New Roman"/>
          <w:noProof/>
        </w:rPr>
        <w:t xml:space="preserve">roducts </w:t>
      </w:r>
      <w:r>
        <w:rPr>
          <w:rFonts w:ascii="Times New Roman" w:eastAsia="Times New Roman" w:hAnsi="Times New Roman" w:cs="Times New Roman"/>
          <w:noProof/>
        </w:rPr>
        <w:t>R</w:t>
      </w:r>
      <w:r w:rsidRPr="35406341">
        <w:rPr>
          <w:rFonts w:ascii="Times New Roman" w:eastAsia="Times New Roman" w:hAnsi="Times New Roman" w:cs="Times New Roman"/>
          <w:noProof/>
        </w:rPr>
        <w:t xml:space="preserve">egulation will </w:t>
      </w:r>
      <w:r>
        <w:rPr>
          <w:rFonts w:ascii="Times New Roman" w:eastAsia="Times New Roman" w:hAnsi="Times New Roman" w:cs="Times New Roman"/>
          <w:noProof/>
        </w:rPr>
        <w:t xml:space="preserve">consider </w:t>
      </w:r>
      <w:r w:rsidRPr="35406341">
        <w:rPr>
          <w:rFonts w:ascii="Times New Roman" w:eastAsia="Times New Roman" w:hAnsi="Times New Roman" w:cs="Times New Roman"/>
          <w:noProof/>
        </w:rPr>
        <w:t>propos</w:t>
      </w:r>
      <w:r>
        <w:rPr>
          <w:rFonts w:ascii="Times New Roman" w:eastAsia="Times New Roman" w:hAnsi="Times New Roman" w:cs="Times New Roman"/>
          <w:noProof/>
        </w:rPr>
        <w:t>ing</w:t>
      </w:r>
      <w:r w:rsidRPr="35406341">
        <w:rPr>
          <w:rFonts w:ascii="Times New Roman" w:eastAsia="Times New Roman" w:hAnsi="Times New Roman" w:cs="Times New Roman"/>
          <w:noProof/>
        </w:rPr>
        <w:t xml:space="preserve"> </w:t>
      </w:r>
      <w:r w:rsidRPr="35406341">
        <w:rPr>
          <w:rFonts w:ascii="Times New Roman" w:eastAsia="Times New Roman" w:hAnsi="Times New Roman" w:cs="Times New Roman"/>
          <w:b/>
          <w:bCs/>
          <w:noProof/>
        </w:rPr>
        <w:t xml:space="preserve">reattribution of existing tasks </w:t>
      </w:r>
      <w:r w:rsidRPr="35406341">
        <w:rPr>
          <w:rFonts w:ascii="Times New Roman" w:eastAsia="Times New Roman" w:hAnsi="Times New Roman" w:cs="Times New Roman"/>
          <w:noProof/>
        </w:rPr>
        <w:t xml:space="preserve">to </w:t>
      </w:r>
      <w:r w:rsidRPr="35406341">
        <w:rPr>
          <w:rFonts w:ascii="Times New Roman" w:eastAsia="Times New Roman" w:hAnsi="Times New Roman" w:cs="Times New Roman"/>
          <w:b/>
          <w:bCs/>
          <w:noProof/>
        </w:rPr>
        <w:t>ECHA</w:t>
      </w:r>
      <w:r w:rsidRPr="35406341">
        <w:rPr>
          <w:rFonts w:ascii="Times New Roman" w:eastAsia="Times New Roman" w:hAnsi="Times New Roman" w:cs="Times New Roman"/>
          <w:noProof/>
        </w:rPr>
        <w:t xml:space="preserve">. ECHA </w:t>
      </w:r>
      <w:r>
        <w:rPr>
          <w:rFonts w:ascii="Times New Roman" w:eastAsia="Times New Roman" w:hAnsi="Times New Roman" w:cs="Times New Roman"/>
          <w:noProof/>
        </w:rPr>
        <w:t xml:space="preserve">should </w:t>
      </w:r>
      <w:r w:rsidRPr="35406341">
        <w:rPr>
          <w:rFonts w:ascii="Times New Roman" w:eastAsia="Times New Roman" w:hAnsi="Times New Roman" w:cs="Times New Roman"/>
          <w:noProof/>
        </w:rPr>
        <w:t xml:space="preserve">be required to </w:t>
      </w:r>
      <w:r>
        <w:rPr>
          <w:rFonts w:ascii="Times New Roman" w:eastAsia="Times New Roman" w:hAnsi="Times New Roman" w:cs="Times New Roman"/>
          <w:noProof/>
        </w:rPr>
        <w:t xml:space="preserve">take over </w:t>
      </w:r>
      <w:r w:rsidRPr="35406341">
        <w:rPr>
          <w:rFonts w:ascii="Times New Roman" w:eastAsia="Times New Roman" w:hAnsi="Times New Roman" w:cs="Times New Roman"/>
          <w:noProof/>
        </w:rPr>
        <w:t>host</w:t>
      </w:r>
      <w:r>
        <w:rPr>
          <w:rFonts w:ascii="Times New Roman" w:eastAsia="Times New Roman" w:hAnsi="Times New Roman" w:cs="Times New Roman"/>
          <w:noProof/>
        </w:rPr>
        <w:t>ing of</w:t>
      </w:r>
      <w:r w:rsidRPr="35406341">
        <w:rPr>
          <w:rFonts w:ascii="Times New Roman" w:eastAsia="Times New Roman" w:hAnsi="Times New Roman" w:cs="Times New Roman"/>
          <w:noProof/>
        </w:rPr>
        <w:t xml:space="preserve"> the Scientific Committee on Consumer Safety (SCCS) which assess</w:t>
      </w:r>
      <w:r>
        <w:rPr>
          <w:rFonts w:ascii="Times New Roman" w:eastAsia="Times New Roman" w:hAnsi="Times New Roman" w:cs="Times New Roman"/>
          <w:noProof/>
        </w:rPr>
        <w:t>es</w:t>
      </w:r>
      <w:r w:rsidRPr="35406341">
        <w:rPr>
          <w:rFonts w:ascii="Times New Roman" w:eastAsia="Times New Roman" w:hAnsi="Times New Roman" w:cs="Times New Roman"/>
          <w:noProof/>
        </w:rPr>
        <w:t xml:space="preserve"> the safety of chemicals underpinning the process for the authorisation of colorants, preservatives and UV-filters, the process for prohibition or restriction of ingredients used in cosmetic products where concerns are raised due to potential risks to human health, the process for granting an exemption from the prohibition of chemicals that cause cancers, gene mutations, affect the reproductive or endocrine system and the process for examining the safety of substances </w:t>
      </w:r>
      <w:r>
        <w:rPr>
          <w:rFonts w:ascii="Times New Roman" w:eastAsia="Times New Roman" w:hAnsi="Times New Roman" w:cs="Times New Roman"/>
          <w:noProof/>
        </w:rPr>
        <w:t xml:space="preserve">used in cosmetic products </w:t>
      </w:r>
      <w:r w:rsidRPr="35406341">
        <w:rPr>
          <w:rFonts w:ascii="Times New Roman" w:eastAsia="Times New Roman" w:hAnsi="Times New Roman" w:cs="Times New Roman"/>
          <w:noProof/>
        </w:rPr>
        <w:t xml:space="preserve">that could affect the respiratory system and chemicals toxic to a specific organ. ECHA and its committee </w:t>
      </w:r>
      <w:r>
        <w:rPr>
          <w:rFonts w:ascii="Times New Roman" w:eastAsia="Times New Roman" w:hAnsi="Times New Roman" w:cs="Times New Roman"/>
          <w:noProof/>
        </w:rPr>
        <w:t xml:space="preserve">should </w:t>
      </w:r>
      <w:r w:rsidRPr="35406341">
        <w:rPr>
          <w:rFonts w:ascii="Times New Roman" w:eastAsia="Times New Roman" w:hAnsi="Times New Roman" w:cs="Times New Roman"/>
          <w:noProof/>
        </w:rPr>
        <w:t>be also required to produce a technical guidance document concerning different aspects of testing and safety evaluation of cosmetic substances including for nanomaterials used is cosmetics.</w:t>
      </w:r>
    </w:p>
    <w:p w14:paraId="3BEE156A"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2D69C30E">
        <w:rPr>
          <w:i/>
          <w:iCs/>
          <w:noProof/>
          <w:sz w:val="22"/>
          <w:szCs w:val="22"/>
        </w:rPr>
        <w:t>Non-chemical assessments performed by SCHEER</w:t>
      </w:r>
    </w:p>
    <w:p w14:paraId="37B86930"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Commission Decision on discontinuing the operation of scientific committees SCHEER and SCCS will result in </w:t>
      </w:r>
      <w:r w:rsidRPr="00EC1412">
        <w:rPr>
          <w:rFonts w:ascii="Times New Roman" w:hAnsi="Times New Roman" w:cs="Times New Roman"/>
          <w:b/>
          <w:noProof/>
        </w:rPr>
        <w:t>reattribution of existing tasks</w:t>
      </w:r>
      <w:r w:rsidRPr="00EC1412">
        <w:rPr>
          <w:rFonts w:ascii="Times New Roman" w:hAnsi="Times New Roman" w:cs="Times New Roman"/>
          <w:noProof/>
        </w:rPr>
        <w:t xml:space="preserve"> to </w:t>
      </w:r>
      <w:r w:rsidRPr="00EC1412">
        <w:rPr>
          <w:rFonts w:ascii="Times New Roman" w:hAnsi="Times New Roman" w:cs="Times New Roman"/>
          <w:b/>
          <w:noProof/>
        </w:rPr>
        <w:t xml:space="preserve">the Commission </w:t>
      </w:r>
      <w:r w:rsidRPr="00EC1412">
        <w:rPr>
          <w:rFonts w:ascii="Times New Roman" w:hAnsi="Times New Roman" w:cs="Times New Roman"/>
          <w:b/>
          <w:bCs/>
          <w:noProof/>
        </w:rPr>
        <w:t>Scientific Advisory Mechanism (SAM).</w:t>
      </w:r>
      <w:r w:rsidRPr="00EC1412">
        <w:rPr>
          <w:rFonts w:ascii="Times New Roman" w:hAnsi="Times New Roman" w:cs="Times New Roman"/>
          <w:noProof/>
        </w:rPr>
        <w:t xml:space="preserve"> SAM will be required on the ad hoc basis to provide a scientific advice on non-chemical topics currently provided by SCHEER. </w:t>
      </w:r>
    </w:p>
    <w:p w14:paraId="38A81C92"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2D69C30E">
        <w:rPr>
          <w:i/>
          <w:iCs/>
          <w:noProof/>
          <w:sz w:val="22"/>
          <w:szCs w:val="22"/>
        </w:rPr>
        <w:t>Ecodesign for sustainable products regulation</w:t>
      </w:r>
      <w:r>
        <w:rPr>
          <w:rStyle w:val="FootnoteReference"/>
          <w:i/>
          <w:noProof/>
          <w:sz w:val="22"/>
          <w:szCs w:val="22"/>
        </w:rPr>
        <w:footnoteReference w:id="40"/>
      </w:r>
      <w:r w:rsidRPr="2D69C30E">
        <w:rPr>
          <w:i/>
          <w:iCs/>
          <w:noProof/>
          <w:sz w:val="22"/>
          <w:szCs w:val="22"/>
        </w:rPr>
        <w:t xml:space="preserve"> </w:t>
      </w:r>
    </w:p>
    <w:p w14:paraId="245CE77B"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regulation on eco-design for sustainable products envisages some new tasks that could be potentially attributed to EU Agencies. These tasks are not defined in the proposal but rather to be specified in the envisaged implementing acts. Such envisaged tasks include involvement of ECHA in the development of a product passport that should hold also information on substances of concern. </w:t>
      </w:r>
    </w:p>
    <w:p w14:paraId="1B291661" w14:textId="77777777" w:rsidR="000A7D9D" w:rsidRPr="00EC1412" w:rsidRDefault="000A7D9D" w:rsidP="000A7D9D">
      <w:pPr>
        <w:pStyle w:val="ListParagraph"/>
        <w:numPr>
          <w:ilvl w:val="0"/>
          <w:numId w:val="19"/>
        </w:numPr>
        <w:spacing w:before="240" w:after="120"/>
        <w:ind w:left="357" w:hanging="357"/>
        <w:jc w:val="both"/>
        <w:rPr>
          <w:i/>
          <w:iCs/>
          <w:noProof/>
          <w:sz w:val="22"/>
          <w:szCs w:val="22"/>
        </w:rPr>
      </w:pPr>
      <w:r w:rsidRPr="2D69C30E">
        <w:rPr>
          <w:i/>
          <w:iCs/>
          <w:noProof/>
          <w:sz w:val="22"/>
          <w:szCs w:val="22"/>
        </w:rPr>
        <w:t>Tobacco products directive</w:t>
      </w:r>
      <w:r>
        <w:rPr>
          <w:rStyle w:val="FootnoteReference"/>
          <w:i/>
          <w:noProof/>
          <w:sz w:val="22"/>
          <w:szCs w:val="22"/>
        </w:rPr>
        <w:footnoteReference w:id="41"/>
      </w:r>
    </w:p>
    <w:p w14:paraId="124C3FAA" w14:textId="77777777" w:rsidR="000A7D9D" w:rsidRPr="00EC1412" w:rsidRDefault="000A7D9D" w:rsidP="000A7D9D">
      <w:pPr>
        <w:pStyle w:val="BodyText"/>
        <w:widowControl w:val="0"/>
        <w:jc w:val="both"/>
        <w:rPr>
          <w:noProof/>
          <w:sz w:val="22"/>
          <w:szCs w:val="22"/>
        </w:rPr>
      </w:pPr>
      <w:r w:rsidRPr="00EC1412">
        <w:rPr>
          <w:noProof/>
          <w:sz w:val="22"/>
          <w:szCs w:val="22"/>
        </w:rPr>
        <w:t xml:space="preserve">The tobacco directive is undergoing an evaluation and a revision of the directive is being envisaged. As part of the revision, a new scientific and technical work is being envisaged that could be potentially attributed to EU Agencies. This includes managing the laboratory network on tobacco control, checking compliance with product presentation provisions, running the procedure determining characterizing flavour, updating negative/positive lists of additives, hosting product database and making publicly available the product information, monitoring of data in product notifications and assessing information on leaflets. The tasks are not yet clear but those that are being considered do not naturally fit to the agencies considered in this initiative. </w:t>
      </w:r>
    </w:p>
    <w:p w14:paraId="1233079F" w14:textId="77777777" w:rsidR="000A7D9D" w:rsidRPr="00EC1412" w:rsidRDefault="000A7D9D" w:rsidP="000A7D9D">
      <w:pPr>
        <w:pStyle w:val="ListParagraph"/>
        <w:numPr>
          <w:ilvl w:val="0"/>
          <w:numId w:val="19"/>
        </w:numPr>
        <w:spacing w:before="240" w:after="120"/>
        <w:ind w:left="357" w:hanging="357"/>
        <w:contextualSpacing w:val="0"/>
        <w:jc w:val="both"/>
        <w:rPr>
          <w:i/>
          <w:noProof/>
          <w:sz w:val="22"/>
          <w:szCs w:val="22"/>
        </w:rPr>
      </w:pPr>
      <w:r w:rsidRPr="2D69C30E">
        <w:rPr>
          <w:i/>
          <w:iCs/>
          <w:noProof/>
          <w:sz w:val="22"/>
          <w:szCs w:val="22"/>
        </w:rPr>
        <w:t>Regulation on fluorinated greenhouse gases</w:t>
      </w:r>
      <w:r>
        <w:rPr>
          <w:rStyle w:val="FootnoteReference"/>
          <w:i/>
          <w:noProof/>
          <w:sz w:val="22"/>
          <w:szCs w:val="22"/>
        </w:rPr>
        <w:footnoteReference w:id="42"/>
      </w:r>
      <w:r w:rsidRPr="2D69C30E">
        <w:rPr>
          <w:i/>
          <w:iCs/>
          <w:noProof/>
          <w:sz w:val="22"/>
          <w:szCs w:val="22"/>
        </w:rPr>
        <w:t xml:space="preserve"> and the Regulation on ozone depleting substances</w:t>
      </w:r>
      <w:r>
        <w:rPr>
          <w:rStyle w:val="FootnoteReference"/>
          <w:i/>
          <w:noProof/>
          <w:sz w:val="22"/>
          <w:szCs w:val="22"/>
        </w:rPr>
        <w:footnoteReference w:id="43"/>
      </w:r>
      <w:r w:rsidRPr="2D69C30E">
        <w:rPr>
          <w:i/>
          <w:iCs/>
          <w:noProof/>
          <w:sz w:val="22"/>
          <w:szCs w:val="22"/>
        </w:rPr>
        <w:t xml:space="preserve"> </w:t>
      </w:r>
    </w:p>
    <w:p w14:paraId="4AB80E57" w14:textId="77777777" w:rsidR="000A7D9D" w:rsidRDefault="000A7D9D" w:rsidP="000A7D9D">
      <w:pPr>
        <w:jc w:val="both"/>
        <w:rPr>
          <w:rFonts w:ascii="Times New Roman" w:hAnsi="Times New Roman" w:cs="Times New Roman"/>
          <w:noProof/>
        </w:rPr>
      </w:pPr>
      <w:r w:rsidRPr="007A6C25">
        <w:rPr>
          <w:rFonts w:ascii="Times New Roman" w:hAnsi="Times New Roman" w:cs="Times New Roman"/>
          <w:noProof/>
        </w:rPr>
        <w:t>The</w:t>
      </w:r>
      <w:r w:rsidRPr="00215A69">
        <w:rPr>
          <w:rFonts w:ascii="Times New Roman" w:hAnsi="Times New Roman" w:cs="Times New Roman"/>
          <w:noProof/>
        </w:rPr>
        <w:t xml:space="preserve"> proposal for a </w:t>
      </w:r>
      <w:r w:rsidRPr="007A6C25">
        <w:rPr>
          <w:rFonts w:ascii="Times New Roman" w:hAnsi="Times New Roman" w:cs="Times New Roman"/>
          <w:noProof/>
        </w:rPr>
        <w:t>regulation on fluorinated</w:t>
      </w:r>
      <w:r w:rsidRPr="00EC1412">
        <w:rPr>
          <w:rFonts w:ascii="Times New Roman" w:hAnsi="Times New Roman" w:cs="Times New Roman"/>
          <w:noProof/>
        </w:rPr>
        <w:t xml:space="preserve"> greenhouse gases  establishes an obligation on the Commission to operate an electronic system for the management of the quota system, licensing of imports and exports and reporting</w:t>
      </w:r>
      <w:r>
        <w:rPr>
          <w:rFonts w:ascii="Times New Roman" w:hAnsi="Times New Roman" w:cs="Times New Roman"/>
          <w:noProof/>
        </w:rPr>
        <w:t xml:space="preserve"> and introduces invoicing fees for the quotas</w:t>
      </w:r>
      <w:r w:rsidRPr="00EC1412">
        <w:rPr>
          <w:rFonts w:ascii="Times New Roman" w:hAnsi="Times New Roman" w:cs="Times New Roman"/>
          <w:noProof/>
        </w:rPr>
        <w:t xml:space="preserve">. </w:t>
      </w:r>
      <w:r>
        <w:rPr>
          <w:rFonts w:ascii="Times New Roman" w:hAnsi="Times New Roman" w:cs="Times New Roman"/>
          <w:noProof/>
        </w:rPr>
        <w:t xml:space="preserve">Similarly for the </w:t>
      </w:r>
      <w:r w:rsidRPr="00F17166">
        <w:rPr>
          <w:rFonts w:ascii="Times New Roman" w:hAnsi="Times New Roman" w:cs="Times New Roman"/>
          <w:noProof/>
        </w:rPr>
        <w:t xml:space="preserve">Regulation </w:t>
      </w:r>
      <w:r>
        <w:rPr>
          <w:rFonts w:ascii="Times New Roman" w:hAnsi="Times New Roman" w:cs="Times New Roman"/>
          <w:noProof/>
        </w:rPr>
        <w:t xml:space="preserve">on ozone depleting substance, </w:t>
      </w:r>
      <w:r w:rsidRPr="00F17166">
        <w:rPr>
          <w:rFonts w:ascii="Times New Roman" w:hAnsi="Times New Roman" w:cs="Times New Roman"/>
          <w:noProof/>
        </w:rPr>
        <w:t xml:space="preserve">the Commission </w:t>
      </w:r>
      <w:r>
        <w:rPr>
          <w:rFonts w:ascii="Times New Roman" w:hAnsi="Times New Roman" w:cs="Times New Roman"/>
          <w:noProof/>
        </w:rPr>
        <w:t xml:space="preserve">has the obligation to </w:t>
      </w:r>
      <w:r w:rsidRPr="00F17166">
        <w:rPr>
          <w:rFonts w:ascii="Times New Roman" w:hAnsi="Times New Roman" w:cs="Times New Roman"/>
          <w:noProof/>
        </w:rPr>
        <w:t>operate a licencing and reporting system.</w:t>
      </w:r>
      <w:r>
        <w:rPr>
          <w:rFonts w:ascii="Times New Roman" w:hAnsi="Times New Roman" w:cs="Times New Roman"/>
          <w:noProof/>
        </w:rPr>
        <w:t xml:space="preserve"> </w:t>
      </w:r>
      <w:r w:rsidRPr="00D36EBE">
        <w:rPr>
          <w:rFonts w:ascii="Times New Roman" w:hAnsi="Times New Roman" w:cs="Times New Roman"/>
          <w:noProof/>
        </w:rPr>
        <w:t xml:space="preserve"> </w:t>
      </w:r>
      <w:r>
        <w:rPr>
          <w:rFonts w:ascii="Times New Roman" w:hAnsi="Times New Roman" w:cs="Times New Roman"/>
          <w:noProof/>
        </w:rPr>
        <w:t>I</w:t>
      </w:r>
      <w:r w:rsidRPr="00F17166">
        <w:rPr>
          <w:rFonts w:ascii="Times New Roman" w:hAnsi="Times New Roman" w:cs="Times New Roman"/>
          <w:noProof/>
        </w:rPr>
        <w:t>t is not yet clear how the tasks can be implemented most effectively</w:t>
      </w:r>
      <w:r>
        <w:rPr>
          <w:rFonts w:ascii="Times New Roman" w:hAnsi="Times New Roman" w:cs="Times New Roman"/>
          <w:noProof/>
        </w:rPr>
        <w:t xml:space="preserve">, but it is envisaged that an agency could take some of the tasks in case </w:t>
      </w:r>
      <w:r w:rsidRPr="00F17166">
        <w:rPr>
          <w:rFonts w:ascii="Times New Roman" w:hAnsi="Times New Roman" w:cs="Times New Roman"/>
          <w:noProof/>
        </w:rPr>
        <w:t>that would be deemed to be the best option at a later stage</w:t>
      </w:r>
      <w:r>
        <w:rPr>
          <w:rFonts w:ascii="Times New Roman" w:hAnsi="Times New Roman" w:cs="Times New Roman"/>
          <w:noProof/>
        </w:rPr>
        <w:t>.</w:t>
      </w:r>
      <w:r w:rsidRPr="00EC1412">
        <w:rPr>
          <w:rFonts w:ascii="Times New Roman" w:hAnsi="Times New Roman" w:cs="Times New Roman"/>
          <w:noProof/>
        </w:rPr>
        <w:t xml:space="preserve"> </w:t>
      </w:r>
    </w:p>
    <w:p w14:paraId="120B068F" w14:textId="77777777" w:rsidR="000A7D9D" w:rsidRPr="00CB3F79" w:rsidRDefault="000A7D9D" w:rsidP="000A7D9D">
      <w:pPr>
        <w:pStyle w:val="Heading1"/>
        <w:keepLines w:val="0"/>
        <w:widowControl/>
        <w:numPr>
          <w:ilvl w:val="0"/>
          <w:numId w:val="7"/>
        </w:numPr>
        <w:tabs>
          <w:tab w:val="num" w:pos="480"/>
        </w:tabs>
        <w:snapToGrid/>
        <w:spacing w:before="240"/>
        <w:ind w:left="480" w:hanging="480"/>
        <w:jc w:val="both"/>
        <w:rPr>
          <w:rFonts w:ascii="Times New Roman" w:hAnsi="Times New Roman"/>
          <w:smallCaps/>
          <w:noProof/>
          <w:color w:val="auto"/>
          <w:sz w:val="24"/>
          <w:szCs w:val="20"/>
          <w:lang w:eastAsia="en-US"/>
        </w:rPr>
      </w:pPr>
      <w:bookmarkStart w:id="10" w:name="_Toc150499896"/>
      <w:r w:rsidRPr="00CB3F79">
        <w:rPr>
          <w:rFonts w:ascii="Times New Roman" w:hAnsi="Times New Roman"/>
          <w:smallCaps/>
          <w:noProof/>
          <w:color w:val="auto"/>
          <w:sz w:val="24"/>
          <w:szCs w:val="20"/>
          <w:lang w:eastAsia="en-US"/>
        </w:rPr>
        <w:t>Assessment of impacts</w:t>
      </w:r>
      <w:bookmarkEnd w:id="10"/>
      <w:r w:rsidRPr="00CB3F79">
        <w:rPr>
          <w:rFonts w:ascii="Times New Roman" w:hAnsi="Times New Roman"/>
          <w:smallCaps/>
          <w:noProof/>
          <w:color w:val="auto"/>
          <w:sz w:val="24"/>
          <w:szCs w:val="20"/>
          <w:lang w:eastAsia="en-US"/>
        </w:rPr>
        <w:t xml:space="preserve"> </w:t>
      </w:r>
    </w:p>
    <w:p w14:paraId="4C076574" w14:textId="77777777" w:rsidR="000A7D9D" w:rsidRDefault="000A7D9D" w:rsidP="000A7D9D">
      <w:pPr>
        <w:spacing w:after="120"/>
        <w:jc w:val="both"/>
        <w:rPr>
          <w:rFonts w:ascii="Times New Roman" w:hAnsi="Times New Roman" w:cs="Times New Roman"/>
          <w:noProof/>
        </w:rPr>
      </w:pPr>
      <w:r w:rsidRPr="00FB262E">
        <w:rPr>
          <w:rFonts w:ascii="Times New Roman" w:hAnsi="Times New Roman" w:cs="Times New Roman"/>
          <w:noProof/>
        </w:rPr>
        <w:t>The fitness check of all chemical legislation (excluding REACH) assessed most of the challenges and risks addressed through this initiative and concluded that there are significant opportunities for streamlining the technical and scientific work through EU agencies. Moreover, there is little discretion of the policy choice as to achieve objectives of the initiative. The consolidation of the technical and scientific work on chemicals at the EU level is possible only in the EU Agencies. Therefore, no formal impact assessment was carried out.</w:t>
      </w:r>
    </w:p>
    <w:p w14:paraId="52CBF43F" w14:textId="77777777" w:rsidR="000A7D9D" w:rsidRPr="00D04E9B" w:rsidRDefault="000A7D9D" w:rsidP="000A7D9D">
      <w:pPr>
        <w:spacing w:after="120"/>
        <w:jc w:val="both"/>
        <w:rPr>
          <w:rFonts w:ascii="Times New Roman" w:hAnsi="Times New Roman" w:cs="Times New Roman"/>
          <w:i/>
          <w:noProof/>
        </w:rPr>
      </w:pPr>
      <w:r w:rsidRPr="00D04E9B">
        <w:rPr>
          <w:rFonts w:ascii="Times New Roman" w:hAnsi="Times New Roman" w:cs="Times New Roman"/>
          <w:i/>
          <w:noProof/>
        </w:rPr>
        <w:t>Overall impact</w:t>
      </w:r>
    </w:p>
    <w:p w14:paraId="7565FE4F" w14:textId="77777777" w:rsidR="000A7D9D" w:rsidRPr="00AC3DA5" w:rsidRDefault="000A7D9D" w:rsidP="000A7D9D">
      <w:pPr>
        <w:spacing w:after="120"/>
        <w:jc w:val="both"/>
        <w:rPr>
          <w:rFonts w:ascii="Times New Roman" w:hAnsi="Times New Roman" w:cs="Times New Roman"/>
          <w:noProof/>
        </w:rPr>
      </w:pPr>
      <w:r>
        <w:rPr>
          <w:rFonts w:ascii="Times New Roman" w:hAnsi="Times New Roman" w:cs="Times New Roman"/>
          <w:noProof/>
        </w:rPr>
        <w:t xml:space="preserve">Although no formal assessment of social, economic and environmental impacts was carried out, such impacts were qualitatively assessed by the Commission with the help of external consultants. The outcomes of the assessment is provided in the sub section ‘overall impact’ of the section 8 for the legislative proposals on reattribution of tasks and of the section 9 for the legislative proposal for a regulation establishing  a common data platform and a monitoring and outlook framework for chemicals. The overall impacts from all reattributions are summarised in the section 10.1. ‘added value and synergies of the (re-)attributions’.  </w:t>
      </w:r>
    </w:p>
    <w:p w14:paraId="64DA0C57" w14:textId="77777777" w:rsidR="000A7D9D" w:rsidRPr="00FB262E" w:rsidRDefault="000A7D9D" w:rsidP="000A7D9D">
      <w:pPr>
        <w:spacing w:after="120"/>
        <w:jc w:val="both"/>
        <w:rPr>
          <w:rFonts w:ascii="Times New Roman" w:hAnsi="Times New Roman" w:cs="Times New Roman"/>
          <w:i/>
          <w:noProof/>
        </w:rPr>
      </w:pPr>
      <w:r w:rsidRPr="00FB262E">
        <w:rPr>
          <w:rFonts w:ascii="Times New Roman" w:hAnsi="Times New Roman" w:cs="Times New Roman"/>
          <w:i/>
          <w:noProof/>
        </w:rPr>
        <w:t>Assessment of impacts</w:t>
      </w:r>
      <w:r>
        <w:rPr>
          <w:rFonts w:ascii="Times New Roman" w:hAnsi="Times New Roman" w:cs="Times New Roman"/>
          <w:i/>
          <w:noProof/>
        </w:rPr>
        <w:t xml:space="preserve"> on resources and committees of EU agencies </w:t>
      </w:r>
    </w:p>
    <w:p w14:paraId="1C185853" w14:textId="77777777" w:rsidR="000A7D9D" w:rsidRPr="00EC1412" w:rsidRDefault="000A7D9D" w:rsidP="000A7D9D">
      <w:pPr>
        <w:spacing w:after="120"/>
        <w:jc w:val="both"/>
        <w:rPr>
          <w:rFonts w:ascii="Times New Roman" w:hAnsi="Times New Roman" w:cs="Times New Roman"/>
          <w:noProof/>
        </w:rPr>
      </w:pPr>
      <w:r>
        <w:rPr>
          <w:rFonts w:ascii="Times New Roman" w:hAnsi="Times New Roman" w:cs="Times New Roman"/>
          <w:noProof/>
        </w:rPr>
        <w:t xml:space="preserve">As the (re-)attribution of tasks to EU agencies will have a major impacts on their resource and capacity needs, these impacts were assessed in great detail. </w:t>
      </w:r>
      <w:r w:rsidRPr="00EC1412">
        <w:rPr>
          <w:rFonts w:ascii="Times New Roman" w:hAnsi="Times New Roman" w:cs="Times New Roman"/>
          <w:noProof/>
        </w:rPr>
        <w:t xml:space="preserve">Assessment of impacts of the (re-)attribution of each task to the EU Agencies included assessment of synergies and added value of the (re-)attribution, estimation of the impacts on Agencies’ committees, data model and IT infrastructure and key experts and estimation of the workload and associated resource needs for the Agencies. For the existing tasks to be reattributed, the assessment also included description of the current workload and estimation of the current use of resources. The detailed assessment of impacts for each task per legislation or work package is provided in </w:t>
      </w:r>
      <w:r w:rsidRPr="00EC1412">
        <w:rPr>
          <w:rFonts w:ascii="Times New Roman" w:hAnsi="Times New Roman" w:cs="Times New Roman"/>
          <w:b/>
          <w:noProof/>
        </w:rPr>
        <w:t>Annex III</w:t>
      </w:r>
      <w:r w:rsidRPr="00EC1412">
        <w:rPr>
          <w:rFonts w:ascii="Times New Roman" w:hAnsi="Times New Roman" w:cs="Times New Roman"/>
          <w:noProof/>
        </w:rPr>
        <w:t xml:space="preserve">. </w:t>
      </w:r>
    </w:p>
    <w:p w14:paraId="6D011F26"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estimation of the current resource use included an estimation of the full time equivalents dedicated to the tasks. This consisted of the estimation of the full time equivalent of the Commission staff as well as estimation of the full-time equivalents of the contracted staff (external and intramurous consultant, interim staff). To convert the cost of consultants into full time equivalents, the cost of 1 full time equivalent of a consultant was estimated based on the contracts and average Belgium salary at ca. </w:t>
      </w:r>
      <w:r>
        <w:rPr>
          <w:rFonts w:ascii="Times New Roman" w:hAnsi="Times New Roman" w:cs="Times New Roman"/>
          <w:noProof/>
        </w:rPr>
        <w:t xml:space="preserve">EUR </w:t>
      </w:r>
      <w:r w:rsidRPr="00EC1412">
        <w:rPr>
          <w:rFonts w:ascii="Times New Roman" w:hAnsi="Times New Roman" w:cs="Times New Roman"/>
          <w:noProof/>
        </w:rPr>
        <w:t>66</w:t>
      </w:r>
      <w:r>
        <w:rPr>
          <w:rFonts w:ascii="Times New Roman" w:hAnsi="Times New Roman" w:cs="Times New Roman"/>
          <w:noProof/>
        </w:rPr>
        <w:t xml:space="preserve"> </w:t>
      </w:r>
      <w:r w:rsidRPr="00EC1412">
        <w:rPr>
          <w:rFonts w:ascii="Times New Roman" w:hAnsi="Times New Roman" w:cs="Times New Roman"/>
          <w:noProof/>
        </w:rPr>
        <w:t>000 annually</w:t>
      </w:r>
      <w:r w:rsidRPr="00EC1412">
        <w:rPr>
          <w:rFonts w:ascii="Times New Roman" w:hAnsi="Times New Roman" w:cs="Times New Roman"/>
          <w:noProof/>
          <w:vertAlign w:val="superscript"/>
        </w:rPr>
        <w:footnoteReference w:id="44"/>
      </w:r>
      <w:r w:rsidRPr="00EC1412">
        <w:rPr>
          <w:rFonts w:ascii="Times New Roman" w:hAnsi="Times New Roman" w:cs="Times New Roman"/>
          <w:noProof/>
        </w:rPr>
        <w:t xml:space="preserve">. It should be noted that the estimation of full-time equivalents for the Commission staff does not include administrative or IT overhead of the Commission. </w:t>
      </w:r>
    </w:p>
    <w:p w14:paraId="5F14DB15"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estimation of the resource needs for the Agencies was done in close and frequent consultation with the Agencies concerned. The operation of each (re-)attributed task to Agencies has been assumed to be done through implementing similar processes and similar level of scientific scrutiny and digitalisation to what is already in place for Agencies’ current tasks. The benefit of this approach is to ensure a consistent standard of scientific quality, transparency and data interoperability as well as to maximise the reuse of existing processes and tools. In general, internal experts were assumed to be used for scientific and technical work underpinning assessments related to chemicals and the agencies’ committees to be used to validate the work through provisions of opinions. External contracting was envisaged for the IT development as well as for the collection of data or information. </w:t>
      </w:r>
    </w:p>
    <w:p w14:paraId="3E258C38" w14:textId="77777777" w:rsidR="000A7D9D" w:rsidRDefault="000A7D9D" w:rsidP="000A7D9D">
      <w:pPr>
        <w:jc w:val="both"/>
        <w:rPr>
          <w:rFonts w:ascii="Times New Roman" w:hAnsi="Times New Roman" w:cs="Times New Roman"/>
          <w:noProof/>
        </w:rPr>
      </w:pPr>
      <w:r w:rsidRPr="00EC1412">
        <w:rPr>
          <w:rFonts w:ascii="Times New Roman" w:hAnsi="Times New Roman" w:cs="Times New Roman"/>
          <w:noProof/>
        </w:rPr>
        <w:t xml:space="preserve">ECHA is the agency to receive most of the assessment work on chemicals. The estimation of the resource needs for the new assessment task to be allocated to ECHA was built on the ECHA’s experience of the resource needs for their existing processes. The experience shows that resource requirement for the development of an opinion on harmonised classification varies between 0.35 – 0.65 FTEs per dossier (0.35 for low complexity dossier, 0.5 for average complexity and 0.65 FTE for complex dossier), for scientific opinion on the occupational exposure limit values is average of 0.7 FTE per dossier, for opinion on REACH authorisation is 0.15 FTE pre dossier of low complexity up to 0.35 FTE per dossier of high complexity, for opinion on REACH restriction is 1 FTE per dossier of low complexity up to 1.5 FTE per dossier of high complexity. An overhead of 15% was added to the resource estimate for the development and maintenance of common IT components and additional 15% for the contribution to the horizontal support (governance &amp; enablers / administrative overhead). </w:t>
      </w:r>
    </w:p>
    <w:p w14:paraId="41812725" w14:textId="77777777" w:rsidR="000A7D9D" w:rsidRPr="00CB3F79" w:rsidRDefault="000A7D9D" w:rsidP="000A7D9D">
      <w:pPr>
        <w:pStyle w:val="Heading1"/>
        <w:keepLines w:val="0"/>
        <w:widowControl/>
        <w:numPr>
          <w:ilvl w:val="0"/>
          <w:numId w:val="7"/>
        </w:numPr>
        <w:tabs>
          <w:tab w:val="num" w:pos="480"/>
        </w:tabs>
        <w:snapToGrid/>
        <w:spacing w:before="240"/>
        <w:ind w:left="480" w:hanging="480"/>
        <w:jc w:val="both"/>
        <w:rPr>
          <w:rFonts w:ascii="Times New Roman" w:hAnsi="Times New Roman"/>
          <w:smallCaps/>
          <w:noProof/>
          <w:color w:val="auto"/>
          <w:sz w:val="24"/>
          <w:lang w:eastAsia="en-US"/>
        </w:rPr>
      </w:pPr>
      <w:bookmarkStart w:id="11" w:name="_Toc150499897"/>
      <w:r w:rsidRPr="6017A922">
        <w:rPr>
          <w:rFonts w:ascii="Times New Roman" w:hAnsi="Times New Roman"/>
          <w:smallCaps/>
          <w:noProof/>
          <w:color w:val="auto"/>
          <w:sz w:val="24"/>
          <w:lang w:eastAsia="en-US"/>
        </w:rPr>
        <w:t>Impacts of the legislative proposals on reattribution of tasks</w:t>
      </w:r>
      <w:bookmarkEnd w:id="11"/>
      <w:r w:rsidRPr="6017A922">
        <w:rPr>
          <w:rFonts w:ascii="Times New Roman" w:hAnsi="Times New Roman"/>
          <w:smallCaps/>
          <w:noProof/>
          <w:color w:val="auto"/>
          <w:sz w:val="24"/>
          <w:lang w:eastAsia="en-US"/>
        </w:rPr>
        <w:t xml:space="preserve"> </w:t>
      </w:r>
    </w:p>
    <w:p w14:paraId="12C79860" w14:textId="77777777" w:rsidR="000A7D9D" w:rsidRPr="00D04E9B" w:rsidRDefault="000A7D9D" w:rsidP="000A7D9D">
      <w:pPr>
        <w:spacing w:before="240" w:after="120" w:line="240" w:lineRule="auto"/>
        <w:jc w:val="both"/>
        <w:rPr>
          <w:rFonts w:ascii="Times New Roman" w:eastAsia="Times New Roman" w:hAnsi="Times New Roman" w:cs="Times New Roman"/>
          <w:i/>
          <w:noProof/>
        </w:rPr>
      </w:pPr>
      <w:r>
        <w:rPr>
          <w:rFonts w:ascii="Times New Roman" w:eastAsia="Times New Roman" w:hAnsi="Times New Roman" w:cs="Times New Roman"/>
          <w:i/>
          <w:noProof/>
        </w:rPr>
        <w:t>Overall impact</w:t>
      </w:r>
    </w:p>
    <w:p w14:paraId="0E2D5DDD" w14:textId="77777777" w:rsidR="000A7D9D" w:rsidRDefault="000A7D9D" w:rsidP="000A7D9D">
      <w:pPr>
        <w:spacing w:after="120"/>
        <w:jc w:val="both"/>
        <w:rPr>
          <w:rFonts w:ascii="Times New Roman" w:eastAsia="Times New Roman" w:hAnsi="Times New Roman" w:cs="Times New Roman"/>
          <w:noProof/>
        </w:rPr>
      </w:pPr>
      <w:r w:rsidRPr="00CA0F2A">
        <w:rPr>
          <w:rFonts w:ascii="Times New Roman" w:eastAsia="Times New Roman" w:hAnsi="Times New Roman" w:cs="Times New Roman"/>
          <w:noProof/>
        </w:rPr>
        <w:t>Overall, this proposal is expected to improve the efficiency, effectiveness, coherence and transparency of EU processes for chemical assessments for the benefit of all stakeholders. Citizens and the environment will benefit from better protection from dangerous chemicals as a result of more efficient and effective assessment processes. Companies will benefit from more harmonised and transparent processes across legislation, from a reduced number of bodies involved in safety and risk assessments, as well as from strengthened certainty regarding the validity of assessments. Finally, the national and EU authorities will benefit from improved efficiency of delivery of assessments and improved public trust and acceptance of regulatory decisions.</w:t>
      </w:r>
    </w:p>
    <w:p w14:paraId="7D76A998" w14:textId="77777777" w:rsidR="000A7D9D" w:rsidRPr="00FB262E" w:rsidRDefault="000A7D9D" w:rsidP="000A7D9D">
      <w:pPr>
        <w:pStyle w:val="ListBullet1"/>
        <w:spacing w:line="259" w:lineRule="auto"/>
        <w:ind w:left="568" w:hanging="284"/>
        <w:rPr>
          <w:noProof/>
          <w:sz w:val="22"/>
        </w:rPr>
      </w:pPr>
      <w:r w:rsidRPr="00FB262E">
        <w:rPr>
          <w:b/>
          <w:bCs/>
          <w:noProof/>
          <w:sz w:val="22"/>
        </w:rPr>
        <w:t>Improved scientific consistency and coherence of assessments</w:t>
      </w:r>
      <w:r w:rsidRPr="00FB262E">
        <w:rPr>
          <w:i/>
          <w:iCs/>
          <w:noProof/>
          <w:sz w:val="22"/>
        </w:rPr>
        <w:t xml:space="preserve"> – </w:t>
      </w:r>
      <w:r w:rsidRPr="00FB262E">
        <w:rPr>
          <w:noProof/>
          <w:sz w:val="22"/>
        </w:rPr>
        <w:t xml:space="preserve">The reduced number of actors involved in the scientific and technical work, as well as an increased cooperation and obligation to solve divergent opinions among agencies leads to improved coherence and scientific consistency - both across the various Union acts, and across the assessment processes laid out therein. The consolidation of work allows to better align priority setting, timelines, processes, and methodologies used for the assessments. It facilitates re-use of assessment insights developed under one Union act on chemicals in the assessment process of another. </w:t>
      </w:r>
    </w:p>
    <w:p w14:paraId="4C5522E8" w14:textId="77777777" w:rsidR="000A7D9D" w:rsidRPr="00FB262E" w:rsidRDefault="000A7D9D" w:rsidP="000A7D9D">
      <w:pPr>
        <w:pStyle w:val="ListBullet1"/>
        <w:spacing w:line="259" w:lineRule="auto"/>
        <w:ind w:left="568" w:hanging="284"/>
        <w:rPr>
          <w:noProof/>
          <w:sz w:val="22"/>
        </w:rPr>
      </w:pPr>
      <w:r w:rsidRPr="00FB262E">
        <w:rPr>
          <w:b/>
          <w:bCs/>
          <w:noProof/>
          <w:sz w:val="22"/>
        </w:rPr>
        <w:t>Improved robustness of assessment, trust and acceptance</w:t>
      </w:r>
      <w:r w:rsidRPr="00FB262E">
        <w:rPr>
          <w:i/>
          <w:iCs/>
          <w:noProof/>
          <w:sz w:val="22"/>
        </w:rPr>
        <w:t xml:space="preserve"> </w:t>
      </w:r>
      <w:r w:rsidRPr="00FB262E">
        <w:rPr>
          <w:b/>
          <w:bCs/>
          <w:noProof/>
          <w:sz w:val="22"/>
        </w:rPr>
        <w:t>of regulatory decisions</w:t>
      </w:r>
      <w:r w:rsidRPr="00FB262E">
        <w:rPr>
          <w:i/>
          <w:iCs/>
          <w:noProof/>
          <w:sz w:val="22"/>
        </w:rPr>
        <w:t xml:space="preserve"> – </w:t>
      </w:r>
      <w:r w:rsidRPr="00FB262E">
        <w:rPr>
          <w:noProof/>
          <w:sz w:val="22"/>
        </w:rPr>
        <w:t xml:space="preserve">The involvement of the EU agencies and their committees in the scientific and technical work on chemicals adds more scientific expertise, ensures high quality of scientific advice and leads to improved robustness of assessments and thus their acceptance. </w:t>
      </w:r>
    </w:p>
    <w:p w14:paraId="7928ED54" w14:textId="77777777" w:rsidR="000A7D9D" w:rsidRPr="00FB262E" w:rsidRDefault="000A7D9D" w:rsidP="000A7D9D">
      <w:pPr>
        <w:pStyle w:val="ListBullet1"/>
        <w:spacing w:line="259" w:lineRule="auto"/>
        <w:ind w:left="568" w:hanging="284"/>
        <w:rPr>
          <w:noProof/>
          <w:sz w:val="22"/>
        </w:rPr>
      </w:pPr>
      <w:r w:rsidRPr="00FB262E">
        <w:rPr>
          <w:b/>
          <w:bCs/>
          <w:noProof/>
          <w:sz w:val="22"/>
        </w:rPr>
        <w:t>Strengthen independence of the scientific advice</w:t>
      </w:r>
      <w:r w:rsidRPr="00FB262E">
        <w:rPr>
          <w:noProof/>
          <w:sz w:val="22"/>
        </w:rPr>
        <w:t xml:space="preserve"> – Moving scientific and technical work on chemicals from the Commission, ad hoc committees or consultants to EU agencies and their committees reinforces </w:t>
      </w:r>
      <w:r>
        <w:rPr>
          <w:noProof/>
          <w:sz w:val="22"/>
        </w:rPr>
        <w:t xml:space="preserve">the independence of the scientific advice and </w:t>
      </w:r>
      <w:r w:rsidRPr="00FB262E">
        <w:rPr>
          <w:noProof/>
          <w:sz w:val="22"/>
        </w:rPr>
        <w:t xml:space="preserve">the separation between science and policy or between risk assessment and management. </w:t>
      </w:r>
      <w:r>
        <w:rPr>
          <w:noProof/>
          <w:sz w:val="22"/>
        </w:rPr>
        <w:t>A</w:t>
      </w:r>
      <w:r w:rsidRPr="00FB262E">
        <w:rPr>
          <w:noProof/>
          <w:sz w:val="22"/>
        </w:rPr>
        <w:t xml:space="preserve">gencies </w:t>
      </w:r>
      <w:r>
        <w:rPr>
          <w:noProof/>
          <w:sz w:val="22"/>
        </w:rPr>
        <w:t xml:space="preserve">are independent </w:t>
      </w:r>
      <w:r w:rsidRPr="00FB262E">
        <w:rPr>
          <w:noProof/>
          <w:sz w:val="22"/>
        </w:rPr>
        <w:t>and their committees work under stricter conflict of interest avoidance rules, improving guarantees of independent scientific advice to the Commission.</w:t>
      </w:r>
    </w:p>
    <w:p w14:paraId="3225A18F" w14:textId="77777777" w:rsidR="000A7D9D" w:rsidRPr="00FB262E" w:rsidRDefault="000A7D9D" w:rsidP="000A7D9D">
      <w:pPr>
        <w:pStyle w:val="ListBullet1"/>
        <w:spacing w:line="259" w:lineRule="auto"/>
        <w:ind w:left="568" w:hanging="284"/>
        <w:rPr>
          <w:noProof/>
          <w:sz w:val="22"/>
        </w:rPr>
      </w:pPr>
      <w:r w:rsidRPr="00FB262E">
        <w:rPr>
          <w:b/>
          <w:bCs/>
          <w:noProof/>
          <w:sz w:val="22"/>
        </w:rPr>
        <w:t>Improved transparency</w:t>
      </w:r>
      <w:r w:rsidRPr="00FB262E">
        <w:rPr>
          <w:noProof/>
          <w:sz w:val="22"/>
        </w:rPr>
        <w:t xml:space="preserve"> –</w:t>
      </w:r>
      <w:r w:rsidRPr="00FB262E">
        <w:rPr>
          <w:i/>
          <w:iCs/>
          <w:noProof/>
          <w:sz w:val="22"/>
        </w:rPr>
        <w:t xml:space="preserve"> </w:t>
      </w:r>
      <w:r w:rsidRPr="00FB262E">
        <w:rPr>
          <w:noProof/>
          <w:sz w:val="22"/>
        </w:rPr>
        <w:t>The involvement of the EU agencies in scientific and technical work will ensure transparency to the process in terms of overall process transparency.</w:t>
      </w:r>
    </w:p>
    <w:p w14:paraId="68B3B01B" w14:textId="77777777" w:rsidR="000A7D9D" w:rsidRPr="00FB262E" w:rsidRDefault="000A7D9D" w:rsidP="000A7D9D">
      <w:pPr>
        <w:pStyle w:val="ListBullet1"/>
        <w:spacing w:line="259" w:lineRule="auto"/>
        <w:ind w:left="568" w:hanging="284"/>
        <w:rPr>
          <w:noProof/>
          <w:sz w:val="22"/>
        </w:rPr>
      </w:pPr>
      <w:r w:rsidRPr="00FB262E">
        <w:rPr>
          <w:b/>
          <w:bCs/>
          <w:noProof/>
          <w:sz w:val="22"/>
        </w:rPr>
        <w:t>Improved efficiency of delivery of assessments</w:t>
      </w:r>
      <w:r w:rsidRPr="00FB262E">
        <w:rPr>
          <w:noProof/>
          <w:sz w:val="22"/>
        </w:rPr>
        <w:t xml:space="preserve"> – Centralising assessment work in the EU agencies will allow the re-use of capabilities, the re-use of knowledge and experience, and the re-use of IT tools and support services.</w:t>
      </w:r>
    </w:p>
    <w:p w14:paraId="5077EEBF"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Impact on resources</w:t>
      </w:r>
      <w:r>
        <w:rPr>
          <w:rFonts w:ascii="Times New Roman" w:hAnsi="Times New Roman" w:cs="Times New Roman"/>
          <w:i/>
          <w:noProof/>
        </w:rPr>
        <w:t xml:space="preserve"> of Agencies and the Commission</w:t>
      </w:r>
    </w:p>
    <w:p w14:paraId="240F07A8" w14:textId="77777777" w:rsidR="000A7D9D" w:rsidRPr="00EC1412" w:rsidRDefault="000A7D9D" w:rsidP="000A7D9D">
      <w:pPr>
        <w:spacing w:after="120"/>
        <w:jc w:val="both"/>
        <w:rPr>
          <w:rFonts w:ascii="Times New Roman" w:hAnsi="Times New Roman" w:cs="Times New Roman"/>
          <w:noProof/>
        </w:rPr>
      </w:pPr>
      <w:r w:rsidRPr="6689DE26">
        <w:rPr>
          <w:rFonts w:ascii="Times New Roman" w:hAnsi="Times New Roman" w:cs="Times New Roman"/>
          <w:noProof/>
        </w:rPr>
        <w:t xml:space="preserve">The proposal for a directive on reattribution of tasks will amend RoHS </w:t>
      </w:r>
      <w:r>
        <w:rPr>
          <w:rFonts w:ascii="Times New Roman" w:hAnsi="Times New Roman" w:cs="Times New Roman"/>
          <w:noProof/>
        </w:rPr>
        <w:t>d</w:t>
      </w:r>
      <w:r w:rsidRPr="6689DE26">
        <w:rPr>
          <w:rFonts w:ascii="Times New Roman" w:hAnsi="Times New Roman" w:cs="Times New Roman"/>
          <w:noProof/>
        </w:rPr>
        <w:t xml:space="preserve">irective to reattribute the assessment work under this directive to ECHA. The proposal for a regulation on reattribution of tasks will amend 2 legislative pieces (POPs Regulation and Medical devices regulation) to reattribute the assessment work under these pieces of legislation to ECHA and it will amend the EEA founding regulation and the </w:t>
      </w:r>
      <w:r>
        <w:rPr>
          <w:rFonts w:ascii="Times New Roman" w:hAnsi="Times New Roman" w:cs="Times New Roman"/>
          <w:noProof/>
        </w:rPr>
        <w:t>general food law</w:t>
      </w:r>
      <w:r w:rsidRPr="6689DE26">
        <w:rPr>
          <w:rFonts w:ascii="Times New Roman" w:hAnsi="Times New Roman" w:cs="Times New Roman"/>
          <w:noProof/>
        </w:rPr>
        <w:t xml:space="preserve"> </w:t>
      </w:r>
      <w:r>
        <w:rPr>
          <w:rFonts w:ascii="Times New Roman" w:hAnsi="Times New Roman" w:cs="Times New Roman"/>
          <w:noProof/>
        </w:rPr>
        <w:t>(</w:t>
      </w:r>
      <w:r w:rsidRPr="6689DE26">
        <w:rPr>
          <w:rFonts w:ascii="Times New Roman" w:hAnsi="Times New Roman" w:cs="Times New Roman"/>
          <w:noProof/>
        </w:rPr>
        <w:t>EFSA founding regulation</w:t>
      </w:r>
      <w:r>
        <w:rPr>
          <w:rFonts w:ascii="Times New Roman" w:hAnsi="Times New Roman" w:cs="Times New Roman"/>
          <w:noProof/>
        </w:rPr>
        <w:t xml:space="preserve">) </w:t>
      </w:r>
      <w:r w:rsidRPr="6689DE26">
        <w:rPr>
          <w:rFonts w:ascii="Times New Roman" w:hAnsi="Times New Roman" w:cs="Times New Roman"/>
          <w:noProof/>
        </w:rPr>
        <w:t xml:space="preserve">to ensure better cooperation among agencies on methodology development and on exchange of data. In summary for these two proposals on reattribution, in the first year, there will be a need of </w:t>
      </w:r>
      <w:r w:rsidRPr="6689DE26">
        <w:rPr>
          <w:rFonts w:ascii="Times New Roman" w:hAnsi="Times New Roman" w:cs="Times New Roman"/>
          <w:b/>
          <w:bCs/>
          <w:noProof/>
        </w:rPr>
        <w:t>4 FTEs</w:t>
      </w:r>
      <w:r w:rsidRPr="6689DE26">
        <w:rPr>
          <w:rFonts w:ascii="Times New Roman" w:hAnsi="Times New Roman" w:cs="Times New Roman"/>
          <w:noProof/>
        </w:rPr>
        <w:t xml:space="preserve"> (</w:t>
      </w:r>
      <w:r w:rsidRPr="6689DE26">
        <w:rPr>
          <w:rFonts w:ascii="Times New Roman" w:hAnsi="Times New Roman" w:cs="Times New Roman"/>
          <w:b/>
          <w:bCs/>
          <w:noProof/>
        </w:rPr>
        <w:t>4 TAs</w:t>
      </w:r>
      <w:r w:rsidRPr="6689DE26">
        <w:rPr>
          <w:rFonts w:ascii="Times New Roman" w:hAnsi="Times New Roman" w:cs="Times New Roman"/>
          <w:noProof/>
        </w:rPr>
        <w:t xml:space="preserve">) and operational costs of </w:t>
      </w:r>
      <w:r w:rsidRPr="00C221EE">
        <w:rPr>
          <w:rFonts w:ascii="Times New Roman" w:hAnsi="Times New Roman" w:cs="Times New Roman"/>
          <w:b/>
          <w:noProof/>
        </w:rPr>
        <w:t>EUR 101</w:t>
      </w:r>
      <w:r w:rsidRPr="6689DE26">
        <w:rPr>
          <w:rFonts w:ascii="Times New Roman" w:hAnsi="Times New Roman" w:cs="Times New Roman"/>
          <w:b/>
          <w:bCs/>
          <w:noProof/>
        </w:rPr>
        <w:t xml:space="preserve"> </w:t>
      </w:r>
      <w:r>
        <w:rPr>
          <w:rFonts w:ascii="Times New Roman" w:hAnsi="Times New Roman" w:cs="Times New Roman"/>
          <w:b/>
          <w:bCs/>
          <w:noProof/>
        </w:rPr>
        <w:t xml:space="preserve">000 </w:t>
      </w:r>
      <w:r w:rsidRPr="6689DE26">
        <w:rPr>
          <w:rFonts w:ascii="Times New Roman" w:hAnsi="Times New Roman" w:cs="Times New Roman"/>
          <w:noProof/>
        </w:rPr>
        <w:t xml:space="preserve">per year and as of the second year, there will be a need of </w:t>
      </w:r>
      <w:r w:rsidRPr="6689DE26">
        <w:rPr>
          <w:rFonts w:ascii="Times New Roman" w:hAnsi="Times New Roman" w:cs="Times New Roman"/>
          <w:b/>
          <w:bCs/>
          <w:noProof/>
        </w:rPr>
        <w:t>9 FTEs</w:t>
      </w:r>
      <w:r w:rsidRPr="6689DE26">
        <w:rPr>
          <w:rFonts w:ascii="Times New Roman" w:hAnsi="Times New Roman" w:cs="Times New Roman"/>
          <w:noProof/>
        </w:rPr>
        <w:t xml:space="preserve"> </w:t>
      </w:r>
      <w:r w:rsidRPr="6689DE26">
        <w:rPr>
          <w:rFonts w:ascii="Times New Roman" w:hAnsi="Times New Roman" w:cs="Times New Roman"/>
          <w:b/>
          <w:bCs/>
          <w:noProof/>
        </w:rPr>
        <w:t>(6 TA + 3 CA)</w:t>
      </w:r>
      <w:r w:rsidRPr="6689DE26">
        <w:rPr>
          <w:rFonts w:ascii="Times New Roman" w:hAnsi="Times New Roman" w:cs="Times New Roman"/>
          <w:noProof/>
        </w:rPr>
        <w:t xml:space="preserve"> per year and operational budget of </w:t>
      </w:r>
      <w:r w:rsidRPr="00C221EE">
        <w:rPr>
          <w:rFonts w:ascii="Times New Roman" w:hAnsi="Times New Roman" w:cs="Times New Roman"/>
          <w:b/>
          <w:noProof/>
        </w:rPr>
        <w:t>EUR 83 000</w:t>
      </w:r>
      <w:r w:rsidRPr="6689DE26">
        <w:rPr>
          <w:rFonts w:ascii="Times New Roman" w:hAnsi="Times New Roman" w:cs="Times New Roman"/>
          <w:b/>
          <w:bCs/>
          <w:noProof/>
        </w:rPr>
        <w:t xml:space="preserve"> per year</w:t>
      </w:r>
      <w:r w:rsidRPr="6689DE26">
        <w:rPr>
          <w:rFonts w:ascii="Times New Roman" w:hAnsi="Times New Roman" w:cs="Times New Roman"/>
          <w:noProof/>
        </w:rPr>
        <w:t xml:space="preserve">. All new resources are needed for ECHA, no additional resources are needed for EEA and EFSA. Considering the resources currently used for the tasks to be reattributed, there will be a total </w:t>
      </w:r>
      <w:r w:rsidRPr="6689DE26">
        <w:rPr>
          <w:rFonts w:ascii="Times New Roman" w:hAnsi="Times New Roman" w:cs="Times New Roman"/>
          <w:b/>
          <w:bCs/>
          <w:noProof/>
        </w:rPr>
        <w:t>net increase</w:t>
      </w:r>
      <w:r w:rsidRPr="6689DE26">
        <w:rPr>
          <w:rFonts w:ascii="Times New Roman" w:hAnsi="Times New Roman" w:cs="Times New Roman"/>
          <w:noProof/>
        </w:rPr>
        <w:t xml:space="preserve"> in the resources from 2026 and beyond as compared to today of </w:t>
      </w:r>
      <w:r>
        <w:rPr>
          <w:rFonts w:ascii="Times New Roman" w:hAnsi="Times New Roman" w:cs="Times New Roman"/>
          <w:b/>
          <w:bCs/>
          <w:noProof/>
        </w:rPr>
        <w:t>4</w:t>
      </w:r>
      <w:r w:rsidRPr="6689DE26">
        <w:rPr>
          <w:rFonts w:ascii="Times New Roman" w:hAnsi="Times New Roman" w:cs="Times New Roman"/>
          <w:b/>
          <w:bCs/>
          <w:noProof/>
        </w:rPr>
        <w:t>.</w:t>
      </w:r>
      <w:r>
        <w:rPr>
          <w:rFonts w:ascii="Times New Roman" w:hAnsi="Times New Roman" w:cs="Times New Roman"/>
          <w:b/>
          <w:bCs/>
          <w:noProof/>
        </w:rPr>
        <w:t>5</w:t>
      </w:r>
      <w:r w:rsidRPr="6689DE26">
        <w:rPr>
          <w:rFonts w:ascii="Times New Roman" w:hAnsi="Times New Roman" w:cs="Times New Roman"/>
          <w:b/>
          <w:bCs/>
          <w:noProof/>
        </w:rPr>
        <w:t xml:space="preserve"> FTEs</w:t>
      </w:r>
      <w:r w:rsidRPr="6689DE26">
        <w:rPr>
          <w:rFonts w:ascii="Times New Roman" w:hAnsi="Times New Roman" w:cs="Times New Roman"/>
          <w:noProof/>
        </w:rPr>
        <w:t xml:space="preserve"> per year and </w:t>
      </w:r>
      <w:r w:rsidRPr="00C221EE">
        <w:rPr>
          <w:rFonts w:ascii="Times New Roman" w:hAnsi="Times New Roman" w:cs="Times New Roman"/>
          <w:b/>
          <w:noProof/>
        </w:rPr>
        <w:t>EUR 59 000</w:t>
      </w:r>
      <w:r w:rsidRPr="6689DE26">
        <w:rPr>
          <w:rFonts w:ascii="Times New Roman" w:hAnsi="Times New Roman" w:cs="Times New Roman"/>
          <w:b/>
          <w:bCs/>
          <w:noProof/>
        </w:rPr>
        <w:t xml:space="preserve"> per year</w:t>
      </w:r>
      <w:r w:rsidRPr="6689DE26">
        <w:rPr>
          <w:rFonts w:ascii="Times New Roman" w:hAnsi="Times New Roman" w:cs="Times New Roman"/>
          <w:noProof/>
        </w:rPr>
        <w:t>.</w:t>
      </w:r>
    </w:p>
    <w:tbl>
      <w:tblPr>
        <w:tblStyle w:val="TableGrid"/>
        <w:tblW w:w="9798" w:type="dxa"/>
        <w:tblLook w:val="04A0" w:firstRow="1" w:lastRow="0" w:firstColumn="1" w:lastColumn="0" w:noHBand="0" w:noVBand="1"/>
      </w:tblPr>
      <w:tblGrid>
        <w:gridCol w:w="2832"/>
        <w:gridCol w:w="467"/>
        <w:gridCol w:w="476"/>
        <w:gridCol w:w="458"/>
        <w:gridCol w:w="9"/>
        <w:gridCol w:w="476"/>
        <w:gridCol w:w="467"/>
        <w:gridCol w:w="476"/>
        <w:gridCol w:w="457"/>
        <w:gridCol w:w="10"/>
        <w:gridCol w:w="476"/>
        <w:gridCol w:w="762"/>
        <w:gridCol w:w="851"/>
        <w:gridCol w:w="850"/>
        <w:gridCol w:w="731"/>
      </w:tblGrid>
      <w:tr w:rsidR="000A7D9D" w:rsidRPr="00EC1412" w14:paraId="381D0BC5" w14:textId="77777777" w:rsidTr="00F31937">
        <w:trPr>
          <w:trHeight w:val="300"/>
        </w:trPr>
        <w:tc>
          <w:tcPr>
            <w:tcW w:w="9798" w:type="dxa"/>
            <w:gridSpan w:val="15"/>
            <w:tcBorders>
              <w:bottom w:val="single" w:sz="4" w:space="0" w:color="auto"/>
            </w:tcBorders>
            <w:shd w:val="clear" w:color="auto" w:fill="A6A6A6" w:themeFill="background1" w:themeFillShade="A6"/>
          </w:tcPr>
          <w:p w14:paraId="6FA56B94" w14:textId="77777777" w:rsidR="000A7D9D" w:rsidRPr="00EC1412" w:rsidRDefault="000A7D9D" w:rsidP="00F31937">
            <w:pPr>
              <w:spacing w:before="60" w:after="60"/>
              <w:jc w:val="both"/>
              <w:rPr>
                <w:b/>
                <w:caps/>
                <w:noProof/>
                <w:sz w:val="18"/>
                <w:szCs w:val="18"/>
              </w:rPr>
            </w:pPr>
            <w:r w:rsidRPr="00EC1412">
              <w:rPr>
                <w:b/>
                <w:noProof/>
                <w:sz w:val="18"/>
                <w:szCs w:val="18"/>
              </w:rPr>
              <w:t xml:space="preserve">Table 2. Resource needs per legislation amended via the </w:t>
            </w:r>
            <w:r>
              <w:rPr>
                <w:b/>
                <w:noProof/>
                <w:sz w:val="18"/>
                <w:szCs w:val="18"/>
              </w:rPr>
              <w:t xml:space="preserve">directive and </w:t>
            </w:r>
            <w:r w:rsidRPr="00EC1412">
              <w:rPr>
                <w:b/>
                <w:noProof/>
                <w:sz w:val="18"/>
                <w:szCs w:val="18"/>
              </w:rPr>
              <w:t xml:space="preserve">regulation on reattribution of tasks (operational costs in </w:t>
            </w:r>
            <w:r>
              <w:rPr>
                <w:b/>
                <w:noProof/>
                <w:sz w:val="18"/>
                <w:szCs w:val="18"/>
              </w:rPr>
              <w:t xml:space="preserve">EUR </w:t>
            </w:r>
            <w:r w:rsidRPr="00EC1412">
              <w:rPr>
                <w:b/>
                <w:noProof/>
                <w:sz w:val="18"/>
                <w:szCs w:val="18"/>
              </w:rPr>
              <w:t>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1482878B" w14:textId="77777777" w:rsidTr="00F31937">
        <w:trPr>
          <w:trHeight w:val="300"/>
        </w:trPr>
        <w:tc>
          <w:tcPr>
            <w:tcW w:w="2832" w:type="dxa"/>
            <w:tcBorders>
              <w:bottom w:val="single" w:sz="4" w:space="0" w:color="auto"/>
            </w:tcBorders>
            <w:shd w:val="clear" w:color="auto" w:fill="BFBFBF" w:themeFill="background1" w:themeFillShade="BF"/>
          </w:tcPr>
          <w:p w14:paraId="4D5959E9" w14:textId="77777777" w:rsidR="000A7D9D" w:rsidRPr="00EC1412" w:rsidRDefault="000A7D9D" w:rsidP="00F31937">
            <w:pPr>
              <w:jc w:val="both"/>
              <w:rPr>
                <w:caps/>
                <w:noProof/>
                <w:sz w:val="18"/>
                <w:szCs w:val="18"/>
              </w:rPr>
            </w:pPr>
          </w:p>
        </w:tc>
        <w:tc>
          <w:tcPr>
            <w:tcW w:w="3772" w:type="dxa"/>
            <w:gridSpan w:val="10"/>
            <w:tcBorders>
              <w:bottom w:val="single" w:sz="4" w:space="0" w:color="auto"/>
            </w:tcBorders>
            <w:shd w:val="clear" w:color="auto" w:fill="BFBFBF" w:themeFill="background1" w:themeFillShade="BF"/>
          </w:tcPr>
          <w:p w14:paraId="77DB1536" w14:textId="77777777" w:rsidR="000A7D9D" w:rsidRPr="00EC1412" w:rsidRDefault="000A7D9D" w:rsidP="00F31937">
            <w:pPr>
              <w:jc w:val="center"/>
              <w:rPr>
                <w:b/>
                <w:caps/>
                <w:noProof/>
                <w:sz w:val="18"/>
                <w:szCs w:val="18"/>
              </w:rPr>
            </w:pPr>
            <w:r w:rsidRPr="00EC1412">
              <w:rPr>
                <w:b/>
                <w:noProof/>
                <w:sz w:val="18"/>
                <w:szCs w:val="18"/>
              </w:rPr>
              <w:t>FTEs</w:t>
            </w:r>
          </w:p>
        </w:tc>
        <w:tc>
          <w:tcPr>
            <w:tcW w:w="3194" w:type="dxa"/>
            <w:gridSpan w:val="4"/>
            <w:tcBorders>
              <w:bottom w:val="single" w:sz="4" w:space="0" w:color="auto"/>
            </w:tcBorders>
            <w:shd w:val="clear" w:color="auto" w:fill="BFBFBF" w:themeFill="background1" w:themeFillShade="BF"/>
          </w:tcPr>
          <w:p w14:paraId="2AC9A318"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09E1ED84" w14:textId="77777777" w:rsidTr="00F31937">
        <w:trPr>
          <w:trHeight w:val="300"/>
        </w:trPr>
        <w:tc>
          <w:tcPr>
            <w:tcW w:w="2832" w:type="dxa"/>
            <w:tcBorders>
              <w:bottom w:val="single" w:sz="4" w:space="0" w:color="auto"/>
              <w:right w:val="single" w:sz="4" w:space="0" w:color="auto"/>
            </w:tcBorders>
            <w:shd w:val="clear" w:color="auto" w:fill="BFBFBF" w:themeFill="background1" w:themeFillShade="BF"/>
          </w:tcPr>
          <w:p w14:paraId="6E969F55" w14:textId="77777777" w:rsidR="000A7D9D" w:rsidRPr="00EC1412" w:rsidRDefault="000A7D9D" w:rsidP="00F31937">
            <w:pPr>
              <w:jc w:val="both"/>
              <w:rPr>
                <w:b/>
                <w:caps/>
                <w:noProof/>
                <w:sz w:val="18"/>
                <w:szCs w:val="18"/>
              </w:rPr>
            </w:pPr>
            <w:r w:rsidRPr="00EC1412">
              <w:rPr>
                <w:b/>
                <w:noProof/>
                <w:sz w:val="18"/>
                <w:szCs w:val="18"/>
              </w:rPr>
              <w:t>Legislation</w:t>
            </w:r>
          </w:p>
        </w:tc>
        <w:tc>
          <w:tcPr>
            <w:tcW w:w="943" w:type="dxa"/>
            <w:gridSpan w:val="2"/>
            <w:tcBorders>
              <w:left w:val="single" w:sz="4" w:space="0" w:color="auto"/>
              <w:bottom w:val="single" w:sz="4" w:space="0" w:color="auto"/>
              <w:right w:val="single" w:sz="4" w:space="0" w:color="auto"/>
            </w:tcBorders>
            <w:shd w:val="clear" w:color="auto" w:fill="BFBFBF" w:themeFill="background1" w:themeFillShade="BF"/>
          </w:tcPr>
          <w:p w14:paraId="236B76CB"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5</w:t>
            </w:r>
          </w:p>
        </w:tc>
        <w:tc>
          <w:tcPr>
            <w:tcW w:w="943" w:type="dxa"/>
            <w:gridSpan w:val="3"/>
            <w:tcBorders>
              <w:left w:val="single" w:sz="4" w:space="0" w:color="auto"/>
              <w:bottom w:val="single" w:sz="4" w:space="0" w:color="auto"/>
              <w:right w:val="single" w:sz="4" w:space="0" w:color="auto"/>
            </w:tcBorders>
            <w:shd w:val="clear" w:color="auto" w:fill="BFBFBF" w:themeFill="background1" w:themeFillShade="BF"/>
          </w:tcPr>
          <w:p w14:paraId="6CB90769"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6</w:t>
            </w:r>
          </w:p>
        </w:tc>
        <w:tc>
          <w:tcPr>
            <w:tcW w:w="943" w:type="dxa"/>
            <w:gridSpan w:val="2"/>
            <w:tcBorders>
              <w:left w:val="single" w:sz="4" w:space="0" w:color="auto"/>
              <w:bottom w:val="single" w:sz="4" w:space="0" w:color="auto"/>
              <w:right w:val="single" w:sz="4" w:space="0" w:color="auto"/>
            </w:tcBorders>
            <w:shd w:val="clear" w:color="auto" w:fill="BFBFBF" w:themeFill="background1" w:themeFillShade="BF"/>
          </w:tcPr>
          <w:p w14:paraId="115E33CB"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7</w:t>
            </w:r>
          </w:p>
        </w:tc>
        <w:tc>
          <w:tcPr>
            <w:tcW w:w="943" w:type="dxa"/>
            <w:gridSpan w:val="3"/>
            <w:tcBorders>
              <w:left w:val="single" w:sz="4" w:space="0" w:color="auto"/>
              <w:bottom w:val="single" w:sz="4" w:space="0" w:color="auto"/>
              <w:right w:val="single" w:sz="4" w:space="0" w:color="auto"/>
            </w:tcBorders>
            <w:shd w:val="clear" w:color="auto" w:fill="BFBFBF" w:themeFill="background1" w:themeFillShade="BF"/>
          </w:tcPr>
          <w:p w14:paraId="65F5B4E8"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8</w:t>
            </w:r>
          </w:p>
        </w:tc>
        <w:tc>
          <w:tcPr>
            <w:tcW w:w="762" w:type="dxa"/>
            <w:tcBorders>
              <w:left w:val="single" w:sz="4" w:space="0" w:color="auto"/>
              <w:bottom w:val="single" w:sz="4" w:space="0" w:color="auto"/>
              <w:right w:val="single" w:sz="4" w:space="0" w:color="auto"/>
            </w:tcBorders>
            <w:shd w:val="clear" w:color="auto" w:fill="BFBFBF" w:themeFill="background1" w:themeFillShade="BF"/>
          </w:tcPr>
          <w:p w14:paraId="1E2A1109"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5</w:t>
            </w:r>
          </w:p>
        </w:tc>
        <w:tc>
          <w:tcPr>
            <w:tcW w:w="851" w:type="dxa"/>
            <w:tcBorders>
              <w:left w:val="single" w:sz="4" w:space="0" w:color="auto"/>
              <w:bottom w:val="single" w:sz="4" w:space="0" w:color="auto"/>
              <w:right w:val="single" w:sz="4" w:space="0" w:color="auto"/>
            </w:tcBorders>
            <w:shd w:val="clear" w:color="auto" w:fill="BFBFBF" w:themeFill="background1" w:themeFillShade="BF"/>
          </w:tcPr>
          <w:p w14:paraId="4EDC3732"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6</w:t>
            </w:r>
          </w:p>
        </w:tc>
        <w:tc>
          <w:tcPr>
            <w:tcW w:w="850" w:type="dxa"/>
            <w:tcBorders>
              <w:left w:val="single" w:sz="4" w:space="0" w:color="auto"/>
              <w:bottom w:val="single" w:sz="4" w:space="0" w:color="auto"/>
              <w:right w:val="single" w:sz="4" w:space="0" w:color="auto"/>
            </w:tcBorders>
            <w:shd w:val="clear" w:color="auto" w:fill="BFBFBF" w:themeFill="background1" w:themeFillShade="BF"/>
          </w:tcPr>
          <w:p w14:paraId="713E6A74"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7</w:t>
            </w:r>
          </w:p>
        </w:tc>
        <w:tc>
          <w:tcPr>
            <w:tcW w:w="731" w:type="dxa"/>
            <w:tcBorders>
              <w:left w:val="single" w:sz="4" w:space="0" w:color="auto"/>
              <w:bottom w:val="single" w:sz="4" w:space="0" w:color="auto"/>
            </w:tcBorders>
            <w:shd w:val="clear" w:color="auto" w:fill="BFBFBF" w:themeFill="background1" w:themeFillShade="BF"/>
          </w:tcPr>
          <w:p w14:paraId="0286D68F"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8</w:t>
            </w:r>
          </w:p>
        </w:tc>
      </w:tr>
      <w:tr w:rsidR="000A7D9D" w:rsidRPr="00EC1412" w14:paraId="370DF0AE" w14:textId="77777777" w:rsidTr="00F31937">
        <w:trPr>
          <w:trHeight w:val="300"/>
        </w:trPr>
        <w:tc>
          <w:tcPr>
            <w:tcW w:w="2832" w:type="dxa"/>
            <w:tcBorders>
              <w:bottom w:val="single" w:sz="4" w:space="0" w:color="auto"/>
              <w:right w:val="single" w:sz="4" w:space="0" w:color="auto"/>
            </w:tcBorders>
            <w:shd w:val="clear" w:color="auto" w:fill="BFBFBF" w:themeFill="background1" w:themeFillShade="BF"/>
          </w:tcPr>
          <w:p w14:paraId="3B6191F6" w14:textId="77777777" w:rsidR="000A7D9D" w:rsidRPr="00EC1412" w:rsidRDefault="000A7D9D" w:rsidP="00F31937">
            <w:pPr>
              <w:jc w:val="both"/>
              <w:rPr>
                <w:b/>
                <w:noProof/>
                <w:sz w:val="18"/>
                <w:szCs w:val="18"/>
              </w:rPr>
            </w:pPr>
          </w:p>
        </w:tc>
        <w:tc>
          <w:tcPr>
            <w:tcW w:w="467" w:type="dxa"/>
            <w:tcBorders>
              <w:left w:val="single" w:sz="4" w:space="0" w:color="auto"/>
              <w:bottom w:val="single" w:sz="4" w:space="0" w:color="auto"/>
              <w:right w:val="dotted" w:sz="4" w:space="0" w:color="auto"/>
            </w:tcBorders>
            <w:shd w:val="clear" w:color="auto" w:fill="BFBFBF" w:themeFill="background1" w:themeFillShade="BF"/>
          </w:tcPr>
          <w:p w14:paraId="29294CE5" w14:textId="77777777" w:rsidR="000A7D9D" w:rsidRPr="00EC1412" w:rsidRDefault="000A7D9D" w:rsidP="00F31937">
            <w:pPr>
              <w:jc w:val="right"/>
              <w:rPr>
                <w:b/>
                <w:caps/>
                <w:noProof/>
                <w:sz w:val="18"/>
                <w:szCs w:val="18"/>
              </w:rPr>
            </w:pPr>
            <w:r>
              <w:rPr>
                <w:b/>
                <w:caps/>
                <w:noProof/>
                <w:sz w:val="18"/>
                <w:szCs w:val="18"/>
              </w:rPr>
              <w:t>TA</w:t>
            </w:r>
          </w:p>
        </w:tc>
        <w:tc>
          <w:tcPr>
            <w:tcW w:w="476" w:type="dxa"/>
            <w:tcBorders>
              <w:left w:val="dotted" w:sz="4" w:space="0" w:color="auto"/>
              <w:bottom w:val="single" w:sz="4" w:space="0" w:color="auto"/>
              <w:right w:val="single" w:sz="4" w:space="0" w:color="auto"/>
            </w:tcBorders>
            <w:shd w:val="clear" w:color="auto" w:fill="BFBFBF" w:themeFill="background1" w:themeFillShade="BF"/>
          </w:tcPr>
          <w:p w14:paraId="3077C323" w14:textId="77777777" w:rsidR="000A7D9D" w:rsidRPr="00EC1412" w:rsidRDefault="000A7D9D" w:rsidP="00F31937">
            <w:pPr>
              <w:jc w:val="right"/>
              <w:rPr>
                <w:b/>
                <w:caps/>
                <w:noProof/>
                <w:sz w:val="18"/>
                <w:szCs w:val="18"/>
              </w:rPr>
            </w:pPr>
            <w:r>
              <w:rPr>
                <w:b/>
                <w:caps/>
                <w:noProof/>
                <w:sz w:val="18"/>
                <w:szCs w:val="18"/>
              </w:rPr>
              <w:t>CA</w:t>
            </w:r>
          </w:p>
        </w:tc>
        <w:tc>
          <w:tcPr>
            <w:tcW w:w="467" w:type="dxa"/>
            <w:gridSpan w:val="2"/>
            <w:tcBorders>
              <w:left w:val="single" w:sz="4" w:space="0" w:color="auto"/>
              <w:bottom w:val="single" w:sz="4" w:space="0" w:color="auto"/>
              <w:right w:val="dotted" w:sz="4" w:space="0" w:color="auto"/>
            </w:tcBorders>
            <w:shd w:val="clear" w:color="auto" w:fill="BFBFBF" w:themeFill="background1" w:themeFillShade="BF"/>
          </w:tcPr>
          <w:p w14:paraId="7D85D64D" w14:textId="77777777" w:rsidR="000A7D9D" w:rsidRPr="00EC1412" w:rsidRDefault="000A7D9D" w:rsidP="00F31937">
            <w:pPr>
              <w:jc w:val="right"/>
              <w:rPr>
                <w:b/>
                <w:caps/>
                <w:noProof/>
                <w:sz w:val="18"/>
                <w:szCs w:val="18"/>
              </w:rPr>
            </w:pPr>
            <w:r>
              <w:rPr>
                <w:b/>
                <w:caps/>
                <w:noProof/>
                <w:sz w:val="18"/>
                <w:szCs w:val="18"/>
              </w:rPr>
              <w:t>TA</w:t>
            </w:r>
          </w:p>
        </w:tc>
        <w:tc>
          <w:tcPr>
            <w:tcW w:w="476" w:type="dxa"/>
            <w:tcBorders>
              <w:left w:val="dotted" w:sz="4" w:space="0" w:color="auto"/>
              <w:bottom w:val="single" w:sz="4" w:space="0" w:color="auto"/>
              <w:right w:val="single" w:sz="4" w:space="0" w:color="auto"/>
            </w:tcBorders>
            <w:shd w:val="clear" w:color="auto" w:fill="BFBFBF" w:themeFill="background1" w:themeFillShade="BF"/>
          </w:tcPr>
          <w:p w14:paraId="127B37D8" w14:textId="77777777" w:rsidR="000A7D9D" w:rsidRPr="00EC1412" w:rsidRDefault="000A7D9D" w:rsidP="00F31937">
            <w:pPr>
              <w:jc w:val="right"/>
              <w:rPr>
                <w:b/>
                <w:caps/>
                <w:noProof/>
                <w:sz w:val="18"/>
                <w:szCs w:val="18"/>
              </w:rPr>
            </w:pPr>
            <w:r>
              <w:rPr>
                <w:b/>
                <w:caps/>
                <w:noProof/>
                <w:sz w:val="18"/>
                <w:szCs w:val="18"/>
              </w:rPr>
              <w:t>CA</w:t>
            </w:r>
          </w:p>
        </w:tc>
        <w:tc>
          <w:tcPr>
            <w:tcW w:w="467" w:type="dxa"/>
            <w:tcBorders>
              <w:left w:val="single" w:sz="4" w:space="0" w:color="auto"/>
              <w:bottom w:val="single" w:sz="4" w:space="0" w:color="auto"/>
              <w:right w:val="dotted" w:sz="4" w:space="0" w:color="auto"/>
            </w:tcBorders>
            <w:shd w:val="clear" w:color="auto" w:fill="BFBFBF" w:themeFill="background1" w:themeFillShade="BF"/>
          </w:tcPr>
          <w:p w14:paraId="1C1A144A" w14:textId="77777777" w:rsidR="000A7D9D" w:rsidRPr="00EC1412" w:rsidRDefault="000A7D9D" w:rsidP="00F31937">
            <w:pPr>
              <w:jc w:val="right"/>
              <w:rPr>
                <w:b/>
                <w:caps/>
                <w:noProof/>
                <w:sz w:val="18"/>
                <w:szCs w:val="18"/>
              </w:rPr>
            </w:pPr>
            <w:r>
              <w:rPr>
                <w:b/>
                <w:caps/>
                <w:noProof/>
                <w:sz w:val="18"/>
                <w:szCs w:val="18"/>
              </w:rPr>
              <w:t>TA</w:t>
            </w:r>
          </w:p>
        </w:tc>
        <w:tc>
          <w:tcPr>
            <w:tcW w:w="476" w:type="dxa"/>
            <w:tcBorders>
              <w:left w:val="dotted" w:sz="4" w:space="0" w:color="auto"/>
              <w:bottom w:val="single" w:sz="4" w:space="0" w:color="auto"/>
              <w:right w:val="single" w:sz="4" w:space="0" w:color="auto"/>
            </w:tcBorders>
            <w:shd w:val="clear" w:color="auto" w:fill="BFBFBF" w:themeFill="background1" w:themeFillShade="BF"/>
          </w:tcPr>
          <w:p w14:paraId="2F8924EA" w14:textId="77777777" w:rsidR="000A7D9D" w:rsidRPr="00EC1412" w:rsidRDefault="000A7D9D" w:rsidP="00F31937">
            <w:pPr>
              <w:jc w:val="right"/>
              <w:rPr>
                <w:b/>
                <w:caps/>
                <w:noProof/>
                <w:sz w:val="18"/>
                <w:szCs w:val="18"/>
              </w:rPr>
            </w:pPr>
            <w:r>
              <w:rPr>
                <w:b/>
                <w:caps/>
                <w:noProof/>
                <w:sz w:val="18"/>
                <w:szCs w:val="18"/>
              </w:rPr>
              <w:t>CA</w:t>
            </w:r>
          </w:p>
        </w:tc>
        <w:tc>
          <w:tcPr>
            <w:tcW w:w="467" w:type="dxa"/>
            <w:gridSpan w:val="2"/>
            <w:tcBorders>
              <w:left w:val="single" w:sz="4" w:space="0" w:color="auto"/>
              <w:bottom w:val="single" w:sz="4" w:space="0" w:color="auto"/>
              <w:right w:val="dotted" w:sz="4" w:space="0" w:color="auto"/>
            </w:tcBorders>
            <w:shd w:val="clear" w:color="auto" w:fill="BFBFBF" w:themeFill="background1" w:themeFillShade="BF"/>
          </w:tcPr>
          <w:p w14:paraId="3B59EA2B" w14:textId="77777777" w:rsidR="000A7D9D" w:rsidRPr="00EC1412" w:rsidRDefault="000A7D9D" w:rsidP="00F31937">
            <w:pPr>
              <w:jc w:val="right"/>
              <w:rPr>
                <w:b/>
                <w:caps/>
                <w:noProof/>
                <w:sz w:val="18"/>
                <w:szCs w:val="18"/>
              </w:rPr>
            </w:pPr>
            <w:r>
              <w:rPr>
                <w:b/>
                <w:caps/>
                <w:noProof/>
                <w:sz w:val="18"/>
                <w:szCs w:val="18"/>
              </w:rPr>
              <w:t>TA</w:t>
            </w:r>
          </w:p>
        </w:tc>
        <w:tc>
          <w:tcPr>
            <w:tcW w:w="476" w:type="dxa"/>
            <w:tcBorders>
              <w:left w:val="dotted" w:sz="4" w:space="0" w:color="auto"/>
              <w:bottom w:val="single" w:sz="4" w:space="0" w:color="auto"/>
              <w:right w:val="single" w:sz="4" w:space="0" w:color="auto"/>
            </w:tcBorders>
            <w:shd w:val="clear" w:color="auto" w:fill="BFBFBF" w:themeFill="background1" w:themeFillShade="BF"/>
          </w:tcPr>
          <w:p w14:paraId="03794034" w14:textId="77777777" w:rsidR="000A7D9D" w:rsidRPr="00EC1412" w:rsidRDefault="000A7D9D" w:rsidP="00F31937">
            <w:pPr>
              <w:jc w:val="right"/>
              <w:rPr>
                <w:b/>
                <w:caps/>
                <w:noProof/>
                <w:sz w:val="18"/>
                <w:szCs w:val="18"/>
              </w:rPr>
            </w:pPr>
            <w:r>
              <w:rPr>
                <w:b/>
                <w:caps/>
                <w:noProof/>
                <w:sz w:val="18"/>
                <w:szCs w:val="18"/>
              </w:rPr>
              <w:t>CA</w:t>
            </w:r>
          </w:p>
        </w:tc>
        <w:tc>
          <w:tcPr>
            <w:tcW w:w="762" w:type="dxa"/>
            <w:tcBorders>
              <w:left w:val="single" w:sz="4" w:space="0" w:color="auto"/>
              <w:bottom w:val="single" w:sz="4" w:space="0" w:color="auto"/>
              <w:right w:val="dotted" w:sz="4" w:space="0" w:color="auto"/>
            </w:tcBorders>
            <w:shd w:val="clear" w:color="auto" w:fill="BFBFBF" w:themeFill="background1" w:themeFillShade="BF"/>
          </w:tcPr>
          <w:p w14:paraId="5DA0B06E" w14:textId="77777777" w:rsidR="000A7D9D" w:rsidRPr="00EC1412" w:rsidRDefault="000A7D9D" w:rsidP="00F31937">
            <w:pPr>
              <w:jc w:val="right"/>
              <w:rPr>
                <w:b/>
                <w:caps/>
                <w:noProof/>
                <w:sz w:val="18"/>
                <w:szCs w:val="18"/>
              </w:rPr>
            </w:pPr>
          </w:p>
        </w:tc>
        <w:tc>
          <w:tcPr>
            <w:tcW w:w="851" w:type="dxa"/>
            <w:tcBorders>
              <w:left w:val="dotted" w:sz="4" w:space="0" w:color="auto"/>
              <w:bottom w:val="single" w:sz="4" w:space="0" w:color="auto"/>
              <w:right w:val="dotted" w:sz="4" w:space="0" w:color="auto"/>
            </w:tcBorders>
            <w:shd w:val="clear" w:color="auto" w:fill="BFBFBF" w:themeFill="background1" w:themeFillShade="BF"/>
          </w:tcPr>
          <w:p w14:paraId="789D45DF" w14:textId="77777777" w:rsidR="000A7D9D" w:rsidRPr="00EC1412" w:rsidRDefault="000A7D9D" w:rsidP="00F31937">
            <w:pPr>
              <w:jc w:val="right"/>
              <w:rPr>
                <w:b/>
                <w:caps/>
                <w:noProof/>
                <w:sz w:val="18"/>
                <w:szCs w:val="18"/>
              </w:rPr>
            </w:pPr>
          </w:p>
        </w:tc>
        <w:tc>
          <w:tcPr>
            <w:tcW w:w="850" w:type="dxa"/>
            <w:tcBorders>
              <w:left w:val="dotted" w:sz="4" w:space="0" w:color="auto"/>
              <w:bottom w:val="single" w:sz="4" w:space="0" w:color="auto"/>
              <w:right w:val="dotted" w:sz="4" w:space="0" w:color="auto"/>
            </w:tcBorders>
            <w:shd w:val="clear" w:color="auto" w:fill="BFBFBF" w:themeFill="background1" w:themeFillShade="BF"/>
          </w:tcPr>
          <w:p w14:paraId="448E7B04" w14:textId="77777777" w:rsidR="000A7D9D" w:rsidRPr="00EC1412" w:rsidRDefault="000A7D9D" w:rsidP="00F31937">
            <w:pPr>
              <w:jc w:val="right"/>
              <w:rPr>
                <w:b/>
                <w:caps/>
                <w:noProof/>
                <w:sz w:val="18"/>
                <w:szCs w:val="18"/>
              </w:rPr>
            </w:pPr>
          </w:p>
        </w:tc>
        <w:tc>
          <w:tcPr>
            <w:tcW w:w="731" w:type="dxa"/>
            <w:tcBorders>
              <w:left w:val="dotted" w:sz="4" w:space="0" w:color="auto"/>
              <w:bottom w:val="single" w:sz="4" w:space="0" w:color="auto"/>
            </w:tcBorders>
            <w:shd w:val="clear" w:color="auto" w:fill="BFBFBF" w:themeFill="background1" w:themeFillShade="BF"/>
          </w:tcPr>
          <w:p w14:paraId="29121DCC" w14:textId="77777777" w:rsidR="000A7D9D" w:rsidRPr="00EC1412" w:rsidRDefault="000A7D9D" w:rsidP="00F31937">
            <w:pPr>
              <w:jc w:val="right"/>
              <w:rPr>
                <w:b/>
                <w:caps/>
                <w:noProof/>
                <w:sz w:val="18"/>
                <w:szCs w:val="18"/>
              </w:rPr>
            </w:pPr>
          </w:p>
        </w:tc>
      </w:tr>
      <w:tr w:rsidR="000A7D9D" w:rsidRPr="00EC1412" w14:paraId="5040B2E6" w14:textId="77777777" w:rsidTr="00F31937">
        <w:trPr>
          <w:trHeight w:val="300"/>
        </w:trPr>
        <w:tc>
          <w:tcPr>
            <w:tcW w:w="9798" w:type="dxa"/>
            <w:gridSpan w:val="15"/>
            <w:tcBorders>
              <w:bottom w:val="single" w:sz="4" w:space="0" w:color="auto"/>
            </w:tcBorders>
            <w:shd w:val="clear" w:color="auto" w:fill="FFF4CC"/>
          </w:tcPr>
          <w:p w14:paraId="2CD70752" w14:textId="77777777" w:rsidR="000A7D9D" w:rsidRPr="00EC1412" w:rsidRDefault="000A7D9D" w:rsidP="00F31937">
            <w:pPr>
              <w:rPr>
                <w:noProof/>
                <w:sz w:val="18"/>
                <w:szCs w:val="18"/>
              </w:rPr>
            </w:pPr>
            <w:r w:rsidRPr="006D606D">
              <w:rPr>
                <w:b/>
                <w:noProof/>
                <w:sz w:val="18"/>
                <w:szCs w:val="18"/>
              </w:rPr>
              <w:t xml:space="preserve">Proposal for a directive on reattribution of </w:t>
            </w:r>
            <w:r w:rsidRPr="006D606D">
              <w:rPr>
                <w:rStyle w:val="normaltextrun"/>
                <w:noProof/>
                <w:sz w:val="18"/>
                <w:szCs w:val="18"/>
              </w:rPr>
              <w:t>scientific and technical work</w:t>
            </w:r>
          </w:p>
        </w:tc>
      </w:tr>
      <w:tr w:rsidR="000A7D9D" w:rsidRPr="00EC1412" w14:paraId="43A31990" w14:textId="77777777" w:rsidTr="00F31937">
        <w:trPr>
          <w:trHeight w:val="300"/>
        </w:trPr>
        <w:tc>
          <w:tcPr>
            <w:tcW w:w="2832" w:type="dxa"/>
            <w:tcBorders>
              <w:bottom w:val="single" w:sz="4" w:space="0" w:color="auto"/>
              <w:right w:val="single" w:sz="4" w:space="0" w:color="auto"/>
            </w:tcBorders>
            <w:shd w:val="clear" w:color="auto" w:fill="FFF4CC"/>
          </w:tcPr>
          <w:p w14:paraId="5D1C00C9" w14:textId="77777777" w:rsidR="000A7D9D" w:rsidRPr="00EC1412" w:rsidRDefault="000A7D9D" w:rsidP="00F31937">
            <w:pPr>
              <w:jc w:val="both"/>
              <w:rPr>
                <w:noProof/>
                <w:sz w:val="18"/>
                <w:szCs w:val="18"/>
              </w:rPr>
            </w:pPr>
            <w:r w:rsidRPr="6689DE26">
              <w:rPr>
                <w:noProof/>
                <w:sz w:val="18"/>
                <w:szCs w:val="18"/>
              </w:rPr>
              <w:t xml:space="preserve">RoHS directive </w:t>
            </w:r>
          </w:p>
        </w:tc>
        <w:tc>
          <w:tcPr>
            <w:tcW w:w="467" w:type="dxa"/>
            <w:tcBorders>
              <w:left w:val="single" w:sz="4" w:space="0" w:color="auto"/>
              <w:bottom w:val="single" w:sz="4" w:space="0" w:color="auto"/>
              <w:right w:val="dotted" w:sz="4" w:space="0" w:color="auto"/>
            </w:tcBorders>
            <w:shd w:val="clear" w:color="auto" w:fill="FFF4CC"/>
          </w:tcPr>
          <w:p w14:paraId="16571A0E" w14:textId="77777777" w:rsidR="000A7D9D" w:rsidRPr="00EC1412" w:rsidRDefault="000A7D9D" w:rsidP="00F31937">
            <w:pPr>
              <w:jc w:val="right"/>
              <w:rPr>
                <w:caps/>
                <w:noProof/>
                <w:sz w:val="18"/>
                <w:szCs w:val="18"/>
              </w:rPr>
            </w:pPr>
            <w:r w:rsidRPr="00EC1412">
              <w:rPr>
                <w:caps/>
                <w:noProof/>
                <w:sz w:val="18"/>
                <w:szCs w:val="18"/>
              </w:rPr>
              <w:t>3</w:t>
            </w:r>
          </w:p>
        </w:tc>
        <w:tc>
          <w:tcPr>
            <w:tcW w:w="476" w:type="dxa"/>
            <w:tcBorders>
              <w:left w:val="dotted" w:sz="4" w:space="0" w:color="auto"/>
              <w:bottom w:val="single" w:sz="4" w:space="0" w:color="auto"/>
              <w:right w:val="single" w:sz="4" w:space="0" w:color="auto"/>
            </w:tcBorders>
            <w:shd w:val="clear" w:color="auto" w:fill="FFF4CC"/>
          </w:tcPr>
          <w:p w14:paraId="268F484E" w14:textId="77777777" w:rsidR="000A7D9D" w:rsidRPr="00EC1412" w:rsidRDefault="000A7D9D" w:rsidP="00F31937">
            <w:pPr>
              <w:jc w:val="right"/>
              <w:rPr>
                <w:caps/>
                <w:noProof/>
                <w:sz w:val="18"/>
                <w:szCs w:val="18"/>
              </w:rPr>
            </w:pPr>
            <w:r>
              <w:rPr>
                <w:caps/>
                <w:noProof/>
                <w:sz w:val="18"/>
                <w:szCs w:val="18"/>
              </w:rPr>
              <w:t>0</w:t>
            </w:r>
          </w:p>
        </w:tc>
        <w:tc>
          <w:tcPr>
            <w:tcW w:w="467" w:type="dxa"/>
            <w:gridSpan w:val="2"/>
            <w:tcBorders>
              <w:left w:val="single" w:sz="4" w:space="0" w:color="auto"/>
              <w:bottom w:val="single" w:sz="4" w:space="0" w:color="auto"/>
              <w:right w:val="dotted" w:sz="4" w:space="0" w:color="auto"/>
            </w:tcBorders>
            <w:shd w:val="clear" w:color="auto" w:fill="FFF4CC"/>
          </w:tcPr>
          <w:p w14:paraId="61D59B2C" w14:textId="77777777" w:rsidR="000A7D9D" w:rsidRPr="00EC1412" w:rsidRDefault="000A7D9D" w:rsidP="00F31937">
            <w:pPr>
              <w:jc w:val="right"/>
              <w:rPr>
                <w:caps/>
                <w:noProof/>
                <w:sz w:val="18"/>
                <w:szCs w:val="18"/>
              </w:rPr>
            </w:pPr>
            <w:r>
              <w:rPr>
                <w:caps/>
                <w:noProof/>
                <w:sz w:val="18"/>
                <w:szCs w:val="18"/>
              </w:rPr>
              <w:t>4</w:t>
            </w:r>
          </w:p>
        </w:tc>
        <w:tc>
          <w:tcPr>
            <w:tcW w:w="476" w:type="dxa"/>
            <w:tcBorders>
              <w:left w:val="dotted" w:sz="4" w:space="0" w:color="auto"/>
              <w:bottom w:val="single" w:sz="4" w:space="0" w:color="auto"/>
              <w:right w:val="single" w:sz="4" w:space="0" w:color="auto"/>
            </w:tcBorders>
            <w:shd w:val="clear" w:color="auto" w:fill="FFF4CC"/>
          </w:tcPr>
          <w:p w14:paraId="5AAEC1B9" w14:textId="77777777" w:rsidR="000A7D9D" w:rsidRPr="00EC1412" w:rsidRDefault="000A7D9D" w:rsidP="00F31937">
            <w:pPr>
              <w:jc w:val="right"/>
              <w:rPr>
                <w:caps/>
                <w:noProof/>
                <w:sz w:val="18"/>
                <w:szCs w:val="18"/>
              </w:rPr>
            </w:pPr>
            <w:r>
              <w:rPr>
                <w:caps/>
                <w:noProof/>
                <w:sz w:val="18"/>
                <w:szCs w:val="18"/>
              </w:rPr>
              <w:t>3</w:t>
            </w:r>
          </w:p>
        </w:tc>
        <w:tc>
          <w:tcPr>
            <w:tcW w:w="467" w:type="dxa"/>
            <w:tcBorders>
              <w:left w:val="single" w:sz="4" w:space="0" w:color="auto"/>
              <w:bottom w:val="single" w:sz="4" w:space="0" w:color="auto"/>
              <w:right w:val="dotted" w:sz="4" w:space="0" w:color="auto"/>
            </w:tcBorders>
            <w:shd w:val="clear" w:color="auto" w:fill="FFF4CC"/>
          </w:tcPr>
          <w:p w14:paraId="7D4AAEC5" w14:textId="77777777" w:rsidR="000A7D9D" w:rsidRPr="00EC1412" w:rsidRDefault="000A7D9D" w:rsidP="00F31937">
            <w:pPr>
              <w:jc w:val="right"/>
              <w:rPr>
                <w:caps/>
                <w:noProof/>
                <w:sz w:val="18"/>
                <w:szCs w:val="18"/>
              </w:rPr>
            </w:pPr>
            <w:r>
              <w:rPr>
                <w:caps/>
                <w:noProof/>
                <w:sz w:val="18"/>
                <w:szCs w:val="18"/>
              </w:rPr>
              <w:t>4</w:t>
            </w:r>
          </w:p>
        </w:tc>
        <w:tc>
          <w:tcPr>
            <w:tcW w:w="476" w:type="dxa"/>
            <w:tcBorders>
              <w:left w:val="dotted" w:sz="4" w:space="0" w:color="auto"/>
              <w:bottom w:val="single" w:sz="4" w:space="0" w:color="auto"/>
              <w:right w:val="single" w:sz="4" w:space="0" w:color="auto"/>
            </w:tcBorders>
            <w:shd w:val="clear" w:color="auto" w:fill="FFF4CC"/>
          </w:tcPr>
          <w:p w14:paraId="351FB03B" w14:textId="77777777" w:rsidR="000A7D9D" w:rsidRPr="00EC1412" w:rsidRDefault="000A7D9D" w:rsidP="00F31937">
            <w:pPr>
              <w:jc w:val="right"/>
              <w:rPr>
                <w:caps/>
                <w:noProof/>
                <w:sz w:val="18"/>
                <w:szCs w:val="18"/>
              </w:rPr>
            </w:pPr>
            <w:r>
              <w:rPr>
                <w:caps/>
                <w:noProof/>
                <w:sz w:val="18"/>
                <w:szCs w:val="18"/>
              </w:rPr>
              <w:t>3</w:t>
            </w:r>
          </w:p>
        </w:tc>
        <w:tc>
          <w:tcPr>
            <w:tcW w:w="467" w:type="dxa"/>
            <w:gridSpan w:val="2"/>
            <w:tcBorders>
              <w:left w:val="single" w:sz="4" w:space="0" w:color="auto"/>
              <w:bottom w:val="single" w:sz="4" w:space="0" w:color="auto"/>
              <w:right w:val="dotted" w:sz="4" w:space="0" w:color="auto"/>
            </w:tcBorders>
            <w:shd w:val="clear" w:color="auto" w:fill="FFF4CC"/>
          </w:tcPr>
          <w:p w14:paraId="1BB89A3B" w14:textId="77777777" w:rsidR="000A7D9D" w:rsidRPr="00EC1412" w:rsidRDefault="000A7D9D" w:rsidP="00F31937">
            <w:pPr>
              <w:jc w:val="right"/>
              <w:rPr>
                <w:caps/>
                <w:noProof/>
                <w:sz w:val="18"/>
                <w:szCs w:val="18"/>
              </w:rPr>
            </w:pPr>
            <w:r>
              <w:rPr>
                <w:caps/>
                <w:noProof/>
                <w:sz w:val="18"/>
                <w:szCs w:val="18"/>
              </w:rPr>
              <w:t>4</w:t>
            </w:r>
          </w:p>
        </w:tc>
        <w:tc>
          <w:tcPr>
            <w:tcW w:w="476" w:type="dxa"/>
            <w:tcBorders>
              <w:left w:val="dotted" w:sz="4" w:space="0" w:color="auto"/>
              <w:bottom w:val="single" w:sz="4" w:space="0" w:color="auto"/>
              <w:right w:val="single" w:sz="4" w:space="0" w:color="auto"/>
            </w:tcBorders>
            <w:shd w:val="clear" w:color="auto" w:fill="FFF4CC"/>
          </w:tcPr>
          <w:p w14:paraId="14019843" w14:textId="77777777" w:rsidR="000A7D9D" w:rsidRPr="00EC1412" w:rsidRDefault="000A7D9D" w:rsidP="00F31937">
            <w:pPr>
              <w:jc w:val="right"/>
              <w:rPr>
                <w:caps/>
                <w:noProof/>
                <w:sz w:val="18"/>
                <w:szCs w:val="18"/>
              </w:rPr>
            </w:pPr>
            <w:r>
              <w:rPr>
                <w:caps/>
                <w:noProof/>
                <w:sz w:val="18"/>
                <w:szCs w:val="18"/>
              </w:rPr>
              <w:t>3</w:t>
            </w:r>
          </w:p>
        </w:tc>
        <w:tc>
          <w:tcPr>
            <w:tcW w:w="762" w:type="dxa"/>
            <w:tcBorders>
              <w:left w:val="single" w:sz="4" w:space="0" w:color="auto"/>
              <w:bottom w:val="single" w:sz="4" w:space="0" w:color="auto"/>
              <w:right w:val="single" w:sz="4" w:space="0" w:color="auto"/>
            </w:tcBorders>
            <w:shd w:val="clear" w:color="auto" w:fill="FFF4CC"/>
          </w:tcPr>
          <w:p w14:paraId="1C3AF91D" w14:textId="77777777" w:rsidR="000A7D9D" w:rsidRPr="00EC1412" w:rsidRDefault="000A7D9D" w:rsidP="00F31937">
            <w:pPr>
              <w:jc w:val="right"/>
              <w:rPr>
                <w:noProof/>
                <w:sz w:val="18"/>
                <w:szCs w:val="18"/>
              </w:rPr>
            </w:pPr>
            <w:r>
              <w:rPr>
                <w:noProof/>
                <w:sz w:val="18"/>
                <w:szCs w:val="18"/>
              </w:rPr>
              <w:t>66</w:t>
            </w:r>
          </w:p>
        </w:tc>
        <w:tc>
          <w:tcPr>
            <w:tcW w:w="851" w:type="dxa"/>
            <w:tcBorders>
              <w:left w:val="single" w:sz="4" w:space="0" w:color="auto"/>
              <w:bottom w:val="single" w:sz="4" w:space="0" w:color="auto"/>
              <w:right w:val="single" w:sz="4" w:space="0" w:color="auto"/>
            </w:tcBorders>
            <w:shd w:val="clear" w:color="auto" w:fill="FFF4CC"/>
          </w:tcPr>
          <w:p w14:paraId="1D739EE9" w14:textId="77777777" w:rsidR="000A7D9D" w:rsidRPr="00EC1412" w:rsidRDefault="000A7D9D" w:rsidP="00F31937">
            <w:pPr>
              <w:jc w:val="right"/>
              <w:rPr>
                <w:noProof/>
                <w:sz w:val="18"/>
                <w:szCs w:val="18"/>
              </w:rPr>
            </w:pPr>
            <w:r>
              <w:rPr>
                <w:noProof/>
                <w:sz w:val="18"/>
                <w:szCs w:val="18"/>
              </w:rPr>
              <w:t>33</w:t>
            </w:r>
          </w:p>
        </w:tc>
        <w:tc>
          <w:tcPr>
            <w:tcW w:w="850" w:type="dxa"/>
            <w:tcBorders>
              <w:left w:val="single" w:sz="4" w:space="0" w:color="auto"/>
              <w:bottom w:val="single" w:sz="4" w:space="0" w:color="auto"/>
              <w:right w:val="single" w:sz="4" w:space="0" w:color="auto"/>
            </w:tcBorders>
            <w:shd w:val="clear" w:color="auto" w:fill="FFF4CC"/>
          </w:tcPr>
          <w:p w14:paraId="77A40E28" w14:textId="77777777" w:rsidR="000A7D9D" w:rsidRPr="00EC1412" w:rsidRDefault="000A7D9D" w:rsidP="00F31937">
            <w:pPr>
              <w:jc w:val="right"/>
              <w:rPr>
                <w:noProof/>
                <w:sz w:val="18"/>
                <w:szCs w:val="18"/>
              </w:rPr>
            </w:pPr>
            <w:r>
              <w:rPr>
                <w:noProof/>
                <w:sz w:val="18"/>
                <w:szCs w:val="18"/>
              </w:rPr>
              <w:t>33</w:t>
            </w:r>
          </w:p>
        </w:tc>
        <w:tc>
          <w:tcPr>
            <w:tcW w:w="731" w:type="dxa"/>
            <w:tcBorders>
              <w:left w:val="single" w:sz="4" w:space="0" w:color="auto"/>
              <w:bottom w:val="single" w:sz="4" w:space="0" w:color="auto"/>
            </w:tcBorders>
            <w:shd w:val="clear" w:color="auto" w:fill="FFF4CC"/>
          </w:tcPr>
          <w:p w14:paraId="6BC0199A" w14:textId="77777777" w:rsidR="000A7D9D" w:rsidRPr="00EC1412" w:rsidRDefault="000A7D9D" w:rsidP="00F31937">
            <w:pPr>
              <w:jc w:val="right"/>
              <w:rPr>
                <w:noProof/>
                <w:sz w:val="18"/>
                <w:szCs w:val="18"/>
              </w:rPr>
            </w:pPr>
            <w:r>
              <w:rPr>
                <w:noProof/>
                <w:sz w:val="18"/>
                <w:szCs w:val="18"/>
              </w:rPr>
              <w:t>33</w:t>
            </w:r>
          </w:p>
        </w:tc>
      </w:tr>
      <w:tr w:rsidR="000A7D9D" w:rsidRPr="00EC1412" w14:paraId="3E77C053" w14:textId="77777777" w:rsidTr="00F31937">
        <w:trPr>
          <w:trHeight w:val="300"/>
        </w:trPr>
        <w:tc>
          <w:tcPr>
            <w:tcW w:w="9798" w:type="dxa"/>
            <w:gridSpan w:val="15"/>
            <w:tcBorders>
              <w:bottom w:val="single" w:sz="4" w:space="0" w:color="auto"/>
            </w:tcBorders>
            <w:shd w:val="clear" w:color="auto" w:fill="C1ECFF"/>
          </w:tcPr>
          <w:p w14:paraId="63188373" w14:textId="77777777" w:rsidR="000A7D9D" w:rsidRPr="00EC1412" w:rsidRDefault="000A7D9D" w:rsidP="00F31937">
            <w:pPr>
              <w:rPr>
                <w:noProof/>
                <w:sz w:val="18"/>
                <w:szCs w:val="18"/>
              </w:rPr>
            </w:pPr>
            <w:r w:rsidRPr="006D606D">
              <w:rPr>
                <w:b/>
                <w:noProof/>
                <w:sz w:val="18"/>
                <w:szCs w:val="18"/>
              </w:rPr>
              <w:t xml:space="preserve">Proposal for a regulation on reattribution of scientific and technical work </w:t>
            </w:r>
          </w:p>
        </w:tc>
      </w:tr>
      <w:tr w:rsidR="000A7D9D" w:rsidRPr="00EC1412" w14:paraId="2D0136FF" w14:textId="77777777" w:rsidTr="00F31937">
        <w:trPr>
          <w:trHeight w:val="300"/>
        </w:trPr>
        <w:tc>
          <w:tcPr>
            <w:tcW w:w="2832" w:type="dxa"/>
            <w:tcBorders>
              <w:bottom w:val="single" w:sz="4" w:space="0" w:color="auto"/>
              <w:right w:val="single" w:sz="4" w:space="0" w:color="auto"/>
            </w:tcBorders>
            <w:shd w:val="clear" w:color="auto" w:fill="C1ECFF"/>
          </w:tcPr>
          <w:p w14:paraId="1319F910" w14:textId="77777777" w:rsidR="000A7D9D" w:rsidRPr="00EC1412" w:rsidRDefault="000A7D9D" w:rsidP="00F31937">
            <w:pPr>
              <w:jc w:val="both"/>
              <w:rPr>
                <w:caps/>
                <w:noProof/>
                <w:sz w:val="18"/>
                <w:szCs w:val="18"/>
              </w:rPr>
            </w:pPr>
            <w:r w:rsidRPr="00EC1412">
              <w:rPr>
                <w:noProof/>
                <w:sz w:val="18"/>
                <w:szCs w:val="18"/>
              </w:rPr>
              <w:t xml:space="preserve">POPs regulation </w:t>
            </w:r>
          </w:p>
        </w:tc>
        <w:tc>
          <w:tcPr>
            <w:tcW w:w="467" w:type="dxa"/>
            <w:tcBorders>
              <w:left w:val="single" w:sz="4" w:space="0" w:color="auto"/>
              <w:bottom w:val="single" w:sz="4" w:space="0" w:color="auto"/>
              <w:right w:val="dotted" w:sz="4" w:space="0" w:color="auto"/>
            </w:tcBorders>
            <w:shd w:val="clear" w:color="auto" w:fill="C1ECFF"/>
          </w:tcPr>
          <w:p w14:paraId="6674842C" w14:textId="77777777" w:rsidR="000A7D9D" w:rsidRPr="00EC1412" w:rsidRDefault="000A7D9D" w:rsidP="00F31937">
            <w:pPr>
              <w:jc w:val="right"/>
              <w:rPr>
                <w:caps/>
                <w:noProof/>
                <w:sz w:val="18"/>
                <w:szCs w:val="18"/>
              </w:rPr>
            </w:pPr>
            <w:r w:rsidRPr="00EC1412">
              <w:rPr>
                <w:caps/>
                <w:noProof/>
                <w:sz w:val="18"/>
                <w:szCs w:val="18"/>
              </w:rPr>
              <w:t>1</w:t>
            </w:r>
          </w:p>
        </w:tc>
        <w:tc>
          <w:tcPr>
            <w:tcW w:w="476" w:type="dxa"/>
            <w:tcBorders>
              <w:left w:val="dotted" w:sz="4" w:space="0" w:color="auto"/>
              <w:bottom w:val="single" w:sz="4" w:space="0" w:color="auto"/>
              <w:right w:val="single" w:sz="4" w:space="0" w:color="auto"/>
            </w:tcBorders>
            <w:shd w:val="clear" w:color="auto" w:fill="C1ECFF"/>
          </w:tcPr>
          <w:p w14:paraId="1EFF7004" w14:textId="77777777" w:rsidR="000A7D9D" w:rsidRPr="00EC1412" w:rsidRDefault="000A7D9D" w:rsidP="00F31937">
            <w:pPr>
              <w:jc w:val="right"/>
              <w:rPr>
                <w:caps/>
                <w:noProof/>
                <w:sz w:val="18"/>
                <w:szCs w:val="18"/>
              </w:rPr>
            </w:pPr>
            <w:r>
              <w:rPr>
                <w:caps/>
                <w:noProof/>
                <w:sz w:val="18"/>
                <w:szCs w:val="18"/>
              </w:rPr>
              <w:t>0</w:t>
            </w:r>
          </w:p>
        </w:tc>
        <w:tc>
          <w:tcPr>
            <w:tcW w:w="458" w:type="dxa"/>
            <w:tcBorders>
              <w:left w:val="single" w:sz="4" w:space="0" w:color="auto"/>
              <w:bottom w:val="single" w:sz="4" w:space="0" w:color="auto"/>
              <w:right w:val="dotted" w:sz="4" w:space="0" w:color="auto"/>
            </w:tcBorders>
            <w:shd w:val="clear" w:color="auto" w:fill="C1ECFF"/>
          </w:tcPr>
          <w:p w14:paraId="48790FBC" w14:textId="77777777" w:rsidR="000A7D9D" w:rsidRPr="00EC1412" w:rsidRDefault="000A7D9D" w:rsidP="00F31937">
            <w:pPr>
              <w:jc w:val="right"/>
              <w:rPr>
                <w:caps/>
                <w:noProof/>
                <w:sz w:val="18"/>
                <w:szCs w:val="18"/>
              </w:rPr>
            </w:pPr>
            <w:r w:rsidRPr="00EC1412">
              <w:rPr>
                <w:caps/>
                <w:noProof/>
                <w:sz w:val="18"/>
                <w:szCs w:val="18"/>
              </w:rPr>
              <w:t>2</w:t>
            </w:r>
          </w:p>
        </w:tc>
        <w:tc>
          <w:tcPr>
            <w:tcW w:w="485" w:type="dxa"/>
            <w:gridSpan w:val="2"/>
            <w:tcBorders>
              <w:left w:val="dotted" w:sz="4" w:space="0" w:color="auto"/>
              <w:bottom w:val="single" w:sz="4" w:space="0" w:color="auto"/>
              <w:right w:val="single" w:sz="4" w:space="0" w:color="auto"/>
            </w:tcBorders>
            <w:shd w:val="clear" w:color="auto" w:fill="C1ECFF"/>
          </w:tcPr>
          <w:p w14:paraId="675D87AB" w14:textId="77777777" w:rsidR="000A7D9D" w:rsidRPr="00EC1412" w:rsidRDefault="000A7D9D" w:rsidP="00F31937">
            <w:pPr>
              <w:jc w:val="right"/>
              <w:rPr>
                <w:caps/>
                <w:noProof/>
                <w:sz w:val="18"/>
                <w:szCs w:val="18"/>
              </w:rPr>
            </w:pPr>
            <w:r>
              <w:rPr>
                <w:caps/>
                <w:noProof/>
                <w:sz w:val="18"/>
                <w:szCs w:val="18"/>
              </w:rPr>
              <w:t>0</w:t>
            </w:r>
          </w:p>
        </w:tc>
        <w:tc>
          <w:tcPr>
            <w:tcW w:w="467" w:type="dxa"/>
            <w:tcBorders>
              <w:left w:val="single" w:sz="4" w:space="0" w:color="auto"/>
              <w:bottom w:val="single" w:sz="4" w:space="0" w:color="auto"/>
              <w:right w:val="dotted" w:sz="4" w:space="0" w:color="auto"/>
            </w:tcBorders>
            <w:shd w:val="clear" w:color="auto" w:fill="C1ECFF"/>
          </w:tcPr>
          <w:p w14:paraId="0A2AAC4D" w14:textId="77777777" w:rsidR="000A7D9D" w:rsidRPr="00EC1412" w:rsidRDefault="000A7D9D" w:rsidP="00F31937">
            <w:pPr>
              <w:jc w:val="right"/>
              <w:rPr>
                <w:caps/>
                <w:noProof/>
                <w:sz w:val="18"/>
                <w:szCs w:val="18"/>
              </w:rPr>
            </w:pPr>
            <w:r w:rsidRPr="00EC1412">
              <w:rPr>
                <w:caps/>
                <w:noProof/>
                <w:sz w:val="18"/>
                <w:szCs w:val="18"/>
              </w:rPr>
              <w:t>2</w:t>
            </w:r>
          </w:p>
        </w:tc>
        <w:tc>
          <w:tcPr>
            <w:tcW w:w="476" w:type="dxa"/>
            <w:tcBorders>
              <w:left w:val="dotted" w:sz="4" w:space="0" w:color="auto"/>
              <w:bottom w:val="single" w:sz="4" w:space="0" w:color="auto"/>
              <w:right w:val="single" w:sz="4" w:space="0" w:color="auto"/>
            </w:tcBorders>
            <w:shd w:val="clear" w:color="auto" w:fill="C1ECFF"/>
          </w:tcPr>
          <w:p w14:paraId="2220BF25" w14:textId="77777777" w:rsidR="000A7D9D" w:rsidRPr="00EC1412" w:rsidRDefault="000A7D9D" w:rsidP="00F31937">
            <w:pPr>
              <w:jc w:val="right"/>
              <w:rPr>
                <w:caps/>
                <w:noProof/>
                <w:sz w:val="18"/>
                <w:szCs w:val="18"/>
              </w:rPr>
            </w:pPr>
            <w:r>
              <w:rPr>
                <w:caps/>
                <w:noProof/>
                <w:sz w:val="18"/>
                <w:szCs w:val="18"/>
              </w:rPr>
              <w:t>0</w:t>
            </w:r>
          </w:p>
        </w:tc>
        <w:tc>
          <w:tcPr>
            <w:tcW w:w="457" w:type="dxa"/>
            <w:tcBorders>
              <w:left w:val="single" w:sz="4" w:space="0" w:color="auto"/>
              <w:bottom w:val="single" w:sz="4" w:space="0" w:color="auto"/>
              <w:right w:val="dotted" w:sz="4" w:space="0" w:color="auto"/>
            </w:tcBorders>
            <w:shd w:val="clear" w:color="auto" w:fill="C1ECFF"/>
          </w:tcPr>
          <w:p w14:paraId="5D51B89E" w14:textId="77777777" w:rsidR="000A7D9D" w:rsidRPr="00EC1412" w:rsidRDefault="000A7D9D" w:rsidP="00F31937">
            <w:pPr>
              <w:jc w:val="right"/>
              <w:rPr>
                <w:caps/>
                <w:noProof/>
                <w:sz w:val="18"/>
                <w:szCs w:val="18"/>
              </w:rPr>
            </w:pPr>
            <w:r w:rsidRPr="00EC1412">
              <w:rPr>
                <w:caps/>
                <w:noProof/>
                <w:sz w:val="18"/>
                <w:szCs w:val="18"/>
              </w:rPr>
              <w:t>2</w:t>
            </w:r>
          </w:p>
        </w:tc>
        <w:tc>
          <w:tcPr>
            <w:tcW w:w="486" w:type="dxa"/>
            <w:gridSpan w:val="2"/>
            <w:tcBorders>
              <w:left w:val="dotted" w:sz="4" w:space="0" w:color="auto"/>
              <w:bottom w:val="single" w:sz="4" w:space="0" w:color="auto"/>
              <w:right w:val="single" w:sz="4" w:space="0" w:color="auto"/>
            </w:tcBorders>
            <w:shd w:val="clear" w:color="auto" w:fill="C1ECFF"/>
          </w:tcPr>
          <w:p w14:paraId="23247EDC" w14:textId="77777777" w:rsidR="000A7D9D" w:rsidRPr="00EC1412" w:rsidRDefault="000A7D9D" w:rsidP="00F31937">
            <w:pPr>
              <w:jc w:val="right"/>
              <w:rPr>
                <w:caps/>
                <w:noProof/>
                <w:sz w:val="18"/>
                <w:szCs w:val="18"/>
              </w:rPr>
            </w:pPr>
            <w:r>
              <w:rPr>
                <w:caps/>
                <w:noProof/>
                <w:sz w:val="18"/>
                <w:szCs w:val="18"/>
              </w:rPr>
              <w:t>0</w:t>
            </w:r>
          </w:p>
        </w:tc>
        <w:tc>
          <w:tcPr>
            <w:tcW w:w="762" w:type="dxa"/>
            <w:tcBorders>
              <w:left w:val="single" w:sz="4" w:space="0" w:color="auto"/>
              <w:bottom w:val="single" w:sz="4" w:space="0" w:color="auto"/>
              <w:right w:val="single" w:sz="4" w:space="0" w:color="auto"/>
            </w:tcBorders>
            <w:shd w:val="clear" w:color="auto" w:fill="C1ECFF"/>
          </w:tcPr>
          <w:p w14:paraId="4A238242" w14:textId="77777777" w:rsidR="000A7D9D" w:rsidRPr="00EC1412" w:rsidRDefault="000A7D9D" w:rsidP="00F31937">
            <w:pPr>
              <w:jc w:val="right"/>
              <w:rPr>
                <w:caps/>
                <w:noProof/>
                <w:sz w:val="18"/>
                <w:szCs w:val="18"/>
              </w:rPr>
            </w:pPr>
            <w:r>
              <w:rPr>
                <w:noProof/>
                <w:sz w:val="18"/>
                <w:szCs w:val="18"/>
              </w:rPr>
              <w:t>35</w:t>
            </w:r>
          </w:p>
        </w:tc>
        <w:tc>
          <w:tcPr>
            <w:tcW w:w="851" w:type="dxa"/>
            <w:tcBorders>
              <w:left w:val="single" w:sz="4" w:space="0" w:color="auto"/>
              <w:bottom w:val="single" w:sz="4" w:space="0" w:color="auto"/>
              <w:right w:val="single" w:sz="4" w:space="0" w:color="auto"/>
            </w:tcBorders>
            <w:shd w:val="clear" w:color="auto" w:fill="C1ECFF"/>
          </w:tcPr>
          <w:p w14:paraId="4F48EAA1" w14:textId="77777777" w:rsidR="000A7D9D" w:rsidRPr="00EC1412" w:rsidRDefault="000A7D9D" w:rsidP="00F31937">
            <w:pPr>
              <w:jc w:val="right"/>
              <w:rPr>
                <w:caps/>
                <w:noProof/>
                <w:sz w:val="18"/>
                <w:szCs w:val="18"/>
              </w:rPr>
            </w:pPr>
            <w:r>
              <w:rPr>
                <w:noProof/>
                <w:sz w:val="18"/>
                <w:szCs w:val="18"/>
              </w:rPr>
              <w:t>50</w:t>
            </w:r>
          </w:p>
        </w:tc>
        <w:tc>
          <w:tcPr>
            <w:tcW w:w="850" w:type="dxa"/>
            <w:tcBorders>
              <w:left w:val="single" w:sz="4" w:space="0" w:color="auto"/>
              <w:bottom w:val="single" w:sz="4" w:space="0" w:color="auto"/>
              <w:right w:val="single" w:sz="4" w:space="0" w:color="auto"/>
            </w:tcBorders>
            <w:shd w:val="clear" w:color="auto" w:fill="C1ECFF"/>
          </w:tcPr>
          <w:p w14:paraId="3B5DF55C" w14:textId="77777777" w:rsidR="000A7D9D" w:rsidRPr="00EC1412" w:rsidRDefault="000A7D9D" w:rsidP="00F31937">
            <w:pPr>
              <w:jc w:val="right"/>
              <w:rPr>
                <w:caps/>
                <w:noProof/>
                <w:sz w:val="18"/>
                <w:szCs w:val="18"/>
              </w:rPr>
            </w:pPr>
            <w:r>
              <w:rPr>
                <w:noProof/>
                <w:sz w:val="18"/>
                <w:szCs w:val="18"/>
              </w:rPr>
              <w:t>50</w:t>
            </w:r>
          </w:p>
        </w:tc>
        <w:tc>
          <w:tcPr>
            <w:tcW w:w="731" w:type="dxa"/>
            <w:tcBorders>
              <w:left w:val="single" w:sz="4" w:space="0" w:color="auto"/>
              <w:bottom w:val="single" w:sz="4" w:space="0" w:color="auto"/>
            </w:tcBorders>
            <w:shd w:val="clear" w:color="auto" w:fill="C1ECFF"/>
          </w:tcPr>
          <w:p w14:paraId="1E9AA038" w14:textId="77777777" w:rsidR="000A7D9D" w:rsidRPr="00EC1412" w:rsidRDefault="000A7D9D" w:rsidP="00F31937">
            <w:pPr>
              <w:jc w:val="right"/>
              <w:rPr>
                <w:caps/>
                <w:noProof/>
                <w:sz w:val="18"/>
                <w:szCs w:val="18"/>
              </w:rPr>
            </w:pPr>
            <w:r>
              <w:rPr>
                <w:noProof/>
                <w:sz w:val="18"/>
                <w:szCs w:val="18"/>
              </w:rPr>
              <w:t>50</w:t>
            </w:r>
          </w:p>
        </w:tc>
      </w:tr>
      <w:tr w:rsidR="000A7D9D" w:rsidRPr="00EC1412" w14:paraId="656A5C63" w14:textId="77777777" w:rsidTr="00F31937">
        <w:trPr>
          <w:trHeight w:val="300"/>
        </w:trPr>
        <w:tc>
          <w:tcPr>
            <w:tcW w:w="2832" w:type="dxa"/>
            <w:tcBorders>
              <w:bottom w:val="single" w:sz="4" w:space="0" w:color="auto"/>
              <w:right w:val="single" w:sz="4" w:space="0" w:color="auto"/>
            </w:tcBorders>
            <w:shd w:val="clear" w:color="auto" w:fill="C1ECFF"/>
          </w:tcPr>
          <w:p w14:paraId="22A7A663" w14:textId="77777777" w:rsidR="000A7D9D" w:rsidRPr="00EC1412" w:rsidRDefault="000A7D9D" w:rsidP="00F31937">
            <w:pPr>
              <w:jc w:val="both"/>
              <w:rPr>
                <w:caps/>
                <w:noProof/>
                <w:sz w:val="18"/>
                <w:szCs w:val="18"/>
              </w:rPr>
            </w:pPr>
            <w:r w:rsidRPr="00EC1412">
              <w:rPr>
                <w:noProof/>
                <w:sz w:val="18"/>
                <w:szCs w:val="18"/>
              </w:rPr>
              <w:t xml:space="preserve">Medical devices regulation </w:t>
            </w:r>
          </w:p>
        </w:tc>
        <w:tc>
          <w:tcPr>
            <w:tcW w:w="467" w:type="dxa"/>
            <w:tcBorders>
              <w:left w:val="single" w:sz="4" w:space="0" w:color="auto"/>
              <w:bottom w:val="single" w:sz="4" w:space="0" w:color="auto"/>
              <w:right w:val="dotted" w:sz="4" w:space="0" w:color="auto"/>
            </w:tcBorders>
            <w:shd w:val="clear" w:color="auto" w:fill="C1ECFF"/>
          </w:tcPr>
          <w:p w14:paraId="14A6DDF6" w14:textId="77777777" w:rsidR="000A7D9D" w:rsidRPr="00EC1412" w:rsidRDefault="000A7D9D" w:rsidP="00F31937">
            <w:pPr>
              <w:jc w:val="right"/>
              <w:rPr>
                <w:caps/>
                <w:noProof/>
                <w:sz w:val="18"/>
                <w:szCs w:val="18"/>
              </w:rPr>
            </w:pPr>
            <w:r w:rsidRPr="00EC1412">
              <w:rPr>
                <w:caps/>
                <w:noProof/>
                <w:sz w:val="18"/>
                <w:szCs w:val="18"/>
              </w:rPr>
              <w:t>0</w:t>
            </w:r>
          </w:p>
        </w:tc>
        <w:tc>
          <w:tcPr>
            <w:tcW w:w="476" w:type="dxa"/>
            <w:tcBorders>
              <w:left w:val="dotted" w:sz="4" w:space="0" w:color="auto"/>
              <w:bottom w:val="single" w:sz="4" w:space="0" w:color="auto"/>
              <w:right w:val="single" w:sz="4" w:space="0" w:color="auto"/>
            </w:tcBorders>
            <w:shd w:val="clear" w:color="auto" w:fill="C1ECFF"/>
          </w:tcPr>
          <w:p w14:paraId="609DF078" w14:textId="77777777" w:rsidR="000A7D9D" w:rsidRPr="00EC1412" w:rsidRDefault="000A7D9D" w:rsidP="00F31937">
            <w:pPr>
              <w:jc w:val="right"/>
              <w:rPr>
                <w:caps/>
                <w:noProof/>
                <w:sz w:val="18"/>
                <w:szCs w:val="18"/>
              </w:rPr>
            </w:pPr>
            <w:r>
              <w:rPr>
                <w:caps/>
                <w:noProof/>
                <w:sz w:val="18"/>
                <w:szCs w:val="18"/>
              </w:rPr>
              <w:t>0</w:t>
            </w:r>
          </w:p>
        </w:tc>
        <w:tc>
          <w:tcPr>
            <w:tcW w:w="458" w:type="dxa"/>
            <w:tcBorders>
              <w:left w:val="single" w:sz="4" w:space="0" w:color="auto"/>
              <w:bottom w:val="single" w:sz="4" w:space="0" w:color="auto"/>
              <w:right w:val="dotted" w:sz="4" w:space="0" w:color="auto"/>
            </w:tcBorders>
            <w:shd w:val="clear" w:color="auto" w:fill="C1ECFF"/>
          </w:tcPr>
          <w:p w14:paraId="261F1E16" w14:textId="77777777" w:rsidR="000A7D9D" w:rsidRPr="00EC1412" w:rsidRDefault="000A7D9D" w:rsidP="00F31937">
            <w:pPr>
              <w:jc w:val="right"/>
              <w:rPr>
                <w:caps/>
                <w:noProof/>
                <w:sz w:val="18"/>
                <w:szCs w:val="18"/>
              </w:rPr>
            </w:pPr>
            <w:r w:rsidRPr="00EC1412">
              <w:rPr>
                <w:caps/>
                <w:noProof/>
                <w:sz w:val="18"/>
                <w:szCs w:val="18"/>
              </w:rPr>
              <w:t>0</w:t>
            </w:r>
          </w:p>
        </w:tc>
        <w:tc>
          <w:tcPr>
            <w:tcW w:w="485" w:type="dxa"/>
            <w:gridSpan w:val="2"/>
            <w:tcBorders>
              <w:left w:val="dotted" w:sz="4" w:space="0" w:color="auto"/>
              <w:bottom w:val="single" w:sz="4" w:space="0" w:color="auto"/>
              <w:right w:val="single" w:sz="4" w:space="0" w:color="auto"/>
            </w:tcBorders>
            <w:shd w:val="clear" w:color="auto" w:fill="C1ECFF"/>
          </w:tcPr>
          <w:p w14:paraId="12D1FA73" w14:textId="77777777" w:rsidR="000A7D9D" w:rsidRPr="00EC1412" w:rsidRDefault="000A7D9D" w:rsidP="00F31937">
            <w:pPr>
              <w:jc w:val="right"/>
              <w:rPr>
                <w:caps/>
                <w:noProof/>
                <w:sz w:val="18"/>
                <w:szCs w:val="18"/>
              </w:rPr>
            </w:pPr>
            <w:r>
              <w:rPr>
                <w:caps/>
                <w:noProof/>
                <w:sz w:val="18"/>
                <w:szCs w:val="18"/>
              </w:rPr>
              <w:t>0</w:t>
            </w:r>
          </w:p>
        </w:tc>
        <w:tc>
          <w:tcPr>
            <w:tcW w:w="467" w:type="dxa"/>
            <w:tcBorders>
              <w:left w:val="single" w:sz="4" w:space="0" w:color="auto"/>
              <w:bottom w:val="single" w:sz="4" w:space="0" w:color="auto"/>
              <w:right w:val="dotted" w:sz="4" w:space="0" w:color="auto"/>
            </w:tcBorders>
            <w:shd w:val="clear" w:color="auto" w:fill="C1ECFF"/>
          </w:tcPr>
          <w:p w14:paraId="1C81DA0F" w14:textId="77777777" w:rsidR="000A7D9D" w:rsidRPr="00EC1412" w:rsidRDefault="000A7D9D" w:rsidP="00F31937">
            <w:pPr>
              <w:jc w:val="right"/>
              <w:rPr>
                <w:caps/>
                <w:noProof/>
                <w:sz w:val="18"/>
                <w:szCs w:val="18"/>
              </w:rPr>
            </w:pPr>
            <w:r w:rsidRPr="00EC1412">
              <w:rPr>
                <w:caps/>
                <w:noProof/>
                <w:sz w:val="18"/>
                <w:szCs w:val="18"/>
              </w:rPr>
              <w:t>0</w:t>
            </w:r>
          </w:p>
        </w:tc>
        <w:tc>
          <w:tcPr>
            <w:tcW w:w="476" w:type="dxa"/>
            <w:tcBorders>
              <w:left w:val="dotted" w:sz="4" w:space="0" w:color="auto"/>
              <w:bottom w:val="single" w:sz="4" w:space="0" w:color="auto"/>
              <w:right w:val="single" w:sz="4" w:space="0" w:color="auto"/>
            </w:tcBorders>
            <w:shd w:val="clear" w:color="auto" w:fill="C1ECFF"/>
          </w:tcPr>
          <w:p w14:paraId="3C97217B" w14:textId="77777777" w:rsidR="000A7D9D" w:rsidRPr="00EC1412" w:rsidRDefault="000A7D9D" w:rsidP="00F31937">
            <w:pPr>
              <w:jc w:val="right"/>
              <w:rPr>
                <w:caps/>
                <w:noProof/>
                <w:sz w:val="18"/>
                <w:szCs w:val="18"/>
              </w:rPr>
            </w:pPr>
            <w:r>
              <w:rPr>
                <w:caps/>
                <w:noProof/>
                <w:sz w:val="18"/>
                <w:szCs w:val="18"/>
              </w:rPr>
              <w:t>0</w:t>
            </w:r>
          </w:p>
        </w:tc>
        <w:tc>
          <w:tcPr>
            <w:tcW w:w="457" w:type="dxa"/>
            <w:tcBorders>
              <w:left w:val="single" w:sz="4" w:space="0" w:color="auto"/>
              <w:bottom w:val="single" w:sz="4" w:space="0" w:color="auto"/>
              <w:right w:val="dotted" w:sz="4" w:space="0" w:color="auto"/>
            </w:tcBorders>
            <w:shd w:val="clear" w:color="auto" w:fill="C1ECFF"/>
          </w:tcPr>
          <w:p w14:paraId="0CEC2FB9" w14:textId="77777777" w:rsidR="000A7D9D" w:rsidRPr="00EC1412" w:rsidRDefault="000A7D9D" w:rsidP="00F31937">
            <w:pPr>
              <w:jc w:val="right"/>
              <w:rPr>
                <w:caps/>
                <w:noProof/>
                <w:sz w:val="18"/>
                <w:szCs w:val="18"/>
              </w:rPr>
            </w:pPr>
            <w:r w:rsidRPr="00EC1412">
              <w:rPr>
                <w:caps/>
                <w:noProof/>
                <w:sz w:val="18"/>
                <w:szCs w:val="18"/>
              </w:rPr>
              <w:t>0</w:t>
            </w:r>
          </w:p>
        </w:tc>
        <w:tc>
          <w:tcPr>
            <w:tcW w:w="486" w:type="dxa"/>
            <w:gridSpan w:val="2"/>
            <w:tcBorders>
              <w:left w:val="dotted" w:sz="4" w:space="0" w:color="auto"/>
              <w:bottom w:val="single" w:sz="4" w:space="0" w:color="auto"/>
              <w:right w:val="single" w:sz="4" w:space="0" w:color="auto"/>
            </w:tcBorders>
            <w:shd w:val="clear" w:color="auto" w:fill="C1ECFF"/>
          </w:tcPr>
          <w:p w14:paraId="5BEF7CFC" w14:textId="77777777" w:rsidR="000A7D9D" w:rsidRPr="00EC1412" w:rsidRDefault="000A7D9D" w:rsidP="00F31937">
            <w:pPr>
              <w:jc w:val="right"/>
              <w:rPr>
                <w:caps/>
                <w:noProof/>
                <w:sz w:val="18"/>
                <w:szCs w:val="18"/>
              </w:rPr>
            </w:pPr>
            <w:r>
              <w:rPr>
                <w:caps/>
                <w:noProof/>
                <w:sz w:val="18"/>
                <w:szCs w:val="18"/>
              </w:rPr>
              <w:t>0</w:t>
            </w:r>
          </w:p>
        </w:tc>
        <w:tc>
          <w:tcPr>
            <w:tcW w:w="762" w:type="dxa"/>
            <w:tcBorders>
              <w:left w:val="single" w:sz="4" w:space="0" w:color="auto"/>
              <w:bottom w:val="single" w:sz="4" w:space="0" w:color="auto"/>
              <w:right w:val="single" w:sz="4" w:space="0" w:color="auto"/>
            </w:tcBorders>
            <w:shd w:val="clear" w:color="auto" w:fill="C1ECFF"/>
          </w:tcPr>
          <w:p w14:paraId="0D9AB2E8" w14:textId="77777777" w:rsidR="000A7D9D" w:rsidRPr="00EC1412" w:rsidRDefault="000A7D9D" w:rsidP="00F31937">
            <w:pPr>
              <w:jc w:val="right"/>
              <w:rPr>
                <w:caps/>
                <w:noProof/>
                <w:sz w:val="18"/>
                <w:szCs w:val="18"/>
              </w:rPr>
            </w:pPr>
            <w:r>
              <w:rPr>
                <w:noProof/>
                <w:sz w:val="18"/>
                <w:szCs w:val="18"/>
              </w:rPr>
              <w:t>0</w:t>
            </w:r>
          </w:p>
        </w:tc>
        <w:tc>
          <w:tcPr>
            <w:tcW w:w="851" w:type="dxa"/>
            <w:tcBorders>
              <w:left w:val="single" w:sz="4" w:space="0" w:color="auto"/>
              <w:bottom w:val="single" w:sz="4" w:space="0" w:color="auto"/>
              <w:right w:val="single" w:sz="4" w:space="0" w:color="auto"/>
            </w:tcBorders>
            <w:shd w:val="clear" w:color="auto" w:fill="C1ECFF"/>
          </w:tcPr>
          <w:p w14:paraId="02CE1C37" w14:textId="77777777" w:rsidR="000A7D9D" w:rsidRPr="00EC1412" w:rsidRDefault="000A7D9D" w:rsidP="00F31937">
            <w:pPr>
              <w:jc w:val="right"/>
              <w:rPr>
                <w:caps/>
                <w:noProof/>
                <w:sz w:val="18"/>
                <w:szCs w:val="18"/>
              </w:rPr>
            </w:pPr>
            <w:r>
              <w:rPr>
                <w:noProof/>
                <w:sz w:val="18"/>
                <w:szCs w:val="18"/>
              </w:rPr>
              <w:t>0</w:t>
            </w:r>
          </w:p>
        </w:tc>
        <w:tc>
          <w:tcPr>
            <w:tcW w:w="850" w:type="dxa"/>
            <w:tcBorders>
              <w:left w:val="single" w:sz="4" w:space="0" w:color="auto"/>
              <w:bottom w:val="single" w:sz="4" w:space="0" w:color="auto"/>
              <w:right w:val="single" w:sz="4" w:space="0" w:color="auto"/>
            </w:tcBorders>
            <w:shd w:val="clear" w:color="auto" w:fill="C1ECFF"/>
          </w:tcPr>
          <w:p w14:paraId="381D2AB8" w14:textId="77777777" w:rsidR="000A7D9D" w:rsidRPr="00EC1412" w:rsidRDefault="000A7D9D" w:rsidP="00F31937">
            <w:pPr>
              <w:jc w:val="right"/>
              <w:rPr>
                <w:caps/>
                <w:noProof/>
                <w:sz w:val="18"/>
                <w:szCs w:val="18"/>
              </w:rPr>
            </w:pPr>
            <w:r>
              <w:rPr>
                <w:noProof/>
                <w:sz w:val="18"/>
                <w:szCs w:val="18"/>
              </w:rPr>
              <w:t>0</w:t>
            </w:r>
          </w:p>
        </w:tc>
        <w:tc>
          <w:tcPr>
            <w:tcW w:w="731" w:type="dxa"/>
            <w:tcBorders>
              <w:left w:val="single" w:sz="4" w:space="0" w:color="auto"/>
              <w:bottom w:val="single" w:sz="4" w:space="0" w:color="auto"/>
            </w:tcBorders>
            <w:shd w:val="clear" w:color="auto" w:fill="C1ECFF"/>
          </w:tcPr>
          <w:p w14:paraId="51FCAC49" w14:textId="77777777" w:rsidR="000A7D9D" w:rsidRPr="00EC1412" w:rsidRDefault="000A7D9D" w:rsidP="00F31937">
            <w:pPr>
              <w:jc w:val="right"/>
              <w:rPr>
                <w:caps/>
                <w:noProof/>
                <w:sz w:val="18"/>
                <w:szCs w:val="18"/>
              </w:rPr>
            </w:pPr>
            <w:r>
              <w:rPr>
                <w:noProof/>
                <w:sz w:val="18"/>
                <w:szCs w:val="18"/>
              </w:rPr>
              <w:t>0</w:t>
            </w:r>
          </w:p>
        </w:tc>
      </w:tr>
      <w:tr w:rsidR="000A7D9D" w:rsidRPr="00EC1412" w14:paraId="64B3F22E" w14:textId="77777777" w:rsidTr="00F31937">
        <w:trPr>
          <w:trHeight w:val="300"/>
        </w:trPr>
        <w:tc>
          <w:tcPr>
            <w:tcW w:w="2832" w:type="dxa"/>
            <w:tcBorders>
              <w:bottom w:val="single" w:sz="4" w:space="0" w:color="auto"/>
              <w:right w:val="single" w:sz="4" w:space="0" w:color="auto"/>
            </w:tcBorders>
            <w:shd w:val="clear" w:color="auto" w:fill="C1ECFF"/>
          </w:tcPr>
          <w:p w14:paraId="3C672313" w14:textId="77777777" w:rsidR="000A7D9D" w:rsidRPr="00EC1412" w:rsidRDefault="000A7D9D" w:rsidP="00F31937">
            <w:pPr>
              <w:jc w:val="both"/>
              <w:rPr>
                <w:caps/>
                <w:noProof/>
                <w:sz w:val="18"/>
                <w:szCs w:val="18"/>
              </w:rPr>
            </w:pPr>
            <w:r w:rsidRPr="00EC1412">
              <w:rPr>
                <w:noProof/>
                <w:sz w:val="18"/>
                <w:szCs w:val="18"/>
              </w:rPr>
              <w:t xml:space="preserve">EEA founding regulation </w:t>
            </w:r>
          </w:p>
        </w:tc>
        <w:tc>
          <w:tcPr>
            <w:tcW w:w="467" w:type="dxa"/>
            <w:tcBorders>
              <w:left w:val="single" w:sz="4" w:space="0" w:color="auto"/>
              <w:bottom w:val="single" w:sz="4" w:space="0" w:color="auto"/>
              <w:right w:val="dotted" w:sz="4" w:space="0" w:color="auto"/>
            </w:tcBorders>
            <w:shd w:val="clear" w:color="auto" w:fill="C1ECFF"/>
          </w:tcPr>
          <w:p w14:paraId="5BB952F6" w14:textId="77777777" w:rsidR="000A7D9D" w:rsidRPr="00EC1412" w:rsidRDefault="000A7D9D" w:rsidP="00F31937">
            <w:pPr>
              <w:jc w:val="right"/>
              <w:rPr>
                <w:caps/>
                <w:noProof/>
                <w:sz w:val="18"/>
                <w:szCs w:val="18"/>
              </w:rPr>
            </w:pPr>
            <w:r w:rsidRPr="00EC1412">
              <w:rPr>
                <w:caps/>
                <w:noProof/>
                <w:sz w:val="18"/>
                <w:szCs w:val="18"/>
              </w:rPr>
              <w:t>0</w:t>
            </w:r>
          </w:p>
        </w:tc>
        <w:tc>
          <w:tcPr>
            <w:tcW w:w="476" w:type="dxa"/>
            <w:tcBorders>
              <w:left w:val="dotted" w:sz="4" w:space="0" w:color="auto"/>
              <w:bottom w:val="single" w:sz="4" w:space="0" w:color="auto"/>
              <w:right w:val="single" w:sz="4" w:space="0" w:color="auto"/>
            </w:tcBorders>
            <w:shd w:val="clear" w:color="auto" w:fill="C1ECFF"/>
          </w:tcPr>
          <w:p w14:paraId="6FB09702" w14:textId="77777777" w:rsidR="000A7D9D" w:rsidRPr="00EC1412" w:rsidRDefault="000A7D9D" w:rsidP="00F31937">
            <w:pPr>
              <w:jc w:val="right"/>
              <w:rPr>
                <w:caps/>
                <w:noProof/>
                <w:sz w:val="18"/>
                <w:szCs w:val="18"/>
              </w:rPr>
            </w:pPr>
            <w:r>
              <w:rPr>
                <w:caps/>
                <w:noProof/>
                <w:sz w:val="18"/>
                <w:szCs w:val="18"/>
              </w:rPr>
              <w:t>0</w:t>
            </w:r>
          </w:p>
        </w:tc>
        <w:tc>
          <w:tcPr>
            <w:tcW w:w="458" w:type="dxa"/>
            <w:tcBorders>
              <w:left w:val="single" w:sz="4" w:space="0" w:color="auto"/>
              <w:bottom w:val="single" w:sz="4" w:space="0" w:color="auto"/>
              <w:right w:val="dotted" w:sz="4" w:space="0" w:color="auto"/>
            </w:tcBorders>
            <w:shd w:val="clear" w:color="auto" w:fill="C1ECFF"/>
          </w:tcPr>
          <w:p w14:paraId="649E1A4A" w14:textId="77777777" w:rsidR="000A7D9D" w:rsidRPr="00EC1412" w:rsidRDefault="000A7D9D" w:rsidP="00F31937">
            <w:pPr>
              <w:jc w:val="right"/>
              <w:rPr>
                <w:caps/>
                <w:noProof/>
                <w:sz w:val="18"/>
                <w:szCs w:val="18"/>
              </w:rPr>
            </w:pPr>
            <w:r w:rsidRPr="00EC1412">
              <w:rPr>
                <w:caps/>
                <w:noProof/>
                <w:sz w:val="18"/>
                <w:szCs w:val="18"/>
              </w:rPr>
              <w:t>0</w:t>
            </w:r>
          </w:p>
        </w:tc>
        <w:tc>
          <w:tcPr>
            <w:tcW w:w="485" w:type="dxa"/>
            <w:gridSpan w:val="2"/>
            <w:tcBorders>
              <w:left w:val="dotted" w:sz="4" w:space="0" w:color="auto"/>
              <w:bottom w:val="single" w:sz="4" w:space="0" w:color="auto"/>
              <w:right w:val="single" w:sz="4" w:space="0" w:color="auto"/>
            </w:tcBorders>
            <w:shd w:val="clear" w:color="auto" w:fill="C1ECFF"/>
          </w:tcPr>
          <w:p w14:paraId="20637EBF" w14:textId="77777777" w:rsidR="000A7D9D" w:rsidRPr="00EC1412" w:rsidRDefault="000A7D9D" w:rsidP="00F31937">
            <w:pPr>
              <w:jc w:val="right"/>
              <w:rPr>
                <w:caps/>
                <w:noProof/>
                <w:sz w:val="18"/>
                <w:szCs w:val="18"/>
              </w:rPr>
            </w:pPr>
            <w:r>
              <w:rPr>
                <w:caps/>
                <w:noProof/>
                <w:sz w:val="18"/>
                <w:szCs w:val="18"/>
              </w:rPr>
              <w:t>0</w:t>
            </w:r>
          </w:p>
        </w:tc>
        <w:tc>
          <w:tcPr>
            <w:tcW w:w="467" w:type="dxa"/>
            <w:tcBorders>
              <w:left w:val="single" w:sz="4" w:space="0" w:color="auto"/>
              <w:bottom w:val="single" w:sz="4" w:space="0" w:color="auto"/>
              <w:right w:val="dotted" w:sz="4" w:space="0" w:color="auto"/>
            </w:tcBorders>
            <w:shd w:val="clear" w:color="auto" w:fill="C1ECFF"/>
          </w:tcPr>
          <w:p w14:paraId="24023483" w14:textId="77777777" w:rsidR="000A7D9D" w:rsidRPr="00EC1412" w:rsidRDefault="000A7D9D" w:rsidP="00F31937">
            <w:pPr>
              <w:jc w:val="right"/>
              <w:rPr>
                <w:caps/>
                <w:noProof/>
                <w:sz w:val="18"/>
                <w:szCs w:val="18"/>
              </w:rPr>
            </w:pPr>
            <w:r w:rsidRPr="00EC1412">
              <w:rPr>
                <w:caps/>
                <w:noProof/>
                <w:sz w:val="18"/>
                <w:szCs w:val="18"/>
              </w:rPr>
              <w:t>0</w:t>
            </w:r>
          </w:p>
        </w:tc>
        <w:tc>
          <w:tcPr>
            <w:tcW w:w="476" w:type="dxa"/>
            <w:tcBorders>
              <w:left w:val="dotted" w:sz="4" w:space="0" w:color="auto"/>
              <w:bottom w:val="single" w:sz="4" w:space="0" w:color="auto"/>
              <w:right w:val="single" w:sz="4" w:space="0" w:color="auto"/>
            </w:tcBorders>
            <w:shd w:val="clear" w:color="auto" w:fill="C1ECFF"/>
          </w:tcPr>
          <w:p w14:paraId="03A5583D" w14:textId="77777777" w:rsidR="000A7D9D" w:rsidRPr="00EC1412" w:rsidRDefault="000A7D9D" w:rsidP="00F31937">
            <w:pPr>
              <w:jc w:val="right"/>
              <w:rPr>
                <w:caps/>
                <w:noProof/>
                <w:sz w:val="18"/>
                <w:szCs w:val="18"/>
              </w:rPr>
            </w:pPr>
            <w:r>
              <w:rPr>
                <w:caps/>
                <w:noProof/>
                <w:sz w:val="18"/>
                <w:szCs w:val="18"/>
              </w:rPr>
              <w:t>0</w:t>
            </w:r>
          </w:p>
        </w:tc>
        <w:tc>
          <w:tcPr>
            <w:tcW w:w="457" w:type="dxa"/>
            <w:tcBorders>
              <w:left w:val="single" w:sz="4" w:space="0" w:color="auto"/>
              <w:bottom w:val="single" w:sz="4" w:space="0" w:color="auto"/>
              <w:right w:val="dotted" w:sz="4" w:space="0" w:color="auto"/>
            </w:tcBorders>
            <w:shd w:val="clear" w:color="auto" w:fill="C1ECFF"/>
          </w:tcPr>
          <w:p w14:paraId="7936DD0B" w14:textId="77777777" w:rsidR="000A7D9D" w:rsidRPr="00EC1412" w:rsidRDefault="000A7D9D" w:rsidP="00F31937">
            <w:pPr>
              <w:jc w:val="right"/>
              <w:rPr>
                <w:caps/>
                <w:noProof/>
                <w:sz w:val="18"/>
                <w:szCs w:val="18"/>
              </w:rPr>
            </w:pPr>
            <w:r w:rsidRPr="00EC1412">
              <w:rPr>
                <w:caps/>
                <w:noProof/>
                <w:sz w:val="18"/>
                <w:szCs w:val="18"/>
              </w:rPr>
              <w:t>0</w:t>
            </w:r>
          </w:p>
        </w:tc>
        <w:tc>
          <w:tcPr>
            <w:tcW w:w="486" w:type="dxa"/>
            <w:gridSpan w:val="2"/>
            <w:tcBorders>
              <w:left w:val="dotted" w:sz="4" w:space="0" w:color="auto"/>
              <w:bottom w:val="single" w:sz="4" w:space="0" w:color="auto"/>
              <w:right w:val="single" w:sz="4" w:space="0" w:color="auto"/>
            </w:tcBorders>
            <w:shd w:val="clear" w:color="auto" w:fill="C1ECFF"/>
          </w:tcPr>
          <w:p w14:paraId="48CAFABD" w14:textId="77777777" w:rsidR="000A7D9D" w:rsidRPr="00EC1412" w:rsidRDefault="000A7D9D" w:rsidP="00F31937">
            <w:pPr>
              <w:jc w:val="right"/>
              <w:rPr>
                <w:caps/>
                <w:noProof/>
                <w:sz w:val="18"/>
                <w:szCs w:val="18"/>
              </w:rPr>
            </w:pPr>
            <w:r>
              <w:rPr>
                <w:caps/>
                <w:noProof/>
                <w:sz w:val="18"/>
                <w:szCs w:val="18"/>
              </w:rPr>
              <w:t>0</w:t>
            </w:r>
          </w:p>
        </w:tc>
        <w:tc>
          <w:tcPr>
            <w:tcW w:w="762" w:type="dxa"/>
            <w:tcBorders>
              <w:left w:val="single" w:sz="4" w:space="0" w:color="auto"/>
              <w:bottom w:val="single" w:sz="4" w:space="0" w:color="auto"/>
              <w:right w:val="single" w:sz="4" w:space="0" w:color="auto"/>
            </w:tcBorders>
            <w:shd w:val="clear" w:color="auto" w:fill="C1ECFF"/>
          </w:tcPr>
          <w:p w14:paraId="2E01F55C" w14:textId="77777777" w:rsidR="000A7D9D" w:rsidRPr="00EC1412" w:rsidRDefault="000A7D9D" w:rsidP="00F31937">
            <w:pPr>
              <w:jc w:val="right"/>
              <w:rPr>
                <w:caps/>
                <w:noProof/>
                <w:sz w:val="18"/>
                <w:szCs w:val="18"/>
              </w:rPr>
            </w:pPr>
            <w:r>
              <w:rPr>
                <w:noProof/>
                <w:sz w:val="18"/>
                <w:szCs w:val="18"/>
              </w:rPr>
              <w:t>0</w:t>
            </w:r>
          </w:p>
        </w:tc>
        <w:tc>
          <w:tcPr>
            <w:tcW w:w="851" w:type="dxa"/>
            <w:tcBorders>
              <w:left w:val="single" w:sz="4" w:space="0" w:color="auto"/>
              <w:bottom w:val="single" w:sz="4" w:space="0" w:color="auto"/>
              <w:right w:val="single" w:sz="4" w:space="0" w:color="auto"/>
            </w:tcBorders>
            <w:shd w:val="clear" w:color="auto" w:fill="C1ECFF"/>
          </w:tcPr>
          <w:p w14:paraId="1C2E95F4" w14:textId="77777777" w:rsidR="000A7D9D" w:rsidRPr="00EC1412" w:rsidRDefault="000A7D9D" w:rsidP="00F31937">
            <w:pPr>
              <w:jc w:val="right"/>
              <w:rPr>
                <w:caps/>
                <w:noProof/>
                <w:sz w:val="18"/>
                <w:szCs w:val="18"/>
              </w:rPr>
            </w:pPr>
            <w:r>
              <w:rPr>
                <w:noProof/>
                <w:sz w:val="18"/>
                <w:szCs w:val="18"/>
              </w:rPr>
              <w:t>0</w:t>
            </w:r>
          </w:p>
        </w:tc>
        <w:tc>
          <w:tcPr>
            <w:tcW w:w="850" w:type="dxa"/>
            <w:tcBorders>
              <w:left w:val="single" w:sz="4" w:space="0" w:color="auto"/>
              <w:bottom w:val="single" w:sz="4" w:space="0" w:color="auto"/>
              <w:right w:val="single" w:sz="4" w:space="0" w:color="auto"/>
            </w:tcBorders>
            <w:shd w:val="clear" w:color="auto" w:fill="C1ECFF"/>
          </w:tcPr>
          <w:p w14:paraId="423B68B7" w14:textId="77777777" w:rsidR="000A7D9D" w:rsidRPr="00EC1412" w:rsidRDefault="000A7D9D" w:rsidP="00F31937">
            <w:pPr>
              <w:jc w:val="right"/>
              <w:rPr>
                <w:caps/>
                <w:noProof/>
                <w:sz w:val="18"/>
                <w:szCs w:val="18"/>
              </w:rPr>
            </w:pPr>
            <w:r>
              <w:rPr>
                <w:noProof/>
                <w:sz w:val="18"/>
                <w:szCs w:val="18"/>
              </w:rPr>
              <w:t>0</w:t>
            </w:r>
          </w:p>
        </w:tc>
        <w:tc>
          <w:tcPr>
            <w:tcW w:w="731" w:type="dxa"/>
            <w:tcBorders>
              <w:left w:val="single" w:sz="4" w:space="0" w:color="auto"/>
              <w:bottom w:val="single" w:sz="4" w:space="0" w:color="auto"/>
            </w:tcBorders>
            <w:shd w:val="clear" w:color="auto" w:fill="C1ECFF"/>
          </w:tcPr>
          <w:p w14:paraId="7C2CFB5C" w14:textId="77777777" w:rsidR="000A7D9D" w:rsidRPr="00EC1412" w:rsidRDefault="000A7D9D" w:rsidP="00F31937">
            <w:pPr>
              <w:jc w:val="right"/>
              <w:rPr>
                <w:caps/>
                <w:noProof/>
                <w:sz w:val="18"/>
                <w:szCs w:val="18"/>
              </w:rPr>
            </w:pPr>
            <w:r>
              <w:rPr>
                <w:noProof/>
                <w:sz w:val="18"/>
                <w:szCs w:val="18"/>
              </w:rPr>
              <w:t>0</w:t>
            </w:r>
          </w:p>
        </w:tc>
      </w:tr>
      <w:tr w:rsidR="000A7D9D" w:rsidRPr="00EC1412" w14:paraId="2D0CF688" w14:textId="77777777" w:rsidTr="00F31937">
        <w:trPr>
          <w:trHeight w:val="300"/>
        </w:trPr>
        <w:tc>
          <w:tcPr>
            <w:tcW w:w="2832" w:type="dxa"/>
            <w:tcBorders>
              <w:bottom w:val="single" w:sz="4" w:space="0" w:color="auto"/>
              <w:right w:val="single" w:sz="4" w:space="0" w:color="auto"/>
            </w:tcBorders>
            <w:shd w:val="clear" w:color="auto" w:fill="C1ECFF"/>
          </w:tcPr>
          <w:p w14:paraId="665EAEFE" w14:textId="77777777" w:rsidR="000A7D9D" w:rsidRPr="00EC1412" w:rsidRDefault="000A7D9D" w:rsidP="00F31937">
            <w:pPr>
              <w:jc w:val="both"/>
              <w:rPr>
                <w:caps/>
                <w:noProof/>
                <w:sz w:val="18"/>
                <w:szCs w:val="18"/>
              </w:rPr>
            </w:pPr>
            <w:r w:rsidRPr="00EC1412">
              <w:rPr>
                <w:noProof/>
                <w:sz w:val="18"/>
                <w:szCs w:val="18"/>
              </w:rPr>
              <w:t>General food law (EFSA founding regulation)</w:t>
            </w:r>
          </w:p>
        </w:tc>
        <w:tc>
          <w:tcPr>
            <w:tcW w:w="467" w:type="dxa"/>
            <w:tcBorders>
              <w:left w:val="single" w:sz="4" w:space="0" w:color="auto"/>
              <w:bottom w:val="single" w:sz="4" w:space="0" w:color="auto"/>
              <w:right w:val="dotted" w:sz="4" w:space="0" w:color="auto"/>
            </w:tcBorders>
            <w:shd w:val="clear" w:color="auto" w:fill="C1ECFF"/>
          </w:tcPr>
          <w:p w14:paraId="596C2FC5" w14:textId="77777777" w:rsidR="000A7D9D" w:rsidRPr="00EC1412" w:rsidRDefault="000A7D9D" w:rsidP="00F31937">
            <w:pPr>
              <w:jc w:val="right"/>
              <w:rPr>
                <w:caps/>
                <w:noProof/>
                <w:sz w:val="18"/>
                <w:szCs w:val="18"/>
              </w:rPr>
            </w:pPr>
            <w:r w:rsidRPr="00EC1412">
              <w:rPr>
                <w:caps/>
                <w:noProof/>
                <w:sz w:val="18"/>
                <w:szCs w:val="18"/>
              </w:rPr>
              <w:t>0</w:t>
            </w:r>
          </w:p>
        </w:tc>
        <w:tc>
          <w:tcPr>
            <w:tcW w:w="476" w:type="dxa"/>
            <w:tcBorders>
              <w:left w:val="dotted" w:sz="4" w:space="0" w:color="auto"/>
              <w:bottom w:val="single" w:sz="4" w:space="0" w:color="auto"/>
              <w:right w:val="single" w:sz="4" w:space="0" w:color="auto"/>
            </w:tcBorders>
            <w:shd w:val="clear" w:color="auto" w:fill="C1ECFF"/>
          </w:tcPr>
          <w:p w14:paraId="26718F2E" w14:textId="77777777" w:rsidR="000A7D9D" w:rsidRPr="00EC1412" w:rsidRDefault="000A7D9D" w:rsidP="00F31937">
            <w:pPr>
              <w:jc w:val="right"/>
              <w:rPr>
                <w:caps/>
                <w:noProof/>
                <w:sz w:val="18"/>
                <w:szCs w:val="18"/>
              </w:rPr>
            </w:pPr>
            <w:r>
              <w:rPr>
                <w:caps/>
                <w:noProof/>
                <w:sz w:val="18"/>
                <w:szCs w:val="18"/>
              </w:rPr>
              <w:t>0</w:t>
            </w:r>
          </w:p>
        </w:tc>
        <w:tc>
          <w:tcPr>
            <w:tcW w:w="458" w:type="dxa"/>
            <w:tcBorders>
              <w:left w:val="single" w:sz="4" w:space="0" w:color="auto"/>
              <w:bottom w:val="single" w:sz="4" w:space="0" w:color="auto"/>
              <w:right w:val="dotted" w:sz="4" w:space="0" w:color="auto"/>
            </w:tcBorders>
            <w:shd w:val="clear" w:color="auto" w:fill="C1ECFF"/>
          </w:tcPr>
          <w:p w14:paraId="6D8E9FCA" w14:textId="77777777" w:rsidR="000A7D9D" w:rsidRPr="00EC1412" w:rsidRDefault="000A7D9D" w:rsidP="00F31937">
            <w:pPr>
              <w:jc w:val="right"/>
              <w:rPr>
                <w:caps/>
                <w:noProof/>
                <w:sz w:val="18"/>
                <w:szCs w:val="18"/>
              </w:rPr>
            </w:pPr>
            <w:r w:rsidRPr="00EC1412">
              <w:rPr>
                <w:caps/>
                <w:noProof/>
                <w:sz w:val="18"/>
                <w:szCs w:val="18"/>
              </w:rPr>
              <w:t>0</w:t>
            </w:r>
          </w:p>
        </w:tc>
        <w:tc>
          <w:tcPr>
            <w:tcW w:w="485" w:type="dxa"/>
            <w:gridSpan w:val="2"/>
            <w:tcBorders>
              <w:left w:val="dotted" w:sz="4" w:space="0" w:color="auto"/>
              <w:bottom w:val="single" w:sz="4" w:space="0" w:color="auto"/>
              <w:right w:val="single" w:sz="4" w:space="0" w:color="auto"/>
            </w:tcBorders>
            <w:shd w:val="clear" w:color="auto" w:fill="C1ECFF"/>
          </w:tcPr>
          <w:p w14:paraId="1394FE8C" w14:textId="77777777" w:rsidR="000A7D9D" w:rsidRPr="00EC1412" w:rsidRDefault="000A7D9D" w:rsidP="00F31937">
            <w:pPr>
              <w:jc w:val="right"/>
              <w:rPr>
                <w:caps/>
                <w:noProof/>
                <w:sz w:val="18"/>
                <w:szCs w:val="18"/>
              </w:rPr>
            </w:pPr>
            <w:r>
              <w:rPr>
                <w:caps/>
                <w:noProof/>
                <w:sz w:val="18"/>
                <w:szCs w:val="18"/>
              </w:rPr>
              <w:t>0</w:t>
            </w:r>
          </w:p>
        </w:tc>
        <w:tc>
          <w:tcPr>
            <w:tcW w:w="467" w:type="dxa"/>
            <w:tcBorders>
              <w:left w:val="single" w:sz="4" w:space="0" w:color="auto"/>
              <w:bottom w:val="single" w:sz="4" w:space="0" w:color="auto"/>
              <w:right w:val="dotted" w:sz="4" w:space="0" w:color="auto"/>
            </w:tcBorders>
            <w:shd w:val="clear" w:color="auto" w:fill="C1ECFF"/>
          </w:tcPr>
          <w:p w14:paraId="55F60591" w14:textId="77777777" w:rsidR="000A7D9D" w:rsidRPr="00EC1412" w:rsidRDefault="000A7D9D" w:rsidP="00F31937">
            <w:pPr>
              <w:jc w:val="right"/>
              <w:rPr>
                <w:caps/>
                <w:noProof/>
                <w:sz w:val="18"/>
                <w:szCs w:val="18"/>
              </w:rPr>
            </w:pPr>
            <w:r w:rsidRPr="00EC1412">
              <w:rPr>
                <w:caps/>
                <w:noProof/>
                <w:sz w:val="18"/>
                <w:szCs w:val="18"/>
              </w:rPr>
              <w:t>0</w:t>
            </w:r>
          </w:p>
        </w:tc>
        <w:tc>
          <w:tcPr>
            <w:tcW w:w="476" w:type="dxa"/>
            <w:tcBorders>
              <w:left w:val="dotted" w:sz="4" w:space="0" w:color="auto"/>
              <w:bottom w:val="single" w:sz="4" w:space="0" w:color="auto"/>
              <w:right w:val="single" w:sz="4" w:space="0" w:color="auto"/>
            </w:tcBorders>
            <w:shd w:val="clear" w:color="auto" w:fill="C1ECFF"/>
          </w:tcPr>
          <w:p w14:paraId="5A407B2B" w14:textId="77777777" w:rsidR="000A7D9D" w:rsidRPr="00EC1412" w:rsidRDefault="000A7D9D" w:rsidP="00F31937">
            <w:pPr>
              <w:jc w:val="right"/>
              <w:rPr>
                <w:caps/>
                <w:noProof/>
                <w:sz w:val="18"/>
                <w:szCs w:val="18"/>
              </w:rPr>
            </w:pPr>
            <w:r>
              <w:rPr>
                <w:caps/>
                <w:noProof/>
                <w:sz w:val="18"/>
                <w:szCs w:val="18"/>
              </w:rPr>
              <w:t>0</w:t>
            </w:r>
          </w:p>
        </w:tc>
        <w:tc>
          <w:tcPr>
            <w:tcW w:w="457" w:type="dxa"/>
            <w:tcBorders>
              <w:left w:val="single" w:sz="4" w:space="0" w:color="auto"/>
              <w:bottom w:val="single" w:sz="4" w:space="0" w:color="auto"/>
              <w:right w:val="dotted" w:sz="4" w:space="0" w:color="auto"/>
            </w:tcBorders>
            <w:shd w:val="clear" w:color="auto" w:fill="C1ECFF"/>
          </w:tcPr>
          <w:p w14:paraId="76C2053F" w14:textId="77777777" w:rsidR="000A7D9D" w:rsidRPr="00EC1412" w:rsidRDefault="000A7D9D" w:rsidP="00F31937">
            <w:pPr>
              <w:jc w:val="right"/>
              <w:rPr>
                <w:caps/>
                <w:noProof/>
                <w:sz w:val="18"/>
                <w:szCs w:val="18"/>
              </w:rPr>
            </w:pPr>
            <w:r w:rsidRPr="00EC1412">
              <w:rPr>
                <w:caps/>
                <w:noProof/>
                <w:sz w:val="18"/>
                <w:szCs w:val="18"/>
              </w:rPr>
              <w:t>0</w:t>
            </w:r>
          </w:p>
        </w:tc>
        <w:tc>
          <w:tcPr>
            <w:tcW w:w="486" w:type="dxa"/>
            <w:gridSpan w:val="2"/>
            <w:tcBorders>
              <w:left w:val="dotted" w:sz="4" w:space="0" w:color="auto"/>
              <w:bottom w:val="single" w:sz="4" w:space="0" w:color="auto"/>
              <w:right w:val="single" w:sz="4" w:space="0" w:color="auto"/>
            </w:tcBorders>
            <w:shd w:val="clear" w:color="auto" w:fill="C1ECFF"/>
          </w:tcPr>
          <w:p w14:paraId="0C503FEB" w14:textId="77777777" w:rsidR="000A7D9D" w:rsidRPr="00EC1412" w:rsidRDefault="000A7D9D" w:rsidP="00F31937">
            <w:pPr>
              <w:jc w:val="right"/>
              <w:rPr>
                <w:caps/>
                <w:noProof/>
                <w:sz w:val="18"/>
                <w:szCs w:val="18"/>
              </w:rPr>
            </w:pPr>
            <w:r>
              <w:rPr>
                <w:caps/>
                <w:noProof/>
                <w:sz w:val="18"/>
                <w:szCs w:val="18"/>
              </w:rPr>
              <w:t>0</w:t>
            </w:r>
          </w:p>
        </w:tc>
        <w:tc>
          <w:tcPr>
            <w:tcW w:w="762" w:type="dxa"/>
            <w:tcBorders>
              <w:left w:val="single" w:sz="4" w:space="0" w:color="auto"/>
              <w:bottom w:val="single" w:sz="4" w:space="0" w:color="auto"/>
              <w:right w:val="single" w:sz="4" w:space="0" w:color="auto"/>
            </w:tcBorders>
            <w:shd w:val="clear" w:color="auto" w:fill="C1ECFF"/>
          </w:tcPr>
          <w:p w14:paraId="7DB0E1ED" w14:textId="77777777" w:rsidR="000A7D9D" w:rsidRPr="00EC1412" w:rsidRDefault="000A7D9D" w:rsidP="00F31937">
            <w:pPr>
              <w:jc w:val="right"/>
              <w:rPr>
                <w:caps/>
                <w:noProof/>
                <w:sz w:val="18"/>
                <w:szCs w:val="18"/>
              </w:rPr>
            </w:pPr>
            <w:r>
              <w:rPr>
                <w:noProof/>
                <w:sz w:val="18"/>
                <w:szCs w:val="18"/>
              </w:rPr>
              <w:t>0</w:t>
            </w:r>
          </w:p>
        </w:tc>
        <w:tc>
          <w:tcPr>
            <w:tcW w:w="851" w:type="dxa"/>
            <w:tcBorders>
              <w:left w:val="single" w:sz="4" w:space="0" w:color="auto"/>
              <w:bottom w:val="single" w:sz="4" w:space="0" w:color="auto"/>
              <w:right w:val="single" w:sz="4" w:space="0" w:color="auto"/>
            </w:tcBorders>
            <w:shd w:val="clear" w:color="auto" w:fill="C1ECFF"/>
          </w:tcPr>
          <w:p w14:paraId="05D82CD9" w14:textId="77777777" w:rsidR="000A7D9D" w:rsidRPr="00EC1412" w:rsidRDefault="000A7D9D" w:rsidP="00F31937">
            <w:pPr>
              <w:jc w:val="right"/>
              <w:rPr>
                <w:caps/>
                <w:noProof/>
                <w:sz w:val="18"/>
                <w:szCs w:val="18"/>
              </w:rPr>
            </w:pPr>
            <w:r>
              <w:rPr>
                <w:noProof/>
                <w:sz w:val="18"/>
                <w:szCs w:val="18"/>
              </w:rPr>
              <w:t>0</w:t>
            </w:r>
          </w:p>
        </w:tc>
        <w:tc>
          <w:tcPr>
            <w:tcW w:w="850" w:type="dxa"/>
            <w:tcBorders>
              <w:left w:val="single" w:sz="4" w:space="0" w:color="auto"/>
              <w:bottom w:val="single" w:sz="4" w:space="0" w:color="auto"/>
              <w:right w:val="single" w:sz="4" w:space="0" w:color="auto"/>
            </w:tcBorders>
            <w:shd w:val="clear" w:color="auto" w:fill="C1ECFF"/>
          </w:tcPr>
          <w:p w14:paraId="513D3C19" w14:textId="77777777" w:rsidR="000A7D9D" w:rsidRPr="00EC1412" w:rsidRDefault="000A7D9D" w:rsidP="00F31937">
            <w:pPr>
              <w:jc w:val="right"/>
              <w:rPr>
                <w:caps/>
                <w:noProof/>
                <w:sz w:val="18"/>
                <w:szCs w:val="18"/>
              </w:rPr>
            </w:pPr>
            <w:r>
              <w:rPr>
                <w:noProof/>
                <w:sz w:val="18"/>
                <w:szCs w:val="18"/>
              </w:rPr>
              <w:t>0</w:t>
            </w:r>
          </w:p>
        </w:tc>
        <w:tc>
          <w:tcPr>
            <w:tcW w:w="731" w:type="dxa"/>
            <w:tcBorders>
              <w:left w:val="single" w:sz="4" w:space="0" w:color="auto"/>
              <w:bottom w:val="single" w:sz="4" w:space="0" w:color="auto"/>
            </w:tcBorders>
            <w:shd w:val="clear" w:color="auto" w:fill="C1ECFF"/>
          </w:tcPr>
          <w:p w14:paraId="35377EEC" w14:textId="77777777" w:rsidR="000A7D9D" w:rsidRPr="00EC1412" w:rsidRDefault="000A7D9D" w:rsidP="00F31937">
            <w:pPr>
              <w:jc w:val="right"/>
              <w:rPr>
                <w:caps/>
                <w:noProof/>
                <w:sz w:val="18"/>
                <w:szCs w:val="18"/>
              </w:rPr>
            </w:pPr>
            <w:r>
              <w:rPr>
                <w:noProof/>
                <w:sz w:val="18"/>
                <w:szCs w:val="18"/>
              </w:rPr>
              <w:t>0</w:t>
            </w:r>
          </w:p>
        </w:tc>
      </w:tr>
      <w:tr w:rsidR="000A7D9D" w:rsidRPr="00EC1412" w14:paraId="4E78B1AC" w14:textId="77777777" w:rsidTr="00F31937">
        <w:trPr>
          <w:trHeight w:val="300"/>
        </w:trPr>
        <w:tc>
          <w:tcPr>
            <w:tcW w:w="2832" w:type="dxa"/>
            <w:tcBorders>
              <w:right w:val="single" w:sz="4" w:space="0" w:color="auto"/>
            </w:tcBorders>
            <w:shd w:val="clear" w:color="auto" w:fill="BFBFBF" w:themeFill="background1" w:themeFillShade="BF"/>
          </w:tcPr>
          <w:p w14:paraId="655A8E3B" w14:textId="77777777" w:rsidR="000A7D9D" w:rsidRPr="00EC1412" w:rsidRDefault="000A7D9D" w:rsidP="00F31937">
            <w:pPr>
              <w:jc w:val="both"/>
              <w:rPr>
                <w:b/>
                <w:caps/>
                <w:noProof/>
                <w:sz w:val="18"/>
                <w:szCs w:val="18"/>
              </w:rPr>
            </w:pPr>
            <w:r w:rsidRPr="00EC1412">
              <w:rPr>
                <w:b/>
                <w:caps/>
                <w:noProof/>
                <w:sz w:val="18"/>
                <w:szCs w:val="18"/>
              </w:rPr>
              <w:t>SUm</w:t>
            </w:r>
          </w:p>
        </w:tc>
        <w:tc>
          <w:tcPr>
            <w:tcW w:w="467" w:type="dxa"/>
            <w:tcBorders>
              <w:left w:val="single" w:sz="4" w:space="0" w:color="auto"/>
              <w:right w:val="dotted" w:sz="4" w:space="0" w:color="auto"/>
            </w:tcBorders>
            <w:shd w:val="clear" w:color="auto" w:fill="BFBFBF" w:themeFill="background1" w:themeFillShade="BF"/>
          </w:tcPr>
          <w:p w14:paraId="5E0F4A91" w14:textId="77777777" w:rsidR="000A7D9D" w:rsidRPr="00EC1412" w:rsidRDefault="000A7D9D" w:rsidP="00F31937">
            <w:pPr>
              <w:jc w:val="right"/>
              <w:rPr>
                <w:b/>
                <w:caps/>
                <w:noProof/>
                <w:sz w:val="18"/>
                <w:szCs w:val="18"/>
              </w:rPr>
            </w:pPr>
            <w:r w:rsidRPr="00EC1412">
              <w:rPr>
                <w:b/>
                <w:caps/>
                <w:noProof/>
                <w:sz w:val="18"/>
                <w:szCs w:val="18"/>
              </w:rPr>
              <w:t xml:space="preserve">4 </w:t>
            </w:r>
          </w:p>
        </w:tc>
        <w:tc>
          <w:tcPr>
            <w:tcW w:w="476" w:type="dxa"/>
            <w:tcBorders>
              <w:left w:val="dotted" w:sz="4" w:space="0" w:color="auto"/>
              <w:right w:val="single" w:sz="4" w:space="0" w:color="auto"/>
            </w:tcBorders>
            <w:shd w:val="clear" w:color="auto" w:fill="BFBFBF" w:themeFill="background1" w:themeFillShade="BF"/>
          </w:tcPr>
          <w:p w14:paraId="0BAC946A" w14:textId="77777777" w:rsidR="000A7D9D" w:rsidRPr="00EC1412" w:rsidRDefault="000A7D9D" w:rsidP="00F31937">
            <w:pPr>
              <w:jc w:val="right"/>
              <w:rPr>
                <w:b/>
                <w:caps/>
                <w:noProof/>
                <w:sz w:val="18"/>
                <w:szCs w:val="18"/>
              </w:rPr>
            </w:pPr>
            <w:r>
              <w:rPr>
                <w:b/>
                <w:caps/>
                <w:noProof/>
                <w:sz w:val="18"/>
                <w:szCs w:val="18"/>
              </w:rPr>
              <w:t>0</w:t>
            </w:r>
          </w:p>
        </w:tc>
        <w:tc>
          <w:tcPr>
            <w:tcW w:w="458" w:type="dxa"/>
            <w:tcBorders>
              <w:left w:val="single" w:sz="4" w:space="0" w:color="auto"/>
              <w:right w:val="dotted" w:sz="4" w:space="0" w:color="auto"/>
            </w:tcBorders>
            <w:shd w:val="clear" w:color="auto" w:fill="BFBFBF" w:themeFill="background1" w:themeFillShade="BF"/>
          </w:tcPr>
          <w:p w14:paraId="76C66405" w14:textId="77777777" w:rsidR="000A7D9D" w:rsidRPr="00EC1412" w:rsidRDefault="000A7D9D" w:rsidP="00F31937">
            <w:pPr>
              <w:jc w:val="right"/>
              <w:rPr>
                <w:b/>
                <w:caps/>
                <w:noProof/>
                <w:sz w:val="18"/>
                <w:szCs w:val="18"/>
              </w:rPr>
            </w:pPr>
            <w:r>
              <w:rPr>
                <w:b/>
                <w:caps/>
                <w:noProof/>
                <w:sz w:val="18"/>
                <w:szCs w:val="18"/>
              </w:rPr>
              <w:t>6</w:t>
            </w:r>
          </w:p>
        </w:tc>
        <w:tc>
          <w:tcPr>
            <w:tcW w:w="485" w:type="dxa"/>
            <w:gridSpan w:val="2"/>
            <w:tcBorders>
              <w:left w:val="dotted" w:sz="4" w:space="0" w:color="auto"/>
              <w:right w:val="single" w:sz="4" w:space="0" w:color="auto"/>
            </w:tcBorders>
            <w:shd w:val="clear" w:color="auto" w:fill="BFBFBF" w:themeFill="background1" w:themeFillShade="BF"/>
          </w:tcPr>
          <w:p w14:paraId="33F818E4" w14:textId="77777777" w:rsidR="000A7D9D" w:rsidRPr="00EC1412" w:rsidRDefault="000A7D9D" w:rsidP="00F31937">
            <w:pPr>
              <w:jc w:val="right"/>
              <w:rPr>
                <w:b/>
                <w:caps/>
                <w:noProof/>
                <w:sz w:val="18"/>
                <w:szCs w:val="18"/>
              </w:rPr>
            </w:pPr>
            <w:r>
              <w:rPr>
                <w:b/>
                <w:caps/>
                <w:noProof/>
                <w:sz w:val="18"/>
                <w:szCs w:val="18"/>
              </w:rPr>
              <w:t>3</w:t>
            </w:r>
          </w:p>
        </w:tc>
        <w:tc>
          <w:tcPr>
            <w:tcW w:w="467" w:type="dxa"/>
            <w:tcBorders>
              <w:left w:val="single" w:sz="4" w:space="0" w:color="auto"/>
              <w:right w:val="dotted" w:sz="4" w:space="0" w:color="auto"/>
            </w:tcBorders>
            <w:shd w:val="clear" w:color="auto" w:fill="BFBFBF" w:themeFill="background1" w:themeFillShade="BF"/>
          </w:tcPr>
          <w:p w14:paraId="4FDFAD15" w14:textId="77777777" w:rsidR="000A7D9D" w:rsidRPr="00EC1412" w:rsidRDefault="000A7D9D" w:rsidP="00F31937">
            <w:pPr>
              <w:jc w:val="right"/>
              <w:rPr>
                <w:b/>
                <w:caps/>
                <w:noProof/>
                <w:sz w:val="18"/>
                <w:szCs w:val="18"/>
              </w:rPr>
            </w:pPr>
            <w:r>
              <w:rPr>
                <w:b/>
                <w:caps/>
                <w:noProof/>
                <w:sz w:val="18"/>
                <w:szCs w:val="18"/>
              </w:rPr>
              <w:t>6</w:t>
            </w:r>
          </w:p>
        </w:tc>
        <w:tc>
          <w:tcPr>
            <w:tcW w:w="476" w:type="dxa"/>
            <w:tcBorders>
              <w:left w:val="dotted" w:sz="4" w:space="0" w:color="auto"/>
              <w:right w:val="single" w:sz="4" w:space="0" w:color="auto"/>
            </w:tcBorders>
            <w:shd w:val="clear" w:color="auto" w:fill="BFBFBF" w:themeFill="background1" w:themeFillShade="BF"/>
          </w:tcPr>
          <w:p w14:paraId="52FFD8B1" w14:textId="77777777" w:rsidR="000A7D9D" w:rsidRPr="00EC1412" w:rsidRDefault="000A7D9D" w:rsidP="00F31937">
            <w:pPr>
              <w:jc w:val="right"/>
              <w:rPr>
                <w:b/>
                <w:caps/>
                <w:noProof/>
                <w:sz w:val="18"/>
                <w:szCs w:val="18"/>
              </w:rPr>
            </w:pPr>
            <w:r>
              <w:rPr>
                <w:b/>
                <w:caps/>
                <w:noProof/>
                <w:sz w:val="18"/>
                <w:szCs w:val="18"/>
              </w:rPr>
              <w:t>3</w:t>
            </w:r>
          </w:p>
        </w:tc>
        <w:tc>
          <w:tcPr>
            <w:tcW w:w="457" w:type="dxa"/>
            <w:tcBorders>
              <w:left w:val="single" w:sz="4" w:space="0" w:color="auto"/>
              <w:right w:val="dotted" w:sz="4" w:space="0" w:color="auto"/>
            </w:tcBorders>
            <w:shd w:val="clear" w:color="auto" w:fill="BFBFBF" w:themeFill="background1" w:themeFillShade="BF"/>
          </w:tcPr>
          <w:p w14:paraId="3C28E4E1" w14:textId="77777777" w:rsidR="000A7D9D" w:rsidRPr="00EC1412" w:rsidRDefault="000A7D9D" w:rsidP="00F31937">
            <w:pPr>
              <w:jc w:val="right"/>
              <w:rPr>
                <w:b/>
                <w:caps/>
                <w:noProof/>
                <w:sz w:val="18"/>
                <w:szCs w:val="18"/>
              </w:rPr>
            </w:pPr>
            <w:r>
              <w:rPr>
                <w:b/>
                <w:caps/>
                <w:noProof/>
                <w:sz w:val="18"/>
                <w:szCs w:val="18"/>
              </w:rPr>
              <w:t>6</w:t>
            </w:r>
          </w:p>
        </w:tc>
        <w:tc>
          <w:tcPr>
            <w:tcW w:w="486" w:type="dxa"/>
            <w:gridSpan w:val="2"/>
            <w:tcBorders>
              <w:left w:val="dotted" w:sz="4" w:space="0" w:color="auto"/>
              <w:right w:val="single" w:sz="4" w:space="0" w:color="auto"/>
            </w:tcBorders>
            <w:shd w:val="clear" w:color="auto" w:fill="BFBFBF" w:themeFill="background1" w:themeFillShade="BF"/>
          </w:tcPr>
          <w:p w14:paraId="07E158C5" w14:textId="77777777" w:rsidR="000A7D9D" w:rsidRPr="00EC1412" w:rsidRDefault="000A7D9D" w:rsidP="00F31937">
            <w:pPr>
              <w:jc w:val="right"/>
              <w:rPr>
                <w:b/>
                <w:caps/>
                <w:noProof/>
                <w:sz w:val="18"/>
                <w:szCs w:val="18"/>
              </w:rPr>
            </w:pPr>
            <w:r>
              <w:rPr>
                <w:b/>
                <w:caps/>
                <w:noProof/>
                <w:sz w:val="18"/>
                <w:szCs w:val="18"/>
              </w:rPr>
              <w:t>3</w:t>
            </w:r>
          </w:p>
        </w:tc>
        <w:tc>
          <w:tcPr>
            <w:tcW w:w="762" w:type="dxa"/>
            <w:tcBorders>
              <w:left w:val="single" w:sz="4" w:space="0" w:color="auto"/>
              <w:right w:val="single" w:sz="4" w:space="0" w:color="auto"/>
            </w:tcBorders>
            <w:shd w:val="clear" w:color="auto" w:fill="BFBFBF" w:themeFill="background1" w:themeFillShade="BF"/>
          </w:tcPr>
          <w:p w14:paraId="6B17268D" w14:textId="77777777" w:rsidR="000A7D9D" w:rsidRPr="00EC1412" w:rsidRDefault="000A7D9D" w:rsidP="00F31937">
            <w:pPr>
              <w:jc w:val="right"/>
              <w:rPr>
                <w:b/>
                <w:caps/>
                <w:noProof/>
                <w:sz w:val="18"/>
                <w:szCs w:val="18"/>
              </w:rPr>
            </w:pPr>
            <w:r>
              <w:rPr>
                <w:b/>
                <w:caps/>
                <w:noProof/>
                <w:sz w:val="18"/>
                <w:szCs w:val="18"/>
              </w:rPr>
              <w:t>101</w:t>
            </w:r>
          </w:p>
        </w:tc>
        <w:tc>
          <w:tcPr>
            <w:tcW w:w="851" w:type="dxa"/>
            <w:tcBorders>
              <w:left w:val="single" w:sz="4" w:space="0" w:color="auto"/>
              <w:right w:val="single" w:sz="4" w:space="0" w:color="auto"/>
            </w:tcBorders>
            <w:shd w:val="clear" w:color="auto" w:fill="BFBFBF" w:themeFill="background1" w:themeFillShade="BF"/>
          </w:tcPr>
          <w:p w14:paraId="722ED6C5" w14:textId="77777777" w:rsidR="000A7D9D" w:rsidRPr="00EC1412" w:rsidRDefault="000A7D9D" w:rsidP="00F31937">
            <w:pPr>
              <w:jc w:val="right"/>
              <w:rPr>
                <w:b/>
                <w:caps/>
                <w:noProof/>
                <w:sz w:val="18"/>
                <w:szCs w:val="18"/>
              </w:rPr>
            </w:pPr>
            <w:r>
              <w:rPr>
                <w:b/>
                <w:caps/>
                <w:noProof/>
                <w:sz w:val="18"/>
                <w:szCs w:val="18"/>
              </w:rPr>
              <w:t>83</w:t>
            </w:r>
          </w:p>
        </w:tc>
        <w:tc>
          <w:tcPr>
            <w:tcW w:w="850" w:type="dxa"/>
            <w:tcBorders>
              <w:left w:val="single" w:sz="4" w:space="0" w:color="auto"/>
              <w:right w:val="single" w:sz="4" w:space="0" w:color="auto"/>
            </w:tcBorders>
            <w:shd w:val="clear" w:color="auto" w:fill="BFBFBF" w:themeFill="background1" w:themeFillShade="BF"/>
          </w:tcPr>
          <w:p w14:paraId="09F244F9" w14:textId="77777777" w:rsidR="000A7D9D" w:rsidRPr="00EC1412" w:rsidRDefault="000A7D9D" w:rsidP="00F31937">
            <w:pPr>
              <w:jc w:val="right"/>
              <w:rPr>
                <w:b/>
                <w:caps/>
                <w:noProof/>
                <w:sz w:val="18"/>
                <w:szCs w:val="18"/>
              </w:rPr>
            </w:pPr>
            <w:r>
              <w:rPr>
                <w:b/>
                <w:caps/>
                <w:noProof/>
                <w:sz w:val="18"/>
                <w:szCs w:val="18"/>
              </w:rPr>
              <w:t>83</w:t>
            </w:r>
          </w:p>
        </w:tc>
        <w:tc>
          <w:tcPr>
            <w:tcW w:w="731" w:type="dxa"/>
            <w:tcBorders>
              <w:left w:val="single" w:sz="4" w:space="0" w:color="auto"/>
            </w:tcBorders>
            <w:shd w:val="clear" w:color="auto" w:fill="BFBFBF" w:themeFill="background1" w:themeFillShade="BF"/>
          </w:tcPr>
          <w:p w14:paraId="2E4CAC3F" w14:textId="77777777" w:rsidR="000A7D9D" w:rsidRPr="00EC1412" w:rsidRDefault="000A7D9D" w:rsidP="00F31937">
            <w:pPr>
              <w:jc w:val="right"/>
              <w:rPr>
                <w:b/>
                <w:caps/>
                <w:noProof/>
                <w:sz w:val="18"/>
                <w:szCs w:val="18"/>
              </w:rPr>
            </w:pPr>
            <w:r>
              <w:rPr>
                <w:b/>
                <w:caps/>
                <w:noProof/>
                <w:sz w:val="18"/>
                <w:szCs w:val="18"/>
              </w:rPr>
              <w:t>83</w:t>
            </w:r>
          </w:p>
        </w:tc>
      </w:tr>
    </w:tbl>
    <w:p w14:paraId="0744E396" w14:textId="77777777" w:rsidR="000A7D9D" w:rsidRDefault="000A7D9D" w:rsidP="000A7D9D">
      <w:pPr>
        <w:spacing w:before="120" w:after="120"/>
        <w:jc w:val="both"/>
        <w:rPr>
          <w:rFonts w:ascii="Times New Roman" w:hAnsi="Times New Roman" w:cs="Times New Roman"/>
          <w:noProof/>
        </w:rPr>
      </w:pPr>
    </w:p>
    <w:tbl>
      <w:tblPr>
        <w:tblStyle w:val="TableGrid"/>
        <w:tblW w:w="9776" w:type="dxa"/>
        <w:tblLook w:val="04A0" w:firstRow="1" w:lastRow="0" w:firstColumn="1" w:lastColumn="0" w:noHBand="0" w:noVBand="1"/>
      </w:tblPr>
      <w:tblGrid>
        <w:gridCol w:w="4673"/>
        <w:gridCol w:w="5103"/>
      </w:tblGrid>
      <w:tr w:rsidR="000A7D9D" w:rsidRPr="00EC1412" w14:paraId="1E546442" w14:textId="77777777" w:rsidTr="00F31937">
        <w:tc>
          <w:tcPr>
            <w:tcW w:w="9776" w:type="dxa"/>
            <w:gridSpan w:val="2"/>
            <w:tcBorders>
              <w:bottom w:val="single" w:sz="4" w:space="0" w:color="auto"/>
            </w:tcBorders>
            <w:shd w:val="clear" w:color="auto" w:fill="A6A6A6" w:themeFill="background1" w:themeFillShade="A6"/>
          </w:tcPr>
          <w:p w14:paraId="78DBABA2" w14:textId="77777777" w:rsidR="000A7D9D" w:rsidRPr="00EC1412" w:rsidRDefault="000A7D9D" w:rsidP="00F31937">
            <w:pPr>
              <w:spacing w:before="60" w:after="60"/>
              <w:rPr>
                <w:b/>
                <w:bCs/>
                <w:caps/>
                <w:noProof/>
                <w:sz w:val="18"/>
                <w:szCs w:val="18"/>
              </w:rPr>
            </w:pPr>
            <w:r w:rsidRPr="6689DE26">
              <w:rPr>
                <w:b/>
                <w:bCs/>
                <w:noProof/>
                <w:sz w:val="18"/>
                <w:szCs w:val="18"/>
              </w:rPr>
              <w:t>Table 3. Current resource use for technical and scientific work to be reattributed to ECHA</w:t>
            </w:r>
          </w:p>
        </w:tc>
      </w:tr>
      <w:tr w:rsidR="000A7D9D" w:rsidRPr="00EC1412" w14:paraId="14FF4995" w14:textId="77777777" w:rsidTr="00F31937">
        <w:tc>
          <w:tcPr>
            <w:tcW w:w="4673" w:type="dxa"/>
            <w:tcBorders>
              <w:bottom w:val="single" w:sz="4" w:space="0" w:color="auto"/>
            </w:tcBorders>
            <w:shd w:val="clear" w:color="auto" w:fill="FFF4CC"/>
          </w:tcPr>
          <w:p w14:paraId="2696FBF0" w14:textId="77777777" w:rsidR="000A7D9D" w:rsidRPr="00EC1412" w:rsidRDefault="000A7D9D" w:rsidP="00F31937">
            <w:pPr>
              <w:jc w:val="both"/>
              <w:rPr>
                <w:b/>
                <w:noProof/>
                <w:sz w:val="18"/>
                <w:szCs w:val="18"/>
              </w:rPr>
            </w:pPr>
            <w:r w:rsidRPr="00EC1412">
              <w:rPr>
                <w:b/>
                <w:noProof/>
                <w:sz w:val="18"/>
                <w:szCs w:val="18"/>
              </w:rPr>
              <w:t>RoHS directive</w:t>
            </w:r>
          </w:p>
          <w:p w14:paraId="094BF65D" w14:textId="77777777" w:rsidR="000A7D9D" w:rsidRPr="00EC1412" w:rsidRDefault="000A7D9D" w:rsidP="000A7D9D">
            <w:pPr>
              <w:pStyle w:val="ListParagraph"/>
              <w:numPr>
                <w:ilvl w:val="0"/>
                <w:numId w:val="20"/>
              </w:numPr>
              <w:ind w:left="142" w:hanging="142"/>
              <w:contextualSpacing w:val="0"/>
              <w:rPr>
                <w:noProof/>
                <w:sz w:val="18"/>
                <w:szCs w:val="18"/>
              </w:rPr>
            </w:pPr>
            <w:r w:rsidRPr="00EC1412">
              <w:rPr>
                <w:noProof/>
                <w:sz w:val="18"/>
                <w:szCs w:val="18"/>
              </w:rPr>
              <w:t xml:space="preserve">Assessments underpinning restrictions of  hazardous substances in electrical and electronic equipment </w:t>
            </w:r>
          </w:p>
          <w:p w14:paraId="42370EE6" w14:textId="77777777" w:rsidR="000A7D9D" w:rsidRPr="00EC1412" w:rsidRDefault="000A7D9D" w:rsidP="000A7D9D">
            <w:pPr>
              <w:pStyle w:val="ListParagraph"/>
              <w:numPr>
                <w:ilvl w:val="0"/>
                <w:numId w:val="20"/>
              </w:numPr>
              <w:ind w:left="142" w:hanging="142"/>
              <w:jc w:val="both"/>
              <w:rPr>
                <w:caps/>
                <w:noProof/>
                <w:sz w:val="18"/>
                <w:szCs w:val="18"/>
              </w:rPr>
            </w:pPr>
            <w:r w:rsidRPr="00EC1412">
              <w:rPr>
                <w:noProof/>
                <w:sz w:val="18"/>
                <w:szCs w:val="18"/>
              </w:rPr>
              <w:t>Review of applications for exemptions from the restrictions</w:t>
            </w:r>
          </w:p>
        </w:tc>
        <w:tc>
          <w:tcPr>
            <w:tcW w:w="5103" w:type="dxa"/>
            <w:tcBorders>
              <w:bottom w:val="single" w:sz="4" w:space="0" w:color="auto"/>
            </w:tcBorders>
            <w:shd w:val="clear" w:color="auto" w:fill="FFF4CC"/>
          </w:tcPr>
          <w:p w14:paraId="55436179" w14:textId="77777777" w:rsidR="000A7D9D" w:rsidRPr="00EC1412" w:rsidRDefault="000A7D9D" w:rsidP="00F31937">
            <w:pPr>
              <w:spacing w:before="120"/>
              <w:rPr>
                <w:noProof/>
                <w:sz w:val="18"/>
                <w:szCs w:val="18"/>
              </w:rPr>
            </w:pPr>
            <w:r w:rsidRPr="00EC1412">
              <w:rPr>
                <w:noProof/>
                <w:sz w:val="18"/>
                <w:szCs w:val="18"/>
              </w:rPr>
              <w:t xml:space="preserve">Total ca. </w:t>
            </w:r>
            <w:r>
              <w:rPr>
                <w:noProof/>
                <w:sz w:val="18"/>
                <w:szCs w:val="18"/>
              </w:rPr>
              <w:t>2.7</w:t>
            </w:r>
            <w:r w:rsidRPr="00EC1412">
              <w:rPr>
                <w:noProof/>
                <w:sz w:val="18"/>
                <w:szCs w:val="18"/>
              </w:rPr>
              <w:t xml:space="preserve">4 FTEs/year: </w:t>
            </w:r>
            <w:r>
              <w:rPr>
                <w:noProof/>
                <w:sz w:val="18"/>
                <w:szCs w:val="18"/>
              </w:rPr>
              <w:t xml:space="preserve">EUR </w:t>
            </w:r>
            <w:r w:rsidRPr="00EC1412">
              <w:rPr>
                <w:noProof/>
                <w:sz w:val="18"/>
                <w:szCs w:val="18"/>
              </w:rPr>
              <w:t>145</w:t>
            </w:r>
            <w:r>
              <w:rPr>
                <w:noProof/>
                <w:sz w:val="18"/>
                <w:szCs w:val="18"/>
              </w:rPr>
              <w:t xml:space="preserve"> 000</w:t>
            </w:r>
            <w:r w:rsidRPr="00EC1412">
              <w:rPr>
                <w:noProof/>
                <w:sz w:val="18"/>
                <w:szCs w:val="18"/>
              </w:rPr>
              <w:t xml:space="preserve"> annually (on average) for outsourcing the review of exemptions (= ca. 2</w:t>
            </w:r>
            <w:r>
              <w:rPr>
                <w:noProof/>
                <w:sz w:val="18"/>
                <w:szCs w:val="18"/>
              </w:rPr>
              <w:t>.</w:t>
            </w:r>
            <w:r w:rsidRPr="00EC1412">
              <w:rPr>
                <w:noProof/>
                <w:sz w:val="18"/>
                <w:szCs w:val="18"/>
              </w:rPr>
              <w:t xml:space="preserve">2 FTEs/year) + a contract of </w:t>
            </w:r>
            <w:r>
              <w:rPr>
                <w:noProof/>
                <w:sz w:val="18"/>
                <w:szCs w:val="18"/>
              </w:rPr>
              <w:t xml:space="preserve">EUR </w:t>
            </w:r>
            <w:r w:rsidRPr="00EC1412">
              <w:rPr>
                <w:noProof/>
                <w:sz w:val="18"/>
                <w:szCs w:val="18"/>
              </w:rPr>
              <w:t>180</w:t>
            </w:r>
            <w:r>
              <w:rPr>
                <w:noProof/>
                <w:sz w:val="18"/>
                <w:szCs w:val="18"/>
              </w:rPr>
              <w:t xml:space="preserve"> 000</w:t>
            </w:r>
            <w:r w:rsidRPr="00EC1412">
              <w:rPr>
                <w:noProof/>
                <w:sz w:val="18"/>
                <w:szCs w:val="18"/>
              </w:rPr>
              <w:t xml:space="preserve"> on average each 5 years for reviewing restrictions (= 0</w:t>
            </w:r>
            <w:r>
              <w:rPr>
                <w:noProof/>
                <w:sz w:val="18"/>
                <w:szCs w:val="18"/>
              </w:rPr>
              <w:t>.</w:t>
            </w:r>
            <w:r w:rsidRPr="00EC1412">
              <w:rPr>
                <w:noProof/>
                <w:sz w:val="18"/>
                <w:szCs w:val="18"/>
              </w:rPr>
              <w:t>54 FTE/year)</w:t>
            </w:r>
            <w:r>
              <w:rPr>
                <w:noProof/>
                <w:sz w:val="18"/>
                <w:szCs w:val="18"/>
              </w:rPr>
              <w:t xml:space="preserve">. (In addition, </w:t>
            </w:r>
            <w:r w:rsidRPr="00EC1412">
              <w:rPr>
                <w:noProof/>
                <w:sz w:val="18"/>
                <w:szCs w:val="18"/>
              </w:rPr>
              <w:t>DG ENV ca. 1</w:t>
            </w:r>
            <w:r>
              <w:rPr>
                <w:noProof/>
                <w:sz w:val="18"/>
                <w:szCs w:val="18"/>
              </w:rPr>
              <w:t>.</w:t>
            </w:r>
            <w:r w:rsidRPr="00EC1412">
              <w:rPr>
                <w:noProof/>
                <w:sz w:val="18"/>
                <w:szCs w:val="18"/>
              </w:rPr>
              <w:t>5 FTE/year (for overall RoHS implementation)</w:t>
            </w:r>
            <w:r>
              <w:rPr>
                <w:noProof/>
                <w:sz w:val="18"/>
                <w:szCs w:val="18"/>
              </w:rPr>
              <w:t xml:space="preserve"> whose work will remain).</w:t>
            </w:r>
          </w:p>
        </w:tc>
      </w:tr>
      <w:tr w:rsidR="000A7D9D" w:rsidRPr="00EC1412" w14:paraId="7B7BE4E7" w14:textId="77777777" w:rsidTr="00F31937">
        <w:tc>
          <w:tcPr>
            <w:tcW w:w="4673" w:type="dxa"/>
            <w:tcBorders>
              <w:bottom w:val="single" w:sz="4" w:space="0" w:color="auto"/>
            </w:tcBorders>
            <w:shd w:val="clear" w:color="auto" w:fill="C1ECFF"/>
          </w:tcPr>
          <w:p w14:paraId="20B69ED1" w14:textId="77777777" w:rsidR="000A7D9D" w:rsidRPr="005D6A3C" w:rsidRDefault="000A7D9D" w:rsidP="00F31937">
            <w:pPr>
              <w:jc w:val="both"/>
              <w:rPr>
                <w:b/>
                <w:noProof/>
                <w:sz w:val="18"/>
                <w:szCs w:val="18"/>
              </w:rPr>
            </w:pPr>
            <w:r w:rsidRPr="005D6A3C">
              <w:rPr>
                <w:b/>
                <w:noProof/>
                <w:sz w:val="18"/>
                <w:szCs w:val="18"/>
              </w:rPr>
              <w:t>POPs regulation</w:t>
            </w:r>
          </w:p>
          <w:p w14:paraId="18F7688F" w14:textId="77777777" w:rsidR="000A7D9D" w:rsidRPr="00EC1412" w:rsidRDefault="000A7D9D" w:rsidP="000A7D9D">
            <w:pPr>
              <w:pStyle w:val="ListParagraph"/>
              <w:numPr>
                <w:ilvl w:val="0"/>
                <w:numId w:val="20"/>
              </w:numPr>
              <w:ind w:left="142" w:hanging="142"/>
              <w:contextualSpacing w:val="0"/>
              <w:rPr>
                <w:noProof/>
                <w:sz w:val="18"/>
                <w:szCs w:val="18"/>
              </w:rPr>
            </w:pPr>
            <w:r w:rsidRPr="00EC1412">
              <w:rPr>
                <w:noProof/>
                <w:sz w:val="18"/>
                <w:szCs w:val="18"/>
              </w:rPr>
              <w:t xml:space="preserve">Technical assistance in reviewing Annexes IV and V </w:t>
            </w:r>
          </w:p>
          <w:p w14:paraId="6672E501" w14:textId="77777777" w:rsidR="000A7D9D" w:rsidRPr="00EC1412" w:rsidRDefault="000A7D9D" w:rsidP="000A7D9D">
            <w:pPr>
              <w:pStyle w:val="ListParagraph"/>
              <w:numPr>
                <w:ilvl w:val="0"/>
                <w:numId w:val="20"/>
              </w:numPr>
              <w:ind w:left="142" w:hanging="142"/>
              <w:contextualSpacing w:val="0"/>
              <w:rPr>
                <w:noProof/>
                <w:sz w:val="18"/>
                <w:szCs w:val="18"/>
              </w:rPr>
            </w:pPr>
            <w:r w:rsidRPr="00EC1412">
              <w:rPr>
                <w:noProof/>
                <w:sz w:val="18"/>
                <w:szCs w:val="18"/>
              </w:rPr>
              <w:t xml:space="preserve">Hosting POPs monitoring data </w:t>
            </w:r>
          </w:p>
        </w:tc>
        <w:tc>
          <w:tcPr>
            <w:tcW w:w="5103" w:type="dxa"/>
            <w:tcBorders>
              <w:bottom w:val="single" w:sz="4" w:space="0" w:color="auto"/>
            </w:tcBorders>
            <w:shd w:val="clear" w:color="auto" w:fill="C1ECFF"/>
          </w:tcPr>
          <w:p w14:paraId="60C833E6" w14:textId="77777777" w:rsidR="000A7D9D" w:rsidRPr="00EC1412" w:rsidRDefault="000A7D9D" w:rsidP="00F31937">
            <w:pPr>
              <w:spacing w:before="120" w:after="120"/>
              <w:rPr>
                <w:noProof/>
                <w:sz w:val="18"/>
                <w:szCs w:val="18"/>
              </w:rPr>
            </w:pPr>
            <w:r w:rsidRPr="00EC1412">
              <w:rPr>
                <w:noProof/>
                <w:sz w:val="18"/>
                <w:szCs w:val="18"/>
              </w:rPr>
              <w:t xml:space="preserve">Total ca. </w:t>
            </w:r>
            <w:r>
              <w:rPr>
                <w:noProof/>
                <w:sz w:val="18"/>
                <w:szCs w:val="18"/>
              </w:rPr>
              <w:t>1.5</w:t>
            </w:r>
            <w:r w:rsidRPr="00EC1412">
              <w:rPr>
                <w:noProof/>
                <w:sz w:val="18"/>
                <w:szCs w:val="18"/>
              </w:rPr>
              <w:t xml:space="preserve"> FTEs/year: </w:t>
            </w:r>
            <w:r>
              <w:rPr>
                <w:noProof/>
                <w:sz w:val="18"/>
                <w:szCs w:val="18"/>
              </w:rPr>
              <w:t xml:space="preserve">EUR </w:t>
            </w:r>
            <w:r w:rsidRPr="00EC1412">
              <w:rPr>
                <w:noProof/>
                <w:sz w:val="18"/>
                <w:szCs w:val="18"/>
              </w:rPr>
              <w:t>300</w:t>
            </w:r>
            <w:r>
              <w:rPr>
                <w:noProof/>
                <w:sz w:val="18"/>
                <w:szCs w:val="18"/>
              </w:rPr>
              <w:t xml:space="preserve"> 000 </w:t>
            </w:r>
            <w:r w:rsidRPr="00EC1412">
              <w:rPr>
                <w:noProof/>
                <w:sz w:val="18"/>
                <w:szCs w:val="18"/>
              </w:rPr>
              <w:t>for consultants every 3 years (=1</w:t>
            </w:r>
            <w:r>
              <w:rPr>
                <w:noProof/>
                <w:sz w:val="18"/>
                <w:szCs w:val="18"/>
              </w:rPr>
              <w:t>.</w:t>
            </w:r>
            <w:r w:rsidRPr="00EC1412">
              <w:rPr>
                <w:noProof/>
                <w:sz w:val="18"/>
                <w:szCs w:val="18"/>
              </w:rPr>
              <w:t>5 FTE/year)</w:t>
            </w:r>
            <w:r>
              <w:rPr>
                <w:noProof/>
                <w:sz w:val="18"/>
                <w:szCs w:val="18"/>
              </w:rPr>
              <w:t xml:space="preserve">. (In addition, </w:t>
            </w:r>
            <w:r w:rsidRPr="00EC1412">
              <w:rPr>
                <w:noProof/>
                <w:sz w:val="18"/>
                <w:szCs w:val="18"/>
              </w:rPr>
              <w:t>DG ENV ca. 0</w:t>
            </w:r>
            <w:r>
              <w:rPr>
                <w:noProof/>
                <w:sz w:val="18"/>
                <w:szCs w:val="18"/>
              </w:rPr>
              <w:t>.</w:t>
            </w:r>
            <w:r w:rsidRPr="00EC1412">
              <w:rPr>
                <w:noProof/>
                <w:sz w:val="18"/>
                <w:szCs w:val="18"/>
              </w:rPr>
              <w:t xml:space="preserve">5 FTE/year (implementing </w:t>
            </w:r>
            <w:r>
              <w:rPr>
                <w:noProof/>
                <w:sz w:val="18"/>
                <w:szCs w:val="18"/>
              </w:rPr>
              <w:t>the review of Annexes IV and V) whose work will remain).</w:t>
            </w:r>
          </w:p>
        </w:tc>
      </w:tr>
      <w:tr w:rsidR="000A7D9D" w:rsidRPr="00EC1412" w14:paraId="19956C17" w14:textId="77777777" w:rsidTr="00F31937">
        <w:tc>
          <w:tcPr>
            <w:tcW w:w="4673" w:type="dxa"/>
            <w:tcBorders>
              <w:bottom w:val="single" w:sz="4" w:space="0" w:color="auto"/>
            </w:tcBorders>
            <w:shd w:val="clear" w:color="auto" w:fill="FFF4CC"/>
          </w:tcPr>
          <w:p w14:paraId="5B0976C4" w14:textId="77777777" w:rsidR="000A7D9D" w:rsidRPr="005D6A3C" w:rsidRDefault="000A7D9D" w:rsidP="00F31937">
            <w:pPr>
              <w:jc w:val="both"/>
              <w:rPr>
                <w:b/>
                <w:noProof/>
                <w:sz w:val="18"/>
                <w:szCs w:val="18"/>
              </w:rPr>
            </w:pPr>
            <w:r w:rsidRPr="005D6A3C">
              <w:rPr>
                <w:b/>
                <w:noProof/>
                <w:sz w:val="18"/>
                <w:szCs w:val="18"/>
              </w:rPr>
              <w:t xml:space="preserve">Medical devices regulation </w:t>
            </w:r>
          </w:p>
          <w:p w14:paraId="151E18FE" w14:textId="77777777" w:rsidR="000A7D9D" w:rsidRPr="00EC1412" w:rsidRDefault="000A7D9D" w:rsidP="000A7D9D">
            <w:pPr>
              <w:pStyle w:val="ListParagraph"/>
              <w:numPr>
                <w:ilvl w:val="0"/>
                <w:numId w:val="20"/>
              </w:numPr>
              <w:ind w:left="142" w:hanging="142"/>
              <w:contextualSpacing w:val="0"/>
              <w:rPr>
                <w:noProof/>
                <w:sz w:val="18"/>
                <w:szCs w:val="18"/>
              </w:rPr>
            </w:pPr>
            <w:r w:rsidRPr="00EC1412">
              <w:rPr>
                <w:noProof/>
                <w:sz w:val="18"/>
                <w:szCs w:val="18"/>
              </w:rPr>
              <w:t>Preparation and review of the guidelines on how to perform the benefit-risk assessment of the presence of phthalates in medical devices</w:t>
            </w:r>
          </w:p>
          <w:p w14:paraId="3EB18F4E" w14:textId="77777777" w:rsidR="000A7D9D" w:rsidRPr="00EC1412" w:rsidRDefault="000A7D9D" w:rsidP="000A7D9D">
            <w:pPr>
              <w:pStyle w:val="ListParagraph"/>
              <w:numPr>
                <w:ilvl w:val="0"/>
                <w:numId w:val="20"/>
              </w:numPr>
              <w:ind w:left="142" w:hanging="142"/>
              <w:contextualSpacing w:val="0"/>
              <w:rPr>
                <w:caps/>
                <w:noProof/>
                <w:sz w:val="18"/>
                <w:szCs w:val="18"/>
              </w:rPr>
            </w:pPr>
            <w:r w:rsidRPr="00EC1412">
              <w:rPr>
                <w:noProof/>
                <w:sz w:val="18"/>
                <w:szCs w:val="18"/>
              </w:rPr>
              <w:t>Preparation and review of the guidelines on how to perform the benefit-risk assessment of the presence of CMR and endocrine-disrupting substances in medical devices</w:t>
            </w:r>
          </w:p>
        </w:tc>
        <w:tc>
          <w:tcPr>
            <w:tcW w:w="5103" w:type="dxa"/>
            <w:tcBorders>
              <w:bottom w:val="single" w:sz="4" w:space="0" w:color="auto"/>
            </w:tcBorders>
            <w:shd w:val="clear" w:color="auto" w:fill="FFF4CC"/>
          </w:tcPr>
          <w:p w14:paraId="3CD384AB" w14:textId="77777777" w:rsidR="000A7D9D" w:rsidRPr="00EC1412" w:rsidRDefault="000A7D9D" w:rsidP="00F31937">
            <w:pPr>
              <w:rPr>
                <w:noProof/>
                <w:sz w:val="18"/>
                <w:szCs w:val="18"/>
              </w:rPr>
            </w:pPr>
            <w:r w:rsidRPr="00EC1412">
              <w:rPr>
                <w:noProof/>
                <w:sz w:val="18"/>
                <w:szCs w:val="18"/>
              </w:rPr>
              <w:t>Total ca. 0</w:t>
            </w:r>
            <w:r>
              <w:rPr>
                <w:noProof/>
                <w:sz w:val="18"/>
                <w:szCs w:val="18"/>
              </w:rPr>
              <w:t>.3</w:t>
            </w:r>
            <w:r w:rsidRPr="00EC1412">
              <w:rPr>
                <w:noProof/>
                <w:sz w:val="18"/>
                <w:szCs w:val="18"/>
              </w:rPr>
              <w:t xml:space="preserve"> FTE/year + </w:t>
            </w:r>
            <w:r>
              <w:rPr>
                <w:noProof/>
                <w:sz w:val="18"/>
                <w:szCs w:val="18"/>
              </w:rPr>
              <w:t xml:space="preserve">EUR </w:t>
            </w:r>
            <w:r w:rsidRPr="00EC1412">
              <w:rPr>
                <w:noProof/>
                <w:sz w:val="18"/>
                <w:szCs w:val="18"/>
              </w:rPr>
              <w:t>24</w:t>
            </w:r>
            <w:r>
              <w:rPr>
                <w:noProof/>
                <w:sz w:val="18"/>
                <w:szCs w:val="18"/>
              </w:rPr>
              <w:t xml:space="preserve"> </w:t>
            </w:r>
            <w:r w:rsidRPr="00EC1412">
              <w:rPr>
                <w:noProof/>
                <w:sz w:val="18"/>
                <w:szCs w:val="18"/>
              </w:rPr>
              <w:t>000/year: DG SANTE SCHEER secretariat 0</w:t>
            </w:r>
            <w:r>
              <w:rPr>
                <w:noProof/>
                <w:sz w:val="18"/>
                <w:szCs w:val="18"/>
              </w:rPr>
              <w:t>.</w:t>
            </w:r>
            <w:r w:rsidRPr="00EC1412">
              <w:rPr>
                <w:noProof/>
                <w:sz w:val="18"/>
                <w:szCs w:val="18"/>
              </w:rPr>
              <w:t xml:space="preserve">3 FTE (ca. 10% of SCHEER secretariat work), </w:t>
            </w:r>
            <w:r>
              <w:rPr>
                <w:noProof/>
                <w:sz w:val="18"/>
                <w:szCs w:val="18"/>
              </w:rPr>
              <w:t xml:space="preserve">EUR </w:t>
            </w:r>
            <w:r w:rsidRPr="00EC1412">
              <w:rPr>
                <w:noProof/>
                <w:sz w:val="18"/>
                <w:szCs w:val="18"/>
              </w:rPr>
              <w:t>24</w:t>
            </w:r>
            <w:r>
              <w:rPr>
                <w:noProof/>
                <w:sz w:val="18"/>
                <w:szCs w:val="18"/>
              </w:rPr>
              <w:t xml:space="preserve"> </w:t>
            </w:r>
            <w:r w:rsidRPr="00EC1412">
              <w:rPr>
                <w:noProof/>
                <w:sz w:val="18"/>
                <w:szCs w:val="18"/>
              </w:rPr>
              <w:t xml:space="preserve">000/year for indemnities, travel, </w:t>
            </w:r>
            <w:r w:rsidRPr="00EC1412">
              <w:rPr>
                <w:i/>
                <w:noProof/>
                <w:sz w:val="18"/>
                <w:szCs w:val="18"/>
              </w:rPr>
              <w:t>e.g.</w:t>
            </w:r>
            <w:r w:rsidRPr="00EC1412">
              <w:rPr>
                <w:noProof/>
                <w:sz w:val="18"/>
                <w:szCs w:val="18"/>
              </w:rPr>
              <w:t xml:space="preserve"> costs for members of the committee</w:t>
            </w:r>
            <w:r>
              <w:rPr>
                <w:noProof/>
                <w:sz w:val="18"/>
                <w:szCs w:val="18"/>
              </w:rPr>
              <w:t xml:space="preserve">. (In addition, </w:t>
            </w:r>
            <w:r w:rsidRPr="00EC1412">
              <w:rPr>
                <w:noProof/>
                <w:sz w:val="18"/>
                <w:szCs w:val="18"/>
              </w:rPr>
              <w:t>DG SANTE (policy unit) 0</w:t>
            </w:r>
            <w:r>
              <w:rPr>
                <w:noProof/>
                <w:sz w:val="18"/>
                <w:szCs w:val="18"/>
              </w:rPr>
              <w:t>.</w:t>
            </w:r>
            <w:r w:rsidRPr="00EC1412">
              <w:rPr>
                <w:noProof/>
                <w:sz w:val="18"/>
                <w:szCs w:val="18"/>
              </w:rPr>
              <w:t>1 FTE/year</w:t>
            </w:r>
            <w:r>
              <w:rPr>
                <w:noProof/>
                <w:sz w:val="18"/>
                <w:szCs w:val="18"/>
              </w:rPr>
              <w:t xml:space="preserve"> whose work will remain). </w:t>
            </w:r>
          </w:p>
        </w:tc>
      </w:tr>
      <w:tr w:rsidR="000A7D9D" w:rsidRPr="00EC1412" w14:paraId="6B4EBC55" w14:textId="77777777" w:rsidTr="00F31937">
        <w:tc>
          <w:tcPr>
            <w:tcW w:w="4673" w:type="dxa"/>
            <w:shd w:val="clear" w:color="auto" w:fill="BFBFBF" w:themeFill="background1" w:themeFillShade="BF"/>
          </w:tcPr>
          <w:p w14:paraId="14606B46" w14:textId="77777777" w:rsidR="000A7D9D" w:rsidRPr="00EC1412" w:rsidRDefault="000A7D9D" w:rsidP="00F31937">
            <w:pPr>
              <w:jc w:val="both"/>
              <w:rPr>
                <w:b/>
                <w:caps/>
                <w:noProof/>
                <w:sz w:val="18"/>
                <w:szCs w:val="18"/>
              </w:rPr>
            </w:pPr>
            <w:r w:rsidRPr="00EC1412">
              <w:rPr>
                <w:b/>
                <w:caps/>
                <w:noProof/>
                <w:sz w:val="18"/>
                <w:szCs w:val="18"/>
              </w:rPr>
              <w:t>SUm</w:t>
            </w:r>
          </w:p>
        </w:tc>
        <w:tc>
          <w:tcPr>
            <w:tcW w:w="5103" w:type="dxa"/>
            <w:shd w:val="clear" w:color="auto" w:fill="BFBFBF" w:themeFill="background1" w:themeFillShade="BF"/>
          </w:tcPr>
          <w:p w14:paraId="520029C1" w14:textId="77777777" w:rsidR="000A7D9D" w:rsidRPr="00EC1412" w:rsidRDefault="000A7D9D" w:rsidP="00F31937">
            <w:pPr>
              <w:rPr>
                <w:noProof/>
                <w:sz w:val="18"/>
                <w:szCs w:val="18"/>
              </w:rPr>
            </w:pPr>
            <w:r>
              <w:rPr>
                <w:b/>
                <w:noProof/>
                <w:sz w:val="18"/>
                <w:szCs w:val="18"/>
              </w:rPr>
              <w:t>0.3</w:t>
            </w:r>
            <w:r w:rsidRPr="00EC1412">
              <w:rPr>
                <w:b/>
                <w:noProof/>
                <w:sz w:val="18"/>
                <w:szCs w:val="18"/>
              </w:rPr>
              <w:t xml:space="preserve"> FTEs/year of regular staff; 4</w:t>
            </w:r>
            <w:r>
              <w:rPr>
                <w:b/>
                <w:noProof/>
                <w:sz w:val="18"/>
                <w:szCs w:val="18"/>
              </w:rPr>
              <w:t>.2</w:t>
            </w:r>
            <w:r w:rsidRPr="00EC1412">
              <w:rPr>
                <w:b/>
                <w:noProof/>
                <w:sz w:val="18"/>
                <w:szCs w:val="18"/>
              </w:rPr>
              <w:t xml:space="preserve"> FTEs/year of intramurous contractors or interim staff (ca. </w:t>
            </w:r>
            <w:r>
              <w:rPr>
                <w:b/>
                <w:noProof/>
                <w:sz w:val="18"/>
                <w:szCs w:val="18"/>
              </w:rPr>
              <w:t xml:space="preserve">EUR </w:t>
            </w:r>
            <w:r w:rsidRPr="00EC1412">
              <w:rPr>
                <w:b/>
                <w:noProof/>
                <w:sz w:val="18"/>
                <w:szCs w:val="18"/>
              </w:rPr>
              <w:t>281</w:t>
            </w:r>
            <w:r>
              <w:rPr>
                <w:b/>
                <w:noProof/>
                <w:sz w:val="18"/>
                <w:szCs w:val="18"/>
              </w:rPr>
              <w:t xml:space="preserve"> 000</w:t>
            </w:r>
            <w:r w:rsidRPr="00EC1412">
              <w:rPr>
                <w:b/>
                <w:noProof/>
                <w:sz w:val="18"/>
                <w:szCs w:val="18"/>
              </w:rPr>
              <w:t>/year);</w:t>
            </w:r>
            <w:r>
              <w:rPr>
                <w:b/>
                <w:noProof/>
                <w:sz w:val="18"/>
                <w:szCs w:val="18"/>
              </w:rPr>
              <w:t xml:space="preserve"> </w:t>
            </w:r>
            <w:r w:rsidRPr="00EC1412">
              <w:rPr>
                <w:b/>
                <w:noProof/>
                <w:sz w:val="18"/>
                <w:szCs w:val="18"/>
              </w:rPr>
              <w:t xml:space="preserve">Operational costs of ca. </w:t>
            </w:r>
            <w:r>
              <w:rPr>
                <w:b/>
                <w:noProof/>
                <w:sz w:val="18"/>
                <w:szCs w:val="18"/>
              </w:rPr>
              <w:t xml:space="preserve">EUR </w:t>
            </w:r>
            <w:r w:rsidRPr="00EC1412">
              <w:rPr>
                <w:b/>
                <w:noProof/>
                <w:sz w:val="18"/>
                <w:szCs w:val="18"/>
              </w:rPr>
              <w:t>24</w:t>
            </w:r>
            <w:r>
              <w:rPr>
                <w:b/>
                <w:noProof/>
                <w:sz w:val="18"/>
                <w:szCs w:val="18"/>
              </w:rPr>
              <w:t xml:space="preserve"> 000</w:t>
            </w:r>
            <w:r w:rsidRPr="00EC1412">
              <w:rPr>
                <w:b/>
                <w:noProof/>
                <w:sz w:val="18"/>
                <w:szCs w:val="18"/>
              </w:rPr>
              <w:t>/year</w:t>
            </w:r>
          </w:p>
        </w:tc>
      </w:tr>
    </w:tbl>
    <w:p w14:paraId="469C064F" w14:textId="77777777" w:rsidR="000A7D9D" w:rsidRDefault="000A7D9D" w:rsidP="000A7D9D">
      <w:pPr>
        <w:spacing w:before="120" w:after="120"/>
        <w:jc w:val="both"/>
        <w:rPr>
          <w:rFonts w:ascii="Times New Roman" w:hAnsi="Times New Roman" w:cs="Times New Roman"/>
          <w:noProof/>
        </w:rPr>
      </w:pPr>
    </w:p>
    <w:p w14:paraId="6AAAE13C" w14:textId="77777777" w:rsidR="000A7D9D" w:rsidRPr="00EC1412" w:rsidRDefault="000A7D9D" w:rsidP="000A7D9D">
      <w:pPr>
        <w:spacing w:after="120"/>
        <w:jc w:val="both"/>
        <w:rPr>
          <w:rFonts w:ascii="Times New Roman" w:hAnsi="Times New Roman" w:cs="Times New Roman"/>
          <w:noProof/>
        </w:rPr>
      </w:pPr>
      <w:r w:rsidRPr="00B33767">
        <w:rPr>
          <w:rFonts w:ascii="Times New Roman" w:hAnsi="Times New Roman" w:cs="Times New Roman"/>
          <w:b/>
          <w:noProof/>
        </w:rPr>
        <w:t>Changes to RoHS directive</w:t>
      </w:r>
      <w:r w:rsidRPr="00B33767">
        <w:rPr>
          <w:rFonts w:ascii="Times New Roman" w:hAnsi="Times New Roman" w:cs="Times New Roman"/>
          <w:noProof/>
        </w:rPr>
        <w:t xml:space="preserve"> will reattribute the assessments underpinning restrictions of hazardous substances in electrical and electronic equipment and review of applications for exemptions from the restrictions to ECHA.</w:t>
      </w:r>
      <w:r w:rsidRPr="00212E55">
        <w:rPr>
          <w:rFonts w:ascii="Times New Roman" w:hAnsi="Times New Roman" w:cs="Times New Roman"/>
          <w:noProof/>
        </w:rPr>
        <w:t xml:space="preserve"> For this work, ECHA will require in the first year 3 FTEs (3 TAs) and operational budget of EUR 66 000 and as of the second year 7 FTEs (4 TAs + 3 CAs) per year and operational budget of EUR 33 000 per year. The work is currently performed with the help of consultants and amounts to approximately </w:t>
      </w:r>
      <w:r>
        <w:rPr>
          <w:rFonts w:ascii="Times New Roman" w:hAnsi="Times New Roman" w:cs="Times New Roman"/>
          <w:noProof/>
        </w:rPr>
        <w:t>2</w:t>
      </w:r>
      <w:r w:rsidRPr="00212E55">
        <w:rPr>
          <w:rFonts w:ascii="Times New Roman" w:hAnsi="Times New Roman" w:cs="Times New Roman"/>
          <w:noProof/>
        </w:rPr>
        <w:t>.</w:t>
      </w:r>
      <w:r>
        <w:rPr>
          <w:rFonts w:ascii="Times New Roman" w:hAnsi="Times New Roman" w:cs="Times New Roman"/>
          <w:noProof/>
        </w:rPr>
        <w:t>74</w:t>
      </w:r>
      <w:r w:rsidRPr="00212E55">
        <w:rPr>
          <w:rFonts w:ascii="Times New Roman" w:hAnsi="Times New Roman" w:cs="Times New Roman"/>
          <w:noProof/>
        </w:rPr>
        <w:t xml:space="preserve"> FTE per year </w:t>
      </w:r>
      <w:r w:rsidRPr="00B33767">
        <w:rPr>
          <w:rFonts w:ascii="Times New Roman" w:hAnsi="Times New Roman" w:cs="Times New Roman"/>
          <w:noProof/>
        </w:rPr>
        <w:t xml:space="preserve">(ca. EUR 145 000 annually for outsourcing the review of exemptions (ca. 2.2 FTEs/years) + ca. EUR 180 000 every 5 years for contracts to review restrictions (ca. 0.54 FTE/year)). DG ENV </w:t>
      </w:r>
      <w:r>
        <w:rPr>
          <w:rFonts w:ascii="Times New Roman" w:hAnsi="Times New Roman" w:cs="Times New Roman"/>
          <w:noProof/>
        </w:rPr>
        <w:t xml:space="preserve">uses ca. </w:t>
      </w:r>
      <w:r w:rsidRPr="00B33767">
        <w:rPr>
          <w:rFonts w:ascii="Times New Roman" w:hAnsi="Times New Roman" w:cs="Times New Roman"/>
          <w:noProof/>
        </w:rPr>
        <w:t xml:space="preserve">1.5 FTE </w:t>
      </w:r>
      <w:r>
        <w:rPr>
          <w:rFonts w:ascii="Times New Roman" w:hAnsi="Times New Roman" w:cs="Times New Roman"/>
          <w:noProof/>
        </w:rPr>
        <w:t xml:space="preserve">of </w:t>
      </w:r>
      <w:r w:rsidRPr="00B33767">
        <w:rPr>
          <w:rFonts w:ascii="Times New Roman" w:hAnsi="Times New Roman" w:cs="Times New Roman"/>
          <w:noProof/>
        </w:rPr>
        <w:t>core staff for overall RoHS implementation</w:t>
      </w:r>
      <w:r>
        <w:rPr>
          <w:rFonts w:ascii="Times New Roman" w:hAnsi="Times New Roman" w:cs="Times New Roman"/>
          <w:noProof/>
        </w:rPr>
        <w:t>, which will need to continue.</w:t>
      </w:r>
      <w:r w:rsidRPr="00B33767">
        <w:rPr>
          <w:rFonts w:ascii="Times New Roman" w:hAnsi="Times New Roman" w:cs="Times New Roman"/>
          <w:noProof/>
        </w:rPr>
        <w:t xml:space="preserve"> The resources currently spent are however insufficient leading to the accumulation of requests for exemptions without processing them to the legal drafting (by December 2022, over 60 exemption requests were pending</w:t>
      </w:r>
      <w:r w:rsidRPr="00212E55">
        <w:rPr>
          <w:rFonts w:ascii="Times New Roman" w:hAnsi="Times New Roman" w:cs="Times New Roman"/>
          <w:noProof/>
        </w:rPr>
        <w:t>) and the revision of the restriction was delayed (the review not finalised although it has started in 2018). There are also complaints about the quality and robustness of the assessments, the transparency of the</w:t>
      </w:r>
      <w:r w:rsidRPr="00EC1412">
        <w:rPr>
          <w:rFonts w:ascii="Times New Roman" w:hAnsi="Times New Roman" w:cs="Times New Roman"/>
          <w:noProof/>
        </w:rPr>
        <w:t xml:space="preserve"> process and involvement of stakeholders. The reattribution to ECHA and using its processes will address these shortcomings and will ensure alignment with other chemicals legislation. </w:t>
      </w:r>
    </w:p>
    <w:p w14:paraId="388FA126" w14:textId="77777777" w:rsidR="000A7D9D" w:rsidRPr="00212E55" w:rsidRDefault="000A7D9D" w:rsidP="000A7D9D">
      <w:pPr>
        <w:spacing w:after="120"/>
        <w:jc w:val="both"/>
        <w:rPr>
          <w:rFonts w:ascii="Times New Roman" w:hAnsi="Times New Roman" w:cs="Times New Roman"/>
          <w:noProof/>
        </w:rPr>
      </w:pPr>
      <w:r w:rsidRPr="00B34E17">
        <w:rPr>
          <w:rFonts w:ascii="Times New Roman" w:hAnsi="Times New Roman" w:cs="Times New Roman"/>
          <w:b/>
          <w:noProof/>
        </w:rPr>
        <w:t>Changes to POPs regulation</w:t>
      </w:r>
      <w:r w:rsidRPr="00B34E17">
        <w:rPr>
          <w:rFonts w:ascii="Times New Roman" w:hAnsi="Times New Roman" w:cs="Times New Roman"/>
          <w:noProof/>
        </w:rPr>
        <w:t xml:space="preserve"> will reattribute the technical assistance in reviewing Annexes IV and V to ECHA and hosting the POPs monitoring data to EEA. For this work, ECHA will require in the first year 1 FTE (1 TA) and operational budget of EUR 35 000 and as of the second year 2 FTEs (2 TAs) per year and operational budget of EUR 50 000 per year. No resources are needed for EEA. The work on reviewing the Annexes IV and V is currently performed </w:t>
      </w:r>
      <w:r w:rsidRPr="00212E55">
        <w:rPr>
          <w:rFonts w:ascii="Times New Roman" w:hAnsi="Times New Roman" w:cs="Times New Roman"/>
          <w:noProof/>
        </w:rPr>
        <w:t xml:space="preserve">by the Commission with the help of consultants and amounts to approximately </w:t>
      </w:r>
      <w:r>
        <w:rPr>
          <w:rFonts w:ascii="Times New Roman" w:hAnsi="Times New Roman" w:cs="Times New Roman"/>
          <w:noProof/>
        </w:rPr>
        <w:t>1.5</w:t>
      </w:r>
      <w:r w:rsidRPr="00212E55">
        <w:rPr>
          <w:rFonts w:ascii="Times New Roman" w:hAnsi="Times New Roman" w:cs="Times New Roman"/>
          <w:noProof/>
        </w:rPr>
        <w:t xml:space="preserve"> FTEs per year </w:t>
      </w:r>
      <w:r w:rsidRPr="00B34E17">
        <w:rPr>
          <w:rFonts w:ascii="Times New Roman" w:hAnsi="Times New Roman" w:cs="Times New Roman"/>
          <w:noProof/>
        </w:rPr>
        <w:t xml:space="preserve">(EUR 300 000 for consultants every 3 years (=1.5 FTE/year)). </w:t>
      </w:r>
      <w:r>
        <w:rPr>
          <w:rFonts w:ascii="Times New Roman" w:hAnsi="Times New Roman" w:cs="Times New Roman"/>
          <w:noProof/>
        </w:rPr>
        <w:t xml:space="preserve">DG ENV uses </w:t>
      </w:r>
      <w:r w:rsidRPr="00B34E17">
        <w:rPr>
          <w:rFonts w:ascii="Times New Roman" w:hAnsi="Times New Roman" w:cs="Times New Roman"/>
          <w:noProof/>
        </w:rPr>
        <w:t>ca. 0.5 FTE/year</w:t>
      </w:r>
      <w:r>
        <w:rPr>
          <w:rFonts w:ascii="Times New Roman" w:hAnsi="Times New Roman" w:cs="Times New Roman"/>
          <w:noProof/>
        </w:rPr>
        <w:t xml:space="preserve"> of core staff for </w:t>
      </w:r>
      <w:r w:rsidRPr="00B34E17">
        <w:rPr>
          <w:rFonts w:ascii="Times New Roman" w:hAnsi="Times New Roman" w:cs="Times New Roman"/>
          <w:noProof/>
        </w:rPr>
        <w:t>implementing the review of Annexes IV and V</w:t>
      </w:r>
      <w:r>
        <w:rPr>
          <w:rFonts w:ascii="Times New Roman" w:hAnsi="Times New Roman" w:cs="Times New Roman"/>
          <w:noProof/>
        </w:rPr>
        <w:t xml:space="preserve">, which will however need to continue. </w:t>
      </w:r>
      <w:r w:rsidRPr="00B34E17">
        <w:rPr>
          <w:rFonts w:ascii="Times New Roman" w:hAnsi="Times New Roman" w:cs="Times New Roman"/>
          <w:noProof/>
        </w:rPr>
        <w:t xml:space="preserve">The involvement of ECHA and its Committee for Socio-Economic Analysis is envisaged to provide a significant increase in the scientific quality, the consistency, the robustness and the level of independence of the assessments upon which the Commission develops its proposals on this matter. The hosting of chemicals monitoring data under </w:t>
      </w:r>
      <w:r>
        <w:rPr>
          <w:rFonts w:ascii="Times New Roman" w:hAnsi="Times New Roman" w:cs="Times New Roman"/>
          <w:noProof/>
        </w:rPr>
        <w:t xml:space="preserve">the </w:t>
      </w:r>
      <w:r w:rsidRPr="00B34E17">
        <w:rPr>
          <w:rFonts w:ascii="Times New Roman" w:hAnsi="Times New Roman" w:cs="Times New Roman"/>
          <w:noProof/>
        </w:rPr>
        <w:t xml:space="preserve">POPs regulation is currently done </w:t>
      </w:r>
      <w:r w:rsidRPr="00212E55">
        <w:rPr>
          <w:rFonts w:ascii="Times New Roman" w:hAnsi="Times New Roman" w:cs="Times New Roman"/>
          <w:noProof/>
        </w:rPr>
        <w:t>by the Commission. Transfer of this work to EEA will require no additional resources, as POPs monitoring data in waters are to be reported to EEA under the water legislation and resources for that were proposed in the recent proposal, the POPs monitoring data in air are already being reported to EEA as part of the air quality legislation and covered by resources for that activity. In addition, hosting of any additional data sets in the environment is also covered in the resource for common data platform.</w:t>
      </w:r>
    </w:p>
    <w:p w14:paraId="79260D49" w14:textId="77777777" w:rsidR="000A7D9D" w:rsidRPr="00DB2FE2" w:rsidRDefault="000A7D9D" w:rsidP="000A7D9D">
      <w:pPr>
        <w:spacing w:after="120"/>
        <w:jc w:val="both"/>
        <w:rPr>
          <w:rFonts w:ascii="Times New Roman" w:hAnsi="Times New Roman" w:cs="Times New Roman"/>
          <w:noProof/>
        </w:rPr>
      </w:pPr>
      <w:r w:rsidRPr="00212E55">
        <w:rPr>
          <w:rFonts w:ascii="Times New Roman" w:hAnsi="Times New Roman" w:cs="Times New Roman"/>
          <w:b/>
          <w:noProof/>
        </w:rPr>
        <w:t>Changes to medical devices regulation</w:t>
      </w:r>
      <w:r w:rsidRPr="00212E55">
        <w:rPr>
          <w:rFonts w:ascii="Times New Roman" w:hAnsi="Times New Roman" w:cs="Times New Roman"/>
          <w:noProof/>
        </w:rPr>
        <w:t xml:space="preserve"> will not require any additional resources for ECHA. The work is currently performed by the Commission supported by the SCHEER committee. The current resource use is estimated to be 0.</w:t>
      </w:r>
      <w:r>
        <w:rPr>
          <w:rFonts w:ascii="Times New Roman" w:hAnsi="Times New Roman" w:cs="Times New Roman"/>
          <w:noProof/>
        </w:rPr>
        <w:t>3</w:t>
      </w:r>
      <w:r w:rsidRPr="00212E55">
        <w:rPr>
          <w:rFonts w:ascii="Times New Roman" w:hAnsi="Times New Roman" w:cs="Times New Roman"/>
          <w:noProof/>
        </w:rPr>
        <w:t xml:space="preserve"> FTE per year and EUR 24 000 per year </w:t>
      </w:r>
      <w:r w:rsidRPr="00460197">
        <w:rPr>
          <w:rFonts w:ascii="Times New Roman" w:hAnsi="Times New Roman" w:cs="Times New Roman"/>
          <w:noProof/>
        </w:rPr>
        <w:t xml:space="preserve">(DG SANTE SCHEER secretariat 0.3 FTE (ca. 10% of SCHEER secretariat work), EUR 24 000 per year for indemnities, travel, e.g. costs for members of the committee). </w:t>
      </w:r>
      <w:r>
        <w:rPr>
          <w:rFonts w:ascii="Times New Roman" w:hAnsi="Times New Roman" w:cs="Times New Roman"/>
          <w:noProof/>
        </w:rPr>
        <w:t>DG SANTE uses (policy unit) uses ca.</w:t>
      </w:r>
      <w:r w:rsidRPr="00460197">
        <w:rPr>
          <w:rFonts w:ascii="Times New Roman" w:hAnsi="Times New Roman" w:cs="Times New Roman"/>
          <w:noProof/>
        </w:rPr>
        <w:t xml:space="preserve"> 0.1 FTE </w:t>
      </w:r>
      <w:r>
        <w:rPr>
          <w:rFonts w:ascii="Times New Roman" w:hAnsi="Times New Roman" w:cs="Times New Roman"/>
          <w:noProof/>
        </w:rPr>
        <w:t xml:space="preserve">of core staff </w:t>
      </w:r>
      <w:r w:rsidRPr="00460197">
        <w:rPr>
          <w:rFonts w:ascii="Times New Roman" w:hAnsi="Times New Roman" w:cs="Times New Roman"/>
          <w:noProof/>
        </w:rPr>
        <w:t>per year</w:t>
      </w:r>
      <w:r>
        <w:rPr>
          <w:rFonts w:ascii="Times New Roman" w:hAnsi="Times New Roman" w:cs="Times New Roman"/>
          <w:noProof/>
        </w:rPr>
        <w:t xml:space="preserve"> for implementation of the related provisions, which will however need to continue.</w:t>
      </w:r>
      <w:r w:rsidRPr="00460197">
        <w:rPr>
          <w:rFonts w:ascii="Times New Roman" w:hAnsi="Times New Roman" w:cs="Times New Roman"/>
          <w:noProof/>
        </w:rPr>
        <w:t xml:space="preserve"> Considering that the envisaged frequency of the work is very low, the involvement of the Committees is only where necessary and the first work will likely materialise only in 2029, the work can be absorbed by ECHA without any </w:t>
      </w:r>
      <w:r w:rsidRPr="00DB2FE2">
        <w:rPr>
          <w:rFonts w:ascii="Times New Roman" w:hAnsi="Times New Roman" w:cs="Times New Roman"/>
          <w:noProof/>
        </w:rPr>
        <w:t>additional resources.</w:t>
      </w:r>
    </w:p>
    <w:p w14:paraId="43D8AB98" w14:textId="77777777" w:rsidR="000A7D9D" w:rsidRPr="008D3B63" w:rsidRDefault="000A7D9D" w:rsidP="000A7D9D">
      <w:pPr>
        <w:spacing w:after="120"/>
        <w:jc w:val="both"/>
        <w:rPr>
          <w:rFonts w:ascii="Times New Roman" w:hAnsi="Times New Roman" w:cs="Times New Roman"/>
          <w:noProof/>
        </w:rPr>
      </w:pPr>
      <w:r w:rsidRPr="00DB2FE2">
        <w:rPr>
          <w:rFonts w:ascii="Times New Roman" w:hAnsi="Times New Roman" w:cs="Times New Roman"/>
          <w:b/>
          <w:bCs/>
          <w:noProof/>
        </w:rPr>
        <w:t xml:space="preserve">Changes to the regulation on </w:t>
      </w:r>
      <w:r>
        <w:rPr>
          <w:rFonts w:ascii="Times New Roman" w:hAnsi="Times New Roman" w:cs="Times New Roman"/>
          <w:b/>
          <w:bCs/>
          <w:noProof/>
        </w:rPr>
        <w:t xml:space="preserve">the European Environment Agency </w:t>
      </w:r>
      <w:r w:rsidRPr="00DB2FE2">
        <w:rPr>
          <w:rFonts w:ascii="Times New Roman" w:hAnsi="Times New Roman" w:cs="Times New Roman"/>
          <w:b/>
          <w:bCs/>
          <w:noProof/>
        </w:rPr>
        <w:t>and to the</w:t>
      </w:r>
      <w:r w:rsidRPr="00DB2FE2">
        <w:rPr>
          <w:rFonts w:ascii="Times New Roman" w:hAnsi="Times New Roman" w:cs="Times New Roman"/>
          <w:noProof/>
        </w:rPr>
        <w:t xml:space="preserve"> </w:t>
      </w:r>
      <w:r w:rsidRPr="00DB2FE2">
        <w:rPr>
          <w:rFonts w:ascii="Times New Roman" w:hAnsi="Times New Roman" w:cs="Times New Roman"/>
          <w:b/>
          <w:noProof/>
        </w:rPr>
        <w:t>regulation</w:t>
      </w:r>
      <w:r w:rsidRPr="00DB2FE2">
        <w:rPr>
          <w:rFonts w:ascii="Times New Roman" w:hAnsi="Times New Roman" w:cs="Times New Roman"/>
          <w:noProof/>
        </w:rPr>
        <w:t xml:space="preserve"> </w:t>
      </w:r>
      <w:r w:rsidRPr="00DB2FE2">
        <w:rPr>
          <w:rFonts w:ascii="Times New Roman" w:hAnsi="Times New Roman" w:cs="Times New Roman"/>
          <w:b/>
          <w:noProof/>
        </w:rPr>
        <w:t>on the general principles and requirements of food law and establishing the European Food Safety Authority</w:t>
      </w:r>
      <w:r w:rsidRPr="00DB2FE2">
        <w:rPr>
          <w:rFonts w:ascii="Times New Roman" w:hAnsi="Times New Roman" w:cs="Times New Roman"/>
          <w:b/>
          <w:bCs/>
          <w:noProof/>
        </w:rPr>
        <w:t xml:space="preserve"> </w:t>
      </w:r>
      <w:r w:rsidRPr="00DB2FE2">
        <w:rPr>
          <w:rFonts w:ascii="Times New Roman" w:hAnsi="Times New Roman" w:cs="Times New Roman"/>
          <w:noProof/>
        </w:rPr>
        <w:t xml:space="preserve">will have no resource implications. </w:t>
      </w:r>
      <w:r w:rsidRPr="008D3B63">
        <w:rPr>
          <w:rFonts w:ascii="Times New Roman" w:hAnsi="Times New Roman" w:cs="Times New Roman"/>
          <w:noProof/>
        </w:rPr>
        <w:t>The provisions formalise the activities already performed</w:t>
      </w:r>
      <w:r w:rsidRPr="00DB2FE2">
        <w:rPr>
          <w:rFonts w:ascii="Times New Roman" w:hAnsi="Times New Roman" w:cs="Times New Roman"/>
          <w:noProof/>
        </w:rPr>
        <w:t>, they prescribe the procedural steps to follow and they enable the implementation of the proposal for a r</w:t>
      </w:r>
      <w:r w:rsidRPr="00DB2FE2">
        <w:rPr>
          <w:rFonts w:ascii="Times New Roman" w:hAnsi="Times New Roman" w:cs="Times New Roman"/>
          <w:bCs/>
          <w:noProof/>
        </w:rPr>
        <w:t>egulation establishing a common data platform on chemicals, laying down rules to ensure that the data contained in it are findable, accessible, interoperable and reusable and establishing a monitoring and outlook framework for chemicals</w:t>
      </w:r>
      <w:r w:rsidRPr="00DB2FE2">
        <w:rPr>
          <w:rFonts w:ascii="Times New Roman" w:hAnsi="Times New Roman" w:cs="Times New Roman"/>
          <w:noProof/>
        </w:rPr>
        <w:t>. Any possible resource needs stemming from these provisions can be absorbed by the existing resources of the agencies.</w:t>
      </w:r>
    </w:p>
    <w:p w14:paraId="6A3BCCA5" w14:textId="77777777" w:rsidR="000A7D9D" w:rsidRPr="00EC1412" w:rsidRDefault="000A7D9D" w:rsidP="000A7D9D">
      <w:pPr>
        <w:spacing w:before="120" w:after="120"/>
        <w:jc w:val="both"/>
        <w:rPr>
          <w:rFonts w:ascii="Times New Roman" w:hAnsi="Times New Roman" w:cs="Times New Roman"/>
          <w:i/>
          <w:noProof/>
        </w:rPr>
      </w:pPr>
      <w:r w:rsidRPr="00EC1412">
        <w:rPr>
          <w:rFonts w:ascii="Times New Roman" w:hAnsi="Times New Roman" w:cs="Times New Roman"/>
          <w:i/>
          <w:noProof/>
        </w:rPr>
        <w:t>Impact on committees of Agencies</w:t>
      </w:r>
    </w:p>
    <w:p w14:paraId="1326BB66"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There will be an impact on ECHA’s committees for risk assessment and for socio-economic analysis. It is estimated that the </w:t>
      </w:r>
      <w:r w:rsidRPr="00EC1412">
        <w:rPr>
          <w:rFonts w:ascii="Times New Roman" w:hAnsi="Times New Roman" w:cs="Times New Roman"/>
          <w:b/>
          <w:noProof/>
        </w:rPr>
        <w:t>committee for risk assessment</w:t>
      </w:r>
      <w:r w:rsidRPr="00EC1412">
        <w:rPr>
          <w:rFonts w:ascii="Times New Roman" w:hAnsi="Times New Roman" w:cs="Times New Roman"/>
          <w:noProof/>
        </w:rPr>
        <w:t xml:space="preserve"> will have to process </w:t>
      </w:r>
      <w:r w:rsidRPr="008D3B63">
        <w:rPr>
          <w:rFonts w:ascii="Times New Roman" w:hAnsi="Times New Roman" w:cs="Times New Roman"/>
          <w:i/>
          <w:noProof/>
        </w:rPr>
        <w:t>ca.</w:t>
      </w:r>
      <w:r w:rsidRPr="00EC1412">
        <w:rPr>
          <w:rFonts w:ascii="Times New Roman" w:hAnsi="Times New Roman" w:cs="Times New Roman"/>
          <w:noProof/>
        </w:rPr>
        <w:t xml:space="preserve"> </w:t>
      </w:r>
      <w:r w:rsidRPr="00EC1412">
        <w:rPr>
          <w:rFonts w:ascii="Times New Roman" w:hAnsi="Times New Roman" w:cs="Times New Roman"/>
          <w:b/>
          <w:noProof/>
        </w:rPr>
        <w:t>4 opinions per year</w:t>
      </w:r>
      <w:r w:rsidRPr="00EC1412">
        <w:rPr>
          <w:rFonts w:ascii="Times New Roman" w:hAnsi="Times New Roman" w:cs="Times New Roman"/>
          <w:noProof/>
        </w:rPr>
        <w:t xml:space="preserve">: one opinion on new restriction of a substance (which is of equivalent of low complexity restriction under REACH) and 3 opinions per year on requests for new exemptions (which is expected to be lighter dossier than the low complexity restriction dossier under REACH) under RoHS. The </w:t>
      </w:r>
      <w:r w:rsidRPr="00EC1412">
        <w:rPr>
          <w:rFonts w:ascii="Times New Roman" w:hAnsi="Times New Roman" w:cs="Times New Roman"/>
          <w:b/>
          <w:noProof/>
        </w:rPr>
        <w:t>committee for socio-economic analysis</w:t>
      </w:r>
      <w:r w:rsidRPr="00EC1412">
        <w:rPr>
          <w:rFonts w:ascii="Times New Roman" w:hAnsi="Times New Roman" w:cs="Times New Roman"/>
          <w:noProof/>
        </w:rPr>
        <w:t xml:space="preserve"> is expected to process </w:t>
      </w:r>
      <w:r w:rsidRPr="008D3B63">
        <w:rPr>
          <w:rFonts w:ascii="Times New Roman" w:hAnsi="Times New Roman" w:cs="Times New Roman"/>
          <w:i/>
          <w:noProof/>
        </w:rPr>
        <w:t>ca.</w:t>
      </w:r>
      <w:r w:rsidRPr="00EC1412">
        <w:rPr>
          <w:rFonts w:ascii="Times New Roman" w:hAnsi="Times New Roman" w:cs="Times New Roman"/>
          <w:noProof/>
        </w:rPr>
        <w:t xml:space="preserve"> </w:t>
      </w:r>
      <w:r w:rsidRPr="00EC1412">
        <w:rPr>
          <w:rFonts w:ascii="Times New Roman" w:hAnsi="Times New Roman" w:cs="Times New Roman"/>
          <w:b/>
          <w:noProof/>
        </w:rPr>
        <w:t>33 opinions per year</w:t>
      </w:r>
      <w:r w:rsidRPr="00EC1412">
        <w:rPr>
          <w:rFonts w:ascii="Times New Roman" w:hAnsi="Times New Roman" w:cs="Times New Roman"/>
          <w:noProof/>
        </w:rPr>
        <w:t>: 1 opinion on restriction of a substance and 30 opinions on the requests for exemption under RoHS, and 2 opinions on the revision of Annex IV and V and the proposed limit value under the POPs regulation.</w:t>
      </w:r>
    </w:p>
    <w:tbl>
      <w:tblPr>
        <w:tblStyle w:val="TableGrid"/>
        <w:tblW w:w="9000" w:type="dxa"/>
        <w:tblInd w:w="-5" w:type="dxa"/>
        <w:tblLook w:val="04A0" w:firstRow="1" w:lastRow="0" w:firstColumn="1" w:lastColumn="0" w:noHBand="0" w:noVBand="1"/>
      </w:tblPr>
      <w:tblGrid>
        <w:gridCol w:w="3402"/>
        <w:gridCol w:w="3261"/>
        <w:gridCol w:w="2337"/>
      </w:tblGrid>
      <w:tr w:rsidR="000A7D9D" w:rsidRPr="00EC1412" w14:paraId="41D555F5" w14:textId="77777777" w:rsidTr="00F31937">
        <w:tc>
          <w:tcPr>
            <w:tcW w:w="9000" w:type="dxa"/>
            <w:gridSpan w:val="3"/>
            <w:tcBorders>
              <w:bottom w:val="single" w:sz="4" w:space="0" w:color="auto"/>
            </w:tcBorders>
            <w:shd w:val="clear" w:color="auto" w:fill="A6A6A6" w:themeFill="background1" w:themeFillShade="A6"/>
          </w:tcPr>
          <w:p w14:paraId="4FEFE948" w14:textId="77777777" w:rsidR="000A7D9D" w:rsidRPr="00EC1412" w:rsidRDefault="000A7D9D" w:rsidP="00F31937">
            <w:pPr>
              <w:spacing w:before="60" w:after="60"/>
              <w:jc w:val="both"/>
              <w:rPr>
                <w:caps/>
                <w:noProof/>
                <w:sz w:val="22"/>
                <w:szCs w:val="22"/>
              </w:rPr>
            </w:pPr>
            <w:r w:rsidRPr="00EC1412">
              <w:rPr>
                <w:b/>
                <w:noProof/>
                <w:sz w:val="18"/>
                <w:szCs w:val="18"/>
              </w:rPr>
              <w:t>Table 4. Expected number of opinions from ECHA’s committees per year and per legislation</w:t>
            </w:r>
          </w:p>
        </w:tc>
      </w:tr>
      <w:tr w:rsidR="000A7D9D" w:rsidRPr="00EC1412" w14:paraId="31E50ACB" w14:textId="77777777" w:rsidTr="00F31937">
        <w:tc>
          <w:tcPr>
            <w:tcW w:w="3402" w:type="dxa"/>
            <w:tcBorders>
              <w:bottom w:val="single" w:sz="4" w:space="0" w:color="auto"/>
              <w:right w:val="dotted" w:sz="4" w:space="0" w:color="auto"/>
            </w:tcBorders>
            <w:shd w:val="clear" w:color="auto" w:fill="BFBFBF" w:themeFill="background1" w:themeFillShade="BF"/>
          </w:tcPr>
          <w:p w14:paraId="304F79F0" w14:textId="77777777" w:rsidR="000A7D9D" w:rsidRPr="00EC1412" w:rsidRDefault="000A7D9D" w:rsidP="00F31937">
            <w:pPr>
              <w:ind w:left="471"/>
              <w:rPr>
                <w:noProof/>
                <w:sz w:val="18"/>
                <w:szCs w:val="18"/>
              </w:rPr>
            </w:pPr>
          </w:p>
        </w:tc>
        <w:tc>
          <w:tcPr>
            <w:tcW w:w="3261" w:type="dxa"/>
            <w:tcBorders>
              <w:left w:val="dotted" w:sz="4" w:space="0" w:color="auto"/>
              <w:bottom w:val="single" w:sz="4" w:space="0" w:color="auto"/>
              <w:right w:val="dotted" w:sz="4" w:space="0" w:color="auto"/>
            </w:tcBorders>
            <w:shd w:val="clear" w:color="auto" w:fill="BFBFBF" w:themeFill="background1" w:themeFillShade="BF"/>
          </w:tcPr>
          <w:p w14:paraId="7405AF2C" w14:textId="77777777" w:rsidR="000A7D9D" w:rsidRPr="00EC1412" w:rsidRDefault="000A7D9D" w:rsidP="00F31937">
            <w:pPr>
              <w:ind w:left="471"/>
              <w:jc w:val="right"/>
              <w:rPr>
                <w:b/>
                <w:noProof/>
                <w:sz w:val="18"/>
                <w:szCs w:val="18"/>
              </w:rPr>
            </w:pPr>
            <w:r w:rsidRPr="00EC1412">
              <w:rPr>
                <w:b/>
                <w:noProof/>
                <w:sz w:val="18"/>
                <w:szCs w:val="18"/>
              </w:rPr>
              <w:t>RAC</w:t>
            </w:r>
          </w:p>
        </w:tc>
        <w:tc>
          <w:tcPr>
            <w:tcW w:w="2337" w:type="dxa"/>
            <w:tcBorders>
              <w:left w:val="dotted" w:sz="4" w:space="0" w:color="auto"/>
              <w:bottom w:val="single" w:sz="4" w:space="0" w:color="auto"/>
            </w:tcBorders>
            <w:shd w:val="clear" w:color="auto" w:fill="BFBFBF" w:themeFill="background1" w:themeFillShade="BF"/>
          </w:tcPr>
          <w:p w14:paraId="191E13A9" w14:textId="77777777" w:rsidR="000A7D9D" w:rsidRPr="00EC1412" w:rsidRDefault="000A7D9D" w:rsidP="00F31937">
            <w:pPr>
              <w:ind w:left="471"/>
              <w:jc w:val="right"/>
              <w:rPr>
                <w:b/>
                <w:noProof/>
                <w:sz w:val="18"/>
                <w:szCs w:val="18"/>
              </w:rPr>
            </w:pPr>
            <w:r w:rsidRPr="00EC1412">
              <w:rPr>
                <w:b/>
                <w:noProof/>
                <w:sz w:val="18"/>
                <w:szCs w:val="18"/>
              </w:rPr>
              <w:t>SEAC</w:t>
            </w:r>
          </w:p>
        </w:tc>
      </w:tr>
      <w:tr w:rsidR="000A7D9D" w:rsidRPr="00EC1412" w14:paraId="20BD9DC3" w14:textId="77777777" w:rsidTr="00F31937">
        <w:tc>
          <w:tcPr>
            <w:tcW w:w="9000" w:type="dxa"/>
            <w:gridSpan w:val="3"/>
            <w:tcBorders>
              <w:top w:val="single" w:sz="4" w:space="0" w:color="auto"/>
              <w:left w:val="single" w:sz="4" w:space="0" w:color="auto"/>
              <w:bottom w:val="dotted" w:sz="4" w:space="0" w:color="auto"/>
              <w:right w:val="single" w:sz="4" w:space="0" w:color="auto"/>
            </w:tcBorders>
            <w:shd w:val="clear" w:color="auto" w:fill="FFF4CC"/>
          </w:tcPr>
          <w:p w14:paraId="3ADBE3C4" w14:textId="77777777" w:rsidR="000A7D9D" w:rsidRPr="004C62CD" w:rsidRDefault="000A7D9D" w:rsidP="00F31937">
            <w:pPr>
              <w:rPr>
                <w:b/>
                <w:noProof/>
                <w:sz w:val="18"/>
                <w:szCs w:val="18"/>
              </w:rPr>
            </w:pPr>
            <w:r w:rsidRPr="004C62CD">
              <w:rPr>
                <w:b/>
                <w:noProof/>
                <w:sz w:val="18"/>
                <w:szCs w:val="18"/>
              </w:rPr>
              <w:t>RoHS directive</w:t>
            </w:r>
          </w:p>
        </w:tc>
      </w:tr>
      <w:tr w:rsidR="000A7D9D" w:rsidRPr="00EC1412" w14:paraId="6A982EA4" w14:textId="77777777" w:rsidTr="00F31937">
        <w:tc>
          <w:tcPr>
            <w:tcW w:w="3402" w:type="dxa"/>
            <w:tcBorders>
              <w:top w:val="dotted" w:sz="4" w:space="0" w:color="auto"/>
              <w:left w:val="single" w:sz="4" w:space="0" w:color="auto"/>
              <w:bottom w:val="dotted" w:sz="4" w:space="0" w:color="auto"/>
              <w:right w:val="dotted" w:sz="4" w:space="0" w:color="auto"/>
            </w:tcBorders>
            <w:shd w:val="clear" w:color="auto" w:fill="FFF4CC"/>
          </w:tcPr>
          <w:p w14:paraId="255A073A" w14:textId="77777777" w:rsidR="000A7D9D" w:rsidRPr="00EC1412" w:rsidRDefault="000A7D9D" w:rsidP="000A7D9D">
            <w:pPr>
              <w:pStyle w:val="ListParagraph"/>
              <w:numPr>
                <w:ilvl w:val="0"/>
                <w:numId w:val="15"/>
              </w:numPr>
              <w:ind w:left="471" w:hanging="142"/>
              <w:jc w:val="both"/>
              <w:rPr>
                <w:caps/>
                <w:noProof/>
                <w:sz w:val="18"/>
                <w:szCs w:val="18"/>
              </w:rPr>
            </w:pPr>
            <w:r w:rsidRPr="00EC1412">
              <w:rPr>
                <w:noProof/>
                <w:sz w:val="18"/>
                <w:szCs w:val="18"/>
              </w:rPr>
              <w:t xml:space="preserve">Restriction </w:t>
            </w:r>
          </w:p>
        </w:tc>
        <w:tc>
          <w:tcPr>
            <w:tcW w:w="3261" w:type="dxa"/>
            <w:tcBorders>
              <w:top w:val="dotted" w:sz="4" w:space="0" w:color="auto"/>
              <w:left w:val="dotted" w:sz="4" w:space="0" w:color="auto"/>
              <w:bottom w:val="dotted" w:sz="4" w:space="0" w:color="auto"/>
              <w:right w:val="dotted" w:sz="4" w:space="0" w:color="auto"/>
            </w:tcBorders>
            <w:shd w:val="clear" w:color="auto" w:fill="FFF4CC"/>
          </w:tcPr>
          <w:p w14:paraId="09D3F731" w14:textId="77777777" w:rsidR="000A7D9D" w:rsidRPr="00EC1412" w:rsidRDefault="000A7D9D" w:rsidP="00F31937">
            <w:pPr>
              <w:ind w:left="471"/>
              <w:jc w:val="right"/>
              <w:rPr>
                <w:caps/>
                <w:noProof/>
                <w:sz w:val="18"/>
                <w:szCs w:val="18"/>
              </w:rPr>
            </w:pPr>
            <w:r w:rsidRPr="00EC1412">
              <w:rPr>
                <w:caps/>
                <w:noProof/>
                <w:sz w:val="18"/>
                <w:szCs w:val="18"/>
              </w:rPr>
              <w:t>1</w:t>
            </w:r>
          </w:p>
        </w:tc>
        <w:tc>
          <w:tcPr>
            <w:tcW w:w="2337" w:type="dxa"/>
            <w:tcBorders>
              <w:top w:val="dotted" w:sz="4" w:space="0" w:color="auto"/>
              <w:left w:val="dotted" w:sz="4" w:space="0" w:color="auto"/>
              <w:bottom w:val="dotted" w:sz="4" w:space="0" w:color="auto"/>
              <w:right w:val="single" w:sz="4" w:space="0" w:color="auto"/>
            </w:tcBorders>
            <w:shd w:val="clear" w:color="auto" w:fill="FFF4CC"/>
          </w:tcPr>
          <w:p w14:paraId="23BED258" w14:textId="77777777" w:rsidR="000A7D9D" w:rsidRPr="00EC1412" w:rsidRDefault="000A7D9D" w:rsidP="00F31937">
            <w:pPr>
              <w:ind w:left="471"/>
              <w:jc w:val="right"/>
              <w:rPr>
                <w:caps/>
                <w:noProof/>
                <w:sz w:val="18"/>
                <w:szCs w:val="18"/>
              </w:rPr>
            </w:pPr>
            <w:r w:rsidRPr="00EC1412">
              <w:rPr>
                <w:caps/>
                <w:noProof/>
                <w:sz w:val="18"/>
                <w:szCs w:val="18"/>
              </w:rPr>
              <w:t>1</w:t>
            </w:r>
          </w:p>
        </w:tc>
      </w:tr>
      <w:tr w:rsidR="000A7D9D" w:rsidRPr="00EC1412" w14:paraId="622A9C8A" w14:textId="77777777" w:rsidTr="00F31937">
        <w:tc>
          <w:tcPr>
            <w:tcW w:w="3402" w:type="dxa"/>
            <w:tcBorders>
              <w:top w:val="dotted" w:sz="4" w:space="0" w:color="auto"/>
              <w:left w:val="single" w:sz="4" w:space="0" w:color="auto"/>
              <w:bottom w:val="single" w:sz="4" w:space="0" w:color="auto"/>
              <w:right w:val="dotted" w:sz="4" w:space="0" w:color="auto"/>
            </w:tcBorders>
            <w:shd w:val="clear" w:color="auto" w:fill="FFF4CC"/>
          </w:tcPr>
          <w:p w14:paraId="6B423E04" w14:textId="77777777" w:rsidR="000A7D9D" w:rsidRPr="00EC1412" w:rsidRDefault="000A7D9D" w:rsidP="000A7D9D">
            <w:pPr>
              <w:pStyle w:val="ListParagraph"/>
              <w:numPr>
                <w:ilvl w:val="0"/>
                <w:numId w:val="15"/>
              </w:numPr>
              <w:ind w:left="471" w:hanging="142"/>
              <w:jc w:val="both"/>
              <w:rPr>
                <w:caps/>
                <w:noProof/>
                <w:sz w:val="18"/>
                <w:szCs w:val="18"/>
              </w:rPr>
            </w:pPr>
            <w:r w:rsidRPr="00EC1412">
              <w:rPr>
                <w:noProof/>
                <w:sz w:val="18"/>
                <w:szCs w:val="18"/>
              </w:rPr>
              <w:t xml:space="preserve">Request for exemption </w:t>
            </w:r>
          </w:p>
        </w:tc>
        <w:tc>
          <w:tcPr>
            <w:tcW w:w="3261" w:type="dxa"/>
            <w:tcBorders>
              <w:top w:val="dotted" w:sz="4" w:space="0" w:color="auto"/>
              <w:left w:val="dotted" w:sz="4" w:space="0" w:color="auto"/>
              <w:bottom w:val="single" w:sz="4" w:space="0" w:color="auto"/>
              <w:right w:val="dotted" w:sz="4" w:space="0" w:color="auto"/>
            </w:tcBorders>
            <w:shd w:val="clear" w:color="auto" w:fill="FFF4CC"/>
          </w:tcPr>
          <w:p w14:paraId="675203A1" w14:textId="77777777" w:rsidR="000A7D9D" w:rsidRPr="00EC1412" w:rsidRDefault="000A7D9D" w:rsidP="00F31937">
            <w:pPr>
              <w:ind w:left="471"/>
              <w:jc w:val="right"/>
              <w:rPr>
                <w:caps/>
                <w:noProof/>
                <w:sz w:val="18"/>
                <w:szCs w:val="18"/>
              </w:rPr>
            </w:pPr>
            <w:r w:rsidRPr="00EC1412">
              <w:rPr>
                <w:caps/>
                <w:noProof/>
                <w:sz w:val="18"/>
                <w:szCs w:val="18"/>
              </w:rPr>
              <w:t>3</w:t>
            </w:r>
          </w:p>
        </w:tc>
        <w:tc>
          <w:tcPr>
            <w:tcW w:w="2337" w:type="dxa"/>
            <w:tcBorders>
              <w:top w:val="dotted" w:sz="4" w:space="0" w:color="auto"/>
              <w:left w:val="dotted" w:sz="4" w:space="0" w:color="auto"/>
              <w:bottom w:val="single" w:sz="4" w:space="0" w:color="auto"/>
              <w:right w:val="single" w:sz="4" w:space="0" w:color="auto"/>
            </w:tcBorders>
            <w:shd w:val="clear" w:color="auto" w:fill="FFF4CC"/>
          </w:tcPr>
          <w:p w14:paraId="50623225" w14:textId="77777777" w:rsidR="000A7D9D" w:rsidRPr="00EC1412" w:rsidRDefault="000A7D9D" w:rsidP="00F31937">
            <w:pPr>
              <w:ind w:left="471"/>
              <w:jc w:val="right"/>
              <w:rPr>
                <w:caps/>
                <w:noProof/>
                <w:sz w:val="18"/>
                <w:szCs w:val="18"/>
              </w:rPr>
            </w:pPr>
            <w:r w:rsidRPr="00EC1412">
              <w:rPr>
                <w:noProof/>
                <w:sz w:val="18"/>
                <w:szCs w:val="18"/>
              </w:rPr>
              <w:t>30</w:t>
            </w:r>
          </w:p>
        </w:tc>
      </w:tr>
      <w:tr w:rsidR="000A7D9D" w:rsidRPr="00EC1412" w14:paraId="626E6B0D" w14:textId="77777777" w:rsidTr="00F31937">
        <w:tc>
          <w:tcPr>
            <w:tcW w:w="9000" w:type="dxa"/>
            <w:gridSpan w:val="3"/>
            <w:tcBorders>
              <w:top w:val="single" w:sz="4" w:space="0" w:color="auto"/>
              <w:bottom w:val="dotted" w:sz="4" w:space="0" w:color="auto"/>
            </w:tcBorders>
            <w:shd w:val="clear" w:color="auto" w:fill="C1ECFF"/>
          </w:tcPr>
          <w:p w14:paraId="17C457F1" w14:textId="77777777" w:rsidR="000A7D9D" w:rsidRPr="004C62CD" w:rsidRDefault="000A7D9D" w:rsidP="00F31937">
            <w:pPr>
              <w:rPr>
                <w:b/>
                <w:noProof/>
                <w:sz w:val="18"/>
                <w:szCs w:val="18"/>
              </w:rPr>
            </w:pPr>
            <w:r w:rsidRPr="004C62CD">
              <w:rPr>
                <w:b/>
                <w:noProof/>
                <w:sz w:val="18"/>
                <w:szCs w:val="18"/>
              </w:rPr>
              <w:t>POPs regulation</w:t>
            </w:r>
          </w:p>
        </w:tc>
      </w:tr>
      <w:tr w:rsidR="000A7D9D" w:rsidRPr="00EC1412" w14:paraId="4026619E" w14:textId="77777777" w:rsidTr="00F31937">
        <w:tc>
          <w:tcPr>
            <w:tcW w:w="3402" w:type="dxa"/>
            <w:tcBorders>
              <w:top w:val="dotted" w:sz="4" w:space="0" w:color="auto"/>
              <w:bottom w:val="single" w:sz="4" w:space="0" w:color="auto"/>
              <w:right w:val="dotted" w:sz="4" w:space="0" w:color="auto"/>
            </w:tcBorders>
            <w:shd w:val="clear" w:color="auto" w:fill="C1ECFF"/>
          </w:tcPr>
          <w:p w14:paraId="410DBBE5" w14:textId="77777777" w:rsidR="000A7D9D" w:rsidRPr="00EC1412" w:rsidRDefault="000A7D9D" w:rsidP="000A7D9D">
            <w:pPr>
              <w:pStyle w:val="ListParagraph"/>
              <w:numPr>
                <w:ilvl w:val="0"/>
                <w:numId w:val="15"/>
              </w:numPr>
              <w:ind w:left="471" w:hanging="142"/>
              <w:jc w:val="both"/>
              <w:rPr>
                <w:caps/>
                <w:noProof/>
                <w:sz w:val="18"/>
                <w:szCs w:val="18"/>
              </w:rPr>
            </w:pPr>
            <w:r w:rsidRPr="00EC1412">
              <w:rPr>
                <w:noProof/>
                <w:sz w:val="18"/>
                <w:szCs w:val="18"/>
              </w:rPr>
              <w:t xml:space="preserve">Review of Annexes IV and V </w:t>
            </w:r>
          </w:p>
        </w:tc>
        <w:tc>
          <w:tcPr>
            <w:tcW w:w="3261" w:type="dxa"/>
            <w:tcBorders>
              <w:top w:val="dotted" w:sz="4" w:space="0" w:color="auto"/>
              <w:left w:val="dotted" w:sz="4" w:space="0" w:color="auto"/>
              <w:bottom w:val="single" w:sz="4" w:space="0" w:color="auto"/>
              <w:right w:val="dotted" w:sz="4" w:space="0" w:color="auto"/>
            </w:tcBorders>
            <w:shd w:val="clear" w:color="auto" w:fill="C1ECFF"/>
          </w:tcPr>
          <w:p w14:paraId="46EE28CB" w14:textId="77777777" w:rsidR="000A7D9D" w:rsidRPr="00EC1412" w:rsidRDefault="000A7D9D" w:rsidP="00F31937">
            <w:pPr>
              <w:ind w:left="471"/>
              <w:jc w:val="right"/>
              <w:rPr>
                <w:caps/>
                <w:noProof/>
                <w:sz w:val="18"/>
                <w:szCs w:val="18"/>
              </w:rPr>
            </w:pPr>
            <w:r w:rsidRPr="00EC1412">
              <w:rPr>
                <w:caps/>
                <w:noProof/>
                <w:sz w:val="18"/>
                <w:szCs w:val="18"/>
              </w:rPr>
              <w:t>-</w:t>
            </w:r>
          </w:p>
        </w:tc>
        <w:tc>
          <w:tcPr>
            <w:tcW w:w="2337" w:type="dxa"/>
            <w:tcBorders>
              <w:top w:val="dotted" w:sz="4" w:space="0" w:color="auto"/>
              <w:left w:val="dotted" w:sz="4" w:space="0" w:color="auto"/>
              <w:bottom w:val="single" w:sz="4" w:space="0" w:color="auto"/>
            </w:tcBorders>
            <w:shd w:val="clear" w:color="auto" w:fill="C1ECFF"/>
          </w:tcPr>
          <w:p w14:paraId="399FBD1A" w14:textId="77777777" w:rsidR="000A7D9D" w:rsidRPr="00EC1412" w:rsidRDefault="000A7D9D" w:rsidP="00F31937">
            <w:pPr>
              <w:ind w:left="471"/>
              <w:jc w:val="right"/>
              <w:rPr>
                <w:caps/>
                <w:noProof/>
                <w:sz w:val="18"/>
                <w:szCs w:val="18"/>
              </w:rPr>
            </w:pPr>
            <w:r w:rsidRPr="00EC1412">
              <w:rPr>
                <w:caps/>
                <w:noProof/>
                <w:sz w:val="18"/>
                <w:szCs w:val="18"/>
              </w:rPr>
              <w:t>2</w:t>
            </w:r>
          </w:p>
        </w:tc>
      </w:tr>
      <w:tr w:rsidR="000A7D9D" w:rsidRPr="00EC1412" w14:paraId="2B59F188" w14:textId="77777777" w:rsidTr="00F31937">
        <w:tc>
          <w:tcPr>
            <w:tcW w:w="3402" w:type="dxa"/>
            <w:tcBorders>
              <w:top w:val="single" w:sz="4" w:space="0" w:color="auto"/>
              <w:right w:val="dotted" w:sz="4" w:space="0" w:color="auto"/>
            </w:tcBorders>
            <w:shd w:val="clear" w:color="auto" w:fill="BFBFBF" w:themeFill="background1" w:themeFillShade="BF"/>
          </w:tcPr>
          <w:p w14:paraId="1B7BB5B4" w14:textId="77777777" w:rsidR="000A7D9D" w:rsidRPr="00EC1412" w:rsidRDefault="000A7D9D" w:rsidP="00F31937">
            <w:pPr>
              <w:jc w:val="both"/>
              <w:rPr>
                <w:b/>
                <w:caps/>
                <w:noProof/>
                <w:sz w:val="18"/>
                <w:szCs w:val="18"/>
              </w:rPr>
            </w:pPr>
            <w:r w:rsidRPr="00EC1412">
              <w:rPr>
                <w:b/>
                <w:caps/>
                <w:noProof/>
                <w:sz w:val="18"/>
                <w:szCs w:val="18"/>
              </w:rPr>
              <w:t>SUm</w:t>
            </w:r>
          </w:p>
        </w:tc>
        <w:tc>
          <w:tcPr>
            <w:tcW w:w="3261" w:type="dxa"/>
            <w:tcBorders>
              <w:top w:val="single" w:sz="4" w:space="0" w:color="auto"/>
              <w:left w:val="dotted" w:sz="4" w:space="0" w:color="auto"/>
              <w:right w:val="dotted" w:sz="4" w:space="0" w:color="auto"/>
            </w:tcBorders>
            <w:shd w:val="clear" w:color="auto" w:fill="BFBFBF" w:themeFill="background1" w:themeFillShade="BF"/>
          </w:tcPr>
          <w:p w14:paraId="73F682EB" w14:textId="77777777" w:rsidR="000A7D9D" w:rsidRPr="00EC1412" w:rsidRDefault="000A7D9D" w:rsidP="00F31937">
            <w:pPr>
              <w:ind w:left="471"/>
              <w:jc w:val="right"/>
              <w:rPr>
                <w:b/>
                <w:caps/>
                <w:noProof/>
                <w:sz w:val="18"/>
                <w:szCs w:val="18"/>
              </w:rPr>
            </w:pPr>
            <w:r w:rsidRPr="00EC1412">
              <w:rPr>
                <w:b/>
                <w:caps/>
                <w:noProof/>
                <w:sz w:val="18"/>
                <w:szCs w:val="18"/>
              </w:rPr>
              <w:t xml:space="preserve">4 </w:t>
            </w:r>
          </w:p>
        </w:tc>
        <w:tc>
          <w:tcPr>
            <w:tcW w:w="2337" w:type="dxa"/>
            <w:tcBorders>
              <w:top w:val="single" w:sz="4" w:space="0" w:color="auto"/>
              <w:left w:val="dotted" w:sz="4" w:space="0" w:color="auto"/>
            </w:tcBorders>
            <w:shd w:val="clear" w:color="auto" w:fill="BFBFBF" w:themeFill="background1" w:themeFillShade="BF"/>
          </w:tcPr>
          <w:p w14:paraId="53096AFB" w14:textId="77777777" w:rsidR="000A7D9D" w:rsidRPr="00EC1412" w:rsidRDefault="000A7D9D" w:rsidP="00F31937">
            <w:pPr>
              <w:ind w:left="471"/>
              <w:jc w:val="right"/>
              <w:rPr>
                <w:b/>
                <w:caps/>
                <w:noProof/>
                <w:sz w:val="18"/>
                <w:szCs w:val="18"/>
              </w:rPr>
            </w:pPr>
            <w:r w:rsidRPr="00EC1412">
              <w:rPr>
                <w:b/>
                <w:caps/>
                <w:noProof/>
                <w:sz w:val="18"/>
                <w:szCs w:val="18"/>
              </w:rPr>
              <w:t>33</w:t>
            </w:r>
          </w:p>
        </w:tc>
      </w:tr>
    </w:tbl>
    <w:p w14:paraId="3493B9C9" w14:textId="77777777" w:rsidR="000A7D9D" w:rsidRPr="00EC1412" w:rsidRDefault="000A7D9D" w:rsidP="000A7D9D">
      <w:pPr>
        <w:jc w:val="both"/>
        <w:rPr>
          <w:rFonts w:ascii="Times New Roman" w:hAnsi="Times New Roman" w:cs="Times New Roman"/>
          <w:caps/>
          <w:noProof/>
        </w:rPr>
      </w:pPr>
    </w:p>
    <w:p w14:paraId="224B2385" w14:textId="77777777" w:rsidR="000A7D9D" w:rsidRPr="00CB3F79" w:rsidRDefault="000A7D9D" w:rsidP="000A7D9D">
      <w:pPr>
        <w:pStyle w:val="Heading1"/>
        <w:keepLines w:val="0"/>
        <w:widowControl/>
        <w:numPr>
          <w:ilvl w:val="0"/>
          <w:numId w:val="7"/>
        </w:numPr>
        <w:tabs>
          <w:tab w:val="num" w:pos="480"/>
        </w:tabs>
        <w:snapToGrid/>
        <w:spacing w:before="240"/>
        <w:ind w:left="480" w:hanging="480"/>
        <w:jc w:val="both"/>
        <w:rPr>
          <w:rFonts w:ascii="Times New Roman" w:hAnsi="Times New Roman"/>
          <w:smallCaps/>
          <w:noProof/>
          <w:color w:val="auto"/>
          <w:sz w:val="24"/>
          <w:lang w:eastAsia="en-US"/>
        </w:rPr>
      </w:pPr>
      <w:bookmarkStart w:id="12" w:name="_Toc150499898"/>
      <w:r w:rsidRPr="2D69C30E">
        <w:rPr>
          <w:rFonts w:ascii="Times New Roman" w:hAnsi="Times New Roman"/>
          <w:smallCaps/>
          <w:noProof/>
          <w:color w:val="auto"/>
          <w:sz w:val="24"/>
          <w:lang w:eastAsia="en-US"/>
        </w:rPr>
        <w:t>Impact of the legislative proposal for a regulation establishing a common data platform and a monitoring and outlook framework for chemicals</w:t>
      </w:r>
      <w:bookmarkEnd w:id="12"/>
      <w:r w:rsidRPr="2D69C30E">
        <w:rPr>
          <w:rFonts w:ascii="Times New Roman" w:hAnsi="Times New Roman"/>
          <w:smallCaps/>
          <w:noProof/>
          <w:color w:val="auto"/>
          <w:sz w:val="24"/>
          <w:lang w:eastAsia="en-US"/>
        </w:rPr>
        <w:t xml:space="preserve"> </w:t>
      </w:r>
    </w:p>
    <w:p w14:paraId="379E7471" w14:textId="77777777" w:rsidR="000A7D9D" w:rsidRPr="00D04E9B" w:rsidRDefault="000A7D9D" w:rsidP="000A7D9D">
      <w:pPr>
        <w:spacing w:before="240" w:after="120"/>
        <w:jc w:val="both"/>
        <w:rPr>
          <w:rFonts w:ascii="Times New Roman" w:eastAsia="Times New Roman" w:hAnsi="Times New Roman" w:cs="Times New Roman"/>
          <w:i/>
          <w:noProof/>
          <w:color w:val="000000" w:themeColor="text1"/>
        </w:rPr>
      </w:pPr>
      <w:r w:rsidRPr="00D04E9B">
        <w:rPr>
          <w:rFonts w:ascii="Times New Roman" w:eastAsia="Times New Roman" w:hAnsi="Times New Roman" w:cs="Times New Roman"/>
          <w:i/>
          <w:noProof/>
          <w:color w:val="000000" w:themeColor="text1"/>
        </w:rPr>
        <w:t>O</w:t>
      </w:r>
      <w:r>
        <w:rPr>
          <w:rFonts w:ascii="Times New Roman" w:eastAsia="Times New Roman" w:hAnsi="Times New Roman" w:cs="Times New Roman"/>
          <w:i/>
          <w:noProof/>
          <w:color w:val="000000" w:themeColor="text1"/>
        </w:rPr>
        <w:t>verall impact</w:t>
      </w:r>
    </w:p>
    <w:p w14:paraId="54E5E5B2" w14:textId="77777777" w:rsidR="000A7D9D" w:rsidRPr="004C62CD" w:rsidRDefault="000A7D9D" w:rsidP="000A7D9D">
      <w:pPr>
        <w:spacing w:after="120"/>
        <w:jc w:val="both"/>
        <w:rPr>
          <w:rFonts w:ascii="Times New Roman" w:eastAsia="Times New Roman" w:hAnsi="Times New Roman" w:cs="Times New Roman"/>
          <w:noProof/>
          <w:color w:val="000000" w:themeColor="text1"/>
        </w:rPr>
      </w:pPr>
      <w:r w:rsidRPr="004C62CD">
        <w:rPr>
          <w:rFonts w:ascii="Times New Roman" w:eastAsia="Times New Roman" w:hAnsi="Times New Roman" w:cs="Times New Roman"/>
          <w:noProof/>
          <w:color w:val="000000" w:themeColor="text1"/>
        </w:rPr>
        <w:t>Overall, this proposal is expected to contribute to an improvement of the efficiency, coherence, quality and transparency of chemicals assessments under EU legislation as well as to the early identification of emerging chemicals risks. It will therefore improve the protection of human health and the environment from chemicals, for the benefit of Member State authorities, stakeholders and citizens. In addition, the initiative simplifies access to chemicals information for everyone (citizens, industry, national authorities, EU agencies, the Commission) thus increasing transparency. Moreover, it will improve predictability and thus the possibility for the industry, national authorities and EU agencies to plan – and where relevant coordinate – their activities:</w:t>
      </w:r>
    </w:p>
    <w:p w14:paraId="12A9C4EB" w14:textId="77777777" w:rsidR="000A7D9D" w:rsidRDefault="000A7D9D" w:rsidP="000A7D9D">
      <w:pPr>
        <w:pStyle w:val="ListParagraph"/>
        <w:numPr>
          <w:ilvl w:val="0"/>
          <w:numId w:val="6"/>
        </w:numPr>
        <w:spacing w:line="259" w:lineRule="auto"/>
        <w:jc w:val="both"/>
        <w:rPr>
          <w:noProof/>
          <w:color w:val="000000" w:themeColor="text1"/>
        </w:rPr>
      </w:pPr>
      <w:r w:rsidRPr="2D69C30E">
        <w:rPr>
          <w:noProof/>
          <w:color w:val="000000" w:themeColor="text1"/>
          <w:sz w:val="22"/>
          <w:szCs w:val="22"/>
        </w:rPr>
        <w:t xml:space="preserve">Bringing together chemicals data in one common data platform will increase findability and simplify access, which is beneficial for all users. The platform will operationalise the ambition of the one-substance one-assessment approach, supporting quality and mutual coherence of chemicals assessments. The use of standard formats and controlled vocabularies will enhance interoperability of information, thus increasing its findability. In addition, information across regulatory dossiers will be easier to compare. An increased findability and comparability will in turn reduce administrative burden for risk assessors, which include national administrations, and have a positive impact on the effectiveness, efficiency and coherence of chemical safety assessments.  </w:t>
      </w:r>
    </w:p>
    <w:p w14:paraId="15F42A64" w14:textId="77777777" w:rsidR="000A7D9D" w:rsidRDefault="000A7D9D" w:rsidP="000A7D9D">
      <w:pPr>
        <w:pStyle w:val="ListParagraph"/>
        <w:numPr>
          <w:ilvl w:val="0"/>
          <w:numId w:val="6"/>
        </w:numPr>
        <w:spacing w:line="259" w:lineRule="auto"/>
        <w:jc w:val="both"/>
        <w:rPr>
          <w:noProof/>
          <w:color w:val="000000" w:themeColor="text1"/>
        </w:rPr>
      </w:pPr>
      <w:r w:rsidRPr="2D69C30E">
        <w:rPr>
          <w:noProof/>
          <w:color w:val="000000" w:themeColor="text1"/>
          <w:sz w:val="22"/>
          <w:szCs w:val="22"/>
        </w:rPr>
        <w:t>T</w:t>
      </w:r>
      <w:r>
        <w:rPr>
          <w:noProof/>
          <w:color w:val="000000" w:themeColor="text1"/>
          <w:sz w:val="22"/>
          <w:szCs w:val="22"/>
        </w:rPr>
        <w:t>h</w:t>
      </w:r>
      <w:r w:rsidRPr="2D69C30E">
        <w:rPr>
          <w:noProof/>
          <w:color w:val="000000" w:themeColor="text1"/>
          <w:sz w:val="22"/>
          <w:szCs w:val="22"/>
        </w:rPr>
        <w:t xml:space="preserve">rough the extended utility of shared information in the common data platform, this proposal will help minimise potential duplication of efforts and optimise data generation strategies. With an increased volume and transparency of data on chemical properties and supported by adequate context data that enables the responsible use of that chemicals data, compliance with and enforcement of existing obligations should be facilitated. </w:t>
      </w:r>
    </w:p>
    <w:p w14:paraId="530AE896" w14:textId="77777777" w:rsidR="000A7D9D" w:rsidRDefault="000A7D9D" w:rsidP="000A7D9D">
      <w:pPr>
        <w:pStyle w:val="ListParagraph"/>
        <w:numPr>
          <w:ilvl w:val="0"/>
          <w:numId w:val="6"/>
        </w:numPr>
        <w:spacing w:line="259" w:lineRule="auto"/>
        <w:jc w:val="both"/>
        <w:rPr>
          <w:noProof/>
          <w:color w:val="000000" w:themeColor="text1"/>
        </w:rPr>
      </w:pPr>
      <w:r w:rsidRPr="2D69C30E">
        <w:rPr>
          <w:noProof/>
          <w:color w:val="000000" w:themeColor="text1"/>
          <w:sz w:val="22"/>
          <w:szCs w:val="22"/>
        </w:rPr>
        <w:t>Building on integrated access and services the common data platform is expected to provide additional insight into effective risk management measures and to facilitate the search for safe and sustainable alternatives, leading to improvements in the protection of human health and the environment.</w:t>
      </w:r>
    </w:p>
    <w:p w14:paraId="6489AD6A" w14:textId="77777777" w:rsidR="000A7D9D" w:rsidRDefault="000A7D9D" w:rsidP="000A7D9D">
      <w:pPr>
        <w:pStyle w:val="ListParagraph"/>
        <w:numPr>
          <w:ilvl w:val="0"/>
          <w:numId w:val="6"/>
        </w:numPr>
        <w:spacing w:line="259" w:lineRule="auto"/>
        <w:jc w:val="both"/>
        <w:rPr>
          <w:noProof/>
          <w:color w:val="000000" w:themeColor="text1"/>
        </w:rPr>
      </w:pPr>
      <w:r w:rsidRPr="2D69C30E">
        <w:rPr>
          <w:noProof/>
          <w:color w:val="000000" w:themeColor="text1"/>
          <w:sz w:val="22"/>
          <w:szCs w:val="22"/>
        </w:rPr>
        <w:t xml:space="preserve">Bringing together chemicals data and being allowed to use it will increase the knowledge base for scientific assessments and opinions, thus improving their robustness. This will in turn increase the acceptance by society of conclusions and regulatory decisions. Knowing through the notification of studies that all studies have been considered in an assessment further strengthens the trust of citizens in regulatory decisions.  </w:t>
      </w:r>
    </w:p>
    <w:p w14:paraId="10CE9D11" w14:textId="77777777" w:rsidR="000A7D9D" w:rsidRDefault="000A7D9D" w:rsidP="000A7D9D">
      <w:pPr>
        <w:pStyle w:val="ListParagraph"/>
        <w:numPr>
          <w:ilvl w:val="0"/>
          <w:numId w:val="6"/>
        </w:numPr>
        <w:spacing w:line="259" w:lineRule="auto"/>
        <w:jc w:val="both"/>
        <w:rPr>
          <w:noProof/>
          <w:color w:val="000000" w:themeColor="text1"/>
        </w:rPr>
      </w:pPr>
      <w:r w:rsidRPr="2D69C30E">
        <w:rPr>
          <w:noProof/>
          <w:color w:val="000000" w:themeColor="text1"/>
          <w:sz w:val="22"/>
          <w:szCs w:val="22"/>
        </w:rPr>
        <w:t>A dedicated service in the common data platform related to information on regulatory processes planned or ongoing by the Commission, EU agencies and Member States will improve the coordination of activities, which in turn will allow better planning for the authorities and agencies involved, thus increasing efficiency. That information will also allow better predictability and planning for industry, facilitating receipt of comprehensive but also consistent input to the activities, where required. It will be easier for industry but also other stakeholders to know when and how to contribute to regulatory processes.</w:t>
      </w:r>
    </w:p>
    <w:p w14:paraId="616C5BAE" w14:textId="77777777" w:rsidR="000A7D9D" w:rsidRDefault="000A7D9D" w:rsidP="000A7D9D">
      <w:pPr>
        <w:pStyle w:val="ListParagraph"/>
        <w:numPr>
          <w:ilvl w:val="0"/>
          <w:numId w:val="6"/>
        </w:numPr>
        <w:spacing w:line="259" w:lineRule="auto"/>
        <w:jc w:val="both"/>
        <w:rPr>
          <w:noProof/>
          <w:color w:val="000000" w:themeColor="text1"/>
        </w:rPr>
      </w:pPr>
      <w:r w:rsidRPr="2D69C30E">
        <w:rPr>
          <w:noProof/>
          <w:color w:val="000000" w:themeColor="text1"/>
          <w:sz w:val="22"/>
          <w:szCs w:val="22"/>
        </w:rPr>
        <w:t>A dedicated service in the common data platform related to obligations under EU legal acts on chemicals will be very valuable for industry, and in particular for SMEs and microenterprises, to easily get an overview of their legal obligations, which will give them certainty on what exactly their duties are. Acting with such full knowledge in turn supports compliance and correspondingly reduces burden on national authorities.</w:t>
      </w:r>
    </w:p>
    <w:p w14:paraId="15061F7E" w14:textId="77777777" w:rsidR="000A7D9D" w:rsidRDefault="000A7D9D" w:rsidP="000A7D9D">
      <w:pPr>
        <w:pStyle w:val="ListParagraph"/>
        <w:numPr>
          <w:ilvl w:val="0"/>
          <w:numId w:val="6"/>
        </w:numPr>
        <w:spacing w:line="259" w:lineRule="auto"/>
        <w:jc w:val="both"/>
        <w:rPr>
          <w:noProof/>
          <w:color w:val="000000" w:themeColor="text1"/>
        </w:rPr>
      </w:pPr>
      <w:r w:rsidRPr="2D69C30E">
        <w:rPr>
          <w:noProof/>
          <w:color w:val="000000" w:themeColor="text1"/>
          <w:sz w:val="22"/>
          <w:szCs w:val="22"/>
        </w:rPr>
        <w:t>The establishment of a monitoring and outlook framework including an early warning and action system for emerging chemical risks will allow to shorten the reaction time between early signals of risks and regulatory measures to reduce those rusks, and as such will lead to an improved protection of human health and the environment.</w:t>
      </w:r>
    </w:p>
    <w:p w14:paraId="26F2F33A" w14:textId="77777777" w:rsidR="000A7D9D" w:rsidRDefault="000A7D9D" w:rsidP="000A7D9D">
      <w:pPr>
        <w:pStyle w:val="ListParagraph"/>
        <w:numPr>
          <w:ilvl w:val="0"/>
          <w:numId w:val="6"/>
        </w:numPr>
        <w:spacing w:line="259" w:lineRule="auto"/>
        <w:jc w:val="both"/>
        <w:rPr>
          <w:noProof/>
          <w:color w:val="000000" w:themeColor="text1"/>
        </w:rPr>
      </w:pPr>
      <w:r w:rsidRPr="2D69C30E">
        <w:rPr>
          <w:noProof/>
          <w:color w:val="000000" w:themeColor="text1"/>
          <w:sz w:val="22"/>
          <w:szCs w:val="22"/>
        </w:rPr>
        <w:t>The establishment of a data generation mechanism allows the commissioning of studies when there are no legal provisions to obtain them. This will contribute to the creation of a complete knowledge base.</w:t>
      </w:r>
    </w:p>
    <w:p w14:paraId="5169B25D" w14:textId="77777777" w:rsidR="000A7D9D" w:rsidRPr="004C62CD" w:rsidRDefault="000A7D9D" w:rsidP="000A7D9D">
      <w:pPr>
        <w:spacing w:before="120" w:after="240"/>
        <w:jc w:val="both"/>
        <w:rPr>
          <w:rFonts w:ascii="Times New Roman" w:eastAsia="Times New Roman" w:hAnsi="Times New Roman" w:cs="Times New Roman"/>
          <w:noProof/>
          <w:color w:val="000000" w:themeColor="text1"/>
        </w:rPr>
      </w:pPr>
      <w:r w:rsidRPr="004C62CD">
        <w:rPr>
          <w:rFonts w:ascii="Times New Roman" w:eastAsia="Times New Roman" w:hAnsi="Times New Roman" w:cs="Times New Roman"/>
          <w:noProof/>
          <w:color w:val="000000" w:themeColor="text1"/>
          <w:lang w:val="en-US"/>
        </w:rPr>
        <w:t xml:space="preserve">The establishment and operation of the platform will not impose any costs on industry. Economic operators will continue to have to fulfil their legal obligations as they are doing today under the relevant specific pieces of legislation. </w:t>
      </w:r>
      <w:r w:rsidRPr="004C62CD">
        <w:rPr>
          <w:rFonts w:ascii="Times New Roman" w:eastAsia="Times New Roman" w:hAnsi="Times New Roman" w:cs="Times New Roman"/>
          <w:noProof/>
          <w:color w:val="000000" w:themeColor="text1"/>
        </w:rPr>
        <w:t>Economic operators and laboratories will experience some administrative burden linked to the requirement to submit a notification when a study is intended to be commissioned or carried out. Quantified costs associated with the notification obligation are set out in the staff working document accompanying this proposal</w:t>
      </w:r>
      <w:r>
        <w:rPr>
          <w:rStyle w:val="FootnoteReference"/>
          <w:rFonts w:ascii="Times New Roman" w:hAnsi="Times New Roman" w:cs="Times New Roman"/>
          <w:noProof/>
          <w:color w:val="000000" w:themeColor="text1"/>
        </w:rPr>
        <w:footnoteReference w:id="45"/>
      </w:r>
      <w:r w:rsidRPr="004C62CD">
        <w:rPr>
          <w:rFonts w:ascii="Times New Roman" w:eastAsia="Times New Roman" w:hAnsi="Times New Roman" w:cs="Times New Roman"/>
          <w:noProof/>
          <w:color w:val="000000" w:themeColor="text1"/>
        </w:rPr>
        <w:t>.</w:t>
      </w:r>
    </w:p>
    <w:p w14:paraId="5EEC7FC3" w14:textId="77777777" w:rsidR="000A7D9D" w:rsidRPr="004C62CD" w:rsidRDefault="000A7D9D" w:rsidP="000A7D9D">
      <w:pPr>
        <w:spacing w:before="120" w:after="240"/>
        <w:jc w:val="both"/>
        <w:rPr>
          <w:rFonts w:ascii="Times New Roman" w:eastAsia="Times New Roman" w:hAnsi="Times New Roman" w:cs="Times New Roman"/>
          <w:noProof/>
          <w:color w:val="000000" w:themeColor="text1"/>
        </w:rPr>
      </w:pPr>
      <w:r w:rsidRPr="004C62CD">
        <w:rPr>
          <w:rFonts w:ascii="Times New Roman" w:eastAsia="Times New Roman" w:hAnsi="Times New Roman" w:cs="Times New Roman"/>
          <w:noProof/>
          <w:color w:val="000000" w:themeColor="text1"/>
          <w:lang w:val="en-US"/>
        </w:rPr>
        <w:t xml:space="preserve">The establishment of the platform will be associated with significant costs for the EU agencies, but they should principally be seen as investment in technical progress within the data economy, enhancing the value of existing and future data. The task requires investment in entirely new data structures and IT systems/capabilities, principally on the ECHA’s side, but also on the side of other EU agencies as data source owners who are to prepare datasets for integration in the platform. </w:t>
      </w:r>
    </w:p>
    <w:p w14:paraId="31EE3DD9"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Impact on resources</w:t>
      </w:r>
      <w:r>
        <w:rPr>
          <w:rFonts w:ascii="Times New Roman" w:hAnsi="Times New Roman" w:cs="Times New Roman"/>
          <w:i/>
          <w:noProof/>
        </w:rPr>
        <w:t xml:space="preserve"> of Agencies and the Commission</w:t>
      </w:r>
    </w:p>
    <w:p w14:paraId="1BC777CA" w14:textId="77777777" w:rsidR="000A7D9D" w:rsidRPr="00EC1412" w:rsidRDefault="000A7D9D" w:rsidP="000A7D9D">
      <w:pPr>
        <w:spacing w:after="120"/>
        <w:jc w:val="both"/>
        <w:rPr>
          <w:rFonts w:ascii="Times New Roman" w:hAnsi="Times New Roman" w:cs="Times New Roman"/>
          <w:noProof/>
        </w:rPr>
      </w:pPr>
      <w:r w:rsidRPr="2FCD3695">
        <w:rPr>
          <w:rFonts w:ascii="Times New Roman" w:hAnsi="Times New Roman" w:cs="Times New Roman"/>
          <w:noProof/>
        </w:rPr>
        <w:t>The legislative proposal for a regulation establishing a common data platform and a monitoring and outlook framework for chemicals consists of 10 distinct activities that will have an impact on the resource needs of ECHA, EEA, EFSA</w:t>
      </w:r>
      <w:r>
        <w:rPr>
          <w:rFonts w:ascii="Times New Roman" w:hAnsi="Times New Roman" w:cs="Times New Roman"/>
          <w:noProof/>
        </w:rPr>
        <w:t xml:space="preserve">, </w:t>
      </w:r>
      <w:r w:rsidRPr="2FCD3695">
        <w:rPr>
          <w:rFonts w:ascii="Times New Roman" w:hAnsi="Times New Roman" w:cs="Times New Roman"/>
          <w:noProof/>
        </w:rPr>
        <w:t>EMA</w:t>
      </w:r>
      <w:r>
        <w:rPr>
          <w:rFonts w:ascii="Times New Roman" w:hAnsi="Times New Roman" w:cs="Times New Roman"/>
          <w:noProof/>
        </w:rPr>
        <w:t xml:space="preserve"> and the Commission</w:t>
      </w:r>
      <w:r w:rsidRPr="2FCD3695">
        <w:rPr>
          <w:rFonts w:ascii="Times New Roman" w:hAnsi="Times New Roman" w:cs="Times New Roman"/>
          <w:noProof/>
        </w:rPr>
        <w:t xml:space="preserve">. The first three years there will be a need for up to </w:t>
      </w:r>
      <w:r w:rsidRPr="2FCD3695">
        <w:rPr>
          <w:rFonts w:ascii="Times New Roman" w:hAnsi="Times New Roman" w:cs="Times New Roman"/>
          <w:b/>
          <w:bCs/>
          <w:noProof/>
        </w:rPr>
        <w:t>3</w:t>
      </w:r>
      <w:r>
        <w:rPr>
          <w:rFonts w:ascii="Times New Roman" w:hAnsi="Times New Roman" w:cs="Times New Roman"/>
          <w:b/>
          <w:bCs/>
          <w:noProof/>
        </w:rPr>
        <w:t>2</w:t>
      </w:r>
      <w:r w:rsidRPr="2FCD3695">
        <w:rPr>
          <w:rFonts w:ascii="Times New Roman" w:hAnsi="Times New Roman" w:cs="Times New Roman"/>
          <w:b/>
          <w:bCs/>
          <w:noProof/>
        </w:rPr>
        <w:t xml:space="preserve"> FTEs (1</w:t>
      </w:r>
      <w:r>
        <w:rPr>
          <w:rFonts w:ascii="Times New Roman" w:hAnsi="Times New Roman" w:cs="Times New Roman"/>
          <w:b/>
          <w:bCs/>
          <w:noProof/>
        </w:rPr>
        <w:t>2</w:t>
      </w:r>
      <w:r w:rsidRPr="2FCD3695">
        <w:rPr>
          <w:rFonts w:ascii="Times New Roman" w:hAnsi="Times New Roman" w:cs="Times New Roman"/>
          <w:b/>
          <w:bCs/>
          <w:noProof/>
        </w:rPr>
        <w:t xml:space="preserve"> TA + </w:t>
      </w:r>
      <w:r>
        <w:rPr>
          <w:rFonts w:ascii="Times New Roman" w:hAnsi="Times New Roman" w:cs="Times New Roman"/>
          <w:b/>
          <w:bCs/>
          <w:noProof/>
        </w:rPr>
        <w:t>20</w:t>
      </w:r>
      <w:r w:rsidRPr="2FCD3695">
        <w:rPr>
          <w:rFonts w:ascii="Times New Roman" w:hAnsi="Times New Roman" w:cs="Times New Roman"/>
          <w:b/>
          <w:bCs/>
          <w:noProof/>
        </w:rPr>
        <w:t xml:space="preserve"> CA)</w:t>
      </w:r>
      <w:r w:rsidRPr="2FCD3695">
        <w:rPr>
          <w:rFonts w:ascii="Times New Roman" w:hAnsi="Times New Roman" w:cs="Times New Roman"/>
          <w:noProof/>
        </w:rPr>
        <w:t xml:space="preserve"> </w:t>
      </w:r>
      <w:r w:rsidRPr="2FCD3695">
        <w:rPr>
          <w:rFonts w:ascii="Times New Roman" w:hAnsi="Times New Roman" w:cs="Times New Roman"/>
          <w:b/>
          <w:bCs/>
          <w:noProof/>
        </w:rPr>
        <w:t>per year</w:t>
      </w:r>
      <w:r w:rsidRPr="2FCD3695">
        <w:rPr>
          <w:rFonts w:ascii="Times New Roman" w:hAnsi="Times New Roman" w:cs="Times New Roman"/>
          <w:noProof/>
        </w:rPr>
        <w:t xml:space="preserve"> and an operational budget of up to </w:t>
      </w:r>
      <w:r w:rsidRPr="00CF4A72">
        <w:rPr>
          <w:rFonts w:ascii="Times New Roman" w:hAnsi="Times New Roman" w:cs="Times New Roman"/>
          <w:b/>
          <w:noProof/>
        </w:rPr>
        <w:t xml:space="preserve">EUR </w:t>
      </w:r>
      <w:r w:rsidRPr="2FCD3695">
        <w:rPr>
          <w:rFonts w:ascii="Times New Roman" w:hAnsi="Times New Roman" w:cs="Times New Roman"/>
          <w:b/>
          <w:bCs/>
          <w:noProof/>
        </w:rPr>
        <w:t>8</w:t>
      </w:r>
      <w:r>
        <w:rPr>
          <w:rFonts w:ascii="Times New Roman" w:hAnsi="Times New Roman" w:cs="Times New Roman"/>
          <w:b/>
          <w:bCs/>
          <w:noProof/>
        </w:rPr>
        <w:t xml:space="preserve"> </w:t>
      </w:r>
      <w:r w:rsidRPr="00EA1B93">
        <w:rPr>
          <w:rFonts w:ascii="Times New Roman" w:hAnsi="Times New Roman" w:cs="Times New Roman"/>
          <w:b/>
          <w:bCs/>
          <w:noProof/>
        </w:rPr>
        <w:t>657</w:t>
      </w:r>
      <w:r w:rsidRPr="2FCD3695">
        <w:rPr>
          <w:rFonts w:ascii="Times New Roman" w:hAnsi="Times New Roman" w:cs="Times New Roman"/>
          <w:b/>
          <w:bCs/>
          <w:noProof/>
        </w:rPr>
        <w:t xml:space="preserve"> </w:t>
      </w:r>
      <w:r>
        <w:rPr>
          <w:rFonts w:ascii="Times New Roman" w:hAnsi="Times New Roman" w:cs="Times New Roman"/>
          <w:b/>
          <w:bCs/>
          <w:noProof/>
        </w:rPr>
        <w:t>000</w:t>
      </w:r>
      <w:r w:rsidRPr="2FCD3695">
        <w:rPr>
          <w:rFonts w:ascii="Times New Roman" w:hAnsi="Times New Roman" w:cs="Times New Roman"/>
          <w:b/>
          <w:bCs/>
          <w:noProof/>
        </w:rPr>
        <w:t xml:space="preserve"> per year</w:t>
      </w:r>
      <w:r w:rsidRPr="2FCD3695">
        <w:rPr>
          <w:rFonts w:ascii="Times New Roman" w:hAnsi="Times New Roman" w:cs="Times New Roman"/>
          <w:noProof/>
        </w:rPr>
        <w:t xml:space="preserve">. In the fourth year and beyond, there will be a need of </w:t>
      </w:r>
      <w:r w:rsidRPr="00925CD7">
        <w:rPr>
          <w:rFonts w:ascii="Times New Roman" w:hAnsi="Times New Roman" w:cs="Times New Roman"/>
          <w:b/>
          <w:bCs/>
          <w:noProof/>
        </w:rPr>
        <w:t>20</w:t>
      </w:r>
      <w:r w:rsidRPr="2FCD3695">
        <w:rPr>
          <w:rFonts w:ascii="Times New Roman" w:hAnsi="Times New Roman" w:cs="Times New Roman"/>
          <w:b/>
          <w:bCs/>
          <w:noProof/>
        </w:rPr>
        <w:t xml:space="preserve"> FTEs (12 TAs and </w:t>
      </w:r>
      <w:r w:rsidRPr="00925CD7">
        <w:rPr>
          <w:rFonts w:ascii="Times New Roman" w:hAnsi="Times New Roman" w:cs="Times New Roman"/>
          <w:b/>
          <w:bCs/>
          <w:noProof/>
        </w:rPr>
        <w:t>8</w:t>
      </w:r>
      <w:r w:rsidRPr="2FCD3695">
        <w:rPr>
          <w:rFonts w:ascii="Times New Roman" w:hAnsi="Times New Roman" w:cs="Times New Roman"/>
          <w:b/>
          <w:bCs/>
          <w:noProof/>
        </w:rPr>
        <w:t xml:space="preserve"> CA)</w:t>
      </w:r>
      <w:r w:rsidRPr="2FCD3695">
        <w:rPr>
          <w:rFonts w:ascii="Times New Roman" w:hAnsi="Times New Roman" w:cs="Times New Roman"/>
          <w:noProof/>
        </w:rPr>
        <w:t xml:space="preserve"> per year and </w:t>
      </w:r>
      <w:r>
        <w:rPr>
          <w:rFonts w:ascii="Times New Roman" w:hAnsi="Times New Roman" w:cs="Times New Roman"/>
          <w:b/>
          <w:bCs/>
          <w:noProof/>
        </w:rPr>
        <w:t xml:space="preserve">EUR </w:t>
      </w:r>
      <w:r w:rsidRPr="2FCD3695">
        <w:rPr>
          <w:rFonts w:ascii="Times New Roman" w:hAnsi="Times New Roman" w:cs="Times New Roman"/>
          <w:b/>
          <w:bCs/>
          <w:noProof/>
        </w:rPr>
        <w:t>7</w:t>
      </w:r>
      <w:r>
        <w:rPr>
          <w:rFonts w:ascii="Times New Roman" w:hAnsi="Times New Roman" w:cs="Times New Roman"/>
          <w:b/>
          <w:bCs/>
          <w:noProof/>
        </w:rPr>
        <w:t xml:space="preserve"> </w:t>
      </w:r>
      <w:r w:rsidRPr="00925CD7">
        <w:rPr>
          <w:rFonts w:ascii="Times New Roman" w:hAnsi="Times New Roman" w:cs="Times New Roman"/>
          <w:b/>
          <w:bCs/>
          <w:noProof/>
        </w:rPr>
        <w:t>0</w:t>
      </w:r>
      <w:r w:rsidRPr="2FCD3695">
        <w:rPr>
          <w:rFonts w:ascii="Times New Roman" w:hAnsi="Times New Roman" w:cs="Times New Roman"/>
          <w:b/>
          <w:bCs/>
          <w:noProof/>
        </w:rPr>
        <w:t>80</w:t>
      </w:r>
      <w:r>
        <w:rPr>
          <w:rFonts w:ascii="Times New Roman" w:hAnsi="Times New Roman" w:cs="Times New Roman"/>
          <w:b/>
          <w:bCs/>
          <w:noProof/>
        </w:rPr>
        <w:t xml:space="preserve"> 000</w:t>
      </w:r>
      <w:r w:rsidRPr="2FCD3695">
        <w:rPr>
          <w:rFonts w:ascii="Times New Roman" w:hAnsi="Times New Roman" w:cs="Times New Roman"/>
          <w:noProof/>
        </w:rPr>
        <w:t xml:space="preserve"> per year. </w:t>
      </w:r>
      <w:r w:rsidRPr="6689DE26">
        <w:rPr>
          <w:rFonts w:ascii="Times New Roman" w:hAnsi="Times New Roman" w:cs="Times New Roman"/>
          <w:noProof/>
        </w:rPr>
        <w:t xml:space="preserve">Considering the resources currently used for the </w:t>
      </w:r>
      <w:r>
        <w:rPr>
          <w:rFonts w:ascii="Times New Roman" w:hAnsi="Times New Roman" w:cs="Times New Roman"/>
          <w:noProof/>
        </w:rPr>
        <w:t xml:space="preserve">existing </w:t>
      </w:r>
      <w:r w:rsidRPr="6689DE26">
        <w:rPr>
          <w:rFonts w:ascii="Times New Roman" w:hAnsi="Times New Roman" w:cs="Times New Roman"/>
          <w:noProof/>
        </w:rPr>
        <w:t>tasks to be reattributed</w:t>
      </w:r>
      <w:r>
        <w:rPr>
          <w:rFonts w:ascii="Times New Roman" w:hAnsi="Times New Roman" w:cs="Times New Roman"/>
          <w:noProof/>
        </w:rPr>
        <w:t xml:space="preserve"> (i.e. resources for IPCHEM)</w:t>
      </w:r>
      <w:r w:rsidRPr="6689DE26">
        <w:rPr>
          <w:rFonts w:ascii="Times New Roman" w:hAnsi="Times New Roman" w:cs="Times New Roman"/>
          <w:noProof/>
        </w:rPr>
        <w:t xml:space="preserve">, there will be a total </w:t>
      </w:r>
      <w:r w:rsidRPr="6689DE26">
        <w:rPr>
          <w:rFonts w:ascii="Times New Roman" w:hAnsi="Times New Roman" w:cs="Times New Roman"/>
          <w:b/>
          <w:bCs/>
          <w:noProof/>
        </w:rPr>
        <w:t>net increase</w:t>
      </w:r>
      <w:r w:rsidRPr="6689DE26">
        <w:rPr>
          <w:rFonts w:ascii="Times New Roman" w:hAnsi="Times New Roman" w:cs="Times New Roman"/>
          <w:noProof/>
        </w:rPr>
        <w:t xml:space="preserve"> in the resources </w:t>
      </w:r>
      <w:r>
        <w:rPr>
          <w:rFonts w:ascii="Times New Roman" w:hAnsi="Times New Roman" w:cs="Times New Roman"/>
          <w:noProof/>
        </w:rPr>
        <w:t>in the fourth year</w:t>
      </w:r>
      <w:r w:rsidRPr="6689DE26">
        <w:rPr>
          <w:rFonts w:ascii="Times New Roman" w:hAnsi="Times New Roman" w:cs="Times New Roman"/>
          <w:noProof/>
        </w:rPr>
        <w:t xml:space="preserve"> and beyond as compared to today of </w:t>
      </w:r>
      <w:r>
        <w:rPr>
          <w:rFonts w:ascii="Times New Roman" w:hAnsi="Times New Roman" w:cs="Times New Roman"/>
          <w:b/>
          <w:bCs/>
          <w:noProof/>
        </w:rPr>
        <w:t>15</w:t>
      </w:r>
      <w:r w:rsidRPr="6689DE26">
        <w:rPr>
          <w:rFonts w:ascii="Times New Roman" w:hAnsi="Times New Roman" w:cs="Times New Roman"/>
          <w:b/>
          <w:bCs/>
          <w:noProof/>
        </w:rPr>
        <w:t>.</w:t>
      </w:r>
      <w:r>
        <w:rPr>
          <w:rFonts w:ascii="Times New Roman" w:hAnsi="Times New Roman" w:cs="Times New Roman"/>
          <w:b/>
          <w:bCs/>
          <w:noProof/>
        </w:rPr>
        <w:t>5</w:t>
      </w:r>
      <w:r w:rsidRPr="6689DE26">
        <w:rPr>
          <w:rFonts w:ascii="Times New Roman" w:hAnsi="Times New Roman" w:cs="Times New Roman"/>
          <w:b/>
          <w:bCs/>
          <w:noProof/>
        </w:rPr>
        <w:t xml:space="preserve"> FTEs</w:t>
      </w:r>
      <w:r w:rsidRPr="6689DE26">
        <w:rPr>
          <w:rFonts w:ascii="Times New Roman" w:hAnsi="Times New Roman" w:cs="Times New Roman"/>
          <w:noProof/>
        </w:rPr>
        <w:t xml:space="preserve"> per year and </w:t>
      </w:r>
      <w:r>
        <w:rPr>
          <w:rFonts w:ascii="Times New Roman" w:hAnsi="Times New Roman" w:cs="Times New Roman"/>
          <w:noProof/>
        </w:rPr>
        <w:t xml:space="preserve">operational budget of </w:t>
      </w:r>
      <w:r w:rsidRPr="000676B2">
        <w:rPr>
          <w:rFonts w:ascii="Times New Roman" w:hAnsi="Times New Roman" w:cs="Times New Roman"/>
          <w:b/>
          <w:noProof/>
        </w:rPr>
        <w:t>EUR 7 080 000</w:t>
      </w:r>
      <w:r w:rsidRPr="000676B2">
        <w:rPr>
          <w:rFonts w:ascii="Times New Roman" w:hAnsi="Times New Roman" w:cs="Times New Roman"/>
          <w:b/>
          <w:bCs/>
          <w:noProof/>
        </w:rPr>
        <w:t xml:space="preserve"> per</w:t>
      </w:r>
      <w:r w:rsidRPr="6689DE26">
        <w:rPr>
          <w:rFonts w:ascii="Times New Roman" w:hAnsi="Times New Roman" w:cs="Times New Roman"/>
          <w:b/>
          <w:bCs/>
          <w:noProof/>
        </w:rPr>
        <w:t xml:space="preserve"> year</w:t>
      </w:r>
      <w:r w:rsidRPr="6689DE26">
        <w:rPr>
          <w:rFonts w:ascii="Times New Roman" w:hAnsi="Times New Roman" w:cs="Times New Roman"/>
          <w:noProof/>
        </w:rPr>
        <w:t>.</w:t>
      </w:r>
    </w:p>
    <w:tbl>
      <w:tblPr>
        <w:tblStyle w:val="TableGrid"/>
        <w:tblW w:w="9493" w:type="dxa"/>
        <w:tblLayout w:type="fixed"/>
        <w:tblLook w:val="04A0" w:firstRow="1" w:lastRow="0" w:firstColumn="1" w:lastColumn="0" w:noHBand="0" w:noVBand="1"/>
      </w:tblPr>
      <w:tblGrid>
        <w:gridCol w:w="3256"/>
        <w:gridCol w:w="425"/>
        <w:gridCol w:w="425"/>
        <w:gridCol w:w="425"/>
        <w:gridCol w:w="426"/>
        <w:gridCol w:w="425"/>
        <w:gridCol w:w="425"/>
        <w:gridCol w:w="425"/>
        <w:gridCol w:w="426"/>
        <w:gridCol w:w="708"/>
        <w:gridCol w:w="709"/>
        <w:gridCol w:w="709"/>
        <w:gridCol w:w="709"/>
      </w:tblGrid>
      <w:tr w:rsidR="000A7D9D" w:rsidRPr="00EC1412" w14:paraId="37AC5E1A" w14:textId="77777777" w:rsidTr="00F31937">
        <w:tc>
          <w:tcPr>
            <w:tcW w:w="9493" w:type="dxa"/>
            <w:gridSpan w:val="13"/>
            <w:tcBorders>
              <w:bottom w:val="single" w:sz="4" w:space="0" w:color="auto"/>
            </w:tcBorders>
            <w:shd w:val="clear" w:color="auto" w:fill="A6A6A6" w:themeFill="background1" w:themeFillShade="A6"/>
          </w:tcPr>
          <w:p w14:paraId="4E4B3E93" w14:textId="77777777" w:rsidR="000A7D9D" w:rsidRPr="00EC1412" w:rsidRDefault="000A7D9D" w:rsidP="00F31937">
            <w:pPr>
              <w:jc w:val="both"/>
              <w:rPr>
                <w:b/>
                <w:bCs/>
                <w:caps/>
                <w:noProof/>
                <w:sz w:val="18"/>
                <w:szCs w:val="18"/>
              </w:rPr>
            </w:pPr>
            <w:r w:rsidRPr="2D69C30E">
              <w:rPr>
                <w:b/>
                <w:bCs/>
                <w:noProof/>
                <w:sz w:val="18"/>
                <w:szCs w:val="18"/>
              </w:rPr>
              <w:t>Table 5. Resource needs per activity of the legislative proposal for a regulation establishing a common data platform and a monitoring and outlook framework for chemicals (operational costs in EUR 1 000</w:t>
            </w:r>
            <w:r w:rsidRPr="2D69C30E">
              <w:rPr>
                <w:noProof/>
                <w:sz w:val="18"/>
                <w:szCs w:val="18"/>
              </w:rPr>
              <w:t>)</w:t>
            </w:r>
          </w:p>
        </w:tc>
      </w:tr>
      <w:tr w:rsidR="000A7D9D" w:rsidRPr="00EC1412" w14:paraId="1FB7E74D" w14:textId="77777777" w:rsidTr="00F31937">
        <w:tc>
          <w:tcPr>
            <w:tcW w:w="3256" w:type="dxa"/>
            <w:tcBorders>
              <w:bottom w:val="single" w:sz="4" w:space="0" w:color="auto"/>
            </w:tcBorders>
            <w:shd w:val="clear" w:color="auto" w:fill="BFBFBF" w:themeFill="background1" w:themeFillShade="BF"/>
          </w:tcPr>
          <w:p w14:paraId="6AA2D6F9" w14:textId="77777777" w:rsidR="000A7D9D" w:rsidRPr="00EC1412" w:rsidRDefault="000A7D9D" w:rsidP="00F31937">
            <w:pPr>
              <w:jc w:val="both"/>
              <w:rPr>
                <w:caps/>
                <w:noProof/>
                <w:sz w:val="18"/>
                <w:szCs w:val="18"/>
              </w:rPr>
            </w:pPr>
          </w:p>
        </w:tc>
        <w:tc>
          <w:tcPr>
            <w:tcW w:w="3402" w:type="dxa"/>
            <w:gridSpan w:val="8"/>
            <w:tcBorders>
              <w:bottom w:val="single" w:sz="4" w:space="0" w:color="auto"/>
            </w:tcBorders>
            <w:shd w:val="clear" w:color="auto" w:fill="BFBFBF" w:themeFill="background1" w:themeFillShade="BF"/>
          </w:tcPr>
          <w:p w14:paraId="041DEBE6" w14:textId="77777777" w:rsidR="000A7D9D" w:rsidRPr="00EC1412" w:rsidRDefault="000A7D9D" w:rsidP="00F31937">
            <w:pPr>
              <w:jc w:val="center"/>
              <w:rPr>
                <w:b/>
                <w:caps/>
                <w:noProof/>
                <w:sz w:val="18"/>
                <w:szCs w:val="18"/>
              </w:rPr>
            </w:pPr>
            <w:r w:rsidRPr="00EC1412">
              <w:rPr>
                <w:b/>
                <w:noProof/>
                <w:sz w:val="18"/>
                <w:szCs w:val="18"/>
              </w:rPr>
              <w:t>FTEs</w:t>
            </w:r>
          </w:p>
        </w:tc>
        <w:tc>
          <w:tcPr>
            <w:tcW w:w="2835" w:type="dxa"/>
            <w:gridSpan w:val="4"/>
            <w:tcBorders>
              <w:bottom w:val="single" w:sz="4" w:space="0" w:color="auto"/>
            </w:tcBorders>
            <w:shd w:val="clear" w:color="auto" w:fill="BFBFBF" w:themeFill="background1" w:themeFillShade="BF"/>
          </w:tcPr>
          <w:p w14:paraId="0AEF7714" w14:textId="77777777" w:rsidR="000A7D9D" w:rsidRPr="00EC1412" w:rsidRDefault="000A7D9D" w:rsidP="00F31937">
            <w:pPr>
              <w:jc w:val="center"/>
              <w:rPr>
                <w:b/>
                <w:bCs/>
                <w:caps/>
                <w:noProof/>
                <w:sz w:val="18"/>
                <w:szCs w:val="18"/>
              </w:rPr>
            </w:pPr>
            <w:r w:rsidRPr="2D69C30E">
              <w:rPr>
                <w:b/>
                <w:bCs/>
                <w:noProof/>
                <w:sz w:val="18"/>
                <w:szCs w:val="18"/>
              </w:rPr>
              <w:t>Operational costs</w:t>
            </w:r>
          </w:p>
        </w:tc>
      </w:tr>
      <w:tr w:rsidR="000A7D9D" w:rsidRPr="00EC1412" w14:paraId="105EEE2A" w14:textId="77777777" w:rsidTr="00F31937">
        <w:tc>
          <w:tcPr>
            <w:tcW w:w="3256" w:type="dxa"/>
            <w:tcBorders>
              <w:bottom w:val="single" w:sz="4" w:space="0" w:color="auto"/>
              <w:right w:val="single" w:sz="4" w:space="0" w:color="auto"/>
            </w:tcBorders>
            <w:shd w:val="clear" w:color="auto" w:fill="BFBFBF" w:themeFill="background1" w:themeFillShade="BF"/>
          </w:tcPr>
          <w:p w14:paraId="6D312ED1"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12DDEA76" w14:textId="77777777" w:rsidR="000A7D9D" w:rsidRPr="00EC1412" w:rsidRDefault="000A7D9D" w:rsidP="00F31937">
            <w:pPr>
              <w:jc w:val="center"/>
              <w:rPr>
                <w:b/>
                <w:caps/>
                <w:noProof/>
                <w:sz w:val="18"/>
                <w:szCs w:val="18"/>
              </w:rPr>
            </w:pPr>
            <w:r>
              <w:rPr>
                <w:b/>
                <w:caps/>
                <w:noProof/>
                <w:sz w:val="18"/>
                <w:szCs w:val="18"/>
              </w:rPr>
              <w:t>2025</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66785EF2"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6</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32DF5EF4"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7</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3E4A85D7"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8</w:t>
            </w:r>
          </w:p>
        </w:tc>
        <w:tc>
          <w:tcPr>
            <w:tcW w:w="708" w:type="dxa"/>
            <w:tcBorders>
              <w:left w:val="single" w:sz="4" w:space="0" w:color="auto"/>
              <w:bottom w:val="single" w:sz="4" w:space="0" w:color="auto"/>
              <w:right w:val="single" w:sz="4" w:space="0" w:color="auto"/>
            </w:tcBorders>
            <w:shd w:val="clear" w:color="auto" w:fill="BFBFBF" w:themeFill="background1" w:themeFillShade="BF"/>
          </w:tcPr>
          <w:p w14:paraId="4BFD62B8"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5</w:t>
            </w:r>
          </w:p>
        </w:tc>
        <w:tc>
          <w:tcPr>
            <w:tcW w:w="709" w:type="dxa"/>
            <w:tcBorders>
              <w:left w:val="single" w:sz="4" w:space="0" w:color="auto"/>
              <w:bottom w:val="single" w:sz="4" w:space="0" w:color="auto"/>
              <w:right w:val="single" w:sz="4" w:space="0" w:color="auto"/>
            </w:tcBorders>
            <w:shd w:val="clear" w:color="auto" w:fill="BFBFBF" w:themeFill="background1" w:themeFillShade="BF"/>
          </w:tcPr>
          <w:p w14:paraId="52C10FF9"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6</w:t>
            </w:r>
          </w:p>
        </w:tc>
        <w:tc>
          <w:tcPr>
            <w:tcW w:w="709" w:type="dxa"/>
            <w:tcBorders>
              <w:left w:val="single" w:sz="4" w:space="0" w:color="auto"/>
              <w:bottom w:val="single" w:sz="4" w:space="0" w:color="auto"/>
              <w:right w:val="single" w:sz="4" w:space="0" w:color="auto"/>
            </w:tcBorders>
            <w:shd w:val="clear" w:color="auto" w:fill="BFBFBF" w:themeFill="background1" w:themeFillShade="BF"/>
          </w:tcPr>
          <w:p w14:paraId="538EA935"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7</w:t>
            </w:r>
          </w:p>
        </w:tc>
        <w:tc>
          <w:tcPr>
            <w:tcW w:w="709" w:type="dxa"/>
            <w:tcBorders>
              <w:left w:val="single" w:sz="4" w:space="0" w:color="auto"/>
              <w:bottom w:val="single" w:sz="4" w:space="0" w:color="auto"/>
            </w:tcBorders>
            <w:shd w:val="clear" w:color="auto" w:fill="BFBFBF" w:themeFill="background1" w:themeFillShade="BF"/>
          </w:tcPr>
          <w:p w14:paraId="22FE49B8"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8</w:t>
            </w:r>
          </w:p>
        </w:tc>
      </w:tr>
      <w:tr w:rsidR="000A7D9D" w:rsidRPr="00EC1412" w14:paraId="044CED0C" w14:textId="77777777" w:rsidTr="00F31937">
        <w:tc>
          <w:tcPr>
            <w:tcW w:w="3256" w:type="dxa"/>
            <w:tcBorders>
              <w:bottom w:val="single" w:sz="4" w:space="0" w:color="auto"/>
              <w:right w:val="single" w:sz="4" w:space="0" w:color="auto"/>
            </w:tcBorders>
            <w:shd w:val="clear" w:color="auto" w:fill="BFBFBF" w:themeFill="background1" w:themeFillShade="BF"/>
          </w:tcPr>
          <w:p w14:paraId="24E37E54" w14:textId="77777777" w:rsidR="000A7D9D" w:rsidRPr="00EC1412" w:rsidRDefault="000A7D9D" w:rsidP="00F31937">
            <w:pPr>
              <w:jc w:val="both"/>
              <w:rPr>
                <w:b/>
                <w:noProof/>
                <w:sz w:val="18"/>
                <w:szCs w:val="18"/>
              </w:rPr>
            </w:pP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4672116A" w14:textId="77777777" w:rsidR="000A7D9D" w:rsidRDefault="000A7D9D" w:rsidP="00F31937">
            <w:pPr>
              <w:ind w:left="-107" w:right="-105"/>
              <w:jc w:val="center"/>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2112F27E" w14:textId="77777777" w:rsidR="000A7D9D" w:rsidRDefault="000A7D9D" w:rsidP="00F31937">
            <w:pPr>
              <w:ind w:left="-108" w:right="-104"/>
              <w:jc w:val="center"/>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6EED7D39" w14:textId="77777777" w:rsidR="000A7D9D" w:rsidRPr="00EC1412" w:rsidRDefault="000A7D9D" w:rsidP="00F31937">
            <w:pPr>
              <w:ind w:left="-109" w:right="-104"/>
              <w:jc w:val="center"/>
              <w:rPr>
                <w:b/>
                <w:caps/>
                <w:noProof/>
                <w:sz w:val="18"/>
                <w:szCs w:val="18"/>
              </w:rPr>
            </w:pPr>
            <w:r>
              <w:rPr>
                <w:b/>
                <w:caps/>
                <w:noProof/>
                <w:sz w:val="18"/>
                <w:szCs w:val="18"/>
              </w:rPr>
              <w:t>TA</w:t>
            </w:r>
          </w:p>
        </w:tc>
        <w:tc>
          <w:tcPr>
            <w:tcW w:w="426" w:type="dxa"/>
            <w:tcBorders>
              <w:left w:val="dotted" w:sz="4" w:space="0" w:color="auto"/>
              <w:bottom w:val="single" w:sz="4" w:space="0" w:color="auto"/>
              <w:right w:val="single" w:sz="4" w:space="0" w:color="auto"/>
            </w:tcBorders>
            <w:shd w:val="clear" w:color="auto" w:fill="BFBFBF" w:themeFill="background1" w:themeFillShade="BF"/>
          </w:tcPr>
          <w:p w14:paraId="27E9EF6A" w14:textId="77777777" w:rsidR="000A7D9D" w:rsidRPr="00EC1412" w:rsidRDefault="000A7D9D" w:rsidP="00F31937">
            <w:pPr>
              <w:ind w:left="-109" w:right="-104"/>
              <w:jc w:val="center"/>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54928B26" w14:textId="77777777" w:rsidR="000A7D9D" w:rsidRPr="00EC1412" w:rsidRDefault="000A7D9D" w:rsidP="00F31937">
            <w:pPr>
              <w:ind w:left="-109" w:right="-103"/>
              <w:jc w:val="center"/>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14F12240" w14:textId="77777777" w:rsidR="000A7D9D" w:rsidRPr="00EC1412" w:rsidRDefault="000A7D9D" w:rsidP="00F31937">
            <w:pPr>
              <w:ind w:left="-110" w:right="-102"/>
              <w:jc w:val="center"/>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01BBA4E1" w14:textId="77777777" w:rsidR="000A7D9D" w:rsidRPr="00EC1412" w:rsidRDefault="000A7D9D" w:rsidP="00F31937">
            <w:pPr>
              <w:ind w:left="-111" w:right="-114"/>
              <w:jc w:val="center"/>
              <w:rPr>
                <w:b/>
                <w:caps/>
                <w:noProof/>
                <w:sz w:val="18"/>
                <w:szCs w:val="18"/>
              </w:rPr>
            </w:pPr>
            <w:r>
              <w:rPr>
                <w:b/>
                <w:caps/>
                <w:noProof/>
                <w:sz w:val="18"/>
                <w:szCs w:val="18"/>
              </w:rPr>
              <w:t>TA</w:t>
            </w:r>
          </w:p>
        </w:tc>
        <w:tc>
          <w:tcPr>
            <w:tcW w:w="426" w:type="dxa"/>
            <w:tcBorders>
              <w:left w:val="dotted" w:sz="4" w:space="0" w:color="auto"/>
              <w:bottom w:val="single" w:sz="4" w:space="0" w:color="auto"/>
              <w:right w:val="single" w:sz="4" w:space="0" w:color="auto"/>
            </w:tcBorders>
            <w:shd w:val="clear" w:color="auto" w:fill="BFBFBF" w:themeFill="background1" w:themeFillShade="BF"/>
          </w:tcPr>
          <w:p w14:paraId="16B104FD" w14:textId="77777777" w:rsidR="000A7D9D" w:rsidRPr="00EC1412" w:rsidRDefault="000A7D9D" w:rsidP="00F31937">
            <w:pPr>
              <w:ind w:left="-111" w:right="-114"/>
              <w:jc w:val="center"/>
              <w:rPr>
                <w:b/>
                <w:caps/>
                <w:noProof/>
                <w:sz w:val="18"/>
                <w:szCs w:val="18"/>
              </w:rPr>
            </w:pPr>
            <w:r>
              <w:rPr>
                <w:b/>
                <w:caps/>
                <w:noProof/>
                <w:sz w:val="18"/>
                <w:szCs w:val="18"/>
              </w:rPr>
              <w:t>CA</w:t>
            </w:r>
          </w:p>
        </w:tc>
        <w:tc>
          <w:tcPr>
            <w:tcW w:w="708" w:type="dxa"/>
            <w:tcBorders>
              <w:left w:val="single" w:sz="4" w:space="0" w:color="auto"/>
              <w:bottom w:val="single" w:sz="4" w:space="0" w:color="auto"/>
              <w:right w:val="dotted" w:sz="4" w:space="0" w:color="auto"/>
            </w:tcBorders>
            <w:shd w:val="clear" w:color="auto" w:fill="BFBFBF" w:themeFill="background1" w:themeFillShade="BF"/>
          </w:tcPr>
          <w:p w14:paraId="201908B3" w14:textId="77777777" w:rsidR="000A7D9D" w:rsidRPr="00EC1412" w:rsidRDefault="000A7D9D" w:rsidP="00F31937">
            <w:pPr>
              <w:jc w:val="right"/>
              <w:rPr>
                <w:b/>
                <w:caps/>
                <w:noProof/>
                <w:sz w:val="18"/>
                <w:szCs w:val="18"/>
              </w:rPr>
            </w:pPr>
          </w:p>
        </w:tc>
        <w:tc>
          <w:tcPr>
            <w:tcW w:w="709" w:type="dxa"/>
            <w:tcBorders>
              <w:left w:val="dotted" w:sz="4" w:space="0" w:color="auto"/>
              <w:bottom w:val="single" w:sz="4" w:space="0" w:color="auto"/>
              <w:right w:val="dotted" w:sz="4" w:space="0" w:color="auto"/>
            </w:tcBorders>
            <w:shd w:val="clear" w:color="auto" w:fill="BFBFBF" w:themeFill="background1" w:themeFillShade="BF"/>
          </w:tcPr>
          <w:p w14:paraId="7B6F7AA3" w14:textId="77777777" w:rsidR="000A7D9D" w:rsidRPr="00EC1412" w:rsidRDefault="000A7D9D" w:rsidP="00F31937">
            <w:pPr>
              <w:jc w:val="right"/>
              <w:rPr>
                <w:b/>
                <w:caps/>
                <w:noProof/>
                <w:sz w:val="18"/>
                <w:szCs w:val="18"/>
              </w:rPr>
            </w:pPr>
          </w:p>
        </w:tc>
        <w:tc>
          <w:tcPr>
            <w:tcW w:w="709" w:type="dxa"/>
            <w:tcBorders>
              <w:left w:val="dotted" w:sz="4" w:space="0" w:color="auto"/>
              <w:bottom w:val="single" w:sz="4" w:space="0" w:color="auto"/>
              <w:right w:val="dotted" w:sz="4" w:space="0" w:color="auto"/>
            </w:tcBorders>
            <w:shd w:val="clear" w:color="auto" w:fill="BFBFBF" w:themeFill="background1" w:themeFillShade="BF"/>
          </w:tcPr>
          <w:p w14:paraId="7EC0C795" w14:textId="77777777" w:rsidR="000A7D9D" w:rsidRPr="00EC1412" w:rsidRDefault="000A7D9D" w:rsidP="00F31937">
            <w:pPr>
              <w:jc w:val="right"/>
              <w:rPr>
                <w:b/>
                <w:caps/>
                <w:noProof/>
                <w:sz w:val="18"/>
                <w:szCs w:val="18"/>
              </w:rPr>
            </w:pPr>
          </w:p>
        </w:tc>
        <w:tc>
          <w:tcPr>
            <w:tcW w:w="709" w:type="dxa"/>
            <w:tcBorders>
              <w:left w:val="dotted" w:sz="4" w:space="0" w:color="auto"/>
              <w:bottom w:val="single" w:sz="4" w:space="0" w:color="auto"/>
            </w:tcBorders>
            <w:shd w:val="clear" w:color="auto" w:fill="BFBFBF" w:themeFill="background1" w:themeFillShade="BF"/>
          </w:tcPr>
          <w:p w14:paraId="44B58F72" w14:textId="77777777" w:rsidR="000A7D9D" w:rsidRPr="00EC1412" w:rsidRDefault="000A7D9D" w:rsidP="00F31937">
            <w:pPr>
              <w:jc w:val="right"/>
              <w:rPr>
                <w:b/>
                <w:caps/>
                <w:noProof/>
                <w:sz w:val="18"/>
                <w:szCs w:val="18"/>
              </w:rPr>
            </w:pPr>
          </w:p>
        </w:tc>
      </w:tr>
      <w:tr w:rsidR="000A7D9D" w:rsidRPr="00EC1412" w14:paraId="362452A7" w14:textId="77777777" w:rsidTr="00F31937">
        <w:tc>
          <w:tcPr>
            <w:tcW w:w="3256" w:type="dxa"/>
            <w:tcBorders>
              <w:bottom w:val="single" w:sz="4" w:space="0" w:color="auto"/>
              <w:right w:val="single" w:sz="4" w:space="0" w:color="auto"/>
            </w:tcBorders>
            <w:shd w:val="clear" w:color="auto" w:fill="FFF4CC"/>
          </w:tcPr>
          <w:p w14:paraId="162E96AA" w14:textId="77777777" w:rsidR="000A7D9D" w:rsidRDefault="000A7D9D" w:rsidP="00F31937">
            <w:pPr>
              <w:jc w:val="both"/>
              <w:rPr>
                <w:noProof/>
                <w:sz w:val="18"/>
                <w:szCs w:val="18"/>
              </w:rPr>
            </w:pPr>
            <w:r>
              <w:rPr>
                <w:noProof/>
                <w:sz w:val="18"/>
                <w:szCs w:val="18"/>
              </w:rPr>
              <w:t>Common data platform</w:t>
            </w:r>
          </w:p>
          <w:p w14:paraId="1456BF2B" w14:textId="77777777" w:rsidR="000A7D9D" w:rsidRPr="00EC1412" w:rsidRDefault="000A7D9D" w:rsidP="00F31937">
            <w:pPr>
              <w:jc w:val="both"/>
              <w:rPr>
                <w:noProof/>
                <w:sz w:val="18"/>
                <w:szCs w:val="18"/>
              </w:rPr>
            </w:pPr>
          </w:p>
        </w:tc>
        <w:tc>
          <w:tcPr>
            <w:tcW w:w="425" w:type="dxa"/>
            <w:tcBorders>
              <w:left w:val="single" w:sz="4" w:space="0" w:color="auto"/>
              <w:bottom w:val="single" w:sz="4" w:space="0" w:color="auto"/>
              <w:right w:val="dotted" w:sz="4" w:space="0" w:color="auto"/>
            </w:tcBorders>
            <w:shd w:val="clear" w:color="auto" w:fill="FFF4CC"/>
          </w:tcPr>
          <w:p w14:paraId="5EF08C11" w14:textId="77777777" w:rsidR="000A7D9D" w:rsidRPr="00EC1412" w:rsidRDefault="000A7D9D" w:rsidP="00F31937">
            <w:pPr>
              <w:jc w:val="right"/>
              <w:rPr>
                <w:caps/>
                <w:noProof/>
                <w:sz w:val="18"/>
                <w:szCs w:val="18"/>
              </w:rPr>
            </w:pPr>
            <w:r>
              <w:rPr>
                <w:caps/>
                <w:noProof/>
                <w:sz w:val="18"/>
                <w:szCs w:val="18"/>
              </w:rPr>
              <w:t>5</w:t>
            </w:r>
          </w:p>
        </w:tc>
        <w:tc>
          <w:tcPr>
            <w:tcW w:w="425" w:type="dxa"/>
            <w:tcBorders>
              <w:left w:val="dotted" w:sz="4" w:space="0" w:color="auto"/>
              <w:bottom w:val="single" w:sz="4" w:space="0" w:color="auto"/>
              <w:right w:val="single" w:sz="4" w:space="0" w:color="auto"/>
            </w:tcBorders>
            <w:shd w:val="clear" w:color="auto" w:fill="FFF4CC"/>
          </w:tcPr>
          <w:p w14:paraId="4D3A51E6" w14:textId="77777777" w:rsidR="000A7D9D" w:rsidRPr="00EC1412" w:rsidRDefault="000A7D9D" w:rsidP="00F31937">
            <w:pPr>
              <w:jc w:val="right"/>
              <w:rPr>
                <w:caps/>
                <w:noProof/>
                <w:sz w:val="18"/>
                <w:szCs w:val="18"/>
              </w:rPr>
            </w:pPr>
            <w:r>
              <w:rPr>
                <w:caps/>
                <w:noProof/>
                <w:sz w:val="18"/>
                <w:szCs w:val="18"/>
              </w:rPr>
              <w:t>16</w:t>
            </w:r>
          </w:p>
        </w:tc>
        <w:tc>
          <w:tcPr>
            <w:tcW w:w="425" w:type="dxa"/>
            <w:tcBorders>
              <w:left w:val="single" w:sz="4" w:space="0" w:color="auto"/>
              <w:bottom w:val="single" w:sz="4" w:space="0" w:color="auto"/>
              <w:right w:val="dotted" w:sz="4" w:space="0" w:color="auto"/>
            </w:tcBorders>
            <w:shd w:val="clear" w:color="auto" w:fill="FFF4CC"/>
          </w:tcPr>
          <w:p w14:paraId="5164C9B5" w14:textId="77777777" w:rsidR="000A7D9D" w:rsidRPr="00EC1412" w:rsidRDefault="000A7D9D" w:rsidP="00F31937">
            <w:pPr>
              <w:jc w:val="right"/>
              <w:rPr>
                <w:caps/>
                <w:noProof/>
                <w:sz w:val="18"/>
                <w:szCs w:val="18"/>
              </w:rPr>
            </w:pPr>
            <w:r>
              <w:rPr>
                <w:caps/>
                <w:noProof/>
                <w:sz w:val="18"/>
                <w:szCs w:val="18"/>
              </w:rPr>
              <w:t>5</w:t>
            </w:r>
          </w:p>
        </w:tc>
        <w:tc>
          <w:tcPr>
            <w:tcW w:w="426" w:type="dxa"/>
            <w:tcBorders>
              <w:left w:val="dotted" w:sz="4" w:space="0" w:color="auto"/>
              <w:bottom w:val="single" w:sz="4" w:space="0" w:color="auto"/>
              <w:right w:val="single" w:sz="4" w:space="0" w:color="auto"/>
            </w:tcBorders>
            <w:shd w:val="clear" w:color="auto" w:fill="FFF4CC"/>
          </w:tcPr>
          <w:p w14:paraId="229B06D6" w14:textId="77777777" w:rsidR="000A7D9D" w:rsidRPr="00EC1412" w:rsidRDefault="000A7D9D" w:rsidP="00F31937">
            <w:pPr>
              <w:jc w:val="right"/>
              <w:rPr>
                <w:caps/>
                <w:noProof/>
                <w:sz w:val="18"/>
                <w:szCs w:val="18"/>
              </w:rPr>
            </w:pPr>
            <w:r>
              <w:rPr>
                <w:caps/>
                <w:noProof/>
                <w:sz w:val="18"/>
                <w:szCs w:val="18"/>
              </w:rPr>
              <w:t>16</w:t>
            </w:r>
          </w:p>
        </w:tc>
        <w:tc>
          <w:tcPr>
            <w:tcW w:w="425" w:type="dxa"/>
            <w:tcBorders>
              <w:left w:val="single" w:sz="4" w:space="0" w:color="auto"/>
              <w:bottom w:val="single" w:sz="4" w:space="0" w:color="auto"/>
              <w:right w:val="dotted" w:sz="4" w:space="0" w:color="auto"/>
            </w:tcBorders>
            <w:shd w:val="clear" w:color="auto" w:fill="FFF4CC"/>
          </w:tcPr>
          <w:p w14:paraId="306210AB" w14:textId="77777777" w:rsidR="000A7D9D" w:rsidRPr="00EC1412" w:rsidRDefault="000A7D9D" w:rsidP="00F31937">
            <w:pPr>
              <w:jc w:val="right"/>
              <w:rPr>
                <w:caps/>
                <w:noProof/>
                <w:sz w:val="18"/>
                <w:szCs w:val="18"/>
              </w:rPr>
            </w:pPr>
            <w:r>
              <w:rPr>
                <w:caps/>
                <w:noProof/>
                <w:sz w:val="18"/>
                <w:szCs w:val="18"/>
              </w:rPr>
              <w:t>5</w:t>
            </w:r>
          </w:p>
        </w:tc>
        <w:tc>
          <w:tcPr>
            <w:tcW w:w="425" w:type="dxa"/>
            <w:tcBorders>
              <w:left w:val="dotted" w:sz="4" w:space="0" w:color="auto"/>
              <w:bottom w:val="single" w:sz="4" w:space="0" w:color="auto"/>
              <w:right w:val="single" w:sz="4" w:space="0" w:color="auto"/>
            </w:tcBorders>
            <w:shd w:val="clear" w:color="auto" w:fill="FFF4CC"/>
          </w:tcPr>
          <w:p w14:paraId="3D262A31" w14:textId="77777777" w:rsidR="000A7D9D" w:rsidRPr="00EC1412" w:rsidRDefault="000A7D9D" w:rsidP="00F31937">
            <w:pPr>
              <w:jc w:val="right"/>
              <w:rPr>
                <w:caps/>
                <w:noProof/>
                <w:sz w:val="18"/>
                <w:szCs w:val="18"/>
              </w:rPr>
            </w:pPr>
            <w:r>
              <w:rPr>
                <w:caps/>
                <w:noProof/>
                <w:sz w:val="18"/>
                <w:szCs w:val="18"/>
              </w:rPr>
              <w:t>16</w:t>
            </w:r>
          </w:p>
        </w:tc>
        <w:tc>
          <w:tcPr>
            <w:tcW w:w="425" w:type="dxa"/>
            <w:tcBorders>
              <w:left w:val="single" w:sz="4" w:space="0" w:color="auto"/>
              <w:bottom w:val="single" w:sz="4" w:space="0" w:color="auto"/>
              <w:right w:val="dotted" w:sz="4" w:space="0" w:color="auto"/>
            </w:tcBorders>
            <w:shd w:val="clear" w:color="auto" w:fill="FFF4CC"/>
          </w:tcPr>
          <w:p w14:paraId="7C2D6ADF" w14:textId="77777777" w:rsidR="000A7D9D" w:rsidRPr="00EC1412" w:rsidRDefault="000A7D9D" w:rsidP="00F31937">
            <w:pPr>
              <w:jc w:val="right"/>
              <w:rPr>
                <w:noProof/>
                <w:sz w:val="18"/>
                <w:szCs w:val="18"/>
              </w:rPr>
            </w:pPr>
            <w:r>
              <w:rPr>
                <w:caps/>
                <w:noProof/>
                <w:sz w:val="18"/>
                <w:szCs w:val="18"/>
              </w:rPr>
              <w:t>5</w:t>
            </w:r>
          </w:p>
        </w:tc>
        <w:tc>
          <w:tcPr>
            <w:tcW w:w="426" w:type="dxa"/>
            <w:tcBorders>
              <w:left w:val="dotted" w:sz="4" w:space="0" w:color="auto"/>
              <w:bottom w:val="single" w:sz="4" w:space="0" w:color="auto"/>
              <w:right w:val="single" w:sz="4" w:space="0" w:color="auto"/>
            </w:tcBorders>
            <w:shd w:val="clear" w:color="auto" w:fill="FFF4CC"/>
          </w:tcPr>
          <w:p w14:paraId="7569DB61" w14:textId="77777777" w:rsidR="000A7D9D" w:rsidRPr="00EC1412" w:rsidRDefault="000A7D9D" w:rsidP="00F31937">
            <w:pPr>
              <w:spacing w:line="259" w:lineRule="auto"/>
              <w:jc w:val="right"/>
              <w:rPr>
                <w:noProof/>
                <w:sz w:val="18"/>
                <w:szCs w:val="18"/>
              </w:rPr>
            </w:pPr>
            <w:r>
              <w:rPr>
                <w:noProof/>
                <w:sz w:val="18"/>
                <w:szCs w:val="18"/>
              </w:rPr>
              <w:t>4</w:t>
            </w:r>
          </w:p>
        </w:tc>
        <w:tc>
          <w:tcPr>
            <w:tcW w:w="708" w:type="dxa"/>
            <w:tcBorders>
              <w:left w:val="single" w:sz="4" w:space="0" w:color="auto"/>
              <w:bottom w:val="single" w:sz="4" w:space="0" w:color="auto"/>
              <w:right w:val="single" w:sz="4" w:space="0" w:color="auto"/>
            </w:tcBorders>
            <w:shd w:val="clear" w:color="auto" w:fill="FFF4CC"/>
          </w:tcPr>
          <w:p w14:paraId="79120781" w14:textId="77777777" w:rsidR="000A7D9D" w:rsidRPr="00EC1412" w:rsidRDefault="000A7D9D" w:rsidP="00F31937">
            <w:pPr>
              <w:spacing w:line="259" w:lineRule="auto"/>
              <w:jc w:val="right"/>
              <w:rPr>
                <w:noProof/>
                <w:sz w:val="18"/>
                <w:szCs w:val="18"/>
              </w:rPr>
            </w:pPr>
            <w:r w:rsidRPr="2FCD3695">
              <w:rPr>
                <w:noProof/>
                <w:sz w:val="18"/>
                <w:szCs w:val="18"/>
              </w:rPr>
              <w:t>950</w:t>
            </w:r>
          </w:p>
        </w:tc>
        <w:tc>
          <w:tcPr>
            <w:tcW w:w="709" w:type="dxa"/>
            <w:tcBorders>
              <w:left w:val="single" w:sz="4" w:space="0" w:color="auto"/>
              <w:bottom w:val="single" w:sz="4" w:space="0" w:color="auto"/>
              <w:right w:val="single" w:sz="4" w:space="0" w:color="auto"/>
            </w:tcBorders>
            <w:shd w:val="clear" w:color="auto" w:fill="FFF4CC"/>
          </w:tcPr>
          <w:p w14:paraId="43B6D606" w14:textId="77777777" w:rsidR="000A7D9D" w:rsidRPr="00EC1412" w:rsidRDefault="000A7D9D" w:rsidP="00F31937">
            <w:pPr>
              <w:spacing w:line="259" w:lineRule="auto"/>
              <w:jc w:val="right"/>
              <w:rPr>
                <w:noProof/>
                <w:sz w:val="18"/>
                <w:szCs w:val="18"/>
              </w:rPr>
            </w:pPr>
            <w:r w:rsidRPr="2FCD3695">
              <w:rPr>
                <w:noProof/>
                <w:sz w:val="18"/>
                <w:szCs w:val="18"/>
              </w:rPr>
              <w:t>3 442</w:t>
            </w:r>
          </w:p>
        </w:tc>
        <w:tc>
          <w:tcPr>
            <w:tcW w:w="709" w:type="dxa"/>
            <w:tcBorders>
              <w:left w:val="single" w:sz="4" w:space="0" w:color="auto"/>
              <w:bottom w:val="single" w:sz="4" w:space="0" w:color="auto"/>
              <w:right w:val="single" w:sz="4" w:space="0" w:color="auto"/>
            </w:tcBorders>
            <w:shd w:val="clear" w:color="auto" w:fill="FFF4CC"/>
          </w:tcPr>
          <w:p w14:paraId="583D8F40" w14:textId="77777777" w:rsidR="000A7D9D" w:rsidRPr="00EC1412" w:rsidRDefault="000A7D9D" w:rsidP="00F31937">
            <w:pPr>
              <w:spacing w:line="259" w:lineRule="auto"/>
              <w:jc w:val="right"/>
              <w:rPr>
                <w:noProof/>
                <w:sz w:val="18"/>
                <w:szCs w:val="18"/>
              </w:rPr>
            </w:pPr>
            <w:r w:rsidRPr="2FCD3695">
              <w:rPr>
                <w:noProof/>
                <w:sz w:val="18"/>
                <w:szCs w:val="18"/>
              </w:rPr>
              <w:t>4 077</w:t>
            </w:r>
          </w:p>
        </w:tc>
        <w:tc>
          <w:tcPr>
            <w:tcW w:w="709" w:type="dxa"/>
            <w:tcBorders>
              <w:left w:val="single" w:sz="4" w:space="0" w:color="auto"/>
              <w:bottom w:val="single" w:sz="4" w:space="0" w:color="auto"/>
            </w:tcBorders>
            <w:shd w:val="clear" w:color="auto" w:fill="FFF4CC"/>
          </w:tcPr>
          <w:p w14:paraId="4CAD79BE" w14:textId="77777777" w:rsidR="000A7D9D" w:rsidRPr="00EC1412" w:rsidRDefault="000A7D9D" w:rsidP="00F31937">
            <w:pPr>
              <w:jc w:val="right"/>
              <w:rPr>
                <w:noProof/>
                <w:sz w:val="18"/>
                <w:szCs w:val="18"/>
              </w:rPr>
            </w:pPr>
            <w:r w:rsidRPr="00EC1412">
              <w:rPr>
                <w:noProof/>
                <w:sz w:val="18"/>
                <w:szCs w:val="18"/>
              </w:rPr>
              <w:t>1</w:t>
            </w:r>
            <w:r>
              <w:rPr>
                <w:noProof/>
                <w:sz w:val="18"/>
                <w:szCs w:val="18"/>
              </w:rPr>
              <w:t xml:space="preserve"> 300</w:t>
            </w:r>
          </w:p>
        </w:tc>
      </w:tr>
      <w:tr w:rsidR="000A7D9D" w:rsidRPr="00EC1412" w14:paraId="3A35E882" w14:textId="77777777" w:rsidTr="00F31937">
        <w:tc>
          <w:tcPr>
            <w:tcW w:w="3256" w:type="dxa"/>
            <w:tcBorders>
              <w:bottom w:val="single" w:sz="4" w:space="0" w:color="auto"/>
              <w:right w:val="single" w:sz="4" w:space="0" w:color="auto"/>
            </w:tcBorders>
            <w:shd w:val="clear" w:color="auto" w:fill="C1ECFF"/>
          </w:tcPr>
          <w:p w14:paraId="2A83A856" w14:textId="77777777" w:rsidR="000A7D9D" w:rsidRPr="00EC1412" w:rsidRDefault="000A7D9D" w:rsidP="00F31937">
            <w:pPr>
              <w:jc w:val="both"/>
              <w:rPr>
                <w:caps/>
                <w:noProof/>
                <w:sz w:val="18"/>
                <w:szCs w:val="18"/>
              </w:rPr>
            </w:pPr>
            <w:r w:rsidRPr="2D69C30E">
              <w:rPr>
                <w:noProof/>
                <w:sz w:val="18"/>
                <w:szCs w:val="18"/>
              </w:rPr>
              <w:t>Information Platform for Chemical Monitoring (IPCHEM)</w:t>
            </w:r>
          </w:p>
        </w:tc>
        <w:tc>
          <w:tcPr>
            <w:tcW w:w="425" w:type="dxa"/>
            <w:tcBorders>
              <w:left w:val="single" w:sz="4" w:space="0" w:color="auto"/>
              <w:bottom w:val="single" w:sz="4" w:space="0" w:color="auto"/>
              <w:right w:val="dotted" w:sz="4" w:space="0" w:color="auto"/>
            </w:tcBorders>
            <w:shd w:val="clear" w:color="auto" w:fill="C1ECFF"/>
          </w:tcPr>
          <w:p w14:paraId="17DDB2A7"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left w:val="dotted" w:sz="4" w:space="0" w:color="auto"/>
              <w:bottom w:val="single" w:sz="4" w:space="0" w:color="auto"/>
              <w:right w:val="single" w:sz="4" w:space="0" w:color="auto"/>
            </w:tcBorders>
            <w:shd w:val="clear" w:color="auto" w:fill="C1ECFF"/>
          </w:tcPr>
          <w:p w14:paraId="2F1B681E"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49760A42" w14:textId="77777777" w:rsidR="000A7D9D" w:rsidRPr="00EC1412" w:rsidRDefault="000A7D9D" w:rsidP="00F31937">
            <w:pPr>
              <w:jc w:val="right"/>
              <w:rPr>
                <w:noProof/>
                <w:sz w:val="18"/>
                <w:szCs w:val="18"/>
              </w:rPr>
            </w:pPr>
            <w:r>
              <w:rPr>
                <w:caps/>
                <w:noProof/>
                <w:sz w:val="18"/>
                <w:szCs w:val="18"/>
              </w:rPr>
              <w:t>2</w:t>
            </w:r>
          </w:p>
        </w:tc>
        <w:tc>
          <w:tcPr>
            <w:tcW w:w="426" w:type="dxa"/>
            <w:tcBorders>
              <w:left w:val="dotted" w:sz="4" w:space="0" w:color="auto"/>
              <w:bottom w:val="single" w:sz="4" w:space="0" w:color="auto"/>
              <w:right w:val="single" w:sz="4" w:space="0" w:color="auto"/>
            </w:tcBorders>
            <w:shd w:val="clear" w:color="auto" w:fill="C1ECFF"/>
          </w:tcPr>
          <w:p w14:paraId="50746B21" w14:textId="77777777" w:rsidR="000A7D9D" w:rsidRPr="00EC1412" w:rsidRDefault="000A7D9D" w:rsidP="00F31937">
            <w:pPr>
              <w:spacing w:line="259" w:lineRule="auto"/>
              <w:jc w:val="right"/>
              <w:rPr>
                <w:noProof/>
                <w:sz w:val="18"/>
                <w:szCs w:val="18"/>
              </w:rPr>
            </w:pPr>
            <w:r>
              <w:rPr>
                <w:noProof/>
                <w:sz w:val="18"/>
                <w:szCs w:val="18"/>
              </w:rPr>
              <w:t>1</w:t>
            </w:r>
          </w:p>
        </w:tc>
        <w:tc>
          <w:tcPr>
            <w:tcW w:w="425" w:type="dxa"/>
            <w:tcBorders>
              <w:left w:val="single" w:sz="4" w:space="0" w:color="auto"/>
              <w:bottom w:val="single" w:sz="4" w:space="0" w:color="auto"/>
              <w:right w:val="dotted" w:sz="4" w:space="0" w:color="auto"/>
            </w:tcBorders>
            <w:shd w:val="clear" w:color="auto" w:fill="C1ECFF"/>
          </w:tcPr>
          <w:p w14:paraId="1D3EB312"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09688A77"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C1ECFF"/>
          </w:tcPr>
          <w:p w14:paraId="0A94B14E" w14:textId="77777777" w:rsidR="000A7D9D" w:rsidRPr="00EC1412" w:rsidRDefault="000A7D9D" w:rsidP="00F31937">
            <w:pPr>
              <w:jc w:val="right"/>
              <w:rPr>
                <w:caps/>
                <w:noProof/>
                <w:sz w:val="18"/>
                <w:szCs w:val="18"/>
              </w:rPr>
            </w:pPr>
            <w:r>
              <w:rPr>
                <w:caps/>
                <w:noProof/>
                <w:sz w:val="18"/>
                <w:szCs w:val="18"/>
              </w:rPr>
              <w:t>2</w:t>
            </w:r>
          </w:p>
        </w:tc>
        <w:tc>
          <w:tcPr>
            <w:tcW w:w="426" w:type="dxa"/>
            <w:tcBorders>
              <w:left w:val="dotted" w:sz="4" w:space="0" w:color="auto"/>
              <w:bottom w:val="single" w:sz="4" w:space="0" w:color="auto"/>
              <w:right w:val="single" w:sz="4" w:space="0" w:color="auto"/>
            </w:tcBorders>
            <w:shd w:val="clear" w:color="auto" w:fill="C1ECFF"/>
          </w:tcPr>
          <w:p w14:paraId="0562A80D" w14:textId="77777777" w:rsidR="000A7D9D" w:rsidRPr="00EC1412" w:rsidRDefault="000A7D9D" w:rsidP="00F31937">
            <w:pPr>
              <w:jc w:val="right"/>
              <w:rPr>
                <w:caps/>
                <w:noProof/>
                <w:sz w:val="18"/>
                <w:szCs w:val="18"/>
              </w:rPr>
            </w:pPr>
            <w:r>
              <w:rPr>
                <w:caps/>
                <w:noProof/>
                <w:sz w:val="18"/>
                <w:szCs w:val="18"/>
              </w:rPr>
              <w:t>1</w:t>
            </w:r>
          </w:p>
        </w:tc>
        <w:tc>
          <w:tcPr>
            <w:tcW w:w="708" w:type="dxa"/>
            <w:tcBorders>
              <w:left w:val="single" w:sz="4" w:space="0" w:color="auto"/>
              <w:bottom w:val="single" w:sz="4" w:space="0" w:color="auto"/>
              <w:right w:val="single" w:sz="4" w:space="0" w:color="auto"/>
            </w:tcBorders>
            <w:shd w:val="clear" w:color="auto" w:fill="C1ECFF"/>
          </w:tcPr>
          <w:p w14:paraId="34D59C5E" w14:textId="77777777" w:rsidR="000A7D9D" w:rsidRPr="00EC1412" w:rsidRDefault="000A7D9D" w:rsidP="00F31937">
            <w:pPr>
              <w:spacing w:line="259" w:lineRule="auto"/>
              <w:jc w:val="right"/>
              <w:rPr>
                <w:caps/>
                <w:noProof/>
                <w:sz w:val="18"/>
                <w:szCs w:val="18"/>
              </w:rPr>
            </w:pPr>
            <w:r w:rsidRPr="2FCD3695">
              <w:rPr>
                <w:noProof/>
                <w:sz w:val="18"/>
                <w:szCs w:val="18"/>
              </w:rPr>
              <w:t>0</w:t>
            </w:r>
          </w:p>
        </w:tc>
        <w:tc>
          <w:tcPr>
            <w:tcW w:w="709" w:type="dxa"/>
            <w:tcBorders>
              <w:left w:val="single" w:sz="4" w:space="0" w:color="auto"/>
              <w:bottom w:val="single" w:sz="4" w:space="0" w:color="auto"/>
              <w:right w:val="single" w:sz="4" w:space="0" w:color="auto"/>
            </w:tcBorders>
            <w:shd w:val="clear" w:color="auto" w:fill="C1ECFF"/>
          </w:tcPr>
          <w:p w14:paraId="01DC8AFC" w14:textId="77777777" w:rsidR="000A7D9D" w:rsidRPr="00EC1412" w:rsidRDefault="000A7D9D" w:rsidP="00F31937">
            <w:pPr>
              <w:spacing w:line="259" w:lineRule="auto"/>
              <w:jc w:val="right"/>
              <w:rPr>
                <w:caps/>
                <w:noProof/>
                <w:sz w:val="18"/>
                <w:szCs w:val="18"/>
              </w:rPr>
            </w:pPr>
            <w:r w:rsidRPr="2FCD3695">
              <w:rPr>
                <w:noProof/>
                <w:sz w:val="18"/>
                <w:szCs w:val="18"/>
              </w:rPr>
              <w:t>200</w:t>
            </w:r>
          </w:p>
        </w:tc>
        <w:tc>
          <w:tcPr>
            <w:tcW w:w="709" w:type="dxa"/>
            <w:tcBorders>
              <w:left w:val="single" w:sz="4" w:space="0" w:color="auto"/>
              <w:bottom w:val="single" w:sz="4" w:space="0" w:color="auto"/>
              <w:right w:val="single" w:sz="4" w:space="0" w:color="auto"/>
            </w:tcBorders>
            <w:shd w:val="clear" w:color="auto" w:fill="C1ECFF"/>
          </w:tcPr>
          <w:p w14:paraId="04CC87F1" w14:textId="77777777" w:rsidR="000A7D9D" w:rsidRPr="00EC1412" w:rsidRDefault="000A7D9D" w:rsidP="00F31937">
            <w:pPr>
              <w:spacing w:line="259" w:lineRule="auto"/>
              <w:jc w:val="right"/>
              <w:rPr>
                <w:caps/>
                <w:noProof/>
                <w:sz w:val="18"/>
                <w:szCs w:val="18"/>
              </w:rPr>
            </w:pPr>
            <w:r w:rsidRPr="2FCD3695">
              <w:rPr>
                <w:noProof/>
                <w:sz w:val="18"/>
                <w:szCs w:val="18"/>
              </w:rPr>
              <w:t>38</w:t>
            </w:r>
            <w:r>
              <w:rPr>
                <w:noProof/>
                <w:sz w:val="18"/>
                <w:szCs w:val="18"/>
              </w:rPr>
              <w:t>0</w:t>
            </w:r>
          </w:p>
        </w:tc>
        <w:tc>
          <w:tcPr>
            <w:tcW w:w="709" w:type="dxa"/>
            <w:tcBorders>
              <w:left w:val="single" w:sz="4" w:space="0" w:color="auto"/>
              <w:bottom w:val="single" w:sz="4" w:space="0" w:color="auto"/>
            </w:tcBorders>
            <w:shd w:val="clear" w:color="auto" w:fill="C1ECFF"/>
          </w:tcPr>
          <w:p w14:paraId="3587EA57" w14:textId="77777777" w:rsidR="000A7D9D" w:rsidRPr="00EC1412" w:rsidRDefault="000A7D9D" w:rsidP="00F31937">
            <w:pPr>
              <w:jc w:val="right"/>
              <w:rPr>
                <w:caps/>
                <w:noProof/>
                <w:sz w:val="18"/>
                <w:szCs w:val="18"/>
              </w:rPr>
            </w:pPr>
            <w:r>
              <w:rPr>
                <w:noProof/>
                <w:sz w:val="18"/>
                <w:szCs w:val="18"/>
              </w:rPr>
              <w:t>230</w:t>
            </w:r>
          </w:p>
        </w:tc>
      </w:tr>
      <w:tr w:rsidR="000A7D9D" w:rsidRPr="00EC1412" w14:paraId="1704F109" w14:textId="77777777" w:rsidTr="00F31937">
        <w:tc>
          <w:tcPr>
            <w:tcW w:w="3256" w:type="dxa"/>
            <w:tcBorders>
              <w:bottom w:val="single" w:sz="4" w:space="0" w:color="auto"/>
              <w:right w:val="single" w:sz="4" w:space="0" w:color="auto"/>
            </w:tcBorders>
            <w:shd w:val="clear" w:color="auto" w:fill="FFF4CC"/>
          </w:tcPr>
          <w:p w14:paraId="412596C6" w14:textId="77777777" w:rsidR="000A7D9D" w:rsidRPr="00EC1412" w:rsidRDefault="000A7D9D" w:rsidP="00F31937">
            <w:pPr>
              <w:spacing w:line="259" w:lineRule="auto"/>
              <w:jc w:val="both"/>
              <w:rPr>
                <w:caps/>
                <w:noProof/>
                <w:sz w:val="18"/>
                <w:szCs w:val="18"/>
              </w:rPr>
            </w:pPr>
            <w:r w:rsidRPr="00667029">
              <w:rPr>
                <w:noProof/>
                <w:sz w:val="18"/>
                <w:szCs w:val="18"/>
              </w:rPr>
              <w:t xml:space="preserve">Information </w:t>
            </w:r>
            <w:r w:rsidRPr="2D69C30E">
              <w:rPr>
                <w:noProof/>
                <w:sz w:val="18"/>
                <w:szCs w:val="18"/>
              </w:rPr>
              <w:t>on regulatory processes on chemicals</w:t>
            </w:r>
          </w:p>
        </w:tc>
        <w:tc>
          <w:tcPr>
            <w:tcW w:w="425" w:type="dxa"/>
            <w:tcBorders>
              <w:left w:val="single" w:sz="4" w:space="0" w:color="auto"/>
              <w:bottom w:val="single" w:sz="4" w:space="0" w:color="auto"/>
              <w:right w:val="dotted" w:sz="4" w:space="0" w:color="auto"/>
            </w:tcBorders>
            <w:shd w:val="clear" w:color="auto" w:fill="FFF4CC"/>
          </w:tcPr>
          <w:p w14:paraId="5A15F1B6"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16E6AD69"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2A9743E7"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left w:val="dotted" w:sz="4" w:space="0" w:color="auto"/>
              <w:bottom w:val="single" w:sz="4" w:space="0" w:color="auto"/>
              <w:right w:val="single" w:sz="4" w:space="0" w:color="auto"/>
            </w:tcBorders>
            <w:shd w:val="clear" w:color="auto" w:fill="FFF4CC"/>
          </w:tcPr>
          <w:p w14:paraId="0814B596"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1D86E59B"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5B2321EE"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6DD99142"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left w:val="dotted" w:sz="4" w:space="0" w:color="auto"/>
              <w:bottom w:val="single" w:sz="4" w:space="0" w:color="auto"/>
              <w:right w:val="single" w:sz="4" w:space="0" w:color="auto"/>
            </w:tcBorders>
            <w:shd w:val="clear" w:color="auto" w:fill="FFF4CC"/>
          </w:tcPr>
          <w:p w14:paraId="4EA67D19" w14:textId="77777777" w:rsidR="000A7D9D" w:rsidRPr="00EC1412" w:rsidRDefault="000A7D9D" w:rsidP="00F31937">
            <w:pPr>
              <w:jc w:val="right"/>
              <w:rPr>
                <w:caps/>
                <w:noProof/>
                <w:sz w:val="18"/>
                <w:szCs w:val="18"/>
              </w:rPr>
            </w:pPr>
            <w:r>
              <w:rPr>
                <w:caps/>
                <w:noProof/>
                <w:sz w:val="18"/>
                <w:szCs w:val="18"/>
              </w:rPr>
              <w:t>0</w:t>
            </w:r>
          </w:p>
        </w:tc>
        <w:tc>
          <w:tcPr>
            <w:tcW w:w="708" w:type="dxa"/>
            <w:tcBorders>
              <w:left w:val="single" w:sz="4" w:space="0" w:color="auto"/>
              <w:bottom w:val="single" w:sz="4" w:space="0" w:color="auto"/>
              <w:right w:val="single" w:sz="4" w:space="0" w:color="auto"/>
            </w:tcBorders>
            <w:shd w:val="clear" w:color="auto" w:fill="FFF4CC"/>
          </w:tcPr>
          <w:p w14:paraId="641A061D" w14:textId="77777777" w:rsidR="000A7D9D" w:rsidRPr="00EC1412" w:rsidRDefault="000A7D9D" w:rsidP="00F31937">
            <w:pPr>
              <w:jc w:val="right"/>
              <w:rPr>
                <w:caps/>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5569852A" w14:textId="77777777" w:rsidR="000A7D9D" w:rsidRPr="00EC1412" w:rsidRDefault="000A7D9D" w:rsidP="00F31937">
            <w:pPr>
              <w:jc w:val="right"/>
              <w:rPr>
                <w:caps/>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4C26750C" w14:textId="77777777" w:rsidR="000A7D9D" w:rsidRPr="00EC1412" w:rsidRDefault="000A7D9D" w:rsidP="00F31937">
            <w:pPr>
              <w:jc w:val="right"/>
              <w:rPr>
                <w:caps/>
                <w:noProof/>
                <w:sz w:val="18"/>
                <w:szCs w:val="18"/>
              </w:rPr>
            </w:pPr>
            <w:r>
              <w:rPr>
                <w:noProof/>
                <w:sz w:val="18"/>
                <w:szCs w:val="18"/>
              </w:rPr>
              <w:t>0</w:t>
            </w:r>
          </w:p>
        </w:tc>
        <w:tc>
          <w:tcPr>
            <w:tcW w:w="709" w:type="dxa"/>
            <w:tcBorders>
              <w:left w:val="single" w:sz="4" w:space="0" w:color="auto"/>
              <w:bottom w:val="single" w:sz="4" w:space="0" w:color="auto"/>
            </w:tcBorders>
            <w:shd w:val="clear" w:color="auto" w:fill="FFF4CC"/>
          </w:tcPr>
          <w:p w14:paraId="7A653090" w14:textId="77777777" w:rsidR="000A7D9D" w:rsidRPr="00EC1412" w:rsidRDefault="000A7D9D" w:rsidP="00F31937">
            <w:pPr>
              <w:jc w:val="right"/>
              <w:rPr>
                <w:caps/>
                <w:noProof/>
                <w:sz w:val="18"/>
                <w:szCs w:val="18"/>
              </w:rPr>
            </w:pPr>
            <w:r>
              <w:rPr>
                <w:noProof/>
                <w:sz w:val="18"/>
                <w:szCs w:val="18"/>
              </w:rPr>
              <w:t>0</w:t>
            </w:r>
          </w:p>
        </w:tc>
      </w:tr>
      <w:tr w:rsidR="000A7D9D" w:rsidRPr="00EC1412" w14:paraId="3E5A88B3" w14:textId="77777777" w:rsidTr="00F31937">
        <w:tc>
          <w:tcPr>
            <w:tcW w:w="3256" w:type="dxa"/>
            <w:tcBorders>
              <w:bottom w:val="single" w:sz="4" w:space="0" w:color="auto"/>
              <w:right w:val="single" w:sz="4" w:space="0" w:color="auto"/>
            </w:tcBorders>
            <w:shd w:val="clear" w:color="auto" w:fill="C1ECFF"/>
          </w:tcPr>
          <w:p w14:paraId="339FAF53" w14:textId="77777777" w:rsidR="000A7D9D" w:rsidRDefault="000A7D9D" w:rsidP="00F31937">
            <w:pPr>
              <w:jc w:val="both"/>
              <w:rPr>
                <w:noProof/>
                <w:sz w:val="18"/>
                <w:szCs w:val="18"/>
              </w:rPr>
            </w:pPr>
            <w:r w:rsidRPr="2D69C30E">
              <w:rPr>
                <w:noProof/>
                <w:sz w:val="18"/>
                <w:szCs w:val="18"/>
              </w:rPr>
              <w:t xml:space="preserve">Repository of reference values </w:t>
            </w:r>
          </w:p>
          <w:p w14:paraId="1015E0D1" w14:textId="77777777" w:rsidR="000A7D9D" w:rsidRPr="00EC1412" w:rsidRDefault="000A7D9D" w:rsidP="00F31937">
            <w:pPr>
              <w:jc w:val="both"/>
              <w:rPr>
                <w:caps/>
                <w:noProof/>
                <w:sz w:val="18"/>
                <w:szCs w:val="18"/>
              </w:rPr>
            </w:pPr>
          </w:p>
        </w:tc>
        <w:tc>
          <w:tcPr>
            <w:tcW w:w="425" w:type="dxa"/>
            <w:tcBorders>
              <w:left w:val="single" w:sz="4" w:space="0" w:color="auto"/>
              <w:bottom w:val="single" w:sz="4" w:space="0" w:color="auto"/>
              <w:right w:val="dotted" w:sz="4" w:space="0" w:color="auto"/>
            </w:tcBorders>
            <w:shd w:val="clear" w:color="auto" w:fill="C1ECFF"/>
          </w:tcPr>
          <w:p w14:paraId="325E675A"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left w:val="dotted" w:sz="4" w:space="0" w:color="auto"/>
              <w:bottom w:val="single" w:sz="4" w:space="0" w:color="auto"/>
              <w:right w:val="single" w:sz="4" w:space="0" w:color="auto"/>
            </w:tcBorders>
            <w:shd w:val="clear" w:color="auto" w:fill="C1ECFF"/>
          </w:tcPr>
          <w:p w14:paraId="6AAFAEBA"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70CEF6E6" w14:textId="77777777" w:rsidR="000A7D9D" w:rsidRPr="00EC1412" w:rsidRDefault="000A7D9D" w:rsidP="00F31937">
            <w:pPr>
              <w:jc w:val="right"/>
              <w:rPr>
                <w:caps/>
                <w:noProof/>
                <w:sz w:val="18"/>
                <w:szCs w:val="18"/>
              </w:rPr>
            </w:pPr>
            <w:r w:rsidRPr="00EC1412">
              <w:rPr>
                <w:caps/>
                <w:noProof/>
                <w:sz w:val="18"/>
                <w:szCs w:val="18"/>
              </w:rPr>
              <w:t>1</w:t>
            </w:r>
          </w:p>
        </w:tc>
        <w:tc>
          <w:tcPr>
            <w:tcW w:w="426" w:type="dxa"/>
            <w:tcBorders>
              <w:left w:val="dotted" w:sz="4" w:space="0" w:color="auto"/>
              <w:bottom w:val="single" w:sz="4" w:space="0" w:color="auto"/>
              <w:right w:val="single" w:sz="4" w:space="0" w:color="auto"/>
            </w:tcBorders>
            <w:shd w:val="clear" w:color="auto" w:fill="C1ECFF"/>
          </w:tcPr>
          <w:p w14:paraId="4EE2D3E2"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6EE76887"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left w:val="dotted" w:sz="4" w:space="0" w:color="auto"/>
              <w:bottom w:val="single" w:sz="4" w:space="0" w:color="auto"/>
              <w:right w:val="single" w:sz="4" w:space="0" w:color="auto"/>
            </w:tcBorders>
            <w:shd w:val="clear" w:color="auto" w:fill="C1ECFF"/>
          </w:tcPr>
          <w:p w14:paraId="3EA204AB"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6899F740" w14:textId="77777777" w:rsidR="000A7D9D" w:rsidRPr="00EC1412" w:rsidRDefault="000A7D9D" w:rsidP="00F31937">
            <w:pPr>
              <w:jc w:val="right"/>
              <w:rPr>
                <w:caps/>
                <w:noProof/>
                <w:sz w:val="18"/>
                <w:szCs w:val="18"/>
              </w:rPr>
            </w:pPr>
            <w:r w:rsidRPr="00EC1412">
              <w:rPr>
                <w:caps/>
                <w:noProof/>
                <w:sz w:val="18"/>
                <w:szCs w:val="18"/>
              </w:rPr>
              <w:t>1</w:t>
            </w:r>
          </w:p>
        </w:tc>
        <w:tc>
          <w:tcPr>
            <w:tcW w:w="426" w:type="dxa"/>
            <w:tcBorders>
              <w:left w:val="dotted" w:sz="4" w:space="0" w:color="auto"/>
              <w:bottom w:val="single" w:sz="4" w:space="0" w:color="auto"/>
              <w:right w:val="single" w:sz="4" w:space="0" w:color="auto"/>
            </w:tcBorders>
            <w:shd w:val="clear" w:color="auto" w:fill="C1ECFF"/>
          </w:tcPr>
          <w:p w14:paraId="75AF3800" w14:textId="77777777" w:rsidR="000A7D9D" w:rsidRPr="00EC1412" w:rsidRDefault="000A7D9D" w:rsidP="00F31937">
            <w:pPr>
              <w:jc w:val="right"/>
              <w:rPr>
                <w:caps/>
                <w:noProof/>
                <w:sz w:val="18"/>
                <w:szCs w:val="18"/>
              </w:rPr>
            </w:pPr>
            <w:r>
              <w:rPr>
                <w:caps/>
                <w:noProof/>
                <w:sz w:val="18"/>
                <w:szCs w:val="18"/>
              </w:rPr>
              <w:t>0</w:t>
            </w:r>
          </w:p>
        </w:tc>
        <w:tc>
          <w:tcPr>
            <w:tcW w:w="708" w:type="dxa"/>
            <w:tcBorders>
              <w:left w:val="single" w:sz="4" w:space="0" w:color="auto"/>
              <w:bottom w:val="single" w:sz="4" w:space="0" w:color="auto"/>
              <w:right w:val="single" w:sz="4" w:space="0" w:color="auto"/>
            </w:tcBorders>
            <w:shd w:val="clear" w:color="auto" w:fill="C1ECFF"/>
          </w:tcPr>
          <w:p w14:paraId="5E044B77" w14:textId="77777777" w:rsidR="000A7D9D" w:rsidRPr="00EC1412" w:rsidRDefault="000A7D9D" w:rsidP="00F31937">
            <w:pPr>
              <w:jc w:val="right"/>
              <w:rPr>
                <w:caps/>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C1ECFF"/>
          </w:tcPr>
          <w:p w14:paraId="65CFEA9F" w14:textId="77777777" w:rsidR="000A7D9D" w:rsidRPr="00EC1412" w:rsidRDefault="000A7D9D" w:rsidP="00F31937">
            <w:pPr>
              <w:jc w:val="right"/>
              <w:rPr>
                <w:caps/>
                <w:noProof/>
                <w:sz w:val="18"/>
                <w:szCs w:val="18"/>
              </w:rPr>
            </w:pPr>
            <w:r w:rsidRPr="6689DE26">
              <w:rPr>
                <w:noProof/>
                <w:sz w:val="18"/>
                <w:szCs w:val="18"/>
              </w:rPr>
              <w:t>6</w:t>
            </w:r>
            <w:r>
              <w:rPr>
                <w:noProof/>
                <w:sz w:val="18"/>
                <w:szCs w:val="18"/>
              </w:rPr>
              <w:t>50</w:t>
            </w:r>
          </w:p>
        </w:tc>
        <w:tc>
          <w:tcPr>
            <w:tcW w:w="709" w:type="dxa"/>
            <w:tcBorders>
              <w:left w:val="single" w:sz="4" w:space="0" w:color="auto"/>
              <w:bottom w:val="single" w:sz="4" w:space="0" w:color="auto"/>
              <w:right w:val="single" w:sz="4" w:space="0" w:color="auto"/>
            </w:tcBorders>
            <w:shd w:val="clear" w:color="auto" w:fill="C1ECFF"/>
          </w:tcPr>
          <w:p w14:paraId="7468C028" w14:textId="77777777" w:rsidR="000A7D9D" w:rsidRPr="00EC1412" w:rsidRDefault="000A7D9D" w:rsidP="00F31937">
            <w:pPr>
              <w:jc w:val="right"/>
              <w:rPr>
                <w:caps/>
                <w:noProof/>
                <w:sz w:val="18"/>
                <w:szCs w:val="18"/>
              </w:rPr>
            </w:pPr>
            <w:r w:rsidRPr="6689DE26">
              <w:rPr>
                <w:noProof/>
                <w:sz w:val="18"/>
                <w:szCs w:val="18"/>
              </w:rPr>
              <w:t>6</w:t>
            </w:r>
            <w:r>
              <w:rPr>
                <w:noProof/>
                <w:sz w:val="18"/>
                <w:szCs w:val="18"/>
              </w:rPr>
              <w:t>50</w:t>
            </w:r>
          </w:p>
        </w:tc>
        <w:tc>
          <w:tcPr>
            <w:tcW w:w="709" w:type="dxa"/>
            <w:tcBorders>
              <w:left w:val="single" w:sz="4" w:space="0" w:color="auto"/>
              <w:bottom w:val="single" w:sz="4" w:space="0" w:color="auto"/>
            </w:tcBorders>
            <w:shd w:val="clear" w:color="auto" w:fill="C1ECFF"/>
          </w:tcPr>
          <w:p w14:paraId="71A0BC09" w14:textId="77777777" w:rsidR="000A7D9D" w:rsidRPr="00EC1412" w:rsidRDefault="000A7D9D" w:rsidP="00F31937">
            <w:pPr>
              <w:jc w:val="right"/>
              <w:rPr>
                <w:caps/>
                <w:noProof/>
                <w:sz w:val="18"/>
                <w:szCs w:val="18"/>
              </w:rPr>
            </w:pPr>
            <w:r>
              <w:rPr>
                <w:noProof/>
                <w:sz w:val="18"/>
                <w:szCs w:val="18"/>
              </w:rPr>
              <w:t>200</w:t>
            </w:r>
          </w:p>
        </w:tc>
      </w:tr>
      <w:tr w:rsidR="000A7D9D" w:rsidRPr="00EC1412" w14:paraId="7E0BE757" w14:textId="77777777" w:rsidTr="00F31937">
        <w:tc>
          <w:tcPr>
            <w:tcW w:w="3256" w:type="dxa"/>
            <w:tcBorders>
              <w:bottom w:val="single" w:sz="4" w:space="0" w:color="auto"/>
              <w:right w:val="single" w:sz="4" w:space="0" w:color="auto"/>
            </w:tcBorders>
            <w:shd w:val="clear" w:color="auto" w:fill="FFF4CC"/>
          </w:tcPr>
          <w:p w14:paraId="323B165E" w14:textId="77777777" w:rsidR="000A7D9D" w:rsidRPr="00EC1412" w:rsidRDefault="000A7D9D" w:rsidP="00F31937">
            <w:pPr>
              <w:spacing w:line="259" w:lineRule="auto"/>
              <w:jc w:val="both"/>
              <w:rPr>
                <w:noProof/>
                <w:sz w:val="18"/>
                <w:szCs w:val="18"/>
              </w:rPr>
            </w:pPr>
            <w:r w:rsidRPr="2D69C30E">
              <w:rPr>
                <w:noProof/>
                <w:sz w:val="18"/>
                <w:szCs w:val="18"/>
              </w:rPr>
              <w:t>Information on the obligations under Union acts on chemicals</w:t>
            </w:r>
          </w:p>
        </w:tc>
        <w:tc>
          <w:tcPr>
            <w:tcW w:w="425" w:type="dxa"/>
            <w:tcBorders>
              <w:left w:val="single" w:sz="4" w:space="0" w:color="auto"/>
              <w:bottom w:val="single" w:sz="4" w:space="0" w:color="auto"/>
              <w:right w:val="dotted" w:sz="4" w:space="0" w:color="auto"/>
            </w:tcBorders>
            <w:shd w:val="clear" w:color="auto" w:fill="FFF4CC"/>
          </w:tcPr>
          <w:p w14:paraId="1FD5D7BC" w14:textId="77777777" w:rsidR="000A7D9D" w:rsidRPr="00EC1412" w:rsidRDefault="000A7D9D" w:rsidP="00F31937">
            <w:pPr>
              <w:jc w:val="right"/>
              <w:rPr>
                <w:caps/>
                <w:noProof/>
                <w:sz w:val="18"/>
                <w:szCs w:val="18"/>
              </w:rPr>
            </w:pPr>
            <w:r w:rsidRPr="6689DE26">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69C21AFD"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569257FE" w14:textId="77777777" w:rsidR="000A7D9D" w:rsidRPr="00EC1412" w:rsidRDefault="000A7D9D" w:rsidP="00F31937">
            <w:pPr>
              <w:jc w:val="right"/>
              <w:rPr>
                <w:caps/>
                <w:noProof/>
                <w:sz w:val="18"/>
                <w:szCs w:val="18"/>
              </w:rPr>
            </w:pPr>
            <w:r w:rsidRPr="6689DE26">
              <w:rPr>
                <w:caps/>
                <w:noProof/>
                <w:sz w:val="18"/>
                <w:szCs w:val="18"/>
              </w:rPr>
              <w:t>0</w:t>
            </w:r>
          </w:p>
        </w:tc>
        <w:tc>
          <w:tcPr>
            <w:tcW w:w="426" w:type="dxa"/>
            <w:tcBorders>
              <w:left w:val="dotted" w:sz="4" w:space="0" w:color="auto"/>
              <w:bottom w:val="single" w:sz="4" w:space="0" w:color="auto"/>
              <w:right w:val="single" w:sz="4" w:space="0" w:color="auto"/>
            </w:tcBorders>
            <w:shd w:val="clear" w:color="auto" w:fill="FFF4CC"/>
          </w:tcPr>
          <w:p w14:paraId="47467D52" w14:textId="77777777" w:rsidR="000A7D9D" w:rsidRPr="00EC1412" w:rsidRDefault="000A7D9D" w:rsidP="00F31937">
            <w:pPr>
              <w:spacing w:line="259" w:lineRule="auto"/>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764288A7" w14:textId="77777777" w:rsidR="000A7D9D" w:rsidRPr="00EC1412" w:rsidRDefault="000A7D9D" w:rsidP="00F31937">
            <w:pPr>
              <w:jc w:val="right"/>
              <w:rPr>
                <w:noProof/>
                <w:sz w:val="18"/>
                <w:szCs w:val="18"/>
              </w:rPr>
            </w:pPr>
            <w:r w:rsidRPr="6689DE26">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71817503" w14:textId="77777777" w:rsidR="000A7D9D" w:rsidRPr="00EC1412" w:rsidRDefault="000A7D9D" w:rsidP="00F31937">
            <w:pPr>
              <w:spacing w:line="259" w:lineRule="auto"/>
              <w:jc w:val="right"/>
              <w:rPr>
                <w:noProof/>
                <w:sz w:val="18"/>
                <w:szCs w:val="18"/>
              </w:rPr>
            </w:pPr>
            <w:r>
              <w:rPr>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0E72E828" w14:textId="77777777" w:rsidR="000A7D9D" w:rsidRPr="00EC1412" w:rsidRDefault="000A7D9D" w:rsidP="00F31937">
            <w:pPr>
              <w:jc w:val="right"/>
              <w:rPr>
                <w:noProof/>
                <w:sz w:val="18"/>
                <w:szCs w:val="18"/>
              </w:rPr>
            </w:pPr>
            <w:r w:rsidRPr="6689DE26">
              <w:rPr>
                <w:caps/>
                <w:noProof/>
                <w:sz w:val="18"/>
                <w:szCs w:val="18"/>
              </w:rPr>
              <w:t>0</w:t>
            </w:r>
          </w:p>
        </w:tc>
        <w:tc>
          <w:tcPr>
            <w:tcW w:w="426" w:type="dxa"/>
            <w:tcBorders>
              <w:left w:val="dotted" w:sz="4" w:space="0" w:color="auto"/>
              <w:bottom w:val="single" w:sz="4" w:space="0" w:color="auto"/>
              <w:right w:val="single" w:sz="4" w:space="0" w:color="auto"/>
            </w:tcBorders>
            <w:shd w:val="clear" w:color="auto" w:fill="FFF4CC"/>
          </w:tcPr>
          <w:p w14:paraId="694107F1" w14:textId="77777777" w:rsidR="000A7D9D" w:rsidRPr="00EC1412" w:rsidRDefault="000A7D9D" w:rsidP="00F31937">
            <w:pPr>
              <w:spacing w:line="259" w:lineRule="auto"/>
              <w:jc w:val="right"/>
              <w:rPr>
                <w:noProof/>
                <w:sz w:val="18"/>
                <w:szCs w:val="18"/>
              </w:rPr>
            </w:pPr>
            <w:r>
              <w:rPr>
                <w:noProof/>
                <w:sz w:val="18"/>
                <w:szCs w:val="18"/>
              </w:rPr>
              <w:t>0</w:t>
            </w:r>
          </w:p>
        </w:tc>
        <w:tc>
          <w:tcPr>
            <w:tcW w:w="708" w:type="dxa"/>
            <w:tcBorders>
              <w:left w:val="single" w:sz="4" w:space="0" w:color="auto"/>
              <w:bottom w:val="single" w:sz="4" w:space="0" w:color="auto"/>
              <w:right w:val="single" w:sz="4" w:space="0" w:color="auto"/>
            </w:tcBorders>
            <w:shd w:val="clear" w:color="auto" w:fill="FFF4CC"/>
          </w:tcPr>
          <w:p w14:paraId="7EDA9857" w14:textId="77777777" w:rsidR="000A7D9D" w:rsidRPr="00EC1412" w:rsidRDefault="000A7D9D" w:rsidP="00F31937">
            <w:pPr>
              <w:jc w:val="right"/>
              <w:rPr>
                <w:caps/>
                <w:noProof/>
                <w:sz w:val="18"/>
                <w:szCs w:val="18"/>
              </w:rPr>
            </w:pPr>
            <w:r w:rsidRPr="6689DE26">
              <w:rPr>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2313421C" w14:textId="77777777" w:rsidR="000A7D9D" w:rsidRPr="00EC1412" w:rsidRDefault="000A7D9D" w:rsidP="00F31937">
            <w:pPr>
              <w:jc w:val="right"/>
              <w:rPr>
                <w:caps/>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34DBF36E" w14:textId="77777777" w:rsidR="000A7D9D" w:rsidRPr="00EC1412" w:rsidRDefault="000A7D9D" w:rsidP="00F31937">
            <w:pPr>
              <w:jc w:val="right"/>
              <w:rPr>
                <w:noProof/>
                <w:sz w:val="18"/>
                <w:szCs w:val="18"/>
              </w:rPr>
            </w:pPr>
            <w:r>
              <w:rPr>
                <w:noProof/>
                <w:sz w:val="18"/>
                <w:szCs w:val="18"/>
              </w:rPr>
              <w:t>0</w:t>
            </w:r>
          </w:p>
        </w:tc>
        <w:tc>
          <w:tcPr>
            <w:tcW w:w="709" w:type="dxa"/>
            <w:tcBorders>
              <w:left w:val="single" w:sz="4" w:space="0" w:color="auto"/>
              <w:bottom w:val="single" w:sz="4" w:space="0" w:color="auto"/>
            </w:tcBorders>
            <w:shd w:val="clear" w:color="auto" w:fill="FFF4CC"/>
          </w:tcPr>
          <w:p w14:paraId="751692D5" w14:textId="77777777" w:rsidR="000A7D9D" w:rsidRPr="00EC1412" w:rsidRDefault="000A7D9D" w:rsidP="00F31937">
            <w:pPr>
              <w:jc w:val="right"/>
              <w:rPr>
                <w:noProof/>
                <w:sz w:val="18"/>
                <w:szCs w:val="18"/>
              </w:rPr>
            </w:pPr>
            <w:r>
              <w:rPr>
                <w:noProof/>
                <w:sz w:val="18"/>
                <w:szCs w:val="18"/>
              </w:rPr>
              <w:t>0</w:t>
            </w:r>
          </w:p>
        </w:tc>
      </w:tr>
      <w:tr w:rsidR="000A7D9D" w:rsidRPr="00EC1412" w14:paraId="3F3F1F8D" w14:textId="77777777" w:rsidTr="00F31937">
        <w:tc>
          <w:tcPr>
            <w:tcW w:w="3256" w:type="dxa"/>
            <w:tcBorders>
              <w:bottom w:val="single" w:sz="4" w:space="0" w:color="auto"/>
              <w:right w:val="single" w:sz="4" w:space="0" w:color="auto"/>
            </w:tcBorders>
            <w:shd w:val="clear" w:color="auto" w:fill="C1ECFF"/>
          </w:tcPr>
          <w:p w14:paraId="29B6FF73" w14:textId="77777777" w:rsidR="000A7D9D" w:rsidRPr="00EC1412" w:rsidRDefault="000A7D9D" w:rsidP="00F31937">
            <w:pPr>
              <w:jc w:val="both"/>
              <w:rPr>
                <w:noProof/>
                <w:sz w:val="18"/>
                <w:szCs w:val="18"/>
              </w:rPr>
            </w:pPr>
            <w:r w:rsidRPr="2D69C30E">
              <w:rPr>
                <w:noProof/>
                <w:sz w:val="18"/>
                <w:szCs w:val="18"/>
              </w:rPr>
              <w:t>Environmental sustainability related data on chemicals</w:t>
            </w:r>
          </w:p>
        </w:tc>
        <w:tc>
          <w:tcPr>
            <w:tcW w:w="425" w:type="dxa"/>
            <w:tcBorders>
              <w:left w:val="single" w:sz="4" w:space="0" w:color="auto"/>
              <w:bottom w:val="single" w:sz="4" w:space="0" w:color="auto"/>
              <w:right w:val="dotted" w:sz="4" w:space="0" w:color="auto"/>
            </w:tcBorders>
            <w:shd w:val="clear" w:color="auto" w:fill="C1ECFF"/>
          </w:tcPr>
          <w:p w14:paraId="6C72A894"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05BA32C0"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5339A253" w14:textId="77777777" w:rsidR="000A7D9D" w:rsidRPr="00EC1412" w:rsidRDefault="000A7D9D" w:rsidP="00F31937">
            <w:pPr>
              <w:jc w:val="right"/>
              <w:rPr>
                <w:caps/>
                <w:noProof/>
                <w:sz w:val="18"/>
                <w:szCs w:val="18"/>
              </w:rPr>
            </w:pPr>
            <w:r>
              <w:rPr>
                <w:caps/>
                <w:noProof/>
                <w:sz w:val="18"/>
                <w:szCs w:val="18"/>
              </w:rPr>
              <w:t>1</w:t>
            </w:r>
          </w:p>
        </w:tc>
        <w:tc>
          <w:tcPr>
            <w:tcW w:w="426" w:type="dxa"/>
            <w:tcBorders>
              <w:left w:val="dotted" w:sz="4" w:space="0" w:color="auto"/>
              <w:bottom w:val="single" w:sz="4" w:space="0" w:color="auto"/>
              <w:right w:val="single" w:sz="4" w:space="0" w:color="auto"/>
            </w:tcBorders>
            <w:shd w:val="clear" w:color="auto" w:fill="C1ECFF"/>
          </w:tcPr>
          <w:p w14:paraId="65153B4B"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7A9090B9"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dotted" w:sz="4" w:space="0" w:color="auto"/>
              <w:bottom w:val="single" w:sz="4" w:space="0" w:color="auto"/>
              <w:right w:val="single" w:sz="4" w:space="0" w:color="auto"/>
            </w:tcBorders>
            <w:shd w:val="clear" w:color="auto" w:fill="C1ECFF"/>
          </w:tcPr>
          <w:p w14:paraId="170CF94D"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67C4CE9F" w14:textId="77777777" w:rsidR="000A7D9D" w:rsidRPr="00EC1412" w:rsidRDefault="000A7D9D" w:rsidP="00F31937">
            <w:pPr>
              <w:jc w:val="right"/>
              <w:rPr>
                <w:caps/>
                <w:noProof/>
                <w:sz w:val="18"/>
                <w:szCs w:val="18"/>
              </w:rPr>
            </w:pPr>
            <w:r>
              <w:rPr>
                <w:caps/>
                <w:noProof/>
                <w:sz w:val="18"/>
                <w:szCs w:val="18"/>
              </w:rPr>
              <w:t>1</w:t>
            </w:r>
          </w:p>
        </w:tc>
        <w:tc>
          <w:tcPr>
            <w:tcW w:w="426" w:type="dxa"/>
            <w:tcBorders>
              <w:left w:val="dotted" w:sz="4" w:space="0" w:color="auto"/>
              <w:bottom w:val="single" w:sz="4" w:space="0" w:color="auto"/>
              <w:right w:val="single" w:sz="4" w:space="0" w:color="auto"/>
            </w:tcBorders>
            <w:shd w:val="clear" w:color="auto" w:fill="C1ECFF"/>
          </w:tcPr>
          <w:p w14:paraId="043786D4" w14:textId="77777777" w:rsidR="000A7D9D" w:rsidRPr="00EC1412" w:rsidRDefault="000A7D9D" w:rsidP="00F31937">
            <w:pPr>
              <w:jc w:val="right"/>
              <w:rPr>
                <w:caps/>
                <w:noProof/>
                <w:sz w:val="18"/>
                <w:szCs w:val="18"/>
              </w:rPr>
            </w:pPr>
            <w:r>
              <w:rPr>
                <w:caps/>
                <w:noProof/>
                <w:sz w:val="18"/>
                <w:szCs w:val="18"/>
              </w:rPr>
              <w:t>0</w:t>
            </w:r>
          </w:p>
        </w:tc>
        <w:tc>
          <w:tcPr>
            <w:tcW w:w="708" w:type="dxa"/>
            <w:tcBorders>
              <w:left w:val="single" w:sz="4" w:space="0" w:color="auto"/>
              <w:bottom w:val="single" w:sz="4" w:space="0" w:color="auto"/>
              <w:right w:val="single" w:sz="4" w:space="0" w:color="auto"/>
            </w:tcBorders>
            <w:shd w:val="clear" w:color="auto" w:fill="C1ECFF"/>
          </w:tcPr>
          <w:p w14:paraId="613C170E" w14:textId="77777777" w:rsidR="000A7D9D" w:rsidRPr="00EC1412" w:rsidRDefault="000A7D9D" w:rsidP="00F31937">
            <w:pPr>
              <w:jc w:val="right"/>
              <w:rPr>
                <w:caps/>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C1ECFF"/>
          </w:tcPr>
          <w:p w14:paraId="594D5C16" w14:textId="77777777" w:rsidR="000A7D9D" w:rsidRPr="00872E10" w:rsidRDefault="000A7D9D" w:rsidP="00F31937">
            <w:pPr>
              <w:jc w:val="right"/>
              <w:rPr>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C1ECFF"/>
          </w:tcPr>
          <w:p w14:paraId="07D29655" w14:textId="77777777" w:rsidR="000A7D9D" w:rsidRPr="00872E10" w:rsidRDefault="000A7D9D" w:rsidP="00F31937">
            <w:pPr>
              <w:jc w:val="right"/>
              <w:rPr>
                <w:noProof/>
                <w:sz w:val="18"/>
                <w:szCs w:val="18"/>
              </w:rPr>
            </w:pPr>
            <w:r>
              <w:rPr>
                <w:noProof/>
                <w:sz w:val="18"/>
                <w:szCs w:val="18"/>
              </w:rPr>
              <w:t>0</w:t>
            </w:r>
          </w:p>
        </w:tc>
        <w:tc>
          <w:tcPr>
            <w:tcW w:w="709" w:type="dxa"/>
            <w:tcBorders>
              <w:left w:val="single" w:sz="4" w:space="0" w:color="auto"/>
              <w:bottom w:val="single" w:sz="4" w:space="0" w:color="auto"/>
            </w:tcBorders>
            <w:shd w:val="clear" w:color="auto" w:fill="C1ECFF"/>
          </w:tcPr>
          <w:p w14:paraId="34DDE24B" w14:textId="77777777" w:rsidR="000A7D9D" w:rsidRPr="00EC1412" w:rsidRDefault="000A7D9D" w:rsidP="00F31937">
            <w:pPr>
              <w:jc w:val="right"/>
              <w:rPr>
                <w:caps/>
                <w:noProof/>
                <w:sz w:val="18"/>
                <w:szCs w:val="18"/>
              </w:rPr>
            </w:pPr>
            <w:r>
              <w:rPr>
                <w:noProof/>
                <w:sz w:val="18"/>
                <w:szCs w:val="18"/>
              </w:rPr>
              <w:t>0</w:t>
            </w:r>
          </w:p>
        </w:tc>
      </w:tr>
      <w:tr w:rsidR="000A7D9D" w:rsidRPr="00EC1412" w14:paraId="46BD7E0C" w14:textId="77777777" w:rsidTr="00F31937">
        <w:tc>
          <w:tcPr>
            <w:tcW w:w="3256" w:type="dxa"/>
            <w:tcBorders>
              <w:bottom w:val="single" w:sz="4" w:space="0" w:color="auto"/>
              <w:right w:val="single" w:sz="4" w:space="0" w:color="auto"/>
            </w:tcBorders>
            <w:shd w:val="clear" w:color="auto" w:fill="FFF4CC"/>
          </w:tcPr>
          <w:p w14:paraId="73AA48EC" w14:textId="77777777" w:rsidR="000A7D9D" w:rsidRPr="00EC1412" w:rsidRDefault="000A7D9D" w:rsidP="00F31937">
            <w:pPr>
              <w:jc w:val="both"/>
              <w:rPr>
                <w:caps/>
                <w:noProof/>
                <w:sz w:val="18"/>
                <w:szCs w:val="18"/>
              </w:rPr>
            </w:pPr>
            <w:r w:rsidRPr="2D69C30E">
              <w:rPr>
                <w:noProof/>
                <w:sz w:val="18"/>
                <w:szCs w:val="18"/>
              </w:rPr>
              <w:t>Data generation mechanism</w:t>
            </w:r>
          </w:p>
        </w:tc>
        <w:tc>
          <w:tcPr>
            <w:tcW w:w="425" w:type="dxa"/>
            <w:tcBorders>
              <w:left w:val="single" w:sz="4" w:space="0" w:color="auto"/>
              <w:bottom w:val="single" w:sz="4" w:space="0" w:color="auto"/>
              <w:right w:val="dotted" w:sz="4" w:space="0" w:color="auto"/>
            </w:tcBorders>
            <w:shd w:val="clear" w:color="auto" w:fill="FFF4CC"/>
          </w:tcPr>
          <w:p w14:paraId="66BC8ABB"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dotted" w:sz="4" w:space="0" w:color="auto"/>
              <w:bottom w:val="single" w:sz="4" w:space="0" w:color="auto"/>
              <w:right w:val="single" w:sz="4" w:space="0" w:color="auto"/>
            </w:tcBorders>
            <w:shd w:val="clear" w:color="auto" w:fill="FFF4CC"/>
          </w:tcPr>
          <w:p w14:paraId="6A2311A8"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5E693F2F" w14:textId="77777777" w:rsidR="000A7D9D" w:rsidRPr="00EC1412" w:rsidRDefault="000A7D9D" w:rsidP="00F31937">
            <w:pPr>
              <w:jc w:val="right"/>
              <w:rPr>
                <w:caps/>
                <w:noProof/>
                <w:sz w:val="18"/>
                <w:szCs w:val="18"/>
              </w:rPr>
            </w:pPr>
            <w:r>
              <w:rPr>
                <w:caps/>
                <w:noProof/>
                <w:sz w:val="18"/>
                <w:szCs w:val="18"/>
              </w:rPr>
              <w:t>1</w:t>
            </w:r>
          </w:p>
        </w:tc>
        <w:tc>
          <w:tcPr>
            <w:tcW w:w="426" w:type="dxa"/>
            <w:tcBorders>
              <w:left w:val="dotted" w:sz="4" w:space="0" w:color="auto"/>
              <w:bottom w:val="single" w:sz="4" w:space="0" w:color="auto"/>
              <w:right w:val="single" w:sz="4" w:space="0" w:color="auto"/>
            </w:tcBorders>
            <w:shd w:val="clear" w:color="auto" w:fill="FFF4CC"/>
          </w:tcPr>
          <w:p w14:paraId="06A9D029"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FFF4CC"/>
          </w:tcPr>
          <w:p w14:paraId="3BA35F74"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dotted" w:sz="4" w:space="0" w:color="auto"/>
              <w:bottom w:val="single" w:sz="4" w:space="0" w:color="auto"/>
              <w:right w:val="single" w:sz="4" w:space="0" w:color="auto"/>
            </w:tcBorders>
            <w:shd w:val="clear" w:color="auto" w:fill="FFF4CC"/>
          </w:tcPr>
          <w:p w14:paraId="0591C594"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FFF4CC"/>
          </w:tcPr>
          <w:p w14:paraId="4455697A" w14:textId="77777777" w:rsidR="000A7D9D" w:rsidRPr="00EC1412" w:rsidRDefault="000A7D9D" w:rsidP="00F31937">
            <w:pPr>
              <w:jc w:val="right"/>
              <w:rPr>
                <w:caps/>
                <w:noProof/>
                <w:sz w:val="18"/>
                <w:szCs w:val="18"/>
              </w:rPr>
            </w:pPr>
            <w:r>
              <w:rPr>
                <w:caps/>
                <w:noProof/>
                <w:sz w:val="18"/>
                <w:szCs w:val="18"/>
              </w:rPr>
              <w:t>1</w:t>
            </w:r>
          </w:p>
        </w:tc>
        <w:tc>
          <w:tcPr>
            <w:tcW w:w="426" w:type="dxa"/>
            <w:tcBorders>
              <w:left w:val="dotted" w:sz="4" w:space="0" w:color="auto"/>
              <w:bottom w:val="single" w:sz="4" w:space="0" w:color="auto"/>
              <w:right w:val="single" w:sz="4" w:space="0" w:color="auto"/>
            </w:tcBorders>
            <w:shd w:val="clear" w:color="auto" w:fill="FFF4CC"/>
          </w:tcPr>
          <w:p w14:paraId="1BBC3554" w14:textId="77777777" w:rsidR="000A7D9D" w:rsidRPr="00EC1412" w:rsidRDefault="000A7D9D" w:rsidP="00F31937">
            <w:pPr>
              <w:jc w:val="right"/>
              <w:rPr>
                <w:caps/>
                <w:noProof/>
                <w:sz w:val="18"/>
                <w:szCs w:val="18"/>
              </w:rPr>
            </w:pPr>
            <w:r>
              <w:rPr>
                <w:caps/>
                <w:noProof/>
                <w:sz w:val="18"/>
                <w:szCs w:val="18"/>
              </w:rPr>
              <w:t>1</w:t>
            </w:r>
          </w:p>
        </w:tc>
        <w:tc>
          <w:tcPr>
            <w:tcW w:w="708" w:type="dxa"/>
            <w:tcBorders>
              <w:left w:val="single" w:sz="4" w:space="0" w:color="auto"/>
              <w:bottom w:val="single" w:sz="4" w:space="0" w:color="auto"/>
              <w:right w:val="single" w:sz="4" w:space="0" w:color="auto"/>
            </w:tcBorders>
            <w:shd w:val="clear" w:color="auto" w:fill="FFF4CC"/>
          </w:tcPr>
          <w:p w14:paraId="1E56A059" w14:textId="77777777" w:rsidR="000A7D9D" w:rsidRPr="00EC1412" w:rsidRDefault="000A7D9D" w:rsidP="00F31937">
            <w:pPr>
              <w:jc w:val="right"/>
              <w:rPr>
                <w:caps/>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7C523F16" w14:textId="77777777" w:rsidR="000A7D9D" w:rsidRPr="00EC1412" w:rsidRDefault="000A7D9D" w:rsidP="00F31937">
            <w:pPr>
              <w:jc w:val="right"/>
              <w:rPr>
                <w:caps/>
                <w:noProof/>
                <w:sz w:val="18"/>
                <w:szCs w:val="18"/>
              </w:rPr>
            </w:pPr>
            <w:r w:rsidRPr="2D69C30E">
              <w:rPr>
                <w:noProof/>
                <w:sz w:val="18"/>
                <w:szCs w:val="18"/>
              </w:rPr>
              <w:t xml:space="preserve">1 </w:t>
            </w:r>
            <w:r>
              <w:rPr>
                <w:noProof/>
                <w:sz w:val="18"/>
                <w:szCs w:val="18"/>
              </w:rPr>
              <w:t>000</w:t>
            </w:r>
          </w:p>
        </w:tc>
        <w:tc>
          <w:tcPr>
            <w:tcW w:w="709" w:type="dxa"/>
            <w:tcBorders>
              <w:left w:val="single" w:sz="4" w:space="0" w:color="auto"/>
              <w:bottom w:val="single" w:sz="4" w:space="0" w:color="auto"/>
              <w:right w:val="single" w:sz="4" w:space="0" w:color="auto"/>
            </w:tcBorders>
            <w:shd w:val="clear" w:color="auto" w:fill="FFF4CC"/>
          </w:tcPr>
          <w:p w14:paraId="7A4B1724" w14:textId="77777777" w:rsidR="000A7D9D" w:rsidRPr="00EC1412" w:rsidRDefault="000A7D9D" w:rsidP="00F31937">
            <w:pPr>
              <w:jc w:val="right"/>
              <w:rPr>
                <w:caps/>
                <w:noProof/>
                <w:sz w:val="18"/>
                <w:szCs w:val="18"/>
              </w:rPr>
            </w:pPr>
            <w:r w:rsidRPr="2D69C30E">
              <w:rPr>
                <w:noProof/>
                <w:sz w:val="18"/>
                <w:szCs w:val="18"/>
              </w:rPr>
              <w:t xml:space="preserve">3 </w:t>
            </w:r>
            <w:r>
              <w:rPr>
                <w:noProof/>
                <w:sz w:val="18"/>
                <w:szCs w:val="18"/>
              </w:rPr>
              <w:t>000</w:t>
            </w:r>
          </w:p>
        </w:tc>
        <w:tc>
          <w:tcPr>
            <w:tcW w:w="709" w:type="dxa"/>
            <w:tcBorders>
              <w:left w:val="single" w:sz="4" w:space="0" w:color="auto"/>
              <w:bottom w:val="single" w:sz="4" w:space="0" w:color="auto"/>
            </w:tcBorders>
            <w:shd w:val="clear" w:color="auto" w:fill="FFF4CC"/>
          </w:tcPr>
          <w:p w14:paraId="2DC3AC80" w14:textId="77777777" w:rsidR="000A7D9D" w:rsidRPr="00EC1412" w:rsidRDefault="000A7D9D" w:rsidP="00F31937">
            <w:pPr>
              <w:jc w:val="right"/>
              <w:rPr>
                <w:caps/>
                <w:noProof/>
                <w:sz w:val="18"/>
                <w:szCs w:val="18"/>
              </w:rPr>
            </w:pPr>
            <w:r w:rsidRPr="2D69C30E">
              <w:rPr>
                <w:noProof/>
                <w:sz w:val="18"/>
                <w:szCs w:val="18"/>
              </w:rPr>
              <w:t xml:space="preserve">5 </w:t>
            </w:r>
            <w:r>
              <w:rPr>
                <w:noProof/>
                <w:sz w:val="18"/>
                <w:szCs w:val="18"/>
              </w:rPr>
              <w:t>000</w:t>
            </w:r>
          </w:p>
        </w:tc>
      </w:tr>
      <w:tr w:rsidR="000A7D9D" w:rsidRPr="00EC1412" w14:paraId="74161322" w14:textId="77777777" w:rsidTr="00F31937">
        <w:tc>
          <w:tcPr>
            <w:tcW w:w="3256" w:type="dxa"/>
            <w:tcBorders>
              <w:bottom w:val="single" w:sz="4" w:space="0" w:color="auto"/>
              <w:right w:val="single" w:sz="4" w:space="0" w:color="auto"/>
            </w:tcBorders>
            <w:shd w:val="clear" w:color="auto" w:fill="C1ECFF"/>
          </w:tcPr>
          <w:p w14:paraId="6E995A23" w14:textId="77777777" w:rsidR="000A7D9D" w:rsidRPr="00EC1412" w:rsidRDefault="000A7D9D" w:rsidP="00F31937">
            <w:pPr>
              <w:jc w:val="both"/>
              <w:rPr>
                <w:noProof/>
                <w:sz w:val="18"/>
                <w:szCs w:val="18"/>
              </w:rPr>
            </w:pPr>
            <w:r w:rsidRPr="2D69C30E">
              <w:rPr>
                <w:noProof/>
                <w:sz w:val="18"/>
                <w:szCs w:val="18"/>
              </w:rPr>
              <w:t>Mechanism for notification of studies and database for study notifications</w:t>
            </w:r>
          </w:p>
        </w:tc>
        <w:tc>
          <w:tcPr>
            <w:tcW w:w="425" w:type="dxa"/>
            <w:tcBorders>
              <w:left w:val="single" w:sz="4" w:space="0" w:color="auto"/>
              <w:bottom w:val="single" w:sz="4" w:space="0" w:color="auto"/>
              <w:right w:val="dotted" w:sz="4" w:space="0" w:color="auto"/>
            </w:tcBorders>
            <w:shd w:val="clear" w:color="auto" w:fill="C1ECFF"/>
          </w:tcPr>
          <w:p w14:paraId="0C23F15F" w14:textId="77777777" w:rsidR="000A7D9D" w:rsidRPr="00EC1412" w:rsidRDefault="000A7D9D" w:rsidP="00F31937">
            <w:pPr>
              <w:jc w:val="right"/>
              <w:rPr>
                <w:noProof/>
                <w:sz w:val="18"/>
                <w:szCs w:val="18"/>
              </w:rPr>
            </w:pPr>
            <w:r>
              <w:rPr>
                <w:caps/>
                <w:noProof/>
                <w:sz w:val="18"/>
                <w:szCs w:val="18"/>
              </w:rPr>
              <w:t>1</w:t>
            </w:r>
          </w:p>
        </w:tc>
        <w:tc>
          <w:tcPr>
            <w:tcW w:w="425" w:type="dxa"/>
            <w:tcBorders>
              <w:left w:val="dotted" w:sz="4" w:space="0" w:color="auto"/>
              <w:bottom w:val="single" w:sz="4" w:space="0" w:color="auto"/>
              <w:right w:val="single" w:sz="4" w:space="0" w:color="auto"/>
            </w:tcBorders>
            <w:shd w:val="clear" w:color="auto" w:fill="C1ECFF"/>
          </w:tcPr>
          <w:p w14:paraId="59EF7857" w14:textId="77777777" w:rsidR="000A7D9D" w:rsidRPr="00EC1412" w:rsidRDefault="000A7D9D" w:rsidP="00F31937">
            <w:pPr>
              <w:spacing w:line="259" w:lineRule="auto"/>
              <w:jc w:val="right"/>
              <w:rPr>
                <w:noProof/>
                <w:sz w:val="18"/>
                <w:szCs w:val="18"/>
              </w:rPr>
            </w:pPr>
            <w:r>
              <w:rPr>
                <w:noProof/>
                <w:sz w:val="18"/>
                <w:szCs w:val="18"/>
              </w:rPr>
              <w:t>2</w:t>
            </w:r>
          </w:p>
        </w:tc>
        <w:tc>
          <w:tcPr>
            <w:tcW w:w="425" w:type="dxa"/>
            <w:tcBorders>
              <w:left w:val="single" w:sz="4" w:space="0" w:color="auto"/>
              <w:bottom w:val="single" w:sz="4" w:space="0" w:color="auto"/>
              <w:right w:val="dotted" w:sz="4" w:space="0" w:color="auto"/>
            </w:tcBorders>
            <w:shd w:val="clear" w:color="auto" w:fill="C1ECFF"/>
          </w:tcPr>
          <w:p w14:paraId="52E88F99" w14:textId="77777777" w:rsidR="000A7D9D" w:rsidRPr="00EC1412" w:rsidRDefault="000A7D9D" w:rsidP="00F31937">
            <w:pPr>
              <w:jc w:val="right"/>
              <w:rPr>
                <w:noProof/>
                <w:sz w:val="18"/>
                <w:szCs w:val="18"/>
              </w:rPr>
            </w:pPr>
            <w:r>
              <w:rPr>
                <w:caps/>
                <w:noProof/>
                <w:sz w:val="18"/>
                <w:szCs w:val="18"/>
              </w:rPr>
              <w:t>1</w:t>
            </w:r>
          </w:p>
        </w:tc>
        <w:tc>
          <w:tcPr>
            <w:tcW w:w="426" w:type="dxa"/>
            <w:tcBorders>
              <w:left w:val="dotted" w:sz="4" w:space="0" w:color="auto"/>
              <w:bottom w:val="single" w:sz="4" w:space="0" w:color="auto"/>
              <w:right w:val="single" w:sz="4" w:space="0" w:color="auto"/>
            </w:tcBorders>
            <w:shd w:val="clear" w:color="auto" w:fill="C1ECFF"/>
          </w:tcPr>
          <w:p w14:paraId="3ED9D34C" w14:textId="77777777" w:rsidR="000A7D9D" w:rsidRPr="00EC1412" w:rsidRDefault="000A7D9D" w:rsidP="00F31937">
            <w:pPr>
              <w:spacing w:line="259" w:lineRule="auto"/>
              <w:jc w:val="right"/>
              <w:rPr>
                <w:noProof/>
                <w:sz w:val="18"/>
                <w:szCs w:val="18"/>
              </w:rPr>
            </w:pPr>
            <w:r>
              <w:rPr>
                <w:noProof/>
                <w:sz w:val="18"/>
                <w:szCs w:val="18"/>
              </w:rPr>
              <w:t>2</w:t>
            </w:r>
          </w:p>
        </w:tc>
        <w:tc>
          <w:tcPr>
            <w:tcW w:w="425" w:type="dxa"/>
            <w:tcBorders>
              <w:left w:val="single" w:sz="4" w:space="0" w:color="auto"/>
              <w:bottom w:val="single" w:sz="4" w:space="0" w:color="auto"/>
              <w:right w:val="dotted" w:sz="4" w:space="0" w:color="auto"/>
            </w:tcBorders>
            <w:shd w:val="clear" w:color="auto" w:fill="C1ECFF"/>
          </w:tcPr>
          <w:p w14:paraId="458BE7F8" w14:textId="77777777" w:rsidR="000A7D9D" w:rsidRPr="00EC1412" w:rsidRDefault="000A7D9D" w:rsidP="00F31937">
            <w:pPr>
              <w:jc w:val="right"/>
              <w:rPr>
                <w:noProof/>
                <w:sz w:val="18"/>
                <w:szCs w:val="18"/>
              </w:rPr>
            </w:pPr>
            <w:r>
              <w:rPr>
                <w:caps/>
                <w:noProof/>
                <w:sz w:val="18"/>
                <w:szCs w:val="18"/>
              </w:rPr>
              <w:t>1</w:t>
            </w:r>
          </w:p>
        </w:tc>
        <w:tc>
          <w:tcPr>
            <w:tcW w:w="425" w:type="dxa"/>
            <w:tcBorders>
              <w:left w:val="dotted" w:sz="4" w:space="0" w:color="auto"/>
              <w:bottom w:val="single" w:sz="4" w:space="0" w:color="auto"/>
              <w:right w:val="single" w:sz="4" w:space="0" w:color="auto"/>
            </w:tcBorders>
            <w:shd w:val="clear" w:color="auto" w:fill="C1ECFF"/>
          </w:tcPr>
          <w:p w14:paraId="234EFB5F" w14:textId="77777777" w:rsidR="000A7D9D" w:rsidRPr="00EC1412" w:rsidRDefault="000A7D9D" w:rsidP="00F31937">
            <w:pPr>
              <w:spacing w:line="259" w:lineRule="auto"/>
              <w:jc w:val="right"/>
              <w:rPr>
                <w:noProof/>
                <w:sz w:val="18"/>
                <w:szCs w:val="18"/>
              </w:rPr>
            </w:pPr>
            <w:r>
              <w:rPr>
                <w:noProof/>
                <w:sz w:val="18"/>
                <w:szCs w:val="18"/>
              </w:rPr>
              <w:t>2</w:t>
            </w:r>
          </w:p>
        </w:tc>
        <w:tc>
          <w:tcPr>
            <w:tcW w:w="425" w:type="dxa"/>
            <w:tcBorders>
              <w:left w:val="single" w:sz="4" w:space="0" w:color="auto"/>
              <w:bottom w:val="single" w:sz="4" w:space="0" w:color="auto"/>
              <w:right w:val="dotted" w:sz="4" w:space="0" w:color="auto"/>
            </w:tcBorders>
            <w:shd w:val="clear" w:color="auto" w:fill="C1ECFF"/>
          </w:tcPr>
          <w:p w14:paraId="280E4308" w14:textId="77777777" w:rsidR="000A7D9D" w:rsidRPr="00EC1412" w:rsidRDefault="000A7D9D" w:rsidP="00F31937">
            <w:pPr>
              <w:jc w:val="right"/>
              <w:rPr>
                <w:noProof/>
                <w:sz w:val="18"/>
                <w:szCs w:val="18"/>
              </w:rPr>
            </w:pPr>
            <w:r>
              <w:rPr>
                <w:caps/>
                <w:noProof/>
                <w:sz w:val="18"/>
                <w:szCs w:val="18"/>
              </w:rPr>
              <w:t>1</w:t>
            </w:r>
          </w:p>
        </w:tc>
        <w:tc>
          <w:tcPr>
            <w:tcW w:w="426" w:type="dxa"/>
            <w:tcBorders>
              <w:left w:val="dotted" w:sz="4" w:space="0" w:color="auto"/>
              <w:bottom w:val="single" w:sz="4" w:space="0" w:color="auto"/>
              <w:right w:val="single" w:sz="4" w:space="0" w:color="auto"/>
            </w:tcBorders>
            <w:shd w:val="clear" w:color="auto" w:fill="C1ECFF"/>
          </w:tcPr>
          <w:p w14:paraId="462E4360" w14:textId="77777777" w:rsidR="000A7D9D" w:rsidRPr="00EC1412" w:rsidRDefault="000A7D9D" w:rsidP="00F31937">
            <w:pPr>
              <w:spacing w:line="259" w:lineRule="auto"/>
              <w:jc w:val="right"/>
              <w:rPr>
                <w:noProof/>
                <w:sz w:val="18"/>
                <w:szCs w:val="18"/>
              </w:rPr>
            </w:pPr>
            <w:r>
              <w:rPr>
                <w:noProof/>
                <w:sz w:val="18"/>
                <w:szCs w:val="18"/>
              </w:rPr>
              <w:t>2</w:t>
            </w:r>
          </w:p>
        </w:tc>
        <w:tc>
          <w:tcPr>
            <w:tcW w:w="708" w:type="dxa"/>
            <w:tcBorders>
              <w:left w:val="single" w:sz="4" w:space="0" w:color="auto"/>
              <w:bottom w:val="single" w:sz="4" w:space="0" w:color="auto"/>
              <w:right w:val="single" w:sz="4" w:space="0" w:color="auto"/>
            </w:tcBorders>
            <w:shd w:val="clear" w:color="auto" w:fill="C1ECFF"/>
          </w:tcPr>
          <w:p w14:paraId="77DB9FED" w14:textId="77777777" w:rsidR="000A7D9D" w:rsidRPr="00EC1412" w:rsidRDefault="000A7D9D" w:rsidP="00F31937">
            <w:pPr>
              <w:jc w:val="right"/>
              <w:rPr>
                <w:caps/>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C1ECFF"/>
          </w:tcPr>
          <w:p w14:paraId="3F933013" w14:textId="77777777" w:rsidR="000A7D9D" w:rsidRPr="00EC1412" w:rsidRDefault="000A7D9D" w:rsidP="00F31937">
            <w:pPr>
              <w:spacing w:line="259" w:lineRule="auto"/>
              <w:jc w:val="right"/>
              <w:rPr>
                <w:caps/>
                <w:noProof/>
                <w:sz w:val="18"/>
                <w:szCs w:val="18"/>
              </w:rPr>
            </w:pPr>
            <w:r w:rsidRPr="2FCD3695">
              <w:rPr>
                <w:noProof/>
                <w:sz w:val="18"/>
                <w:szCs w:val="18"/>
              </w:rPr>
              <w:t>1 2</w:t>
            </w:r>
            <w:r>
              <w:rPr>
                <w:noProof/>
                <w:sz w:val="18"/>
                <w:szCs w:val="18"/>
              </w:rPr>
              <w:t>00</w:t>
            </w:r>
          </w:p>
        </w:tc>
        <w:tc>
          <w:tcPr>
            <w:tcW w:w="709" w:type="dxa"/>
            <w:tcBorders>
              <w:left w:val="single" w:sz="4" w:space="0" w:color="auto"/>
              <w:bottom w:val="single" w:sz="4" w:space="0" w:color="auto"/>
              <w:right w:val="single" w:sz="4" w:space="0" w:color="auto"/>
            </w:tcBorders>
            <w:shd w:val="clear" w:color="auto" w:fill="C1ECFF"/>
          </w:tcPr>
          <w:p w14:paraId="0CA80ED0" w14:textId="77777777" w:rsidR="000A7D9D" w:rsidRPr="00EC1412" w:rsidRDefault="000A7D9D" w:rsidP="00F31937">
            <w:pPr>
              <w:jc w:val="right"/>
              <w:rPr>
                <w:caps/>
                <w:noProof/>
                <w:sz w:val="18"/>
                <w:szCs w:val="18"/>
              </w:rPr>
            </w:pPr>
            <w:r>
              <w:rPr>
                <w:noProof/>
                <w:sz w:val="18"/>
                <w:szCs w:val="18"/>
              </w:rPr>
              <w:t>400</w:t>
            </w:r>
          </w:p>
        </w:tc>
        <w:tc>
          <w:tcPr>
            <w:tcW w:w="709" w:type="dxa"/>
            <w:tcBorders>
              <w:left w:val="single" w:sz="4" w:space="0" w:color="auto"/>
              <w:bottom w:val="single" w:sz="4" w:space="0" w:color="auto"/>
            </w:tcBorders>
            <w:shd w:val="clear" w:color="auto" w:fill="C1ECFF"/>
          </w:tcPr>
          <w:p w14:paraId="264D0719" w14:textId="77777777" w:rsidR="000A7D9D" w:rsidRPr="00EC1412" w:rsidRDefault="000A7D9D" w:rsidP="00F31937">
            <w:pPr>
              <w:spacing w:line="259" w:lineRule="auto"/>
              <w:jc w:val="right"/>
              <w:rPr>
                <w:caps/>
                <w:noProof/>
                <w:sz w:val="18"/>
                <w:szCs w:val="18"/>
              </w:rPr>
            </w:pPr>
            <w:r w:rsidRPr="2FCD3695">
              <w:rPr>
                <w:noProof/>
                <w:sz w:val="18"/>
                <w:szCs w:val="18"/>
              </w:rPr>
              <w:t>20</w:t>
            </w:r>
            <w:r>
              <w:rPr>
                <w:noProof/>
                <w:sz w:val="18"/>
                <w:szCs w:val="18"/>
              </w:rPr>
              <w:t>0</w:t>
            </w:r>
          </w:p>
        </w:tc>
      </w:tr>
      <w:tr w:rsidR="000A7D9D" w:rsidRPr="00EC1412" w14:paraId="53B66F9D" w14:textId="77777777" w:rsidTr="00F31937">
        <w:tc>
          <w:tcPr>
            <w:tcW w:w="3256" w:type="dxa"/>
            <w:tcBorders>
              <w:bottom w:val="single" w:sz="4" w:space="0" w:color="auto"/>
              <w:right w:val="single" w:sz="4" w:space="0" w:color="auto"/>
            </w:tcBorders>
            <w:shd w:val="clear" w:color="auto" w:fill="FFF4CC"/>
          </w:tcPr>
          <w:p w14:paraId="0DE90361" w14:textId="77777777" w:rsidR="000A7D9D" w:rsidRPr="00EC1412" w:rsidRDefault="000A7D9D" w:rsidP="00F31937">
            <w:pPr>
              <w:jc w:val="both"/>
              <w:rPr>
                <w:caps/>
                <w:noProof/>
                <w:sz w:val="18"/>
                <w:szCs w:val="18"/>
              </w:rPr>
            </w:pPr>
            <w:r w:rsidRPr="2D69C30E">
              <w:rPr>
                <w:noProof/>
                <w:sz w:val="18"/>
                <w:szCs w:val="18"/>
              </w:rPr>
              <w:t>Early warning and action system for emerging chemical risks and framework of indicators</w:t>
            </w:r>
          </w:p>
        </w:tc>
        <w:tc>
          <w:tcPr>
            <w:tcW w:w="425" w:type="dxa"/>
            <w:tcBorders>
              <w:left w:val="single" w:sz="4" w:space="0" w:color="auto"/>
              <w:bottom w:val="single" w:sz="4" w:space="0" w:color="auto"/>
              <w:right w:val="dotted" w:sz="4" w:space="0" w:color="auto"/>
            </w:tcBorders>
            <w:shd w:val="clear" w:color="auto" w:fill="FFF4CC"/>
          </w:tcPr>
          <w:p w14:paraId="3F3355D0"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left w:val="dotted" w:sz="4" w:space="0" w:color="auto"/>
              <w:bottom w:val="single" w:sz="4" w:space="0" w:color="auto"/>
              <w:right w:val="single" w:sz="4" w:space="0" w:color="auto"/>
            </w:tcBorders>
            <w:shd w:val="clear" w:color="auto" w:fill="FFF4CC"/>
          </w:tcPr>
          <w:p w14:paraId="2F6FE188"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722BF77E" w14:textId="77777777" w:rsidR="000A7D9D" w:rsidRPr="00EC1412" w:rsidRDefault="000A7D9D" w:rsidP="00F31937">
            <w:pPr>
              <w:jc w:val="right"/>
              <w:rPr>
                <w:caps/>
                <w:noProof/>
                <w:sz w:val="18"/>
                <w:szCs w:val="18"/>
              </w:rPr>
            </w:pPr>
            <w:r w:rsidRPr="00EC1412">
              <w:rPr>
                <w:caps/>
                <w:noProof/>
                <w:sz w:val="18"/>
                <w:szCs w:val="18"/>
              </w:rPr>
              <w:t>1</w:t>
            </w:r>
          </w:p>
        </w:tc>
        <w:tc>
          <w:tcPr>
            <w:tcW w:w="426" w:type="dxa"/>
            <w:tcBorders>
              <w:left w:val="dotted" w:sz="4" w:space="0" w:color="auto"/>
              <w:bottom w:val="single" w:sz="4" w:space="0" w:color="auto"/>
              <w:right w:val="single" w:sz="4" w:space="0" w:color="auto"/>
            </w:tcBorders>
            <w:shd w:val="clear" w:color="auto" w:fill="FFF4CC"/>
          </w:tcPr>
          <w:p w14:paraId="1BC29BDB"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13E1D66F"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left w:val="dotted" w:sz="4" w:space="0" w:color="auto"/>
              <w:bottom w:val="single" w:sz="4" w:space="0" w:color="auto"/>
              <w:right w:val="single" w:sz="4" w:space="0" w:color="auto"/>
            </w:tcBorders>
            <w:shd w:val="clear" w:color="auto" w:fill="FFF4CC"/>
          </w:tcPr>
          <w:p w14:paraId="59EC2ACD"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5432E971" w14:textId="77777777" w:rsidR="000A7D9D" w:rsidRPr="00EC1412" w:rsidRDefault="000A7D9D" w:rsidP="00F31937">
            <w:pPr>
              <w:jc w:val="right"/>
              <w:rPr>
                <w:caps/>
                <w:noProof/>
                <w:sz w:val="18"/>
                <w:szCs w:val="18"/>
              </w:rPr>
            </w:pPr>
            <w:r w:rsidRPr="00EC1412">
              <w:rPr>
                <w:caps/>
                <w:noProof/>
                <w:sz w:val="18"/>
                <w:szCs w:val="18"/>
              </w:rPr>
              <w:t>1</w:t>
            </w:r>
          </w:p>
        </w:tc>
        <w:tc>
          <w:tcPr>
            <w:tcW w:w="426" w:type="dxa"/>
            <w:tcBorders>
              <w:left w:val="dotted" w:sz="4" w:space="0" w:color="auto"/>
              <w:bottom w:val="single" w:sz="4" w:space="0" w:color="auto"/>
              <w:right w:val="single" w:sz="4" w:space="0" w:color="auto"/>
            </w:tcBorders>
            <w:shd w:val="clear" w:color="auto" w:fill="FFF4CC"/>
          </w:tcPr>
          <w:p w14:paraId="40326E44" w14:textId="77777777" w:rsidR="000A7D9D" w:rsidRPr="00EC1412" w:rsidRDefault="000A7D9D" w:rsidP="00F31937">
            <w:pPr>
              <w:jc w:val="right"/>
              <w:rPr>
                <w:caps/>
                <w:noProof/>
                <w:sz w:val="18"/>
                <w:szCs w:val="18"/>
              </w:rPr>
            </w:pPr>
            <w:r>
              <w:rPr>
                <w:caps/>
                <w:noProof/>
                <w:sz w:val="18"/>
                <w:szCs w:val="18"/>
              </w:rPr>
              <w:t>0</w:t>
            </w:r>
          </w:p>
        </w:tc>
        <w:tc>
          <w:tcPr>
            <w:tcW w:w="708" w:type="dxa"/>
            <w:tcBorders>
              <w:left w:val="single" w:sz="4" w:space="0" w:color="auto"/>
              <w:bottom w:val="single" w:sz="4" w:space="0" w:color="auto"/>
              <w:right w:val="single" w:sz="4" w:space="0" w:color="auto"/>
            </w:tcBorders>
            <w:shd w:val="clear" w:color="auto" w:fill="FFF4CC"/>
          </w:tcPr>
          <w:p w14:paraId="69BCF4DA" w14:textId="77777777" w:rsidR="000A7D9D" w:rsidRPr="00EC1412" w:rsidRDefault="000A7D9D" w:rsidP="00F31937">
            <w:pPr>
              <w:jc w:val="right"/>
              <w:rPr>
                <w:caps/>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110A3A59" w14:textId="77777777" w:rsidR="000A7D9D" w:rsidRPr="00EC1412" w:rsidRDefault="000A7D9D" w:rsidP="00F31937">
            <w:pPr>
              <w:spacing w:line="259" w:lineRule="auto"/>
              <w:jc w:val="right"/>
              <w:rPr>
                <w:caps/>
                <w:noProof/>
                <w:sz w:val="18"/>
                <w:szCs w:val="18"/>
              </w:rPr>
            </w:pPr>
            <w:r w:rsidRPr="2FCD3695">
              <w:rPr>
                <w:noProof/>
                <w:sz w:val="18"/>
                <w:szCs w:val="18"/>
              </w:rPr>
              <w:t>30</w:t>
            </w:r>
            <w:r>
              <w:rPr>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506D1211" w14:textId="77777777" w:rsidR="000A7D9D" w:rsidRPr="00EC1412" w:rsidRDefault="000A7D9D" w:rsidP="00F31937">
            <w:pPr>
              <w:jc w:val="right"/>
              <w:rPr>
                <w:caps/>
                <w:noProof/>
                <w:sz w:val="18"/>
                <w:szCs w:val="18"/>
              </w:rPr>
            </w:pPr>
            <w:r>
              <w:rPr>
                <w:noProof/>
                <w:sz w:val="18"/>
                <w:szCs w:val="18"/>
              </w:rPr>
              <w:t>150</w:t>
            </w:r>
          </w:p>
        </w:tc>
        <w:tc>
          <w:tcPr>
            <w:tcW w:w="709" w:type="dxa"/>
            <w:tcBorders>
              <w:left w:val="single" w:sz="4" w:space="0" w:color="auto"/>
              <w:bottom w:val="single" w:sz="4" w:space="0" w:color="auto"/>
            </w:tcBorders>
            <w:shd w:val="clear" w:color="auto" w:fill="FFF4CC"/>
          </w:tcPr>
          <w:p w14:paraId="035AF6B0" w14:textId="77777777" w:rsidR="000A7D9D" w:rsidRPr="00EC1412" w:rsidRDefault="000A7D9D" w:rsidP="00F31937">
            <w:pPr>
              <w:jc w:val="right"/>
              <w:rPr>
                <w:caps/>
                <w:noProof/>
                <w:sz w:val="18"/>
                <w:szCs w:val="18"/>
              </w:rPr>
            </w:pPr>
            <w:r>
              <w:rPr>
                <w:noProof/>
                <w:sz w:val="18"/>
                <w:szCs w:val="18"/>
              </w:rPr>
              <w:t>150</w:t>
            </w:r>
          </w:p>
        </w:tc>
      </w:tr>
      <w:tr w:rsidR="000A7D9D" w:rsidRPr="00EC1412" w14:paraId="62D70C04" w14:textId="77777777" w:rsidTr="00F31937">
        <w:tc>
          <w:tcPr>
            <w:tcW w:w="3256" w:type="dxa"/>
            <w:tcBorders>
              <w:bottom w:val="single" w:sz="4" w:space="0" w:color="auto"/>
              <w:right w:val="single" w:sz="4" w:space="0" w:color="auto"/>
            </w:tcBorders>
            <w:shd w:val="clear" w:color="auto" w:fill="C1ECFF"/>
          </w:tcPr>
          <w:p w14:paraId="18E4C449" w14:textId="77777777" w:rsidR="000A7D9D" w:rsidRPr="2D69C30E" w:rsidRDefault="000A7D9D" w:rsidP="00F31937">
            <w:pPr>
              <w:jc w:val="both"/>
              <w:rPr>
                <w:noProof/>
                <w:sz w:val="18"/>
                <w:szCs w:val="18"/>
              </w:rPr>
            </w:pPr>
            <w:r w:rsidRPr="00667029">
              <w:rPr>
                <w:noProof/>
                <w:sz w:val="18"/>
                <w:szCs w:val="18"/>
              </w:rPr>
              <w:t>Observatory for specific chemicals with potential contribution to emerging chemical risks</w:t>
            </w:r>
          </w:p>
        </w:tc>
        <w:tc>
          <w:tcPr>
            <w:tcW w:w="425" w:type="dxa"/>
            <w:tcBorders>
              <w:left w:val="single" w:sz="4" w:space="0" w:color="auto"/>
              <w:bottom w:val="single" w:sz="4" w:space="0" w:color="auto"/>
              <w:right w:val="dotted" w:sz="4" w:space="0" w:color="auto"/>
            </w:tcBorders>
            <w:shd w:val="clear" w:color="auto" w:fill="C1ECFF"/>
          </w:tcPr>
          <w:p w14:paraId="1B4AEDBA"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248EBDCE"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13145B62"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dotted" w:sz="4" w:space="0" w:color="auto"/>
              <w:bottom w:val="single" w:sz="4" w:space="0" w:color="auto"/>
              <w:right w:val="single" w:sz="4" w:space="0" w:color="auto"/>
            </w:tcBorders>
            <w:shd w:val="clear" w:color="auto" w:fill="C1ECFF"/>
          </w:tcPr>
          <w:p w14:paraId="0F028663"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6EEA37E3"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2A6EFAF3"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7E9DFCF0"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dotted" w:sz="4" w:space="0" w:color="auto"/>
              <w:bottom w:val="single" w:sz="4" w:space="0" w:color="auto"/>
              <w:right w:val="single" w:sz="4" w:space="0" w:color="auto"/>
            </w:tcBorders>
            <w:shd w:val="clear" w:color="auto" w:fill="C1ECFF"/>
          </w:tcPr>
          <w:p w14:paraId="0DFD7A07" w14:textId="77777777" w:rsidR="000A7D9D" w:rsidRPr="00EC1412" w:rsidRDefault="000A7D9D" w:rsidP="00F31937">
            <w:pPr>
              <w:jc w:val="right"/>
              <w:rPr>
                <w:caps/>
                <w:noProof/>
                <w:sz w:val="18"/>
                <w:szCs w:val="18"/>
              </w:rPr>
            </w:pPr>
            <w:r>
              <w:rPr>
                <w:caps/>
                <w:noProof/>
                <w:sz w:val="18"/>
                <w:szCs w:val="18"/>
              </w:rPr>
              <w:t>0</w:t>
            </w:r>
          </w:p>
        </w:tc>
        <w:tc>
          <w:tcPr>
            <w:tcW w:w="708" w:type="dxa"/>
            <w:tcBorders>
              <w:left w:val="single" w:sz="4" w:space="0" w:color="auto"/>
              <w:bottom w:val="single" w:sz="4" w:space="0" w:color="auto"/>
              <w:right w:val="single" w:sz="4" w:space="0" w:color="auto"/>
            </w:tcBorders>
            <w:shd w:val="clear" w:color="auto" w:fill="C1ECFF"/>
          </w:tcPr>
          <w:p w14:paraId="503F1551" w14:textId="77777777" w:rsidR="000A7D9D" w:rsidRDefault="000A7D9D" w:rsidP="00F31937">
            <w:pPr>
              <w:jc w:val="right"/>
              <w:rPr>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C1ECFF"/>
          </w:tcPr>
          <w:p w14:paraId="1F2195CD" w14:textId="77777777" w:rsidR="000A7D9D" w:rsidRPr="2FCD3695" w:rsidRDefault="000A7D9D" w:rsidP="00F31937">
            <w:pPr>
              <w:jc w:val="right"/>
              <w:rPr>
                <w:noProof/>
                <w:sz w:val="18"/>
                <w:szCs w:val="18"/>
              </w:rPr>
            </w:pPr>
            <w:r>
              <w:rPr>
                <w:noProof/>
                <w:sz w:val="18"/>
                <w:szCs w:val="18"/>
              </w:rPr>
              <w:t>0</w:t>
            </w:r>
          </w:p>
        </w:tc>
        <w:tc>
          <w:tcPr>
            <w:tcW w:w="709" w:type="dxa"/>
            <w:tcBorders>
              <w:left w:val="single" w:sz="4" w:space="0" w:color="auto"/>
              <w:bottom w:val="single" w:sz="4" w:space="0" w:color="auto"/>
              <w:right w:val="single" w:sz="4" w:space="0" w:color="auto"/>
            </w:tcBorders>
            <w:shd w:val="clear" w:color="auto" w:fill="C1ECFF"/>
          </w:tcPr>
          <w:p w14:paraId="667C96FD" w14:textId="77777777" w:rsidR="000A7D9D" w:rsidRDefault="000A7D9D" w:rsidP="00F31937">
            <w:pPr>
              <w:jc w:val="right"/>
              <w:rPr>
                <w:noProof/>
                <w:sz w:val="18"/>
                <w:szCs w:val="18"/>
              </w:rPr>
            </w:pPr>
            <w:r>
              <w:rPr>
                <w:noProof/>
                <w:sz w:val="18"/>
                <w:szCs w:val="18"/>
              </w:rPr>
              <w:t>0</w:t>
            </w:r>
          </w:p>
        </w:tc>
        <w:tc>
          <w:tcPr>
            <w:tcW w:w="709" w:type="dxa"/>
            <w:tcBorders>
              <w:left w:val="single" w:sz="4" w:space="0" w:color="auto"/>
              <w:bottom w:val="single" w:sz="4" w:space="0" w:color="auto"/>
            </w:tcBorders>
            <w:shd w:val="clear" w:color="auto" w:fill="C1ECFF"/>
          </w:tcPr>
          <w:p w14:paraId="54B9469E" w14:textId="77777777" w:rsidR="000A7D9D" w:rsidRDefault="000A7D9D" w:rsidP="00F31937">
            <w:pPr>
              <w:jc w:val="right"/>
              <w:rPr>
                <w:noProof/>
                <w:sz w:val="18"/>
                <w:szCs w:val="18"/>
              </w:rPr>
            </w:pPr>
            <w:r>
              <w:rPr>
                <w:noProof/>
                <w:sz w:val="18"/>
                <w:szCs w:val="18"/>
              </w:rPr>
              <w:t>0</w:t>
            </w:r>
          </w:p>
        </w:tc>
      </w:tr>
      <w:tr w:rsidR="000A7D9D" w:rsidRPr="00EC1412" w14:paraId="2CDE9D9B" w14:textId="77777777" w:rsidTr="00F31937">
        <w:tc>
          <w:tcPr>
            <w:tcW w:w="3256" w:type="dxa"/>
            <w:shd w:val="clear" w:color="auto" w:fill="BFBFBF" w:themeFill="background1" w:themeFillShade="BF"/>
          </w:tcPr>
          <w:p w14:paraId="6EF4CF84" w14:textId="77777777" w:rsidR="000A7D9D" w:rsidRPr="00EC1412" w:rsidRDefault="000A7D9D" w:rsidP="00F31937">
            <w:pPr>
              <w:jc w:val="both"/>
              <w:rPr>
                <w:b/>
                <w:caps/>
                <w:noProof/>
                <w:sz w:val="18"/>
                <w:szCs w:val="18"/>
              </w:rPr>
            </w:pPr>
            <w:r w:rsidRPr="00EC1412">
              <w:rPr>
                <w:b/>
                <w:caps/>
                <w:noProof/>
                <w:sz w:val="18"/>
                <w:szCs w:val="18"/>
              </w:rPr>
              <w:t>SUm</w:t>
            </w:r>
          </w:p>
        </w:tc>
        <w:tc>
          <w:tcPr>
            <w:tcW w:w="425" w:type="dxa"/>
            <w:shd w:val="clear" w:color="auto" w:fill="BFBFBF" w:themeFill="background1" w:themeFillShade="BF"/>
          </w:tcPr>
          <w:p w14:paraId="40C9E188" w14:textId="77777777" w:rsidR="000A7D9D" w:rsidRPr="00EC1412" w:rsidRDefault="000A7D9D" w:rsidP="00F31937">
            <w:pPr>
              <w:jc w:val="right"/>
              <w:rPr>
                <w:b/>
                <w:bCs/>
                <w:caps/>
                <w:noProof/>
                <w:sz w:val="18"/>
                <w:szCs w:val="18"/>
              </w:rPr>
            </w:pPr>
            <w:r>
              <w:rPr>
                <w:b/>
                <w:bCs/>
                <w:caps/>
                <w:noProof/>
                <w:sz w:val="18"/>
                <w:szCs w:val="18"/>
              </w:rPr>
              <w:t>10</w:t>
            </w:r>
            <w:r w:rsidRPr="6689DE26">
              <w:rPr>
                <w:b/>
                <w:bCs/>
                <w:caps/>
                <w:noProof/>
                <w:sz w:val="18"/>
                <w:szCs w:val="18"/>
              </w:rPr>
              <w:t xml:space="preserve"> </w:t>
            </w:r>
          </w:p>
        </w:tc>
        <w:tc>
          <w:tcPr>
            <w:tcW w:w="425" w:type="dxa"/>
            <w:shd w:val="clear" w:color="auto" w:fill="BFBFBF" w:themeFill="background1" w:themeFillShade="BF"/>
          </w:tcPr>
          <w:p w14:paraId="1BDDEB83" w14:textId="77777777" w:rsidR="000A7D9D" w:rsidRPr="00EC1412" w:rsidRDefault="000A7D9D" w:rsidP="00F31937">
            <w:pPr>
              <w:jc w:val="right"/>
              <w:rPr>
                <w:b/>
                <w:bCs/>
                <w:caps/>
                <w:noProof/>
                <w:sz w:val="18"/>
                <w:szCs w:val="18"/>
              </w:rPr>
            </w:pPr>
            <w:r>
              <w:rPr>
                <w:b/>
                <w:bCs/>
                <w:caps/>
                <w:noProof/>
                <w:sz w:val="18"/>
                <w:szCs w:val="18"/>
              </w:rPr>
              <w:t>18</w:t>
            </w:r>
          </w:p>
        </w:tc>
        <w:tc>
          <w:tcPr>
            <w:tcW w:w="425" w:type="dxa"/>
            <w:shd w:val="clear" w:color="auto" w:fill="BFBFBF" w:themeFill="background1" w:themeFillShade="BF"/>
          </w:tcPr>
          <w:p w14:paraId="2BA0B08C" w14:textId="77777777" w:rsidR="000A7D9D" w:rsidRPr="00EC1412" w:rsidRDefault="000A7D9D" w:rsidP="00F31937">
            <w:pPr>
              <w:jc w:val="right"/>
              <w:rPr>
                <w:b/>
                <w:bCs/>
                <w:caps/>
                <w:noProof/>
                <w:sz w:val="18"/>
                <w:szCs w:val="18"/>
              </w:rPr>
            </w:pPr>
            <w:r>
              <w:rPr>
                <w:b/>
                <w:bCs/>
                <w:caps/>
                <w:noProof/>
                <w:sz w:val="18"/>
                <w:szCs w:val="18"/>
              </w:rPr>
              <w:t>12</w:t>
            </w:r>
          </w:p>
        </w:tc>
        <w:tc>
          <w:tcPr>
            <w:tcW w:w="426" w:type="dxa"/>
            <w:shd w:val="clear" w:color="auto" w:fill="BFBFBF" w:themeFill="background1" w:themeFillShade="BF"/>
          </w:tcPr>
          <w:p w14:paraId="4EA1A7ED" w14:textId="77777777" w:rsidR="000A7D9D" w:rsidRPr="00EC1412" w:rsidRDefault="000A7D9D" w:rsidP="00F31937">
            <w:pPr>
              <w:jc w:val="right"/>
              <w:rPr>
                <w:b/>
                <w:bCs/>
                <w:caps/>
                <w:noProof/>
                <w:sz w:val="18"/>
                <w:szCs w:val="18"/>
              </w:rPr>
            </w:pPr>
            <w:r>
              <w:rPr>
                <w:b/>
                <w:bCs/>
                <w:caps/>
                <w:noProof/>
                <w:sz w:val="18"/>
                <w:szCs w:val="18"/>
              </w:rPr>
              <w:t>20</w:t>
            </w:r>
          </w:p>
        </w:tc>
        <w:tc>
          <w:tcPr>
            <w:tcW w:w="425" w:type="dxa"/>
            <w:shd w:val="clear" w:color="auto" w:fill="BFBFBF" w:themeFill="background1" w:themeFillShade="BF"/>
          </w:tcPr>
          <w:p w14:paraId="2AB40A5D" w14:textId="77777777" w:rsidR="000A7D9D" w:rsidRPr="00EC1412" w:rsidRDefault="000A7D9D" w:rsidP="00F31937">
            <w:pPr>
              <w:jc w:val="right"/>
              <w:rPr>
                <w:b/>
                <w:bCs/>
                <w:caps/>
                <w:noProof/>
                <w:sz w:val="18"/>
                <w:szCs w:val="18"/>
              </w:rPr>
            </w:pPr>
            <w:r>
              <w:rPr>
                <w:b/>
                <w:bCs/>
                <w:caps/>
                <w:noProof/>
                <w:sz w:val="18"/>
                <w:szCs w:val="18"/>
              </w:rPr>
              <w:t>12</w:t>
            </w:r>
          </w:p>
        </w:tc>
        <w:tc>
          <w:tcPr>
            <w:tcW w:w="425" w:type="dxa"/>
            <w:shd w:val="clear" w:color="auto" w:fill="BFBFBF" w:themeFill="background1" w:themeFillShade="BF"/>
          </w:tcPr>
          <w:p w14:paraId="57FE4E67" w14:textId="77777777" w:rsidR="000A7D9D" w:rsidRPr="00EC1412" w:rsidRDefault="000A7D9D" w:rsidP="00F31937">
            <w:pPr>
              <w:jc w:val="right"/>
              <w:rPr>
                <w:b/>
                <w:bCs/>
                <w:caps/>
                <w:noProof/>
                <w:sz w:val="18"/>
                <w:szCs w:val="18"/>
              </w:rPr>
            </w:pPr>
            <w:r>
              <w:rPr>
                <w:b/>
                <w:bCs/>
                <w:caps/>
                <w:noProof/>
                <w:sz w:val="18"/>
                <w:szCs w:val="18"/>
              </w:rPr>
              <w:t>20</w:t>
            </w:r>
          </w:p>
        </w:tc>
        <w:tc>
          <w:tcPr>
            <w:tcW w:w="425" w:type="dxa"/>
            <w:shd w:val="clear" w:color="auto" w:fill="BFBFBF" w:themeFill="background1" w:themeFillShade="BF"/>
          </w:tcPr>
          <w:p w14:paraId="52129D3C" w14:textId="77777777" w:rsidR="000A7D9D" w:rsidRPr="00EC1412" w:rsidRDefault="000A7D9D" w:rsidP="00F31937">
            <w:pPr>
              <w:jc w:val="right"/>
              <w:rPr>
                <w:noProof/>
                <w:sz w:val="18"/>
                <w:szCs w:val="18"/>
              </w:rPr>
            </w:pPr>
            <w:r>
              <w:rPr>
                <w:b/>
                <w:bCs/>
                <w:caps/>
                <w:noProof/>
                <w:sz w:val="18"/>
                <w:szCs w:val="18"/>
              </w:rPr>
              <w:t>12</w:t>
            </w:r>
          </w:p>
        </w:tc>
        <w:tc>
          <w:tcPr>
            <w:tcW w:w="426" w:type="dxa"/>
            <w:shd w:val="clear" w:color="auto" w:fill="BFBFBF" w:themeFill="background1" w:themeFillShade="BF"/>
          </w:tcPr>
          <w:p w14:paraId="2F26DC24" w14:textId="77777777" w:rsidR="000A7D9D" w:rsidRPr="00695F54" w:rsidRDefault="000A7D9D" w:rsidP="00F31937">
            <w:pPr>
              <w:spacing w:line="259" w:lineRule="auto"/>
              <w:jc w:val="right"/>
              <w:rPr>
                <w:b/>
                <w:noProof/>
                <w:sz w:val="18"/>
                <w:szCs w:val="18"/>
              </w:rPr>
            </w:pPr>
            <w:r w:rsidRPr="00695F54">
              <w:rPr>
                <w:b/>
                <w:noProof/>
                <w:sz w:val="18"/>
                <w:szCs w:val="18"/>
              </w:rPr>
              <w:t>8</w:t>
            </w:r>
          </w:p>
        </w:tc>
        <w:tc>
          <w:tcPr>
            <w:tcW w:w="708" w:type="dxa"/>
            <w:shd w:val="clear" w:color="auto" w:fill="BFBFBF" w:themeFill="background1" w:themeFillShade="BF"/>
          </w:tcPr>
          <w:p w14:paraId="00D826A7" w14:textId="77777777" w:rsidR="000A7D9D" w:rsidRPr="00EC1412" w:rsidRDefault="000A7D9D" w:rsidP="00F31937">
            <w:pPr>
              <w:spacing w:line="259" w:lineRule="auto"/>
              <w:ind w:left="-153"/>
              <w:jc w:val="right"/>
              <w:rPr>
                <w:b/>
                <w:bCs/>
                <w:caps/>
                <w:noProof/>
                <w:sz w:val="18"/>
                <w:szCs w:val="18"/>
              </w:rPr>
            </w:pPr>
            <w:r w:rsidRPr="2FCD3695">
              <w:rPr>
                <w:b/>
                <w:bCs/>
                <w:caps/>
                <w:noProof/>
                <w:sz w:val="18"/>
                <w:szCs w:val="18"/>
              </w:rPr>
              <w:t>950</w:t>
            </w:r>
            <w:r w:rsidRPr="6689DE26">
              <w:rPr>
                <w:b/>
                <w:bCs/>
                <w:caps/>
                <w:noProof/>
                <w:sz w:val="18"/>
                <w:szCs w:val="18"/>
              </w:rPr>
              <w:t xml:space="preserve"> </w:t>
            </w:r>
          </w:p>
        </w:tc>
        <w:tc>
          <w:tcPr>
            <w:tcW w:w="709" w:type="dxa"/>
            <w:shd w:val="clear" w:color="auto" w:fill="BFBFBF" w:themeFill="background1" w:themeFillShade="BF"/>
          </w:tcPr>
          <w:p w14:paraId="7F4F7269" w14:textId="77777777" w:rsidR="000A7D9D" w:rsidRPr="00EC1412" w:rsidRDefault="000A7D9D" w:rsidP="00F31937">
            <w:pPr>
              <w:spacing w:line="259" w:lineRule="auto"/>
              <w:ind w:left="-142"/>
              <w:jc w:val="right"/>
              <w:rPr>
                <w:b/>
                <w:bCs/>
                <w:caps/>
                <w:noProof/>
                <w:sz w:val="18"/>
                <w:szCs w:val="18"/>
              </w:rPr>
            </w:pPr>
            <w:r w:rsidRPr="2FCD3695">
              <w:rPr>
                <w:b/>
                <w:bCs/>
                <w:caps/>
                <w:noProof/>
                <w:sz w:val="18"/>
                <w:szCs w:val="18"/>
              </w:rPr>
              <w:t>6 792</w:t>
            </w:r>
          </w:p>
        </w:tc>
        <w:tc>
          <w:tcPr>
            <w:tcW w:w="709" w:type="dxa"/>
            <w:shd w:val="clear" w:color="auto" w:fill="BFBFBF" w:themeFill="background1" w:themeFillShade="BF"/>
          </w:tcPr>
          <w:p w14:paraId="25E52A9F" w14:textId="77777777" w:rsidR="000A7D9D" w:rsidRPr="00EC1412" w:rsidRDefault="000A7D9D" w:rsidP="00F31937">
            <w:pPr>
              <w:spacing w:line="259" w:lineRule="auto"/>
              <w:ind w:left="-119"/>
              <w:jc w:val="right"/>
              <w:rPr>
                <w:b/>
                <w:bCs/>
                <w:caps/>
                <w:noProof/>
                <w:sz w:val="18"/>
                <w:szCs w:val="18"/>
              </w:rPr>
            </w:pPr>
            <w:r w:rsidRPr="2FCD3695">
              <w:rPr>
                <w:b/>
                <w:bCs/>
                <w:caps/>
                <w:noProof/>
                <w:sz w:val="18"/>
                <w:szCs w:val="18"/>
              </w:rPr>
              <w:t xml:space="preserve">8 657 </w:t>
            </w:r>
          </w:p>
        </w:tc>
        <w:tc>
          <w:tcPr>
            <w:tcW w:w="709" w:type="dxa"/>
            <w:shd w:val="clear" w:color="auto" w:fill="BFBFBF" w:themeFill="background1" w:themeFillShade="BF"/>
          </w:tcPr>
          <w:p w14:paraId="63A0DA2B" w14:textId="77777777" w:rsidR="000A7D9D" w:rsidRPr="00EC1412" w:rsidRDefault="000A7D9D" w:rsidP="00F31937">
            <w:pPr>
              <w:spacing w:line="259" w:lineRule="auto"/>
              <w:jc w:val="right"/>
              <w:rPr>
                <w:b/>
                <w:bCs/>
                <w:caps/>
                <w:noProof/>
                <w:sz w:val="18"/>
                <w:szCs w:val="18"/>
              </w:rPr>
            </w:pPr>
            <w:r w:rsidRPr="2FCD3695">
              <w:rPr>
                <w:b/>
                <w:bCs/>
                <w:caps/>
                <w:noProof/>
                <w:sz w:val="18"/>
                <w:szCs w:val="18"/>
              </w:rPr>
              <w:t>7 080</w:t>
            </w:r>
          </w:p>
        </w:tc>
      </w:tr>
    </w:tbl>
    <w:p w14:paraId="7351120E" w14:textId="77777777" w:rsidR="000A7D9D" w:rsidRDefault="000A7D9D" w:rsidP="000A7D9D">
      <w:pPr>
        <w:jc w:val="both"/>
        <w:rPr>
          <w:rFonts w:ascii="Times New Roman" w:hAnsi="Times New Roman" w:cs="Times New Roman"/>
          <w:caps/>
          <w:noProof/>
        </w:rPr>
      </w:pPr>
    </w:p>
    <w:tbl>
      <w:tblPr>
        <w:tblStyle w:val="TableGrid"/>
        <w:tblW w:w="9776" w:type="dxa"/>
        <w:tblLook w:val="04A0" w:firstRow="1" w:lastRow="0" w:firstColumn="1" w:lastColumn="0" w:noHBand="0" w:noVBand="1"/>
      </w:tblPr>
      <w:tblGrid>
        <w:gridCol w:w="2405"/>
        <w:gridCol w:w="7371"/>
      </w:tblGrid>
      <w:tr w:rsidR="000A7D9D" w:rsidRPr="00EC1412" w14:paraId="7FAE460A" w14:textId="77777777" w:rsidTr="00F31937">
        <w:tc>
          <w:tcPr>
            <w:tcW w:w="9776" w:type="dxa"/>
            <w:gridSpan w:val="2"/>
            <w:tcBorders>
              <w:bottom w:val="single" w:sz="4" w:space="0" w:color="auto"/>
            </w:tcBorders>
            <w:shd w:val="clear" w:color="auto" w:fill="A6A6A6" w:themeFill="background1" w:themeFillShade="A6"/>
          </w:tcPr>
          <w:p w14:paraId="082E9F9F" w14:textId="77777777" w:rsidR="000A7D9D" w:rsidRPr="00EC1412" w:rsidRDefault="000A7D9D" w:rsidP="00F31937">
            <w:pPr>
              <w:spacing w:before="60" w:after="60"/>
              <w:rPr>
                <w:b/>
                <w:caps/>
                <w:noProof/>
                <w:sz w:val="18"/>
                <w:szCs w:val="18"/>
              </w:rPr>
            </w:pPr>
            <w:r w:rsidRPr="00EC1412">
              <w:rPr>
                <w:b/>
                <w:noProof/>
                <w:sz w:val="18"/>
                <w:szCs w:val="18"/>
              </w:rPr>
              <w:t xml:space="preserve">Table </w:t>
            </w:r>
            <w:r>
              <w:rPr>
                <w:b/>
                <w:noProof/>
                <w:sz w:val="18"/>
                <w:szCs w:val="18"/>
              </w:rPr>
              <w:t>6</w:t>
            </w:r>
            <w:r w:rsidRPr="00EC1412">
              <w:rPr>
                <w:b/>
                <w:noProof/>
                <w:sz w:val="18"/>
                <w:szCs w:val="18"/>
              </w:rPr>
              <w:t>. Current resource use for existing activities that are (re-)attributed</w:t>
            </w:r>
          </w:p>
        </w:tc>
      </w:tr>
      <w:tr w:rsidR="000A7D9D" w:rsidRPr="00EC1412" w14:paraId="522F8B2D" w14:textId="77777777" w:rsidTr="00F31937">
        <w:tc>
          <w:tcPr>
            <w:tcW w:w="2405" w:type="dxa"/>
            <w:tcBorders>
              <w:bottom w:val="single" w:sz="4" w:space="0" w:color="auto"/>
            </w:tcBorders>
            <w:shd w:val="clear" w:color="auto" w:fill="FFF4CC"/>
          </w:tcPr>
          <w:p w14:paraId="5BC1DF13" w14:textId="77777777" w:rsidR="000A7D9D" w:rsidRPr="00EC1412" w:rsidRDefault="000A7D9D" w:rsidP="00F31937">
            <w:pPr>
              <w:jc w:val="both"/>
              <w:rPr>
                <w:caps/>
                <w:noProof/>
                <w:sz w:val="18"/>
                <w:szCs w:val="18"/>
              </w:rPr>
            </w:pPr>
            <w:r w:rsidRPr="00EC1412">
              <w:rPr>
                <w:noProof/>
                <w:sz w:val="18"/>
                <w:szCs w:val="18"/>
              </w:rPr>
              <w:t>IPCHEM</w:t>
            </w:r>
          </w:p>
        </w:tc>
        <w:tc>
          <w:tcPr>
            <w:tcW w:w="7371" w:type="dxa"/>
            <w:tcBorders>
              <w:bottom w:val="single" w:sz="4" w:space="0" w:color="auto"/>
            </w:tcBorders>
            <w:shd w:val="clear" w:color="auto" w:fill="FFF4CC"/>
          </w:tcPr>
          <w:p w14:paraId="3797B60B" w14:textId="77777777" w:rsidR="000A7D9D" w:rsidRPr="00EC1412" w:rsidRDefault="000A7D9D" w:rsidP="00F31937">
            <w:pPr>
              <w:spacing w:before="120"/>
              <w:rPr>
                <w:noProof/>
                <w:sz w:val="18"/>
                <w:szCs w:val="18"/>
              </w:rPr>
            </w:pPr>
            <w:r w:rsidRPr="2D69C30E">
              <w:rPr>
                <w:noProof/>
                <w:sz w:val="18"/>
                <w:szCs w:val="18"/>
              </w:rPr>
              <w:t xml:space="preserve">Total 4.5 FTEs/year: DG JRC staff 2.5 FTEs/year + IT experts intramurous 2 FTEs/year (EUR </w:t>
            </w:r>
            <w:r>
              <w:rPr>
                <w:noProof/>
                <w:sz w:val="18"/>
                <w:szCs w:val="18"/>
              </w:rPr>
              <w:t>130</w:t>
            </w:r>
            <w:r w:rsidRPr="2D69C30E">
              <w:rPr>
                <w:noProof/>
                <w:sz w:val="18"/>
                <w:szCs w:val="18"/>
              </w:rPr>
              <w:t xml:space="preserve"> 000 per year)</w:t>
            </w:r>
            <w:r>
              <w:rPr>
                <w:noProof/>
                <w:sz w:val="18"/>
                <w:szCs w:val="18"/>
              </w:rPr>
              <w:t>.</w:t>
            </w:r>
          </w:p>
        </w:tc>
      </w:tr>
      <w:tr w:rsidR="000A7D9D" w:rsidRPr="00EC1412" w14:paraId="0E927E4B" w14:textId="77777777" w:rsidTr="00F31937">
        <w:tc>
          <w:tcPr>
            <w:tcW w:w="2405" w:type="dxa"/>
            <w:tcBorders>
              <w:bottom w:val="single" w:sz="4" w:space="0" w:color="auto"/>
            </w:tcBorders>
            <w:shd w:val="clear" w:color="auto" w:fill="C1ECFF"/>
          </w:tcPr>
          <w:p w14:paraId="04FB2C9F" w14:textId="77777777" w:rsidR="000A7D9D" w:rsidRPr="00EC1412" w:rsidRDefault="000A7D9D" w:rsidP="00F31937">
            <w:pPr>
              <w:rPr>
                <w:caps/>
                <w:noProof/>
                <w:sz w:val="18"/>
                <w:szCs w:val="18"/>
              </w:rPr>
            </w:pPr>
            <w:r w:rsidRPr="00667029">
              <w:rPr>
                <w:noProof/>
                <w:sz w:val="18"/>
                <w:szCs w:val="18"/>
              </w:rPr>
              <w:t xml:space="preserve">Information </w:t>
            </w:r>
            <w:r w:rsidRPr="2D69C30E">
              <w:rPr>
                <w:noProof/>
                <w:sz w:val="18"/>
                <w:szCs w:val="18"/>
              </w:rPr>
              <w:t>on regulatory processes on chemicals</w:t>
            </w:r>
          </w:p>
        </w:tc>
        <w:tc>
          <w:tcPr>
            <w:tcW w:w="7371" w:type="dxa"/>
            <w:tcBorders>
              <w:bottom w:val="single" w:sz="4" w:space="0" w:color="auto"/>
            </w:tcBorders>
            <w:shd w:val="clear" w:color="auto" w:fill="C1ECFF"/>
          </w:tcPr>
          <w:p w14:paraId="32EB7920" w14:textId="77777777" w:rsidR="000A7D9D" w:rsidRPr="00EC1412" w:rsidRDefault="000A7D9D" w:rsidP="00F31937">
            <w:pPr>
              <w:spacing w:before="120" w:after="120"/>
              <w:rPr>
                <w:noProof/>
                <w:sz w:val="18"/>
                <w:szCs w:val="18"/>
              </w:rPr>
            </w:pPr>
            <w:r w:rsidRPr="2D69C30E">
              <w:rPr>
                <w:noProof/>
                <w:sz w:val="18"/>
                <w:szCs w:val="18"/>
              </w:rPr>
              <w:t>ECHA already operates (P)ACT for REACH, CLP and POPs processes. EFSA already operates OpenEFSA which has a similar level of information as PACT. Resources for the operation and continuous provision of information are to be absorbed by the Agencies.</w:t>
            </w:r>
          </w:p>
        </w:tc>
      </w:tr>
      <w:tr w:rsidR="000A7D9D" w:rsidRPr="00EC1412" w14:paraId="33B66BAF" w14:textId="77777777" w:rsidTr="00F31937">
        <w:tc>
          <w:tcPr>
            <w:tcW w:w="2405" w:type="dxa"/>
            <w:tcBorders>
              <w:bottom w:val="single" w:sz="4" w:space="0" w:color="auto"/>
            </w:tcBorders>
            <w:shd w:val="clear" w:color="auto" w:fill="FFF4CC"/>
          </w:tcPr>
          <w:p w14:paraId="2503C988" w14:textId="77777777" w:rsidR="000A7D9D" w:rsidRPr="00EC1412" w:rsidRDefault="000A7D9D" w:rsidP="00F31937">
            <w:pPr>
              <w:jc w:val="both"/>
              <w:rPr>
                <w:caps/>
                <w:noProof/>
                <w:sz w:val="18"/>
                <w:szCs w:val="18"/>
              </w:rPr>
            </w:pPr>
            <w:r w:rsidRPr="2D69C30E">
              <w:rPr>
                <w:noProof/>
                <w:sz w:val="18"/>
                <w:szCs w:val="18"/>
              </w:rPr>
              <w:t>Information on the obligations under Union acts on chemicals</w:t>
            </w:r>
            <w:r w:rsidRPr="00EC1412">
              <w:rPr>
                <w:noProof/>
                <w:sz w:val="18"/>
                <w:szCs w:val="18"/>
              </w:rPr>
              <w:t xml:space="preserve"> </w:t>
            </w:r>
          </w:p>
        </w:tc>
        <w:tc>
          <w:tcPr>
            <w:tcW w:w="7371" w:type="dxa"/>
            <w:tcBorders>
              <w:bottom w:val="single" w:sz="4" w:space="0" w:color="auto"/>
            </w:tcBorders>
            <w:shd w:val="clear" w:color="auto" w:fill="FFF4CC"/>
          </w:tcPr>
          <w:p w14:paraId="1D57286C" w14:textId="77777777" w:rsidR="000A7D9D" w:rsidRPr="00EC1412" w:rsidRDefault="000A7D9D" w:rsidP="00F31937">
            <w:pPr>
              <w:rPr>
                <w:noProof/>
                <w:sz w:val="18"/>
                <w:szCs w:val="18"/>
              </w:rPr>
            </w:pPr>
            <w:r w:rsidRPr="2D69C30E">
              <w:rPr>
                <w:noProof/>
                <w:sz w:val="18"/>
                <w:szCs w:val="18"/>
              </w:rPr>
              <w:t xml:space="preserve">ECHA already operates EUCLEF and this is financed through the contribution agreement between DG GROW and ECHA: Total ca. </w:t>
            </w:r>
            <w:r>
              <w:rPr>
                <w:noProof/>
                <w:sz w:val="18"/>
                <w:szCs w:val="18"/>
              </w:rPr>
              <w:t xml:space="preserve">EUR </w:t>
            </w:r>
            <w:r w:rsidRPr="2D69C30E">
              <w:rPr>
                <w:noProof/>
                <w:sz w:val="18"/>
                <w:szCs w:val="18"/>
              </w:rPr>
              <w:t>1.0 - 1.4 million annually, with no posts. ECHA runs the service through the employment of 4 interim staff members (</w:t>
            </w:r>
            <w:r w:rsidRPr="00983A86">
              <w:rPr>
                <w:i/>
                <w:noProof/>
                <w:sz w:val="18"/>
                <w:szCs w:val="18"/>
              </w:rPr>
              <w:t>ca</w:t>
            </w:r>
            <w:r w:rsidRPr="2D69C30E">
              <w:rPr>
                <w:noProof/>
                <w:sz w:val="18"/>
                <w:szCs w:val="18"/>
              </w:rPr>
              <w:t xml:space="preserve">. </w:t>
            </w:r>
            <w:r>
              <w:rPr>
                <w:noProof/>
                <w:sz w:val="18"/>
                <w:szCs w:val="18"/>
              </w:rPr>
              <w:t xml:space="preserve">EUR </w:t>
            </w:r>
            <w:r w:rsidRPr="2D69C30E">
              <w:rPr>
                <w:noProof/>
                <w:sz w:val="18"/>
                <w:szCs w:val="18"/>
              </w:rPr>
              <w:t>270</w:t>
            </w:r>
            <w:r>
              <w:rPr>
                <w:noProof/>
                <w:sz w:val="18"/>
                <w:szCs w:val="18"/>
              </w:rPr>
              <w:t xml:space="preserve"> 000</w:t>
            </w:r>
            <w:r w:rsidRPr="2D69C30E">
              <w:rPr>
                <w:noProof/>
                <w:sz w:val="18"/>
                <w:szCs w:val="18"/>
              </w:rPr>
              <w:t xml:space="preserve">/year) and via contractors: communication activities and external helpdesk </w:t>
            </w:r>
            <w:r w:rsidRPr="00983A86">
              <w:rPr>
                <w:i/>
                <w:noProof/>
                <w:sz w:val="18"/>
                <w:szCs w:val="18"/>
              </w:rPr>
              <w:t>ca.</w:t>
            </w:r>
            <w:r w:rsidRPr="2D69C30E">
              <w:rPr>
                <w:noProof/>
                <w:sz w:val="18"/>
                <w:szCs w:val="18"/>
              </w:rPr>
              <w:t xml:space="preserve"> </w:t>
            </w:r>
            <w:r>
              <w:rPr>
                <w:noProof/>
                <w:sz w:val="18"/>
                <w:szCs w:val="18"/>
              </w:rPr>
              <w:t xml:space="preserve">EUR </w:t>
            </w:r>
            <w:r w:rsidRPr="2D69C30E">
              <w:rPr>
                <w:noProof/>
                <w:sz w:val="18"/>
                <w:szCs w:val="18"/>
              </w:rPr>
              <w:t>60</w:t>
            </w:r>
            <w:r>
              <w:rPr>
                <w:noProof/>
                <w:sz w:val="18"/>
                <w:szCs w:val="18"/>
              </w:rPr>
              <w:t xml:space="preserve"> 000</w:t>
            </w:r>
            <w:r w:rsidRPr="2D69C30E">
              <w:rPr>
                <w:noProof/>
                <w:sz w:val="18"/>
                <w:szCs w:val="18"/>
              </w:rPr>
              <w:t xml:space="preserve">/year, IT costs </w:t>
            </w:r>
            <w:r>
              <w:rPr>
                <w:noProof/>
                <w:sz w:val="18"/>
                <w:szCs w:val="18"/>
              </w:rPr>
              <w:t xml:space="preserve">EUR </w:t>
            </w:r>
            <w:r w:rsidRPr="2D69C30E">
              <w:rPr>
                <w:noProof/>
                <w:sz w:val="18"/>
                <w:szCs w:val="18"/>
              </w:rPr>
              <w:t>200</w:t>
            </w:r>
            <w:r>
              <w:rPr>
                <w:noProof/>
                <w:sz w:val="18"/>
                <w:szCs w:val="18"/>
              </w:rPr>
              <w:t xml:space="preserve"> 000</w:t>
            </w:r>
            <w:r w:rsidRPr="2D69C30E">
              <w:rPr>
                <w:noProof/>
                <w:sz w:val="18"/>
                <w:szCs w:val="18"/>
              </w:rPr>
              <w:t xml:space="preserve">/year, data costs </w:t>
            </w:r>
            <w:r>
              <w:rPr>
                <w:noProof/>
                <w:sz w:val="18"/>
                <w:szCs w:val="18"/>
              </w:rPr>
              <w:t xml:space="preserve">EUR </w:t>
            </w:r>
            <w:r w:rsidRPr="2D69C30E">
              <w:rPr>
                <w:noProof/>
                <w:sz w:val="18"/>
                <w:szCs w:val="18"/>
              </w:rPr>
              <w:t>430</w:t>
            </w:r>
            <w:r>
              <w:rPr>
                <w:noProof/>
                <w:sz w:val="18"/>
                <w:szCs w:val="18"/>
              </w:rPr>
              <w:t xml:space="preserve"> 000</w:t>
            </w:r>
            <w:r w:rsidRPr="2D69C30E">
              <w:rPr>
                <w:noProof/>
                <w:sz w:val="18"/>
                <w:szCs w:val="18"/>
              </w:rPr>
              <w:t xml:space="preserve">/year. No additional resources needed but the formalisation of the resource allocation </w:t>
            </w:r>
            <w:r>
              <w:rPr>
                <w:noProof/>
                <w:sz w:val="18"/>
                <w:szCs w:val="18"/>
              </w:rPr>
              <w:t>should</w:t>
            </w:r>
            <w:r w:rsidRPr="2D69C30E">
              <w:rPr>
                <w:noProof/>
                <w:sz w:val="18"/>
                <w:szCs w:val="18"/>
              </w:rPr>
              <w:t xml:space="preserve"> be done </w:t>
            </w:r>
            <w:r>
              <w:rPr>
                <w:noProof/>
                <w:sz w:val="18"/>
                <w:szCs w:val="18"/>
              </w:rPr>
              <w:t xml:space="preserve">via </w:t>
            </w:r>
            <w:r w:rsidRPr="2D69C30E">
              <w:rPr>
                <w:noProof/>
                <w:sz w:val="18"/>
                <w:szCs w:val="18"/>
              </w:rPr>
              <w:t>the proposal for</w:t>
            </w:r>
            <w:r>
              <w:rPr>
                <w:noProof/>
                <w:sz w:val="18"/>
                <w:szCs w:val="18"/>
              </w:rPr>
              <w:t xml:space="preserve"> a regulation on </w:t>
            </w:r>
            <w:r w:rsidRPr="2D69C30E">
              <w:rPr>
                <w:noProof/>
                <w:sz w:val="18"/>
                <w:szCs w:val="18"/>
              </w:rPr>
              <w:t>ECHA</w:t>
            </w:r>
            <w:r>
              <w:rPr>
                <w:noProof/>
                <w:sz w:val="18"/>
                <w:szCs w:val="18"/>
              </w:rPr>
              <w:t>.</w:t>
            </w:r>
            <w:r w:rsidRPr="2D69C30E">
              <w:rPr>
                <w:noProof/>
                <w:sz w:val="18"/>
                <w:szCs w:val="18"/>
              </w:rPr>
              <w:t xml:space="preserve"> </w:t>
            </w:r>
          </w:p>
        </w:tc>
      </w:tr>
      <w:tr w:rsidR="000A7D9D" w:rsidRPr="00EC1412" w14:paraId="02FD93F2" w14:textId="77777777" w:rsidTr="00F31937">
        <w:tc>
          <w:tcPr>
            <w:tcW w:w="2405" w:type="dxa"/>
            <w:tcBorders>
              <w:bottom w:val="single" w:sz="4" w:space="0" w:color="auto"/>
            </w:tcBorders>
            <w:shd w:val="clear" w:color="auto" w:fill="C1ECFF"/>
          </w:tcPr>
          <w:p w14:paraId="784DF81B" w14:textId="77777777" w:rsidR="000A7D9D" w:rsidRPr="00EC1412" w:rsidRDefault="000A7D9D" w:rsidP="00F31937">
            <w:pPr>
              <w:rPr>
                <w:caps/>
                <w:noProof/>
                <w:sz w:val="18"/>
                <w:szCs w:val="18"/>
              </w:rPr>
            </w:pPr>
            <w:r w:rsidRPr="00667029">
              <w:rPr>
                <w:noProof/>
                <w:sz w:val="18"/>
                <w:szCs w:val="18"/>
              </w:rPr>
              <w:t>Observatory for specific chemicals with potential contribution to emerging chemical risks</w:t>
            </w:r>
            <w:r>
              <w:rPr>
                <w:noProof/>
                <w:sz w:val="18"/>
                <w:szCs w:val="18"/>
              </w:rPr>
              <w:t xml:space="preserve"> </w:t>
            </w:r>
          </w:p>
        </w:tc>
        <w:tc>
          <w:tcPr>
            <w:tcW w:w="7371" w:type="dxa"/>
            <w:tcBorders>
              <w:bottom w:val="single" w:sz="4" w:space="0" w:color="auto"/>
            </w:tcBorders>
            <w:shd w:val="clear" w:color="auto" w:fill="C1ECFF"/>
          </w:tcPr>
          <w:p w14:paraId="62341459" w14:textId="77777777" w:rsidR="000A7D9D" w:rsidRPr="00EC1412" w:rsidRDefault="000A7D9D" w:rsidP="00F31937">
            <w:pPr>
              <w:rPr>
                <w:noProof/>
                <w:sz w:val="18"/>
                <w:szCs w:val="18"/>
              </w:rPr>
            </w:pPr>
            <w:r w:rsidRPr="2D69C30E">
              <w:rPr>
                <w:noProof/>
                <w:sz w:val="18"/>
                <w:szCs w:val="18"/>
              </w:rPr>
              <w:t xml:space="preserve">ECHA already operates the EU Observatory on Nanomaterials and this is financed via </w:t>
            </w:r>
            <w:r>
              <w:rPr>
                <w:noProof/>
                <w:sz w:val="18"/>
                <w:szCs w:val="18"/>
              </w:rPr>
              <w:t>a</w:t>
            </w:r>
            <w:r w:rsidRPr="2D69C30E">
              <w:rPr>
                <w:noProof/>
                <w:sz w:val="18"/>
                <w:szCs w:val="18"/>
              </w:rPr>
              <w:t xml:space="preserve"> contribution agreement between DG GROW and ECHA: </w:t>
            </w:r>
            <w:r w:rsidRPr="00EC1412">
              <w:rPr>
                <w:noProof/>
                <w:sz w:val="18"/>
                <w:szCs w:val="18"/>
              </w:rPr>
              <w:t xml:space="preserve">Total </w:t>
            </w:r>
            <w:r w:rsidRPr="2D69C30E">
              <w:rPr>
                <w:noProof/>
                <w:sz w:val="18"/>
                <w:szCs w:val="18"/>
              </w:rPr>
              <w:t xml:space="preserve">of </w:t>
            </w:r>
            <w:r>
              <w:rPr>
                <w:noProof/>
                <w:sz w:val="18"/>
                <w:szCs w:val="18"/>
              </w:rPr>
              <w:t xml:space="preserve">EUR 700 000 </w:t>
            </w:r>
            <w:r w:rsidRPr="2D69C30E">
              <w:rPr>
                <w:noProof/>
                <w:sz w:val="18"/>
                <w:szCs w:val="18"/>
              </w:rPr>
              <w:t xml:space="preserve">annually including </w:t>
            </w:r>
            <w:r w:rsidRPr="00EC1412">
              <w:rPr>
                <w:noProof/>
                <w:sz w:val="18"/>
                <w:szCs w:val="18"/>
              </w:rPr>
              <w:t xml:space="preserve">3 </w:t>
            </w:r>
            <w:r>
              <w:rPr>
                <w:noProof/>
                <w:sz w:val="18"/>
                <w:szCs w:val="18"/>
              </w:rPr>
              <w:t>C</w:t>
            </w:r>
            <w:r w:rsidRPr="00EC1412">
              <w:rPr>
                <w:noProof/>
                <w:sz w:val="18"/>
                <w:szCs w:val="18"/>
              </w:rPr>
              <w:t>As/year</w:t>
            </w:r>
            <w:r>
              <w:rPr>
                <w:noProof/>
                <w:sz w:val="18"/>
                <w:szCs w:val="18"/>
              </w:rPr>
              <w:t>.</w:t>
            </w:r>
            <w:r w:rsidRPr="00EC1412">
              <w:rPr>
                <w:noProof/>
                <w:sz w:val="18"/>
                <w:szCs w:val="18"/>
              </w:rPr>
              <w:t xml:space="preserve"> </w:t>
            </w:r>
            <w:r w:rsidRPr="2D69C30E">
              <w:rPr>
                <w:noProof/>
                <w:sz w:val="18"/>
                <w:szCs w:val="18"/>
              </w:rPr>
              <w:t xml:space="preserve">No additional resources needed but the formalisation of the resource allocation </w:t>
            </w:r>
            <w:r>
              <w:rPr>
                <w:noProof/>
                <w:sz w:val="18"/>
                <w:szCs w:val="18"/>
              </w:rPr>
              <w:t xml:space="preserve">should </w:t>
            </w:r>
            <w:r w:rsidRPr="2D69C30E">
              <w:rPr>
                <w:noProof/>
                <w:sz w:val="18"/>
                <w:szCs w:val="18"/>
              </w:rPr>
              <w:t xml:space="preserve">be done </w:t>
            </w:r>
            <w:r>
              <w:rPr>
                <w:noProof/>
                <w:sz w:val="18"/>
                <w:szCs w:val="18"/>
              </w:rPr>
              <w:t xml:space="preserve">via </w:t>
            </w:r>
            <w:r w:rsidRPr="2D69C30E">
              <w:rPr>
                <w:noProof/>
                <w:sz w:val="18"/>
                <w:szCs w:val="18"/>
              </w:rPr>
              <w:t xml:space="preserve">the proposal for </w:t>
            </w:r>
            <w:r>
              <w:rPr>
                <w:noProof/>
                <w:sz w:val="18"/>
                <w:szCs w:val="18"/>
              </w:rPr>
              <w:t xml:space="preserve">a regulation on </w:t>
            </w:r>
            <w:r w:rsidRPr="2D69C30E">
              <w:rPr>
                <w:noProof/>
                <w:sz w:val="18"/>
                <w:szCs w:val="18"/>
              </w:rPr>
              <w:t>ECHA</w:t>
            </w:r>
            <w:r>
              <w:rPr>
                <w:noProof/>
                <w:sz w:val="18"/>
                <w:szCs w:val="18"/>
              </w:rPr>
              <w:t>.</w:t>
            </w:r>
          </w:p>
        </w:tc>
      </w:tr>
      <w:tr w:rsidR="000A7D9D" w:rsidRPr="00EC1412" w14:paraId="2E8BCD70" w14:textId="77777777" w:rsidTr="00F31937">
        <w:tc>
          <w:tcPr>
            <w:tcW w:w="2405" w:type="dxa"/>
            <w:shd w:val="clear" w:color="auto" w:fill="BFBFBF" w:themeFill="background1" w:themeFillShade="BF"/>
          </w:tcPr>
          <w:p w14:paraId="552156D2" w14:textId="77777777" w:rsidR="000A7D9D" w:rsidRPr="00EC1412" w:rsidRDefault="000A7D9D" w:rsidP="00F31937">
            <w:pPr>
              <w:jc w:val="both"/>
              <w:rPr>
                <w:b/>
                <w:caps/>
                <w:noProof/>
                <w:sz w:val="18"/>
                <w:szCs w:val="18"/>
              </w:rPr>
            </w:pPr>
            <w:r w:rsidRPr="00EC1412">
              <w:rPr>
                <w:b/>
                <w:caps/>
                <w:noProof/>
                <w:sz w:val="18"/>
                <w:szCs w:val="18"/>
              </w:rPr>
              <w:t>SUm</w:t>
            </w:r>
          </w:p>
        </w:tc>
        <w:tc>
          <w:tcPr>
            <w:tcW w:w="7371" w:type="dxa"/>
            <w:shd w:val="clear" w:color="auto" w:fill="BFBFBF" w:themeFill="background1" w:themeFillShade="BF"/>
          </w:tcPr>
          <w:p w14:paraId="7B0CA110" w14:textId="77777777" w:rsidR="000A7D9D" w:rsidRPr="00EC1412" w:rsidRDefault="000A7D9D" w:rsidP="00F31937">
            <w:pPr>
              <w:rPr>
                <w:noProof/>
                <w:sz w:val="18"/>
                <w:szCs w:val="18"/>
              </w:rPr>
            </w:pPr>
            <w:r w:rsidRPr="6689DE26">
              <w:rPr>
                <w:b/>
                <w:bCs/>
                <w:noProof/>
                <w:sz w:val="18"/>
                <w:szCs w:val="18"/>
              </w:rPr>
              <w:t>2.5 FTEs/year of regular staff; 2 FTEs/year of intramurous contractors or interim staff (</w:t>
            </w:r>
            <w:r w:rsidRPr="00983A86">
              <w:rPr>
                <w:b/>
                <w:bCs/>
                <w:i/>
                <w:noProof/>
                <w:sz w:val="18"/>
                <w:szCs w:val="18"/>
              </w:rPr>
              <w:t>ca.</w:t>
            </w:r>
            <w:r w:rsidRPr="6689DE26">
              <w:rPr>
                <w:b/>
                <w:bCs/>
                <w:noProof/>
                <w:sz w:val="18"/>
                <w:szCs w:val="18"/>
              </w:rPr>
              <w:t xml:space="preserve"> </w:t>
            </w:r>
            <w:r>
              <w:rPr>
                <w:b/>
                <w:bCs/>
                <w:noProof/>
                <w:sz w:val="18"/>
                <w:szCs w:val="18"/>
              </w:rPr>
              <w:t xml:space="preserve">EUR </w:t>
            </w:r>
            <w:r w:rsidRPr="6689DE26">
              <w:rPr>
                <w:b/>
                <w:bCs/>
                <w:noProof/>
                <w:sz w:val="18"/>
                <w:szCs w:val="18"/>
              </w:rPr>
              <w:t>130</w:t>
            </w:r>
            <w:r>
              <w:rPr>
                <w:b/>
                <w:bCs/>
                <w:noProof/>
                <w:sz w:val="18"/>
                <w:szCs w:val="18"/>
              </w:rPr>
              <w:t xml:space="preserve"> 000 per </w:t>
            </w:r>
            <w:r w:rsidRPr="6689DE26">
              <w:rPr>
                <w:b/>
                <w:bCs/>
                <w:noProof/>
                <w:sz w:val="18"/>
                <w:szCs w:val="18"/>
              </w:rPr>
              <w:t>year)</w:t>
            </w:r>
          </w:p>
        </w:tc>
      </w:tr>
    </w:tbl>
    <w:p w14:paraId="44550772" w14:textId="77777777" w:rsidR="000A7D9D" w:rsidRPr="00EC1412" w:rsidRDefault="000A7D9D" w:rsidP="000A7D9D">
      <w:pPr>
        <w:jc w:val="both"/>
        <w:rPr>
          <w:rFonts w:ascii="Times New Roman" w:hAnsi="Times New Roman" w:cs="Times New Roman"/>
          <w:caps/>
          <w:noProof/>
        </w:rPr>
      </w:pPr>
    </w:p>
    <w:p w14:paraId="0D0B7E61" w14:textId="77777777" w:rsidR="000A7D9D"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The highest attribution of resources is necessary for ECHA, both in terms of FTEs and operational budget, followed by EEA, EFSA and EMA.</w:t>
      </w:r>
      <w:r>
        <w:rPr>
          <w:rFonts w:ascii="Times New Roman" w:hAnsi="Times New Roman" w:cs="Times New Roman"/>
          <w:noProof/>
        </w:rPr>
        <w:t xml:space="preserve"> </w:t>
      </w:r>
      <w:r w:rsidRPr="2D69C30E">
        <w:rPr>
          <w:rFonts w:ascii="Times New Roman" w:hAnsi="Times New Roman" w:cs="Times New Roman"/>
          <w:noProof/>
        </w:rPr>
        <w:t xml:space="preserve">After initial higher numbers for the first three years (2025-2027), as of </w:t>
      </w:r>
      <w:r>
        <w:rPr>
          <w:rFonts w:ascii="Times New Roman" w:hAnsi="Times New Roman" w:cs="Times New Roman"/>
          <w:noProof/>
        </w:rPr>
        <w:t xml:space="preserve">the fourth year </w:t>
      </w:r>
      <w:r w:rsidRPr="2D69C30E">
        <w:rPr>
          <w:rFonts w:ascii="Times New Roman" w:hAnsi="Times New Roman" w:cs="Times New Roman"/>
          <w:b/>
          <w:bCs/>
          <w:noProof/>
        </w:rPr>
        <w:t>ECHA</w:t>
      </w:r>
      <w:r w:rsidRPr="2D69C30E">
        <w:rPr>
          <w:rFonts w:ascii="Times New Roman" w:hAnsi="Times New Roman" w:cs="Times New Roman"/>
          <w:noProof/>
        </w:rPr>
        <w:t xml:space="preserve"> will need </w:t>
      </w:r>
      <w:r w:rsidRPr="2D69C30E">
        <w:rPr>
          <w:rFonts w:ascii="Times New Roman" w:hAnsi="Times New Roman" w:cs="Times New Roman"/>
          <w:b/>
          <w:bCs/>
          <w:noProof/>
        </w:rPr>
        <w:t>13 FTEs (9 TA + 4 CA)</w:t>
      </w:r>
      <w:r w:rsidRPr="2D69C30E">
        <w:rPr>
          <w:rFonts w:ascii="Times New Roman" w:hAnsi="Times New Roman" w:cs="Times New Roman"/>
          <w:noProof/>
        </w:rPr>
        <w:t xml:space="preserve"> and an operational budget of </w:t>
      </w:r>
      <w:r w:rsidRPr="006057D4">
        <w:rPr>
          <w:rFonts w:ascii="Times New Roman" w:hAnsi="Times New Roman" w:cs="Times New Roman"/>
          <w:b/>
          <w:noProof/>
        </w:rPr>
        <w:t>EUR</w:t>
      </w:r>
      <w:r w:rsidRPr="00E34D59">
        <w:rPr>
          <w:rFonts w:ascii="Times New Roman" w:hAnsi="Times New Roman" w:cs="Times New Roman"/>
          <w:noProof/>
        </w:rPr>
        <w:t xml:space="preserve"> </w:t>
      </w:r>
      <w:r w:rsidRPr="00E34D59">
        <w:rPr>
          <w:rFonts w:ascii="Times New Roman" w:hAnsi="Times New Roman" w:cs="Times New Roman"/>
          <w:b/>
          <w:bCs/>
          <w:noProof/>
        </w:rPr>
        <w:t>6 180</w:t>
      </w:r>
      <w:r>
        <w:rPr>
          <w:rFonts w:ascii="Times New Roman" w:hAnsi="Times New Roman" w:cs="Times New Roman"/>
          <w:b/>
          <w:bCs/>
          <w:noProof/>
        </w:rPr>
        <w:t xml:space="preserve"> 000</w:t>
      </w:r>
      <w:r w:rsidRPr="2D69C30E">
        <w:rPr>
          <w:rFonts w:ascii="Times New Roman" w:hAnsi="Times New Roman" w:cs="Times New Roman"/>
          <w:b/>
          <w:bCs/>
          <w:noProof/>
        </w:rPr>
        <w:t xml:space="preserve"> </w:t>
      </w:r>
      <w:r w:rsidRPr="2D69C30E">
        <w:rPr>
          <w:rFonts w:ascii="Times New Roman" w:hAnsi="Times New Roman" w:cs="Times New Roman"/>
          <w:noProof/>
        </w:rPr>
        <w:t xml:space="preserve">per year, </w:t>
      </w:r>
      <w:r w:rsidRPr="2D69C30E">
        <w:rPr>
          <w:rFonts w:ascii="Times New Roman" w:hAnsi="Times New Roman" w:cs="Times New Roman"/>
          <w:b/>
          <w:bCs/>
          <w:noProof/>
        </w:rPr>
        <w:t>EEA</w:t>
      </w:r>
      <w:r w:rsidRPr="2D69C30E">
        <w:rPr>
          <w:rFonts w:ascii="Times New Roman" w:hAnsi="Times New Roman" w:cs="Times New Roman"/>
          <w:noProof/>
        </w:rPr>
        <w:t xml:space="preserve"> will need </w:t>
      </w:r>
      <w:r w:rsidRPr="2D69C30E">
        <w:rPr>
          <w:rFonts w:ascii="Times New Roman" w:hAnsi="Times New Roman" w:cs="Times New Roman"/>
          <w:b/>
          <w:bCs/>
          <w:noProof/>
        </w:rPr>
        <w:t>3 FTEs (3 TAs)</w:t>
      </w:r>
      <w:r w:rsidRPr="2D69C30E">
        <w:rPr>
          <w:rFonts w:ascii="Times New Roman" w:hAnsi="Times New Roman" w:cs="Times New Roman"/>
          <w:noProof/>
        </w:rPr>
        <w:t xml:space="preserve"> and </w:t>
      </w:r>
      <w:r w:rsidRPr="006057D4">
        <w:rPr>
          <w:rFonts w:ascii="Times New Roman" w:hAnsi="Times New Roman" w:cs="Times New Roman"/>
          <w:b/>
          <w:noProof/>
        </w:rPr>
        <w:t>EUR</w:t>
      </w:r>
      <w:r>
        <w:rPr>
          <w:rFonts w:ascii="Times New Roman" w:hAnsi="Times New Roman" w:cs="Times New Roman"/>
          <w:noProof/>
        </w:rPr>
        <w:t xml:space="preserve"> </w:t>
      </w:r>
      <w:r w:rsidRPr="2D69C30E">
        <w:rPr>
          <w:rFonts w:ascii="Times New Roman" w:hAnsi="Times New Roman" w:cs="Times New Roman"/>
          <w:b/>
          <w:bCs/>
          <w:noProof/>
        </w:rPr>
        <w:t xml:space="preserve">400 </w:t>
      </w:r>
      <w:r>
        <w:rPr>
          <w:rFonts w:ascii="Times New Roman" w:hAnsi="Times New Roman" w:cs="Times New Roman"/>
          <w:b/>
          <w:bCs/>
          <w:noProof/>
        </w:rPr>
        <w:t xml:space="preserve">000 </w:t>
      </w:r>
      <w:r w:rsidRPr="2D69C30E">
        <w:rPr>
          <w:rFonts w:ascii="Times New Roman" w:hAnsi="Times New Roman" w:cs="Times New Roman"/>
          <w:noProof/>
        </w:rPr>
        <w:t xml:space="preserve">per year, </w:t>
      </w:r>
      <w:r w:rsidRPr="2D69C30E">
        <w:rPr>
          <w:rFonts w:ascii="Times New Roman" w:hAnsi="Times New Roman" w:cs="Times New Roman"/>
          <w:b/>
          <w:bCs/>
          <w:noProof/>
        </w:rPr>
        <w:t>EFSA</w:t>
      </w:r>
      <w:r w:rsidRPr="2D69C30E">
        <w:rPr>
          <w:rFonts w:ascii="Times New Roman" w:hAnsi="Times New Roman" w:cs="Times New Roman"/>
          <w:noProof/>
        </w:rPr>
        <w:t xml:space="preserve"> will need </w:t>
      </w:r>
      <w:r>
        <w:rPr>
          <w:rFonts w:ascii="Times New Roman" w:hAnsi="Times New Roman" w:cs="Times New Roman"/>
          <w:b/>
          <w:bCs/>
          <w:noProof/>
        </w:rPr>
        <w:t>2</w:t>
      </w:r>
      <w:r w:rsidRPr="2D69C30E">
        <w:rPr>
          <w:rFonts w:ascii="Times New Roman" w:hAnsi="Times New Roman" w:cs="Times New Roman"/>
          <w:b/>
          <w:bCs/>
          <w:noProof/>
        </w:rPr>
        <w:t xml:space="preserve"> FTEs (</w:t>
      </w:r>
      <w:r>
        <w:rPr>
          <w:rFonts w:ascii="Times New Roman" w:hAnsi="Times New Roman" w:cs="Times New Roman"/>
          <w:b/>
          <w:bCs/>
          <w:noProof/>
        </w:rPr>
        <w:t>2</w:t>
      </w:r>
      <w:r w:rsidRPr="2D69C30E">
        <w:rPr>
          <w:rFonts w:ascii="Times New Roman" w:hAnsi="Times New Roman" w:cs="Times New Roman"/>
          <w:b/>
          <w:bCs/>
          <w:noProof/>
        </w:rPr>
        <w:t xml:space="preserve"> CA)</w:t>
      </w:r>
      <w:r w:rsidRPr="2D69C30E">
        <w:rPr>
          <w:rFonts w:ascii="Times New Roman" w:hAnsi="Times New Roman" w:cs="Times New Roman"/>
          <w:noProof/>
        </w:rPr>
        <w:t xml:space="preserve"> and </w:t>
      </w:r>
      <w:r w:rsidRPr="006057D4">
        <w:rPr>
          <w:rFonts w:ascii="Times New Roman" w:hAnsi="Times New Roman" w:cs="Times New Roman"/>
          <w:b/>
          <w:noProof/>
        </w:rPr>
        <w:t>EUR</w:t>
      </w:r>
      <w:r>
        <w:rPr>
          <w:rFonts w:ascii="Times New Roman" w:hAnsi="Times New Roman" w:cs="Times New Roman"/>
          <w:noProof/>
        </w:rPr>
        <w:t xml:space="preserve"> </w:t>
      </w:r>
      <w:r w:rsidRPr="2D69C30E">
        <w:rPr>
          <w:rFonts w:ascii="Times New Roman" w:hAnsi="Times New Roman" w:cs="Times New Roman"/>
          <w:b/>
          <w:bCs/>
          <w:noProof/>
        </w:rPr>
        <w:t>500</w:t>
      </w:r>
      <w:r w:rsidRPr="2D69C30E">
        <w:rPr>
          <w:rFonts w:ascii="Times New Roman" w:hAnsi="Times New Roman" w:cs="Times New Roman"/>
          <w:noProof/>
        </w:rPr>
        <w:t xml:space="preserve"> </w:t>
      </w:r>
      <w:r w:rsidRPr="0084633A">
        <w:rPr>
          <w:rFonts w:ascii="Times New Roman" w:hAnsi="Times New Roman" w:cs="Times New Roman"/>
          <w:b/>
          <w:noProof/>
        </w:rPr>
        <w:t>000</w:t>
      </w:r>
      <w:r>
        <w:rPr>
          <w:rFonts w:ascii="Times New Roman" w:hAnsi="Times New Roman" w:cs="Times New Roman"/>
          <w:noProof/>
        </w:rPr>
        <w:t xml:space="preserve"> </w:t>
      </w:r>
      <w:r w:rsidRPr="2D69C30E">
        <w:rPr>
          <w:rFonts w:ascii="Times New Roman" w:hAnsi="Times New Roman" w:cs="Times New Roman"/>
          <w:noProof/>
        </w:rPr>
        <w:t>per year</w:t>
      </w:r>
      <w:r w:rsidRPr="006057D4">
        <w:rPr>
          <w:rFonts w:ascii="Times New Roman" w:hAnsi="Times New Roman" w:cs="Times New Roman"/>
          <w:bCs/>
          <w:noProof/>
        </w:rPr>
        <w:t>,</w:t>
      </w:r>
      <w:r w:rsidRPr="2D69C30E">
        <w:rPr>
          <w:rFonts w:ascii="Times New Roman" w:hAnsi="Times New Roman" w:cs="Times New Roman"/>
          <w:b/>
          <w:bCs/>
          <w:noProof/>
        </w:rPr>
        <w:t xml:space="preserve"> EMA </w:t>
      </w:r>
      <w:r w:rsidRPr="2D69C30E">
        <w:rPr>
          <w:rFonts w:ascii="Times New Roman" w:hAnsi="Times New Roman" w:cs="Times New Roman"/>
          <w:noProof/>
        </w:rPr>
        <w:t>will</w:t>
      </w:r>
      <w:r w:rsidRPr="2D69C30E">
        <w:rPr>
          <w:rFonts w:ascii="Times New Roman" w:hAnsi="Times New Roman" w:cs="Times New Roman"/>
          <w:b/>
          <w:bCs/>
          <w:noProof/>
        </w:rPr>
        <w:t xml:space="preserve"> </w:t>
      </w:r>
      <w:r w:rsidRPr="006057D4">
        <w:rPr>
          <w:rFonts w:ascii="Times New Roman" w:hAnsi="Times New Roman" w:cs="Times New Roman"/>
          <w:bCs/>
          <w:noProof/>
        </w:rPr>
        <w:t>need</w:t>
      </w:r>
      <w:r w:rsidRPr="2D69C30E">
        <w:rPr>
          <w:rFonts w:ascii="Times New Roman" w:hAnsi="Times New Roman" w:cs="Times New Roman"/>
          <w:b/>
          <w:bCs/>
          <w:noProof/>
        </w:rPr>
        <w:t xml:space="preserve"> 2 FTEs (2 CAs) and </w:t>
      </w:r>
      <w:r>
        <w:rPr>
          <w:rFonts w:ascii="Times New Roman" w:hAnsi="Times New Roman" w:cs="Times New Roman"/>
          <w:b/>
          <w:bCs/>
          <w:noProof/>
        </w:rPr>
        <w:t xml:space="preserve">EUR </w:t>
      </w:r>
      <w:r w:rsidRPr="2D69C30E">
        <w:rPr>
          <w:rFonts w:ascii="Times New Roman" w:hAnsi="Times New Roman" w:cs="Times New Roman"/>
          <w:b/>
          <w:bCs/>
          <w:noProof/>
        </w:rPr>
        <w:t xml:space="preserve">0 </w:t>
      </w:r>
      <w:r w:rsidRPr="2D69C30E">
        <w:rPr>
          <w:rFonts w:ascii="Times New Roman" w:hAnsi="Times New Roman" w:cs="Times New Roman"/>
          <w:noProof/>
        </w:rPr>
        <w:t xml:space="preserve">per year and JRC </w:t>
      </w:r>
      <w:r w:rsidRPr="2D69C30E">
        <w:rPr>
          <w:rFonts w:ascii="Times New Roman" w:hAnsi="Times New Roman" w:cs="Times New Roman"/>
          <w:b/>
          <w:bCs/>
          <w:noProof/>
        </w:rPr>
        <w:t>0 FTEs</w:t>
      </w:r>
      <w:r w:rsidRPr="2D69C30E">
        <w:rPr>
          <w:rFonts w:ascii="Times New Roman" w:hAnsi="Times New Roman" w:cs="Times New Roman"/>
          <w:noProof/>
        </w:rPr>
        <w:t xml:space="preserve"> and </w:t>
      </w:r>
      <w:r>
        <w:rPr>
          <w:rFonts w:ascii="Times New Roman" w:hAnsi="Times New Roman" w:cs="Times New Roman"/>
          <w:noProof/>
        </w:rPr>
        <w:t xml:space="preserve">EUR </w:t>
      </w:r>
      <w:r w:rsidRPr="2D69C30E">
        <w:rPr>
          <w:rFonts w:ascii="Times New Roman" w:hAnsi="Times New Roman" w:cs="Times New Roman"/>
          <w:b/>
          <w:bCs/>
          <w:noProof/>
        </w:rPr>
        <w:t>0</w:t>
      </w:r>
      <w:r w:rsidRPr="2D69C30E">
        <w:rPr>
          <w:rFonts w:ascii="Times New Roman" w:hAnsi="Times New Roman" w:cs="Times New Roman"/>
          <w:noProof/>
        </w:rPr>
        <w:t xml:space="preserve"> per year. </w:t>
      </w:r>
      <w:r>
        <w:rPr>
          <w:rFonts w:ascii="Times New Roman" w:hAnsi="Times New Roman" w:cs="Times New Roman"/>
          <w:noProof/>
        </w:rPr>
        <w:t xml:space="preserve">No additional resources are required for </w:t>
      </w:r>
      <w:r w:rsidRPr="006057D4">
        <w:rPr>
          <w:rFonts w:ascii="Times New Roman" w:hAnsi="Times New Roman" w:cs="Times New Roman"/>
          <w:b/>
          <w:noProof/>
        </w:rPr>
        <w:t>EU-OSHA</w:t>
      </w:r>
      <w:r>
        <w:rPr>
          <w:rFonts w:ascii="Times New Roman" w:hAnsi="Times New Roman" w:cs="Times New Roman"/>
          <w:noProof/>
        </w:rPr>
        <w:t>.</w:t>
      </w:r>
    </w:p>
    <w:p w14:paraId="0CFBFA2D" w14:textId="77777777" w:rsidR="000A7D9D" w:rsidRPr="00EC1412" w:rsidRDefault="000A7D9D" w:rsidP="000A7D9D">
      <w:pPr>
        <w:spacing w:after="120"/>
        <w:jc w:val="both"/>
        <w:rPr>
          <w:rFonts w:ascii="Times New Roman" w:hAnsi="Times New Roman" w:cs="Times New Roman"/>
          <w:noProof/>
        </w:rPr>
      </w:pPr>
    </w:p>
    <w:tbl>
      <w:tblPr>
        <w:tblStyle w:val="TableGrid"/>
        <w:tblW w:w="9634" w:type="dxa"/>
        <w:tblLayout w:type="fixed"/>
        <w:tblLook w:val="04A0" w:firstRow="1" w:lastRow="0" w:firstColumn="1" w:lastColumn="0" w:noHBand="0" w:noVBand="1"/>
      </w:tblPr>
      <w:tblGrid>
        <w:gridCol w:w="1838"/>
        <w:gridCol w:w="567"/>
        <w:gridCol w:w="567"/>
        <w:gridCol w:w="567"/>
        <w:gridCol w:w="567"/>
        <w:gridCol w:w="567"/>
        <w:gridCol w:w="567"/>
        <w:gridCol w:w="567"/>
        <w:gridCol w:w="567"/>
        <w:gridCol w:w="709"/>
        <w:gridCol w:w="850"/>
        <w:gridCol w:w="851"/>
        <w:gridCol w:w="850"/>
      </w:tblGrid>
      <w:tr w:rsidR="000A7D9D" w:rsidRPr="00EC1412" w14:paraId="13E1A206" w14:textId="77777777" w:rsidTr="00F31937">
        <w:tc>
          <w:tcPr>
            <w:tcW w:w="9634" w:type="dxa"/>
            <w:gridSpan w:val="13"/>
            <w:tcBorders>
              <w:bottom w:val="single" w:sz="4" w:space="0" w:color="auto"/>
            </w:tcBorders>
            <w:shd w:val="clear" w:color="auto" w:fill="A6A6A6" w:themeFill="background1" w:themeFillShade="A6"/>
          </w:tcPr>
          <w:p w14:paraId="39B946E5" w14:textId="77777777" w:rsidR="000A7D9D" w:rsidRPr="00EC1412" w:rsidRDefault="000A7D9D" w:rsidP="00F31937">
            <w:pPr>
              <w:spacing w:before="60" w:after="60"/>
              <w:jc w:val="both"/>
              <w:rPr>
                <w:b/>
                <w:bCs/>
                <w:caps/>
                <w:noProof/>
                <w:sz w:val="18"/>
                <w:szCs w:val="18"/>
              </w:rPr>
            </w:pPr>
            <w:r w:rsidRPr="2D69C30E">
              <w:rPr>
                <w:b/>
                <w:bCs/>
                <w:noProof/>
                <w:sz w:val="18"/>
                <w:szCs w:val="18"/>
              </w:rPr>
              <w:t xml:space="preserve"> Table </w:t>
            </w:r>
            <w:r>
              <w:rPr>
                <w:b/>
                <w:bCs/>
                <w:noProof/>
                <w:sz w:val="18"/>
                <w:szCs w:val="18"/>
              </w:rPr>
              <w:t>7</w:t>
            </w:r>
            <w:r w:rsidRPr="2D69C30E">
              <w:rPr>
                <w:b/>
                <w:bCs/>
                <w:noProof/>
                <w:sz w:val="18"/>
                <w:szCs w:val="18"/>
              </w:rPr>
              <w:t>. Resource needs per agency (operational costs in EUR 1 000)</w:t>
            </w:r>
          </w:p>
        </w:tc>
      </w:tr>
      <w:tr w:rsidR="000A7D9D" w:rsidRPr="00EC1412" w14:paraId="20796A83" w14:textId="77777777" w:rsidTr="00F31937">
        <w:tc>
          <w:tcPr>
            <w:tcW w:w="1838" w:type="dxa"/>
            <w:tcBorders>
              <w:bottom w:val="single" w:sz="4" w:space="0" w:color="auto"/>
            </w:tcBorders>
            <w:shd w:val="clear" w:color="auto" w:fill="BFBFBF" w:themeFill="background1" w:themeFillShade="BF"/>
          </w:tcPr>
          <w:p w14:paraId="52118A0F" w14:textId="77777777" w:rsidR="000A7D9D" w:rsidRPr="00EC1412" w:rsidRDefault="000A7D9D" w:rsidP="00F31937">
            <w:pPr>
              <w:jc w:val="both"/>
              <w:rPr>
                <w:noProof/>
                <w:sz w:val="18"/>
                <w:szCs w:val="18"/>
              </w:rPr>
            </w:pPr>
          </w:p>
        </w:tc>
        <w:tc>
          <w:tcPr>
            <w:tcW w:w="4536" w:type="dxa"/>
            <w:gridSpan w:val="8"/>
            <w:tcBorders>
              <w:bottom w:val="single" w:sz="4" w:space="0" w:color="auto"/>
            </w:tcBorders>
            <w:shd w:val="clear" w:color="auto" w:fill="BFBFBF" w:themeFill="background1" w:themeFillShade="BF"/>
          </w:tcPr>
          <w:p w14:paraId="05EA3F0A" w14:textId="77777777" w:rsidR="000A7D9D" w:rsidRPr="00EC1412" w:rsidRDefault="000A7D9D" w:rsidP="00F31937">
            <w:pPr>
              <w:jc w:val="center"/>
              <w:rPr>
                <w:b/>
                <w:caps/>
                <w:noProof/>
                <w:sz w:val="18"/>
                <w:szCs w:val="18"/>
              </w:rPr>
            </w:pPr>
            <w:r w:rsidRPr="00EC1412">
              <w:rPr>
                <w:b/>
                <w:noProof/>
                <w:sz w:val="18"/>
                <w:szCs w:val="18"/>
              </w:rPr>
              <w:t>FTEs</w:t>
            </w:r>
          </w:p>
        </w:tc>
        <w:tc>
          <w:tcPr>
            <w:tcW w:w="3260" w:type="dxa"/>
            <w:gridSpan w:val="4"/>
            <w:tcBorders>
              <w:bottom w:val="single" w:sz="4" w:space="0" w:color="auto"/>
            </w:tcBorders>
            <w:shd w:val="clear" w:color="auto" w:fill="BFBFBF" w:themeFill="background1" w:themeFillShade="BF"/>
          </w:tcPr>
          <w:p w14:paraId="06811118"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7304BE37" w14:textId="77777777" w:rsidTr="00F31937">
        <w:tc>
          <w:tcPr>
            <w:tcW w:w="1838" w:type="dxa"/>
            <w:shd w:val="clear" w:color="auto" w:fill="BFBFBF" w:themeFill="background1" w:themeFillShade="BF"/>
          </w:tcPr>
          <w:p w14:paraId="6CF7DE2E" w14:textId="77777777" w:rsidR="000A7D9D" w:rsidRPr="00EC1412" w:rsidRDefault="000A7D9D" w:rsidP="00F31937">
            <w:pPr>
              <w:jc w:val="both"/>
              <w:rPr>
                <w:b/>
                <w:noProof/>
                <w:sz w:val="18"/>
                <w:szCs w:val="18"/>
              </w:rPr>
            </w:pPr>
            <w:r w:rsidRPr="00EC1412">
              <w:rPr>
                <w:b/>
                <w:noProof/>
                <w:sz w:val="18"/>
                <w:szCs w:val="18"/>
              </w:rPr>
              <w:t>Agency / Service</w:t>
            </w:r>
          </w:p>
        </w:tc>
        <w:tc>
          <w:tcPr>
            <w:tcW w:w="1134" w:type="dxa"/>
            <w:gridSpan w:val="2"/>
            <w:shd w:val="clear" w:color="auto" w:fill="BFBFBF" w:themeFill="background1" w:themeFillShade="BF"/>
          </w:tcPr>
          <w:p w14:paraId="7C138C8F" w14:textId="77777777" w:rsidR="000A7D9D" w:rsidRPr="00EC1412" w:rsidRDefault="000A7D9D" w:rsidP="00F31937">
            <w:pPr>
              <w:jc w:val="center"/>
              <w:rPr>
                <w:b/>
                <w:bCs/>
                <w:caps/>
                <w:noProof/>
                <w:sz w:val="18"/>
                <w:szCs w:val="18"/>
              </w:rPr>
            </w:pPr>
            <w:r w:rsidRPr="6689DE26">
              <w:rPr>
                <w:b/>
                <w:bCs/>
                <w:caps/>
                <w:noProof/>
                <w:sz w:val="18"/>
                <w:szCs w:val="18"/>
              </w:rPr>
              <w:t>2025</w:t>
            </w:r>
          </w:p>
        </w:tc>
        <w:tc>
          <w:tcPr>
            <w:tcW w:w="1134" w:type="dxa"/>
            <w:gridSpan w:val="2"/>
            <w:shd w:val="clear" w:color="auto" w:fill="BFBFBF" w:themeFill="background1" w:themeFillShade="BF"/>
          </w:tcPr>
          <w:p w14:paraId="150441EA" w14:textId="77777777" w:rsidR="000A7D9D" w:rsidRPr="00EC1412" w:rsidRDefault="000A7D9D" w:rsidP="00F31937">
            <w:pPr>
              <w:jc w:val="center"/>
              <w:rPr>
                <w:b/>
                <w:bCs/>
                <w:caps/>
                <w:noProof/>
                <w:sz w:val="18"/>
                <w:szCs w:val="18"/>
              </w:rPr>
            </w:pPr>
            <w:r w:rsidRPr="6689DE26">
              <w:rPr>
                <w:b/>
                <w:bCs/>
                <w:caps/>
                <w:noProof/>
                <w:sz w:val="18"/>
                <w:szCs w:val="18"/>
              </w:rPr>
              <w:t>2026</w:t>
            </w:r>
          </w:p>
        </w:tc>
        <w:tc>
          <w:tcPr>
            <w:tcW w:w="1134" w:type="dxa"/>
            <w:gridSpan w:val="2"/>
            <w:shd w:val="clear" w:color="auto" w:fill="BFBFBF" w:themeFill="background1" w:themeFillShade="BF"/>
          </w:tcPr>
          <w:p w14:paraId="5F615A24" w14:textId="77777777" w:rsidR="000A7D9D" w:rsidRPr="00EC1412" w:rsidRDefault="000A7D9D" w:rsidP="00F31937">
            <w:pPr>
              <w:jc w:val="center"/>
              <w:rPr>
                <w:b/>
                <w:bCs/>
                <w:caps/>
                <w:noProof/>
                <w:sz w:val="18"/>
                <w:szCs w:val="18"/>
              </w:rPr>
            </w:pPr>
            <w:r w:rsidRPr="6689DE26">
              <w:rPr>
                <w:b/>
                <w:bCs/>
                <w:caps/>
                <w:noProof/>
                <w:sz w:val="18"/>
                <w:szCs w:val="18"/>
              </w:rPr>
              <w:t>2027</w:t>
            </w:r>
          </w:p>
        </w:tc>
        <w:tc>
          <w:tcPr>
            <w:tcW w:w="1134" w:type="dxa"/>
            <w:gridSpan w:val="2"/>
            <w:shd w:val="clear" w:color="auto" w:fill="BFBFBF" w:themeFill="background1" w:themeFillShade="BF"/>
          </w:tcPr>
          <w:p w14:paraId="34CBF065" w14:textId="77777777" w:rsidR="000A7D9D" w:rsidRPr="00EC1412" w:rsidRDefault="000A7D9D" w:rsidP="00F31937">
            <w:pPr>
              <w:jc w:val="center"/>
              <w:rPr>
                <w:b/>
                <w:bCs/>
                <w:caps/>
                <w:noProof/>
                <w:sz w:val="18"/>
                <w:szCs w:val="18"/>
              </w:rPr>
            </w:pPr>
            <w:r w:rsidRPr="6689DE26">
              <w:rPr>
                <w:b/>
                <w:bCs/>
                <w:caps/>
                <w:noProof/>
                <w:sz w:val="18"/>
                <w:szCs w:val="18"/>
              </w:rPr>
              <w:t>2028</w:t>
            </w:r>
          </w:p>
        </w:tc>
        <w:tc>
          <w:tcPr>
            <w:tcW w:w="709" w:type="dxa"/>
            <w:shd w:val="clear" w:color="auto" w:fill="BFBFBF" w:themeFill="background1" w:themeFillShade="BF"/>
          </w:tcPr>
          <w:p w14:paraId="0ED219F4" w14:textId="77777777" w:rsidR="000A7D9D" w:rsidRPr="00EC1412" w:rsidRDefault="000A7D9D" w:rsidP="00F31937">
            <w:pPr>
              <w:jc w:val="right"/>
              <w:rPr>
                <w:b/>
                <w:bCs/>
                <w:caps/>
                <w:noProof/>
                <w:sz w:val="18"/>
                <w:szCs w:val="18"/>
              </w:rPr>
            </w:pPr>
            <w:r w:rsidRPr="6689DE26">
              <w:rPr>
                <w:b/>
                <w:bCs/>
                <w:caps/>
                <w:noProof/>
                <w:sz w:val="18"/>
                <w:szCs w:val="18"/>
              </w:rPr>
              <w:t>2025</w:t>
            </w:r>
          </w:p>
        </w:tc>
        <w:tc>
          <w:tcPr>
            <w:tcW w:w="850" w:type="dxa"/>
            <w:shd w:val="clear" w:color="auto" w:fill="BFBFBF" w:themeFill="background1" w:themeFillShade="BF"/>
          </w:tcPr>
          <w:p w14:paraId="2D3A4F27" w14:textId="77777777" w:rsidR="000A7D9D" w:rsidRPr="00EC1412" w:rsidRDefault="000A7D9D" w:rsidP="00F31937">
            <w:pPr>
              <w:jc w:val="right"/>
              <w:rPr>
                <w:b/>
                <w:bCs/>
                <w:caps/>
                <w:noProof/>
                <w:sz w:val="18"/>
                <w:szCs w:val="18"/>
              </w:rPr>
            </w:pPr>
            <w:r w:rsidRPr="6689DE26">
              <w:rPr>
                <w:b/>
                <w:bCs/>
                <w:caps/>
                <w:noProof/>
                <w:sz w:val="18"/>
                <w:szCs w:val="18"/>
              </w:rPr>
              <w:t>2026</w:t>
            </w:r>
          </w:p>
        </w:tc>
        <w:tc>
          <w:tcPr>
            <w:tcW w:w="851" w:type="dxa"/>
            <w:shd w:val="clear" w:color="auto" w:fill="BFBFBF" w:themeFill="background1" w:themeFillShade="BF"/>
          </w:tcPr>
          <w:p w14:paraId="30FB56C6" w14:textId="77777777" w:rsidR="000A7D9D" w:rsidRPr="00EC1412" w:rsidRDefault="000A7D9D" w:rsidP="00F31937">
            <w:pPr>
              <w:jc w:val="right"/>
              <w:rPr>
                <w:b/>
                <w:bCs/>
                <w:caps/>
                <w:noProof/>
                <w:sz w:val="18"/>
                <w:szCs w:val="18"/>
              </w:rPr>
            </w:pPr>
            <w:r w:rsidRPr="6689DE26">
              <w:rPr>
                <w:b/>
                <w:bCs/>
                <w:caps/>
                <w:noProof/>
                <w:sz w:val="18"/>
                <w:szCs w:val="18"/>
              </w:rPr>
              <w:t>2027</w:t>
            </w:r>
          </w:p>
        </w:tc>
        <w:tc>
          <w:tcPr>
            <w:tcW w:w="850" w:type="dxa"/>
            <w:shd w:val="clear" w:color="auto" w:fill="BFBFBF" w:themeFill="background1" w:themeFillShade="BF"/>
          </w:tcPr>
          <w:p w14:paraId="353CA7F9" w14:textId="77777777" w:rsidR="000A7D9D" w:rsidRPr="00EC1412" w:rsidRDefault="000A7D9D" w:rsidP="00F31937">
            <w:pPr>
              <w:jc w:val="right"/>
              <w:rPr>
                <w:b/>
                <w:bCs/>
                <w:caps/>
                <w:noProof/>
                <w:sz w:val="18"/>
                <w:szCs w:val="18"/>
              </w:rPr>
            </w:pPr>
            <w:r w:rsidRPr="6689DE26">
              <w:rPr>
                <w:b/>
                <w:bCs/>
                <w:caps/>
                <w:noProof/>
                <w:sz w:val="18"/>
                <w:szCs w:val="18"/>
              </w:rPr>
              <w:t>2028</w:t>
            </w:r>
          </w:p>
        </w:tc>
      </w:tr>
      <w:tr w:rsidR="000A7D9D" w:rsidRPr="00EC1412" w14:paraId="2687FAED" w14:textId="77777777" w:rsidTr="00F31937">
        <w:tc>
          <w:tcPr>
            <w:tcW w:w="1838" w:type="dxa"/>
            <w:shd w:val="clear" w:color="auto" w:fill="BFBFBF" w:themeFill="background1" w:themeFillShade="BF"/>
          </w:tcPr>
          <w:p w14:paraId="18023E1E" w14:textId="77777777" w:rsidR="000A7D9D" w:rsidRPr="00EC1412" w:rsidRDefault="000A7D9D" w:rsidP="00F31937">
            <w:pPr>
              <w:jc w:val="both"/>
              <w:rPr>
                <w:b/>
                <w:noProof/>
                <w:sz w:val="18"/>
                <w:szCs w:val="18"/>
              </w:rPr>
            </w:pPr>
          </w:p>
        </w:tc>
        <w:tc>
          <w:tcPr>
            <w:tcW w:w="567" w:type="dxa"/>
            <w:shd w:val="clear" w:color="auto" w:fill="BFBFBF" w:themeFill="background1" w:themeFillShade="BF"/>
          </w:tcPr>
          <w:p w14:paraId="2915BB5F" w14:textId="77777777" w:rsidR="000A7D9D" w:rsidRPr="6689DE26" w:rsidRDefault="000A7D9D" w:rsidP="00F31937">
            <w:pPr>
              <w:ind w:left="-114" w:right="-115"/>
              <w:jc w:val="center"/>
              <w:rPr>
                <w:b/>
                <w:bCs/>
                <w:caps/>
                <w:noProof/>
                <w:sz w:val="18"/>
                <w:szCs w:val="18"/>
              </w:rPr>
            </w:pPr>
            <w:r>
              <w:rPr>
                <w:b/>
                <w:bCs/>
                <w:caps/>
                <w:noProof/>
                <w:sz w:val="18"/>
                <w:szCs w:val="18"/>
              </w:rPr>
              <w:t>TA</w:t>
            </w:r>
          </w:p>
        </w:tc>
        <w:tc>
          <w:tcPr>
            <w:tcW w:w="567" w:type="dxa"/>
            <w:shd w:val="clear" w:color="auto" w:fill="BFBFBF" w:themeFill="background1" w:themeFillShade="BF"/>
          </w:tcPr>
          <w:p w14:paraId="41C20760" w14:textId="77777777" w:rsidR="000A7D9D" w:rsidRPr="6689DE26" w:rsidRDefault="000A7D9D" w:rsidP="00F31937">
            <w:pPr>
              <w:ind w:left="-109" w:right="-105"/>
              <w:jc w:val="center"/>
              <w:rPr>
                <w:b/>
                <w:bCs/>
                <w:caps/>
                <w:noProof/>
                <w:sz w:val="18"/>
                <w:szCs w:val="18"/>
              </w:rPr>
            </w:pPr>
            <w:r>
              <w:rPr>
                <w:b/>
                <w:bCs/>
                <w:caps/>
                <w:noProof/>
                <w:sz w:val="18"/>
                <w:szCs w:val="18"/>
              </w:rPr>
              <w:t>CA</w:t>
            </w:r>
          </w:p>
        </w:tc>
        <w:tc>
          <w:tcPr>
            <w:tcW w:w="567" w:type="dxa"/>
            <w:shd w:val="clear" w:color="auto" w:fill="BFBFBF" w:themeFill="background1" w:themeFillShade="BF"/>
          </w:tcPr>
          <w:p w14:paraId="4BA1BBE0" w14:textId="77777777" w:rsidR="000A7D9D" w:rsidRPr="6689DE26" w:rsidRDefault="000A7D9D" w:rsidP="00F31937">
            <w:pPr>
              <w:ind w:left="-104" w:right="-111"/>
              <w:jc w:val="center"/>
              <w:rPr>
                <w:b/>
                <w:bCs/>
                <w:caps/>
                <w:noProof/>
                <w:sz w:val="18"/>
                <w:szCs w:val="18"/>
              </w:rPr>
            </w:pPr>
            <w:r>
              <w:rPr>
                <w:b/>
                <w:bCs/>
                <w:caps/>
                <w:noProof/>
                <w:sz w:val="18"/>
                <w:szCs w:val="18"/>
              </w:rPr>
              <w:t>TA</w:t>
            </w:r>
          </w:p>
        </w:tc>
        <w:tc>
          <w:tcPr>
            <w:tcW w:w="567" w:type="dxa"/>
            <w:shd w:val="clear" w:color="auto" w:fill="BFBFBF" w:themeFill="background1" w:themeFillShade="BF"/>
          </w:tcPr>
          <w:p w14:paraId="16B15D97" w14:textId="77777777" w:rsidR="000A7D9D" w:rsidRPr="6689DE26" w:rsidRDefault="000A7D9D" w:rsidP="00F31937">
            <w:pPr>
              <w:ind w:left="-113" w:right="-101"/>
              <w:jc w:val="center"/>
              <w:rPr>
                <w:b/>
                <w:bCs/>
                <w:caps/>
                <w:noProof/>
                <w:sz w:val="18"/>
                <w:szCs w:val="18"/>
              </w:rPr>
            </w:pPr>
            <w:r>
              <w:rPr>
                <w:b/>
                <w:bCs/>
                <w:caps/>
                <w:noProof/>
                <w:sz w:val="18"/>
                <w:szCs w:val="18"/>
              </w:rPr>
              <w:t>CA</w:t>
            </w:r>
          </w:p>
        </w:tc>
        <w:tc>
          <w:tcPr>
            <w:tcW w:w="567" w:type="dxa"/>
            <w:shd w:val="clear" w:color="auto" w:fill="BFBFBF" w:themeFill="background1" w:themeFillShade="BF"/>
          </w:tcPr>
          <w:p w14:paraId="2D601BD6" w14:textId="77777777" w:rsidR="000A7D9D" w:rsidRPr="6689DE26" w:rsidRDefault="000A7D9D" w:rsidP="00F31937">
            <w:pPr>
              <w:ind w:left="-108" w:right="-106"/>
              <w:jc w:val="center"/>
              <w:rPr>
                <w:b/>
                <w:bCs/>
                <w:caps/>
                <w:noProof/>
                <w:sz w:val="18"/>
                <w:szCs w:val="18"/>
              </w:rPr>
            </w:pPr>
            <w:r>
              <w:rPr>
                <w:b/>
                <w:bCs/>
                <w:caps/>
                <w:noProof/>
                <w:sz w:val="18"/>
                <w:szCs w:val="18"/>
              </w:rPr>
              <w:t>TA</w:t>
            </w:r>
          </w:p>
        </w:tc>
        <w:tc>
          <w:tcPr>
            <w:tcW w:w="567" w:type="dxa"/>
            <w:shd w:val="clear" w:color="auto" w:fill="BFBFBF" w:themeFill="background1" w:themeFillShade="BF"/>
          </w:tcPr>
          <w:p w14:paraId="5B189A23" w14:textId="77777777" w:rsidR="000A7D9D" w:rsidRPr="6689DE26" w:rsidRDefault="000A7D9D" w:rsidP="00F31937">
            <w:pPr>
              <w:ind w:left="-103" w:right="-111"/>
              <w:jc w:val="center"/>
              <w:rPr>
                <w:b/>
                <w:bCs/>
                <w:caps/>
                <w:noProof/>
                <w:sz w:val="18"/>
                <w:szCs w:val="18"/>
              </w:rPr>
            </w:pPr>
            <w:r>
              <w:rPr>
                <w:b/>
                <w:bCs/>
                <w:caps/>
                <w:noProof/>
                <w:sz w:val="18"/>
                <w:szCs w:val="18"/>
              </w:rPr>
              <w:t>CA</w:t>
            </w:r>
          </w:p>
        </w:tc>
        <w:tc>
          <w:tcPr>
            <w:tcW w:w="567" w:type="dxa"/>
            <w:shd w:val="clear" w:color="auto" w:fill="BFBFBF" w:themeFill="background1" w:themeFillShade="BF"/>
          </w:tcPr>
          <w:p w14:paraId="59DE0FCC" w14:textId="77777777" w:rsidR="000A7D9D" w:rsidRPr="6689DE26" w:rsidRDefault="000A7D9D" w:rsidP="00F31937">
            <w:pPr>
              <w:ind w:left="-113" w:right="-102"/>
              <w:jc w:val="center"/>
              <w:rPr>
                <w:b/>
                <w:bCs/>
                <w:caps/>
                <w:noProof/>
                <w:sz w:val="18"/>
                <w:szCs w:val="18"/>
              </w:rPr>
            </w:pPr>
            <w:r>
              <w:rPr>
                <w:b/>
                <w:bCs/>
                <w:caps/>
                <w:noProof/>
                <w:sz w:val="18"/>
                <w:szCs w:val="18"/>
              </w:rPr>
              <w:t>TA</w:t>
            </w:r>
          </w:p>
        </w:tc>
        <w:tc>
          <w:tcPr>
            <w:tcW w:w="567" w:type="dxa"/>
            <w:shd w:val="clear" w:color="auto" w:fill="BFBFBF" w:themeFill="background1" w:themeFillShade="BF"/>
          </w:tcPr>
          <w:p w14:paraId="3710F235" w14:textId="77777777" w:rsidR="000A7D9D" w:rsidRPr="6689DE26" w:rsidRDefault="000A7D9D" w:rsidP="00F31937">
            <w:pPr>
              <w:ind w:left="-107" w:right="-107"/>
              <w:jc w:val="center"/>
              <w:rPr>
                <w:b/>
                <w:bCs/>
                <w:caps/>
                <w:noProof/>
                <w:sz w:val="18"/>
                <w:szCs w:val="18"/>
              </w:rPr>
            </w:pPr>
            <w:r>
              <w:rPr>
                <w:b/>
                <w:bCs/>
                <w:caps/>
                <w:noProof/>
                <w:sz w:val="18"/>
                <w:szCs w:val="18"/>
              </w:rPr>
              <w:t>CA</w:t>
            </w:r>
          </w:p>
        </w:tc>
        <w:tc>
          <w:tcPr>
            <w:tcW w:w="709" w:type="dxa"/>
            <w:shd w:val="clear" w:color="auto" w:fill="BFBFBF" w:themeFill="background1" w:themeFillShade="BF"/>
          </w:tcPr>
          <w:p w14:paraId="2028A0B7" w14:textId="77777777" w:rsidR="000A7D9D" w:rsidRPr="6689DE26" w:rsidRDefault="000A7D9D" w:rsidP="00F31937">
            <w:pPr>
              <w:jc w:val="right"/>
              <w:rPr>
                <w:b/>
                <w:bCs/>
                <w:caps/>
                <w:noProof/>
                <w:sz w:val="18"/>
                <w:szCs w:val="18"/>
              </w:rPr>
            </w:pPr>
          </w:p>
        </w:tc>
        <w:tc>
          <w:tcPr>
            <w:tcW w:w="850" w:type="dxa"/>
            <w:shd w:val="clear" w:color="auto" w:fill="BFBFBF" w:themeFill="background1" w:themeFillShade="BF"/>
          </w:tcPr>
          <w:p w14:paraId="51AA4E91" w14:textId="77777777" w:rsidR="000A7D9D" w:rsidRPr="6689DE26" w:rsidRDefault="000A7D9D" w:rsidP="00F31937">
            <w:pPr>
              <w:jc w:val="right"/>
              <w:rPr>
                <w:b/>
                <w:bCs/>
                <w:caps/>
                <w:noProof/>
                <w:sz w:val="18"/>
                <w:szCs w:val="18"/>
              </w:rPr>
            </w:pPr>
          </w:p>
        </w:tc>
        <w:tc>
          <w:tcPr>
            <w:tcW w:w="851" w:type="dxa"/>
            <w:shd w:val="clear" w:color="auto" w:fill="BFBFBF" w:themeFill="background1" w:themeFillShade="BF"/>
          </w:tcPr>
          <w:p w14:paraId="0D94F276" w14:textId="77777777" w:rsidR="000A7D9D" w:rsidRPr="6689DE26" w:rsidRDefault="000A7D9D" w:rsidP="00F31937">
            <w:pPr>
              <w:jc w:val="right"/>
              <w:rPr>
                <w:b/>
                <w:bCs/>
                <w:caps/>
                <w:noProof/>
                <w:sz w:val="18"/>
                <w:szCs w:val="18"/>
              </w:rPr>
            </w:pPr>
          </w:p>
        </w:tc>
        <w:tc>
          <w:tcPr>
            <w:tcW w:w="850" w:type="dxa"/>
            <w:shd w:val="clear" w:color="auto" w:fill="BFBFBF" w:themeFill="background1" w:themeFillShade="BF"/>
          </w:tcPr>
          <w:p w14:paraId="26264DEB" w14:textId="77777777" w:rsidR="000A7D9D" w:rsidRPr="6689DE26" w:rsidRDefault="000A7D9D" w:rsidP="00F31937">
            <w:pPr>
              <w:jc w:val="right"/>
              <w:rPr>
                <w:b/>
                <w:bCs/>
                <w:caps/>
                <w:noProof/>
                <w:sz w:val="18"/>
                <w:szCs w:val="18"/>
              </w:rPr>
            </w:pPr>
          </w:p>
        </w:tc>
      </w:tr>
      <w:tr w:rsidR="000A7D9D" w:rsidRPr="00EC1412" w14:paraId="6E53A9B7" w14:textId="77777777" w:rsidTr="00F31937">
        <w:tc>
          <w:tcPr>
            <w:tcW w:w="1838" w:type="dxa"/>
          </w:tcPr>
          <w:p w14:paraId="49B225AC" w14:textId="77777777" w:rsidR="000A7D9D" w:rsidRPr="00EC1412" w:rsidRDefault="000A7D9D" w:rsidP="00F31937">
            <w:pPr>
              <w:jc w:val="both"/>
              <w:rPr>
                <w:caps/>
                <w:noProof/>
                <w:sz w:val="18"/>
                <w:szCs w:val="18"/>
              </w:rPr>
            </w:pPr>
            <w:r w:rsidRPr="00EC1412">
              <w:rPr>
                <w:caps/>
                <w:noProof/>
                <w:sz w:val="18"/>
                <w:szCs w:val="18"/>
              </w:rPr>
              <w:t>ECHA</w:t>
            </w:r>
          </w:p>
        </w:tc>
        <w:tc>
          <w:tcPr>
            <w:tcW w:w="567" w:type="dxa"/>
          </w:tcPr>
          <w:p w14:paraId="525C0D94" w14:textId="77777777" w:rsidR="000A7D9D" w:rsidRPr="00EC1412" w:rsidRDefault="000A7D9D" w:rsidP="00F31937">
            <w:pPr>
              <w:jc w:val="right"/>
              <w:rPr>
                <w:caps/>
                <w:noProof/>
                <w:sz w:val="18"/>
                <w:szCs w:val="18"/>
              </w:rPr>
            </w:pPr>
            <w:r>
              <w:rPr>
                <w:caps/>
                <w:noProof/>
                <w:sz w:val="18"/>
                <w:szCs w:val="18"/>
              </w:rPr>
              <w:t>7</w:t>
            </w:r>
          </w:p>
        </w:tc>
        <w:tc>
          <w:tcPr>
            <w:tcW w:w="567" w:type="dxa"/>
          </w:tcPr>
          <w:p w14:paraId="3081B54B" w14:textId="77777777" w:rsidR="000A7D9D" w:rsidRPr="00EC1412" w:rsidRDefault="000A7D9D" w:rsidP="00F31937">
            <w:pPr>
              <w:jc w:val="right"/>
              <w:rPr>
                <w:caps/>
                <w:noProof/>
                <w:sz w:val="18"/>
                <w:szCs w:val="18"/>
              </w:rPr>
            </w:pPr>
            <w:r>
              <w:rPr>
                <w:caps/>
                <w:noProof/>
                <w:sz w:val="18"/>
                <w:szCs w:val="18"/>
              </w:rPr>
              <w:t>8</w:t>
            </w:r>
          </w:p>
        </w:tc>
        <w:tc>
          <w:tcPr>
            <w:tcW w:w="567" w:type="dxa"/>
          </w:tcPr>
          <w:p w14:paraId="7B14BF81" w14:textId="77777777" w:rsidR="000A7D9D" w:rsidRPr="00EC1412" w:rsidRDefault="000A7D9D" w:rsidP="00F31937">
            <w:pPr>
              <w:jc w:val="right"/>
              <w:rPr>
                <w:noProof/>
                <w:sz w:val="18"/>
                <w:szCs w:val="18"/>
              </w:rPr>
            </w:pPr>
            <w:r>
              <w:rPr>
                <w:caps/>
                <w:noProof/>
                <w:sz w:val="18"/>
                <w:szCs w:val="18"/>
              </w:rPr>
              <w:t>9</w:t>
            </w:r>
          </w:p>
        </w:tc>
        <w:tc>
          <w:tcPr>
            <w:tcW w:w="567" w:type="dxa"/>
          </w:tcPr>
          <w:p w14:paraId="6603C015" w14:textId="77777777" w:rsidR="000A7D9D" w:rsidRPr="00EC1412" w:rsidRDefault="000A7D9D" w:rsidP="00F31937">
            <w:pPr>
              <w:spacing w:line="259" w:lineRule="auto"/>
              <w:jc w:val="right"/>
              <w:rPr>
                <w:noProof/>
                <w:sz w:val="18"/>
                <w:szCs w:val="18"/>
              </w:rPr>
            </w:pPr>
            <w:r>
              <w:rPr>
                <w:noProof/>
                <w:sz w:val="18"/>
                <w:szCs w:val="18"/>
              </w:rPr>
              <w:t>10</w:t>
            </w:r>
          </w:p>
        </w:tc>
        <w:tc>
          <w:tcPr>
            <w:tcW w:w="567" w:type="dxa"/>
          </w:tcPr>
          <w:p w14:paraId="38ECC829" w14:textId="77777777" w:rsidR="000A7D9D" w:rsidRPr="00EC1412" w:rsidRDefault="000A7D9D" w:rsidP="00F31937">
            <w:pPr>
              <w:jc w:val="right"/>
              <w:rPr>
                <w:noProof/>
                <w:sz w:val="18"/>
                <w:szCs w:val="18"/>
              </w:rPr>
            </w:pPr>
            <w:r>
              <w:rPr>
                <w:caps/>
                <w:noProof/>
                <w:sz w:val="18"/>
                <w:szCs w:val="18"/>
              </w:rPr>
              <w:t>9</w:t>
            </w:r>
          </w:p>
        </w:tc>
        <w:tc>
          <w:tcPr>
            <w:tcW w:w="567" w:type="dxa"/>
          </w:tcPr>
          <w:p w14:paraId="6EC7A143" w14:textId="77777777" w:rsidR="000A7D9D" w:rsidRPr="00EC1412" w:rsidRDefault="000A7D9D" w:rsidP="00F31937">
            <w:pPr>
              <w:spacing w:line="259" w:lineRule="auto"/>
              <w:jc w:val="right"/>
              <w:rPr>
                <w:noProof/>
                <w:sz w:val="18"/>
                <w:szCs w:val="18"/>
              </w:rPr>
            </w:pPr>
            <w:r>
              <w:rPr>
                <w:noProof/>
                <w:sz w:val="18"/>
                <w:szCs w:val="18"/>
              </w:rPr>
              <w:t>10</w:t>
            </w:r>
          </w:p>
        </w:tc>
        <w:tc>
          <w:tcPr>
            <w:tcW w:w="567" w:type="dxa"/>
          </w:tcPr>
          <w:p w14:paraId="7B827568" w14:textId="77777777" w:rsidR="000A7D9D" w:rsidRPr="00EC1412" w:rsidRDefault="000A7D9D" w:rsidP="00F31937">
            <w:pPr>
              <w:jc w:val="right"/>
              <w:rPr>
                <w:noProof/>
                <w:sz w:val="18"/>
                <w:szCs w:val="18"/>
              </w:rPr>
            </w:pPr>
            <w:r>
              <w:rPr>
                <w:caps/>
                <w:noProof/>
                <w:sz w:val="18"/>
                <w:szCs w:val="18"/>
              </w:rPr>
              <w:t>9</w:t>
            </w:r>
          </w:p>
        </w:tc>
        <w:tc>
          <w:tcPr>
            <w:tcW w:w="567" w:type="dxa"/>
          </w:tcPr>
          <w:p w14:paraId="56DF108A" w14:textId="77777777" w:rsidR="000A7D9D" w:rsidRPr="00EC1412" w:rsidRDefault="000A7D9D" w:rsidP="00F31937">
            <w:pPr>
              <w:spacing w:line="259" w:lineRule="auto"/>
              <w:jc w:val="right"/>
              <w:rPr>
                <w:noProof/>
                <w:sz w:val="18"/>
                <w:szCs w:val="18"/>
              </w:rPr>
            </w:pPr>
            <w:r>
              <w:rPr>
                <w:noProof/>
                <w:sz w:val="18"/>
                <w:szCs w:val="18"/>
              </w:rPr>
              <w:t>4</w:t>
            </w:r>
          </w:p>
        </w:tc>
        <w:tc>
          <w:tcPr>
            <w:tcW w:w="709" w:type="dxa"/>
          </w:tcPr>
          <w:p w14:paraId="468A5E6A" w14:textId="77777777" w:rsidR="000A7D9D" w:rsidRPr="00EC1412" w:rsidRDefault="000A7D9D" w:rsidP="00F31937">
            <w:pPr>
              <w:spacing w:line="259" w:lineRule="auto"/>
              <w:jc w:val="right"/>
              <w:rPr>
                <w:caps/>
                <w:noProof/>
                <w:sz w:val="18"/>
                <w:szCs w:val="18"/>
              </w:rPr>
            </w:pPr>
            <w:r w:rsidRPr="2FCD3695">
              <w:rPr>
                <w:noProof/>
                <w:sz w:val="18"/>
                <w:szCs w:val="18"/>
              </w:rPr>
              <w:t xml:space="preserve">0 </w:t>
            </w:r>
          </w:p>
        </w:tc>
        <w:tc>
          <w:tcPr>
            <w:tcW w:w="850" w:type="dxa"/>
            <w:vAlign w:val="bottom"/>
          </w:tcPr>
          <w:p w14:paraId="4554F202" w14:textId="77777777" w:rsidR="000A7D9D" w:rsidRPr="00EC1412" w:rsidRDefault="000A7D9D" w:rsidP="00F31937">
            <w:pPr>
              <w:spacing w:line="259" w:lineRule="auto"/>
              <w:jc w:val="right"/>
              <w:rPr>
                <w:caps/>
                <w:noProof/>
                <w:sz w:val="18"/>
                <w:szCs w:val="18"/>
              </w:rPr>
            </w:pPr>
            <w:r w:rsidRPr="2FCD3695">
              <w:rPr>
                <w:caps/>
                <w:noProof/>
                <w:sz w:val="18"/>
                <w:szCs w:val="18"/>
              </w:rPr>
              <w:t>5 076</w:t>
            </w:r>
            <w:r w:rsidRPr="2FCD3695">
              <w:rPr>
                <w:noProof/>
                <w:sz w:val="18"/>
                <w:szCs w:val="18"/>
              </w:rPr>
              <w:t xml:space="preserve"> </w:t>
            </w:r>
          </w:p>
        </w:tc>
        <w:tc>
          <w:tcPr>
            <w:tcW w:w="851" w:type="dxa"/>
            <w:vAlign w:val="bottom"/>
          </w:tcPr>
          <w:p w14:paraId="66D506F9" w14:textId="77777777" w:rsidR="000A7D9D" w:rsidRPr="00EC1412" w:rsidRDefault="000A7D9D" w:rsidP="00F31937">
            <w:pPr>
              <w:spacing w:line="259" w:lineRule="auto"/>
              <w:jc w:val="right"/>
              <w:rPr>
                <w:caps/>
                <w:noProof/>
                <w:sz w:val="18"/>
                <w:szCs w:val="18"/>
              </w:rPr>
            </w:pPr>
            <w:r w:rsidRPr="2FCD3695">
              <w:rPr>
                <w:noProof/>
                <w:sz w:val="18"/>
                <w:szCs w:val="18"/>
              </w:rPr>
              <w:t xml:space="preserve">7 023 </w:t>
            </w:r>
          </w:p>
        </w:tc>
        <w:tc>
          <w:tcPr>
            <w:tcW w:w="850" w:type="dxa"/>
            <w:vAlign w:val="bottom"/>
          </w:tcPr>
          <w:p w14:paraId="15796CE7" w14:textId="77777777" w:rsidR="000A7D9D" w:rsidRPr="00EC1412" w:rsidRDefault="000A7D9D" w:rsidP="00F31937">
            <w:pPr>
              <w:spacing w:line="259" w:lineRule="auto"/>
              <w:jc w:val="right"/>
              <w:rPr>
                <w:caps/>
                <w:noProof/>
                <w:sz w:val="18"/>
                <w:szCs w:val="18"/>
              </w:rPr>
            </w:pPr>
            <w:r w:rsidRPr="00E34D59">
              <w:rPr>
                <w:noProof/>
                <w:sz w:val="18"/>
                <w:szCs w:val="18"/>
              </w:rPr>
              <w:t>6 180</w:t>
            </w:r>
            <w:r w:rsidRPr="2FCD3695">
              <w:rPr>
                <w:noProof/>
                <w:sz w:val="18"/>
                <w:szCs w:val="18"/>
              </w:rPr>
              <w:t xml:space="preserve"> </w:t>
            </w:r>
          </w:p>
        </w:tc>
      </w:tr>
      <w:tr w:rsidR="000A7D9D" w:rsidRPr="00EC1412" w14:paraId="0FDD82EF" w14:textId="77777777" w:rsidTr="00F31937">
        <w:tc>
          <w:tcPr>
            <w:tcW w:w="1838" w:type="dxa"/>
          </w:tcPr>
          <w:p w14:paraId="1AA2BC7B" w14:textId="77777777" w:rsidR="000A7D9D" w:rsidRPr="00EC1412" w:rsidRDefault="000A7D9D" w:rsidP="00F31937">
            <w:pPr>
              <w:jc w:val="both"/>
              <w:rPr>
                <w:caps/>
                <w:noProof/>
                <w:sz w:val="18"/>
                <w:szCs w:val="18"/>
              </w:rPr>
            </w:pPr>
            <w:r w:rsidRPr="00EC1412">
              <w:rPr>
                <w:caps/>
                <w:noProof/>
                <w:sz w:val="18"/>
                <w:szCs w:val="18"/>
              </w:rPr>
              <w:t>EEA</w:t>
            </w:r>
          </w:p>
        </w:tc>
        <w:tc>
          <w:tcPr>
            <w:tcW w:w="567" w:type="dxa"/>
          </w:tcPr>
          <w:p w14:paraId="70257CD8" w14:textId="77777777" w:rsidR="000A7D9D" w:rsidRPr="00EC1412" w:rsidRDefault="000A7D9D" w:rsidP="00F31937">
            <w:pPr>
              <w:jc w:val="right"/>
              <w:rPr>
                <w:caps/>
                <w:noProof/>
                <w:sz w:val="18"/>
                <w:szCs w:val="18"/>
              </w:rPr>
            </w:pPr>
            <w:r>
              <w:rPr>
                <w:caps/>
                <w:noProof/>
                <w:sz w:val="18"/>
                <w:szCs w:val="18"/>
              </w:rPr>
              <w:t>3</w:t>
            </w:r>
          </w:p>
        </w:tc>
        <w:tc>
          <w:tcPr>
            <w:tcW w:w="567" w:type="dxa"/>
          </w:tcPr>
          <w:p w14:paraId="69335337" w14:textId="77777777" w:rsidR="000A7D9D" w:rsidRPr="00EC1412" w:rsidRDefault="000A7D9D" w:rsidP="00F31937">
            <w:pPr>
              <w:jc w:val="right"/>
              <w:rPr>
                <w:caps/>
                <w:noProof/>
                <w:sz w:val="18"/>
                <w:szCs w:val="18"/>
              </w:rPr>
            </w:pPr>
            <w:r>
              <w:rPr>
                <w:caps/>
                <w:noProof/>
                <w:sz w:val="18"/>
                <w:szCs w:val="18"/>
              </w:rPr>
              <w:t>2</w:t>
            </w:r>
          </w:p>
        </w:tc>
        <w:tc>
          <w:tcPr>
            <w:tcW w:w="567" w:type="dxa"/>
          </w:tcPr>
          <w:p w14:paraId="710C62C8" w14:textId="77777777" w:rsidR="000A7D9D" w:rsidRPr="00EC1412" w:rsidRDefault="000A7D9D" w:rsidP="00F31937">
            <w:pPr>
              <w:jc w:val="right"/>
              <w:rPr>
                <w:caps/>
                <w:noProof/>
                <w:sz w:val="18"/>
                <w:szCs w:val="18"/>
              </w:rPr>
            </w:pPr>
            <w:r>
              <w:rPr>
                <w:caps/>
                <w:noProof/>
                <w:sz w:val="18"/>
                <w:szCs w:val="18"/>
              </w:rPr>
              <w:t>3</w:t>
            </w:r>
          </w:p>
        </w:tc>
        <w:tc>
          <w:tcPr>
            <w:tcW w:w="567" w:type="dxa"/>
          </w:tcPr>
          <w:p w14:paraId="033691E3" w14:textId="77777777" w:rsidR="000A7D9D" w:rsidRPr="00EC1412" w:rsidRDefault="000A7D9D" w:rsidP="00F31937">
            <w:pPr>
              <w:jc w:val="right"/>
              <w:rPr>
                <w:caps/>
                <w:noProof/>
                <w:sz w:val="18"/>
                <w:szCs w:val="18"/>
              </w:rPr>
            </w:pPr>
            <w:r>
              <w:rPr>
                <w:caps/>
                <w:noProof/>
                <w:sz w:val="18"/>
                <w:szCs w:val="18"/>
              </w:rPr>
              <w:t>2</w:t>
            </w:r>
          </w:p>
        </w:tc>
        <w:tc>
          <w:tcPr>
            <w:tcW w:w="567" w:type="dxa"/>
          </w:tcPr>
          <w:p w14:paraId="5F87756C" w14:textId="77777777" w:rsidR="000A7D9D" w:rsidRPr="00EC1412" w:rsidRDefault="000A7D9D" w:rsidP="00F31937">
            <w:pPr>
              <w:jc w:val="right"/>
              <w:rPr>
                <w:caps/>
                <w:noProof/>
                <w:sz w:val="18"/>
                <w:szCs w:val="18"/>
              </w:rPr>
            </w:pPr>
            <w:r>
              <w:rPr>
                <w:caps/>
                <w:noProof/>
                <w:sz w:val="18"/>
                <w:szCs w:val="18"/>
              </w:rPr>
              <w:t>3</w:t>
            </w:r>
          </w:p>
        </w:tc>
        <w:tc>
          <w:tcPr>
            <w:tcW w:w="567" w:type="dxa"/>
          </w:tcPr>
          <w:p w14:paraId="6AB0A6C5" w14:textId="77777777" w:rsidR="000A7D9D" w:rsidRPr="00EC1412" w:rsidRDefault="000A7D9D" w:rsidP="00F31937">
            <w:pPr>
              <w:jc w:val="right"/>
              <w:rPr>
                <w:caps/>
                <w:noProof/>
                <w:sz w:val="18"/>
                <w:szCs w:val="18"/>
              </w:rPr>
            </w:pPr>
            <w:r>
              <w:rPr>
                <w:caps/>
                <w:noProof/>
                <w:sz w:val="18"/>
                <w:szCs w:val="18"/>
              </w:rPr>
              <w:t>2</w:t>
            </w:r>
          </w:p>
        </w:tc>
        <w:tc>
          <w:tcPr>
            <w:tcW w:w="567" w:type="dxa"/>
          </w:tcPr>
          <w:p w14:paraId="15FAD20C" w14:textId="77777777" w:rsidR="000A7D9D" w:rsidRPr="00EC1412" w:rsidRDefault="000A7D9D" w:rsidP="00F31937">
            <w:pPr>
              <w:jc w:val="right"/>
              <w:rPr>
                <w:caps/>
                <w:noProof/>
                <w:sz w:val="18"/>
                <w:szCs w:val="18"/>
              </w:rPr>
            </w:pPr>
            <w:r w:rsidRPr="00EC1412">
              <w:rPr>
                <w:caps/>
                <w:noProof/>
                <w:sz w:val="18"/>
                <w:szCs w:val="18"/>
              </w:rPr>
              <w:t>3</w:t>
            </w:r>
          </w:p>
        </w:tc>
        <w:tc>
          <w:tcPr>
            <w:tcW w:w="567" w:type="dxa"/>
          </w:tcPr>
          <w:p w14:paraId="5258E136" w14:textId="77777777" w:rsidR="000A7D9D" w:rsidRPr="00EC1412" w:rsidRDefault="000A7D9D" w:rsidP="00F31937">
            <w:pPr>
              <w:jc w:val="right"/>
              <w:rPr>
                <w:caps/>
                <w:noProof/>
                <w:sz w:val="18"/>
                <w:szCs w:val="18"/>
              </w:rPr>
            </w:pPr>
            <w:r>
              <w:rPr>
                <w:caps/>
                <w:noProof/>
                <w:sz w:val="18"/>
                <w:szCs w:val="18"/>
              </w:rPr>
              <w:t>0</w:t>
            </w:r>
          </w:p>
        </w:tc>
        <w:tc>
          <w:tcPr>
            <w:tcW w:w="709" w:type="dxa"/>
          </w:tcPr>
          <w:p w14:paraId="36C4C011" w14:textId="77777777" w:rsidR="000A7D9D" w:rsidRPr="00EC1412" w:rsidRDefault="000A7D9D" w:rsidP="00F31937">
            <w:pPr>
              <w:spacing w:line="259" w:lineRule="auto"/>
              <w:jc w:val="right"/>
              <w:rPr>
                <w:caps/>
                <w:noProof/>
                <w:sz w:val="18"/>
                <w:szCs w:val="18"/>
              </w:rPr>
            </w:pPr>
            <w:r w:rsidRPr="2FCD3695">
              <w:rPr>
                <w:noProof/>
                <w:sz w:val="18"/>
                <w:szCs w:val="18"/>
              </w:rPr>
              <w:t xml:space="preserve">0 </w:t>
            </w:r>
          </w:p>
        </w:tc>
        <w:tc>
          <w:tcPr>
            <w:tcW w:w="850" w:type="dxa"/>
            <w:vAlign w:val="bottom"/>
          </w:tcPr>
          <w:p w14:paraId="350911C9" w14:textId="77777777" w:rsidR="000A7D9D" w:rsidRPr="00EC1412" w:rsidRDefault="000A7D9D" w:rsidP="00F31937">
            <w:pPr>
              <w:spacing w:line="259" w:lineRule="auto"/>
              <w:jc w:val="right"/>
              <w:rPr>
                <w:caps/>
                <w:noProof/>
                <w:sz w:val="18"/>
                <w:szCs w:val="18"/>
              </w:rPr>
            </w:pPr>
            <w:r w:rsidRPr="2FCD3695">
              <w:rPr>
                <w:caps/>
                <w:noProof/>
                <w:sz w:val="18"/>
                <w:szCs w:val="18"/>
              </w:rPr>
              <w:t>766</w:t>
            </w:r>
          </w:p>
        </w:tc>
        <w:tc>
          <w:tcPr>
            <w:tcW w:w="851" w:type="dxa"/>
            <w:vAlign w:val="bottom"/>
          </w:tcPr>
          <w:p w14:paraId="37FC1C0B" w14:textId="77777777" w:rsidR="000A7D9D" w:rsidRPr="00EC1412" w:rsidRDefault="000A7D9D" w:rsidP="00F31937">
            <w:pPr>
              <w:spacing w:line="259" w:lineRule="auto"/>
              <w:jc w:val="right"/>
              <w:rPr>
                <w:caps/>
                <w:noProof/>
                <w:sz w:val="18"/>
                <w:szCs w:val="18"/>
              </w:rPr>
            </w:pPr>
            <w:r w:rsidRPr="2FCD3695">
              <w:rPr>
                <w:noProof/>
                <w:sz w:val="18"/>
                <w:szCs w:val="18"/>
              </w:rPr>
              <w:t xml:space="preserve">684 </w:t>
            </w:r>
          </w:p>
        </w:tc>
        <w:tc>
          <w:tcPr>
            <w:tcW w:w="850" w:type="dxa"/>
            <w:vAlign w:val="bottom"/>
          </w:tcPr>
          <w:p w14:paraId="5DCCAB89" w14:textId="77777777" w:rsidR="000A7D9D" w:rsidRPr="00EC1412" w:rsidRDefault="000A7D9D" w:rsidP="00F31937">
            <w:pPr>
              <w:jc w:val="right"/>
              <w:rPr>
                <w:caps/>
                <w:noProof/>
                <w:sz w:val="18"/>
                <w:szCs w:val="18"/>
              </w:rPr>
            </w:pPr>
            <w:r w:rsidRPr="2D69C30E">
              <w:rPr>
                <w:noProof/>
                <w:sz w:val="18"/>
                <w:szCs w:val="18"/>
              </w:rPr>
              <w:t xml:space="preserve">400 </w:t>
            </w:r>
          </w:p>
        </w:tc>
      </w:tr>
      <w:tr w:rsidR="000A7D9D" w:rsidRPr="00EC1412" w14:paraId="22376774" w14:textId="77777777" w:rsidTr="00F31937">
        <w:tc>
          <w:tcPr>
            <w:tcW w:w="1838" w:type="dxa"/>
          </w:tcPr>
          <w:p w14:paraId="3FF4CE56" w14:textId="77777777" w:rsidR="000A7D9D" w:rsidRPr="00EC1412" w:rsidRDefault="000A7D9D" w:rsidP="00F31937">
            <w:pPr>
              <w:jc w:val="both"/>
              <w:rPr>
                <w:caps/>
                <w:noProof/>
                <w:sz w:val="18"/>
                <w:szCs w:val="18"/>
              </w:rPr>
            </w:pPr>
            <w:r w:rsidRPr="00EC1412">
              <w:rPr>
                <w:caps/>
                <w:noProof/>
                <w:sz w:val="18"/>
                <w:szCs w:val="18"/>
              </w:rPr>
              <w:t>EFSA</w:t>
            </w:r>
          </w:p>
        </w:tc>
        <w:tc>
          <w:tcPr>
            <w:tcW w:w="567" w:type="dxa"/>
          </w:tcPr>
          <w:p w14:paraId="2D9C85F8" w14:textId="77777777" w:rsidR="000A7D9D" w:rsidRPr="00EC1412" w:rsidRDefault="000A7D9D" w:rsidP="00F31937">
            <w:pPr>
              <w:jc w:val="right"/>
              <w:rPr>
                <w:noProof/>
                <w:sz w:val="18"/>
                <w:szCs w:val="18"/>
              </w:rPr>
            </w:pPr>
            <w:r>
              <w:rPr>
                <w:caps/>
                <w:noProof/>
                <w:sz w:val="18"/>
                <w:szCs w:val="18"/>
              </w:rPr>
              <w:t>0</w:t>
            </w:r>
          </w:p>
        </w:tc>
        <w:tc>
          <w:tcPr>
            <w:tcW w:w="567" w:type="dxa"/>
          </w:tcPr>
          <w:p w14:paraId="68CC54EE" w14:textId="77777777" w:rsidR="000A7D9D" w:rsidRPr="00EC1412" w:rsidRDefault="000A7D9D" w:rsidP="00F31937">
            <w:pPr>
              <w:spacing w:line="259" w:lineRule="auto"/>
              <w:jc w:val="right"/>
              <w:rPr>
                <w:noProof/>
                <w:sz w:val="18"/>
                <w:szCs w:val="18"/>
              </w:rPr>
            </w:pPr>
            <w:r>
              <w:rPr>
                <w:noProof/>
                <w:sz w:val="18"/>
                <w:szCs w:val="18"/>
              </w:rPr>
              <w:t>5</w:t>
            </w:r>
          </w:p>
        </w:tc>
        <w:tc>
          <w:tcPr>
            <w:tcW w:w="567" w:type="dxa"/>
          </w:tcPr>
          <w:p w14:paraId="01E32680" w14:textId="77777777" w:rsidR="000A7D9D" w:rsidRPr="00EC1412" w:rsidRDefault="000A7D9D" w:rsidP="00F31937">
            <w:pPr>
              <w:jc w:val="right"/>
              <w:rPr>
                <w:noProof/>
                <w:sz w:val="18"/>
                <w:szCs w:val="18"/>
              </w:rPr>
            </w:pPr>
            <w:r>
              <w:rPr>
                <w:caps/>
                <w:noProof/>
                <w:sz w:val="18"/>
                <w:szCs w:val="18"/>
              </w:rPr>
              <w:t>0</w:t>
            </w:r>
          </w:p>
        </w:tc>
        <w:tc>
          <w:tcPr>
            <w:tcW w:w="567" w:type="dxa"/>
          </w:tcPr>
          <w:p w14:paraId="0248AF88" w14:textId="77777777" w:rsidR="000A7D9D" w:rsidRPr="00EC1412" w:rsidRDefault="000A7D9D" w:rsidP="00F31937">
            <w:pPr>
              <w:spacing w:line="259" w:lineRule="auto"/>
              <w:jc w:val="right"/>
              <w:rPr>
                <w:noProof/>
                <w:sz w:val="18"/>
                <w:szCs w:val="18"/>
              </w:rPr>
            </w:pPr>
            <w:r>
              <w:rPr>
                <w:noProof/>
                <w:sz w:val="18"/>
                <w:szCs w:val="18"/>
              </w:rPr>
              <w:t>5</w:t>
            </w:r>
          </w:p>
        </w:tc>
        <w:tc>
          <w:tcPr>
            <w:tcW w:w="567" w:type="dxa"/>
          </w:tcPr>
          <w:p w14:paraId="39829C45" w14:textId="77777777" w:rsidR="000A7D9D" w:rsidRPr="00EC1412" w:rsidRDefault="000A7D9D" w:rsidP="00F31937">
            <w:pPr>
              <w:jc w:val="right"/>
              <w:rPr>
                <w:noProof/>
                <w:sz w:val="18"/>
                <w:szCs w:val="18"/>
              </w:rPr>
            </w:pPr>
            <w:r>
              <w:rPr>
                <w:caps/>
                <w:noProof/>
                <w:sz w:val="18"/>
                <w:szCs w:val="18"/>
              </w:rPr>
              <w:t>0</w:t>
            </w:r>
          </w:p>
        </w:tc>
        <w:tc>
          <w:tcPr>
            <w:tcW w:w="567" w:type="dxa"/>
          </w:tcPr>
          <w:p w14:paraId="62B1E5D1" w14:textId="77777777" w:rsidR="000A7D9D" w:rsidRPr="00EC1412" w:rsidRDefault="000A7D9D" w:rsidP="00F31937">
            <w:pPr>
              <w:spacing w:line="259" w:lineRule="auto"/>
              <w:jc w:val="right"/>
              <w:rPr>
                <w:noProof/>
                <w:sz w:val="18"/>
                <w:szCs w:val="18"/>
              </w:rPr>
            </w:pPr>
            <w:r>
              <w:rPr>
                <w:noProof/>
                <w:sz w:val="18"/>
                <w:szCs w:val="18"/>
              </w:rPr>
              <w:t>5</w:t>
            </w:r>
          </w:p>
        </w:tc>
        <w:tc>
          <w:tcPr>
            <w:tcW w:w="567" w:type="dxa"/>
          </w:tcPr>
          <w:p w14:paraId="5DCA648E" w14:textId="77777777" w:rsidR="000A7D9D" w:rsidRPr="00EC1412" w:rsidRDefault="000A7D9D" w:rsidP="00F31937">
            <w:pPr>
              <w:jc w:val="right"/>
              <w:rPr>
                <w:noProof/>
                <w:sz w:val="18"/>
                <w:szCs w:val="18"/>
              </w:rPr>
            </w:pPr>
            <w:r>
              <w:rPr>
                <w:caps/>
                <w:noProof/>
                <w:sz w:val="18"/>
                <w:szCs w:val="18"/>
              </w:rPr>
              <w:t>0</w:t>
            </w:r>
          </w:p>
        </w:tc>
        <w:tc>
          <w:tcPr>
            <w:tcW w:w="567" w:type="dxa"/>
          </w:tcPr>
          <w:p w14:paraId="38808F6D" w14:textId="77777777" w:rsidR="000A7D9D" w:rsidRPr="00EC1412" w:rsidRDefault="000A7D9D" w:rsidP="00F31937">
            <w:pPr>
              <w:spacing w:line="259" w:lineRule="auto"/>
              <w:jc w:val="right"/>
              <w:rPr>
                <w:noProof/>
                <w:sz w:val="18"/>
                <w:szCs w:val="18"/>
              </w:rPr>
            </w:pPr>
            <w:r>
              <w:rPr>
                <w:noProof/>
                <w:sz w:val="18"/>
                <w:szCs w:val="18"/>
              </w:rPr>
              <w:t>2</w:t>
            </w:r>
          </w:p>
        </w:tc>
        <w:tc>
          <w:tcPr>
            <w:tcW w:w="709" w:type="dxa"/>
          </w:tcPr>
          <w:p w14:paraId="370B1B65" w14:textId="77777777" w:rsidR="000A7D9D" w:rsidRPr="00EC1412" w:rsidRDefault="000A7D9D" w:rsidP="00F31937">
            <w:pPr>
              <w:jc w:val="right"/>
              <w:rPr>
                <w:caps/>
                <w:noProof/>
                <w:sz w:val="18"/>
                <w:szCs w:val="18"/>
              </w:rPr>
            </w:pPr>
            <w:r w:rsidRPr="2D69C30E">
              <w:rPr>
                <w:noProof/>
                <w:sz w:val="18"/>
                <w:szCs w:val="18"/>
              </w:rPr>
              <w:t xml:space="preserve">670 </w:t>
            </w:r>
          </w:p>
        </w:tc>
        <w:tc>
          <w:tcPr>
            <w:tcW w:w="850" w:type="dxa"/>
            <w:vAlign w:val="bottom"/>
          </w:tcPr>
          <w:p w14:paraId="4026C084" w14:textId="77777777" w:rsidR="000A7D9D" w:rsidRPr="00EC1412" w:rsidRDefault="000A7D9D" w:rsidP="00F31937">
            <w:pPr>
              <w:jc w:val="right"/>
              <w:rPr>
                <w:caps/>
                <w:noProof/>
                <w:sz w:val="18"/>
                <w:szCs w:val="18"/>
              </w:rPr>
            </w:pPr>
            <w:r w:rsidRPr="2D69C30E">
              <w:rPr>
                <w:caps/>
                <w:noProof/>
                <w:sz w:val="18"/>
                <w:szCs w:val="18"/>
              </w:rPr>
              <w:t>670</w:t>
            </w:r>
            <w:r w:rsidRPr="2D69C30E">
              <w:rPr>
                <w:noProof/>
                <w:sz w:val="18"/>
                <w:szCs w:val="18"/>
              </w:rPr>
              <w:t xml:space="preserve"> </w:t>
            </w:r>
          </w:p>
        </w:tc>
        <w:tc>
          <w:tcPr>
            <w:tcW w:w="851" w:type="dxa"/>
            <w:vAlign w:val="bottom"/>
          </w:tcPr>
          <w:p w14:paraId="29B46517" w14:textId="77777777" w:rsidR="000A7D9D" w:rsidRPr="00EC1412" w:rsidRDefault="000A7D9D" w:rsidP="00F31937">
            <w:pPr>
              <w:jc w:val="right"/>
              <w:rPr>
                <w:caps/>
                <w:noProof/>
                <w:sz w:val="18"/>
                <w:szCs w:val="18"/>
              </w:rPr>
            </w:pPr>
            <w:r w:rsidRPr="2D69C30E">
              <w:rPr>
                <w:noProof/>
                <w:sz w:val="18"/>
                <w:szCs w:val="18"/>
              </w:rPr>
              <w:t xml:space="preserve">670 </w:t>
            </w:r>
          </w:p>
        </w:tc>
        <w:tc>
          <w:tcPr>
            <w:tcW w:w="850" w:type="dxa"/>
            <w:vAlign w:val="bottom"/>
          </w:tcPr>
          <w:p w14:paraId="0896F4BB" w14:textId="77777777" w:rsidR="000A7D9D" w:rsidRPr="00EC1412" w:rsidRDefault="000A7D9D" w:rsidP="00F31937">
            <w:pPr>
              <w:jc w:val="right"/>
              <w:rPr>
                <w:caps/>
                <w:noProof/>
                <w:sz w:val="18"/>
                <w:szCs w:val="18"/>
              </w:rPr>
            </w:pPr>
            <w:r w:rsidRPr="2D69C30E">
              <w:rPr>
                <w:noProof/>
                <w:sz w:val="18"/>
                <w:szCs w:val="18"/>
              </w:rPr>
              <w:t xml:space="preserve">500 </w:t>
            </w:r>
          </w:p>
        </w:tc>
      </w:tr>
      <w:tr w:rsidR="000A7D9D" w:rsidRPr="00EC1412" w14:paraId="18FF7762" w14:textId="77777777" w:rsidTr="00F31937">
        <w:tc>
          <w:tcPr>
            <w:tcW w:w="1838" w:type="dxa"/>
          </w:tcPr>
          <w:p w14:paraId="4288857D" w14:textId="77777777" w:rsidR="000A7D9D" w:rsidRPr="00EC1412" w:rsidRDefault="000A7D9D" w:rsidP="00F31937">
            <w:pPr>
              <w:jc w:val="both"/>
              <w:rPr>
                <w:caps/>
                <w:noProof/>
                <w:sz w:val="18"/>
                <w:szCs w:val="18"/>
              </w:rPr>
            </w:pPr>
            <w:r w:rsidRPr="00EC1412">
              <w:rPr>
                <w:caps/>
                <w:noProof/>
                <w:sz w:val="18"/>
                <w:szCs w:val="18"/>
              </w:rPr>
              <w:t>EMA</w:t>
            </w:r>
          </w:p>
        </w:tc>
        <w:tc>
          <w:tcPr>
            <w:tcW w:w="567" w:type="dxa"/>
          </w:tcPr>
          <w:p w14:paraId="0A75D6AB" w14:textId="77777777" w:rsidR="000A7D9D" w:rsidRPr="00EC1412" w:rsidRDefault="000A7D9D" w:rsidP="00F31937">
            <w:pPr>
              <w:jc w:val="right"/>
              <w:rPr>
                <w:caps/>
                <w:noProof/>
                <w:sz w:val="18"/>
                <w:szCs w:val="18"/>
              </w:rPr>
            </w:pPr>
            <w:r>
              <w:rPr>
                <w:caps/>
                <w:noProof/>
                <w:sz w:val="18"/>
                <w:szCs w:val="18"/>
              </w:rPr>
              <w:t>0</w:t>
            </w:r>
          </w:p>
        </w:tc>
        <w:tc>
          <w:tcPr>
            <w:tcW w:w="567" w:type="dxa"/>
          </w:tcPr>
          <w:p w14:paraId="65B911D2" w14:textId="77777777" w:rsidR="000A7D9D" w:rsidRPr="00EC1412" w:rsidRDefault="000A7D9D" w:rsidP="00F31937">
            <w:pPr>
              <w:jc w:val="right"/>
              <w:rPr>
                <w:caps/>
                <w:noProof/>
                <w:sz w:val="18"/>
                <w:szCs w:val="18"/>
              </w:rPr>
            </w:pPr>
            <w:r>
              <w:rPr>
                <w:caps/>
                <w:noProof/>
                <w:sz w:val="18"/>
                <w:szCs w:val="18"/>
              </w:rPr>
              <w:t>3</w:t>
            </w:r>
          </w:p>
        </w:tc>
        <w:tc>
          <w:tcPr>
            <w:tcW w:w="567" w:type="dxa"/>
          </w:tcPr>
          <w:p w14:paraId="07ED8BDF" w14:textId="77777777" w:rsidR="000A7D9D" w:rsidRPr="00EC1412" w:rsidRDefault="000A7D9D" w:rsidP="00F31937">
            <w:pPr>
              <w:jc w:val="right"/>
              <w:rPr>
                <w:caps/>
                <w:noProof/>
                <w:sz w:val="18"/>
                <w:szCs w:val="18"/>
              </w:rPr>
            </w:pPr>
            <w:r>
              <w:rPr>
                <w:caps/>
                <w:noProof/>
                <w:sz w:val="18"/>
                <w:szCs w:val="18"/>
              </w:rPr>
              <w:t>0</w:t>
            </w:r>
          </w:p>
        </w:tc>
        <w:tc>
          <w:tcPr>
            <w:tcW w:w="567" w:type="dxa"/>
          </w:tcPr>
          <w:p w14:paraId="3F1B90AD" w14:textId="77777777" w:rsidR="000A7D9D" w:rsidRPr="00EC1412" w:rsidRDefault="000A7D9D" w:rsidP="00F31937">
            <w:pPr>
              <w:jc w:val="right"/>
              <w:rPr>
                <w:caps/>
                <w:noProof/>
                <w:sz w:val="18"/>
                <w:szCs w:val="18"/>
              </w:rPr>
            </w:pPr>
            <w:r>
              <w:rPr>
                <w:caps/>
                <w:noProof/>
                <w:sz w:val="18"/>
                <w:szCs w:val="18"/>
              </w:rPr>
              <w:t>3</w:t>
            </w:r>
          </w:p>
        </w:tc>
        <w:tc>
          <w:tcPr>
            <w:tcW w:w="567" w:type="dxa"/>
          </w:tcPr>
          <w:p w14:paraId="1F8A0C33" w14:textId="77777777" w:rsidR="000A7D9D" w:rsidRPr="00EC1412" w:rsidRDefault="000A7D9D" w:rsidP="00F31937">
            <w:pPr>
              <w:jc w:val="right"/>
              <w:rPr>
                <w:caps/>
                <w:noProof/>
                <w:sz w:val="18"/>
                <w:szCs w:val="18"/>
              </w:rPr>
            </w:pPr>
            <w:r>
              <w:rPr>
                <w:caps/>
                <w:noProof/>
                <w:sz w:val="18"/>
                <w:szCs w:val="18"/>
              </w:rPr>
              <w:t>0</w:t>
            </w:r>
          </w:p>
        </w:tc>
        <w:tc>
          <w:tcPr>
            <w:tcW w:w="567" w:type="dxa"/>
          </w:tcPr>
          <w:p w14:paraId="0E02C1B8" w14:textId="77777777" w:rsidR="000A7D9D" w:rsidRPr="00EC1412" w:rsidRDefault="000A7D9D" w:rsidP="00F31937">
            <w:pPr>
              <w:jc w:val="right"/>
              <w:rPr>
                <w:caps/>
                <w:noProof/>
                <w:sz w:val="18"/>
                <w:szCs w:val="18"/>
              </w:rPr>
            </w:pPr>
            <w:r>
              <w:rPr>
                <w:caps/>
                <w:noProof/>
                <w:sz w:val="18"/>
                <w:szCs w:val="18"/>
              </w:rPr>
              <w:t>3</w:t>
            </w:r>
          </w:p>
        </w:tc>
        <w:tc>
          <w:tcPr>
            <w:tcW w:w="567" w:type="dxa"/>
          </w:tcPr>
          <w:p w14:paraId="1ACE645F" w14:textId="77777777" w:rsidR="000A7D9D" w:rsidRPr="00EC1412" w:rsidRDefault="000A7D9D" w:rsidP="00F31937">
            <w:pPr>
              <w:jc w:val="right"/>
              <w:rPr>
                <w:noProof/>
                <w:sz w:val="18"/>
                <w:szCs w:val="18"/>
              </w:rPr>
            </w:pPr>
            <w:r>
              <w:rPr>
                <w:caps/>
                <w:noProof/>
                <w:sz w:val="18"/>
                <w:szCs w:val="18"/>
              </w:rPr>
              <w:t>0</w:t>
            </w:r>
          </w:p>
        </w:tc>
        <w:tc>
          <w:tcPr>
            <w:tcW w:w="567" w:type="dxa"/>
          </w:tcPr>
          <w:p w14:paraId="7AED50A6" w14:textId="77777777" w:rsidR="000A7D9D" w:rsidRPr="00EC1412" w:rsidRDefault="000A7D9D" w:rsidP="00F31937">
            <w:pPr>
              <w:spacing w:line="259" w:lineRule="auto"/>
              <w:jc w:val="right"/>
              <w:rPr>
                <w:noProof/>
                <w:sz w:val="18"/>
                <w:szCs w:val="18"/>
              </w:rPr>
            </w:pPr>
            <w:r>
              <w:rPr>
                <w:noProof/>
                <w:sz w:val="18"/>
                <w:szCs w:val="18"/>
              </w:rPr>
              <w:t>2</w:t>
            </w:r>
          </w:p>
        </w:tc>
        <w:tc>
          <w:tcPr>
            <w:tcW w:w="709" w:type="dxa"/>
          </w:tcPr>
          <w:p w14:paraId="7D3BDCB9" w14:textId="77777777" w:rsidR="000A7D9D" w:rsidRPr="00EC1412" w:rsidRDefault="000A7D9D" w:rsidP="00F31937">
            <w:pPr>
              <w:jc w:val="right"/>
              <w:rPr>
                <w:caps/>
                <w:noProof/>
                <w:sz w:val="18"/>
                <w:szCs w:val="18"/>
              </w:rPr>
            </w:pPr>
            <w:r w:rsidRPr="2D69C30E">
              <w:rPr>
                <w:noProof/>
                <w:sz w:val="18"/>
                <w:szCs w:val="18"/>
              </w:rPr>
              <w:t xml:space="preserve">100 </w:t>
            </w:r>
          </w:p>
        </w:tc>
        <w:tc>
          <w:tcPr>
            <w:tcW w:w="850" w:type="dxa"/>
            <w:vAlign w:val="bottom"/>
          </w:tcPr>
          <w:p w14:paraId="7C8F9F1D" w14:textId="77777777" w:rsidR="000A7D9D" w:rsidRPr="00EC1412" w:rsidRDefault="000A7D9D" w:rsidP="00F31937">
            <w:pPr>
              <w:jc w:val="right"/>
              <w:rPr>
                <w:caps/>
                <w:noProof/>
                <w:sz w:val="18"/>
                <w:szCs w:val="18"/>
              </w:rPr>
            </w:pPr>
            <w:r w:rsidRPr="2D69C30E">
              <w:rPr>
                <w:caps/>
                <w:noProof/>
                <w:sz w:val="18"/>
                <w:szCs w:val="18"/>
              </w:rPr>
              <w:t>100</w:t>
            </w:r>
            <w:r w:rsidRPr="2D69C30E">
              <w:rPr>
                <w:noProof/>
                <w:sz w:val="18"/>
                <w:szCs w:val="18"/>
              </w:rPr>
              <w:t xml:space="preserve"> </w:t>
            </w:r>
          </w:p>
        </w:tc>
        <w:tc>
          <w:tcPr>
            <w:tcW w:w="851" w:type="dxa"/>
            <w:vAlign w:val="bottom"/>
          </w:tcPr>
          <w:p w14:paraId="2CD809C2" w14:textId="77777777" w:rsidR="000A7D9D" w:rsidRPr="00EC1412" w:rsidRDefault="000A7D9D" w:rsidP="00F31937">
            <w:pPr>
              <w:jc w:val="right"/>
              <w:rPr>
                <w:caps/>
                <w:noProof/>
                <w:sz w:val="18"/>
                <w:szCs w:val="18"/>
              </w:rPr>
            </w:pPr>
            <w:r w:rsidRPr="2D69C30E">
              <w:rPr>
                <w:noProof/>
                <w:sz w:val="18"/>
                <w:szCs w:val="18"/>
              </w:rPr>
              <w:t xml:space="preserve">100 </w:t>
            </w:r>
          </w:p>
        </w:tc>
        <w:tc>
          <w:tcPr>
            <w:tcW w:w="850" w:type="dxa"/>
            <w:vAlign w:val="bottom"/>
          </w:tcPr>
          <w:p w14:paraId="76FB1271" w14:textId="77777777" w:rsidR="000A7D9D" w:rsidRPr="00EC1412" w:rsidRDefault="000A7D9D" w:rsidP="00F31937">
            <w:pPr>
              <w:jc w:val="right"/>
              <w:rPr>
                <w:caps/>
                <w:noProof/>
                <w:sz w:val="18"/>
                <w:szCs w:val="18"/>
              </w:rPr>
            </w:pPr>
            <w:r w:rsidRPr="2D69C30E">
              <w:rPr>
                <w:noProof/>
                <w:sz w:val="18"/>
                <w:szCs w:val="18"/>
              </w:rPr>
              <w:t xml:space="preserve">0 </w:t>
            </w:r>
          </w:p>
        </w:tc>
      </w:tr>
      <w:tr w:rsidR="000A7D9D" w:rsidRPr="00EC1412" w14:paraId="134CE1C3" w14:textId="77777777" w:rsidTr="00F31937">
        <w:tc>
          <w:tcPr>
            <w:tcW w:w="1838" w:type="dxa"/>
          </w:tcPr>
          <w:p w14:paraId="1B93A7AC" w14:textId="77777777" w:rsidR="000A7D9D" w:rsidRPr="00EC1412" w:rsidRDefault="000A7D9D" w:rsidP="00F31937">
            <w:pPr>
              <w:jc w:val="both"/>
              <w:rPr>
                <w:caps/>
                <w:noProof/>
                <w:sz w:val="18"/>
                <w:szCs w:val="18"/>
              </w:rPr>
            </w:pPr>
            <w:r>
              <w:rPr>
                <w:caps/>
                <w:noProof/>
                <w:sz w:val="18"/>
                <w:szCs w:val="18"/>
              </w:rPr>
              <w:t>EU OSHA</w:t>
            </w:r>
          </w:p>
        </w:tc>
        <w:tc>
          <w:tcPr>
            <w:tcW w:w="567" w:type="dxa"/>
          </w:tcPr>
          <w:p w14:paraId="0A942663" w14:textId="77777777" w:rsidR="000A7D9D" w:rsidRPr="00EC1412" w:rsidRDefault="000A7D9D" w:rsidP="00F31937">
            <w:pPr>
              <w:jc w:val="right"/>
              <w:rPr>
                <w:caps/>
                <w:noProof/>
                <w:sz w:val="18"/>
                <w:szCs w:val="18"/>
              </w:rPr>
            </w:pPr>
            <w:r>
              <w:rPr>
                <w:caps/>
                <w:noProof/>
                <w:sz w:val="18"/>
                <w:szCs w:val="18"/>
              </w:rPr>
              <w:t>0</w:t>
            </w:r>
          </w:p>
        </w:tc>
        <w:tc>
          <w:tcPr>
            <w:tcW w:w="567" w:type="dxa"/>
          </w:tcPr>
          <w:p w14:paraId="70916094" w14:textId="77777777" w:rsidR="000A7D9D" w:rsidRPr="00EC1412" w:rsidRDefault="000A7D9D" w:rsidP="00F31937">
            <w:pPr>
              <w:jc w:val="right"/>
              <w:rPr>
                <w:caps/>
                <w:noProof/>
                <w:sz w:val="18"/>
                <w:szCs w:val="18"/>
              </w:rPr>
            </w:pPr>
            <w:r>
              <w:rPr>
                <w:caps/>
                <w:noProof/>
                <w:sz w:val="18"/>
                <w:szCs w:val="18"/>
              </w:rPr>
              <w:t>0</w:t>
            </w:r>
          </w:p>
        </w:tc>
        <w:tc>
          <w:tcPr>
            <w:tcW w:w="567" w:type="dxa"/>
          </w:tcPr>
          <w:p w14:paraId="14330BF3" w14:textId="77777777" w:rsidR="000A7D9D" w:rsidRPr="00EC1412" w:rsidRDefault="000A7D9D" w:rsidP="00F31937">
            <w:pPr>
              <w:jc w:val="right"/>
              <w:rPr>
                <w:caps/>
                <w:noProof/>
                <w:sz w:val="18"/>
                <w:szCs w:val="18"/>
              </w:rPr>
            </w:pPr>
            <w:r>
              <w:rPr>
                <w:caps/>
                <w:noProof/>
                <w:sz w:val="18"/>
                <w:szCs w:val="18"/>
              </w:rPr>
              <w:t>0</w:t>
            </w:r>
          </w:p>
        </w:tc>
        <w:tc>
          <w:tcPr>
            <w:tcW w:w="567" w:type="dxa"/>
          </w:tcPr>
          <w:p w14:paraId="055E1843" w14:textId="77777777" w:rsidR="000A7D9D" w:rsidRPr="00EC1412" w:rsidRDefault="000A7D9D" w:rsidP="00F31937">
            <w:pPr>
              <w:jc w:val="right"/>
              <w:rPr>
                <w:caps/>
                <w:noProof/>
                <w:sz w:val="18"/>
                <w:szCs w:val="18"/>
              </w:rPr>
            </w:pPr>
            <w:r>
              <w:rPr>
                <w:caps/>
                <w:noProof/>
                <w:sz w:val="18"/>
                <w:szCs w:val="18"/>
              </w:rPr>
              <w:t>0</w:t>
            </w:r>
          </w:p>
        </w:tc>
        <w:tc>
          <w:tcPr>
            <w:tcW w:w="567" w:type="dxa"/>
          </w:tcPr>
          <w:p w14:paraId="05D5718C" w14:textId="77777777" w:rsidR="000A7D9D" w:rsidRPr="00EC1412" w:rsidRDefault="000A7D9D" w:rsidP="00F31937">
            <w:pPr>
              <w:jc w:val="right"/>
              <w:rPr>
                <w:caps/>
                <w:noProof/>
                <w:sz w:val="18"/>
                <w:szCs w:val="18"/>
              </w:rPr>
            </w:pPr>
            <w:r>
              <w:rPr>
                <w:caps/>
                <w:noProof/>
                <w:sz w:val="18"/>
                <w:szCs w:val="18"/>
              </w:rPr>
              <w:t>0</w:t>
            </w:r>
          </w:p>
        </w:tc>
        <w:tc>
          <w:tcPr>
            <w:tcW w:w="567" w:type="dxa"/>
          </w:tcPr>
          <w:p w14:paraId="6871CBF8" w14:textId="77777777" w:rsidR="000A7D9D" w:rsidRPr="00EC1412" w:rsidRDefault="000A7D9D" w:rsidP="00F31937">
            <w:pPr>
              <w:jc w:val="right"/>
              <w:rPr>
                <w:caps/>
                <w:noProof/>
                <w:sz w:val="18"/>
                <w:szCs w:val="18"/>
              </w:rPr>
            </w:pPr>
            <w:r>
              <w:rPr>
                <w:caps/>
                <w:noProof/>
                <w:sz w:val="18"/>
                <w:szCs w:val="18"/>
              </w:rPr>
              <w:t>0</w:t>
            </w:r>
          </w:p>
        </w:tc>
        <w:tc>
          <w:tcPr>
            <w:tcW w:w="567" w:type="dxa"/>
          </w:tcPr>
          <w:p w14:paraId="70AAC733" w14:textId="77777777" w:rsidR="000A7D9D" w:rsidRPr="6689DE26" w:rsidDel="584F1B03" w:rsidRDefault="000A7D9D" w:rsidP="00F31937">
            <w:pPr>
              <w:jc w:val="right"/>
              <w:rPr>
                <w:caps/>
                <w:noProof/>
                <w:sz w:val="18"/>
                <w:szCs w:val="18"/>
              </w:rPr>
            </w:pPr>
            <w:r>
              <w:rPr>
                <w:caps/>
                <w:noProof/>
                <w:sz w:val="18"/>
                <w:szCs w:val="18"/>
              </w:rPr>
              <w:t>0</w:t>
            </w:r>
          </w:p>
        </w:tc>
        <w:tc>
          <w:tcPr>
            <w:tcW w:w="567" w:type="dxa"/>
          </w:tcPr>
          <w:p w14:paraId="62A8F51F" w14:textId="77777777" w:rsidR="000A7D9D" w:rsidRPr="6689DE26" w:rsidDel="584F1B03" w:rsidRDefault="000A7D9D" w:rsidP="00F31937">
            <w:pPr>
              <w:jc w:val="right"/>
              <w:rPr>
                <w:caps/>
                <w:noProof/>
                <w:sz w:val="18"/>
                <w:szCs w:val="18"/>
              </w:rPr>
            </w:pPr>
            <w:r>
              <w:rPr>
                <w:caps/>
                <w:noProof/>
                <w:sz w:val="18"/>
                <w:szCs w:val="18"/>
              </w:rPr>
              <w:t>0</w:t>
            </w:r>
          </w:p>
        </w:tc>
        <w:tc>
          <w:tcPr>
            <w:tcW w:w="709" w:type="dxa"/>
          </w:tcPr>
          <w:p w14:paraId="06D0A15F" w14:textId="77777777" w:rsidR="000A7D9D" w:rsidRPr="2D69C30E" w:rsidDel="5D78051D" w:rsidRDefault="000A7D9D" w:rsidP="00F31937">
            <w:pPr>
              <w:jc w:val="right"/>
              <w:rPr>
                <w:noProof/>
                <w:sz w:val="18"/>
                <w:szCs w:val="18"/>
              </w:rPr>
            </w:pPr>
            <w:r>
              <w:rPr>
                <w:noProof/>
                <w:sz w:val="18"/>
                <w:szCs w:val="18"/>
              </w:rPr>
              <w:t>0</w:t>
            </w:r>
          </w:p>
        </w:tc>
        <w:tc>
          <w:tcPr>
            <w:tcW w:w="850" w:type="dxa"/>
            <w:vAlign w:val="bottom"/>
          </w:tcPr>
          <w:p w14:paraId="0CCB7DB3" w14:textId="77777777" w:rsidR="000A7D9D" w:rsidRPr="2D69C30E" w:rsidDel="5D78051D" w:rsidRDefault="000A7D9D" w:rsidP="00F31937">
            <w:pPr>
              <w:jc w:val="right"/>
              <w:rPr>
                <w:caps/>
                <w:noProof/>
                <w:sz w:val="18"/>
                <w:szCs w:val="18"/>
              </w:rPr>
            </w:pPr>
            <w:r>
              <w:rPr>
                <w:caps/>
                <w:noProof/>
                <w:sz w:val="18"/>
                <w:szCs w:val="18"/>
              </w:rPr>
              <w:t>0</w:t>
            </w:r>
          </w:p>
        </w:tc>
        <w:tc>
          <w:tcPr>
            <w:tcW w:w="851" w:type="dxa"/>
            <w:vAlign w:val="bottom"/>
          </w:tcPr>
          <w:p w14:paraId="75A1FABD" w14:textId="77777777" w:rsidR="000A7D9D" w:rsidRPr="2D69C30E" w:rsidDel="5D78051D" w:rsidRDefault="000A7D9D" w:rsidP="00F31937">
            <w:pPr>
              <w:jc w:val="right"/>
              <w:rPr>
                <w:noProof/>
                <w:sz w:val="18"/>
                <w:szCs w:val="18"/>
              </w:rPr>
            </w:pPr>
            <w:r>
              <w:rPr>
                <w:noProof/>
                <w:sz w:val="18"/>
                <w:szCs w:val="18"/>
              </w:rPr>
              <w:t>0</w:t>
            </w:r>
          </w:p>
        </w:tc>
        <w:tc>
          <w:tcPr>
            <w:tcW w:w="850" w:type="dxa"/>
            <w:vAlign w:val="bottom"/>
          </w:tcPr>
          <w:p w14:paraId="621D2622" w14:textId="77777777" w:rsidR="000A7D9D" w:rsidRPr="2D69C30E" w:rsidRDefault="000A7D9D" w:rsidP="00F31937">
            <w:pPr>
              <w:jc w:val="right"/>
              <w:rPr>
                <w:noProof/>
                <w:sz w:val="18"/>
                <w:szCs w:val="18"/>
              </w:rPr>
            </w:pPr>
            <w:r>
              <w:rPr>
                <w:noProof/>
                <w:sz w:val="18"/>
                <w:szCs w:val="18"/>
              </w:rPr>
              <w:t>0</w:t>
            </w:r>
          </w:p>
        </w:tc>
      </w:tr>
      <w:tr w:rsidR="000A7D9D" w:rsidRPr="00EC1412" w14:paraId="3D1D9A1F" w14:textId="77777777" w:rsidTr="00F31937">
        <w:tc>
          <w:tcPr>
            <w:tcW w:w="1838" w:type="dxa"/>
            <w:tcBorders>
              <w:bottom w:val="single" w:sz="4" w:space="0" w:color="auto"/>
            </w:tcBorders>
          </w:tcPr>
          <w:p w14:paraId="077DAF8A" w14:textId="77777777" w:rsidR="000A7D9D" w:rsidRPr="00EC1412" w:rsidRDefault="000A7D9D" w:rsidP="00F31937">
            <w:pPr>
              <w:jc w:val="both"/>
              <w:rPr>
                <w:caps/>
                <w:noProof/>
                <w:sz w:val="18"/>
                <w:szCs w:val="18"/>
              </w:rPr>
            </w:pPr>
            <w:r w:rsidRPr="00EC1412">
              <w:rPr>
                <w:caps/>
                <w:noProof/>
                <w:sz w:val="18"/>
                <w:szCs w:val="18"/>
              </w:rPr>
              <w:t>JRC</w:t>
            </w:r>
          </w:p>
        </w:tc>
        <w:tc>
          <w:tcPr>
            <w:tcW w:w="567" w:type="dxa"/>
            <w:tcBorders>
              <w:bottom w:val="single" w:sz="4" w:space="0" w:color="auto"/>
            </w:tcBorders>
          </w:tcPr>
          <w:p w14:paraId="7BC3EF5C" w14:textId="77777777" w:rsidR="000A7D9D" w:rsidRPr="00EC1412" w:rsidRDefault="000A7D9D" w:rsidP="00F31937">
            <w:pPr>
              <w:jc w:val="right"/>
              <w:rPr>
                <w:noProof/>
                <w:sz w:val="18"/>
                <w:szCs w:val="18"/>
              </w:rPr>
            </w:pPr>
            <w:r w:rsidRPr="00EC1412">
              <w:rPr>
                <w:noProof/>
                <w:sz w:val="18"/>
                <w:szCs w:val="18"/>
              </w:rPr>
              <w:t>0</w:t>
            </w:r>
          </w:p>
        </w:tc>
        <w:tc>
          <w:tcPr>
            <w:tcW w:w="567" w:type="dxa"/>
            <w:tcBorders>
              <w:bottom w:val="single" w:sz="4" w:space="0" w:color="auto"/>
            </w:tcBorders>
          </w:tcPr>
          <w:p w14:paraId="26C29F66" w14:textId="77777777" w:rsidR="000A7D9D" w:rsidRPr="00EC1412" w:rsidRDefault="000A7D9D" w:rsidP="00F31937">
            <w:pPr>
              <w:jc w:val="right"/>
              <w:rPr>
                <w:noProof/>
                <w:sz w:val="18"/>
                <w:szCs w:val="18"/>
              </w:rPr>
            </w:pPr>
            <w:r>
              <w:rPr>
                <w:noProof/>
                <w:sz w:val="18"/>
                <w:szCs w:val="18"/>
              </w:rPr>
              <w:t>0</w:t>
            </w:r>
          </w:p>
        </w:tc>
        <w:tc>
          <w:tcPr>
            <w:tcW w:w="567" w:type="dxa"/>
            <w:tcBorders>
              <w:bottom w:val="single" w:sz="4" w:space="0" w:color="auto"/>
            </w:tcBorders>
            <w:vAlign w:val="bottom"/>
          </w:tcPr>
          <w:p w14:paraId="1369D304" w14:textId="77777777" w:rsidR="000A7D9D" w:rsidRPr="00EC1412" w:rsidRDefault="000A7D9D" w:rsidP="00F31937">
            <w:pPr>
              <w:jc w:val="right"/>
              <w:rPr>
                <w:caps/>
                <w:noProof/>
                <w:sz w:val="18"/>
                <w:szCs w:val="18"/>
              </w:rPr>
            </w:pPr>
            <w:r w:rsidRPr="00EC1412">
              <w:rPr>
                <w:caps/>
                <w:noProof/>
                <w:sz w:val="18"/>
                <w:szCs w:val="18"/>
              </w:rPr>
              <w:t>0</w:t>
            </w:r>
          </w:p>
        </w:tc>
        <w:tc>
          <w:tcPr>
            <w:tcW w:w="567" w:type="dxa"/>
            <w:tcBorders>
              <w:bottom w:val="single" w:sz="4" w:space="0" w:color="auto"/>
            </w:tcBorders>
            <w:vAlign w:val="bottom"/>
          </w:tcPr>
          <w:p w14:paraId="5DD0F474" w14:textId="77777777" w:rsidR="000A7D9D" w:rsidRPr="00EC1412" w:rsidRDefault="000A7D9D" w:rsidP="00F31937">
            <w:pPr>
              <w:jc w:val="right"/>
              <w:rPr>
                <w:caps/>
                <w:noProof/>
                <w:sz w:val="18"/>
                <w:szCs w:val="18"/>
              </w:rPr>
            </w:pPr>
            <w:r>
              <w:rPr>
                <w:caps/>
                <w:noProof/>
                <w:sz w:val="18"/>
                <w:szCs w:val="18"/>
              </w:rPr>
              <w:t>0</w:t>
            </w:r>
          </w:p>
        </w:tc>
        <w:tc>
          <w:tcPr>
            <w:tcW w:w="567" w:type="dxa"/>
            <w:tcBorders>
              <w:bottom w:val="single" w:sz="4" w:space="0" w:color="auto"/>
            </w:tcBorders>
            <w:vAlign w:val="bottom"/>
          </w:tcPr>
          <w:p w14:paraId="343EE23B" w14:textId="77777777" w:rsidR="000A7D9D" w:rsidRPr="00EC1412" w:rsidRDefault="000A7D9D" w:rsidP="00F31937">
            <w:pPr>
              <w:jc w:val="right"/>
              <w:rPr>
                <w:noProof/>
                <w:sz w:val="18"/>
                <w:szCs w:val="18"/>
              </w:rPr>
            </w:pPr>
            <w:r w:rsidRPr="00EC1412">
              <w:rPr>
                <w:noProof/>
                <w:sz w:val="18"/>
                <w:szCs w:val="18"/>
              </w:rPr>
              <w:t>0</w:t>
            </w:r>
          </w:p>
        </w:tc>
        <w:tc>
          <w:tcPr>
            <w:tcW w:w="567" w:type="dxa"/>
            <w:tcBorders>
              <w:bottom w:val="single" w:sz="4" w:space="0" w:color="auto"/>
            </w:tcBorders>
            <w:vAlign w:val="bottom"/>
          </w:tcPr>
          <w:p w14:paraId="6B79ADF9" w14:textId="77777777" w:rsidR="000A7D9D" w:rsidRPr="00EC1412" w:rsidRDefault="000A7D9D" w:rsidP="00F31937">
            <w:pPr>
              <w:jc w:val="right"/>
              <w:rPr>
                <w:noProof/>
                <w:sz w:val="18"/>
                <w:szCs w:val="18"/>
              </w:rPr>
            </w:pPr>
            <w:r>
              <w:rPr>
                <w:noProof/>
                <w:sz w:val="18"/>
                <w:szCs w:val="18"/>
              </w:rPr>
              <w:t>0</w:t>
            </w:r>
          </w:p>
        </w:tc>
        <w:tc>
          <w:tcPr>
            <w:tcW w:w="567" w:type="dxa"/>
            <w:tcBorders>
              <w:bottom w:val="single" w:sz="4" w:space="0" w:color="auto"/>
            </w:tcBorders>
            <w:vAlign w:val="bottom"/>
          </w:tcPr>
          <w:p w14:paraId="361420AB" w14:textId="77777777" w:rsidR="000A7D9D" w:rsidRPr="00EC1412" w:rsidRDefault="000A7D9D" w:rsidP="00F31937">
            <w:pPr>
              <w:jc w:val="right"/>
              <w:rPr>
                <w:noProof/>
                <w:sz w:val="18"/>
                <w:szCs w:val="18"/>
              </w:rPr>
            </w:pPr>
            <w:r w:rsidRPr="00EC1412">
              <w:rPr>
                <w:noProof/>
                <w:sz w:val="18"/>
                <w:szCs w:val="18"/>
              </w:rPr>
              <w:t>0</w:t>
            </w:r>
          </w:p>
        </w:tc>
        <w:tc>
          <w:tcPr>
            <w:tcW w:w="567" w:type="dxa"/>
            <w:tcBorders>
              <w:bottom w:val="single" w:sz="4" w:space="0" w:color="auto"/>
            </w:tcBorders>
            <w:vAlign w:val="bottom"/>
          </w:tcPr>
          <w:p w14:paraId="3D3619A9" w14:textId="77777777" w:rsidR="000A7D9D" w:rsidRPr="00EC1412" w:rsidRDefault="000A7D9D" w:rsidP="00F31937">
            <w:pPr>
              <w:jc w:val="right"/>
              <w:rPr>
                <w:noProof/>
                <w:sz w:val="18"/>
                <w:szCs w:val="18"/>
              </w:rPr>
            </w:pPr>
            <w:r>
              <w:rPr>
                <w:noProof/>
                <w:sz w:val="18"/>
                <w:szCs w:val="18"/>
              </w:rPr>
              <w:t>0</w:t>
            </w:r>
          </w:p>
        </w:tc>
        <w:tc>
          <w:tcPr>
            <w:tcW w:w="709" w:type="dxa"/>
            <w:tcBorders>
              <w:bottom w:val="single" w:sz="4" w:space="0" w:color="auto"/>
            </w:tcBorders>
          </w:tcPr>
          <w:p w14:paraId="5F83448E" w14:textId="77777777" w:rsidR="000A7D9D" w:rsidRPr="00EC1412" w:rsidRDefault="000A7D9D" w:rsidP="00F31937">
            <w:pPr>
              <w:jc w:val="right"/>
              <w:rPr>
                <w:noProof/>
                <w:sz w:val="18"/>
                <w:szCs w:val="18"/>
              </w:rPr>
            </w:pPr>
            <w:r w:rsidRPr="2D69C30E">
              <w:rPr>
                <w:noProof/>
                <w:sz w:val="18"/>
                <w:szCs w:val="18"/>
              </w:rPr>
              <w:t xml:space="preserve">180 </w:t>
            </w:r>
          </w:p>
        </w:tc>
        <w:tc>
          <w:tcPr>
            <w:tcW w:w="850" w:type="dxa"/>
            <w:tcBorders>
              <w:bottom w:val="single" w:sz="4" w:space="0" w:color="auto"/>
            </w:tcBorders>
            <w:vAlign w:val="bottom"/>
          </w:tcPr>
          <w:p w14:paraId="49E9E576" w14:textId="77777777" w:rsidR="000A7D9D" w:rsidRPr="00EC1412" w:rsidRDefault="000A7D9D" w:rsidP="00F31937">
            <w:pPr>
              <w:jc w:val="right"/>
              <w:rPr>
                <w:noProof/>
                <w:sz w:val="18"/>
                <w:szCs w:val="18"/>
              </w:rPr>
            </w:pPr>
            <w:r w:rsidRPr="2D69C30E">
              <w:rPr>
                <w:caps/>
                <w:noProof/>
                <w:sz w:val="18"/>
                <w:szCs w:val="18"/>
              </w:rPr>
              <w:t>180</w:t>
            </w:r>
            <w:r w:rsidRPr="2D69C30E">
              <w:rPr>
                <w:noProof/>
                <w:sz w:val="18"/>
                <w:szCs w:val="18"/>
              </w:rPr>
              <w:t xml:space="preserve"> </w:t>
            </w:r>
          </w:p>
        </w:tc>
        <w:tc>
          <w:tcPr>
            <w:tcW w:w="851" w:type="dxa"/>
            <w:tcBorders>
              <w:bottom w:val="single" w:sz="4" w:space="0" w:color="auto"/>
            </w:tcBorders>
            <w:vAlign w:val="bottom"/>
          </w:tcPr>
          <w:p w14:paraId="2D14AC98" w14:textId="77777777" w:rsidR="000A7D9D" w:rsidRPr="00EC1412" w:rsidRDefault="000A7D9D" w:rsidP="00F31937">
            <w:pPr>
              <w:jc w:val="right"/>
              <w:rPr>
                <w:noProof/>
                <w:sz w:val="18"/>
                <w:szCs w:val="18"/>
              </w:rPr>
            </w:pPr>
            <w:r w:rsidRPr="2D69C30E">
              <w:rPr>
                <w:noProof/>
                <w:sz w:val="18"/>
                <w:szCs w:val="18"/>
              </w:rPr>
              <w:t xml:space="preserve">180 </w:t>
            </w:r>
          </w:p>
        </w:tc>
        <w:tc>
          <w:tcPr>
            <w:tcW w:w="850" w:type="dxa"/>
            <w:tcBorders>
              <w:bottom w:val="single" w:sz="4" w:space="0" w:color="auto"/>
            </w:tcBorders>
            <w:vAlign w:val="bottom"/>
          </w:tcPr>
          <w:p w14:paraId="0D2E1D10" w14:textId="77777777" w:rsidR="000A7D9D" w:rsidRPr="00EC1412" w:rsidRDefault="000A7D9D" w:rsidP="00F31937">
            <w:pPr>
              <w:jc w:val="right"/>
              <w:rPr>
                <w:noProof/>
                <w:sz w:val="18"/>
                <w:szCs w:val="18"/>
              </w:rPr>
            </w:pPr>
            <w:r w:rsidRPr="2D69C30E">
              <w:rPr>
                <w:noProof/>
                <w:sz w:val="18"/>
                <w:szCs w:val="18"/>
              </w:rPr>
              <w:t xml:space="preserve">0 </w:t>
            </w:r>
          </w:p>
        </w:tc>
      </w:tr>
      <w:tr w:rsidR="000A7D9D" w:rsidRPr="00EC1412" w14:paraId="7FC3F0B7" w14:textId="77777777" w:rsidTr="00F31937">
        <w:tc>
          <w:tcPr>
            <w:tcW w:w="1838" w:type="dxa"/>
            <w:shd w:val="clear" w:color="auto" w:fill="BFBFBF" w:themeFill="background1" w:themeFillShade="BF"/>
          </w:tcPr>
          <w:p w14:paraId="33AE70A7" w14:textId="77777777" w:rsidR="000A7D9D" w:rsidRPr="00EC1412" w:rsidRDefault="000A7D9D" w:rsidP="00F31937">
            <w:pPr>
              <w:jc w:val="both"/>
              <w:rPr>
                <w:b/>
                <w:caps/>
                <w:noProof/>
                <w:sz w:val="18"/>
                <w:szCs w:val="18"/>
              </w:rPr>
            </w:pPr>
            <w:r w:rsidRPr="00EC1412">
              <w:rPr>
                <w:b/>
                <w:caps/>
                <w:noProof/>
                <w:sz w:val="18"/>
                <w:szCs w:val="18"/>
              </w:rPr>
              <w:t>SUm</w:t>
            </w:r>
          </w:p>
        </w:tc>
        <w:tc>
          <w:tcPr>
            <w:tcW w:w="567" w:type="dxa"/>
            <w:shd w:val="clear" w:color="auto" w:fill="BFBFBF" w:themeFill="background1" w:themeFillShade="BF"/>
          </w:tcPr>
          <w:p w14:paraId="462484E5" w14:textId="77777777" w:rsidR="000A7D9D" w:rsidRPr="00EC1412" w:rsidRDefault="000A7D9D" w:rsidP="00F31937">
            <w:pPr>
              <w:jc w:val="right"/>
              <w:rPr>
                <w:b/>
                <w:bCs/>
                <w:caps/>
                <w:noProof/>
                <w:sz w:val="18"/>
                <w:szCs w:val="18"/>
              </w:rPr>
            </w:pPr>
            <w:r>
              <w:rPr>
                <w:b/>
                <w:bCs/>
                <w:caps/>
                <w:noProof/>
                <w:sz w:val="18"/>
                <w:szCs w:val="18"/>
              </w:rPr>
              <w:t>10</w:t>
            </w:r>
            <w:r w:rsidRPr="6689DE26">
              <w:rPr>
                <w:b/>
                <w:bCs/>
                <w:caps/>
                <w:noProof/>
                <w:sz w:val="18"/>
                <w:szCs w:val="18"/>
              </w:rPr>
              <w:t xml:space="preserve"> </w:t>
            </w:r>
          </w:p>
        </w:tc>
        <w:tc>
          <w:tcPr>
            <w:tcW w:w="567" w:type="dxa"/>
            <w:shd w:val="clear" w:color="auto" w:fill="BFBFBF" w:themeFill="background1" w:themeFillShade="BF"/>
          </w:tcPr>
          <w:p w14:paraId="020B10F3" w14:textId="77777777" w:rsidR="000A7D9D" w:rsidRPr="00EC1412" w:rsidRDefault="000A7D9D" w:rsidP="00F31937">
            <w:pPr>
              <w:jc w:val="right"/>
              <w:rPr>
                <w:b/>
                <w:bCs/>
                <w:caps/>
                <w:noProof/>
                <w:sz w:val="18"/>
                <w:szCs w:val="18"/>
              </w:rPr>
            </w:pPr>
            <w:r>
              <w:rPr>
                <w:b/>
                <w:bCs/>
                <w:caps/>
                <w:noProof/>
                <w:sz w:val="18"/>
                <w:szCs w:val="18"/>
              </w:rPr>
              <w:t>18</w:t>
            </w:r>
          </w:p>
        </w:tc>
        <w:tc>
          <w:tcPr>
            <w:tcW w:w="567" w:type="dxa"/>
            <w:shd w:val="clear" w:color="auto" w:fill="BFBFBF" w:themeFill="background1" w:themeFillShade="BF"/>
          </w:tcPr>
          <w:p w14:paraId="7D95DFE3" w14:textId="77777777" w:rsidR="000A7D9D" w:rsidRPr="00EC1412" w:rsidRDefault="000A7D9D" w:rsidP="00F31937">
            <w:pPr>
              <w:jc w:val="right"/>
              <w:rPr>
                <w:b/>
                <w:bCs/>
                <w:caps/>
                <w:noProof/>
                <w:sz w:val="18"/>
                <w:szCs w:val="18"/>
              </w:rPr>
            </w:pPr>
            <w:r>
              <w:rPr>
                <w:b/>
                <w:bCs/>
                <w:caps/>
                <w:noProof/>
                <w:sz w:val="18"/>
                <w:szCs w:val="18"/>
              </w:rPr>
              <w:t>12</w:t>
            </w:r>
          </w:p>
        </w:tc>
        <w:tc>
          <w:tcPr>
            <w:tcW w:w="567" w:type="dxa"/>
            <w:shd w:val="clear" w:color="auto" w:fill="BFBFBF" w:themeFill="background1" w:themeFillShade="BF"/>
          </w:tcPr>
          <w:p w14:paraId="79BB0EB6" w14:textId="77777777" w:rsidR="000A7D9D" w:rsidRPr="00EC1412" w:rsidRDefault="000A7D9D" w:rsidP="00F31937">
            <w:pPr>
              <w:jc w:val="right"/>
              <w:rPr>
                <w:b/>
                <w:bCs/>
                <w:caps/>
                <w:noProof/>
                <w:sz w:val="18"/>
                <w:szCs w:val="18"/>
              </w:rPr>
            </w:pPr>
            <w:r>
              <w:rPr>
                <w:b/>
                <w:bCs/>
                <w:caps/>
                <w:noProof/>
                <w:sz w:val="18"/>
                <w:szCs w:val="18"/>
              </w:rPr>
              <w:t>20</w:t>
            </w:r>
          </w:p>
        </w:tc>
        <w:tc>
          <w:tcPr>
            <w:tcW w:w="567" w:type="dxa"/>
            <w:shd w:val="clear" w:color="auto" w:fill="BFBFBF" w:themeFill="background1" w:themeFillShade="BF"/>
          </w:tcPr>
          <w:p w14:paraId="183047A4" w14:textId="77777777" w:rsidR="000A7D9D" w:rsidRPr="00EC1412" w:rsidRDefault="000A7D9D" w:rsidP="00F31937">
            <w:pPr>
              <w:jc w:val="right"/>
              <w:rPr>
                <w:b/>
                <w:bCs/>
                <w:caps/>
                <w:noProof/>
                <w:sz w:val="18"/>
                <w:szCs w:val="18"/>
              </w:rPr>
            </w:pPr>
            <w:r>
              <w:rPr>
                <w:b/>
                <w:bCs/>
                <w:caps/>
                <w:noProof/>
                <w:sz w:val="18"/>
                <w:szCs w:val="18"/>
              </w:rPr>
              <w:t>12</w:t>
            </w:r>
          </w:p>
        </w:tc>
        <w:tc>
          <w:tcPr>
            <w:tcW w:w="567" w:type="dxa"/>
            <w:shd w:val="clear" w:color="auto" w:fill="BFBFBF" w:themeFill="background1" w:themeFillShade="BF"/>
          </w:tcPr>
          <w:p w14:paraId="0F392B3C" w14:textId="77777777" w:rsidR="000A7D9D" w:rsidRPr="00EC1412" w:rsidRDefault="000A7D9D" w:rsidP="00F31937">
            <w:pPr>
              <w:jc w:val="right"/>
              <w:rPr>
                <w:b/>
                <w:bCs/>
                <w:caps/>
                <w:noProof/>
                <w:sz w:val="18"/>
                <w:szCs w:val="18"/>
              </w:rPr>
            </w:pPr>
            <w:r>
              <w:rPr>
                <w:b/>
                <w:bCs/>
                <w:caps/>
                <w:noProof/>
                <w:sz w:val="18"/>
                <w:szCs w:val="18"/>
              </w:rPr>
              <w:t>20</w:t>
            </w:r>
          </w:p>
        </w:tc>
        <w:tc>
          <w:tcPr>
            <w:tcW w:w="567" w:type="dxa"/>
            <w:shd w:val="clear" w:color="auto" w:fill="BFBFBF" w:themeFill="background1" w:themeFillShade="BF"/>
          </w:tcPr>
          <w:p w14:paraId="1F3C494E" w14:textId="77777777" w:rsidR="000A7D9D" w:rsidRPr="00EC1412" w:rsidRDefault="000A7D9D" w:rsidP="00F31937">
            <w:pPr>
              <w:jc w:val="right"/>
              <w:rPr>
                <w:noProof/>
                <w:sz w:val="18"/>
                <w:szCs w:val="18"/>
              </w:rPr>
            </w:pPr>
            <w:r>
              <w:rPr>
                <w:b/>
                <w:bCs/>
                <w:caps/>
                <w:noProof/>
                <w:sz w:val="18"/>
                <w:szCs w:val="18"/>
              </w:rPr>
              <w:t>12</w:t>
            </w:r>
          </w:p>
        </w:tc>
        <w:tc>
          <w:tcPr>
            <w:tcW w:w="567" w:type="dxa"/>
            <w:shd w:val="clear" w:color="auto" w:fill="BFBFBF" w:themeFill="background1" w:themeFillShade="BF"/>
          </w:tcPr>
          <w:p w14:paraId="66D50B20" w14:textId="77777777" w:rsidR="000A7D9D" w:rsidRPr="0084633A" w:rsidRDefault="000A7D9D" w:rsidP="00F31937">
            <w:pPr>
              <w:spacing w:line="259" w:lineRule="auto"/>
              <w:jc w:val="right"/>
              <w:rPr>
                <w:b/>
                <w:noProof/>
                <w:sz w:val="18"/>
                <w:szCs w:val="18"/>
              </w:rPr>
            </w:pPr>
            <w:r w:rsidRPr="0084633A">
              <w:rPr>
                <w:b/>
                <w:noProof/>
                <w:sz w:val="18"/>
                <w:szCs w:val="18"/>
              </w:rPr>
              <w:t>8</w:t>
            </w:r>
          </w:p>
        </w:tc>
        <w:tc>
          <w:tcPr>
            <w:tcW w:w="709" w:type="dxa"/>
            <w:shd w:val="clear" w:color="auto" w:fill="BFBFBF" w:themeFill="background1" w:themeFillShade="BF"/>
          </w:tcPr>
          <w:p w14:paraId="1618CA02" w14:textId="77777777" w:rsidR="000A7D9D" w:rsidRPr="00EC1412" w:rsidRDefault="000A7D9D" w:rsidP="00F31937">
            <w:pPr>
              <w:jc w:val="right"/>
              <w:rPr>
                <w:b/>
                <w:bCs/>
                <w:caps/>
                <w:noProof/>
                <w:sz w:val="18"/>
                <w:szCs w:val="18"/>
              </w:rPr>
            </w:pPr>
            <w:r>
              <w:rPr>
                <w:b/>
                <w:bCs/>
                <w:caps/>
                <w:noProof/>
                <w:sz w:val="18"/>
                <w:szCs w:val="18"/>
              </w:rPr>
              <w:t>950</w:t>
            </w:r>
          </w:p>
        </w:tc>
        <w:tc>
          <w:tcPr>
            <w:tcW w:w="850" w:type="dxa"/>
            <w:shd w:val="clear" w:color="auto" w:fill="BFBFBF" w:themeFill="background1" w:themeFillShade="BF"/>
          </w:tcPr>
          <w:p w14:paraId="500A5A1C" w14:textId="77777777" w:rsidR="000A7D9D" w:rsidRPr="00EC1412" w:rsidRDefault="000A7D9D" w:rsidP="00F31937">
            <w:pPr>
              <w:jc w:val="right"/>
              <w:rPr>
                <w:b/>
                <w:bCs/>
                <w:caps/>
                <w:noProof/>
                <w:sz w:val="18"/>
                <w:szCs w:val="18"/>
              </w:rPr>
            </w:pPr>
            <w:r>
              <w:rPr>
                <w:b/>
                <w:bCs/>
                <w:caps/>
                <w:noProof/>
                <w:sz w:val="18"/>
                <w:szCs w:val="18"/>
              </w:rPr>
              <w:t>6 792</w:t>
            </w:r>
          </w:p>
        </w:tc>
        <w:tc>
          <w:tcPr>
            <w:tcW w:w="851" w:type="dxa"/>
            <w:shd w:val="clear" w:color="auto" w:fill="BFBFBF" w:themeFill="background1" w:themeFillShade="BF"/>
          </w:tcPr>
          <w:p w14:paraId="382FC488" w14:textId="77777777" w:rsidR="000A7D9D" w:rsidRPr="00EC1412" w:rsidRDefault="000A7D9D" w:rsidP="00F31937">
            <w:pPr>
              <w:spacing w:line="259" w:lineRule="auto"/>
              <w:jc w:val="right"/>
              <w:rPr>
                <w:b/>
                <w:bCs/>
                <w:caps/>
                <w:noProof/>
                <w:sz w:val="18"/>
                <w:szCs w:val="18"/>
              </w:rPr>
            </w:pPr>
            <w:r w:rsidRPr="2FCD3695">
              <w:rPr>
                <w:b/>
                <w:bCs/>
                <w:caps/>
                <w:noProof/>
                <w:sz w:val="18"/>
                <w:szCs w:val="18"/>
              </w:rPr>
              <w:t xml:space="preserve">8 657 </w:t>
            </w:r>
          </w:p>
        </w:tc>
        <w:tc>
          <w:tcPr>
            <w:tcW w:w="850" w:type="dxa"/>
            <w:shd w:val="clear" w:color="auto" w:fill="BFBFBF" w:themeFill="background1" w:themeFillShade="BF"/>
          </w:tcPr>
          <w:p w14:paraId="1B935F83" w14:textId="77777777" w:rsidR="000A7D9D" w:rsidRPr="00EC1412" w:rsidRDefault="000A7D9D" w:rsidP="00F31937">
            <w:pPr>
              <w:spacing w:line="259" w:lineRule="auto"/>
              <w:jc w:val="right"/>
              <w:rPr>
                <w:b/>
                <w:bCs/>
                <w:caps/>
                <w:noProof/>
                <w:sz w:val="18"/>
                <w:szCs w:val="18"/>
              </w:rPr>
            </w:pPr>
            <w:r w:rsidRPr="2FCD3695">
              <w:rPr>
                <w:b/>
                <w:bCs/>
                <w:caps/>
                <w:noProof/>
                <w:sz w:val="18"/>
                <w:szCs w:val="18"/>
              </w:rPr>
              <w:t>7 080</w:t>
            </w:r>
          </w:p>
        </w:tc>
      </w:tr>
    </w:tbl>
    <w:p w14:paraId="1AF68B4D" w14:textId="77777777" w:rsidR="000A7D9D" w:rsidRDefault="000A7D9D" w:rsidP="000A7D9D">
      <w:pPr>
        <w:jc w:val="both"/>
        <w:rPr>
          <w:rFonts w:ascii="Times New Roman" w:hAnsi="Times New Roman" w:cs="Times New Roman"/>
          <w:noProof/>
        </w:rPr>
      </w:pPr>
    </w:p>
    <w:p w14:paraId="7F4AD552" w14:textId="77777777" w:rsidR="000A7D9D" w:rsidRPr="006057D4" w:rsidRDefault="000A7D9D" w:rsidP="000A7D9D">
      <w:pPr>
        <w:spacing w:after="120"/>
        <w:jc w:val="both"/>
        <w:rPr>
          <w:rFonts w:ascii="Times New Roman" w:hAnsi="Times New Roman" w:cs="Times New Roman"/>
          <w:noProof/>
        </w:rPr>
      </w:pPr>
      <w:r w:rsidRPr="006057D4">
        <w:rPr>
          <w:rFonts w:ascii="Times New Roman" w:hAnsi="Times New Roman" w:cs="Times New Roman"/>
          <w:b/>
          <w:noProof/>
        </w:rPr>
        <w:t xml:space="preserve">Common Data Platform </w:t>
      </w:r>
      <w:r w:rsidRPr="006057D4">
        <w:rPr>
          <w:rFonts w:ascii="Times New Roman" w:hAnsi="Times New Roman" w:cs="Times New Roman"/>
          <w:noProof/>
        </w:rPr>
        <w:t>will be established and operated by ECHA with close involvement and contribution from EEA, EFSA, EMA, EU-OSHA and the Commission. The work will include development and operation of the infrastructure and the governance and provision of data into the platform. The principal aim of new IT infrastructure operating as part of the Green Deal Data Space is to support effective and coherent chemical safety assessments. It shall provide integrated, user-differentiated and highly functional access to chemicals-related datasets owned or managed by EU agencies and provide space for the dedicated services supporting EU chemicals policy and legislative implementation.</w:t>
      </w:r>
      <w:r>
        <w:rPr>
          <w:noProof/>
        </w:rPr>
        <w:t xml:space="preserve"> </w:t>
      </w:r>
      <w:r w:rsidRPr="006057D4">
        <w:rPr>
          <w:rFonts w:ascii="Times New Roman" w:hAnsi="Times New Roman" w:cs="Times New Roman"/>
          <w:noProof/>
          <w:color w:val="000000" w:themeColor="text1"/>
        </w:rPr>
        <w:t xml:space="preserve">The work will </w:t>
      </w:r>
      <w:r w:rsidRPr="006057D4">
        <w:rPr>
          <w:rFonts w:ascii="Times New Roman" w:hAnsi="Times New Roman" w:cs="Times New Roman"/>
          <w:noProof/>
        </w:rPr>
        <w:t>require resources for 4 agencies involved and the Commission (JRC). The resource requirement is higher for the first 3 years to set up the infrastructure and all the underlying processes to share the data and make them interoperable and in adequate formats. This will require for the first 3 years:</w:t>
      </w:r>
    </w:p>
    <w:p w14:paraId="74E6AE83" w14:textId="77777777" w:rsidR="000A7D9D" w:rsidRPr="00CF4A72" w:rsidRDefault="000A7D9D" w:rsidP="000A7D9D">
      <w:pPr>
        <w:pStyle w:val="ListParagraph"/>
        <w:numPr>
          <w:ilvl w:val="0"/>
          <w:numId w:val="147"/>
        </w:numPr>
        <w:jc w:val="both"/>
        <w:rPr>
          <w:noProof/>
        </w:rPr>
      </w:pPr>
      <w:r w:rsidRPr="00CF4A72">
        <w:rPr>
          <w:noProof/>
        </w:rPr>
        <w:t>for ECHA, 10 FTEs (4 TAs + 6 CAs) per year and operational budget of EUR 0 for the first year, EUR 2 226 000 for the second year and EUR 2 793 000 for the third year;</w:t>
      </w:r>
    </w:p>
    <w:p w14:paraId="50C1BE04" w14:textId="77777777" w:rsidR="000A7D9D" w:rsidRPr="00CF4A72" w:rsidRDefault="000A7D9D" w:rsidP="000A7D9D">
      <w:pPr>
        <w:pStyle w:val="ListParagraph"/>
        <w:numPr>
          <w:ilvl w:val="0"/>
          <w:numId w:val="147"/>
        </w:numPr>
        <w:jc w:val="both"/>
        <w:rPr>
          <w:noProof/>
        </w:rPr>
      </w:pPr>
      <w:r w:rsidRPr="006057D4">
        <w:rPr>
          <w:noProof/>
          <w:sz w:val="22"/>
          <w:szCs w:val="22"/>
        </w:rPr>
        <w:t>for EEA, 3 FTEs (1 TA + 2 CAs) per year and operational budget of EUR 0 for the first year, EUR 266 000  for the second year and EUR 334 000 for the third year;</w:t>
      </w:r>
    </w:p>
    <w:p w14:paraId="33A384FB" w14:textId="77777777" w:rsidR="000A7D9D" w:rsidRPr="00CF4A72" w:rsidRDefault="000A7D9D" w:rsidP="000A7D9D">
      <w:pPr>
        <w:pStyle w:val="ListParagraph"/>
        <w:numPr>
          <w:ilvl w:val="0"/>
          <w:numId w:val="147"/>
        </w:numPr>
        <w:jc w:val="both"/>
        <w:rPr>
          <w:noProof/>
        </w:rPr>
      </w:pPr>
      <w:r w:rsidRPr="006057D4">
        <w:rPr>
          <w:noProof/>
          <w:sz w:val="22"/>
          <w:szCs w:val="22"/>
        </w:rPr>
        <w:t xml:space="preserve">for EFSA, 5 FTEs (5 CAs) per year and an operational budget of EUR 670 000 per year; </w:t>
      </w:r>
    </w:p>
    <w:p w14:paraId="23316FBF" w14:textId="77777777" w:rsidR="000A7D9D" w:rsidRPr="00CF4A72" w:rsidRDefault="000A7D9D" w:rsidP="000A7D9D">
      <w:pPr>
        <w:pStyle w:val="ListParagraph"/>
        <w:numPr>
          <w:ilvl w:val="0"/>
          <w:numId w:val="147"/>
        </w:numPr>
        <w:jc w:val="both"/>
        <w:rPr>
          <w:noProof/>
        </w:rPr>
      </w:pPr>
      <w:r w:rsidRPr="006057D4">
        <w:rPr>
          <w:noProof/>
          <w:sz w:val="22"/>
          <w:szCs w:val="22"/>
        </w:rPr>
        <w:t xml:space="preserve">for EMA, 3 FTEs (3 CAs) per year and an operational budget of EUR 100 000 per year; </w:t>
      </w:r>
    </w:p>
    <w:p w14:paraId="3A98AEB4" w14:textId="77777777" w:rsidR="000A7D9D" w:rsidRPr="00CF4A72" w:rsidRDefault="000A7D9D" w:rsidP="000A7D9D">
      <w:pPr>
        <w:pStyle w:val="ListParagraph"/>
        <w:numPr>
          <w:ilvl w:val="0"/>
          <w:numId w:val="147"/>
        </w:numPr>
        <w:jc w:val="both"/>
        <w:rPr>
          <w:noProof/>
        </w:rPr>
      </w:pPr>
      <w:r w:rsidRPr="006057D4">
        <w:rPr>
          <w:noProof/>
          <w:sz w:val="22"/>
          <w:szCs w:val="22"/>
        </w:rPr>
        <w:t>for EU-OSHA, 0 FTEs per year and operational budget of EUR 0 per year;</w:t>
      </w:r>
    </w:p>
    <w:p w14:paraId="0E7311B3" w14:textId="77777777" w:rsidR="000A7D9D" w:rsidRPr="00CF4A72" w:rsidRDefault="000A7D9D" w:rsidP="000A7D9D">
      <w:pPr>
        <w:pStyle w:val="ListParagraph"/>
        <w:numPr>
          <w:ilvl w:val="0"/>
          <w:numId w:val="147"/>
        </w:numPr>
        <w:spacing w:after="120"/>
        <w:ind w:left="714" w:hanging="357"/>
        <w:contextualSpacing w:val="0"/>
        <w:jc w:val="both"/>
        <w:rPr>
          <w:noProof/>
        </w:rPr>
      </w:pPr>
      <w:r w:rsidRPr="006057D4">
        <w:rPr>
          <w:noProof/>
          <w:sz w:val="22"/>
          <w:szCs w:val="22"/>
        </w:rPr>
        <w:t>for JRC, an operational budget of EUR 180 000 per year to cover integration of IPCHEM in the common data platform and handing over of IPCHEM operation to ECHA.</w:t>
      </w:r>
    </w:p>
    <w:p w14:paraId="6F7ABF7D" w14:textId="77777777" w:rsidR="000A7D9D" w:rsidRPr="00CE013C" w:rsidRDefault="000A7D9D" w:rsidP="000A7D9D">
      <w:pPr>
        <w:spacing w:after="120"/>
        <w:jc w:val="both"/>
        <w:rPr>
          <w:rFonts w:ascii="Times New Roman" w:hAnsi="Times New Roman" w:cs="Times New Roman"/>
          <w:noProof/>
        </w:rPr>
      </w:pPr>
      <w:r w:rsidRPr="00CE013C">
        <w:rPr>
          <w:rFonts w:ascii="Times New Roman" w:hAnsi="Times New Roman" w:cs="Times New Roman"/>
          <w:noProof/>
        </w:rPr>
        <w:t xml:space="preserve">After the initial phase of 3 years, the resource requirement is reduced to maintain the infrastructure and the underlying processes. This phase will require </w:t>
      </w:r>
    </w:p>
    <w:p w14:paraId="531118D8" w14:textId="77777777" w:rsidR="000A7D9D" w:rsidRPr="00CF4A72" w:rsidRDefault="000A7D9D" w:rsidP="000A7D9D">
      <w:pPr>
        <w:pStyle w:val="ListParagraph"/>
        <w:numPr>
          <w:ilvl w:val="0"/>
          <w:numId w:val="148"/>
        </w:numPr>
        <w:jc w:val="both"/>
        <w:rPr>
          <w:noProof/>
        </w:rPr>
      </w:pPr>
      <w:r w:rsidRPr="006057D4">
        <w:rPr>
          <w:noProof/>
          <w:sz w:val="22"/>
          <w:szCs w:val="22"/>
        </w:rPr>
        <w:t>for ECHA, 4 FTEs (4 TAs) per year and operational budget of EUR 600 000 per year;</w:t>
      </w:r>
    </w:p>
    <w:p w14:paraId="51F2E8D0" w14:textId="77777777" w:rsidR="000A7D9D" w:rsidRPr="00CF4A72" w:rsidRDefault="000A7D9D" w:rsidP="000A7D9D">
      <w:pPr>
        <w:pStyle w:val="ListParagraph"/>
        <w:numPr>
          <w:ilvl w:val="0"/>
          <w:numId w:val="148"/>
        </w:numPr>
        <w:jc w:val="both"/>
        <w:rPr>
          <w:noProof/>
        </w:rPr>
      </w:pPr>
      <w:r w:rsidRPr="006057D4">
        <w:rPr>
          <w:noProof/>
          <w:sz w:val="22"/>
          <w:szCs w:val="22"/>
        </w:rPr>
        <w:t>for EEA, 1 FTE (1 TA) per year and operational budget of EUR 200 000 per year;</w:t>
      </w:r>
    </w:p>
    <w:p w14:paraId="6EDA654D" w14:textId="77777777" w:rsidR="000A7D9D" w:rsidRPr="00CF4A72" w:rsidRDefault="000A7D9D" w:rsidP="000A7D9D">
      <w:pPr>
        <w:pStyle w:val="ListParagraph"/>
        <w:numPr>
          <w:ilvl w:val="0"/>
          <w:numId w:val="148"/>
        </w:numPr>
        <w:jc w:val="both"/>
        <w:rPr>
          <w:noProof/>
        </w:rPr>
      </w:pPr>
      <w:r w:rsidRPr="006057D4">
        <w:rPr>
          <w:noProof/>
          <w:sz w:val="22"/>
          <w:szCs w:val="22"/>
        </w:rPr>
        <w:t>for EFSA, 2 FTEs (2 CAs) per year and operational budget of EUR 500 000 per year;</w:t>
      </w:r>
    </w:p>
    <w:p w14:paraId="4B6D30D6" w14:textId="77777777" w:rsidR="000A7D9D" w:rsidRPr="00CF4A72" w:rsidRDefault="000A7D9D" w:rsidP="000A7D9D">
      <w:pPr>
        <w:pStyle w:val="ListParagraph"/>
        <w:numPr>
          <w:ilvl w:val="0"/>
          <w:numId w:val="148"/>
        </w:numPr>
        <w:jc w:val="both"/>
        <w:rPr>
          <w:noProof/>
        </w:rPr>
      </w:pPr>
      <w:r w:rsidRPr="006057D4">
        <w:rPr>
          <w:noProof/>
          <w:sz w:val="22"/>
          <w:szCs w:val="22"/>
        </w:rPr>
        <w:t>for EU-OSHA, 0 FTEs per year and operational budget of EUR 0 per year;</w:t>
      </w:r>
    </w:p>
    <w:p w14:paraId="36F750F1" w14:textId="77777777" w:rsidR="000A7D9D" w:rsidRPr="00CF4A72" w:rsidRDefault="000A7D9D" w:rsidP="000A7D9D">
      <w:pPr>
        <w:pStyle w:val="ListParagraph"/>
        <w:numPr>
          <w:ilvl w:val="0"/>
          <w:numId w:val="148"/>
        </w:numPr>
        <w:spacing w:after="120"/>
        <w:ind w:left="714" w:hanging="357"/>
        <w:jc w:val="both"/>
        <w:rPr>
          <w:noProof/>
        </w:rPr>
      </w:pPr>
      <w:r w:rsidRPr="006057D4">
        <w:rPr>
          <w:noProof/>
          <w:sz w:val="22"/>
          <w:szCs w:val="22"/>
        </w:rPr>
        <w:t xml:space="preserve">for EMA, 2 FTEs (2 CAs) per year and operational budget of EUR 0. </w:t>
      </w:r>
    </w:p>
    <w:p w14:paraId="48E9072A" w14:textId="77777777" w:rsidR="000A7D9D" w:rsidRPr="00CE013C" w:rsidRDefault="000A7D9D" w:rsidP="000A7D9D">
      <w:pPr>
        <w:spacing w:after="120"/>
        <w:jc w:val="both"/>
        <w:rPr>
          <w:rFonts w:ascii="Times New Roman" w:hAnsi="Times New Roman" w:cs="Times New Roman"/>
          <w:noProof/>
        </w:rPr>
      </w:pPr>
      <w:r w:rsidRPr="00CE013C">
        <w:rPr>
          <w:rFonts w:ascii="Times New Roman" w:hAnsi="Times New Roman" w:cs="Times New Roman"/>
          <w:b/>
          <w:noProof/>
        </w:rPr>
        <w:t>Information Platform for Chemical Monitoring</w:t>
      </w:r>
      <w:r w:rsidRPr="00CE013C">
        <w:rPr>
          <w:rFonts w:ascii="Times New Roman" w:hAnsi="Times New Roman" w:cs="Times New Roman"/>
          <w:noProof/>
        </w:rPr>
        <w:t xml:space="preserve"> (IPCHEM) will be formally established and its operation will be reattributed to the Agencies. For this work, </w:t>
      </w:r>
    </w:p>
    <w:p w14:paraId="2EC4B964" w14:textId="77777777" w:rsidR="000A7D9D" w:rsidRPr="00CF4A72" w:rsidRDefault="000A7D9D" w:rsidP="000A7D9D">
      <w:pPr>
        <w:pStyle w:val="ListParagraph"/>
        <w:numPr>
          <w:ilvl w:val="0"/>
          <w:numId w:val="149"/>
        </w:numPr>
        <w:jc w:val="both"/>
        <w:rPr>
          <w:noProof/>
        </w:rPr>
      </w:pPr>
      <w:r w:rsidRPr="006057D4">
        <w:rPr>
          <w:noProof/>
          <w:sz w:val="22"/>
          <w:szCs w:val="22"/>
        </w:rPr>
        <w:t>ECHA will need as of the second year 2 FTEs (1 TA + 1 CA) per year and as of the third year operational budget of EUR 180 000 per year;</w:t>
      </w:r>
    </w:p>
    <w:p w14:paraId="4C08F0B8" w14:textId="77777777" w:rsidR="000A7D9D" w:rsidRPr="00CF4A72" w:rsidRDefault="000A7D9D" w:rsidP="000A7D9D">
      <w:pPr>
        <w:pStyle w:val="ListParagraph"/>
        <w:numPr>
          <w:ilvl w:val="0"/>
          <w:numId w:val="149"/>
        </w:numPr>
        <w:spacing w:after="120"/>
        <w:ind w:left="714" w:hanging="357"/>
        <w:jc w:val="both"/>
        <w:rPr>
          <w:noProof/>
        </w:rPr>
      </w:pPr>
      <w:r w:rsidRPr="006057D4">
        <w:rPr>
          <w:noProof/>
          <w:sz w:val="22"/>
          <w:szCs w:val="22"/>
        </w:rPr>
        <w:t xml:space="preserve">EEA will need as of the first year 1 FTE (1 TA) per year and the operational budget in the first year EUR 0, in the second year EUR 200 000, in the third year EUR 200 000 and as of the fourth year EUR 50 000 per year. </w:t>
      </w:r>
    </w:p>
    <w:p w14:paraId="0E078FF3" w14:textId="77777777" w:rsidR="000A7D9D" w:rsidRPr="00CE013C" w:rsidRDefault="000A7D9D" w:rsidP="000A7D9D">
      <w:pPr>
        <w:jc w:val="both"/>
        <w:rPr>
          <w:rFonts w:ascii="Times New Roman" w:hAnsi="Times New Roman" w:cs="Times New Roman"/>
          <w:noProof/>
        </w:rPr>
      </w:pPr>
      <w:r w:rsidRPr="00CE013C">
        <w:rPr>
          <w:rFonts w:ascii="Times New Roman" w:hAnsi="Times New Roman" w:cs="Times New Roman"/>
          <w:noProof/>
        </w:rPr>
        <w:t xml:space="preserve">The operation of IPCHEM is currently done by the Commission and the resource use accounts for total of 4.5 FTEs/year (DG JRC staff 2.5 FTEs/year + IT experts intramurous 2 FTEs/year (EUR </w:t>
      </w:r>
      <w:r>
        <w:rPr>
          <w:rFonts w:ascii="Times New Roman" w:hAnsi="Times New Roman" w:cs="Times New Roman"/>
          <w:noProof/>
        </w:rPr>
        <w:t>130 000</w:t>
      </w:r>
      <w:r w:rsidRPr="00CE013C">
        <w:rPr>
          <w:rFonts w:ascii="Times New Roman" w:hAnsi="Times New Roman" w:cs="Times New Roman"/>
          <w:noProof/>
        </w:rPr>
        <w:t>/year)).</w:t>
      </w:r>
      <w:r>
        <w:rPr>
          <w:rFonts w:ascii="Times New Roman" w:hAnsi="Times New Roman" w:cs="Times New Roman"/>
          <w:noProof/>
        </w:rPr>
        <w:t xml:space="preserve"> </w:t>
      </w:r>
      <w:r w:rsidRPr="00CE013C">
        <w:rPr>
          <w:rFonts w:ascii="Times New Roman" w:hAnsi="Times New Roman" w:cs="Times New Roman"/>
          <w:noProof/>
        </w:rPr>
        <w:t xml:space="preserve">The </w:t>
      </w:r>
      <w:r>
        <w:rPr>
          <w:rFonts w:ascii="Times New Roman" w:hAnsi="Times New Roman" w:cs="Times New Roman"/>
          <w:noProof/>
        </w:rPr>
        <w:t xml:space="preserve">operation of IPCHEM will be entrusted to ECHA which will also integrate it </w:t>
      </w:r>
      <w:r w:rsidRPr="00CE013C">
        <w:rPr>
          <w:rFonts w:ascii="Times New Roman" w:hAnsi="Times New Roman" w:cs="Times New Roman"/>
          <w:noProof/>
        </w:rPr>
        <w:t>into the Common Data Platform.</w:t>
      </w:r>
      <w:r>
        <w:rPr>
          <w:rFonts w:ascii="Times New Roman" w:hAnsi="Times New Roman" w:cs="Times New Roman"/>
          <w:noProof/>
        </w:rPr>
        <w:t xml:space="preserve"> As this work will be reattributed to ECHA, the resources at the Commission’s side will be saved. </w:t>
      </w:r>
      <w:r w:rsidRPr="00CE013C">
        <w:rPr>
          <w:rFonts w:ascii="Times New Roman" w:hAnsi="Times New Roman" w:cs="Times New Roman"/>
          <w:noProof/>
        </w:rPr>
        <w:t>Hosting of data will be entrusted to the Agencies based on their mandates (ECHA will host occupational data) and EEA will host indoor air data and collect and host human biomonitoring data.</w:t>
      </w:r>
      <w:r>
        <w:rPr>
          <w:rFonts w:ascii="Times New Roman" w:hAnsi="Times New Roman" w:cs="Times New Roman"/>
          <w:noProof/>
        </w:rPr>
        <w:t xml:space="preserve"> </w:t>
      </w:r>
      <w:r w:rsidRPr="00CE013C">
        <w:rPr>
          <w:rFonts w:ascii="Times New Roman" w:hAnsi="Times New Roman" w:cs="Times New Roman"/>
          <w:noProof/>
        </w:rPr>
        <w:t xml:space="preserve">EFSA already provides data to IPCHEM and contributes to its operation and will not require any additional resources to continue in this activity. EMA and EU-OSHA currently do not systematically collect or receive data relevant for IPCHEM and therefore will not require any additional resources. </w:t>
      </w:r>
    </w:p>
    <w:p w14:paraId="532A0D3B" w14:textId="77777777" w:rsidR="000A7D9D" w:rsidRDefault="000A7D9D" w:rsidP="000A7D9D">
      <w:pPr>
        <w:jc w:val="both"/>
        <w:rPr>
          <w:rFonts w:ascii="Times New Roman" w:hAnsi="Times New Roman" w:cs="Times New Roman"/>
          <w:noProof/>
        </w:rPr>
      </w:pPr>
      <w:r>
        <w:rPr>
          <w:rFonts w:ascii="Times New Roman" w:hAnsi="Times New Roman" w:cs="Times New Roman"/>
          <w:b/>
          <w:noProof/>
        </w:rPr>
        <w:t>D</w:t>
      </w:r>
      <w:r w:rsidRPr="00404FAA">
        <w:rPr>
          <w:rFonts w:ascii="Times New Roman" w:hAnsi="Times New Roman" w:cs="Times New Roman"/>
          <w:b/>
          <w:noProof/>
        </w:rPr>
        <w:t xml:space="preserve">atabase containing information on regulatory processes on chemicals </w:t>
      </w:r>
      <w:r w:rsidRPr="00404FAA">
        <w:rPr>
          <w:rFonts w:ascii="Times New Roman" w:hAnsi="Times New Roman" w:cs="Times New Roman"/>
          <w:noProof/>
        </w:rPr>
        <w:t>will be established</w:t>
      </w:r>
      <w:r>
        <w:rPr>
          <w:rFonts w:ascii="Times New Roman" w:hAnsi="Times New Roman" w:cs="Times New Roman"/>
          <w:b/>
          <w:noProof/>
        </w:rPr>
        <w:t xml:space="preserve"> </w:t>
      </w:r>
      <w:r w:rsidRPr="00404FAA">
        <w:rPr>
          <w:rFonts w:ascii="Times New Roman" w:hAnsi="Times New Roman" w:cs="Times New Roman"/>
          <w:noProof/>
        </w:rPr>
        <w:t>on the basis of</w:t>
      </w:r>
      <w:r w:rsidRPr="00404FAA">
        <w:rPr>
          <w:rFonts w:ascii="Times New Roman" w:hAnsi="Times New Roman" w:cs="Times New Roman"/>
          <w:b/>
          <w:noProof/>
        </w:rPr>
        <w:t xml:space="preserve"> </w:t>
      </w:r>
      <w:r w:rsidRPr="00404FAA">
        <w:rPr>
          <w:rFonts w:ascii="Times New Roman" w:hAnsi="Times New Roman" w:cs="Times New Roman"/>
          <w:noProof/>
        </w:rPr>
        <w:t>existing (public) activities coordination tool ((P)ACT) and enlarging its scope to cover all relevant legislation with safety assessment processes and initiatives to promote coordination of safety assessment activities across EU legislation and provide transparency on the ongoing assessments. This work will impact ECHA, EEA, EFSA and EU-OSHA but will not require additional resources for the agencies. ECHA already operates (P)ACT for REACH, CLP and POPs processes. EFSA already operates OpenEFSA which has similar level of information as PACT for food and feed legislation. Resources for the operation and continuous provision of information are to be absorbed by the Agencies as part of the existing processes. EEA and EU-OSHA are currently not involved in any processes relevant for the database, therefore no resources are required for them. The development and coordination of the system is covered by the resources provided for the common data platform.</w:t>
      </w:r>
    </w:p>
    <w:p w14:paraId="0F4A73DE" w14:textId="77777777" w:rsidR="000A7D9D" w:rsidRDefault="000A7D9D" w:rsidP="000A7D9D">
      <w:pPr>
        <w:jc w:val="both"/>
        <w:rPr>
          <w:rFonts w:ascii="Times New Roman" w:hAnsi="Times New Roman" w:cs="Times New Roman"/>
          <w:noProof/>
        </w:rPr>
      </w:pPr>
      <w:r w:rsidRPr="00404FAA">
        <w:rPr>
          <w:rFonts w:ascii="Times New Roman" w:hAnsi="Times New Roman" w:cs="Times New Roman"/>
          <w:b/>
          <w:noProof/>
        </w:rPr>
        <w:t>Repository of reference values</w:t>
      </w:r>
      <w:r w:rsidRPr="00404FAA">
        <w:rPr>
          <w:rFonts w:ascii="Times New Roman" w:hAnsi="Times New Roman" w:cs="Times New Roman"/>
          <w:noProof/>
        </w:rPr>
        <w:t xml:space="preserve"> will be established to promote the reuse of existing reference values and thus improve coherence of assessments and reduce repetition of deriving reference values. The proposal will impact ECHA, EEA, EFSA, EMA, EU-OSHA and the Commission. To perform the required work, ECHA will need as of the first year 1 FTE (1 TA) per year and operational budget of EUR 0 in the first year, EUR 650 000 in the second year, EUR 650 000 in the third year and as of the fourth year EUR 200 000 per year. No additional resources will be needed for EEA, EFSA, EMA, EU-OSHA or the Commission. </w:t>
      </w:r>
      <w:r w:rsidRPr="00404FAA">
        <w:rPr>
          <w:rFonts w:ascii="Times New Roman" w:hAnsi="Times New Roman" w:cs="Times New Roman"/>
          <w:noProof/>
          <w:lang w:val="en-US" w:eastAsia="en-GB"/>
        </w:rPr>
        <w:t>ECHA has developed and operates the EU Chemicals Legislation Finder (EUCLEF). EUCLEF lists some regulatory reference values derived and applicable under these legislative pieces. ECHA will have to collate the ‘old scientific reference values’ which can be done via contracting. The new scientific reference values will be provided to the repository progressively as part of ECHA’s assessment processes. ECHA will require additional resources for developing, operating and maintain the repository, being in contact with data providers. EFSA has developed and is maintaining the OpenFoodTox database</w:t>
      </w:r>
      <w:r w:rsidRPr="00404FAA">
        <w:rPr>
          <w:rFonts w:ascii="Times New Roman" w:hAnsi="Times New Roman" w:cs="Times New Roman"/>
          <w:noProof/>
        </w:rPr>
        <w:t xml:space="preserve"> that summarises the scientific reference values derived by EFSA as part of its assessment activities. EFSA will continue its activity and will provide the information to the new repository as part of its existing resources. Therefore, no additional resources are required. EMA will need to provide to the new repository on continuous basis all new predicted no effect concentrations (PNECs) derived for human and veterinary medicinal products after entry into force of this legislation. This can be done efficiently as part of EMA’s future assessment activities. In addition, this can be automatized for human medicines as digitalisation of environmental risk assessment is foreseen as part of the revision of human medicinal product legislation. Therefore, no additional resources are required. EEA and EU-OSHA currently do not hold any relevant data for the repository. Therefore, no additional resources are required. </w:t>
      </w:r>
    </w:p>
    <w:p w14:paraId="364BC08C" w14:textId="77777777" w:rsidR="000A7D9D" w:rsidRDefault="000A7D9D" w:rsidP="000A7D9D">
      <w:pPr>
        <w:jc w:val="both"/>
        <w:rPr>
          <w:rFonts w:ascii="Times New Roman" w:hAnsi="Times New Roman" w:cs="Times New Roman"/>
          <w:noProof/>
        </w:rPr>
      </w:pPr>
      <w:r w:rsidRPr="00750E98">
        <w:rPr>
          <w:rFonts w:ascii="Times New Roman" w:hAnsi="Times New Roman" w:cs="Times New Roman"/>
          <w:noProof/>
        </w:rPr>
        <w:t xml:space="preserve">The establishment and operation of a </w:t>
      </w:r>
      <w:r w:rsidRPr="00750E98">
        <w:rPr>
          <w:rFonts w:ascii="Times New Roman" w:hAnsi="Times New Roman" w:cs="Times New Roman"/>
          <w:b/>
          <w:noProof/>
        </w:rPr>
        <w:t>database with information on applicable laws and legal obligations</w:t>
      </w:r>
      <w:r w:rsidRPr="00750E98">
        <w:rPr>
          <w:rFonts w:ascii="Times New Roman" w:hAnsi="Times New Roman" w:cs="Times New Roman"/>
          <w:noProof/>
        </w:rPr>
        <w:t xml:space="preserve"> applicable to chemicals under Union legislation to promote compliance will be formalised. This work will impact ECHA but will not require additional resources under this proposal. ECHA already operates EU chemical legislative finder (EUCLEF) as part of the contribution agreement with DG GROW. The contribution agreement amounts to ca. EUR 1.0 – 1.4 million annually. ECHA runs the service through the employment of 4 interim staff members (ca. EUR 270 000/year) and via contractors: communication activities and external helpdesk ca. EUR 60 000/year, IT costs EUR 200 000/year, data costs EUR 430 000/year. These existing resources will be used to continue operating, further developing and slightly expanding the system. The resources for major extension of the system, such as the repository of reference values, are provided under the work on repository of reference values. Although no resources are required under this proposal, the legislative proposal for a regulation on ECHA should address the fact that the operation of the EUCLEF became a structural task for ECHA and that the financing should be</w:t>
      </w:r>
      <w:r>
        <w:rPr>
          <w:rFonts w:ascii="Times New Roman" w:hAnsi="Times New Roman" w:cs="Times New Roman"/>
          <w:noProof/>
        </w:rPr>
        <w:t>come</w:t>
      </w:r>
      <w:r w:rsidRPr="00750E98">
        <w:rPr>
          <w:rFonts w:ascii="Times New Roman" w:hAnsi="Times New Roman" w:cs="Times New Roman"/>
          <w:noProof/>
        </w:rPr>
        <w:t xml:space="preserve"> part of the annual contribution to ECHA.</w:t>
      </w:r>
    </w:p>
    <w:p w14:paraId="13269DD8" w14:textId="77777777" w:rsidR="000A7D9D" w:rsidRDefault="000A7D9D" w:rsidP="000A7D9D">
      <w:pPr>
        <w:jc w:val="both"/>
        <w:rPr>
          <w:rFonts w:ascii="Times New Roman" w:hAnsi="Times New Roman" w:cs="Times New Roman"/>
          <w:noProof/>
        </w:rPr>
      </w:pPr>
      <w:r w:rsidRPr="006D6CC9">
        <w:rPr>
          <w:rFonts w:ascii="Times New Roman" w:hAnsi="Times New Roman" w:cs="Times New Roman"/>
          <w:noProof/>
        </w:rPr>
        <w:t xml:space="preserve">Database on </w:t>
      </w:r>
      <w:r w:rsidRPr="006D6CC9">
        <w:rPr>
          <w:rFonts w:ascii="Times New Roman" w:hAnsi="Times New Roman" w:cs="Times New Roman"/>
          <w:b/>
          <w:noProof/>
        </w:rPr>
        <w:t>environmental sustainability related data</w:t>
      </w:r>
      <w:r w:rsidRPr="006D6CC9">
        <w:rPr>
          <w:rFonts w:ascii="Times New Roman" w:hAnsi="Times New Roman" w:cs="Times New Roman"/>
          <w:noProof/>
        </w:rPr>
        <w:t xml:space="preserve"> </w:t>
      </w:r>
      <w:r w:rsidRPr="006D6CC9">
        <w:rPr>
          <w:rFonts w:ascii="Times New Roman" w:hAnsi="Times New Roman" w:cs="Times New Roman"/>
          <w:b/>
          <w:noProof/>
        </w:rPr>
        <w:t xml:space="preserve">on chemicals </w:t>
      </w:r>
      <w:r w:rsidRPr="006D6CC9">
        <w:rPr>
          <w:rFonts w:ascii="Times New Roman" w:hAnsi="Times New Roman" w:cs="Times New Roman"/>
          <w:noProof/>
        </w:rPr>
        <w:t>will be established.</w:t>
      </w:r>
      <w:r w:rsidRPr="006D6CC9">
        <w:rPr>
          <w:rFonts w:ascii="Times New Roman" w:hAnsi="Times New Roman" w:cs="Times New Roman"/>
          <w:b/>
          <w:noProof/>
        </w:rPr>
        <w:t xml:space="preserve"> </w:t>
      </w:r>
      <w:r w:rsidRPr="006D6CC9">
        <w:rPr>
          <w:rFonts w:ascii="Times New Roman" w:hAnsi="Times New Roman" w:cs="Times New Roman"/>
          <w:noProof/>
        </w:rPr>
        <w:t>The work will impact ECHA.</w:t>
      </w:r>
      <w:r w:rsidRPr="006D6CC9">
        <w:rPr>
          <w:rFonts w:ascii="Times New Roman" w:hAnsi="Times New Roman" w:cs="Times New Roman"/>
          <w:b/>
          <w:noProof/>
        </w:rPr>
        <w:t xml:space="preserve"> </w:t>
      </w:r>
      <w:r w:rsidRPr="006D6CC9">
        <w:rPr>
          <w:rFonts w:ascii="Times New Roman" w:hAnsi="Times New Roman" w:cs="Times New Roman"/>
          <w:noProof/>
        </w:rPr>
        <w:t xml:space="preserve">ECHA will be required to set up the database, operate it, establish and maintain the flows of adequate data into the database and provide interpretation of data. Other agencies (EEA, EFSA, EMA and EU-OSHA), if they host environmental sustainable data on chemicals, will provide that data to ECHA. To perform the work, ECHA will need as of the second year 1 FTE (1 TA) per year and operational budget of EUR 0 per year. Other agencies will not need additional resources as their task is small, currently do not hold any relevant data and the potential work can be absorbed by the agencies’ current resources. </w:t>
      </w:r>
    </w:p>
    <w:p w14:paraId="4B8218EC" w14:textId="77777777" w:rsidR="000A7D9D" w:rsidRDefault="000A7D9D" w:rsidP="000A7D9D">
      <w:pPr>
        <w:jc w:val="both"/>
        <w:rPr>
          <w:rFonts w:ascii="Times New Roman" w:hAnsi="Times New Roman" w:cs="Times New Roman"/>
          <w:noProof/>
        </w:rPr>
      </w:pPr>
      <w:r w:rsidRPr="006D6CC9">
        <w:rPr>
          <w:rFonts w:ascii="Times New Roman" w:hAnsi="Times New Roman" w:cs="Times New Roman"/>
          <w:b/>
          <w:noProof/>
        </w:rPr>
        <w:t>Data generation mechanism</w:t>
      </w:r>
      <w:r w:rsidRPr="006D6CC9">
        <w:rPr>
          <w:rFonts w:ascii="Times New Roman" w:hAnsi="Times New Roman" w:cs="Times New Roman"/>
          <w:noProof/>
        </w:rPr>
        <w:t xml:space="preserve"> will be established to allow ECHA and the Commission to commission studies supporting the implementation of Union chemicals legislation within ECHA’s mandate or contributing to the development of Union chemicals policy. The studies can be commissioned only when results cannot be obtained through existing legal provisions and they shall not have predominant research and development objective. The mechanism will allow ECHA and the Commission to generate data where needed and cannot be obtained otherwise. ECHA’s involvement is necessary as commissioning of such studies requires technical expertise. To perform the work, ECHA will require in the first year 1 FTE (1 TA) and operational budget of EUR 0, in the second year 2 FTEs (1 TA and 1 CA) and operational budget of EUR 1 000 000, in the third year 2 FTEs (1 TA and 1 CA) and operational budget of EUR 3 000 000 and as of the fourth year 2 FTEs (1 TA and 1 CA) per year and operational budget of EUR 5 000 000 per year. No current process exists, but there is a complementary process operated by EFSA for the food sector (4 FTEs/year, EUR 15 000 000/year). This will continue to be operated next to the new one and the two Agencies (ECHA and EFSA) are required to cooperate when commissioning such studies and develop a joint plan. </w:t>
      </w:r>
    </w:p>
    <w:p w14:paraId="5902EB14" w14:textId="77777777" w:rsidR="000A7D9D" w:rsidRDefault="000A7D9D" w:rsidP="000A7D9D">
      <w:pPr>
        <w:jc w:val="both"/>
        <w:rPr>
          <w:rFonts w:ascii="Times New Roman" w:hAnsi="Times New Roman" w:cs="Times New Roman"/>
          <w:noProof/>
        </w:rPr>
      </w:pPr>
      <w:r w:rsidRPr="006D6CC9">
        <w:rPr>
          <w:rFonts w:ascii="Times New Roman" w:hAnsi="Times New Roman" w:cs="Times New Roman"/>
          <w:noProof/>
        </w:rPr>
        <w:t xml:space="preserve">The </w:t>
      </w:r>
      <w:r w:rsidRPr="006D6CC9">
        <w:rPr>
          <w:rFonts w:ascii="Times New Roman" w:hAnsi="Times New Roman" w:cs="Times New Roman"/>
          <w:b/>
          <w:noProof/>
        </w:rPr>
        <w:t>obligation to notify studies</w:t>
      </w:r>
      <w:r w:rsidRPr="006D6CC9">
        <w:rPr>
          <w:rFonts w:ascii="Times New Roman" w:hAnsi="Times New Roman" w:cs="Times New Roman"/>
          <w:noProof/>
        </w:rPr>
        <w:t xml:space="preserve"> before they start will be expanded from food sector to all chemical sector. The work will require additional resource for ECHA. ECHA will need as of the first year 3 FTEs (1 TA and 2 CAs) per year and operational budget in the first year of EUR 0, in the second year EUR 1 200 000, in the third year EUR 400 000 and as of the fourth year EUR 200 000 per year. ECHA will be required to develop the database, operate it, facilitate and check compliance with the provisions and provide feedback to the duty holders. EFSA already operates a database of notification of studies to serve the obligation under the food sector legislation. The resource use amounts to 2 FTEs/year and EUR 400 000/year. EFSA and ECHA will be required to ensure compatibility of the systems. No additional resources are needed for this for EFSA. </w:t>
      </w:r>
    </w:p>
    <w:p w14:paraId="600133D5" w14:textId="77777777" w:rsidR="000A7D9D" w:rsidRDefault="000A7D9D" w:rsidP="000A7D9D">
      <w:pPr>
        <w:jc w:val="both"/>
        <w:rPr>
          <w:rFonts w:ascii="Times New Roman" w:hAnsi="Times New Roman" w:cs="Times New Roman"/>
          <w:noProof/>
        </w:rPr>
      </w:pPr>
      <w:r w:rsidRPr="00D346F5">
        <w:rPr>
          <w:rFonts w:ascii="Times New Roman" w:hAnsi="Times New Roman" w:cs="Times New Roman"/>
          <w:noProof/>
        </w:rPr>
        <w:t>The operation of the</w:t>
      </w:r>
      <w:r w:rsidRPr="00D346F5">
        <w:rPr>
          <w:rFonts w:ascii="Times New Roman" w:hAnsi="Times New Roman" w:cs="Times New Roman"/>
          <w:b/>
          <w:noProof/>
        </w:rPr>
        <w:t xml:space="preserve"> indicators framework for chemicals </w:t>
      </w:r>
      <w:r w:rsidRPr="00D346F5">
        <w:rPr>
          <w:rFonts w:ascii="Times New Roman" w:hAnsi="Times New Roman" w:cs="Times New Roman"/>
          <w:noProof/>
        </w:rPr>
        <w:t>will be formalised</w:t>
      </w:r>
      <w:r w:rsidRPr="00D346F5">
        <w:rPr>
          <w:rFonts w:ascii="Times New Roman" w:hAnsi="Times New Roman" w:cs="Times New Roman"/>
          <w:b/>
          <w:noProof/>
        </w:rPr>
        <w:t xml:space="preserve"> </w:t>
      </w:r>
      <w:r w:rsidRPr="00D346F5">
        <w:rPr>
          <w:rFonts w:ascii="Times New Roman" w:hAnsi="Times New Roman" w:cs="Times New Roman"/>
          <w:noProof/>
        </w:rPr>
        <w:t>and an</w:t>
      </w:r>
      <w:r w:rsidRPr="00D346F5">
        <w:rPr>
          <w:rFonts w:ascii="Times New Roman" w:hAnsi="Times New Roman" w:cs="Times New Roman"/>
          <w:b/>
          <w:noProof/>
        </w:rPr>
        <w:t xml:space="preserve"> early warning and action system for chemicals </w:t>
      </w:r>
      <w:r w:rsidRPr="00D346F5">
        <w:rPr>
          <w:rFonts w:ascii="Times New Roman" w:hAnsi="Times New Roman" w:cs="Times New Roman"/>
          <w:noProof/>
        </w:rPr>
        <w:t>will be establi</w:t>
      </w:r>
      <w:r>
        <w:rPr>
          <w:rFonts w:ascii="Times New Roman" w:hAnsi="Times New Roman" w:cs="Times New Roman"/>
          <w:noProof/>
        </w:rPr>
        <w:t>s</w:t>
      </w:r>
      <w:r w:rsidRPr="00D346F5">
        <w:rPr>
          <w:rFonts w:ascii="Times New Roman" w:hAnsi="Times New Roman" w:cs="Times New Roman"/>
          <w:noProof/>
        </w:rPr>
        <w:t>hed</w:t>
      </w:r>
      <w:r w:rsidRPr="00D346F5">
        <w:rPr>
          <w:rFonts w:ascii="Times New Roman" w:hAnsi="Times New Roman" w:cs="Times New Roman"/>
          <w:b/>
          <w:noProof/>
        </w:rPr>
        <w:t xml:space="preserve">. </w:t>
      </w:r>
      <w:r w:rsidRPr="00D346F5">
        <w:rPr>
          <w:rFonts w:ascii="Times New Roman" w:hAnsi="Times New Roman" w:cs="Times New Roman"/>
          <w:noProof/>
        </w:rPr>
        <w:t>The work will require additional resources for EEA. EEA will need as of the first year 1 FTE (1 TA) per year and operational budget for the first year of EUR 0, for the second year EUR 300 000 and as of the third year EUR 150 000 per year.</w:t>
      </w:r>
      <w:r w:rsidRPr="00D346F5">
        <w:rPr>
          <w:rFonts w:ascii="Times New Roman" w:hAnsi="Times New Roman" w:cs="Times New Roman"/>
          <w:b/>
          <w:noProof/>
        </w:rPr>
        <w:t xml:space="preserve"> </w:t>
      </w:r>
      <w:r w:rsidRPr="00D346F5">
        <w:rPr>
          <w:rFonts w:ascii="Times New Roman" w:hAnsi="Times New Roman" w:cs="Times New Roman"/>
          <w:noProof/>
        </w:rPr>
        <w:t>EEA and ECHA already jointly develop the indicators framework for chemicals as part of the commitment under the 8</w:t>
      </w:r>
      <w:r w:rsidRPr="00D346F5">
        <w:rPr>
          <w:rFonts w:ascii="Times New Roman" w:hAnsi="Times New Roman" w:cs="Times New Roman"/>
          <w:noProof/>
          <w:vertAlign w:val="superscript"/>
        </w:rPr>
        <w:t>th</w:t>
      </w:r>
      <w:r w:rsidRPr="00D346F5">
        <w:rPr>
          <w:rFonts w:ascii="Times New Roman" w:hAnsi="Times New Roman" w:cs="Times New Roman"/>
          <w:noProof/>
        </w:rPr>
        <w:t xml:space="preserve"> Environment Action Programme. As the resources for indicator framework (2 FTEs per year for ECHA, 1 FTE per year for EEA) were already attribution as part of the 8</w:t>
      </w:r>
      <w:r w:rsidRPr="00D346F5">
        <w:rPr>
          <w:rFonts w:ascii="Times New Roman" w:hAnsi="Times New Roman" w:cs="Times New Roman"/>
          <w:noProof/>
          <w:vertAlign w:val="superscript"/>
        </w:rPr>
        <w:t>th</w:t>
      </w:r>
      <w:r w:rsidRPr="00D346F5">
        <w:rPr>
          <w:rFonts w:ascii="Times New Roman" w:hAnsi="Times New Roman" w:cs="Times New Roman"/>
          <w:noProof/>
        </w:rPr>
        <w:t xml:space="preserve"> EAP, no additional resources are needed for this work. The establishment of the early warning and action system is a new, non-existing task that aims to significantly shorten the regulatory response to identified risks. The EEA will be tasked to collect early warning signals from other agencies, Member State and by its own activity and compile annually a report for discussion and decision on the follow up with Member States authorities. Other contributing agencies (ECHA, EFSA, EMA and EU-OSHA) will absorb the costs as part of exiting activities. In case of ECHA, the resources attributed for the indicator framework will be partly used to support the EEA by generating relevant early warning signals.</w:t>
      </w:r>
    </w:p>
    <w:p w14:paraId="292E5CDB" w14:textId="77777777" w:rsidR="000A7D9D" w:rsidRPr="00D346F5" w:rsidRDefault="000A7D9D" w:rsidP="000A7D9D">
      <w:pPr>
        <w:jc w:val="both"/>
        <w:rPr>
          <w:rFonts w:ascii="Times New Roman" w:hAnsi="Times New Roman" w:cs="Times New Roman"/>
          <w:noProof/>
        </w:rPr>
      </w:pPr>
      <w:r w:rsidRPr="00D346F5">
        <w:rPr>
          <w:rFonts w:ascii="Times New Roman" w:eastAsia="Times New Roman" w:hAnsi="Times New Roman" w:cs="Times New Roman"/>
          <w:b/>
          <w:bCs/>
          <w:noProof/>
          <w:color w:val="000000" w:themeColor="text1"/>
        </w:rPr>
        <w:t xml:space="preserve">Observatory for specific chemicals with potential contribution to emerging chemical risks </w:t>
      </w:r>
      <w:r w:rsidRPr="00D346F5">
        <w:rPr>
          <w:rFonts w:ascii="Times New Roman" w:eastAsia="Times New Roman" w:hAnsi="Times New Roman" w:cs="Times New Roman"/>
          <w:bCs/>
          <w:noProof/>
          <w:color w:val="000000" w:themeColor="text1"/>
        </w:rPr>
        <w:t>will be established</w:t>
      </w:r>
      <w:r w:rsidRPr="00D346F5">
        <w:rPr>
          <w:rFonts w:ascii="Times New Roman" w:hAnsi="Times New Roman" w:cs="Times New Roman"/>
          <w:b/>
          <w:bCs/>
          <w:noProof/>
        </w:rPr>
        <w:t xml:space="preserve">. </w:t>
      </w:r>
      <w:r w:rsidRPr="00D346F5">
        <w:rPr>
          <w:rFonts w:ascii="Times New Roman" w:hAnsi="Times New Roman" w:cs="Times New Roman"/>
          <w:noProof/>
        </w:rPr>
        <w:t xml:space="preserve">This will de facto formalise the operation of existing EU Observatory for nanomaterials and extend its scope to </w:t>
      </w:r>
      <w:r w:rsidRPr="00D346F5">
        <w:rPr>
          <w:rFonts w:ascii="Times New Roman" w:eastAsiaTheme="minorEastAsia" w:hAnsi="Times New Roman" w:cs="Times New Roman"/>
          <w:noProof/>
          <w:color w:val="000000" w:themeColor="text1"/>
        </w:rPr>
        <w:t>specific chemicals considered to benefit from additional scrutiny and reliable information on their properties, safety aspects, uses and market presence</w:t>
      </w:r>
      <w:r w:rsidRPr="00D346F5">
        <w:rPr>
          <w:rFonts w:ascii="Times New Roman" w:hAnsi="Times New Roman" w:cs="Times New Roman"/>
          <w:noProof/>
        </w:rPr>
        <w:t>. This work will impact ECHA but will not require additional resources under this proposal. ECHA operates the EU Observatory for nanomaterials as part of a contribution agreement with DG GROW. The resource use amounts to approximately EUR 700 000 per year including the 3 FTEs (3 CA). These existing resources will be used to continue operating, further developing and slightly expanding the system. The legislative proposal in preparation for a regulation on ECHA should address the fact that the operation of the EUCLEF became a structural task for ECHA and that the financing should become part of the annual contribution to ECHA.</w:t>
      </w:r>
    </w:p>
    <w:p w14:paraId="72ACF54D"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Impact on committees of Agencies</w:t>
      </w:r>
    </w:p>
    <w:p w14:paraId="704B9091" w14:textId="77777777" w:rsidR="000A7D9D" w:rsidRDefault="000A7D9D" w:rsidP="000A7D9D">
      <w:pPr>
        <w:jc w:val="both"/>
        <w:rPr>
          <w:rFonts w:ascii="Times New Roman" w:hAnsi="Times New Roman" w:cs="Times New Roman"/>
          <w:noProof/>
        </w:rPr>
      </w:pPr>
      <w:r w:rsidRPr="2D69C30E">
        <w:rPr>
          <w:rFonts w:ascii="Times New Roman" w:hAnsi="Times New Roman" w:cs="Times New Roman"/>
          <w:noProof/>
        </w:rPr>
        <w:t xml:space="preserve">There is no or a low impact of this proposal on committees of ECHA, EFSA and EMA and on the network of EEA. The rapporteurs of ECHA, EFSA and EMA committees that derive reference values will have to record the reference values and associated metadata into the repository of reference values or structure this information in the opinion to enable automatic extraction of that information to the repository. In addition, ECHA committees might be required to provide their suggestions for testing and monitoring of substances. The network of EEA will be required to assist in the collection of human biomonitoring data and early warning signals from </w:t>
      </w:r>
      <w:r>
        <w:rPr>
          <w:rFonts w:ascii="Times New Roman" w:hAnsi="Times New Roman" w:cs="Times New Roman"/>
          <w:noProof/>
        </w:rPr>
        <w:t>m</w:t>
      </w:r>
      <w:r w:rsidRPr="2D69C30E">
        <w:rPr>
          <w:rFonts w:ascii="Times New Roman" w:hAnsi="Times New Roman" w:cs="Times New Roman"/>
          <w:noProof/>
        </w:rPr>
        <w:t xml:space="preserve">ember </w:t>
      </w:r>
      <w:r>
        <w:rPr>
          <w:rFonts w:ascii="Times New Roman" w:hAnsi="Times New Roman" w:cs="Times New Roman"/>
          <w:noProof/>
        </w:rPr>
        <w:t xml:space="preserve">countries </w:t>
      </w:r>
      <w:r w:rsidRPr="2D69C30E">
        <w:rPr>
          <w:rFonts w:ascii="Times New Roman" w:hAnsi="Times New Roman" w:cs="Times New Roman"/>
          <w:noProof/>
        </w:rPr>
        <w:t>activities.</w:t>
      </w:r>
      <w:r>
        <w:rPr>
          <w:rFonts w:ascii="Times New Roman" w:hAnsi="Times New Roman" w:cs="Times New Roman"/>
          <w:noProof/>
        </w:rPr>
        <w:t xml:space="preserve"> There is no impact of this proposal on advisory groups of EU-OSHA. </w:t>
      </w:r>
    </w:p>
    <w:p w14:paraId="1DF605C9" w14:textId="77777777" w:rsidR="000A7D9D" w:rsidRPr="00CB3F79" w:rsidRDefault="000A7D9D" w:rsidP="000A7D9D">
      <w:pPr>
        <w:pStyle w:val="Heading1"/>
        <w:keepLines w:val="0"/>
        <w:widowControl/>
        <w:numPr>
          <w:ilvl w:val="0"/>
          <w:numId w:val="7"/>
        </w:numPr>
        <w:tabs>
          <w:tab w:val="num" w:pos="480"/>
        </w:tabs>
        <w:snapToGrid/>
        <w:spacing w:before="240"/>
        <w:ind w:left="480" w:hanging="480"/>
        <w:jc w:val="both"/>
        <w:rPr>
          <w:rFonts w:ascii="Times New Roman" w:hAnsi="Times New Roman"/>
          <w:smallCaps/>
          <w:noProof/>
          <w:color w:val="auto"/>
          <w:sz w:val="24"/>
          <w:szCs w:val="20"/>
          <w:lang w:eastAsia="en-US"/>
        </w:rPr>
      </w:pPr>
      <w:bookmarkStart w:id="13" w:name="_Toc150499899"/>
      <w:r w:rsidRPr="00CB3F79">
        <w:rPr>
          <w:rFonts w:ascii="Times New Roman" w:hAnsi="Times New Roman"/>
          <w:smallCaps/>
          <w:noProof/>
          <w:color w:val="auto"/>
          <w:sz w:val="24"/>
          <w:szCs w:val="20"/>
          <w:lang w:eastAsia="en-US"/>
        </w:rPr>
        <w:t>Overall impacts from all (re-)attributions</w:t>
      </w:r>
      <w:bookmarkEnd w:id="13"/>
      <w:r w:rsidRPr="00CB3F79">
        <w:rPr>
          <w:rFonts w:ascii="Times New Roman" w:hAnsi="Times New Roman"/>
          <w:smallCaps/>
          <w:noProof/>
          <w:color w:val="auto"/>
          <w:sz w:val="24"/>
          <w:szCs w:val="20"/>
          <w:lang w:eastAsia="en-US"/>
        </w:rPr>
        <w:t xml:space="preserve"> </w:t>
      </w:r>
    </w:p>
    <w:p w14:paraId="0248B449" w14:textId="77777777" w:rsidR="000A7D9D" w:rsidRPr="00CB3F79" w:rsidRDefault="000A7D9D" w:rsidP="000A7D9D">
      <w:pPr>
        <w:pStyle w:val="Heading2"/>
        <w:keepLines w:val="0"/>
        <w:numPr>
          <w:ilvl w:val="1"/>
          <w:numId w:val="7"/>
        </w:numPr>
        <w:tabs>
          <w:tab w:val="num" w:pos="1200"/>
        </w:tabs>
        <w:spacing w:before="0" w:after="240"/>
        <w:ind w:left="1200" w:hanging="720"/>
        <w:jc w:val="both"/>
        <w:rPr>
          <w:rFonts w:ascii="Times New Roman" w:eastAsia="Times New Roman" w:hAnsi="Times New Roman" w:cs="Times New Roman"/>
          <w:b/>
          <w:noProof/>
          <w:color w:val="auto"/>
          <w:sz w:val="24"/>
          <w:szCs w:val="20"/>
        </w:rPr>
      </w:pPr>
      <w:bookmarkStart w:id="14" w:name="_Toc150499900"/>
      <w:r w:rsidRPr="00CB3F79">
        <w:rPr>
          <w:rFonts w:ascii="Times New Roman" w:eastAsia="Times New Roman" w:hAnsi="Times New Roman" w:cs="Times New Roman"/>
          <w:b/>
          <w:noProof/>
          <w:color w:val="auto"/>
          <w:sz w:val="24"/>
          <w:szCs w:val="20"/>
        </w:rPr>
        <w:t>Added value and synergies of the (re-)attributions</w:t>
      </w:r>
      <w:bookmarkEnd w:id="14"/>
      <w:r w:rsidRPr="00CB3F79">
        <w:rPr>
          <w:rFonts w:ascii="Times New Roman" w:eastAsia="Times New Roman" w:hAnsi="Times New Roman" w:cs="Times New Roman"/>
          <w:b/>
          <w:noProof/>
          <w:color w:val="auto"/>
          <w:sz w:val="24"/>
          <w:szCs w:val="20"/>
        </w:rPr>
        <w:t xml:space="preserve"> </w:t>
      </w:r>
    </w:p>
    <w:p w14:paraId="3A38F3D7"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Added value</w:t>
      </w:r>
    </w:p>
    <w:p w14:paraId="35EF561A"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consolidation of scientific and technical work in the EU agencies provides for several benefits: </w:t>
      </w:r>
    </w:p>
    <w:p w14:paraId="39C6E981" w14:textId="77777777" w:rsidR="000A7D9D" w:rsidRPr="00EC1412" w:rsidRDefault="000A7D9D" w:rsidP="000A7D9D">
      <w:pPr>
        <w:pStyle w:val="ListParagraph"/>
        <w:numPr>
          <w:ilvl w:val="0"/>
          <w:numId w:val="22"/>
        </w:numPr>
        <w:spacing w:after="120" w:line="259" w:lineRule="auto"/>
        <w:ind w:left="425" w:hanging="357"/>
        <w:contextualSpacing w:val="0"/>
        <w:jc w:val="both"/>
        <w:rPr>
          <w:noProof/>
          <w:sz w:val="22"/>
          <w:szCs w:val="22"/>
        </w:rPr>
      </w:pPr>
      <w:r w:rsidRPr="00EC1412">
        <w:rPr>
          <w:bCs/>
          <w:noProof/>
          <w:sz w:val="22"/>
          <w:szCs w:val="22"/>
        </w:rPr>
        <w:t>Scientific consistency and coherence</w:t>
      </w:r>
      <w:r w:rsidRPr="00EC1412">
        <w:rPr>
          <w:bCs/>
          <w:i/>
          <w:noProof/>
          <w:sz w:val="22"/>
          <w:szCs w:val="22"/>
        </w:rPr>
        <w:t xml:space="preserve"> - </w:t>
      </w:r>
      <w:r w:rsidRPr="00EC1412">
        <w:rPr>
          <w:noProof/>
          <w:sz w:val="22"/>
          <w:szCs w:val="22"/>
        </w:rPr>
        <w:t xml:space="preserve">Less actors involved in the scientific and technical work, centralising the work in the Agencies and requiring the Agencies to cooperate and solve possible divergent opinions leads to improved coherence and scientific consistency among the legislative pieces and among the assessments. The consolidation of work allows to better align priority setting, timelines, processes and methodologies used for the assessments. It facilitates reuse of assessment insights developed under one piece of chemical legislation in the assessment under another piece of legislation. It also facilitates the reuse of data collected under one piece of chemical legislation in the assessment under another piece of legislation. It contributes to alignment of data formats, IT solutions, data storing practices and thus contribute to improved interoperability of data. </w:t>
      </w:r>
    </w:p>
    <w:p w14:paraId="1EF8CD56" w14:textId="77777777" w:rsidR="000A7D9D" w:rsidRPr="00EC1412" w:rsidRDefault="000A7D9D" w:rsidP="000A7D9D">
      <w:pPr>
        <w:pStyle w:val="ListParagraph"/>
        <w:numPr>
          <w:ilvl w:val="0"/>
          <w:numId w:val="22"/>
        </w:numPr>
        <w:spacing w:after="120" w:line="259" w:lineRule="auto"/>
        <w:ind w:left="425" w:hanging="357"/>
        <w:contextualSpacing w:val="0"/>
        <w:jc w:val="both"/>
        <w:rPr>
          <w:noProof/>
          <w:sz w:val="22"/>
          <w:szCs w:val="22"/>
        </w:rPr>
      </w:pPr>
      <w:r w:rsidRPr="2D69C30E">
        <w:rPr>
          <w:noProof/>
          <w:sz w:val="22"/>
          <w:szCs w:val="22"/>
        </w:rPr>
        <w:t>Robustness of assessment and acceptance</w:t>
      </w:r>
      <w:r w:rsidRPr="2D69C30E">
        <w:rPr>
          <w:i/>
          <w:iCs/>
          <w:noProof/>
          <w:sz w:val="22"/>
          <w:szCs w:val="22"/>
        </w:rPr>
        <w:t xml:space="preserve"> - </w:t>
      </w:r>
      <w:r w:rsidRPr="2D69C30E">
        <w:rPr>
          <w:noProof/>
          <w:sz w:val="22"/>
          <w:szCs w:val="22"/>
        </w:rPr>
        <w:t xml:space="preserve">Involvement of the EU agencies and their committees in the scientific and technical work on chemicals adds more scientific expertise, ensures high quality of scientific advice and leads to improved robustness of assessments and thus their acceptance. Centralising data on chemicals in the EU Agencies will increase the knowledgebase and improve the robustness of the scientific advice provided. Re-use of (same) data will further facilitate acceptance of conclusions. </w:t>
      </w:r>
    </w:p>
    <w:p w14:paraId="49EA1D0E" w14:textId="77777777" w:rsidR="000A7D9D" w:rsidRPr="00EC1412" w:rsidRDefault="000A7D9D" w:rsidP="000A7D9D">
      <w:pPr>
        <w:pStyle w:val="ListParagraph"/>
        <w:numPr>
          <w:ilvl w:val="0"/>
          <w:numId w:val="22"/>
        </w:numPr>
        <w:spacing w:after="120" w:line="259" w:lineRule="auto"/>
        <w:ind w:left="425" w:hanging="357"/>
        <w:contextualSpacing w:val="0"/>
        <w:jc w:val="both"/>
        <w:rPr>
          <w:noProof/>
          <w:sz w:val="22"/>
          <w:szCs w:val="22"/>
        </w:rPr>
      </w:pPr>
      <w:r w:rsidRPr="2D69C30E">
        <w:rPr>
          <w:noProof/>
          <w:sz w:val="22"/>
          <w:szCs w:val="22"/>
        </w:rPr>
        <w:t>Independence -</w:t>
      </w:r>
      <w:r w:rsidRPr="2D69C30E">
        <w:rPr>
          <w:i/>
          <w:iCs/>
          <w:noProof/>
          <w:sz w:val="22"/>
          <w:szCs w:val="22"/>
        </w:rPr>
        <w:t xml:space="preserve"> </w:t>
      </w:r>
      <w:r w:rsidRPr="2D69C30E">
        <w:rPr>
          <w:noProof/>
          <w:sz w:val="22"/>
          <w:szCs w:val="22"/>
        </w:rPr>
        <w:t>Moving scientific and technical work on chemicals from Commission services, ad hoc committees or consultants to EU agencies and their committees reinforces the separation between science and policy or between risk assessment and management. Agencies and their committees work under stricter conflict of interest avoidance rules, improving guarantees of independent scientific advice to the Commission.</w:t>
      </w:r>
    </w:p>
    <w:p w14:paraId="3569807F" w14:textId="77777777" w:rsidR="000A7D9D" w:rsidRPr="00EC1412" w:rsidRDefault="000A7D9D" w:rsidP="000A7D9D">
      <w:pPr>
        <w:pStyle w:val="ListParagraph"/>
        <w:numPr>
          <w:ilvl w:val="0"/>
          <w:numId w:val="22"/>
        </w:numPr>
        <w:spacing w:before="120" w:line="259" w:lineRule="auto"/>
        <w:ind w:left="426"/>
        <w:jc w:val="both"/>
        <w:rPr>
          <w:noProof/>
          <w:sz w:val="22"/>
          <w:szCs w:val="22"/>
        </w:rPr>
      </w:pPr>
      <w:r w:rsidRPr="2D69C30E">
        <w:rPr>
          <w:noProof/>
          <w:sz w:val="22"/>
          <w:szCs w:val="22"/>
        </w:rPr>
        <w:t>Transparency -</w:t>
      </w:r>
      <w:r w:rsidRPr="2D69C30E">
        <w:rPr>
          <w:i/>
          <w:iCs/>
          <w:noProof/>
          <w:sz w:val="22"/>
          <w:szCs w:val="22"/>
        </w:rPr>
        <w:t xml:space="preserve"> </w:t>
      </w:r>
      <w:r w:rsidRPr="2D69C30E">
        <w:rPr>
          <w:noProof/>
          <w:sz w:val="22"/>
          <w:szCs w:val="22"/>
        </w:rPr>
        <w:t xml:space="preserve">Involvement of the EU agencies in scientific and technical work will ensure transparency to the process in terms of </w:t>
      </w:r>
    </w:p>
    <w:p w14:paraId="2B735CE2" w14:textId="77777777" w:rsidR="000A7D9D" w:rsidRPr="00EC1412" w:rsidRDefault="000A7D9D" w:rsidP="000A7D9D">
      <w:pPr>
        <w:pStyle w:val="ListParagraph"/>
        <w:numPr>
          <w:ilvl w:val="0"/>
          <w:numId w:val="21"/>
        </w:numPr>
        <w:spacing w:before="120" w:line="259" w:lineRule="auto"/>
        <w:ind w:left="993" w:hanging="219"/>
        <w:jc w:val="both"/>
        <w:rPr>
          <w:noProof/>
          <w:sz w:val="22"/>
          <w:szCs w:val="22"/>
        </w:rPr>
      </w:pPr>
      <w:r w:rsidRPr="00EC1412">
        <w:rPr>
          <w:noProof/>
          <w:sz w:val="22"/>
          <w:szCs w:val="22"/>
        </w:rPr>
        <w:t>overall process transparency;</w:t>
      </w:r>
    </w:p>
    <w:p w14:paraId="03BF0E4A" w14:textId="77777777" w:rsidR="000A7D9D" w:rsidRPr="00EC1412" w:rsidRDefault="000A7D9D" w:rsidP="000A7D9D">
      <w:pPr>
        <w:widowControl w:val="0"/>
        <w:numPr>
          <w:ilvl w:val="0"/>
          <w:numId w:val="21"/>
        </w:numPr>
        <w:snapToGrid w:val="0"/>
        <w:spacing w:after="0"/>
        <w:ind w:left="993" w:hanging="219"/>
        <w:jc w:val="both"/>
        <w:rPr>
          <w:rFonts w:ascii="Times New Roman" w:hAnsi="Times New Roman" w:cs="Times New Roman"/>
          <w:noProof/>
        </w:rPr>
      </w:pPr>
      <w:r w:rsidRPr="00EC1412">
        <w:rPr>
          <w:rFonts w:ascii="Times New Roman" w:hAnsi="Times New Roman" w:cs="Times New Roman"/>
          <w:noProof/>
        </w:rPr>
        <w:t>publication of regulatory intentions of EU authorities and application submission intentions improves predictability for all stakeholders;</w:t>
      </w:r>
    </w:p>
    <w:p w14:paraId="5393EB99" w14:textId="77777777" w:rsidR="000A7D9D" w:rsidRPr="00EC1412" w:rsidRDefault="000A7D9D" w:rsidP="000A7D9D">
      <w:pPr>
        <w:widowControl w:val="0"/>
        <w:numPr>
          <w:ilvl w:val="0"/>
          <w:numId w:val="21"/>
        </w:numPr>
        <w:snapToGrid w:val="0"/>
        <w:spacing w:after="0"/>
        <w:ind w:left="993" w:hanging="219"/>
        <w:jc w:val="both"/>
        <w:rPr>
          <w:rFonts w:ascii="Times New Roman" w:hAnsi="Times New Roman" w:cs="Times New Roman"/>
          <w:noProof/>
        </w:rPr>
      </w:pPr>
      <w:r w:rsidRPr="00EC1412">
        <w:rPr>
          <w:rFonts w:ascii="Times New Roman" w:hAnsi="Times New Roman" w:cs="Times New Roman"/>
          <w:noProof/>
        </w:rPr>
        <w:t>public consultation/call for evidence;</w:t>
      </w:r>
    </w:p>
    <w:p w14:paraId="6CC227B1" w14:textId="77777777" w:rsidR="000A7D9D" w:rsidRPr="00EC1412" w:rsidRDefault="000A7D9D" w:rsidP="000A7D9D">
      <w:pPr>
        <w:widowControl w:val="0"/>
        <w:numPr>
          <w:ilvl w:val="0"/>
          <w:numId w:val="21"/>
        </w:numPr>
        <w:snapToGrid w:val="0"/>
        <w:spacing w:after="0"/>
        <w:ind w:left="993" w:hanging="219"/>
        <w:jc w:val="both"/>
        <w:rPr>
          <w:rFonts w:ascii="Times New Roman" w:hAnsi="Times New Roman" w:cs="Times New Roman"/>
          <w:noProof/>
        </w:rPr>
      </w:pPr>
      <w:r w:rsidRPr="00EC1412">
        <w:rPr>
          <w:rFonts w:ascii="Times New Roman" w:hAnsi="Times New Roman" w:cs="Times New Roman"/>
          <w:noProof/>
        </w:rPr>
        <w:t>stakeholder involvement/observer status;</w:t>
      </w:r>
    </w:p>
    <w:p w14:paraId="6F79ACB5" w14:textId="77777777" w:rsidR="000A7D9D" w:rsidRPr="00EC1412" w:rsidRDefault="000A7D9D" w:rsidP="000A7D9D">
      <w:pPr>
        <w:widowControl w:val="0"/>
        <w:numPr>
          <w:ilvl w:val="0"/>
          <w:numId w:val="21"/>
        </w:numPr>
        <w:snapToGrid w:val="0"/>
        <w:spacing w:after="0"/>
        <w:ind w:left="993" w:hanging="219"/>
        <w:jc w:val="both"/>
        <w:rPr>
          <w:rFonts w:ascii="Times New Roman" w:hAnsi="Times New Roman" w:cs="Times New Roman"/>
          <w:noProof/>
        </w:rPr>
      </w:pPr>
      <w:r w:rsidRPr="00EC1412">
        <w:rPr>
          <w:rFonts w:ascii="Times New Roman" w:hAnsi="Times New Roman" w:cs="Times New Roman"/>
          <w:noProof/>
        </w:rPr>
        <w:t>dissemination of scientific data and outcomes.</w:t>
      </w:r>
    </w:p>
    <w:p w14:paraId="29E37BE3" w14:textId="77777777" w:rsidR="000A7D9D" w:rsidRPr="00EC1412" w:rsidRDefault="000A7D9D" w:rsidP="000A7D9D">
      <w:pPr>
        <w:widowControl w:val="0"/>
        <w:snapToGrid w:val="0"/>
        <w:ind w:left="426"/>
        <w:jc w:val="both"/>
        <w:rPr>
          <w:rFonts w:ascii="Times New Roman" w:hAnsi="Times New Roman" w:cs="Times New Roman"/>
          <w:noProof/>
        </w:rPr>
      </w:pPr>
      <w:r w:rsidRPr="00EC1412">
        <w:rPr>
          <w:rFonts w:ascii="Times New Roman" w:hAnsi="Times New Roman" w:cs="Times New Roman"/>
          <w:noProof/>
        </w:rPr>
        <w:t xml:space="preserve">The increased transparency will further increase the acceptance of the outcomes and trust in the regulatory system. </w:t>
      </w:r>
    </w:p>
    <w:p w14:paraId="17148F1B"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Synergies</w:t>
      </w:r>
    </w:p>
    <w:p w14:paraId="0AC2B7E8"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The EU agencies already perform similar work to the work that is to be (re-)attributed to them. The consolidation of scientific and technical work in the EU agencies therefore provides for number of synergies:</w:t>
      </w:r>
    </w:p>
    <w:p w14:paraId="6B16027D" w14:textId="77777777" w:rsidR="000A7D9D" w:rsidRPr="00EC1412" w:rsidRDefault="000A7D9D" w:rsidP="000A7D9D">
      <w:pPr>
        <w:pStyle w:val="ListParagraph"/>
        <w:numPr>
          <w:ilvl w:val="0"/>
          <w:numId w:val="23"/>
        </w:numPr>
        <w:spacing w:after="120" w:line="259" w:lineRule="auto"/>
        <w:ind w:left="425" w:hanging="357"/>
        <w:contextualSpacing w:val="0"/>
        <w:jc w:val="both"/>
        <w:rPr>
          <w:caps/>
          <w:noProof/>
          <w:sz w:val="22"/>
          <w:szCs w:val="22"/>
        </w:rPr>
      </w:pPr>
      <w:r w:rsidRPr="00EC1412">
        <w:rPr>
          <w:bCs/>
          <w:noProof/>
          <w:sz w:val="22"/>
          <w:szCs w:val="22"/>
        </w:rPr>
        <w:t xml:space="preserve">Reuse of capabilities - </w:t>
      </w:r>
      <w:r w:rsidRPr="00EC1412">
        <w:rPr>
          <w:noProof/>
          <w:sz w:val="22"/>
          <w:szCs w:val="22"/>
        </w:rPr>
        <w:t>The existing agencies’ capabilities, such as hazard, risk and exposure assessment, development of committee opinions, development of methodologies, IT capabilities for submission of information by industry and Member States, collection and processing of data, stakeholder consultations, dissemination, can be reused in performing the (re-)attributed tasks.</w:t>
      </w:r>
    </w:p>
    <w:p w14:paraId="466A72FD" w14:textId="77777777" w:rsidR="000A7D9D" w:rsidRPr="00EC1412" w:rsidRDefault="000A7D9D" w:rsidP="000A7D9D">
      <w:pPr>
        <w:pStyle w:val="ListParagraph"/>
        <w:numPr>
          <w:ilvl w:val="0"/>
          <w:numId w:val="23"/>
        </w:numPr>
        <w:spacing w:after="120" w:line="259" w:lineRule="auto"/>
        <w:ind w:left="425" w:hanging="357"/>
        <w:contextualSpacing w:val="0"/>
        <w:jc w:val="both"/>
        <w:rPr>
          <w:caps/>
          <w:noProof/>
          <w:sz w:val="22"/>
          <w:szCs w:val="22"/>
        </w:rPr>
      </w:pPr>
      <w:r w:rsidRPr="2D69C30E">
        <w:rPr>
          <w:noProof/>
          <w:sz w:val="22"/>
          <w:szCs w:val="22"/>
        </w:rPr>
        <w:t xml:space="preserve">Reuse of data, information and knowledge - The information collected by the agencies on substances under one piece of legislation can be reused under other pieces of legislation. The knowledge on a substance developed under one piece of legislation can be reused under other legislation. </w:t>
      </w:r>
    </w:p>
    <w:p w14:paraId="7CCA3E3B" w14:textId="77777777" w:rsidR="000A7D9D" w:rsidRPr="00EC1412" w:rsidRDefault="000A7D9D" w:rsidP="000A7D9D">
      <w:pPr>
        <w:pStyle w:val="ListParagraph"/>
        <w:numPr>
          <w:ilvl w:val="0"/>
          <w:numId w:val="23"/>
        </w:numPr>
        <w:spacing w:after="120" w:line="259" w:lineRule="auto"/>
        <w:ind w:left="425" w:hanging="357"/>
        <w:contextualSpacing w:val="0"/>
        <w:jc w:val="both"/>
        <w:rPr>
          <w:noProof/>
          <w:sz w:val="22"/>
          <w:szCs w:val="22"/>
        </w:rPr>
      </w:pPr>
      <w:r w:rsidRPr="2D69C30E">
        <w:rPr>
          <w:noProof/>
          <w:sz w:val="22"/>
          <w:szCs w:val="22"/>
        </w:rPr>
        <w:t xml:space="preserve">Workload balancing - More similar work consolidated at one place allows for better balancing the workload across the year and thus better using existing capacities at the Agencies. </w:t>
      </w:r>
    </w:p>
    <w:p w14:paraId="75C253F8" w14:textId="77777777" w:rsidR="000A7D9D" w:rsidRPr="00EC1412" w:rsidRDefault="000A7D9D" w:rsidP="000A7D9D">
      <w:pPr>
        <w:pStyle w:val="ListParagraph"/>
        <w:numPr>
          <w:ilvl w:val="0"/>
          <w:numId w:val="23"/>
        </w:numPr>
        <w:spacing w:after="120" w:line="259" w:lineRule="auto"/>
        <w:ind w:left="425" w:hanging="357"/>
        <w:contextualSpacing w:val="0"/>
        <w:jc w:val="both"/>
        <w:rPr>
          <w:noProof/>
          <w:sz w:val="22"/>
          <w:szCs w:val="22"/>
        </w:rPr>
      </w:pPr>
      <w:r w:rsidRPr="00EC1412">
        <w:rPr>
          <w:bCs/>
          <w:noProof/>
          <w:sz w:val="22"/>
          <w:szCs w:val="22"/>
        </w:rPr>
        <w:t xml:space="preserve">IT tools: automation and economies of scale - </w:t>
      </w:r>
      <w:r w:rsidRPr="00EC1412">
        <w:rPr>
          <w:noProof/>
          <w:sz w:val="22"/>
          <w:szCs w:val="22"/>
        </w:rPr>
        <w:t>Existing IT tools of the Agencies after some adaptation of the tools or the processes can be reused to support the tasks to be reattributed to the Agencies. This includes data submission and reporting tools, tools for case management, public consultation, interaction with Member States, regulatory intentions management and data dissemination</w:t>
      </w:r>
    </w:p>
    <w:p w14:paraId="3B1C38B8" w14:textId="77777777" w:rsidR="000A7D9D" w:rsidRDefault="000A7D9D" w:rsidP="000A7D9D">
      <w:pPr>
        <w:pStyle w:val="ListParagraph"/>
        <w:numPr>
          <w:ilvl w:val="0"/>
          <w:numId w:val="23"/>
        </w:numPr>
        <w:spacing w:after="120" w:line="259" w:lineRule="auto"/>
        <w:ind w:left="425" w:hanging="357"/>
        <w:jc w:val="both"/>
        <w:rPr>
          <w:noProof/>
          <w:sz w:val="22"/>
          <w:szCs w:val="22"/>
        </w:rPr>
      </w:pPr>
      <w:r w:rsidRPr="2D69C30E">
        <w:rPr>
          <w:noProof/>
          <w:sz w:val="22"/>
          <w:szCs w:val="22"/>
        </w:rPr>
        <w:t xml:space="preserve">Support services: economies of scale - Existing scientific support services (such as committee secretariat, prioritisation and grouping of substances, substance identification, data management and dissemination) and administrative services of the agencies can be reused to support the tasks to be (re-)attributed to the agencies. </w:t>
      </w:r>
    </w:p>
    <w:p w14:paraId="44B8CCC6" w14:textId="77777777" w:rsidR="000A7D9D" w:rsidRPr="00B93914" w:rsidRDefault="000A7D9D" w:rsidP="000A7D9D">
      <w:pPr>
        <w:spacing w:after="120"/>
        <w:ind w:left="68"/>
        <w:jc w:val="both"/>
        <w:rPr>
          <w:noProof/>
        </w:rPr>
      </w:pPr>
    </w:p>
    <w:p w14:paraId="0094B148" w14:textId="77777777" w:rsidR="000A7D9D" w:rsidRPr="00CB3F79" w:rsidRDefault="000A7D9D" w:rsidP="000A7D9D">
      <w:pPr>
        <w:pStyle w:val="Heading2"/>
        <w:keepLines w:val="0"/>
        <w:numPr>
          <w:ilvl w:val="1"/>
          <w:numId w:val="7"/>
        </w:numPr>
        <w:tabs>
          <w:tab w:val="num" w:pos="1200"/>
        </w:tabs>
        <w:spacing w:before="0" w:after="240"/>
        <w:ind w:left="1200" w:hanging="720"/>
        <w:jc w:val="both"/>
        <w:rPr>
          <w:rFonts w:ascii="Times New Roman" w:eastAsia="Times New Roman" w:hAnsi="Times New Roman" w:cs="Times New Roman"/>
          <w:b/>
          <w:noProof/>
          <w:color w:val="auto"/>
          <w:sz w:val="24"/>
          <w:szCs w:val="20"/>
        </w:rPr>
      </w:pPr>
      <w:bookmarkStart w:id="15" w:name="_Toc150499901"/>
      <w:r w:rsidRPr="00CB3F79">
        <w:rPr>
          <w:rFonts w:ascii="Times New Roman" w:eastAsia="Times New Roman" w:hAnsi="Times New Roman" w:cs="Times New Roman"/>
          <w:b/>
          <w:noProof/>
          <w:color w:val="auto"/>
          <w:sz w:val="24"/>
          <w:szCs w:val="20"/>
        </w:rPr>
        <w:t>Overall impact on resources</w:t>
      </w:r>
      <w:bookmarkEnd w:id="15"/>
      <w:r w:rsidRPr="00CB3F79">
        <w:rPr>
          <w:rFonts w:ascii="Times New Roman" w:eastAsia="Times New Roman" w:hAnsi="Times New Roman" w:cs="Times New Roman"/>
          <w:b/>
          <w:noProof/>
          <w:color w:val="auto"/>
          <w:sz w:val="24"/>
          <w:szCs w:val="20"/>
        </w:rPr>
        <w:t xml:space="preserve"> </w:t>
      </w:r>
    </w:p>
    <w:p w14:paraId="6361D977"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Overall impact on resources per legislation and per agency</w:t>
      </w:r>
    </w:p>
    <w:p w14:paraId="3BE0A0EB" w14:textId="4D08E672" w:rsidR="000A7D9D" w:rsidRPr="00EC1412" w:rsidRDefault="000A7D9D" w:rsidP="000A7D9D">
      <w:pPr>
        <w:spacing w:after="120"/>
        <w:jc w:val="both"/>
        <w:rPr>
          <w:rFonts w:ascii="Times New Roman" w:hAnsi="Times New Roman" w:cs="Times New Roman"/>
          <w:noProof/>
        </w:rPr>
      </w:pPr>
      <w:r w:rsidRPr="00C62E18">
        <w:rPr>
          <w:rFonts w:ascii="Times New Roman" w:hAnsi="Times New Roman" w:cs="Times New Roman"/>
          <w:noProof/>
        </w:rPr>
        <w:t xml:space="preserve">The (re-)attribution of scientific and technical work on chemicals to the EU Agencies with accompanying resources has been already proposed under 8 legislative proposals and one research cooperation action. The accompanying resources already attributed to the EU </w:t>
      </w:r>
      <w:r w:rsidR="00C62E18">
        <w:rPr>
          <w:rFonts w:ascii="Times New Roman" w:hAnsi="Times New Roman" w:cs="Times New Roman"/>
          <w:noProof/>
        </w:rPr>
        <w:t>a</w:t>
      </w:r>
      <w:r w:rsidRPr="00C62E18">
        <w:rPr>
          <w:rFonts w:ascii="Times New Roman" w:hAnsi="Times New Roman" w:cs="Times New Roman"/>
          <w:noProof/>
        </w:rPr>
        <w:t xml:space="preserve">gencies </w:t>
      </w:r>
      <w:r w:rsidR="00C62E18">
        <w:rPr>
          <w:rFonts w:ascii="Times New Roman" w:hAnsi="Times New Roman" w:cs="Times New Roman"/>
          <w:noProof/>
        </w:rPr>
        <w:t xml:space="preserve">following legislative initiatives already proposed by the Commission and some of which are already adopted by the co-legislator </w:t>
      </w:r>
      <w:r w:rsidRPr="00C62E18">
        <w:rPr>
          <w:rFonts w:ascii="Times New Roman" w:hAnsi="Times New Roman" w:cs="Times New Roman"/>
          <w:noProof/>
        </w:rPr>
        <w:t>var</w:t>
      </w:r>
      <w:r w:rsidR="00C62E18">
        <w:rPr>
          <w:rFonts w:ascii="Times New Roman" w:hAnsi="Times New Roman" w:cs="Times New Roman"/>
          <w:noProof/>
        </w:rPr>
        <w:t>y</w:t>
      </w:r>
      <w:r w:rsidRPr="00C62E18">
        <w:rPr>
          <w:rFonts w:ascii="Times New Roman" w:hAnsi="Times New Roman" w:cs="Times New Roman"/>
          <w:noProof/>
        </w:rPr>
        <w:t xml:space="preserve"> per year</w:t>
      </w:r>
      <w:r w:rsidR="00C62E18">
        <w:rPr>
          <w:rFonts w:ascii="Times New Roman" w:hAnsi="Times New Roman" w:cs="Times New Roman"/>
          <w:noProof/>
        </w:rPr>
        <w:t xml:space="preserve"> (see Table 8)</w:t>
      </w:r>
      <w:r w:rsidRPr="00C62E18">
        <w:rPr>
          <w:rFonts w:ascii="Times New Roman" w:hAnsi="Times New Roman" w:cs="Times New Roman"/>
          <w:noProof/>
        </w:rPr>
        <w:t xml:space="preserve">, with </w:t>
      </w:r>
      <w:r w:rsidRPr="00C62E18">
        <w:rPr>
          <w:rFonts w:ascii="Times New Roman" w:hAnsi="Times New Roman" w:cs="Times New Roman"/>
          <w:b/>
          <w:noProof/>
        </w:rPr>
        <w:t>54 FTEs (42 TA + 12 CA)</w:t>
      </w:r>
      <w:r w:rsidRPr="00C62E18">
        <w:rPr>
          <w:rFonts w:ascii="Times New Roman" w:hAnsi="Times New Roman" w:cs="Times New Roman"/>
          <w:noProof/>
        </w:rPr>
        <w:t xml:space="preserve"> and </w:t>
      </w:r>
      <w:r w:rsidRPr="00C62E18">
        <w:rPr>
          <w:rFonts w:ascii="Times New Roman" w:hAnsi="Times New Roman" w:cs="Times New Roman"/>
          <w:b/>
          <w:noProof/>
        </w:rPr>
        <w:t>EUR</w:t>
      </w:r>
      <w:r w:rsidRPr="00C62E18">
        <w:rPr>
          <w:rFonts w:ascii="Times New Roman" w:hAnsi="Times New Roman" w:cs="Times New Roman"/>
          <w:noProof/>
        </w:rPr>
        <w:t xml:space="preserve"> </w:t>
      </w:r>
      <w:r w:rsidRPr="00C62E18">
        <w:rPr>
          <w:rFonts w:ascii="Times New Roman" w:hAnsi="Times New Roman" w:cs="Times New Roman"/>
          <w:b/>
          <w:noProof/>
        </w:rPr>
        <w:t>2 260 000</w:t>
      </w:r>
      <w:r w:rsidRPr="00C62E18">
        <w:rPr>
          <w:rFonts w:ascii="Times New Roman" w:hAnsi="Times New Roman" w:cs="Times New Roman"/>
          <w:noProof/>
        </w:rPr>
        <w:t xml:space="preserve"> in </w:t>
      </w:r>
      <w:r w:rsidRPr="00C62E18">
        <w:rPr>
          <w:rFonts w:ascii="Times New Roman" w:hAnsi="Times New Roman" w:cs="Times New Roman"/>
          <w:b/>
          <w:noProof/>
        </w:rPr>
        <w:t>2024</w:t>
      </w:r>
      <w:r w:rsidRPr="00C62E18">
        <w:rPr>
          <w:rFonts w:ascii="Times New Roman" w:hAnsi="Times New Roman" w:cs="Times New Roman"/>
          <w:noProof/>
        </w:rPr>
        <w:t xml:space="preserve">, </w:t>
      </w:r>
      <w:r w:rsidRPr="00C62E18">
        <w:rPr>
          <w:rFonts w:ascii="Times New Roman" w:hAnsi="Times New Roman" w:cs="Times New Roman"/>
          <w:b/>
          <w:noProof/>
        </w:rPr>
        <w:t>76 FTEs</w:t>
      </w:r>
      <w:r w:rsidRPr="00C62E18">
        <w:rPr>
          <w:rFonts w:ascii="Times New Roman" w:hAnsi="Times New Roman" w:cs="Times New Roman"/>
          <w:noProof/>
        </w:rPr>
        <w:t xml:space="preserve"> </w:t>
      </w:r>
      <w:r w:rsidRPr="00C62E18">
        <w:rPr>
          <w:rFonts w:ascii="Times New Roman" w:hAnsi="Times New Roman" w:cs="Times New Roman"/>
          <w:b/>
          <w:noProof/>
        </w:rPr>
        <w:t>(63 TA + 13 CA)</w:t>
      </w:r>
      <w:r w:rsidRPr="00C62E18">
        <w:rPr>
          <w:rFonts w:ascii="Times New Roman" w:hAnsi="Times New Roman" w:cs="Times New Roman"/>
          <w:noProof/>
        </w:rPr>
        <w:t xml:space="preserve"> and </w:t>
      </w:r>
      <w:r w:rsidRPr="00C62E18">
        <w:rPr>
          <w:rFonts w:ascii="Times New Roman" w:hAnsi="Times New Roman" w:cs="Times New Roman"/>
          <w:b/>
          <w:noProof/>
        </w:rPr>
        <w:t>EUR</w:t>
      </w:r>
      <w:r w:rsidRPr="00C62E18">
        <w:rPr>
          <w:rFonts w:ascii="Times New Roman" w:hAnsi="Times New Roman" w:cs="Times New Roman"/>
          <w:noProof/>
        </w:rPr>
        <w:t xml:space="preserve"> </w:t>
      </w:r>
      <w:r w:rsidRPr="00C62E18">
        <w:rPr>
          <w:rFonts w:ascii="Times New Roman" w:hAnsi="Times New Roman" w:cs="Times New Roman"/>
          <w:b/>
          <w:noProof/>
        </w:rPr>
        <w:t>1 873 000</w:t>
      </w:r>
      <w:r w:rsidRPr="00C62E18">
        <w:rPr>
          <w:rFonts w:ascii="Times New Roman" w:hAnsi="Times New Roman" w:cs="Times New Roman"/>
          <w:noProof/>
        </w:rPr>
        <w:t xml:space="preserve"> in </w:t>
      </w:r>
      <w:r w:rsidRPr="00C62E18">
        <w:rPr>
          <w:rFonts w:ascii="Times New Roman" w:hAnsi="Times New Roman" w:cs="Times New Roman"/>
          <w:b/>
          <w:noProof/>
        </w:rPr>
        <w:t>2025</w:t>
      </w:r>
      <w:r w:rsidRPr="00C62E18">
        <w:rPr>
          <w:rFonts w:ascii="Times New Roman" w:hAnsi="Times New Roman" w:cs="Times New Roman"/>
          <w:noProof/>
        </w:rPr>
        <w:t xml:space="preserve">, </w:t>
      </w:r>
      <w:r w:rsidRPr="00C62E18">
        <w:rPr>
          <w:rFonts w:ascii="Times New Roman" w:hAnsi="Times New Roman" w:cs="Times New Roman"/>
          <w:b/>
          <w:noProof/>
        </w:rPr>
        <w:t>92 FTEs</w:t>
      </w:r>
      <w:r w:rsidRPr="00C62E18">
        <w:rPr>
          <w:rFonts w:ascii="Times New Roman" w:hAnsi="Times New Roman" w:cs="Times New Roman"/>
          <w:noProof/>
        </w:rPr>
        <w:t xml:space="preserve"> </w:t>
      </w:r>
      <w:r w:rsidRPr="00C62E18">
        <w:rPr>
          <w:rFonts w:ascii="Times New Roman" w:hAnsi="Times New Roman" w:cs="Times New Roman"/>
          <w:b/>
          <w:noProof/>
        </w:rPr>
        <w:t>(79 TA + 13 CA)</w:t>
      </w:r>
      <w:r w:rsidRPr="00C62E18">
        <w:rPr>
          <w:rFonts w:ascii="Times New Roman" w:hAnsi="Times New Roman" w:cs="Times New Roman"/>
          <w:noProof/>
        </w:rPr>
        <w:t xml:space="preserve"> and </w:t>
      </w:r>
      <w:r w:rsidRPr="00C62E18">
        <w:rPr>
          <w:rFonts w:ascii="Times New Roman" w:hAnsi="Times New Roman" w:cs="Times New Roman"/>
          <w:b/>
          <w:noProof/>
        </w:rPr>
        <w:t>EUR</w:t>
      </w:r>
      <w:r w:rsidRPr="00C62E18">
        <w:rPr>
          <w:rFonts w:ascii="Times New Roman" w:hAnsi="Times New Roman" w:cs="Times New Roman"/>
          <w:noProof/>
        </w:rPr>
        <w:t xml:space="preserve"> </w:t>
      </w:r>
      <w:r w:rsidRPr="00C62E18">
        <w:rPr>
          <w:rFonts w:ascii="Times New Roman" w:hAnsi="Times New Roman" w:cs="Times New Roman"/>
          <w:b/>
          <w:noProof/>
        </w:rPr>
        <w:t>1 726 000</w:t>
      </w:r>
      <w:r w:rsidRPr="00C62E18">
        <w:rPr>
          <w:rFonts w:ascii="Times New Roman" w:hAnsi="Times New Roman" w:cs="Times New Roman"/>
          <w:noProof/>
        </w:rPr>
        <w:t xml:space="preserve"> in </w:t>
      </w:r>
      <w:r w:rsidRPr="00C62E18">
        <w:rPr>
          <w:rFonts w:ascii="Times New Roman" w:hAnsi="Times New Roman" w:cs="Times New Roman"/>
          <w:b/>
          <w:noProof/>
        </w:rPr>
        <w:t>2026</w:t>
      </w:r>
      <w:r w:rsidRPr="00C62E18">
        <w:rPr>
          <w:rFonts w:ascii="Times New Roman" w:hAnsi="Times New Roman" w:cs="Times New Roman"/>
          <w:noProof/>
        </w:rPr>
        <w:t xml:space="preserve"> and </w:t>
      </w:r>
      <w:r w:rsidRPr="00C62E18">
        <w:rPr>
          <w:rFonts w:ascii="Times New Roman" w:hAnsi="Times New Roman" w:cs="Times New Roman"/>
          <w:b/>
          <w:noProof/>
        </w:rPr>
        <w:t>98 FTEs</w:t>
      </w:r>
      <w:r w:rsidRPr="00C62E18">
        <w:rPr>
          <w:rFonts w:ascii="Times New Roman" w:hAnsi="Times New Roman" w:cs="Times New Roman"/>
          <w:noProof/>
        </w:rPr>
        <w:t xml:space="preserve"> </w:t>
      </w:r>
      <w:r w:rsidRPr="00C62E18">
        <w:rPr>
          <w:rFonts w:ascii="Times New Roman" w:hAnsi="Times New Roman" w:cs="Times New Roman"/>
          <w:b/>
          <w:noProof/>
        </w:rPr>
        <w:t>(88 TA + 10 CA)</w:t>
      </w:r>
      <w:r w:rsidRPr="00C62E18">
        <w:rPr>
          <w:rFonts w:ascii="Times New Roman" w:hAnsi="Times New Roman" w:cs="Times New Roman"/>
          <w:noProof/>
        </w:rPr>
        <w:t xml:space="preserve"> and EUR </w:t>
      </w:r>
      <w:r w:rsidRPr="00C62E18">
        <w:rPr>
          <w:rFonts w:ascii="Times New Roman" w:hAnsi="Times New Roman" w:cs="Times New Roman"/>
          <w:b/>
          <w:noProof/>
        </w:rPr>
        <w:t xml:space="preserve">1 463 000 </w:t>
      </w:r>
      <w:r w:rsidRPr="00C62E18">
        <w:rPr>
          <w:rFonts w:ascii="Times New Roman" w:hAnsi="Times New Roman" w:cs="Times New Roman"/>
          <w:noProof/>
        </w:rPr>
        <w:t xml:space="preserve">in </w:t>
      </w:r>
      <w:r w:rsidRPr="00C62E18">
        <w:rPr>
          <w:rFonts w:ascii="Times New Roman" w:hAnsi="Times New Roman" w:cs="Times New Roman"/>
          <w:b/>
          <w:noProof/>
        </w:rPr>
        <w:t>2027</w:t>
      </w:r>
      <w:r w:rsidRPr="00C62E18">
        <w:rPr>
          <w:rFonts w:ascii="Times New Roman" w:hAnsi="Times New Roman" w:cs="Times New Roman"/>
          <w:noProof/>
        </w:rPr>
        <w:t>. The majority of resources were allocated to EMA (42 – 60 FTEs per year</w:t>
      </w:r>
      <w:r w:rsidR="00C62E18">
        <w:rPr>
          <w:rFonts w:ascii="Times New Roman" w:hAnsi="Times New Roman" w:cs="Times New Roman"/>
          <w:noProof/>
        </w:rPr>
        <w:t>)</w:t>
      </w:r>
      <w:r w:rsidRPr="00C62E18">
        <w:rPr>
          <w:rFonts w:ascii="Times New Roman" w:hAnsi="Times New Roman" w:cs="Times New Roman"/>
          <w:noProof/>
        </w:rPr>
        <w:t>, followed by ECHA (24 – 29 FTEs and EUR 1 257 000 –</w:t>
      </w:r>
      <w:r w:rsidR="00C62E18">
        <w:rPr>
          <w:rFonts w:ascii="Times New Roman" w:hAnsi="Times New Roman" w:cs="Times New Roman"/>
          <w:noProof/>
        </w:rPr>
        <w:t xml:space="preserve"> EUR</w:t>
      </w:r>
      <w:r w:rsidRPr="00C62E18">
        <w:rPr>
          <w:rFonts w:ascii="Times New Roman" w:hAnsi="Times New Roman" w:cs="Times New Roman"/>
          <w:noProof/>
        </w:rPr>
        <w:t xml:space="preserve"> 1 364 000 per year) and EEA (9 – 11 FTEs and EUR 180 000 – </w:t>
      </w:r>
      <w:r w:rsidR="00C62E18">
        <w:rPr>
          <w:rFonts w:ascii="Times New Roman" w:hAnsi="Times New Roman" w:cs="Times New Roman"/>
          <w:noProof/>
        </w:rPr>
        <w:t xml:space="preserve">EUR </w:t>
      </w:r>
      <w:r w:rsidRPr="00C62E18">
        <w:rPr>
          <w:rFonts w:ascii="Times New Roman" w:hAnsi="Times New Roman" w:cs="Times New Roman"/>
          <w:noProof/>
        </w:rPr>
        <w:t>919 000</w:t>
      </w:r>
      <w:r w:rsidRPr="00C62E18">
        <w:rPr>
          <w:rFonts w:ascii="Times New Roman" w:hAnsi="Times New Roman" w:cs="Times New Roman"/>
          <w:b/>
          <w:noProof/>
        </w:rPr>
        <w:t xml:space="preserve"> </w:t>
      </w:r>
      <w:r w:rsidRPr="00C62E18">
        <w:rPr>
          <w:rFonts w:ascii="Times New Roman" w:hAnsi="Times New Roman" w:cs="Times New Roman"/>
          <w:noProof/>
        </w:rPr>
        <w:t xml:space="preserve">per year). </w:t>
      </w:r>
      <w:r w:rsidR="00DD6D6A">
        <w:rPr>
          <w:rFonts w:ascii="Times New Roman" w:hAnsi="Times New Roman" w:cs="Times New Roman"/>
          <w:noProof/>
        </w:rPr>
        <w:t>T</w:t>
      </w:r>
      <w:r w:rsidRPr="00C62E18">
        <w:rPr>
          <w:rFonts w:ascii="Times New Roman" w:hAnsi="Times New Roman" w:cs="Times New Roman"/>
          <w:noProof/>
        </w:rPr>
        <w:t>he majority of resources proposed for EMA are not related to the scope of the one substance, one assessment, but to improvement of processes for authorisation of medicinal products for human use.</w:t>
      </w:r>
      <w:r>
        <w:rPr>
          <w:rFonts w:ascii="Times New Roman" w:hAnsi="Times New Roman" w:cs="Times New Roman"/>
          <w:noProof/>
        </w:rPr>
        <w:t xml:space="preserve"> </w:t>
      </w:r>
    </w:p>
    <w:tbl>
      <w:tblPr>
        <w:tblStyle w:val="TableGrid"/>
        <w:tblW w:w="9639" w:type="dxa"/>
        <w:tblInd w:w="-5" w:type="dxa"/>
        <w:tblLayout w:type="fixed"/>
        <w:tblLook w:val="04A0" w:firstRow="1" w:lastRow="0" w:firstColumn="1" w:lastColumn="0" w:noHBand="0" w:noVBand="1"/>
      </w:tblPr>
      <w:tblGrid>
        <w:gridCol w:w="3544"/>
        <w:gridCol w:w="425"/>
        <w:gridCol w:w="426"/>
        <w:gridCol w:w="425"/>
        <w:gridCol w:w="425"/>
        <w:gridCol w:w="425"/>
        <w:gridCol w:w="426"/>
        <w:gridCol w:w="425"/>
        <w:gridCol w:w="425"/>
        <w:gridCol w:w="709"/>
        <w:gridCol w:w="709"/>
        <w:gridCol w:w="708"/>
        <w:gridCol w:w="567"/>
      </w:tblGrid>
      <w:tr w:rsidR="000A7D9D" w:rsidRPr="00EC1412" w14:paraId="57A89520" w14:textId="77777777" w:rsidTr="00F31937">
        <w:tc>
          <w:tcPr>
            <w:tcW w:w="9639" w:type="dxa"/>
            <w:gridSpan w:val="13"/>
            <w:tcBorders>
              <w:bottom w:val="single" w:sz="4" w:space="0" w:color="auto"/>
            </w:tcBorders>
            <w:shd w:val="clear" w:color="auto" w:fill="A6A6A6" w:themeFill="background1" w:themeFillShade="A6"/>
          </w:tcPr>
          <w:p w14:paraId="338A31E3" w14:textId="77777777" w:rsidR="000A7D9D" w:rsidRPr="00EC1412" w:rsidRDefault="000A7D9D" w:rsidP="00F31937">
            <w:pPr>
              <w:spacing w:before="60" w:after="60"/>
              <w:jc w:val="both"/>
              <w:rPr>
                <w:b/>
                <w:caps/>
                <w:noProof/>
                <w:sz w:val="18"/>
                <w:szCs w:val="18"/>
              </w:rPr>
            </w:pPr>
            <w:r w:rsidRPr="00EC1412">
              <w:rPr>
                <w:b/>
                <w:noProof/>
                <w:sz w:val="18"/>
                <w:szCs w:val="18"/>
              </w:rPr>
              <w:t xml:space="preserve">Table 8. Resource already allocated or proposed (operational costs in </w:t>
            </w:r>
            <w:r>
              <w:rPr>
                <w:b/>
                <w:noProof/>
                <w:sz w:val="18"/>
                <w:szCs w:val="18"/>
              </w:rPr>
              <w:t xml:space="preserve">EUR </w:t>
            </w:r>
            <w:r w:rsidRPr="00EC1412">
              <w:rPr>
                <w:b/>
                <w:noProof/>
                <w:sz w:val="18"/>
                <w:szCs w:val="18"/>
              </w:rPr>
              <w:t>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44BE6607" w14:textId="77777777" w:rsidTr="00F31937">
        <w:tc>
          <w:tcPr>
            <w:tcW w:w="3544" w:type="dxa"/>
            <w:tcBorders>
              <w:bottom w:val="single" w:sz="4" w:space="0" w:color="auto"/>
              <w:right w:val="single" w:sz="4" w:space="0" w:color="auto"/>
            </w:tcBorders>
            <w:shd w:val="clear" w:color="auto" w:fill="BFBFBF" w:themeFill="background1" w:themeFillShade="BF"/>
          </w:tcPr>
          <w:p w14:paraId="796DC749" w14:textId="77777777" w:rsidR="000A7D9D" w:rsidRPr="00EC1412" w:rsidRDefault="000A7D9D" w:rsidP="00F31937">
            <w:pPr>
              <w:jc w:val="both"/>
              <w:rPr>
                <w:caps/>
                <w:noProof/>
                <w:sz w:val="18"/>
                <w:szCs w:val="18"/>
              </w:rPr>
            </w:pPr>
          </w:p>
        </w:tc>
        <w:tc>
          <w:tcPr>
            <w:tcW w:w="3402" w:type="dxa"/>
            <w:gridSpan w:val="8"/>
            <w:tcBorders>
              <w:left w:val="single" w:sz="4" w:space="0" w:color="auto"/>
              <w:bottom w:val="single" w:sz="4" w:space="0" w:color="auto"/>
            </w:tcBorders>
            <w:shd w:val="clear" w:color="auto" w:fill="BFBFBF" w:themeFill="background1" w:themeFillShade="BF"/>
          </w:tcPr>
          <w:p w14:paraId="0383337C" w14:textId="77777777" w:rsidR="000A7D9D" w:rsidRPr="00EC1412" w:rsidRDefault="000A7D9D" w:rsidP="00F31937">
            <w:pPr>
              <w:jc w:val="center"/>
              <w:rPr>
                <w:b/>
                <w:caps/>
                <w:noProof/>
                <w:sz w:val="18"/>
                <w:szCs w:val="18"/>
              </w:rPr>
            </w:pPr>
            <w:r w:rsidRPr="00EC1412">
              <w:rPr>
                <w:b/>
                <w:noProof/>
                <w:sz w:val="18"/>
                <w:szCs w:val="18"/>
              </w:rPr>
              <w:t>FTEs</w:t>
            </w:r>
          </w:p>
        </w:tc>
        <w:tc>
          <w:tcPr>
            <w:tcW w:w="2693" w:type="dxa"/>
            <w:gridSpan w:val="4"/>
            <w:tcBorders>
              <w:bottom w:val="single" w:sz="4" w:space="0" w:color="auto"/>
            </w:tcBorders>
            <w:shd w:val="clear" w:color="auto" w:fill="BFBFBF" w:themeFill="background1" w:themeFillShade="BF"/>
          </w:tcPr>
          <w:p w14:paraId="5B5AC82E"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6D0499FE" w14:textId="77777777" w:rsidTr="00F31937">
        <w:tc>
          <w:tcPr>
            <w:tcW w:w="3544" w:type="dxa"/>
            <w:tcBorders>
              <w:bottom w:val="single" w:sz="4" w:space="0" w:color="auto"/>
              <w:right w:val="single" w:sz="4" w:space="0" w:color="auto"/>
            </w:tcBorders>
            <w:shd w:val="clear" w:color="auto" w:fill="BFBFBF" w:themeFill="background1" w:themeFillShade="BF"/>
          </w:tcPr>
          <w:p w14:paraId="575CE1CC"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214F4559" w14:textId="77777777" w:rsidR="000A7D9D" w:rsidRPr="00EC1412" w:rsidRDefault="000A7D9D" w:rsidP="00F31937">
            <w:pPr>
              <w:ind w:left="-112"/>
              <w:jc w:val="center"/>
              <w:rPr>
                <w:b/>
                <w:caps/>
                <w:noProof/>
                <w:sz w:val="18"/>
                <w:szCs w:val="18"/>
              </w:rPr>
            </w:pPr>
            <w:r w:rsidRPr="00EC1412">
              <w:rPr>
                <w:b/>
                <w:caps/>
                <w:noProof/>
                <w:sz w:val="18"/>
                <w:szCs w:val="18"/>
              </w:rPr>
              <w:t>2024</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792432EE" w14:textId="77777777" w:rsidR="000A7D9D" w:rsidRPr="00EC1412" w:rsidRDefault="000A7D9D" w:rsidP="00F31937">
            <w:pPr>
              <w:jc w:val="center"/>
              <w:rPr>
                <w:b/>
                <w:caps/>
                <w:noProof/>
                <w:sz w:val="18"/>
                <w:szCs w:val="18"/>
              </w:rPr>
            </w:pPr>
            <w:r w:rsidRPr="00EC1412">
              <w:rPr>
                <w:b/>
                <w:caps/>
                <w:noProof/>
                <w:sz w:val="18"/>
                <w:szCs w:val="18"/>
              </w:rPr>
              <w:t>2025</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7CC2DF3A" w14:textId="77777777" w:rsidR="000A7D9D" w:rsidRPr="00EC1412" w:rsidRDefault="000A7D9D" w:rsidP="00F31937">
            <w:pPr>
              <w:ind w:left="-107"/>
              <w:jc w:val="center"/>
              <w:rPr>
                <w:b/>
                <w:caps/>
                <w:noProof/>
                <w:sz w:val="18"/>
                <w:szCs w:val="18"/>
              </w:rPr>
            </w:pPr>
            <w:r w:rsidRPr="00EC1412">
              <w:rPr>
                <w:b/>
                <w:caps/>
                <w:noProof/>
                <w:sz w:val="18"/>
                <w:szCs w:val="18"/>
              </w:rPr>
              <w:t>2026</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5AFA9D32" w14:textId="77777777" w:rsidR="000A7D9D" w:rsidRPr="00EC1412" w:rsidRDefault="000A7D9D" w:rsidP="00F31937">
            <w:pPr>
              <w:ind w:left="-112"/>
              <w:jc w:val="center"/>
              <w:rPr>
                <w:b/>
                <w:caps/>
                <w:noProof/>
                <w:sz w:val="18"/>
                <w:szCs w:val="18"/>
              </w:rPr>
            </w:pPr>
            <w:r w:rsidRPr="00EC1412">
              <w:rPr>
                <w:b/>
                <w:caps/>
                <w:noProof/>
                <w:sz w:val="18"/>
                <w:szCs w:val="18"/>
              </w:rPr>
              <w:t>2027</w:t>
            </w:r>
          </w:p>
        </w:tc>
        <w:tc>
          <w:tcPr>
            <w:tcW w:w="709" w:type="dxa"/>
            <w:tcBorders>
              <w:left w:val="single" w:sz="4" w:space="0" w:color="auto"/>
              <w:bottom w:val="single" w:sz="4" w:space="0" w:color="auto"/>
              <w:right w:val="single" w:sz="4" w:space="0" w:color="auto"/>
            </w:tcBorders>
            <w:shd w:val="clear" w:color="auto" w:fill="BFBFBF" w:themeFill="background1" w:themeFillShade="BF"/>
          </w:tcPr>
          <w:p w14:paraId="5B6D5B02" w14:textId="77777777" w:rsidR="000A7D9D" w:rsidRPr="00EC1412" w:rsidRDefault="000A7D9D" w:rsidP="00F31937">
            <w:pPr>
              <w:ind w:left="-108"/>
              <w:jc w:val="right"/>
              <w:rPr>
                <w:b/>
                <w:caps/>
                <w:noProof/>
                <w:sz w:val="18"/>
                <w:szCs w:val="18"/>
              </w:rPr>
            </w:pPr>
            <w:r w:rsidRPr="00EC1412">
              <w:rPr>
                <w:b/>
                <w:caps/>
                <w:noProof/>
                <w:sz w:val="18"/>
                <w:szCs w:val="18"/>
              </w:rPr>
              <w:t>2024</w:t>
            </w:r>
          </w:p>
        </w:tc>
        <w:tc>
          <w:tcPr>
            <w:tcW w:w="709" w:type="dxa"/>
            <w:tcBorders>
              <w:left w:val="single" w:sz="4" w:space="0" w:color="auto"/>
              <w:bottom w:val="single" w:sz="4" w:space="0" w:color="auto"/>
              <w:right w:val="single" w:sz="4" w:space="0" w:color="auto"/>
            </w:tcBorders>
            <w:shd w:val="clear" w:color="auto" w:fill="BFBFBF" w:themeFill="background1" w:themeFillShade="BF"/>
          </w:tcPr>
          <w:p w14:paraId="0D493F62" w14:textId="77777777" w:rsidR="000A7D9D" w:rsidRPr="00EC1412" w:rsidRDefault="000A7D9D" w:rsidP="00F31937">
            <w:pPr>
              <w:ind w:left="-113"/>
              <w:jc w:val="right"/>
              <w:rPr>
                <w:b/>
                <w:caps/>
                <w:noProof/>
                <w:sz w:val="18"/>
                <w:szCs w:val="18"/>
              </w:rPr>
            </w:pPr>
            <w:r w:rsidRPr="00EC1412">
              <w:rPr>
                <w:b/>
                <w:caps/>
                <w:noProof/>
                <w:sz w:val="18"/>
                <w:szCs w:val="18"/>
              </w:rPr>
              <w:t>2025</w:t>
            </w:r>
          </w:p>
        </w:tc>
        <w:tc>
          <w:tcPr>
            <w:tcW w:w="708" w:type="dxa"/>
            <w:tcBorders>
              <w:left w:val="single" w:sz="4" w:space="0" w:color="auto"/>
              <w:bottom w:val="single" w:sz="4" w:space="0" w:color="auto"/>
              <w:right w:val="single" w:sz="4" w:space="0" w:color="auto"/>
            </w:tcBorders>
            <w:shd w:val="clear" w:color="auto" w:fill="BFBFBF" w:themeFill="background1" w:themeFillShade="BF"/>
          </w:tcPr>
          <w:p w14:paraId="4E115C68" w14:textId="77777777" w:rsidR="000A7D9D" w:rsidRPr="00EC1412" w:rsidRDefault="000A7D9D" w:rsidP="00F31937">
            <w:pPr>
              <w:ind w:left="-104"/>
              <w:jc w:val="right"/>
              <w:rPr>
                <w:b/>
                <w:caps/>
                <w:noProof/>
                <w:sz w:val="18"/>
                <w:szCs w:val="18"/>
              </w:rPr>
            </w:pPr>
            <w:r w:rsidRPr="00EC1412">
              <w:rPr>
                <w:b/>
                <w:caps/>
                <w:noProof/>
                <w:sz w:val="18"/>
                <w:szCs w:val="18"/>
              </w:rPr>
              <w:t>2026</w:t>
            </w:r>
          </w:p>
        </w:tc>
        <w:tc>
          <w:tcPr>
            <w:tcW w:w="567" w:type="dxa"/>
            <w:tcBorders>
              <w:left w:val="single" w:sz="4" w:space="0" w:color="auto"/>
              <w:bottom w:val="single" w:sz="4" w:space="0" w:color="auto"/>
            </w:tcBorders>
            <w:shd w:val="clear" w:color="auto" w:fill="BFBFBF" w:themeFill="background1" w:themeFillShade="BF"/>
          </w:tcPr>
          <w:p w14:paraId="0B12D867" w14:textId="77777777" w:rsidR="000A7D9D" w:rsidRPr="00EC1412" w:rsidRDefault="000A7D9D" w:rsidP="00F31937">
            <w:pPr>
              <w:ind w:left="-109"/>
              <w:jc w:val="right"/>
              <w:rPr>
                <w:b/>
                <w:caps/>
                <w:noProof/>
                <w:sz w:val="18"/>
                <w:szCs w:val="18"/>
              </w:rPr>
            </w:pPr>
            <w:r w:rsidRPr="00EC1412">
              <w:rPr>
                <w:b/>
                <w:caps/>
                <w:noProof/>
                <w:sz w:val="18"/>
                <w:szCs w:val="18"/>
              </w:rPr>
              <w:t>2027</w:t>
            </w:r>
          </w:p>
        </w:tc>
      </w:tr>
      <w:tr w:rsidR="000A7D9D" w:rsidRPr="00EC1412" w14:paraId="3484DC75" w14:textId="77777777" w:rsidTr="00F31937">
        <w:tc>
          <w:tcPr>
            <w:tcW w:w="3544" w:type="dxa"/>
            <w:tcBorders>
              <w:bottom w:val="single" w:sz="4" w:space="0" w:color="auto"/>
              <w:right w:val="single" w:sz="4" w:space="0" w:color="auto"/>
            </w:tcBorders>
            <w:shd w:val="clear" w:color="auto" w:fill="BFBFBF" w:themeFill="background1" w:themeFillShade="BF"/>
          </w:tcPr>
          <w:p w14:paraId="6494966A" w14:textId="77777777" w:rsidR="000A7D9D" w:rsidRPr="00EC1412" w:rsidRDefault="000A7D9D" w:rsidP="00F31937">
            <w:pPr>
              <w:jc w:val="both"/>
              <w:rPr>
                <w:b/>
                <w:noProof/>
                <w:sz w:val="18"/>
                <w:szCs w:val="18"/>
              </w:rPr>
            </w:pP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335B4523" w14:textId="77777777" w:rsidR="000A7D9D" w:rsidRPr="00EC1412" w:rsidRDefault="000A7D9D" w:rsidP="00F31937">
            <w:pPr>
              <w:ind w:left="-112"/>
              <w:jc w:val="right"/>
              <w:rPr>
                <w:b/>
                <w:caps/>
                <w:noProof/>
                <w:sz w:val="18"/>
                <w:szCs w:val="18"/>
              </w:rPr>
            </w:pPr>
            <w:r>
              <w:rPr>
                <w:b/>
                <w:caps/>
                <w:noProof/>
                <w:sz w:val="18"/>
                <w:szCs w:val="18"/>
              </w:rPr>
              <w:t>TA</w:t>
            </w:r>
          </w:p>
        </w:tc>
        <w:tc>
          <w:tcPr>
            <w:tcW w:w="426" w:type="dxa"/>
            <w:tcBorders>
              <w:left w:val="dotted" w:sz="4" w:space="0" w:color="auto"/>
              <w:bottom w:val="single" w:sz="4" w:space="0" w:color="auto"/>
              <w:right w:val="single" w:sz="4" w:space="0" w:color="auto"/>
            </w:tcBorders>
            <w:shd w:val="clear" w:color="auto" w:fill="BFBFBF" w:themeFill="background1" w:themeFillShade="BF"/>
          </w:tcPr>
          <w:p w14:paraId="4F782761" w14:textId="77777777" w:rsidR="000A7D9D" w:rsidRPr="00EC1412" w:rsidRDefault="000A7D9D" w:rsidP="00F31937">
            <w:pPr>
              <w:ind w:left="-112"/>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4F8BA202" w14:textId="77777777" w:rsidR="000A7D9D" w:rsidRPr="00EC1412" w:rsidRDefault="000A7D9D" w:rsidP="00F31937">
            <w:pPr>
              <w:ind w:left="-109"/>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3AD3048A" w14:textId="77777777" w:rsidR="000A7D9D" w:rsidRPr="00EC1412" w:rsidRDefault="000A7D9D" w:rsidP="00F31937">
            <w:pPr>
              <w:ind w:left="-109"/>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4C61E57E" w14:textId="77777777" w:rsidR="000A7D9D" w:rsidRPr="00EC1412" w:rsidRDefault="000A7D9D" w:rsidP="00F31937">
            <w:pPr>
              <w:ind w:left="-107"/>
              <w:jc w:val="right"/>
              <w:rPr>
                <w:b/>
                <w:caps/>
                <w:noProof/>
                <w:sz w:val="18"/>
                <w:szCs w:val="18"/>
              </w:rPr>
            </w:pPr>
            <w:r>
              <w:rPr>
                <w:b/>
                <w:caps/>
                <w:noProof/>
                <w:sz w:val="18"/>
                <w:szCs w:val="18"/>
              </w:rPr>
              <w:t>TA</w:t>
            </w:r>
          </w:p>
        </w:tc>
        <w:tc>
          <w:tcPr>
            <w:tcW w:w="426" w:type="dxa"/>
            <w:tcBorders>
              <w:left w:val="dotted" w:sz="4" w:space="0" w:color="auto"/>
              <w:bottom w:val="single" w:sz="4" w:space="0" w:color="auto"/>
              <w:right w:val="single" w:sz="4" w:space="0" w:color="auto"/>
            </w:tcBorders>
            <w:shd w:val="clear" w:color="auto" w:fill="BFBFBF" w:themeFill="background1" w:themeFillShade="BF"/>
          </w:tcPr>
          <w:p w14:paraId="62ADF7ED" w14:textId="77777777" w:rsidR="000A7D9D" w:rsidRPr="00EC1412" w:rsidRDefault="000A7D9D" w:rsidP="00F31937">
            <w:pPr>
              <w:ind w:left="-107"/>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470D212E" w14:textId="77777777" w:rsidR="000A7D9D" w:rsidRPr="00EC1412" w:rsidRDefault="000A7D9D" w:rsidP="00F31937">
            <w:pPr>
              <w:ind w:left="-112"/>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5DBEB2A2" w14:textId="77777777" w:rsidR="000A7D9D" w:rsidRPr="00EC1412" w:rsidRDefault="000A7D9D" w:rsidP="00F31937">
            <w:pPr>
              <w:ind w:left="-112"/>
              <w:jc w:val="right"/>
              <w:rPr>
                <w:b/>
                <w:caps/>
                <w:noProof/>
                <w:sz w:val="18"/>
                <w:szCs w:val="18"/>
              </w:rPr>
            </w:pPr>
            <w:r>
              <w:rPr>
                <w:b/>
                <w:caps/>
                <w:noProof/>
                <w:sz w:val="18"/>
                <w:szCs w:val="18"/>
              </w:rPr>
              <w:t>CA</w:t>
            </w:r>
          </w:p>
        </w:tc>
        <w:tc>
          <w:tcPr>
            <w:tcW w:w="709" w:type="dxa"/>
            <w:tcBorders>
              <w:left w:val="single" w:sz="4" w:space="0" w:color="auto"/>
              <w:bottom w:val="nil"/>
              <w:right w:val="single" w:sz="4" w:space="0" w:color="auto"/>
            </w:tcBorders>
            <w:shd w:val="clear" w:color="auto" w:fill="BFBFBF" w:themeFill="background1" w:themeFillShade="BF"/>
          </w:tcPr>
          <w:p w14:paraId="77D7D148" w14:textId="77777777" w:rsidR="000A7D9D" w:rsidRPr="00EC1412" w:rsidRDefault="000A7D9D" w:rsidP="00F31937">
            <w:pPr>
              <w:jc w:val="right"/>
              <w:rPr>
                <w:b/>
                <w:caps/>
                <w:noProof/>
                <w:sz w:val="18"/>
                <w:szCs w:val="18"/>
              </w:rPr>
            </w:pPr>
          </w:p>
        </w:tc>
        <w:tc>
          <w:tcPr>
            <w:tcW w:w="709" w:type="dxa"/>
            <w:tcBorders>
              <w:left w:val="single" w:sz="4" w:space="0" w:color="auto"/>
              <w:bottom w:val="nil"/>
              <w:right w:val="single" w:sz="4" w:space="0" w:color="auto"/>
            </w:tcBorders>
            <w:shd w:val="clear" w:color="auto" w:fill="BFBFBF" w:themeFill="background1" w:themeFillShade="BF"/>
          </w:tcPr>
          <w:p w14:paraId="2D84AE98" w14:textId="77777777" w:rsidR="000A7D9D" w:rsidRPr="00EC1412" w:rsidRDefault="000A7D9D" w:rsidP="00F31937">
            <w:pPr>
              <w:jc w:val="right"/>
              <w:rPr>
                <w:b/>
                <w:caps/>
                <w:noProof/>
                <w:sz w:val="18"/>
                <w:szCs w:val="18"/>
              </w:rPr>
            </w:pPr>
          </w:p>
        </w:tc>
        <w:tc>
          <w:tcPr>
            <w:tcW w:w="708" w:type="dxa"/>
            <w:tcBorders>
              <w:left w:val="single" w:sz="4" w:space="0" w:color="auto"/>
              <w:bottom w:val="nil"/>
              <w:right w:val="single" w:sz="4" w:space="0" w:color="auto"/>
            </w:tcBorders>
            <w:shd w:val="clear" w:color="auto" w:fill="BFBFBF" w:themeFill="background1" w:themeFillShade="BF"/>
          </w:tcPr>
          <w:p w14:paraId="562AC560" w14:textId="77777777" w:rsidR="000A7D9D" w:rsidRPr="00EC1412" w:rsidRDefault="000A7D9D" w:rsidP="00F31937">
            <w:pPr>
              <w:jc w:val="right"/>
              <w:rPr>
                <w:b/>
                <w:caps/>
                <w:noProof/>
                <w:sz w:val="18"/>
                <w:szCs w:val="18"/>
              </w:rPr>
            </w:pPr>
          </w:p>
        </w:tc>
        <w:tc>
          <w:tcPr>
            <w:tcW w:w="567" w:type="dxa"/>
            <w:tcBorders>
              <w:left w:val="single" w:sz="4" w:space="0" w:color="auto"/>
              <w:bottom w:val="nil"/>
            </w:tcBorders>
            <w:shd w:val="clear" w:color="auto" w:fill="BFBFBF" w:themeFill="background1" w:themeFillShade="BF"/>
          </w:tcPr>
          <w:p w14:paraId="41E2CAA4" w14:textId="77777777" w:rsidR="000A7D9D" w:rsidRPr="00EC1412" w:rsidRDefault="000A7D9D" w:rsidP="00F31937">
            <w:pPr>
              <w:jc w:val="right"/>
              <w:rPr>
                <w:b/>
                <w:caps/>
                <w:noProof/>
                <w:sz w:val="18"/>
                <w:szCs w:val="18"/>
              </w:rPr>
            </w:pPr>
          </w:p>
        </w:tc>
      </w:tr>
      <w:tr w:rsidR="000A7D9D" w:rsidRPr="00EC1412" w14:paraId="6AEE5FDC" w14:textId="77777777" w:rsidTr="00F31937">
        <w:tc>
          <w:tcPr>
            <w:tcW w:w="9639" w:type="dxa"/>
            <w:gridSpan w:val="13"/>
            <w:tcBorders>
              <w:bottom w:val="single" w:sz="4" w:space="0" w:color="auto"/>
            </w:tcBorders>
            <w:shd w:val="clear" w:color="auto" w:fill="BFBFBF" w:themeFill="background1" w:themeFillShade="BF"/>
          </w:tcPr>
          <w:p w14:paraId="680A370A" w14:textId="77777777" w:rsidR="000A7D9D" w:rsidRPr="00EC1412" w:rsidRDefault="000A7D9D" w:rsidP="00F31937">
            <w:pPr>
              <w:rPr>
                <w:b/>
                <w:caps/>
                <w:noProof/>
                <w:sz w:val="18"/>
                <w:szCs w:val="18"/>
              </w:rPr>
            </w:pPr>
            <w:r>
              <w:rPr>
                <w:b/>
                <w:noProof/>
                <w:sz w:val="18"/>
                <w:szCs w:val="18"/>
              </w:rPr>
              <w:t>Already adopted by the co-legislators</w:t>
            </w:r>
          </w:p>
        </w:tc>
      </w:tr>
      <w:tr w:rsidR="000A7D9D" w:rsidRPr="00EC1412" w14:paraId="7DAFFD3C" w14:textId="77777777" w:rsidTr="00F31937">
        <w:tc>
          <w:tcPr>
            <w:tcW w:w="3544" w:type="dxa"/>
            <w:tcBorders>
              <w:bottom w:val="single" w:sz="4" w:space="0" w:color="auto"/>
              <w:right w:val="single" w:sz="4" w:space="0" w:color="auto"/>
            </w:tcBorders>
            <w:shd w:val="clear" w:color="auto" w:fill="FFF4CC"/>
          </w:tcPr>
          <w:p w14:paraId="55E063F8" w14:textId="77777777" w:rsidR="000A7D9D" w:rsidRDefault="000A7D9D" w:rsidP="00F31937">
            <w:pPr>
              <w:jc w:val="both"/>
              <w:rPr>
                <w:noProof/>
                <w:sz w:val="18"/>
                <w:szCs w:val="18"/>
              </w:rPr>
            </w:pPr>
            <w:r>
              <w:rPr>
                <w:noProof/>
                <w:sz w:val="18"/>
                <w:szCs w:val="18"/>
              </w:rPr>
              <w:t>Drinking water directive</w:t>
            </w:r>
          </w:p>
          <w:p w14:paraId="1C681469" w14:textId="77777777" w:rsidR="000A7D9D" w:rsidRPr="00EC1412" w:rsidRDefault="000A7D9D" w:rsidP="00F31937">
            <w:pPr>
              <w:jc w:val="both"/>
              <w:rPr>
                <w:noProof/>
                <w:sz w:val="18"/>
                <w:szCs w:val="18"/>
              </w:rPr>
            </w:pPr>
          </w:p>
        </w:tc>
        <w:tc>
          <w:tcPr>
            <w:tcW w:w="425" w:type="dxa"/>
            <w:tcBorders>
              <w:left w:val="single" w:sz="4" w:space="0" w:color="auto"/>
              <w:bottom w:val="single" w:sz="4" w:space="0" w:color="auto"/>
              <w:right w:val="dotted" w:sz="4" w:space="0" w:color="auto"/>
            </w:tcBorders>
            <w:shd w:val="clear" w:color="auto" w:fill="FFF4CC"/>
          </w:tcPr>
          <w:p w14:paraId="5FE3C886" w14:textId="77777777" w:rsidR="000A7D9D" w:rsidRPr="00EC1412" w:rsidRDefault="000A7D9D" w:rsidP="00F31937">
            <w:pPr>
              <w:jc w:val="right"/>
              <w:rPr>
                <w:caps/>
                <w:noProof/>
                <w:sz w:val="18"/>
                <w:szCs w:val="18"/>
              </w:rPr>
            </w:pPr>
            <w:r>
              <w:rPr>
                <w:caps/>
                <w:noProof/>
                <w:sz w:val="18"/>
                <w:szCs w:val="18"/>
              </w:rPr>
              <w:t>3</w:t>
            </w:r>
          </w:p>
        </w:tc>
        <w:tc>
          <w:tcPr>
            <w:tcW w:w="426" w:type="dxa"/>
            <w:tcBorders>
              <w:left w:val="dotted" w:sz="4" w:space="0" w:color="auto"/>
              <w:bottom w:val="single" w:sz="4" w:space="0" w:color="auto"/>
              <w:right w:val="single" w:sz="4" w:space="0" w:color="auto"/>
            </w:tcBorders>
            <w:shd w:val="clear" w:color="auto" w:fill="FFF4CC"/>
          </w:tcPr>
          <w:p w14:paraId="4090A85A"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single" w:sz="4" w:space="0" w:color="auto"/>
              <w:bottom w:val="single" w:sz="4" w:space="0" w:color="auto"/>
              <w:right w:val="dotted" w:sz="4" w:space="0" w:color="auto"/>
            </w:tcBorders>
            <w:shd w:val="clear" w:color="auto" w:fill="FFF4CC"/>
          </w:tcPr>
          <w:p w14:paraId="08975F36" w14:textId="77777777" w:rsidR="000A7D9D" w:rsidRPr="00EC1412" w:rsidRDefault="000A7D9D" w:rsidP="00F31937">
            <w:pPr>
              <w:jc w:val="right"/>
              <w:rPr>
                <w:caps/>
                <w:noProof/>
                <w:sz w:val="18"/>
                <w:szCs w:val="18"/>
              </w:rPr>
            </w:pPr>
            <w:r>
              <w:rPr>
                <w:caps/>
                <w:noProof/>
                <w:sz w:val="18"/>
                <w:szCs w:val="18"/>
              </w:rPr>
              <w:t>6</w:t>
            </w:r>
          </w:p>
        </w:tc>
        <w:tc>
          <w:tcPr>
            <w:tcW w:w="425" w:type="dxa"/>
            <w:tcBorders>
              <w:left w:val="dotted" w:sz="4" w:space="0" w:color="auto"/>
              <w:bottom w:val="single" w:sz="4" w:space="0" w:color="auto"/>
              <w:right w:val="single" w:sz="4" w:space="0" w:color="auto"/>
            </w:tcBorders>
            <w:shd w:val="clear" w:color="auto" w:fill="FFF4CC"/>
          </w:tcPr>
          <w:p w14:paraId="322C5E47"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single" w:sz="4" w:space="0" w:color="auto"/>
              <w:bottom w:val="single" w:sz="4" w:space="0" w:color="auto"/>
              <w:right w:val="dotted" w:sz="4" w:space="0" w:color="auto"/>
            </w:tcBorders>
            <w:shd w:val="clear" w:color="auto" w:fill="FFF4CC"/>
          </w:tcPr>
          <w:p w14:paraId="6B29A474" w14:textId="77777777" w:rsidR="000A7D9D" w:rsidRPr="00EC1412" w:rsidRDefault="000A7D9D" w:rsidP="00F31937">
            <w:pPr>
              <w:jc w:val="right"/>
              <w:rPr>
                <w:caps/>
                <w:noProof/>
                <w:sz w:val="18"/>
                <w:szCs w:val="18"/>
              </w:rPr>
            </w:pPr>
            <w:r>
              <w:rPr>
                <w:caps/>
                <w:noProof/>
                <w:sz w:val="18"/>
                <w:szCs w:val="18"/>
              </w:rPr>
              <w:t>7</w:t>
            </w:r>
          </w:p>
        </w:tc>
        <w:tc>
          <w:tcPr>
            <w:tcW w:w="426" w:type="dxa"/>
            <w:tcBorders>
              <w:left w:val="dotted" w:sz="4" w:space="0" w:color="auto"/>
              <w:bottom w:val="single" w:sz="4" w:space="0" w:color="auto"/>
              <w:right w:val="single" w:sz="4" w:space="0" w:color="auto"/>
            </w:tcBorders>
            <w:shd w:val="clear" w:color="auto" w:fill="FFF4CC"/>
          </w:tcPr>
          <w:p w14:paraId="3796EE1A"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single" w:sz="4" w:space="0" w:color="auto"/>
              <w:bottom w:val="single" w:sz="4" w:space="0" w:color="auto"/>
              <w:right w:val="dotted" w:sz="4" w:space="0" w:color="auto"/>
            </w:tcBorders>
            <w:shd w:val="clear" w:color="auto" w:fill="FFF4CC"/>
          </w:tcPr>
          <w:p w14:paraId="34392DF1" w14:textId="77777777" w:rsidR="000A7D9D" w:rsidRPr="00EC1412" w:rsidRDefault="000A7D9D" w:rsidP="00F31937">
            <w:pPr>
              <w:jc w:val="right"/>
              <w:rPr>
                <w:caps/>
                <w:noProof/>
                <w:sz w:val="18"/>
                <w:szCs w:val="18"/>
              </w:rPr>
            </w:pPr>
            <w:r>
              <w:rPr>
                <w:caps/>
                <w:noProof/>
                <w:sz w:val="18"/>
                <w:szCs w:val="18"/>
              </w:rPr>
              <w:t>8</w:t>
            </w:r>
          </w:p>
        </w:tc>
        <w:tc>
          <w:tcPr>
            <w:tcW w:w="425" w:type="dxa"/>
            <w:tcBorders>
              <w:left w:val="dotted" w:sz="4" w:space="0" w:color="auto"/>
              <w:bottom w:val="single" w:sz="4" w:space="0" w:color="auto"/>
              <w:right w:val="single" w:sz="4" w:space="0" w:color="auto"/>
            </w:tcBorders>
            <w:shd w:val="clear" w:color="auto" w:fill="FFF4CC"/>
          </w:tcPr>
          <w:p w14:paraId="10A44FDE" w14:textId="77777777" w:rsidR="000A7D9D" w:rsidRPr="00EC1412" w:rsidRDefault="000A7D9D" w:rsidP="00F31937">
            <w:pPr>
              <w:jc w:val="right"/>
              <w:rPr>
                <w:caps/>
                <w:noProof/>
                <w:sz w:val="18"/>
                <w:szCs w:val="18"/>
              </w:rPr>
            </w:pPr>
            <w:r>
              <w:rPr>
                <w:caps/>
                <w:noProof/>
                <w:sz w:val="18"/>
                <w:szCs w:val="18"/>
              </w:rPr>
              <w:t>3</w:t>
            </w:r>
          </w:p>
        </w:tc>
        <w:tc>
          <w:tcPr>
            <w:tcW w:w="709" w:type="dxa"/>
            <w:tcBorders>
              <w:left w:val="single" w:sz="4" w:space="0" w:color="auto"/>
              <w:bottom w:val="single" w:sz="4" w:space="0" w:color="auto"/>
              <w:right w:val="single" w:sz="4" w:space="0" w:color="auto"/>
            </w:tcBorders>
            <w:shd w:val="clear" w:color="auto" w:fill="FFF4CC"/>
          </w:tcPr>
          <w:p w14:paraId="0A98BEE9" w14:textId="77777777" w:rsidR="000A7D9D" w:rsidRPr="00EC1412" w:rsidRDefault="000A7D9D" w:rsidP="00F31937">
            <w:pPr>
              <w:jc w:val="right"/>
              <w:rPr>
                <w:noProof/>
                <w:sz w:val="18"/>
                <w:szCs w:val="18"/>
              </w:rPr>
            </w:pPr>
            <w:r w:rsidRPr="00EC1412">
              <w:rPr>
                <w:noProof/>
                <w:sz w:val="18"/>
                <w:szCs w:val="18"/>
              </w:rPr>
              <w:t>510</w:t>
            </w:r>
          </w:p>
        </w:tc>
        <w:tc>
          <w:tcPr>
            <w:tcW w:w="709" w:type="dxa"/>
            <w:tcBorders>
              <w:left w:val="single" w:sz="4" w:space="0" w:color="auto"/>
              <w:bottom w:val="single" w:sz="4" w:space="0" w:color="auto"/>
              <w:right w:val="single" w:sz="4" w:space="0" w:color="auto"/>
            </w:tcBorders>
            <w:shd w:val="clear" w:color="auto" w:fill="FFF4CC"/>
          </w:tcPr>
          <w:p w14:paraId="20E09A28" w14:textId="77777777" w:rsidR="000A7D9D" w:rsidRPr="00EC1412" w:rsidRDefault="000A7D9D" w:rsidP="00F31937">
            <w:pPr>
              <w:jc w:val="right"/>
              <w:rPr>
                <w:noProof/>
                <w:sz w:val="18"/>
                <w:szCs w:val="18"/>
              </w:rPr>
            </w:pPr>
            <w:r w:rsidRPr="00EC1412">
              <w:rPr>
                <w:noProof/>
                <w:sz w:val="18"/>
                <w:szCs w:val="18"/>
              </w:rPr>
              <w:t>520</w:t>
            </w:r>
          </w:p>
        </w:tc>
        <w:tc>
          <w:tcPr>
            <w:tcW w:w="708" w:type="dxa"/>
            <w:tcBorders>
              <w:left w:val="single" w:sz="4" w:space="0" w:color="auto"/>
              <w:bottom w:val="single" w:sz="4" w:space="0" w:color="auto"/>
              <w:right w:val="single" w:sz="4" w:space="0" w:color="auto"/>
            </w:tcBorders>
            <w:shd w:val="clear" w:color="auto" w:fill="FFF4CC"/>
          </w:tcPr>
          <w:p w14:paraId="6386BC22" w14:textId="77777777" w:rsidR="000A7D9D" w:rsidRPr="00EC1412" w:rsidRDefault="000A7D9D" w:rsidP="00F31937">
            <w:pPr>
              <w:jc w:val="right"/>
              <w:rPr>
                <w:noProof/>
                <w:sz w:val="18"/>
                <w:szCs w:val="18"/>
              </w:rPr>
            </w:pPr>
            <w:r w:rsidRPr="00EC1412">
              <w:rPr>
                <w:noProof/>
                <w:sz w:val="18"/>
                <w:szCs w:val="18"/>
              </w:rPr>
              <w:t>530</w:t>
            </w:r>
          </w:p>
        </w:tc>
        <w:tc>
          <w:tcPr>
            <w:tcW w:w="567" w:type="dxa"/>
            <w:tcBorders>
              <w:left w:val="single" w:sz="4" w:space="0" w:color="auto"/>
              <w:bottom w:val="single" w:sz="4" w:space="0" w:color="auto"/>
            </w:tcBorders>
            <w:shd w:val="clear" w:color="auto" w:fill="FFF4CC"/>
          </w:tcPr>
          <w:p w14:paraId="42EC48C1" w14:textId="77777777" w:rsidR="000A7D9D" w:rsidRPr="00EC1412" w:rsidRDefault="000A7D9D" w:rsidP="00F31937">
            <w:pPr>
              <w:jc w:val="right"/>
              <w:rPr>
                <w:noProof/>
                <w:sz w:val="18"/>
                <w:szCs w:val="18"/>
              </w:rPr>
            </w:pPr>
            <w:r w:rsidRPr="00EC1412">
              <w:rPr>
                <w:noProof/>
                <w:sz w:val="18"/>
                <w:szCs w:val="18"/>
              </w:rPr>
              <w:t>540</w:t>
            </w:r>
          </w:p>
        </w:tc>
      </w:tr>
      <w:tr w:rsidR="000A7D9D" w:rsidRPr="00EC1412" w14:paraId="12132517" w14:textId="77777777" w:rsidTr="00F31937">
        <w:tc>
          <w:tcPr>
            <w:tcW w:w="3544" w:type="dxa"/>
            <w:tcBorders>
              <w:bottom w:val="single" w:sz="4" w:space="0" w:color="auto"/>
              <w:right w:val="single" w:sz="4" w:space="0" w:color="auto"/>
            </w:tcBorders>
            <w:shd w:val="clear" w:color="auto" w:fill="C1ECFF"/>
          </w:tcPr>
          <w:p w14:paraId="6392E0EE" w14:textId="77777777" w:rsidR="000A7D9D" w:rsidRPr="00EC1412" w:rsidRDefault="000A7D9D" w:rsidP="00F31937">
            <w:pPr>
              <w:jc w:val="both"/>
              <w:rPr>
                <w:caps/>
                <w:noProof/>
                <w:sz w:val="18"/>
                <w:szCs w:val="18"/>
              </w:rPr>
            </w:pPr>
            <w:r>
              <w:rPr>
                <w:noProof/>
                <w:sz w:val="18"/>
                <w:szCs w:val="18"/>
              </w:rPr>
              <w:t>Regulation on s</w:t>
            </w:r>
            <w:r w:rsidRPr="00EC1412">
              <w:rPr>
                <w:noProof/>
                <w:sz w:val="18"/>
                <w:szCs w:val="18"/>
              </w:rPr>
              <w:t>erious cross-border threat</w:t>
            </w:r>
            <w:r>
              <w:rPr>
                <w:noProof/>
                <w:sz w:val="18"/>
                <w:szCs w:val="18"/>
              </w:rPr>
              <w:t>s to health</w:t>
            </w:r>
            <w:r w:rsidRPr="00EC1412">
              <w:rPr>
                <w:noProof/>
                <w:sz w:val="18"/>
                <w:szCs w:val="18"/>
              </w:rPr>
              <w:t xml:space="preserve"> </w:t>
            </w:r>
          </w:p>
        </w:tc>
        <w:tc>
          <w:tcPr>
            <w:tcW w:w="425" w:type="dxa"/>
            <w:tcBorders>
              <w:left w:val="single" w:sz="4" w:space="0" w:color="auto"/>
              <w:bottom w:val="single" w:sz="4" w:space="0" w:color="auto"/>
              <w:right w:val="dotted" w:sz="4" w:space="0" w:color="auto"/>
            </w:tcBorders>
            <w:shd w:val="clear" w:color="auto" w:fill="C1ECFF"/>
          </w:tcPr>
          <w:p w14:paraId="14CBE74D"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left w:val="dotted" w:sz="4" w:space="0" w:color="auto"/>
              <w:bottom w:val="single" w:sz="4" w:space="0" w:color="auto"/>
              <w:right w:val="single" w:sz="4" w:space="0" w:color="auto"/>
            </w:tcBorders>
            <w:shd w:val="clear" w:color="auto" w:fill="C1ECFF"/>
          </w:tcPr>
          <w:p w14:paraId="6D752A78"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42EB31F5"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53E8614A"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14E93332"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left w:val="dotted" w:sz="4" w:space="0" w:color="auto"/>
              <w:bottom w:val="single" w:sz="4" w:space="0" w:color="auto"/>
              <w:right w:val="single" w:sz="4" w:space="0" w:color="auto"/>
            </w:tcBorders>
            <w:shd w:val="clear" w:color="auto" w:fill="C1ECFF"/>
          </w:tcPr>
          <w:p w14:paraId="515DBA70"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13C63A26"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36B18704" w14:textId="77777777" w:rsidR="000A7D9D" w:rsidRPr="00EC1412" w:rsidRDefault="000A7D9D" w:rsidP="00F31937">
            <w:pPr>
              <w:jc w:val="right"/>
              <w:rPr>
                <w:caps/>
                <w:noProof/>
                <w:sz w:val="18"/>
                <w:szCs w:val="18"/>
              </w:rPr>
            </w:pPr>
          </w:p>
        </w:tc>
        <w:tc>
          <w:tcPr>
            <w:tcW w:w="709" w:type="dxa"/>
            <w:tcBorders>
              <w:left w:val="single" w:sz="4" w:space="0" w:color="auto"/>
              <w:bottom w:val="single" w:sz="4" w:space="0" w:color="auto"/>
              <w:right w:val="single" w:sz="4" w:space="0" w:color="auto"/>
            </w:tcBorders>
            <w:shd w:val="clear" w:color="auto" w:fill="C1ECFF"/>
          </w:tcPr>
          <w:p w14:paraId="53957BAB" w14:textId="77777777" w:rsidR="000A7D9D" w:rsidRPr="00EC1412" w:rsidRDefault="000A7D9D" w:rsidP="00F31937">
            <w:pPr>
              <w:jc w:val="right"/>
              <w:rPr>
                <w:caps/>
                <w:noProof/>
                <w:sz w:val="18"/>
                <w:szCs w:val="18"/>
              </w:rPr>
            </w:pPr>
            <w:r w:rsidRPr="00EC1412">
              <w:rPr>
                <w:noProof/>
                <w:sz w:val="18"/>
                <w:szCs w:val="18"/>
              </w:rPr>
              <w:t>0</w:t>
            </w:r>
          </w:p>
        </w:tc>
        <w:tc>
          <w:tcPr>
            <w:tcW w:w="709" w:type="dxa"/>
            <w:tcBorders>
              <w:left w:val="single" w:sz="4" w:space="0" w:color="auto"/>
              <w:bottom w:val="single" w:sz="4" w:space="0" w:color="auto"/>
              <w:right w:val="single" w:sz="4" w:space="0" w:color="auto"/>
            </w:tcBorders>
            <w:shd w:val="clear" w:color="auto" w:fill="C1ECFF"/>
          </w:tcPr>
          <w:p w14:paraId="28B63972" w14:textId="77777777" w:rsidR="000A7D9D" w:rsidRPr="00EC1412" w:rsidRDefault="000A7D9D" w:rsidP="00F31937">
            <w:pPr>
              <w:jc w:val="right"/>
              <w:rPr>
                <w:caps/>
                <w:noProof/>
                <w:sz w:val="18"/>
                <w:szCs w:val="18"/>
              </w:rPr>
            </w:pPr>
            <w:r w:rsidRPr="00EC1412">
              <w:rPr>
                <w:noProof/>
                <w:sz w:val="18"/>
                <w:szCs w:val="18"/>
              </w:rPr>
              <w:t>0</w:t>
            </w:r>
          </w:p>
        </w:tc>
        <w:tc>
          <w:tcPr>
            <w:tcW w:w="708" w:type="dxa"/>
            <w:tcBorders>
              <w:left w:val="single" w:sz="4" w:space="0" w:color="auto"/>
              <w:bottom w:val="single" w:sz="4" w:space="0" w:color="auto"/>
              <w:right w:val="single" w:sz="4" w:space="0" w:color="auto"/>
            </w:tcBorders>
            <w:shd w:val="clear" w:color="auto" w:fill="C1ECFF"/>
          </w:tcPr>
          <w:p w14:paraId="71C69A96" w14:textId="77777777" w:rsidR="000A7D9D" w:rsidRPr="00EC1412" w:rsidRDefault="000A7D9D" w:rsidP="00F31937">
            <w:pPr>
              <w:jc w:val="right"/>
              <w:rPr>
                <w:caps/>
                <w:noProof/>
                <w:sz w:val="18"/>
                <w:szCs w:val="18"/>
              </w:rPr>
            </w:pPr>
            <w:r w:rsidRPr="00EC1412">
              <w:rPr>
                <w:noProof/>
                <w:sz w:val="18"/>
                <w:szCs w:val="18"/>
              </w:rPr>
              <w:t>0</w:t>
            </w:r>
          </w:p>
        </w:tc>
        <w:tc>
          <w:tcPr>
            <w:tcW w:w="567" w:type="dxa"/>
            <w:tcBorders>
              <w:left w:val="single" w:sz="4" w:space="0" w:color="auto"/>
              <w:bottom w:val="single" w:sz="4" w:space="0" w:color="auto"/>
            </w:tcBorders>
            <w:shd w:val="clear" w:color="auto" w:fill="C1ECFF"/>
          </w:tcPr>
          <w:p w14:paraId="6B2553F7" w14:textId="77777777" w:rsidR="000A7D9D" w:rsidRPr="00EC1412" w:rsidRDefault="000A7D9D" w:rsidP="00F31937">
            <w:pPr>
              <w:jc w:val="right"/>
              <w:rPr>
                <w:caps/>
                <w:noProof/>
                <w:sz w:val="18"/>
                <w:szCs w:val="18"/>
              </w:rPr>
            </w:pPr>
            <w:r w:rsidRPr="00EC1412">
              <w:rPr>
                <w:noProof/>
                <w:sz w:val="18"/>
                <w:szCs w:val="18"/>
              </w:rPr>
              <w:t>0</w:t>
            </w:r>
          </w:p>
        </w:tc>
      </w:tr>
      <w:tr w:rsidR="000A7D9D" w:rsidRPr="00EC1412" w14:paraId="53BEF399" w14:textId="77777777" w:rsidTr="00F31937">
        <w:tc>
          <w:tcPr>
            <w:tcW w:w="3544" w:type="dxa"/>
            <w:tcBorders>
              <w:bottom w:val="single" w:sz="4" w:space="0" w:color="auto"/>
              <w:right w:val="single" w:sz="4" w:space="0" w:color="auto"/>
            </w:tcBorders>
            <w:shd w:val="clear" w:color="auto" w:fill="FFF4CC"/>
          </w:tcPr>
          <w:p w14:paraId="0382AEAA" w14:textId="77777777" w:rsidR="000A7D9D" w:rsidRPr="00EC1412" w:rsidRDefault="000A7D9D" w:rsidP="00F31937">
            <w:pPr>
              <w:jc w:val="both"/>
              <w:rPr>
                <w:caps/>
                <w:noProof/>
                <w:sz w:val="18"/>
                <w:szCs w:val="18"/>
              </w:rPr>
            </w:pPr>
            <w:r>
              <w:rPr>
                <w:noProof/>
                <w:sz w:val="18"/>
                <w:szCs w:val="18"/>
              </w:rPr>
              <w:t xml:space="preserve">European Partnership for the Assessment of Risks from Chemicals </w:t>
            </w:r>
          </w:p>
        </w:tc>
        <w:tc>
          <w:tcPr>
            <w:tcW w:w="425" w:type="dxa"/>
            <w:tcBorders>
              <w:left w:val="single" w:sz="4" w:space="0" w:color="auto"/>
              <w:bottom w:val="single" w:sz="4" w:space="0" w:color="auto"/>
              <w:right w:val="dotted" w:sz="4" w:space="0" w:color="auto"/>
            </w:tcBorders>
            <w:shd w:val="clear" w:color="auto" w:fill="FFF4CC"/>
          </w:tcPr>
          <w:p w14:paraId="477351ED" w14:textId="77777777" w:rsidR="000A7D9D" w:rsidRPr="00EC1412" w:rsidRDefault="000A7D9D" w:rsidP="00F31937">
            <w:pPr>
              <w:ind w:left="-449"/>
              <w:jc w:val="right"/>
              <w:rPr>
                <w:caps/>
                <w:noProof/>
                <w:sz w:val="18"/>
                <w:szCs w:val="18"/>
              </w:rPr>
            </w:pPr>
            <w:r>
              <w:rPr>
                <w:caps/>
                <w:noProof/>
                <w:sz w:val="18"/>
                <w:szCs w:val="18"/>
              </w:rPr>
              <w:t>0</w:t>
            </w:r>
          </w:p>
        </w:tc>
        <w:tc>
          <w:tcPr>
            <w:tcW w:w="426" w:type="dxa"/>
            <w:tcBorders>
              <w:left w:val="dotted" w:sz="4" w:space="0" w:color="auto"/>
              <w:bottom w:val="single" w:sz="4" w:space="0" w:color="auto"/>
              <w:right w:val="single" w:sz="4" w:space="0" w:color="auto"/>
            </w:tcBorders>
            <w:shd w:val="clear" w:color="auto" w:fill="FFF4CC"/>
          </w:tcPr>
          <w:p w14:paraId="2E1AC458" w14:textId="77777777" w:rsidR="000A7D9D" w:rsidRPr="00EC1412" w:rsidRDefault="000A7D9D" w:rsidP="00F31937">
            <w:pPr>
              <w:ind w:left="-449"/>
              <w:jc w:val="right"/>
              <w:rPr>
                <w:caps/>
                <w:noProof/>
                <w:sz w:val="18"/>
                <w:szCs w:val="18"/>
              </w:rPr>
            </w:pPr>
            <w:r>
              <w:rPr>
                <w:caps/>
                <w:noProof/>
                <w:sz w:val="18"/>
                <w:szCs w:val="18"/>
              </w:rPr>
              <w:t>4</w:t>
            </w:r>
          </w:p>
        </w:tc>
        <w:tc>
          <w:tcPr>
            <w:tcW w:w="425" w:type="dxa"/>
            <w:tcBorders>
              <w:left w:val="single" w:sz="4" w:space="0" w:color="auto"/>
              <w:bottom w:val="single" w:sz="4" w:space="0" w:color="auto"/>
              <w:right w:val="dotted" w:sz="4" w:space="0" w:color="auto"/>
            </w:tcBorders>
            <w:shd w:val="clear" w:color="auto" w:fill="FFF4CC"/>
          </w:tcPr>
          <w:p w14:paraId="53EB363D"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018CACF0" w14:textId="77777777" w:rsidR="000A7D9D" w:rsidRPr="00EC1412" w:rsidRDefault="000A7D9D" w:rsidP="00F31937">
            <w:pPr>
              <w:jc w:val="right"/>
              <w:rPr>
                <w:caps/>
                <w:noProof/>
                <w:sz w:val="18"/>
                <w:szCs w:val="18"/>
              </w:rPr>
            </w:pPr>
            <w:r>
              <w:rPr>
                <w:caps/>
                <w:noProof/>
                <w:sz w:val="18"/>
                <w:szCs w:val="18"/>
              </w:rPr>
              <w:t>4</w:t>
            </w:r>
          </w:p>
        </w:tc>
        <w:tc>
          <w:tcPr>
            <w:tcW w:w="425" w:type="dxa"/>
            <w:tcBorders>
              <w:left w:val="single" w:sz="4" w:space="0" w:color="auto"/>
              <w:bottom w:val="single" w:sz="4" w:space="0" w:color="auto"/>
              <w:right w:val="dotted" w:sz="4" w:space="0" w:color="auto"/>
            </w:tcBorders>
            <w:shd w:val="clear" w:color="auto" w:fill="FFF4CC"/>
          </w:tcPr>
          <w:p w14:paraId="0CD32073"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dotted" w:sz="4" w:space="0" w:color="auto"/>
              <w:bottom w:val="single" w:sz="4" w:space="0" w:color="auto"/>
              <w:right w:val="single" w:sz="4" w:space="0" w:color="auto"/>
            </w:tcBorders>
            <w:shd w:val="clear" w:color="auto" w:fill="FFF4CC"/>
          </w:tcPr>
          <w:p w14:paraId="1A90842B" w14:textId="77777777" w:rsidR="000A7D9D" w:rsidRPr="00EC1412" w:rsidRDefault="000A7D9D" w:rsidP="00F31937">
            <w:pPr>
              <w:jc w:val="right"/>
              <w:rPr>
                <w:caps/>
                <w:noProof/>
                <w:sz w:val="18"/>
                <w:szCs w:val="18"/>
              </w:rPr>
            </w:pPr>
            <w:r>
              <w:rPr>
                <w:caps/>
                <w:noProof/>
                <w:sz w:val="18"/>
                <w:szCs w:val="18"/>
              </w:rPr>
              <w:t>4</w:t>
            </w:r>
          </w:p>
        </w:tc>
        <w:tc>
          <w:tcPr>
            <w:tcW w:w="425" w:type="dxa"/>
            <w:tcBorders>
              <w:left w:val="single" w:sz="4" w:space="0" w:color="auto"/>
              <w:bottom w:val="single" w:sz="4" w:space="0" w:color="auto"/>
              <w:right w:val="dotted" w:sz="4" w:space="0" w:color="auto"/>
            </w:tcBorders>
            <w:shd w:val="clear" w:color="auto" w:fill="FFF4CC"/>
          </w:tcPr>
          <w:p w14:paraId="352B20EE"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529B083D" w14:textId="77777777" w:rsidR="000A7D9D" w:rsidRPr="00EC1412" w:rsidRDefault="000A7D9D" w:rsidP="00F31937">
            <w:pPr>
              <w:jc w:val="right"/>
              <w:rPr>
                <w:caps/>
                <w:noProof/>
                <w:sz w:val="18"/>
                <w:szCs w:val="18"/>
              </w:rPr>
            </w:pPr>
            <w:r>
              <w:rPr>
                <w:caps/>
                <w:noProof/>
                <w:sz w:val="18"/>
                <w:szCs w:val="18"/>
              </w:rPr>
              <w:t>2</w:t>
            </w:r>
          </w:p>
        </w:tc>
        <w:tc>
          <w:tcPr>
            <w:tcW w:w="709" w:type="dxa"/>
            <w:tcBorders>
              <w:left w:val="single" w:sz="4" w:space="0" w:color="auto"/>
              <w:bottom w:val="single" w:sz="4" w:space="0" w:color="auto"/>
              <w:right w:val="single" w:sz="4" w:space="0" w:color="auto"/>
            </w:tcBorders>
            <w:shd w:val="clear" w:color="auto" w:fill="FFF4CC"/>
          </w:tcPr>
          <w:p w14:paraId="2097F014" w14:textId="77777777" w:rsidR="000A7D9D" w:rsidRPr="00EC1412" w:rsidRDefault="000A7D9D" w:rsidP="00F31937">
            <w:pPr>
              <w:jc w:val="right"/>
              <w:rPr>
                <w:caps/>
                <w:noProof/>
                <w:sz w:val="18"/>
                <w:szCs w:val="18"/>
              </w:rPr>
            </w:pPr>
            <w:r w:rsidRPr="00EC1412">
              <w:rPr>
                <w:noProof/>
                <w:sz w:val="18"/>
                <w:szCs w:val="18"/>
              </w:rPr>
              <w:t>289</w:t>
            </w:r>
          </w:p>
        </w:tc>
        <w:tc>
          <w:tcPr>
            <w:tcW w:w="709" w:type="dxa"/>
            <w:tcBorders>
              <w:left w:val="single" w:sz="4" w:space="0" w:color="auto"/>
              <w:bottom w:val="single" w:sz="4" w:space="0" w:color="auto"/>
              <w:right w:val="single" w:sz="4" w:space="0" w:color="auto"/>
            </w:tcBorders>
            <w:shd w:val="clear" w:color="auto" w:fill="FFF4CC"/>
          </w:tcPr>
          <w:p w14:paraId="7FE1FE3D" w14:textId="77777777" w:rsidR="000A7D9D" w:rsidRPr="00EC1412" w:rsidRDefault="000A7D9D" w:rsidP="00F31937">
            <w:pPr>
              <w:jc w:val="right"/>
              <w:rPr>
                <w:caps/>
                <w:noProof/>
                <w:sz w:val="18"/>
                <w:szCs w:val="18"/>
              </w:rPr>
            </w:pPr>
            <w:r w:rsidRPr="00EC1412">
              <w:rPr>
                <w:noProof/>
                <w:sz w:val="18"/>
                <w:szCs w:val="18"/>
              </w:rPr>
              <w:t>289</w:t>
            </w:r>
          </w:p>
        </w:tc>
        <w:tc>
          <w:tcPr>
            <w:tcW w:w="708" w:type="dxa"/>
            <w:tcBorders>
              <w:left w:val="single" w:sz="4" w:space="0" w:color="auto"/>
              <w:bottom w:val="single" w:sz="4" w:space="0" w:color="auto"/>
              <w:right w:val="single" w:sz="4" w:space="0" w:color="auto"/>
            </w:tcBorders>
            <w:shd w:val="clear" w:color="auto" w:fill="FFF4CC"/>
          </w:tcPr>
          <w:p w14:paraId="1BE3553C" w14:textId="77777777" w:rsidR="000A7D9D" w:rsidRPr="00EC1412" w:rsidRDefault="000A7D9D" w:rsidP="00F31937">
            <w:pPr>
              <w:jc w:val="right"/>
              <w:rPr>
                <w:caps/>
                <w:noProof/>
                <w:sz w:val="18"/>
                <w:szCs w:val="18"/>
              </w:rPr>
            </w:pPr>
            <w:r w:rsidRPr="00EC1412">
              <w:rPr>
                <w:noProof/>
                <w:sz w:val="18"/>
                <w:szCs w:val="18"/>
              </w:rPr>
              <w:t>289</w:t>
            </w:r>
          </w:p>
        </w:tc>
        <w:tc>
          <w:tcPr>
            <w:tcW w:w="567" w:type="dxa"/>
            <w:tcBorders>
              <w:left w:val="single" w:sz="4" w:space="0" w:color="auto"/>
              <w:bottom w:val="single" w:sz="4" w:space="0" w:color="auto"/>
            </w:tcBorders>
            <w:shd w:val="clear" w:color="auto" w:fill="FFF4CC"/>
          </w:tcPr>
          <w:p w14:paraId="7B49A800" w14:textId="77777777" w:rsidR="000A7D9D" w:rsidRPr="00EC1412" w:rsidRDefault="000A7D9D" w:rsidP="00F31937">
            <w:pPr>
              <w:jc w:val="right"/>
              <w:rPr>
                <w:caps/>
                <w:noProof/>
                <w:sz w:val="18"/>
                <w:szCs w:val="18"/>
              </w:rPr>
            </w:pPr>
            <w:r w:rsidRPr="00EC1412">
              <w:rPr>
                <w:noProof/>
                <w:sz w:val="18"/>
                <w:szCs w:val="18"/>
              </w:rPr>
              <w:t>0</w:t>
            </w:r>
          </w:p>
        </w:tc>
      </w:tr>
      <w:tr w:rsidR="000A7D9D" w:rsidRPr="00EC1412" w14:paraId="2631C3AE" w14:textId="77777777" w:rsidTr="00F31937">
        <w:tc>
          <w:tcPr>
            <w:tcW w:w="3544" w:type="dxa"/>
            <w:tcBorders>
              <w:bottom w:val="single" w:sz="4" w:space="0" w:color="auto"/>
              <w:right w:val="single" w:sz="4" w:space="0" w:color="auto"/>
            </w:tcBorders>
            <w:shd w:val="clear" w:color="auto" w:fill="C1ECFF"/>
          </w:tcPr>
          <w:p w14:paraId="5F940820" w14:textId="77777777" w:rsidR="000A7D9D" w:rsidRPr="00EC1412" w:rsidRDefault="000A7D9D" w:rsidP="00F31937">
            <w:pPr>
              <w:jc w:val="both"/>
              <w:rPr>
                <w:caps/>
                <w:noProof/>
                <w:sz w:val="18"/>
                <w:szCs w:val="18"/>
              </w:rPr>
            </w:pPr>
            <w:r>
              <w:rPr>
                <w:noProof/>
                <w:sz w:val="18"/>
                <w:szCs w:val="18"/>
              </w:rPr>
              <w:t xml:space="preserve">Commission implementing decision 2022/1979 under </w:t>
            </w:r>
            <w:r w:rsidRPr="00EC1412">
              <w:rPr>
                <w:noProof/>
                <w:sz w:val="18"/>
                <w:szCs w:val="18"/>
              </w:rPr>
              <w:t xml:space="preserve">SEVESO </w:t>
            </w:r>
            <w:r>
              <w:rPr>
                <w:noProof/>
                <w:sz w:val="18"/>
                <w:szCs w:val="18"/>
              </w:rPr>
              <w:t>directive</w:t>
            </w:r>
          </w:p>
        </w:tc>
        <w:tc>
          <w:tcPr>
            <w:tcW w:w="425" w:type="dxa"/>
            <w:tcBorders>
              <w:left w:val="single" w:sz="4" w:space="0" w:color="auto"/>
              <w:bottom w:val="single" w:sz="4" w:space="0" w:color="auto"/>
              <w:right w:val="dotted" w:sz="4" w:space="0" w:color="auto"/>
            </w:tcBorders>
            <w:shd w:val="clear" w:color="auto" w:fill="C1ECFF"/>
          </w:tcPr>
          <w:p w14:paraId="4D08A1C5" w14:textId="77777777" w:rsidR="000A7D9D" w:rsidRPr="00EC1412" w:rsidRDefault="000A7D9D" w:rsidP="00F31937">
            <w:pPr>
              <w:jc w:val="right"/>
              <w:rPr>
                <w:caps/>
                <w:noProof/>
                <w:sz w:val="18"/>
                <w:szCs w:val="18"/>
              </w:rPr>
            </w:pPr>
            <w:r>
              <w:rPr>
                <w:caps/>
                <w:noProof/>
                <w:sz w:val="18"/>
                <w:szCs w:val="18"/>
              </w:rPr>
              <w:t>3</w:t>
            </w:r>
          </w:p>
        </w:tc>
        <w:tc>
          <w:tcPr>
            <w:tcW w:w="426" w:type="dxa"/>
            <w:tcBorders>
              <w:left w:val="dotted" w:sz="4" w:space="0" w:color="auto"/>
              <w:bottom w:val="single" w:sz="4" w:space="0" w:color="auto"/>
              <w:right w:val="single" w:sz="4" w:space="0" w:color="auto"/>
            </w:tcBorders>
            <w:shd w:val="clear" w:color="auto" w:fill="C1ECFF"/>
          </w:tcPr>
          <w:p w14:paraId="5F32DCDA"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C1ECFF"/>
          </w:tcPr>
          <w:p w14:paraId="3D4F92AD"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C1ECFF"/>
          </w:tcPr>
          <w:p w14:paraId="30BADDE0"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C1ECFF"/>
          </w:tcPr>
          <w:p w14:paraId="0BDEAADA" w14:textId="77777777" w:rsidR="000A7D9D" w:rsidRPr="00EC1412" w:rsidRDefault="000A7D9D" w:rsidP="00F31937">
            <w:pPr>
              <w:jc w:val="right"/>
              <w:rPr>
                <w:caps/>
                <w:noProof/>
                <w:sz w:val="18"/>
                <w:szCs w:val="18"/>
              </w:rPr>
            </w:pPr>
            <w:r>
              <w:rPr>
                <w:caps/>
                <w:noProof/>
                <w:sz w:val="18"/>
                <w:szCs w:val="18"/>
              </w:rPr>
              <w:t>3</w:t>
            </w:r>
          </w:p>
        </w:tc>
        <w:tc>
          <w:tcPr>
            <w:tcW w:w="426" w:type="dxa"/>
            <w:tcBorders>
              <w:left w:val="dotted" w:sz="4" w:space="0" w:color="auto"/>
              <w:bottom w:val="single" w:sz="4" w:space="0" w:color="auto"/>
              <w:right w:val="single" w:sz="4" w:space="0" w:color="auto"/>
            </w:tcBorders>
            <w:shd w:val="clear" w:color="auto" w:fill="C1ECFF"/>
          </w:tcPr>
          <w:p w14:paraId="784D23D1"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C1ECFF"/>
          </w:tcPr>
          <w:p w14:paraId="4263F2BA"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C1ECFF"/>
          </w:tcPr>
          <w:p w14:paraId="0F638F55" w14:textId="77777777" w:rsidR="000A7D9D" w:rsidRPr="00EC1412" w:rsidRDefault="000A7D9D" w:rsidP="00F31937">
            <w:pPr>
              <w:jc w:val="right"/>
              <w:rPr>
                <w:caps/>
                <w:noProof/>
                <w:sz w:val="18"/>
                <w:szCs w:val="18"/>
              </w:rPr>
            </w:pPr>
            <w:r>
              <w:rPr>
                <w:caps/>
                <w:noProof/>
                <w:sz w:val="18"/>
                <w:szCs w:val="18"/>
              </w:rPr>
              <w:t>1</w:t>
            </w:r>
          </w:p>
        </w:tc>
        <w:tc>
          <w:tcPr>
            <w:tcW w:w="709" w:type="dxa"/>
            <w:tcBorders>
              <w:left w:val="single" w:sz="4" w:space="0" w:color="auto"/>
              <w:bottom w:val="single" w:sz="4" w:space="0" w:color="auto"/>
              <w:right w:val="single" w:sz="4" w:space="0" w:color="auto"/>
            </w:tcBorders>
            <w:shd w:val="clear" w:color="auto" w:fill="C1ECFF"/>
          </w:tcPr>
          <w:p w14:paraId="797E6779" w14:textId="77777777" w:rsidR="000A7D9D" w:rsidRPr="00EC1412" w:rsidRDefault="000A7D9D" w:rsidP="00F31937">
            <w:pPr>
              <w:jc w:val="right"/>
              <w:rPr>
                <w:caps/>
                <w:noProof/>
                <w:sz w:val="18"/>
                <w:szCs w:val="18"/>
              </w:rPr>
            </w:pPr>
            <w:r w:rsidRPr="00EC1412">
              <w:rPr>
                <w:noProof/>
                <w:sz w:val="18"/>
                <w:szCs w:val="18"/>
              </w:rPr>
              <w:t>330</w:t>
            </w:r>
          </w:p>
        </w:tc>
        <w:tc>
          <w:tcPr>
            <w:tcW w:w="709" w:type="dxa"/>
            <w:tcBorders>
              <w:left w:val="single" w:sz="4" w:space="0" w:color="auto"/>
              <w:bottom w:val="single" w:sz="4" w:space="0" w:color="auto"/>
              <w:right w:val="single" w:sz="4" w:space="0" w:color="auto"/>
            </w:tcBorders>
            <w:shd w:val="clear" w:color="auto" w:fill="C1ECFF"/>
          </w:tcPr>
          <w:p w14:paraId="0154849F" w14:textId="77777777" w:rsidR="000A7D9D" w:rsidRPr="00EC1412" w:rsidRDefault="000A7D9D" w:rsidP="00F31937">
            <w:pPr>
              <w:jc w:val="right"/>
              <w:rPr>
                <w:caps/>
                <w:noProof/>
                <w:sz w:val="18"/>
                <w:szCs w:val="18"/>
              </w:rPr>
            </w:pPr>
            <w:r w:rsidRPr="00EC1412">
              <w:rPr>
                <w:noProof/>
                <w:sz w:val="18"/>
                <w:szCs w:val="18"/>
              </w:rPr>
              <w:t>70</w:t>
            </w:r>
          </w:p>
        </w:tc>
        <w:tc>
          <w:tcPr>
            <w:tcW w:w="708" w:type="dxa"/>
            <w:tcBorders>
              <w:left w:val="single" w:sz="4" w:space="0" w:color="auto"/>
              <w:bottom w:val="single" w:sz="4" w:space="0" w:color="auto"/>
              <w:right w:val="single" w:sz="4" w:space="0" w:color="auto"/>
            </w:tcBorders>
            <w:shd w:val="clear" w:color="auto" w:fill="C1ECFF"/>
          </w:tcPr>
          <w:p w14:paraId="22707E63" w14:textId="77777777" w:rsidR="000A7D9D" w:rsidRPr="00EC1412" w:rsidRDefault="000A7D9D" w:rsidP="00F31937">
            <w:pPr>
              <w:jc w:val="right"/>
              <w:rPr>
                <w:caps/>
                <w:noProof/>
                <w:sz w:val="18"/>
                <w:szCs w:val="18"/>
              </w:rPr>
            </w:pPr>
            <w:r w:rsidRPr="00EC1412">
              <w:rPr>
                <w:noProof/>
                <w:sz w:val="18"/>
                <w:szCs w:val="18"/>
              </w:rPr>
              <w:t>70</w:t>
            </w:r>
          </w:p>
        </w:tc>
        <w:tc>
          <w:tcPr>
            <w:tcW w:w="567" w:type="dxa"/>
            <w:tcBorders>
              <w:left w:val="single" w:sz="4" w:space="0" w:color="auto"/>
              <w:bottom w:val="single" w:sz="4" w:space="0" w:color="auto"/>
            </w:tcBorders>
            <w:shd w:val="clear" w:color="auto" w:fill="C1ECFF"/>
          </w:tcPr>
          <w:p w14:paraId="50AD5F67" w14:textId="77777777" w:rsidR="000A7D9D" w:rsidRPr="00EC1412" w:rsidRDefault="000A7D9D" w:rsidP="00F31937">
            <w:pPr>
              <w:jc w:val="right"/>
              <w:rPr>
                <w:caps/>
                <w:noProof/>
                <w:sz w:val="18"/>
                <w:szCs w:val="18"/>
              </w:rPr>
            </w:pPr>
            <w:r w:rsidRPr="00EC1412">
              <w:rPr>
                <w:noProof/>
                <w:sz w:val="18"/>
                <w:szCs w:val="18"/>
              </w:rPr>
              <w:t>70</w:t>
            </w:r>
          </w:p>
        </w:tc>
      </w:tr>
      <w:tr w:rsidR="000A7D9D" w:rsidRPr="00EC1412" w14:paraId="5EF907A6" w14:textId="77777777" w:rsidTr="00F31937">
        <w:tc>
          <w:tcPr>
            <w:tcW w:w="3544" w:type="dxa"/>
            <w:tcBorders>
              <w:bottom w:val="single" w:sz="4" w:space="0" w:color="auto"/>
              <w:right w:val="single" w:sz="4" w:space="0" w:color="auto"/>
            </w:tcBorders>
            <w:shd w:val="clear" w:color="auto" w:fill="FFF4CC"/>
          </w:tcPr>
          <w:p w14:paraId="5E2CB07E" w14:textId="77777777" w:rsidR="000A7D9D" w:rsidRDefault="000A7D9D" w:rsidP="00F31937">
            <w:pPr>
              <w:jc w:val="both"/>
              <w:rPr>
                <w:noProof/>
                <w:sz w:val="18"/>
                <w:szCs w:val="18"/>
              </w:rPr>
            </w:pPr>
            <w:r w:rsidRPr="00EC1412">
              <w:rPr>
                <w:noProof/>
                <w:sz w:val="18"/>
                <w:szCs w:val="18"/>
              </w:rPr>
              <w:t xml:space="preserve">Batteries regulation </w:t>
            </w:r>
          </w:p>
          <w:p w14:paraId="737BBA25" w14:textId="77777777" w:rsidR="000A7D9D" w:rsidRPr="00EC1412" w:rsidRDefault="000A7D9D" w:rsidP="00F31937">
            <w:pPr>
              <w:jc w:val="both"/>
              <w:rPr>
                <w:caps/>
                <w:noProof/>
                <w:sz w:val="18"/>
                <w:szCs w:val="18"/>
              </w:rPr>
            </w:pPr>
          </w:p>
        </w:tc>
        <w:tc>
          <w:tcPr>
            <w:tcW w:w="425" w:type="dxa"/>
            <w:tcBorders>
              <w:left w:val="single" w:sz="4" w:space="0" w:color="auto"/>
              <w:bottom w:val="single" w:sz="4" w:space="0" w:color="auto"/>
              <w:right w:val="dotted" w:sz="4" w:space="0" w:color="auto"/>
            </w:tcBorders>
            <w:shd w:val="clear" w:color="auto" w:fill="FFF4CC"/>
          </w:tcPr>
          <w:p w14:paraId="6CA11E9E" w14:textId="77777777" w:rsidR="000A7D9D" w:rsidRPr="00EC1412" w:rsidRDefault="000A7D9D" w:rsidP="00F31937">
            <w:pPr>
              <w:jc w:val="right"/>
              <w:rPr>
                <w:caps/>
                <w:noProof/>
                <w:sz w:val="18"/>
                <w:szCs w:val="18"/>
              </w:rPr>
            </w:pPr>
            <w:r>
              <w:rPr>
                <w:caps/>
                <w:noProof/>
                <w:sz w:val="18"/>
                <w:szCs w:val="18"/>
              </w:rPr>
              <w:t>2</w:t>
            </w:r>
          </w:p>
        </w:tc>
        <w:tc>
          <w:tcPr>
            <w:tcW w:w="426" w:type="dxa"/>
            <w:tcBorders>
              <w:left w:val="dotted" w:sz="4" w:space="0" w:color="auto"/>
              <w:bottom w:val="single" w:sz="4" w:space="0" w:color="auto"/>
              <w:right w:val="single" w:sz="4" w:space="0" w:color="auto"/>
            </w:tcBorders>
            <w:shd w:val="clear" w:color="auto" w:fill="FFF4CC"/>
          </w:tcPr>
          <w:p w14:paraId="7C2072EE"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FFF4CC"/>
          </w:tcPr>
          <w:p w14:paraId="03E60515"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dotted" w:sz="4" w:space="0" w:color="auto"/>
              <w:bottom w:val="single" w:sz="4" w:space="0" w:color="auto"/>
              <w:right w:val="single" w:sz="4" w:space="0" w:color="auto"/>
            </w:tcBorders>
            <w:shd w:val="clear" w:color="auto" w:fill="FFF4CC"/>
          </w:tcPr>
          <w:p w14:paraId="2A5DAA68"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FFF4CC"/>
          </w:tcPr>
          <w:p w14:paraId="665F1EF6" w14:textId="77777777" w:rsidR="000A7D9D" w:rsidRPr="00EC1412" w:rsidRDefault="000A7D9D" w:rsidP="00F31937">
            <w:pPr>
              <w:jc w:val="right"/>
              <w:rPr>
                <w:caps/>
                <w:noProof/>
                <w:sz w:val="18"/>
                <w:szCs w:val="18"/>
              </w:rPr>
            </w:pPr>
            <w:r>
              <w:rPr>
                <w:caps/>
                <w:noProof/>
                <w:sz w:val="18"/>
                <w:szCs w:val="18"/>
              </w:rPr>
              <w:t>2</w:t>
            </w:r>
          </w:p>
        </w:tc>
        <w:tc>
          <w:tcPr>
            <w:tcW w:w="426" w:type="dxa"/>
            <w:tcBorders>
              <w:left w:val="dotted" w:sz="4" w:space="0" w:color="auto"/>
              <w:bottom w:val="single" w:sz="4" w:space="0" w:color="auto"/>
              <w:right w:val="single" w:sz="4" w:space="0" w:color="auto"/>
            </w:tcBorders>
            <w:shd w:val="clear" w:color="auto" w:fill="FFF4CC"/>
          </w:tcPr>
          <w:p w14:paraId="6A33B2A2"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FFF4CC"/>
          </w:tcPr>
          <w:p w14:paraId="5C58E6F0"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single" w:sz="4" w:space="0" w:color="auto"/>
              <w:right w:val="single" w:sz="4" w:space="0" w:color="auto"/>
            </w:tcBorders>
            <w:shd w:val="clear" w:color="auto" w:fill="FFF4CC"/>
          </w:tcPr>
          <w:p w14:paraId="59A06937" w14:textId="77777777" w:rsidR="000A7D9D" w:rsidRPr="00EC1412" w:rsidRDefault="000A7D9D" w:rsidP="00F31937">
            <w:pPr>
              <w:jc w:val="right"/>
              <w:rPr>
                <w:caps/>
                <w:noProof/>
                <w:sz w:val="18"/>
                <w:szCs w:val="18"/>
              </w:rPr>
            </w:pPr>
            <w:r>
              <w:rPr>
                <w:caps/>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79F14FA0" w14:textId="77777777" w:rsidR="000A7D9D" w:rsidRPr="00EC1412" w:rsidRDefault="000A7D9D" w:rsidP="00F31937">
            <w:pPr>
              <w:jc w:val="right"/>
              <w:rPr>
                <w:caps/>
                <w:noProof/>
                <w:sz w:val="18"/>
                <w:szCs w:val="18"/>
              </w:rPr>
            </w:pPr>
            <w:r w:rsidRPr="00EC1412">
              <w:rPr>
                <w:noProof/>
                <w:sz w:val="18"/>
                <w:szCs w:val="18"/>
              </w:rPr>
              <w:t>158</w:t>
            </w:r>
          </w:p>
        </w:tc>
        <w:tc>
          <w:tcPr>
            <w:tcW w:w="709" w:type="dxa"/>
            <w:tcBorders>
              <w:left w:val="single" w:sz="4" w:space="0" w:color="auto"/>
              <w:bottom w:val="single" w:sz="4" w:space="0" w:color="auto"/>
              <w:right w:val="single" w:sz="4" w:space="0" w:color="auto"/>
            </w:tcBorders>
            <w:shd w:val="clear" w:color="auto" w:fill="FFF4CC"/>
          </w:tcPr>
          <w:p w14:paraId="39889580" w14:textId="77777777" w:rsidR="000A7D9D" w:rsidRPr="00EC1412" w:rsidRDefault="000A7D9D" w:rsidP="00F31937">
            <w:pPr>
              <w:jc w:val="right"/>
              <w:rPr>
                <w:caps/>
                <w:noProof/>
                <w:sz w:val="18"/>
                <w:szCs w:val="18"/>
              </w:rPr>
            </w:pPr>
            <w:r w:rsidRPr="00EC1412">
              <w:rPr>
                <w:noProof/>
                <w:sz w:val="18"/>
                <w:szCs w:val="18"/>
              </w:rPr>
              <w:t>158</w:t>
            </w:r>
          </w:p>
        </w:tc>
        <w:tc>
          <w:tcPr>
            <w:tcW w:w="708" w:type="dxa"/>
            <w:tcBorders>
              <w:left w:val="single" w:sz="4" w:space="0" w:color="auto"/>
              <w:bottom w:val="single" w:sz="4" w:space="0" w:color="auto"/>
              <w:right w:val="single" w:sz="4" w:space="0" w:color="auto"/>
            </w:tcBorders>
            <w:shd w:val="clear" w:color="auto" w:fill="FFF4CC"/>
          </w:tcPr>
          <w:p w14:paraId="47DC2A63" w14:textId="77777777" w:rsidR="000A7D9D" w:rsidRPr="00EC1412" w:rsidRDefault="000A7D9D" w:rsidP="00F31937">
            <w:pPr>
              <w:jc w:val="right"/>
              <w:rPr>
                <w:caps/>
                <w:noProof/>
                <w:sz w:val="18"/>
                <w:szCs w:val="18"/>
              </w:rPr>
            </w:pPr>
            <w:r w:rsidRPr="00EC1412">
              <w:rPr>
                <w:noProof/>
                <w:sz w:val="18"/>
                <w:szCs w:val="18"/>
              </w:rPr>
              <w:t>25</w:t>
            </w:r>
          </w:p>
        </w:tc>
        <w:tc>
          <w:tcPr>
            <w:tcW w:w="567" w:type="dxa"/>
            <w:tcBorders>
              <w:left w:val="single" w:sz="4" w:space="0" w:color="auto"/>
              <w:bottom w:val="single" w:sz="4" w:space="0" w:color="auto"/>
            </w:tcBorders>
            <w:shd w:val="clear" w:color="auto" w:fill="FFF4CC"/>
          </w:tcPr>
          <w:p w14:paraId="6452FE77" w14:textId="77777777" w:rsidR="000A7D9D" w:rsidRPr="00EC1412" w:rsidRDefault="000A7D9D" w:rsidP="00F31937">
            <w:pPr>
              <w:jc w:val="right"/>
              <w:rPr>
                <w:caps/>
                <w:noProof/>
                <w:sz w:val="18"/>
                <w:szCs w:val="18"/>
              </w:rPr>
            </w:pPr>
            <w:r w:rsidRPr="00EC1412">
              <w:rPr>
                <w:noProof/>
                <w:sz w:val="18"/>
                <w:szCs w:val="18"/>
              </w:rPr>
              <w:t>25</w:t>
            </w:r>
          </w:p>
        </w:tc>
      </w:tr>
      <w:tr w:rsidR="000A7D9D" w:rsidRPr="00EC1412" w14:paraId="3ADFD6E4" w14:textId="77777777" w:rsidTr="00F31937">
        <w:tc>
          <w:tcPr>
            <w:tcW w:w="9639" w:type="dxa"/>
            <w:gridSpan w:val="13"/>
            <w:tcBorders>
              <w:bottom w:val="single" w:sz="4" w:space="0" w:color="auto"/>
            </w:tcBorders>
            <w:shd w:val="clear" w:color="auto" w:fill="BFBFBF" w:themeFill="background1" w:themeFillShade="BF"/>
          </w:tcPr>
          <w:p w14:paraId="12A76524" w14:textId="77777777" w:rsidR="000A7D9D" w:rsidRPr="00EC1412" w:rsidRDefault="000A7D9D" w:rsidP="00F31937">
            <w:pPr>
              <w:rPr>
                <w:noProof/>
                <w:sz w:val="18"/>
                <w:szCs w:val="18"/>
              </w:rPr>
            </w:pPr>
            <w:r w:rsidRPr="006C50EA">
              <w:rPr>
                <w:b/>
                <w:noProof/>
                <w:sz w:val="18"/>
                <w:szCs w:val="18"/>
              </w:rPr>
              <w:t>Already proposed by the Commission</w:t>
            </w:r>
            <w:r>
              <w:rPr>
                <w:b/>
                <w:noProof/>
                <w:sz w:val="18"/>
                <w:szCs w:val="18"/>
              </w:rPr>
              <w:t xml:space="preserve"> (with resources)</w:t>
            </w:r>
          </w:p>
        </w:tc>
      </w:tr>
      <w:tr w:rsidR="000A7D9D" w:rsidRPr="00EC1412" w14:paraId="5FABAE58" w14:textId="77777777" w:rsidTr="00F31937">
        <w:tc>
          <w:tcPr>
            <w:tcW w:w="3544" w:type="dxa"/>
            <w:tcBorders>
              <w:bottom w:val="single" w:sz="4" w:space="0" w:color="auto"/>
              <w:right w:val="single" w:sz="4" w:space="0" w:color="auto"/>
            </w:tcBorders>
            <w:shd w:val="clear" w:color="auto" w:fill="C1ECFF"/>
          </w:tcPr>
          <w:p w14:paraId="3843C73D" w14:textId="77777777" w:rsidR="000A7D9D" w:rsidRDefault="000A7D9D" w:rsidP="00F31937">
            <w:pPr>
              <w:jc w:val="both"/>
              <w:rPr>
                <w:noProof/>
                <w:sz w:val="18"/>
                <w:szCs w:val="18"/>
              </w:rPr>
            </w:pPr>
            <w:r w:rsidRPr="00EC1412">
              <w:rPr>
                <w:noProof/>
                <w:sz w:val="18"/>
                <w:szCs w:val="18"/>
              </w:rPr>
              <w:t xml:space="preserve">E-PRTR regulation </w:t>
            </w:r>
          </w:p>
          <w:p w14:paraId="1B3F43E8" w14:textId="77777777" w:rsidR="000A7D9D" w:rsidRPr="00EC1412" w:rsidRDefault="000A7D9D" w:rsidP="00F31937">
            <w:pPr>
              <w:jc w:val="both"/>
              <w:rPr>
                <w:caps/>
                <w:noProof/>
                <w:sz w:val="18"/>
                <w:szCs w:val="18"/>
              </w:rPr>
            </w:pPr>
          </w:p>
        </w:tc>
        <w:tc>
          <w:tcPr>
            <w:tcW w:w="425" w:type="dxa"/>
            <w:tcBorders>
              <w:left w:val="single" w:sz="4" w:space="0" w:color="auto"/>
              <w:bottom w:val="single" w:sz="4" w:space="0" w:color="auto"/>
              <w:right w:val="dotted" w:sz="4" w:space="0" w:color="auto"/>
            </w:tcBorders>
            <w:shd w:val="clear" w:color="auto" w:fill="C1ECFF"/>
          </w:tcPr>
          <w:p w14:paraId="651CDF77" w14:textId="77777777" w:rsidR="000A7D9D" w:rsidRPr="00EC1412" w:rsidRDefault="000A7D9D" w:rsidP="00F31937">
            <w:pPr>
              <w:jc w:val="right"/>
              <w:rPr>
                <w:caps/>
                <w:noProof/>
                <w:sz w:val="18"/>
                <w:szCs w:val="18"/>
              </w:rPr>
            </w:pPr>
            <w:r w:rsidRPr="00EC1412">
              <w:rPr>
                <w:caps/>
                <w:noProof/>
                <w:sz w:val="18"/>
                <w:szCs w:val="18"/>
              </w:rPr>
              <w:t>2</w:t>
            </w:r>
          </w:p>
        </w:tc>
        <w:tc>
          <w:tcPr>
            <w:tcW w:w="426" w:type="dxa"/>
            <w:tcBorders>
              <w:left w:val="dotted" w:sz="4" w:space="0" w:color="auto"/>
              <w:bottom w:val="single" w:sz="4" w:space="0" w:color="auto"/>
              <w:right w:val="single" w:sz="4" w:space="0" w:color="auto"/>
            </w:tcBorders>
            <w:shd w:val="clear" w:color="auto" w:fill="C1ECFF"/>
          </w:tcPr>
          <w:p w14:paraId="1FB5BD50"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1A2C5AD1"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32A4B29B"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7364C45D" w14:textId="77777777" w:rsidR="000A7D9D" w:rsidRPr="00EC1412" w:rsidRDefault="000A7D9D" w:rsidP="00F31937">
            <w:pPr>
              <w:jc w:val="right"/>
              <w:rPr>
                <w:caps/>
                <w:noProof/>
                <w:sz w:val="18"/>
                <w:szCs w:val="18"/>
              </w:rPr>
            </w:pPr>
            <w:r w:rsidRPr="00EC1412">
              <w:rPr>
                <w:caps/>
                <w:noProof/>
                <w:sz w:val="18"/>
                <w:szCs w:val="18"/>
              </w:rPr>
              <w:t>2</w:t>
            </w:r>
          </w:p>
        </w:tc>
        <w:tc>
          <w:tcPr>
            <w:tcW w:w="426" w:type="dxa"/>
            <w:tcBorders>
              <w:left w:val="dotted" w:sz="4" w:space="0" w:color="auto"/>
              <w:bottom w:val="single" w:sz="4" w:space="0" w:color="auto"/>
              <w:right w:val="single" w:sz="4" w:space="0" w:color="auto"/>
            </w:tcBorders>
            <w:shd w:val="clear" w:color="auto" w:fill="C1ECFF"/>
          </w:tcPr>
          <w:p w14:paraId="7BCE1EBD"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2D7E3BB6"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5EC5831E" w14:textId="77777777" w:rsidR="000A7D9D" w:rsidRPr="00EC1412" w:rsidRDefault="000A7D9D" w:rsidP="00F31937">
            <w:pPr>
              <w:jc w:val="right"/>
              <w:rPr>
                <w:caps/>
                <w:noProof/>
                <w:sz w:val="18"/>
                <w:szCs w:val="18"/>
              </w:rPr>
            </w:pPr>
            <w:r>
              <w:rPr>
                <w:caps/>
                <w:noProof/>
                <w:sz w:val="18"/>
                <w:szCs w:val="18"/>
              </w:rPr>
              <w:t>0</w:t>
            </w:r>
          </w:p>
        </w:tc>
        <w:tc>
          <w:tcPr>
            <w:tcW w:w="709" w:type="dxa"/>
            <w:tcBorders>
              <w:left w:val="single" w:sz="4" w:space="0" w:color="auto"/>
              <w:bottom w:val="single" w:sz="4" w:space="0" w:color="auto"/>
              <w:right w:val="single" w:sz="4" w:space="0" w:color="auto"/>
            </w:tcBorders>
            <w:shd w:val="clear" w:color="auto" w:fill="C1ECFF"/>
          </w:tcPr>
          <w:p w14:paraId="5A43F31C" w14:textId="77777777" w:rsidR="000A7D9D" w:rsidRPr="00EC1412" w:rsidRDefault="000A7D9D" w:rsidP="00F31937">
            <w:pPr>
              <w:jc w:val="right"/>
              <w:rPr>
                <w:caps/>
                <w:noProof/>
                <w:sz w:val="18"/>
                <w:szCs w:val="18"/>
              </w:rPr>
            </w:pPr>
            <w:r w:rsidRPr="00EC1412">
              <w:rPr>
                <w:noProof/>
                <w:sz w:val="18"/>
                <w:szCs w:val="18"/>
              </w:rPr>
              <w:t>170</w:t>
            </w:r>
          </w:p>
        </w:tc>
        <w:tc>
          <w:tcPr>
            <w:tcW w:w="709" w:type="dxa"/>
            <w:tcBorders>
              <w:left w:val="single" w:sz="4" w:space="0" w:color="auto"/>
              <w:bottom w:val="single" w:sz="4" w:space="0" w:color="auto"/>
              <w:right w:val="single" w:sz="4" w:space="0" w:color="auto"/>
            </w:tcBorders>
            <w:shd w:val="clear" w:color="auto" w:fill="C1ECFF"/>
          </w:tcPr>
          <w:p w14:paraId="7BD25182" w14:textId="77777777" w:rsidR="000A7D9D" w:rsidRPr="00EC1412" w:rsidRDefault="000A7D9D" w:rsidP="00F31937">
            <w:pPr>
              <w:jc w:val="right"/>
              <w:rPr>
                <w:caps/>
                <w:noProof/>
                <w:sz w:val="18"/>
                <w:szCs w:val="18"/>
              </w:rPr>
            </w:pPr>
            <w:r w:rsidRPr="00EC1412">
              <w:rPr>
                <w:noProof/>
                <w:sz w:val="18"/>
                <w:szCs w:val="18"/>
              </w:rPr>
              <w:t>70</w:t>
            </w:r>
          </w:p>
        </w:tc>
        <w:tc>
          <w:tcPr>
            <w:tcW w:w="708" w:type="dxa"/>
            <w:tcBorders>
              <w:left w:val="single" w:sz="4" w:space="0" w:color="auto"/>
              <w:bottom w:val="single" w:sz="4" w:space="0" w:color="auto"/>
              <w:right w:val="single" w:sz="4" w:space="0" w:color="auto"/>
            </w:tcBorders>
            <w:shd w:val="clear" w:color="auto" w:fill="C1ECFF"/>
          </w:tcPr>
          <w:p w14:paraId="4E8DEE59" w14:textId="77777777" w:rsidR="000A7D9D" w:rsidRPr="00EC1412" w:rsidRDefault="000A7D9D" w:rsidP="00F31937">
            <w:pPr>
              <w:jc w:val="right"/>
              <w:rPr>
                <w:caps/>
                <w:noProof/>
                <w:sz w:val="18"/>
                <w:szCs w:val="18"/>
              </w:rPr>
            </w:pPr>
            <w:r w:rsidRPr="00EC1412">
              <w:rPr>
                <w:noProof/>
                <w:sz w:val="18"/>
                <w:szCs w:val="18"/>
              </w:rPr>
              <w:t>30</w:t>
            </w:r>
          </w:p>
        </w:tc>
        <w:tc>
          <w:tcPr>
            <w:tcW w:w="567" w:type="dxa"/>
            <w:tcBorders>
              <w:left w:val="single" w:sz="4" w:space="0" w:color="auto"/>
              <w:bottom w:val="single" w:sz="4" w:space="0" w:color="auto"/>
            </w:tcBorders>
            <w:shd w:val="clear" w:color="auto" w:fill="C1ECFF"/>
          </w:tcPr>
          <w:p w14:paraId="35FDAB91" w14:textId="77777777" w:rsidR="000A7D9D" w:rsidRPr="00EC1412" w:rsidRDefault="000A7D9D" w:rsidP="00F31937">
            <w:pPr>
              <w:jc w:val="right"/>
              <w:rPr>
                <w:caps/>
                <w:noProof/>
                <w:sz w:val="18"/>
                <w:szCs w:val="18"/>
              </w:rPr>
            </w:pPr>
            <w:r w:rsidRPr="00EC1412">
              <w:rPr>
                <w:noProof/>
                <w:sz w:val="18"/>
                <w:szCs w:val="18"/>
              </w:rPr>
              <w:t>30</w:t>
            </w:r>
          </w:p>
        </w:tc>
      </w:tr>
      <w:tr w:rsidR="000A7D9D" w:rsidRPr="00EC1412" w14:paraId="32282F1B" w14:textId="77777777" w:rsidTr="00F31937">
        <w:tc>
          <w:tcPr>
            <w:tcW w:w="3544" w:type="dxa"/>
            <w:tcBorders>
              <w:bottom w:val="single" w:sz="4" w:space="0" w:color="auto"/>
              <w:right w:val="single" w:sz="4" w:space="0" w:color="auto"/>
            </w:tcBorders>
            <w:shd w:val="clear" w:color="auto" w:fill="FFF4CC"/>
          </w:tcPr>
          <w:p w14:paraId="584C498C" w14:textId="77777777" w:rsidR="000A7D9D" w:rsidRDefault="000A7D9D" w:rsidP="00F31937">
            <w:pPr>
              <w:jc w:val="both"/>
              <w:rPr>
                <w:noProof/>
                <w:sz w:val="18"/>
                <w:szCs w:val="18"/>
              </w:rPr>
            </w:pPr>
            <w:r w:rsidRPr="00EC1412">
              <w:rPr>
                <w:noProof/>
                <w:sz w:val="18"/>
                <w:szCs w:val="18"/>
              </w:rPr>
              <w:t>Industrial emissions directive</w:t>
            </w:r>
          </w:p>
          <w:p w14:paraId="01AE6910" w14:textId="77777777" w:rsidR="000A7D9D" w:rsidRPr="00EC1412" w:rsidRDefault="000A7D9D" w:rsidP="00F31937">
            <w:pPr>
              <w:jc w:val="both"/>
              <w:rPr>
                <w:caps/>
                <w:noProof/>
                <w:sz w:val="18"/>
                <w:szCs w:val="18"/>
              </w:rPr>
            </w:pPr>
          </w:p>
        </w:tc>
        <w:tc>
          <w:tcPr>
            <w:tcW w:w="425" w:type="dxa"/>
            <w:tcBorders>
              <w:left w:val="single" w:sz="4" w:space="0" w:color="auto"/>
              <w:bottom w:val="single" w:sz="4" w:space="0" w:color="auto"/>
              <w:right w:val="dotted" w:sz="4" w:space="0" w:color="auto"/>
            </w:tcBorders>
            <w:shd w:val="clear" w:color="auto" w:fill="FFF4CC"/>
          </w:tcPr>
          <w:p w14:paraId="1B013F31" w14:textId="77777777" w:rsidR="000A7D9D" w:rsidRPr="00EC1412" w:rsidRDefault="000A7D9D" w:rsidP="00F31937">
            <w:pPr>
              <w:jc w:val="right"/>
              <w:rPr>
                <w:caps/>
                <w:noProof/>
                <w:sz w:val="18"/>
                <w:szCs w:val="18"/>
              </w:rPr>
            </w:pPr>
            <w:r w:rsidRPr="00EC1412">
              <w:rPr>
                <w:caps/>
                <w:noProof/>
                <w:sz w:val="18"/>
                <w:szCs w:val="18"/>
              </w:rPr>
              <w:t>3</w:t>
            </w:r>
          </w:p>
        </w:tc>
        <w:tc>
          <w:tcPr>
            <w:tcW w:w="426" w:type="dxa"/>
            <w:tcBorders>
              <w:left w:val="dotted" w:sz="4" w:space="0" w:color="auto"/>
              <w:bottom w:val="single" w:sz="4" w:space="0" w:color="auto"/>
              <w:right w:val="single" w:sz="4" w:space="0" w:color="auto"/>
            </w:tcBorders>
            <w:shd w:val="clear" w:color="auto" w:fill="FFF4CC"/>
          </w:tcPr>
          <w:p w14:paraId="19E1ED02"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0B4E24AB" w14:textId="77777777" w:rsidR="000A7D9D" w:rsidRPr="00EC1412" w:rsidRDefault="000A7D9D" w:rsidP="00F31937">
            <w:pPr>
              <w:jc w:val="right"/>
              <w:rPr>
                <w:caps/>
                <w:noProof/>
                <w:sz w:val="18"/>
                <w:szCs w:val="18"/>
              </w:rPr>
            </w:pPr>
            <w:r w:rsidRPr="00EC1412">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4FE17DC6"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18A303FA" w14:textId="77777777" w:rsidR="000A7D9D" w:rsidRPr="00EC1412" w:rsidRDefault="000A7D9D" w:rsidP="00F31937">
            <w:pPr>
              <w:jc w:val="right"/>
              <w:rPr>
                <w:caps/>
                <w:noProof/>
                <w:sz w:val="18"/>
                <w:szCs w:val="18"/>
              </w:rPr>
            </w:pPr>
            <w:r w:rsidRPr="00EC1412">
              <w:rPr>
                <w:caps/>
                <w:noProof/>
                <w:sz w:val="18"/>
                <w:szCs w:val="18"/>
              </w:rPr>
              <w:t>3</w:t>
            </w:r>
          </w:p>
        </w:tc>
        <w:tc>
          <w:tcPr>
            <w:tcW w:w="426" w:type="dxa"/>
            <w:tcBorders>
              <w:left w:val="dotted" w:sz="4" w:space="0" w:color="auto"/>
              <w:bottom w:val="single" w:sz="4" w:space="0" w:color="auto"/>
              <w:right w:val="single" w:sz="4" w:space="0" w:color="auto"/>
            </w:tcBorders>
            <w:shd w:val="clear" w:color="auto" w:fill="FFF4CC"/>
          </w:tcPr>
          <w:p w14:paraId="40DC48A4"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5DDB859B" w14:textId="77777777" w:rsidR="000A7D9D" w:rsidRPr="00EC1412" w:rsidRDefault="000A7D9D" w:rsidP="00F31937">
            <w:pPr>
              <w:jc w:val="right"/>
              <w:rPr>
                <w:caps/>
                <w:noProof/>
                <w:sz w:val="18"/>
                <w:szCs w:val="18"/>
              </w:rPr>
            </w:pPr>
            <w:r w:rsidRPr="00EC1412">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49A176D5" w14:textId="77777777" w:rsidR="000A7D9D" w:rsidRPr="00EC1412" w:rsidRDefault="000A7D9D" w:rsidP="00F31937">
            <w:pPr>
              <w:jc w:val="right"/>
              <w:rPr>
                <w:caps/>
                <w:noProof/>
                <w:sz w:val="18"/>
                <w:szCs w:val="18"/>
              </w:rPr>
            </w:pPr>
            <w:r>
              <w:rPr>
                <w:caps/>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525895F4" w14:textId="77777777" w:rsidR="000A7D9D" w:rsidRPr="00EC1412" w:rsidRDefault="000A7D9D" w:rsidP="00F31937">
            <w:pPr>
              <w:jc w:val="right"/>
              <w:rPr>
                <w:caps/>
                <w:noProof/>
                <w:sz w:val="18"/>
                <w:szCs w:val="18"/>
              </w:rPr>
            </w:pPr>
            <w:r w:rsidRPr="00EC1412">
              <w:rPr>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2B7DA3E8" w14:textId="77777777" w:rsidR="000A7D9D" w:rsidRPr="00EC1412" w:rsidRDefault="000A7D9D" w:rsidP="00F31937">
            <w:pPr>
              <w:jc w:val="right"/>
              <w:rPr>
                <w:caps/>
                <w:noProof/>
                <w:sz w:val="18"/>
                <w:szCs w:val="18"/>
              </w:rPr>
            </w:pPr>
            <w:r w:rsidRPr="00EC1412">
              <w:rPr>
                <w:noProof/>
                <w:sz w:val="18"/>
                <w:szCs w:val="18"/>
              </w:rPr>
              <w:t>0</w:t>
            </w:r>
          </w:p>
        </w:tc>
        <w:tc>
          <w:tcPr>
            <w:tcW w:w="708" w:type="dxa"/>
            <w:tcBorders>
              <w:left w:val="single" w:sz="4" w:space="0" w:color="auto"/>
              <w:bottom w:val="single" w:sz="4" w:space="0" w:color="auto"/>
              <w:right w:val="single" w:sz="4" w:space="0" w:color="auto"/>
            </w:tcBorders>
            <w:shd w:val="clear" w:color="auto" w:fill="FFF4CC"/>
          </w:tcPr>
          <w:p w14:paraId="0E05D533" w14:textId="77777777" w:rsidR="000A7D9D" w:rsidRPr="00EC1412" w:rsidRDefault="000A7D9D" w:rsidP="00F31937">
            <w:pPr>
              <w:jc w:val="right"/>
              <w:rPr>
                <w:caps/>
                <w:noProof/>
                <w:sz w:val="18"/>
                <w:szCs w:val="18"/>
              </w:rPr>
            </w:pPr>
            <w:r w:rsidRPr="00EC1412">
              <w:rPr>
                <w:noProof/>
                <w:sz w:val="18"/>
                <w:szCs w:val="18"/>
              </w:rPr>
              <w:t>0</w:t>
            </w:r>
          </w:p>
        </w:tc>
        <w:tc>
          <w:tcPr>
            <w:tcW w:w="567" w:type="dxa"/>
            <w:tcBorders>
              <w:left w:val="single" w:sz="4" w:space="0" w:color="auto"/>
              <w:bottom w:val="single" w:sz="4" w:space="0" w:color="auto"/>
            </w:tcBorders>
            <w:shd w:val="clear" w:color="auto" w:fill="FFF4CC"/>
          </w:tcPr>
          <w:p w14:paraId="10D0B7CF" w14:textId="77777777" w:rsidR="000A7D9D" w:rsidRPr="00EC1412" w:rsidRDefault="000A7D9D" w:rsidP="00F31937">
            <w:pPr>
              <w:jc w:val="right"/>
              <w:rPr>
                <w:caps/>
                <w:noProof/>
                <w:sz w:val="18"/>
                <w:szCs w:val="18"/>
              </w:rPr>
            </w:pPr>
            <w:r w:rsidRPr="00EC1412">
              <w:rPr>
                <w:noProof/>
                <w:sz w:val="18"/>
                <w:szCs w:val="18"/>
              </w:rPr>
              <w:t>0</w:t>
            </w:r>
          </w:p>
        </w:tc>
      </w:tr>
      <w:tr w:rsidR="000A7D9D" w:rsidRPr="00EC1412" w14:paraId="21FC25DE" w14:textId="77777777" w:rsidTr="00F31937">
        <w:tc>
          <w:tcPr>
            <w:tcW w:w="3544" w:type="dxa"/>
            <w:tcBorders>
              <w:bottom w:val="single" w:sz="4" w:space="0" w:color="auto"/>
              <w:right w:val="single" w:sz="4" w:space="0" w:color="auto"/>
            </w:tcBorders>
            <w:shd w:val="clear" w:color="auto" w:fill="C1ECFF"/>
          </w:tcPr>
          <w:p w14:paraId="4AA3ED68" w14:textId="77777777" w:rsidR="000A7D9D" w:rsidRDefault="000A7D9D" w:rsidP="00F31937">
            <w:pPr>
              <w:jc w:val="both"/>
              <w:rPr>
                <w:noProof/>
                <w:sz w:val="18"/>
                <w:szCs w:val="18"/>
              </w:rPr>
            </w:pPr>
            <w:r w:rsidRPr="00EC1412">
              <w:rPr>
                <w:noProof/>
                <w:sz w:val="18"/>
                <w:szCs w:val="18"/>
              </w:rPr>
              <w:t xml:space="preserve">Water legislation </w:t>
            </w:r>
          </w:p>
          <w:p w14:paraId="0DD79D61" w14:textId="77777777" w:rsidR="000A7D9D" w:rsidRPr="00EC1412" w:rsidRDefault="000A7D9D" w:rsidP="00F31937">
            <w:pPr>
              <w:jc w:val="both"/>
              <w:rPr>
                <w:caps/>
                <w:noProof/>
                <w:sz w:val="18"/>
                <w:szCs w:val="18"/>
              </w:rPr>
            </w:pPr>
          </w:p>
        </w:tc>
        <w:tc>
          <w:tcPr>
            <w:tcW w:w="425" w:type="dxa"/>
            <w:tcBorders>
              <w:left w:val="single" w:sz="4" w:space="0" w:color="auto"/>
              <w:bottom w:val="single" w:sz="4" w:space="0" w:color="auto"/>
              <w:right w:val="dotted" w:sz="4" w:space="0" w:color="auto"/>
            </w:tcBorders>
            <w:shd w:val="clear" w:color="auto" w:fill="C1ECFF"/>
          </w:tcPr>
          <w:p w14:paraId="23BD499D" w14:textId="77777777" w:rsidR="000A7D9D" w:rsidRPr="00EC1412" w:rsidRDefault="000A7D9D" w:rsidP="00F31937">
            <w:pPr>
              <w:jc w:val="right"/>
              <w:rPr>
                <w:caps/>
                <w:noProof/>
                <w:sz w:val="18"/>
                <w:szCs w:val="18"/>
              </w:rPr>
            </w:pPr>
            <w:r w:rsidRPr="00EC1412">
              <w:rPr>
                <w:caps/>
                <w:noProof/>
                <w:sz w:val="18"/>
                <w:szCs w:val="18"/>
              </w:rPr>
              <w:t>1</w:t>
            </w:r>
            <w:r>
              <w:rPr>
                <w:caps/>
                <w:noProof/>
                <w:sz w:val="18"/>
                <w:szCs w:val="18"/>
              </w:rPr>
              <w:t>0</w:t>
            </w:r>
          </w:p>
        </w:tc>
        <w:tc>
          <w:tcPr>
            <w:tcW w:w="426" w:type="dxa"/>
            <w:tcBorders>
              <w:left w:val="dotted" w:sz="4" w:space="0" w:color="auto"/>
              <w:bottom w:val="single" w:sz="4" w:space="0" w:color="auto"/>
              <w:right w:val="single" w:sz="4" w:space="0" w:color="auto"/>
            </w:tcBorders>
            <w:shd w:val="clear" w:color="auto" w:fill="C1ECFF"/>
          </w:tcPr>
          <w:p w14:paraId="2FBDC86E" w14:textId="77777777" w:rsidR="000A7D9D" w:rsidRPr="00EC1412" w:rsidRDefault="000A7D9D" w:rsidP="00F31937">
            <w:pPr>
              <w:jc w:val="right"/>
              <w:rPr>
                <w:caps/>
                <w:noProof/>
                <w:sz w:val="18"/>
                <w:szCs w:val="18"/>
              </w:rPr>
            </w:pPr>
            <w:r>
              <w:rPr>
                <w:caps/>
                <w:noProof/>
                <w:sz w:val="18"/>
                <w:szCs w:val="18"/>
              </w:rPr>
              <w:t>4</w:t>
            </w:r>
          </w:p>
        </w:tc>
        <w:tc>
          <w:tcPr>
            <w:tcW w:w="425" w:type="dxa"/>
            <w:tcBorders>
              <w:left w:val="single" w:sz="4" w:space="0" w:color="auto"/>
              <w:bottom w:val="single" w:sz="4" w:space="0" w:color="auto"/>
              <w:right w:val="dotted" w:sz="4" w:space="0" w:color="auto"/>
            </w:tcBorders>
            <w:shd w:val="clear" w:color="auto" w:fill="C1ECFF"/>
          </w:tcPr>
          <w:p w14:paraId="1EBEE6E0" w14:textId="77777777" w:rsidR="000A7D9D" w:rsidRPr="00EC1412" w:rsidRDefault="000A7D9D" w:rsidP="00F31937">
            <w:pPr>
              <w:jc w:val="right"/>
              <w:rPr>
                <w:caps/>
                <w:noProof/>
                <w:sz w:val="18"/>
                <w:szCs w:val="18"/>
              </w:rPr>
            </w:pPr>
            <w:r>
              <w:rPr>
                <w:caps/>
                <w:noProof/>
                <w:sz w:val="18"/>
                <w:szCs w:val="18"/>
              </w:rPr>
              <w:t>10</w:t>
            </w:r>
          </w:p>
        </w:tc>
        <w:tc>
          <w:tcPr>
            <w:tcW w:w="425" w:type="dxa"/>
            <w:tcBorders>
              <w:left w:val="dotted" w:sz="4" w:space="0" w:color="auto"/>
              <w:bottom w:val="single" w:sz="4" w:space="0" w:color="auto"/>
              <w:right w:val="single" w:sz="4" w:space="0" w:color="auto"/>
            </w:tcBorders>
            <w:shd w:val="clear" w:color="auto" w:fill="C1ECFF"/>
          </w:tcPr>
          <w:p w14:paraId="1CABDAB8" w14:textId="77777777" w:rsidR="000A7D9D" w:rsidRPr="00EC1412" w:rsidRDefault="000A7D9D" w:rsidP="00F31937">
            <w:pPr>
              <w:jc w:val="right"/>
              <w:rPr>
                <w:caps/>
                <w:noProof/>
                <w:sz w:val="18"/>
                <w:szCs w:val="18"/>
              </w:rPr>
            </w:pPr>
            <w:r>
              <w:rPr>
                <w:caps/>
                <w:noProof/>
                <w:sz w:val="18"/>
                <w:szCs w:val="18"/>
              </w:rPr>
              <w:t>4</w:t>
            </w:r>
          </w:p>
        </w:tc>
        <w:tc>
          <w:tcPr>
            <w:tcW w:w="425" w:type="dxa"/>
            <w:tcBorders>
              <w:left w:val="single" w:sz="4" w:space="0" w:color="auto"/>
              <w:bottom w:val="single" w:sz="4" w:space="0" w:color="auto"/>
              <w:right w:val="dotted" w:sz="4" w:space="0" w:color="auto"/>
            </w:tcBorders>
            <w:shd w:val="clear" w:color="auto" w:fill="C1ECFF"/>
          </w:tcPr>
          <w:p w14:paraId="07F2994B" w14:textId="77777777" w:rsidR="000A7D9D" w:rsidRPr="00EC1412" w:rsidRDefault="000A7D9D" w:rsidP="00F31937">
            <w:pPr>
              <w:jc w:val="right"/>
              <w:rPr>
                <w:caps/>
                <w:noProof/>
                <w:sz w:val="18"/>
                <w:szCs w:val="18"/>
              </w:rPr>
            </w:pPr>
            <w:r>
              <w:rPr>
                <w:caps/>
                <w:noProof/>
                <w:sz w:val="18"/>
                <w:szCs w:val="18"/>
              </w:rPr>
              <w:t>10</w:t>
            </w:r>
          </w:p>
        </w:tc>
        <w:tc>
          <w:tcPr>
            <w:tcW w:w="426" w:type="dxa"/>
            <w:tcBorders>
              <w:left w:val="dotted" w:sz="4" w:space="0" w:color="auto"/>
              <w:bottom w:val="single" w:sz="4" w:space="0" w:color="auto"/>
              <w:right w:val="single" w:sz="4" w:space="0" w:color="auto"/>
            </w:tcBorders>
            <w:shd w:val="clear" w:color="auto" w:fill="C1ECFF"/>
          </w:tcPr>
          <w:p w14:paraId="00EF7A90" w14:textId="77777777" w:rsidR="000A7D9D" w:rsidRPr="00EC1412" w:rsidRDefault="000A7D9D" w:rsidP="00F31937">
            <w:pPr>
              <w:jc w:val="right"/>
              <w:rPr>
                <w:caps/>
                <w:noProof/>
                <w:sz w:val="18"/>
                <w:szCs w:val="18"/>
              </w:rPr>
            </w:pPr>
            <w:r>
              <w:rPr>
                <w:caps/>
                <w:noProof/>
                <w:sz w:val="18"/>
                <w:szCs w:val="18"/>
              </w:rPr>
              <w:t>4</w:t>
            </w:r>
          </w:p>
        </w:tc>
        <w:tc>
          <w:tcPr>
            <w:tcW w:w="425" w:type="dxa"/>
            <w:tcBorders>
              <w:left w:val="single" w:sz="4" w:space="0" w:color="auto"/>
              <w:bottom w:val="single" w:sz="4" w:space="0" w:color="auto"/>
              <w:right w:val="dotted" w:sz="4" w:space="0" w:color="auto"/>
            </w:tcBorders>
            <w:shd w:val="clear" w:color="auto" w:fill="C1ECFF"/>
          </w:tcPr>
          <w:p w14:paraId="7E3D8F25" w14:textId="77777777" w:rsidR="000A7D9D" w:rsidRPr="00EC1412" w:rsidRDefault="000A7D9D" w:rsidP="00F31937">
            <w:pPr>
              <w:jc w:val="right"/>
              <w:rPr>
                <w:caps/>
                <w:noProof/>
                <w:sz w:val="18"/>
                <w:szCs w:val="18"/>
              </w:rPr>
            </w:pPr>
            <w:r>
              <w:rPr>
                <w:caps/>
                <w:noProof/>
                <w:sz w:val="18"/>
                <w:szCs w:val="18"/>
              </w:rPr>
              <w:t>10</w:t>
            </w:r>
          </w:p>
        </w:tc>
        <w:tc>
          <w:tcPr>
            <w:tcW w:w="425" w:type="dxa"/>
            <w:tcBorders>
              <w:left w:val="dotted" w:sz="4" w:space="0" w:color="auto"/>
              <w:bottom w:val="single" w:sz="4" w:space="0" w:color="auto"/>
              <w:right w:val="single" w:sz="4" w:space="0" w:color="auto"/>
            </w:tcBorders>
            <w:shd w:val="clear" w:color="auto" w:fill="C1ECFF"/>
          </w:tcPr>
          <w:p w14:paraId="1AA97E6C" w14:textId="77777777" w:rsidR="000A7D9D" w:rsidRPr="00EC1412" w:rsidRDefault="000A7D9D" w:rsidP="00F31937">
            <w:pPr>
              <w:jc w:val="right"/>
              <w:rPr>
                <w:caps/>
                <w:noProof/>
                <w:sz w:val="18"/>
                <w:szCs w:val="18"/>
              </w:rPr>
            </w:pPr>
            <w:r>
              <w:rPr>
                <w:caps/>
                <w:noProof/>
                <w:sz w:val="18"/>
                <w:szCs w:val="18"/>
              </w:rPr>
              <w:t>4</w:t>
            </w:r>
          </w:p>
        </w:tc>
        <w:tc>
          <w:tcPr>
            <w:tcW w:w="709" w:type="dxa"/>
            <w:tcBorders>
              <w:left w:val="single" w:sz="4" w:space="0" w:color="auto"/>
              <w:bottom w:val="single" w:sz="4" w:space="0" w:color="auto"/>
              <w:right w:val="single" w:sz="4" w:space="0" w:color="auto"/>
            </w:tcBorders>
            <w:shd w:val="clear" w:color="auto" w:fill="C1ECFF"/>
          </w:tcPr>
          <w:p w14:paraId="7363BD8A" w14:textId="77777777" w:rsidR="000A7D9D" w:rsidRPr="00EC1412" w:rsidRDefault="000A7D9D" w:rsidP="00F31937">
            <w:pPr>
              <w:jc w:val="right"/>
              <w:rPr>
                <w:caps/>
                <w:noProof/>
                <w:sz w:val="18"/>
                <w:szCs w:val="18"/>
              </w:rPr>
            </w:pPr>
            <w:r w:rsidRPr="00EC1412">
              <w:rPr>
                <w:caps/>
                <w:noProof/>
                <w:sz w:val="18"/>
                <w:szCs w:val="18"/>
              </w:rPr>
              <w:t>803</w:t>
            </w:r>
          </w:p>
        </w:tc>
        <w:tc>
          <w:tcPr>
            <w:tcW w:w="709" w:type="dxa"/>
            <w:tcBorders>
              <w:left w:val="single" w:sz="4" w:space="0" w:color="auto"/>
              <w:bottom w:val="single" w:sz="4" w:space="0" w:color="auto"/>
              <w:right w:val="single" w:sz="4" w:space="0" w:color="auto"/>
            </w:tcBorders>
            <w:shd w:val="clear" w:color="auto" w:fill="C1ECFF"/>
          </w:tcPr>
          <w:p w14:paraId="546B3BD6" w14:textId="77777777" w:rsidR="000A7D9D" w:rsidRPr="00EC1412" w:rsidRDefault="000A7D9D" w:rsidP="00F31937">
            <w:pPr>
              <w:jc w:val="right"/>
              <w:rPr>
                <w:caps/>
                <w:noProof/>
                <w:sz w:val="18"/>
                <w:szCs w:val="18"/>
              </w:rPr>
            </w:pPr>
            <w:r w:rsidRPr="00EC1412">
              <w:rPr>
                <w:caps/>
                <w:noProof/>
                <w:sz w:val="18"/>
                <w:szCs w:val="18"/>
              </w:rPr>
              <w:t>766</w:t>
            </w:r>
          </w:p>
        </w:tc>
        <w:tc>
          <w:tcPr>
            <w:tcW w:w="708" w:type="dxa"/>
            <w:tcBorders>
              <w:left w:val="single" w:sz="4" w:space="0" w:color="auto"/>
              <w:bottom w:val="single" w:sz="4" w:space="0" w:color="auto"/>
              <w:right w:val="single" w:sz="4" w:space="0" w:color="auto"/>
            </w:tcBorders>
            <w:shd w:val="clear" w:color="auto" w:fill="C1ECFF"/>
          </w:tcPr>
          <w:p w14:paraId="30E35F61" w14:textId="77777777" w:rsidR="000A7D9D" w:rsidRPr="00EC1412" w:rsidRDefault="000A7D9D" w:rsidP="00F31937">
            <w:pPr>
              <w:jc w:val="right"/>
              <w:rPr>
                <w:caps/>
                <w:noProof/>
                <w:sz w:val="18"/>
                <w:szCs w:val="18"/>
              </w:rPr>
            </w:pPr>
            <w:r w:rsidRPr="00EC1412">
              <w:rPr>
                <w:caps/>
                <w:noProof/>
                <w:sz w:val="18"/>
                <w:szCs w:val="18"/>
              </w:rPr>
              <w:t>782</w:t>
            </w:r>
          </w:p>
        </w:tc>
        <w:tc>
          <w:tcPr>
            <w:tcW w:w="567" w:type="dxa"/>
            <w:tcBorders>
              <w:left w:val="single" w:sz="4" w:space="0" w:color="auto"/>
              <w:bottom w:val="single" w:sz="4" w:space="0" w:color="auto"/>
            </w:tcBorders>
            <w:shd w:val="clear" w:color="auto" w:fill="C1ECFF"/>
          </w:tcPr>
          <w:p w14:paraId="1DCECF87" w14:textId="77777777" w:rsidR="000A7D9D" w:rsidRPr="00EC1412" w:rsidRDefault="000A7D9D" w:rsidP="00F31937">
            <w:pPr>
              <w:ind w:left="-119"/>
              <w:jc w:val="right"/>
              <w:rPr>
                <w:caps/>
                <w:noProof/>
                <w:sz w:val="18"/>
                <w:szCs w:val="18"/>
              </w:rPr>
            </w:pPr>
            <w:r w:rsidRPr="00EC1412">
              <w:rPr>
                <w:caps/>
                <w:noProof/>
                <w:sz w:val="18"/>
                <w:szCs w:val="18"/>
              </w:rPr>
              <w:t>798</w:t>
            </w:r>
          </w:p>
        </w:tc>
      </w:tr>
      <w:tr w:rsidR="000A7D9D" w:rsidRPr="00EC1412" w14:paraId="1F23FF64" w14:textId="77777777" w:rsidTr="00F31937">
        <w:tc>
          <w:tcPr>
            <w:tcW w:w="3544" w:type="dxa"/>
            <w:tcBorders>
              <w:bottom w:val="single" w:sz="4" w:space="0" w:color="auto"/>
              <w:right w:val="single" w:sz="4" w:space="0" w:color="auto"/>
            </w:tcBorders>
            <w:shd w:val="clear" w:color="auto" w:fill="FFF4CC"/>
          </w:tcPr>
          <w:p w14:paraId="6145757C" w14:textId="77777777" w:rsidR="000A7D9D" w:rsidRPr="00EC1412" w:rsidRDefault="000A7D9D" w:rsidP="00F31937">
            <w:pPr>
              <w:jc w:val="both"/>
              <w:rPr>
                <w:noProof/>
                <w:sz w:val="18"/>
                <w:szCs w:val="18"/>
              </w:rPr>
            </w:pPr>
            <w:r>
              <w:rPr>
                <w:noProof/>
                <w:sz w:val="18"/>
                <w:szCs w:val="18"/>
              </w:rPr>
              <w:t>Legislation on m</w:t>
            </w:r>
            <w:r w:rsidRPr="00EC1412">
              <w:rPr>
                <w:noProof/>
                <w:sz w:val="18"/>
                <w:szCs w:val="18"/>
              </w:rPr>
              <w:t xml:space="preserve">edicinal products </w:t>
            </w:r>
            <w:r>
              <w:rPr>
                <w:noProof/>
                <w:sz w:val="18"/>
                <w:szCs w:val="18"/>
              </w:rPr>
              <w:t>for human use</w:t>
            </w:r>
          </w:p>
        </w:tc>
        <w:tc>
          <w:tcPr>
            <w:tcW w:w="425" w:type="dxa"/>
            <w:tcBorders>
              <w:left w:val="single" w:sz="4" w:space="0" w:color="auto"/>
              <w:bottom w:val="single" w:sz="4" w:space="0" w:color="auto"/>
              <w:right w:val="dotted" w:sz="4" w:space="0" w:color="auto"/>
            </w:tcBorders>
            <w:shd w:val="clear" w:color="auto" w:fill="FFF4CC"/>
          </w:tcPr>
          <w:p w14:paraId="40B90CF5" w14:textId="77777777" w:rsidR="000A7D9D" w:rsidRPr="00EC1412" w:rsidRDefault="000A7D9D" w:rsidP="00F31937">
            <w:pPr>
              <w:jc w:val="right"/>
              <w:rPr>
                <w:caps/>
                <w:noProof/>
                <w:sz w:val="18"/>
                <w:szCs w:val="18"/>
              </w:rPr>
            </w:pPr>
            <w:r>
              <w:rPr>
                <w:caps/>
                <w:noProof/>
                <w:sz w:val="18"/>
                <w:szCs w:val="18"/>
              </w:rPr>
              <w:t>19</w:t>
            </w:r>
          </w:p>
        </w:tc>
        <w:tc>
          <w:tcPr>
            <w:tcW w:w="426" w:type="dxa"/>
            <w:tcBorders>
              <w:left w:val="dotted" w:sz="4" w:space="0" w:color="auto"/>
              <w:bottom w:val="single" w:sz="4" w:space="0" w:color="auto"/>
              <w:right w:val="single" w:sz="4" w:space="0" w:color="auto"/>
            </w:tcBorders>
            <w:shd w:val="clear" w:color="auto" w:fill="FFF4CC"/>
          </w:tcPr>
          <w:p w14:paraId="1632F6F6"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3C38FAAF" w14:textId="77777777" w:rsidR="000A7D9D" w:rsidRPr="00EC1412" w:rsidRDefault="000A7D9D" w:rsidP="00F31937">
            <w:pPr>
              <w:jc w:val="right"/>
              <w:rPr>
                <w:caps/>
                <w:noProof/>
                <w:sz w:val="18"/>
                <w:szCs w:val="18"/>
              </w:rPr>
            </w:pPr>
            <w:r>
              <w:rPr>
                <w:caps/>
                <w:noProof/>
                <w:sz w:val="18"/>
                <w:szCs w:val="18"/>
              </w:rPr>
              <w:t>37</w:t>
            </w:r>
          </w:p>
        </w:tc>
        <w:tc>
          <w:tcPr>
            <w:tcW w:w="425" w:type="dxa"/>
            <w:tcBorders>
              <w:left w:val="dotted" w:sz="4" w:space="0" w:color="auto"/>
              <w:bottom w:val="single" w:sz="4" w:space="0" w:color="auto"/>
              <w:right w:val="single" w:sz="4" w:space="0" w:color="auto"/>
            </w:tcBorders>
            <w:shd w:val="clear" w:color="auto" w:fill="FFF4CC"/>
          </w:tcPr>
          <w:p w14:paraId="70F5D1B4"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217AE732" w14:textId="77777777" w:rsidR="000A7D9D" w:rsidRPr="00EC1412" w:rsidRDefault="000A7D9D" w:rsidP="00F31937">
            <w:pPr>
              <w:jc w:val="right"/>
              <w:rPr>
                <w:caps/>
                <w:noProof/>
                <w:sz w:val="18"/>
                <w:szCs w:val="18"/>
              </w:rPr>
            </w:pPr>
            <w:r>
              <w:rPr>
                <w:caps/>
                <w:noProof/>
                <w:sz w:val="18"/>
                <w:szCs w:val="18"/>
              </w:rPr>
              <w:t>52</w:t>
            </w:r>
          </w:p>
        </w:tc>
        <w:tc>
          <w:tcPr>
            <w:tcW w:w="426" w:type="dxa"/>
            <w:tcBorders>
              <w:left w:val="dotted" w:sz="4" w:space="0" w:color="auto"/>
              <w:bottom w:val="single" w:sz="4" w:space="0" w:color="auto"/>
              <w:right w:val="single" w:sz="4" w:space="0" w:color="auto"/>
            </w:tcBorders>
            <w:shd w:val="clear" w:color="auto" w:fill="FFF4CC"/>
          </w:tcPr>
          <w:p w14:paraId="030425EF"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51300136" w14:textId="77777777" w:rsidR="000A7D9D" w:rsidRPr="00EC1412" w:rsidRDefault="000A7D9D" w:rsidP="00F31937">
            <w:pPr>
              <w:jc w:val="right"/>
              <w:rPr>
                <w:caps/>
                <w:noProof/>
                <w:sz w:val="18"/>
                <w:szCs w:val="18"/>
              </w:rPr>
            </w:pPr>
            <w:r>
              <w:rPr>
                <w:caps/>
                <w:noProof/>
                <w:sz w:val="18"/>
                <w:szCs w:val="18"/>
              </w:rPr>
              <w:t>6</w:t>
            </w: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39AB6816" w14:textId="77777777" w:rsidR="000A7D9D" w:rsidRPr="00EC1412" w:rsidRDefault="000A7D9D" w:rsidP="00F31937">
            <w:pPr>
              <w:jc w:val="right"/>
              <w:rPr>
                <w:caps/>
                <w:noProof/>
                <w:sz w:val="18"/>
                <w:szCs w:val="18"/>
              </w:rPr>
            </w:pPr>
            <w:r>
              <w:rPr>
                <w:caps/>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7FC4DAF2" w14:textId="77777777" w:rsidR="000A7D9D" w:rsidRPr="00EC1412" w:rsidRDefault="000A7D9D" w:rsidP="00F31937">
            <w:pPr>
              <w:jc w:val="right"/>
              <w:rPr>
                <w:caps/>
                <w:noProof/>
                <w:sz w:val="18"/>
                <w:szCs w:val="18"/>
              </w:rPr>
            </w:pPr>
            <w:r w:rsidRPr="00EC1412">
              <w:rPr>
                <w:noProof/>
                <w:sz w:val="18"/>
                <w:szCs w:val="18"/>
              </w:rPr>
              <w:t>0</w:t>
            </w:r>
          </w:p>
        </w:tc>
        <w:tc>
          <w:tcPr>
            <w:tcW w:w="709" w:type="dxa"/>
            <w:tcBorders>
              <w:left w:val="single" w:sz="4" w:space="0" w:color="auto"/>
              <w:bottom w:val="single" w:sz="4" w:space="0" w:color="auto"/>
              <w:right w:val="single" w:sz="4" w:space="0" w:color="auto"/>
            </w:tcBorders>
            <w:shd w:val="clear" w:color="auto" w:fill="FFF4CC"/>
          </w:tcPr>
          <w:p w14:paraId="3E1076A4" w14:textId="77777777" w:rsidR="000A7D9D" w:rsidRPr="00EC1412" w:rsidRDefault="000A7D9D" w:rsidP="00F31937">
            <w:pPr>
              <w:jc w:val="right"/>
              <w:rPr>
                <w:caps/>
                <w:noProof/>
                <w:sz w:val="18"/>
                <w:szCs w:val="18"/>
              </w:rPr>
            </w:pPr>
            <w:r w:rsidRPr="00EC1412">
              <w:rPr>
                <w:noProof/>
                <w:sz w:val="18"/>
                <w:szCs w:val="18"/>
              </w:rPr>
              <w:t>0</w:t>
            </w:r>
          </w:p>
        </w:tc>
        <w:tc>
          <w:tcPr>
            <w:tcW w:w="708" w:type="dxa"/>
            <w:tcBorders>
              <w:left w:val="single" w:sz="4" w:space="0" w:color="auto"/>
              <w:bottom w:val="single" w:sz="4" w:space="0" w:color="auto"/>
              <w:right w:val="single" w:sz="4" w:space="0" w:color="auto"/>
            </w:tcBorders>
            <w:shd w:val="clear" w:color="auto" w:fill="FFF4CC"/>
          </w:tcPr>
          <w:p w14:paraId="18A44DD1" w14:textId="77777777" w:rsidR="000A7D9D" w:rsidRPr="00EC1412" w:rsidRDefault="000A7D9D" w:rsidP="00F31937">
            <w:pPr>
              <w:jc w:val="right"/>
              <w:rPr>
                <w:caps/>
                <w:noProof/>
                <w:sz w:val="18"/>
                <w:szCs w:val="18"/>
              </w:rPr>
            </w:pPr>
            <w:r w:rsidRPr="00EC1412">
              <w:rPr>
                <w:noProof/>
                <w:sz w:val="18"/>
                <w:szCs w:val="18"/>
              </w:rPr>
              <w:t>0</w:t>
            </w:r>
          </w:p>
        </w:tc>
        <w:tc>
          <w:tcPr>
            <w:tcW w:w="567" w:type="dxa"/>
            <w:tcBorders>
              <w:left w:val="single" w:sz="4" w:space="0" w:color="auto"/>
              <w:bottom w:val="single" w:sz="4" w:space="0" w:color="auto"/>
            </w:tcBorders>
            <w:shd w:val="clear" w:color="auto" w:fill="FFF4CC"/>
          </w:tcPr>
          <w:p w14:paraId="724A1567" w14:textId="77777777" w:rsidR="000A7D9D" w:rsidRPr="00EC1412" w:rsidRDefault="000A7D9D" w:rsidP="00F31937">
            <w:pPr>
              <w:ind w:left="-119"/>
              <w:jc w:val="right"/>
              <w:rPr>
                <w:caps/>
                <w:noProof/>
                <w:sz w:val="18"/>
                <w:szCs w:val="18"/>
              </w:rPr>
            </w:pPr>
            <w:r w:rsidRPr="00EC1412">
              <w:rPr>
                <w:noProof/>
                <w:sz w:val="18"/>
                <w:szCs w:val="18"/>
              </w:rPr>
              <w:t>0</w:t>
            </w:r>
          </w:p>
        </w:tc>
      </w:tr>
      <w:tr w:rsidR="000A7D9D" w:rsidRPr="00EC1412" w14:paraId="79010DCE" w14:textId="77777777" w:rsidTr="00F31937">
        <w:trPr>
          <w:trHeight w:val="70"/>
        </w:trPr>
        <w:tc>
          <w:tcPr>
            <w:tcW w:w="3544" w:type="dxa"/>
            <w:tcBorders>
              <w:right w:val="single" w:sz="4" w:space="0" w:color="auto"/>
            </w:tcBorders>
            <w:shd w:val="clear" w:color="auto" w:fill="BFBFBF" w:themeFill="background1" w:themeFillShade="BF"/>
          </w:tcPr>
          <w:p w14:paraId="43095341" w14:textId="77777777" w:rsidR="000A7D9D" w:rsidRPr="00EC1412" w:rsidRDefault="000A7D9D" w:rsidP="00F31937">
            <w:pPr>
              <w:jc w:val="both"/>
              <w:rPr>
                <w:b/>
                <w:caps/>
                <w:noProof/>
                <w:sz w:val="18"/>
                <w:szCs w:val="18"/>
              </w:rPr>
            </w:pPr>
            <w:r w:rsidRPr="00EC1412">
              <w:rPr>
                <w:b/>
                <w:caps/>
                <w:noProof/>
                <w:sz w:val="18"/>
                <w:szCs w:val="18"/>
              </w:rPr>
              <w:t>SUm</w:t>
            </w:r>
          </w:p>
        </w:tc>
        <w:tc>
          <w:tcPr>
            <w:tcW w:w="425" w:type="dxa"/>
            <w:tcBorders>
              <w:left w:val="single" w:sz="4" w:space="0" w:color="auto"/>
              <w:right w:val="dotted" w:sz="4" w:space="0" w:color="auto"/>
            </w:tcBorders>
            <w:shd w:val="clear" w:color="auto" w:fill="BFBFBF" w:themeFill="background1" w:themeFillShade="BF"/>
          </w:tcPr>
          <w:p w14:paraId="57CBB9BB" w14:textId="77777777" w:rsidR="000A7D9D" w:rsidRPr="00EC1412" w:rsidRDefault="000A7D9D" w:rsidP="00F31937">
            <w:pPr>
              <w:jc w:val="right"/>
              <w:rPr>
                <w:b/>
                <w:caps/>
                <w:noProof/>
                <w:sz w:val="18"/>
                <w:szCs w:val="18"/>
              </w:rPr>
            </w:pPr>
            <w:r>
              <w:rPr>
                <w:b/>
                <w:caps/>
                <w:noProof/>
                <w:sz w:val="18"/>
                <w:szCs w:val="18"/>
              </w:rPr>
              <w:t>42</w:t>
            </w:r>
          </w:p>
        </w:tc>
        <w:tc>
          <w:tcPr>
            <w:tcW w:w="426" w:type="dxa"/>
            <w:tcBorders>
              <w:left w:val="dotted" w:sz="4" w:space="0" w:color="auto"/>
              <w:right w:val="single" w:sz="4" w:space="0" w:color="auto"/>
            </w:tcBorders>
            <w:shd w:val="clear" w:color="auto" w:fill="BFBFBF" w:themeFill="background1" w:themeFillShade="BF"/>
          </w:tcPr>
          <w:p w14:paraId="3DA121F6" w14:textId="77777777" w:rsidR="000A7D9D" w:rsidRPr="00EC1412" w:rsidRDefault="000A7D9D" w:rsidP="00F31937">
            <w:pPr>
              <w:jc w:val="right"/>
              <w:rPr>
                <w:b/>
                <w:caps/>
                <w:noProof/>
                <w:sz w:val="18"/>
                <w:szCs w:val="18"/>
              </w:rPr>
            </w:pPr>
            <w:r>
              <w:rPr>
                <w:b/>
                <w:caps/>
                <w:noProof/>
                <w:sz w:val="18"/>
                <w:szCs w:val="18"/>
              </w:rPr>
              <w:t>12</w:t>
            </w:r>
          </w:p>
        </w:tc>
        <w:tc>
          <w:tcPr>
            <w:tcW w:w="425" w:type="dxa"/>
            <w:tcBorders>
              <w:left w:val="single" w:sz="4" w:space="0" w:color="auto"/>
              <w:right w:val="dotted" w:sz="4" w:space="0" w:color="auto"/>
            </w:tcBorders>
            <w:shd w:val="clear" w:color="auto" w:fill="BFBFBF" w:themeFill="background1" w:themeFillShade="BF"/>
          </w:tcPr>
          <w:p w14:paraId="69A0AAD7" w14:textId="77777777" w:rsidR="000A7D9D" w:rsidRPr="00EC1412" w:rsidRDefault="000A7D9D" w:rsidP="00F31937">
            <w:pPr>
              <w:jc w:val="right"/>
              <w:rPr>
                <w:b/>
                <w:caps/>
                <w:noProof/>
                <w:sz w:val="18"/>
                <w:szCs w:val="18"/>
              </w:rPr>
            </w:pPr>
            <w:r>
              <w:rPr>
                <w:b/>
                <w:caps/>
                <w:noProof/>
                <w:sz w:val="18"/>
                <w:szCs w:val="18"/>
              </w:rPr>
              <w:t>63</w:t>
            </w:r>
          </w:p>
        </w:tc>
        <w:tc>
          <w:tcPr>
            <w:tcW w:w="425" w:type="dxa"/>
            <w:tcBorders>
              <w:left w:val="dotted" w:sz="4" w:space="0" w:color="auto"/>
              <w:right w:val="single" w:sz="4" w:space="0" w:color="auto"/>
            </w:tcBorders>
            <w:shd w:val="clear" w:color="auto" w:fill="BFBFBF" w:themeFill="background1" w:themeFillShade="BF"/>
          </w:tcPr>
          <w:p w14:paraId="53C6D717" w14:textId="77777777" w:rsidR="000A7D9D" w:rsidRPr="00EC1412" w:rsidRDefault="000A7D9D" w:rsidP="00F31937">
            <w:pPr>
              <w:jc w:val="right"/>
              <w:rPr>
                <w:b/>
                <w:caps/>
                <w:noProof/>
                <w:sz w:val="18"/>
                <w:szCs w:val="18"/>
              </w:rPr>
            </w:pPr>
            <w:r>
              <w:rPr>
                <w:b/>
                <w:caps/>
                <w:noProof/>
                <w:sz w:val="18"/>
                <w:szCs w:val="18"/>
              </w:rPr>
              <w:t>13</w:t>
            </w:r>
          </w:p>
        </w:tc>
        <w:tc>
          <w:tcPr>
            <w:tcW w:w="425" w:type="dxa"/>
            <w:tcBorders>
              <w:left w:val="single" w:sz="4" w:space="0" w:color="auto"/>
              <w:right w:val="dotted" w:sz="4" w:space="0" w:color="auto"/>
            </w:tcBorders>
            <w:shd w:val="clear" w:color="auto" w:fill="BFBFBF" w:themeFill="background1" w:themeFillShade="BF"/>
          </w:tcPr>
          <w:p w14:paraId="0E367728" w14:textId="77777777" w:rsidR="000A7D9D" w:rsidRPr="00EC1412" w:rsidRDefault="000A7D9D" w:rsidP="00F31937">
            <w:pPr>
              <w:jc w:val="right"/>
              <w:rPr>
                <w:b/>
                <w:caps/>
                <w:noProof/>
                <w:sz w:val="18"/>
                <w:szCs w:val="18"/>
              </w:rPr>
            </w:pPr>
            <w:r>
              <w:rPr>
                <w:b/>
                <w:caps/>
                <w:noProof/>
                <w:sz w:val="18"/>
                <w:szCs w:val="18"/>
              </w:rPr>
              <w:t>79</w:t>
            </w:r>
          </w:p>
        </w:tc>
        <w:tc>
          <w:tcPr>
            <w:tcW w:w="426" w:type="dxa"/>
            <w:tcBorders>
              <w:left w:val="dotted" w:sz="4" w:space="0" w:color="auto"/>
              <w:right w:val="single" w:sz="4" w:space="0" w:color="auto"/>
            </w:tcBorders>
            <w:shd w:val="clear" w:color="auto" w:fill="BFBFBF" w:themeFill="background1" w:themeFillShade="BF"/>
          </w:tcPr>
          <w:p w14:paraId="5A85FF4A" w14:textId="77777777" w:rsidR="000A7D9D" w:rsidRPr="00EC1412" w:rsidRDefault="000A7D9D" w:rsidP="00F31937">
            <w:pPr>
              <w:jc w:val="right"/>
              <w:rPr>
                <w:b/>
                <w:caps/>
                <w:noProof/>
                <w:sz w:val="18"/>
                <w:szCs w:val="18"/>
              </w:rPr>
            </w:pPr>
            <w:r>
              <w:rPr>
                <w:b/>
                <w:caps/>
                <w:noProof/>
                <w:sz w:val="18"/>
                <w:szCs w:val="18"/>
              </w:rPr>
              <w:t>13</w:t>
            </w:r>
          </w:p>
        </w:tc>
        <w:tc>
          <w:tcPr>
            <w:tcW w:w="425" w:type="dxa"/>
            <w:tcBorders>
              <w:left w:val="single" w:sz="4" w:space="0" w:color="auto"/>
              <w:right w:val="dotted" w:sz="4" w:space="0" w:color="auto"/>
            </w:tcBorders>
            <w:shd w:val="clear" w:color="auto" w:fill="BFBFBF" w:themeFill="background1" w:themeFillShade="BF"/>
          </w:tcPr>
          <w:p w14:paraId="619F97D7" w14:textId="77777777" w:rsidR="000A7D9D" w:rsidRPr="00EC1412" w:rsidRDefault="000A7D9D" w:rsidP="00F31937">
            <w:pPr>
              <w:jc w:val="right"/>
              <w:rPr>
                <w:b/>
                <w:caps/>
                <w:noProof/>
                <w:sz w:val="18"/>
                <w:szCs w:val="18"/>
              </w:rPr>
            </w:pPr>
            <w:r>
              <w:rPr>
                <w:b/>
                <w:caps/>
                <w:noProof/>
                <w:sz w:val="18"/>
                <w:szCs w:val="18"/>
              </w:rPr>
              <w:t>88</w:t>
            </w:r>
          </w:p>
        </w:tc>
        <w:tc>
          <w:tcPr>
            <w:tcW w:w="425" w:type="dxa"/>
            <w:tcBorders>
              <w:left w:val="dotted" w:sz="4" w:space="0" w:color="auto"/>
              <w:right w:val="single" w:sz="4" w:space="0" w:color="auto"/>
            </w:tcBorders>
            <w:shd w:val="clear" w:color="auto" w:fill="BFBFBF" w:themeFill="background1" w:themeFillShade="BF"/>
          </w:tcPr>
          <w:p w14:paraId="42910AC4" w14:textId="77777777" w:rsidR="000A7D9D" w:rsidRPr="00EC1412" w:rsidRDefault="000A7D9D" w:rsidP="00F31937">
            <w:pPr>
              <w:jc w:val="right"/>
              <w:rPr>
                <w:b/>
                <w:caps/>
                <w:noProof/>
                <w:sz w:val="18"/>
                <w:szCs w:val="18"/>
              </w:rPr>
            </w:pPr>
            <w:r>
              <w:rPr>
                <w:b/>
                <w:caps/>
                <w:noProof/>
                <w:sz w:val="18"/>
                <w:szCs w:val="18"/>
              </w:rPr>
              <w:t>10</w:t>
            </w:r>
          </w:p>
        </w:tc>
        <w:tc>
          <w:tcPr>
            <w:tcW w:w="709" w:type="dxa"/>
            <w:tcBorders>
              <w:left w:val="single" w:sz="4" w:space="0" w:color="auto"/>
              <w:right w:val="single" w:sz="4" w:space="0" w:color="auto"/>
            </w:tcBorders>
            <w:shd w:val="clear" w:color="auto" w:fill="BFBFBF" w:themeFill="background1" w:themeFillShade="BF"/>
          </w:tcPr>
          <w:p w14:paraId="5156DE1D" w14:textId="77777777" w:rsidR="000A7D9D" w:rsidRPr="00EC1412" w:rsidRDefault="000A7D9D" w:rsidP="00F31937">
            <w:pPr>
              <w:jc w:val="right"/>
              <w:rPr>
                <w:b/>
                <w:caps/>
                <w:noProof/>
                <w:sz w:val="18"/>
                <w:szCs w:val="18"/>
              </w:rPr>
            </w:pPr>
            <w:r w:rsidRPr="00EC1412">
              <w:rPr>
                <w:b/>
                <w:caps/>
                <w:noProof/>
                <w:sz w:val="18"/>
                <w:szCs w:val="18"/>
              </w:rPr>
              <w:t>2</w:t>
            </w:r>
            <w:r>
              <w:rPr>
                <w:b/>
                <w:caps/>
                <w:noProof/>
                <w:sz w:val="18"/>
                <w:szCs w:val="18"/>
              </w:rPr>
              <w:t xml:space="preserve"> </w:t>
            </w:r>
            <w:r w:rsidRPr="00EC1412">
              <w:rPr>
                <w:b/>
                <w:caps/>
                <w:noProof/>
                <w:sz w:val="18"/>
                <w:szCs w:val="18"/>
              </w:rPr>
              <w:t>260</w:t>
            </w:r>
          </w:p>
        </w:tc>
        <w:tc>
          <w:tcPr>
            <w:tcW w:w="709" w:type="dxa"/>
            <w:tcBorders>
              <w:left w:val="single" w:sz="4" w:space="0" w:color="auto"/>
              <w:right w:val="single" w:sz="4" w:space="0" w:color="auto"/>
            </w:tcBorders>
            <w:shd w:val="clear" w:color="auto" w:fill="BFBFBF" w:themeFill="background1" w:themeFillShade="BF"/>
          </w:tcPr>
          <w:p w14:paraId="0C93E15E" w14:textId="77777777" w:rsidR="000A7D9D" w:rsidRPr="00EC1412" w:rsidRDefault="000A7D9D" w:rsidP="00F31937">
            <w:pPr>
              <w:jc w:val="right"/>
              <w:rPr>
                <w:b/>
                <w:caps/>
                <w:noProof/>
                <w:sz w:val="18"/>
                <w:szCs w:val="18"/>
              </w:rPr>
            </w:pPr>
            <w:r w:rsidRPr="00EC1412">
              <w:rPr>
                <w:b/>
                <w:caps/>
                <w:noProof/>
                <w:sz w:val="18"/>
                <w:szCs w:val="18"/>
              </w:rPr>
              <w:t>1</w:t>
            </w:r>
            <w:r>
              <w:rPr>
                <w:b/>
                <w:caps/>
                <w:noProof/>
                <w:sz w:val="18"/>
                <w:szCs w:val="18"/>
              </w:rPr>
              <w:t xml:space="preserve"> </w:t>
            </w:r>
            <w:r w:rsidRPr="00EC1412">
              <w:rPr>
                <w:b/>
                <w:caps/>
                <w:noProof/>
                <w:sz w:val="18"/>
                <w:szCs w:val="18"/>
              </w:rPr>
              <w:t>873</w:t>
            </w:r>
          </w:p>
        </w:tc>
        <w:tc>
          <w:tcPr>
            <w:tcW w:w="708" w:type="dxa"/>
            <w:tcBorders>
              <w:left w:val="single" w:sz="4" w:space="0" w:color="auto"/>
              <w:right w:val="single" w:sz="4" w:space="0" w:color="auto"/>
            </w:tcBorders>
            <w:shd w:val="clear" w:color="auto" w:fill="BFBFBF" w:themeFill="background1" w:themeFillShade="BF"/>
          </w:tcPr>
          <w:p w14:paraId="20399D08" w14:textId="77777777" w:rsidR="000A7D9D" w:rsidRPr="00EC1412" w:rsidRDefault="000A7D9D" w:rsidP="00F31937">
            <w:pPr>
              <w:jc w:val="right"/>
              <w:rPr>
                <w:b/>
                <w:caps/>
                <w:noProof/>
                <w:sz w:val="18"/>
                <w:szCs w:val="18"/>
              </w:rPr>
            </w:pPr>
            <w:r w:rsidRPr="00EC1412">
              <w:rPr>
                <w:b/>
                <w:caps/>
                <w:noProof/>
                <w:sz w:val="18"/>
                <w:szCs w:val="18"/>
              </w:rPr>
              <w:t>1</w:t>
            </w:r>
            <w:r>
              <w:rPr>
                <w:b/>
                <w:caps/>
                <w:noProof/>
                <w:sz w:val="18"/>
                <w:szCs w:val="18"/>
              </w:rPr>
              <w:t xml:space="preserve"> </w:t>
            </w:r>
            <w:r w:rsidRPr="00EC1412">
              <w:rPr>
                <w:b/>
                <w:caps/>
                <w:noProof/>
                <w:sz w:val="18"/>
                <w:szCs w:val="18"/>
              </w:rPr>
              <w:t>726</w:t>
            </w:r>
          </w:p>
        </w:tc>
        <w:tc>
          <w:tcPr>
            <w:tcW w:w="567" w:type="dxa"/>
            <w:tcBorders>
              <w:left w:val="single" w:sz="4" w:space="0" w:color="auto"/>
            </w:tcBorders>
            <w:shd w:val="clear" w:color="auto" w:fill="BFBFBF" w:themeFill="background1" w:themeFillShade="BF"/>
          </w:tcPr>
          <w:p w14:paraId="5D49F320" w14:textId="77777777" w:rsidR="000A7D9D" w:rsidRPr="00EC1412" w:rsidRDefault="000A7D9D" w:rsidP="00F31937">
            <w:pPr>
              <w:ind w:left="-104"/>
              <w:jc w:val="right"/>
              <w:rPr>
                <w:b/>
                <w:caps/>
                <w:noProof/>
                <w:sz w:val="18"/>
                <w:szCs w:val="18"/>
              </w:rPr>
            </w:pPr>
            <w:r w:rsidRPr="00EC1412">
              <w:rPr>
                <w:b/>
                <w:caps/>
                <w:noProof/>
                <w:sz w:val="18"/>
                <w:szCs w:val="18"/>
              </w:rPr>
              <w:t>1</w:t>
            </w:r>
            <w:r>
              <w:rPr>
                <w:b/>
                <w:caps/>
                <w:noProof/>
                <w:sz w:val="18"/>
                <w:szCs w:val="18"/>
              </w:rPr>
              <w:t xml:space="preserve"> </w:t>
            </w:r>
            <w:r w:rsidRPr="00EC1412">
              <w:rPr>
                <w:b/>
                <w:caps/>
                <w:noProof/>
                <w:sz w:val="18"/>
                <w:szCs w:val="18"/>
              </w:rPr>
              <w:t>463</w:t>
            </w:r>
          </w:p>
        </w:tc>
      </w:tr>
    </w:tbl>
    <w:p w14:paraId="387B895A" w14:textId="77777777" w:rsidR="000A7D9D" w:rsidRPr="00EC1412" w:rsidRDefault="000A7D9D" w:rsidP="000A7D9D">
      <w:pPr>
        <w:jc w:val="both"/>
        <w:rPr>
          <w:rFonts w:ascii="Times New Roman" w:hAnsi="Times New Roman" w:cs="Times New Roman"/>
          <w:noProof/>
        </w:rPr>
      </w:pPr>
    </w:p>
    <w:tbl>
      <w:tblPr>
        <w:tblStyle w:val="TableGrid"/>
        <w:tblW w:w="9634" w:type="dxa"/>
        <w:tblLayout w:type="fixed"/>
        <w:tblLook w:val="04A0" w:firstRow="1" w:lastRow="0" w:firstColumn="1" w:lastColumn="0" w:noHBand="0" w:noVBand="1"/>
      </w:tblPr>
      <w:tblGrid>
        <w:gridCol w:w="2405"/>
        <w:gridCol w:w="496"/>
        <w:gridCol w:w="496"/>
        <w:gridCol w:w="496"/>
        <w:gridCol w:w="497"/>
        <w:gridCol w:w="567"/>
        <w:gridCol w:w="567"/>
        <w:gridCol w:w="496"/>
        <w:gridCol w:w="496"/>
        <w:gridCol w:w="850"/>
        <w:gridCol w:w="851"/>
        <w:gridCol w:w="709"/>
        <w:gridCol w:w="708"/>
      </w:tblGrid>
      <w:tr w:rsidR="000A7D9D" w:rsidRPr="00EC1412" w14:paraId="21AE1C07" w14:textId="77777777" w:rsidTr="00F31937">
        <w:tc>
          <w:tcPr>
            <w:tcW w:w="9634" w:type="dxa"/>
            <w:gridSpan w:val="13"/>
            <w:tcBorders>
              <w:bottom w:val="single" w:sz="4" w:space="0" w:color="auto"/>
            </w:tcBorders>
            <w:shd w:val="clear" w:color="auto" w:fill="A6A6A6" w:themeFill="background1" w:themeFillShade="A6"/>
          </w:tcPr>
          <w:p w14:paraId="765122B9" w14:textId="77777777" w:rsidR="000A7D9D" w:rsidRPr="00EC1412" w:rsidRDefault="000A7D9D" w:rsidP="00F31937">
            <w:pPr>
              <w:spacing w:before="60" w:after="60"/>
              <w:jc w:val="both"/>
              <w:rPr>
                <w:b/>
                <w:caps/>
                <w:noProof/>
                <w:sz w:val="18"/>
                <w:szCs w:val="18"/>
              </w:rPr>
            </w:pPr>
            <w:r w:rsidRPr="00EC1412">
              <w:rPr>
                <w:b/>
                <w:noProof/>
                <w:sz w:val="18"/>
                <w:szCs w:val="18"/>
              </w:rPr>
              <w:t xml:space="preserve">Table 9. Resources already allocated or proposed (operational costs in </w:t>
            </w:r>
            <w:r>
              <w:rPr>
                <w:b/>
                <w:noProof/>
                <w:sz w:val="18"/>
                <w:szCs w:val="18"/>
              </w:rPr>
              <w:t xml:space="preserve">EUR </w:t>
            </w:r>
            <w:r w:rsidRPr="00EC1412">
              <w:rPr>
                <w:b/>
                <w:noProof/>
                <w:sz w:val="18"/>
                <w:szCs w:val="18"/>
              </w:rPr>
              <w:t>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23BAC643" w14:textId="77777777" w:rsidTr="00F31937">
        <w:tc>
          <w:tcPr>
            <w:tcW w:w="2405" w:type="dxa"/>
            <w:tcBorders>
              <w:bottom w:val="single" w:sz="4" w:space="0" w:color="auto"/>
            </w:tcBorders>
            <w:shd w:val="clear" w:color="auto" w:fill="BFBFBF" w:themeFill="background1" w:themeFillShade="BF"/>
          </w:tcPr>
          <w:p w14:paraId="2F760618" w14:textId="77777777" w:rsidR="000A7D9D" w:rsidRPr="00EC1412" w:rsidRDefault="000A7D9D" w:rsidP="00F31937">
            <w:pPr>
              <w:jc w:val="both"/>
              <w:rPr>
                <w:noProof/>
                <w:sz w:val="18"/>
                <w:szCs w:val="18"/>
              </w:rPr>
            </w:pPr>
          </w:p>
        </w:tc>
        <w:tc>
          <w:tcPr>
            <w:tcW w:w="4111" w:type="dxa"/>
            <w:gridSpan w:val="8"/>
            <w:tcBorders>
              <w:bottom w:val="single" w:sz="4" w:space="0" w:color="auto"/>
            </w:tcBorders>
            <w:shd w:val="clear" w:color="auto" w:fill="BFBFBF" w:themeFill="background1" w:themeFillShade="BF"/>
          </w:tcPr>
          <w:p w14:paraId="5DD4A07B" w14:textId="77777777" w:rsidR="000A7D9D" w:rsidRPr="00EC1412" w:rsidRDefault="000A7D9D" w:rsidP="00F31937">
            <w:pPr>
              <w:jc w:val="center"/>
              <w:rPr>
                <w:b/>
                <w:caps/>
                <w:noProof/>
                <w:sz w:val="18"/>
                <w:szCs w:val="18"/>
              </w:rPr>
            </w:pPr>
            <w:r w:rsidRPr="00EC1412">
              <w:rPr>
                <w:b/>
                <w:noProof/>
                <w:sz w:val="18"/>
                <w:szCs w:val="18"/>
              </w:rPr>
              <w:t>FTEs</w:t>
            </w:r>
          </w:p>
        </w:tc>
        <w:tc>
          <w:tcPr>
            <w:tcW w:w="3118" w:type="dxa"/>
            <w:gridSpan w:val="4"/>
            <w:tcBorders>
              <w:bottom w:val="single" w:sz="4" w:space="0" w:color="auto"/>
            </w:tcBorders>
            <w:shd w:val="clear" w:color="auto" w:fill="BFBFBF" w:themeFill="background1" w:themeFillShade="BF"/>
          </w:tcPr>
          <w:p w14:paraId="411D7FC0"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5ACC2AE7" w14:textId="77777777" w:rsidTr="00F31937">
        <w:tc>
          <w:tcPr>
            <w:tcW w:w="2405" w:type="dxa"/>
            <w:tcBorders>
              <w:right w:val="single" w:sz="4" w:space="0" w:color="auto"/>
            </w:tcBorders>
            <w:shd w:val="clear" w:color="auto" w:fill="BFBFBF" w:themeFill="background1" w:themeFillShade="BF"/>
          </w:tcPr>
          <w:p w14:paraId="4F54C631" w14:textId="77777777" w:rsidR="000A7D9D" w:rsidRPr="00EC1412" w:rsidRDefault="000A7D9D" w:rsidP="00F31937">
            <w:pPr>
              <w:jc w:val="both"/>
              <w:rPr>
                <w:b/>
                <w:noProof/>
                <w:sz w:val="18"/>
                <w:szCs w:val="18"/>
              </w:rPr>
            </w:pPr>
            <w:r w:rsidRPr="00EC1412">
              <w:rPr>
                <w:b/>
                <w:noProof/>
                <w:sz w:val="18"/>
                <w:szCs w:val="18"/>
              </w:rPr>
              <w:t>Agency</w:t>
            </w:r>
          </w:p>
        </w:tc>
        <w:tc>
          <w:tcPr>
            <w:tcW w:w="992" w:type="dxa"/>
            <w:gridSpan w:val="2"/>
            <w:tcBorders>
              <w:left w:val="single" w:sz="4" w:space="0" w:color="auto"/>
              <w:right w:val="single" w:sz="4" w:space="0" w:color="auto"/>
            </w:tcBorders>
            <w:shd w:val="clear" w:color="auto" w:fill="BFBFBF" w:themeFill="background1" w:themeFillShade="BF"/>
          </w:tcPr>
          <w:p w14:paraId="02441514" w14:textId="77777777" w:rsidR="000A7D9D" w:rsidRPr="00EC1412" w:rsidRDefault="000A7D9D" w:rsidP="00F31937">
            <w:pPr>
              <w:jc w:val="center"/>
              <w:rPr>
                <w:b/>
                <w:caps/>
                <w:noProof/>
                <w:sz w:val="18"/>
                <w:szCs w:val="18"/>
              </w:rPr>
            </w:pPr>
            <w:r w:rsidRPr="00EC1412">
              <w:rPr>
                <w:b/>
                <w:caps/>
                <w:noProof/>
                <w:sz w:val="18"/>
                <w:szCs w:val="18"/>
              </w:rPr>
              <w:t>2024</w:t>
            </w:r>
          </w:p>
        </w:tc>
        <w:tc>
          <w:tcPr>
            <w:tcW w:w="993" w:type="dxa"/>
            <w:gridSpan w:val="2"/>
            <w:tcBorders>
              <w:left w:val="single" w:sz="4" w:space="0" w:color="auto"/>
              <w:right w:val="single" w:sz="4" w:space="0" w:color="auto"/>
            </w:tcBorders>
            <w:shd w:val="clear" w:color="auto" w:fill="BFBFBF" w:themeFill="background1" w:themeFillShade="BF"/>
          </w:tcPr>
          <w:p w14:paraId="08E95A7D" w14:textId="77777777" w:rsidR="000A7D9D" w:rsidRPr="00EC1412" w:rsidRDefault="000A7D9D" w:rsidP="00F31937">
            <w:pPr>
              <w:jc w:val="center"/>
              <w:rPr>
                <w:b/>
                <w:caps/>
                <w:noProof/>
                <w:sz w:val="18"/>
                <w:szCs w:val="18"/>
              </w:rPr>
            </w:pPr>
            <w:r w:rsidRPr="00EC1412">
              <w:rPr>
                <w:b/>
                <w:caps/>
                <w:noProof/>
                <w:sz w:val="18"/>
                <w:szCs w:val="18"/>
              </w:rPr>
              <w:t>2025</w:t>
            </w:r>
          </w:p>
        </w:tc>
        <w:tc>
          <w:tcPr>
            <w:tcW w:w="1134" w:type="dxa"/>
            <w:gridSpan w:val="2"/>
            <w:tcBorders>
              <w:left w:val="single" w:sz="4" w:space="0" w:color="auto"/>
              <w:right w:val="single" w:sz="4" w:space="0" w:color="auto"/>
            </w:tcBorders>
            <w:shd w:val="clear" w:color="auto" w:fill="BFBFBF" w:themeFill="background1" w:themeFillShade="BF"/>
          </w:tcPr>
          <w:p w14:paraId="7B41260E" w14:textId="77777777" w:rsidR="000A7D9D" w:rsidRPr="00EC1412" w:rsidRDefault="000A7D9D" w:rsidP="00F31937">
            <w:pPr>
              <w:jc w:val="center"/>
              <w:rPr>
                <w:b/>
                <w:caps/>
                <w:noProof/>
                <w:sz w:val="18"/>
                <w:szCs w:val="18"/>
              </w:rPr>
            </w:pPr>
            <w:r w:rsidRPr="00EC1412">
              <w:rPr>
                <w:b/>
                <w:caps/>
                <w:noProof/>
                <w:sz w:val="18"/>
                <w:szCs w:val="18"/>
              </w:rPr>
              <w:t>2026</w:t>
            </w:r>
          </w:p>
        </w:tc>
        <w:tc>
          <w:tcPr>
            <w:tcW w:w="992" w:type="dxa"/>
            <w:gridSpan w:val="2"/>
            <w:tcBorders>
              <w:left w:val="single" w:sz="4" w:space="0" w:color="auto"/>
              <w:right w:val="single" w:sz="4" w:space="0" w:color="auto"/>
            </w:tcBorders>
            <w:shd w:val="clear" w:color="auto" w:fill="BFBFBF" w:themeFill="background1" w:themeFillShade="BF"/>
          </w:tcPr>
          <w:p w14:paraId="0D5DE436" w14:textId="77777777" w:rsidR="000A7D9D" w:rsidRPr="00EC1412" w:rsidRDefault="000A7D9D" w:rsidP="00F31937">
            <w:pPr>
              <w:jc w:val="center"/>
              <w:rPr>
                <w:b/>
                <w:caps/>
                <w:noProof/>
                <w:sz w:val="18"/>
                <w:szCs w:val="18"/>
              </w:rPr>
            </w:pPr>
            <w:r w:rsidRPr="00EC1412">
              <w:rPr>
                <w:b/>
                <w:caps/>
                <w:noProof/>
                <w:sz w:val="18"/>
                <w:szCs w:val="18"/>
              </w:rPr>
              <w:t>2027</w:t>
            </w:r>
          </w:p>
        </w:tc>
        <w:tc>
          <w:tcPr>
            <w:tcW w:w="850" w:type="dxa"/>
            <w:tcBorders>
              <w:left w:val="single" w:sz="4" w:space="0" w:color="auto"/>
              <w:right w:val="single" w:sz="4" w:space="0" w:color="auto"/>
            </w:tcBorders>
            <w:shd w:val="clear" w:color="auto" w:fill="BFBFBF" w:themeFill="background1" w:themeFillShade="BF"/>
          </w:tcPr>
          <w:p w14:paraId="66089CFE" w14:textId="77777777" w:rsidR="000A7D9D" w:rsidRPr="00EC1412" w:rsidRDefault="000A7D9D" w:rsidP="00F31937">
            <w:pPr>
              <w:jc w:val="right"/>
              <w:rPr>
                <w:b/>
                <w:caps/>
                <w:noProof/>
                <w:sz w:val="18"/>
                <w:szCs w:val="18"/>
              </w:rPr>
            </w:pPr>
            <w:r w:rsidRPr="00EC1412">
              <w:rPr>
                <w:b/>
                <w:caps/>
                <w:noProof/>
                <w:sz w:val="18"/>
                <w:szCs w:val="18"/>
              </w:rPr>
              <w:t>2024</w:t>
            </w:r>
          </w:p>
        </w:tc>
        <w:tc>
          <w:tcPr>
            <w:tcW w:w="851" w:type="dxa"/>
            <w:tcBorders>
              <w:left w:val="single" w:sz="4" w:space="0" w:color="auto"/>
              <w:right w:val="single" w:sz="4" w:space="0" w:color="auto"/>
            </w:tcBorders>
            <w:shd w:val="clear" w:color="auto" w:fill="BFBFBF" w:themeFill="background1" w:themeFillShade="BF"/>
          </w:tcPr>
          <w:p w14:paraId="737BB102" w14:textId="77777777" w:rsidR="000A7D9D" w:rsidRPr="00EC1412" w:rsidRDefault="000A7D9D" w:rsidP="00F31937">
            <w:pPr>
              <w:jc w:val="right"/>
              <w:rPr>
                <w:b/>
                <w:caps/>
                <w:noProof/>
                <w:sz w:val="18"/>
                <w:szCs w:val="18"/>
              </w:rPr>
            </w:pPr>
            <w:r w:rsidRPr="00EC1412">
              <w:rPr>
                <w:b/>
                <w:caps/>
                <w:noProof/>
                <w:sz w:val="18"/>
                <w:szCs w:val="18"/>
              </w:rPr>
              <w:t>2025</w:t>
            </w:r>
          </w:p>
        </w:tc>
        <w:tc>
          <w:tcPr>
            <w:tcW w:w="709" w:type="dxa"/>
            <w:tcBorders>
              <w:left w:val="single" w:sz="4" w:space="0" w:color="auto"/>
              <w:right w:val="single" w:sz="4" w:space="0" w:color="auto"/>
            </w:tcBorders>
            <w:shd w:val="clear" w:color="auto" w:fill="BFBFBF" w:themeFill="background1" w:themeFillShade="BF"/>
          </w:tcPr>
          <w:p w14:paraId="6B4299C7" w14:textId="77777777" w:rsidR="000A7D9D" w:rsidRPr="00EC1412" w:rsidRDefault="000A7D9D" w:rsidP="00F31937">
            <w:pPr>
              <w:jc w:val="right"/>
              <w:rPr>
                <w:b/>
                <w:caps/>
                <w:noProof/>
                <w:sz w:val="18"/>
                <w:szCs w:val="18"/>
              </w:rPr>
            </w:pPr>
            <w:r w:rsidRPr="00EC1412">
              <w:rPr>
                <w:b/>
                <w:caps/>
                <w:noProof/>
                <w:sz w:val="18"/>
                <w:szCs w:val="18"/>
              </w:rPr>
              <w:t>2026</w:t>
            </w:r>
          </w:p>
        </w:tc>
        <w:tc>
          <w:tcPr>
            <w:tcW w:w="708" w:type="dxa"/>
            <w:tcBorders>
              <w:left w:val="single" w:sz="4" w:space="0" w:color="auto"/>
            </w:tcBorders>
            <w:shd w:val="clear" w:color="auto" w:fill="BFBFBF" w:themeFill="background1" w:themeFillShade="BF"/>
          </w:tcPr>
          <w:p w14:paraId="75125177" w14:textId="77777777" w:rsidR="000A7D9D" w:rsidRPr="00EC1412" w:rsidRDefault="000A7D9D" w:rsidP="00F31937">
            <w:pPr>
              <w:jc w:val="right"/>
              <w:rPr>
                <w:b/>
                <w:caps/>
                <w:noProof/>
                <w:sz w:val="18"/>
                <w:szCs w:val="18"/>
              </w:rPr>
            </w:pPr>
            <w:r w:rsidRPr="00EC1412">
              <w:rPr>
                <w:b/>
                <w:caps/>
                <w:noProof/>
                <w:sz w:val="18"/>
                <w:szCs w:val="18"/>
              </w:rPr>
              <w:t>2027</w:t>
            </w:r>
          </w:p>
        </w:tc>
      </w:tr>
      <w:tr w:rsidR="000A7D9D" w:rsidRPr="00EC1412" w14:paraId="687C7A21" w14:textId="77777777" w:rsidTr="00F31937">
        <w:tc>
          <w:tcPr>
            <w:tcW w:w="2405" w:type="dxa"/>
            <w:tcBorders>
              <w:right w:val="single" w:sz="4" w:space="0" w:color="auto"/>
            </w:tcBorders>
            <w:shd w:val="clear" w:color="auto" w:fill="BFBFBF" w:themeFill="background1" w:themeFillShade="BF"/>
          </w:tcPr>
          <w:p w14:paraId="6596D6AD" w14:textId="77777777" w:rsidR="000A7D9D" w:rsidRPr="00EC1412" w:rsidRDefault="000A7D9D" w:rsidP="00F31937">
            <w:pPr>
              <w:jc w:val="both"/>
              <w:rPr>
                <w:b/>
                <w:noProof/>
                <w:sz w:val="18"/>
                <w:szCs w:val="18"/>
              </w:rPr>
            </w:pPr>
          </w:p>
        </w:tc>
        <w:tc>
          <w:tcPr>
            <w:tcW w:w="496" w:type="dxa"/>
            <w:tcBorders>
              <w:left w:val="single" w:sz="4" w:space="0" w:color="auto"/>
              <w:right w:val="dotted" w:sz="4" w:space="0" w:color="auto"/>
            </w:tcBorders>
            <w:shd w:val="clear" w:color="auto" w:fill="BFBFBF" w:themeFill="background1" w:themeFillShade="BF"/>
          </w:tcPr>
          <w:p w14:paraId="66B6A73A" w14:textId="77777777" w:rsidR="000A7D9D" w:rsidRPr="00EC1412" w:rsidRDefault="000A7D9D" w:rsidP="00F31937">
            <w:pPr>
              <w:jc w:val="center"/>
              <w:rPr>
                <w:b/>
                <w:caps/>
                <w:noProof/>
                <w:sz w:val="18"/>
                <w:szCs w:val="18"/>
              </w:rPr>
            </w:pPr>
            <w:r>
              <w:rPr>
                <w:b/>
                <w:caps/>
                <w:noProof/>
                <w:sz w:val="18"/>
                <w:szCs w:val="18"/>
              </w:rPr>
              <w:t>TA</w:t>
            </w:r>
          </w:p>
        </w:tc>
        <w:tc>
          <w:tcPr>
            <w:tcW w:w="496" w:type="dxa"/>
            <w:tcBorders>
              <w:left w:val="dotted" w:sz="4" w:space="0" w:color="auto"/>
              <w:right w:val="single" w:sz="4" w:space="0" w:color="auto"/>
            </w:tcBorders>
            <w:shd w:val="clear" w:color="auto" w:fill="BFBFBF" w:themeFill="background1" w:themeFillShade="BF"/>
          </w:tcPr>
          <w:p w14:paraId="083A49FE" w14:textId="77777777" w:rsidR="000A7D9D" w:rsidRPr="00EC1412" w:rsidRDefault="000A7D9D" w:rsidP="00F31937">
            <w:pPr>
              <w:jc w:val="center"/>
              <w:rPr>
                <w:b/>
                <w:caps/>
                <w:noProof/>
                <w:sz w:val="18"/>
                <w:szCs w:val="18"/>
              </w:rPr>
            </w:pPr>
            <w:r>
              <w:rPr>
                <w:b/>
                <w:caps/>
                <w:noProof/>
                <w:sz w:val="18"/>
                <w:szCs w:val="18"/>
              </w:rPr>
              <w:t>CA</w:t>
            </w:r>
          </w:p>
        </w:tc>
        <w:tc>
          <w:tcPr>
            <w:tcW w:w="496" w:type="dxa"/>
            <w:tcBorders>
              <w:left w:val="single" w:sz="4" w:space="0" w:color="auto"/>
              <w:right w:val="dotted" w:sz="4" w:space="0" w:color="auto"/>
            </w:tcBorders>
            <w:shd w:val="clear" w:color="auto" w:fill="BFBFBF" w:themeFill="background1" w:themeFillShade="BF"/>
          </w:tcPr>
          <w:p w14:paraId="3F355AA8" w14:textId="77777777" w:rsidR="000A7D9D" w:rsidRPr="00EC1412" w:rsidRDefault="000A7D9D" w:rsidP="00F31937">
            <w:pPr>
              <w:jc w:val="center"/>
              <w:rPr>
                <w:b/>
                <w:caps/>
                <w:noProof/>
                <w:sz w:val="18"/>
                <w:szCs w:val="18"/>
              </w:rPr>
            </w:pPr>
            <w:r>
              <w:rPr>
                <w:b/>
                <w:caps/>
                <w:noProof/>
                <w:sz w:val="18"/>
                <w:szCs w:val="18"/>
              </w:rPr>
              <w:t>TA</w:t>
            </w:r>
          </w:p>
        </w:tc>
        <w:tc>
          <w:tcPr>
            <w:tcW w:w="497" w:type="dxa"/>
            <w:tcBorders>
              <w:left w:val="dotted" w:sz="4" w:space="0" w:color="auto"/>
              <w:right w:val="single" w:sz="4" w:space="0" w:color="auto"/>
            </w:tcBorders>
            <w:shd w:val="clear" w:color="auto" w:fill="BFBFBF" w:themeFill="background1" w:themeFillShade="BF"/>
          </w:tcPr>
          <w:p w14:paraId="7CE3C082" w14:textId="77777777" w:rsidR="000A7D9D" w:rsidRPr="00EC1412" w:rsidRDefault="000A7D9D" w:rsidP="00F31937">
            <w:pPr>
              <w:jc w:val="center"/>
              <w:rPr>
                <w:b/>
                <w:caps/>
                <w:noProof/>
                <w:sz w:val="18"/>
                <w:szCs w:val="18"/>
              </w:rPr>
            </w:pPr>
            <w:r>
              <w:rPr>
                <w:b/>
                <w:caps/>
                <w:noProof/>
                <w:sz w:val="18"/>
                <w:szCs w:val="18"/>
              </w:rPr>
              <w:t>CA</w:t>
            </w:r>
          </w:p>
        </w:tc>
        <w:tc>
          <w:tcPr>
            <w:tcW w:w="567" w:type="dxa"/>
            <w:tcBorders>
              <w:left w:val="single" w:sz="4" w:space="0" w:color="auto"/>
              <w:right w:val="dotted" w:sz="4" w:space="0" w:color="auto"/>
            </w:tcBorders>
            <w:shd w:val="clear" w:color="auto" w:fill="BFBFBF" w:themeFill="background1" w:themeFillShade="BF"/>
          </w:tcPr>
          <w:p w14:paraId="485D477E" w14:textId="77777777" w:rsidR="000A7D9D" w:rsidRPr="00EC1412" w:rsidRDefault="000A7D9D" w:rsidP="00F31937">
            <w:pPr>
              <w:jc w:val="center"/>
              <w:rPr>
                <w:b/>
                <w:caps/>
                <w:noProof/>
                <w:sz w:val="18"/>
                <w:szCs w:val="18"/>
              </w:rPr>
            </w:pPr>
            <w:r>
              <w:rPr>
                <w:b/>
                <w:caps/>
                <w:noProof/>
                <w:sz w:val="18"/>
                <w:szCs w:val="18"/>
              </w:rPr>
              <w:t>TA</w:t>
            </w:r>
          </w:p>
        </w:tc>
        <w:tc>
          <w:tcPr>
            <w:tcW w:w="567" w:type="dxa"/>
            <w:tcBorders>
              <w:left w:val="dotted" w:sz="4" w:space="0" w:color="auto"/>
              <w:right w:val="single" w:sz="4" w:space="0" w:color="auto"/>
            </w:tcBorders>
            <w:shd w:val="clear" w:color="auto" w:fill="BFBFBF" w:themeFill="background1" w:themeFillShade="BF"/>
          </w:tcPr>
          <w:p w14:paraId="3D8C87D0" w14:textId="77777777" w:rsidR="000A7D9D" w:rsidRPr="00EC1412" w:rsidRDefault="000A7D9D" w:rsidP="00F31937">
            <w:pPr>
              <w:jc w:val="center"/>
              <w:rPr>
                <w:b/>
                <w:caps/>
                <w:noProof/>
                <w:sz w:val="18"/>
                <w:szCs w:val="18"/>
              </w:rPr>
            </w:pPr>
            <w:r>
              <w:rPr>
                <w:b/>
                <w:caps/>
                <w:noProof/>
                <w:sz w:val="18"/>
                <w:szCs w:val="18"/>
              </w:rPr>
              <w:t>CA</w:t>
            </w:r>
          </w:p>
        </w:tc>
        <w:tc>
          <w:tcPr>
            <w:tcW w:w="496" w:type="dxa"/>
            <w:tcBorders>
              <w:left w:val="single" w:sz="4" w:space="0" w:color="auto"/>
              <w:right w:val="dotted" w:sz="4" w:space="0" w:color="auto"/>
            </w:tcBorders>
            <w:shd w:val="clear" w:color="auto" w:fill="BFBFBF" w:themeFill="background1" w:themeFillShade="BF"/>
          </w:tcPr>
          <w:p w14:paraId="534304A3" w14:textId="77777777" w:rsidR="000A7D9D" w:rsidRPr="00EC1412" w:rsidRDefault="000A7D9D" w:rsidP="00F31937">
            <w:pPr>
              <w:jc w:val="center"/>
              <w:rPr>
                <w:b/>
                <w:caps/>
                <w:noProof/>
                <w:sz w:val="18"/>
                <w:szCs w:val="18"/>
              </w:rPr>
            </w:pPr>
            <w:r>
              <w:rPr>
                <w:b/>
                <w:caps/>
                <w:noProof/>
                <w:sz w:val="18"/>
                <w:szCs w:val="18"/>
              </w:rPr>
              <w:t>TA</w:t>
            </w:r>
          </w:p>
        </w:tc>
        <w:tc>
          <w:tcPr>
            <w:tcW w:w="496" w:type="dxa"/>
            <w:tcBorders>
              <w:left w:val="dotted" w:sz="4" w:space="0" w:color="auto"/>
              <w:right w:val="single" w:sz="4" w:space="0" w:color="auto"/>
            </w:tcBorders>
            <w:shd w:val="clear" w:color="auto" w:fill="BFBFBF" w:themeFill="background1" w:themeFillShade="BF"/>
          </w:tcPr>
          <w:p w14:paraId="4D15C565" w14:textId="77777777" w:rsidR="000A7D9D" w:rsidRPr="00EC1412" w:rsidRDefault="000A7D9D" w:rsidP="00F31937">
            <w:pPr>
              <w:jc w:val="center"/>
              <w:rPr>
                <w:b/>
                <w:caps/>
                <w:noProof/>
                <w:sz w:val="18"/>
                <w:szCs w:val="18"/>
              </w:rPr>
            </w:pPr>
            <w:r>
              <w:rPr>
                <w:b/>
                <w:caps/>
                <w:noProof/>
                <w:sz w:val="18"/>
                <w:szCs w:val="18"/>
              </w:rPr>
              <w:t>CA</w:t>
            </w:r>
          </w:p>
        </w:tc>
        <w:tc>
          <w:tcPr>
            <w:tcW w:w="850" w:type="dxa"/>
            <w:tcBorders>
              <w:left w:val="single" w:sz="4" w:space="0" w:color="auto"/>
              <w:right w:val="single" w:sz="4" w:space="0" w:color="auto"/>
            </w:tcBorders>
            <w:shd w:val="clear" w:color="auto" w:fill="BFBFBF" w:themeFill="background1" w:themeFillShade="BF"/>
          </w:tcPr>
          <w:p w14:paraId="574287E9" w14:textId="77777777" w:rsidR="000A7D9D" w:rsidRPr="00EC1412" w:rsidRDefault="000A7D9D" w:rsidP="00F31937">
            <w:pPr>
              <w:jc w:val="right"/>
              <w:rPr>
                <w:b/>
                <w:caps/>
                <w:noProof/>
                <w:sz w:val="18"/>
                <w:szCs w:val="18"/>
              </w:rPr>
            </w:pPr>
          </w:p>
        </w:tc>
        <w:tc>
          <w:tcPr>
            <w:tcW w:w="851" w:type="dxa"/>
            <w:tcBorders>
              <w:left w:val="single" w:sz="4" w:space="0" w:color="auto"/>
              <w:right w:val="single" w:sz="4" w:space="0" w:color="auto"/>
            </w:tcBorders>
            <w:shd w:val="clear" w:color="auto" w:fill="BFBFBF" w:themeFill="background1" w:themeFillShade="BF"/>
          </w:tcPr>
          <w:p w14:paraId="2E64D5C7" w14:textId="77777777" w:rsidR="000A7D9D" w:rsidRPr="00EC1412" w:rsidRDefault="000A7D9D" w:rsidP="00F31937">
            <w:pPr>
              <w:jc w:val="right"/>
              <w:rPr>
                <w:b/>
                <w:caps/>
                <w:noProof/>
                <w:sz w:val="18"/>
                <w:szCs w:val="18"/>
              </w:rPr>
            </w:pPr>
          </w:p>
        </w:tc>
        <w:tc>
          <w:tcPr>
            <w:tcW w:w="709" w:type="dxa"/>
            <w:tcBorders>
              <w:left w:val="single" w:sz="4" w:space="0" w:color="auto"/>
              <w:right w:val="single" w:sz="4" w:space="0" w:color="auto"/>
            </w:tcBorders>
            <w:shd w:val="clear" w:color="auto" w:fill="BFBFBF" w:themeFill="background1" w:themeFillShade="BF"/>
          </w:tcPr>
          <w:p w14:paraId="6D6A0EDA" w14:textId="77777777" w:rsidR="000A7D9D" w:rsidRPr="00EC1412" w:rsidRDefault="000A7D9D" w:rsidP="00F31937">
            <w:pPr>
              <w:jc w:val="right"/>
              <w:rPr>
                <w:b/>
                <w:caps/>
                <w:noProof/>
                <w:sz w:val="18"/>
                <w:szCs w:val="18"/>
              </w:rPr>
            </w:pPr>
          </w:p>
        </w:tc>
        <w:tc>
          <w:tcPr>
            <w:tcW w:w="708" w:type="dxa"/>
            <w:tcBorders>
              <w:left w:val="single" w:sz="4" w:space="0" w:color="auto"/>
            </w:tcBorders>
            <w:shd w:val="clear" w:color="auto" w:fill="BFBFBF" w:themeFill="background1" w:themeFillShade="BF"/>
          </w:tcPr>
          <w:p w14:paraId="18C8C00D" w14:textId="77777777" w:rsidR="000A7D9D" w:rsidRPr="00EC1412" w:rsidRDefault="000A7D9D" w:rsidP="00F31937">
            <w:pPr>
              <w:jc w:val="right"/>
              <w:rPr>
                <w:b/>
                <w:caps/>
                <w:noProof/>
                <w:sz w:val="18"/>
                <w:szCs w:val="18"/>
              </w:rPr>
            </w:pPr>
          </w:p>
        </w:tc>
      </w:tr>
      <w:tr w:rsidR="000A7D9D" w:rsidRPr="00EC1412" w14:paraId="0B068B3A" w14:textId="77777777" w:rsidTr="00F31937">
        <w:tc>
          <w:tcPr>
            <w:tcW w:w="2405" w:type="dxa"/>
            <w:tcBorders>
              <w:right w:val="single" w:sz="4" w:space="0" w:color="auto"/>
            </w:tcBorders>
          </w:tcPr>
          <w:p w14:paraId="0A6621CD" w14:textId="77777777" w:rsidR="000A7D9D" w:rsidRPr="00EC1412" w:rsidRDefault="000A7D9D" w:rsidP="00F31937">
            <w:pPr>
              <w:jc w:val="both"/>
              <w:rPr>
                <w:caps/>
                <w:noProof/>
                <w:sz w:val="18"/>
                <w:szCs w:val="18"/>
              </w:rPr>
            </w:pPr>
            <w:r w:rsidRPr="00EC1412">
              <w:rPr>
                <w:caps/>
                <w:noProof/>
                <w:sz w:val="18"/>
                <w:szCs w:val="18"/>
              </w:rPr>
              <w:t>ECHA</w:t>
            </w:r>
          </w:p>
        </w:tc>
        <w:tc>
          <w:tcPr>
            <w:tcW w:w="496" w:type="dxa"/>
            <w:tcBorders>
              <w:left w:val="single" w:sz="4" w:space="0" w:color="auto"/>
              <w:right w:val="dotted" w:sz="4" w:space="0" w:color="auto"/>
            </w:tcBorders>
          </w:tcPr>
          <w:p w14:paraId="0B2B78D6" w14:textId="77777777" w:rsidR="000A7D9D" w:rsidRPr="00EC1412" w:rsidRDefault="000A7D9D" w:rsidP="00F31937">
            <w:pPr>
              <w:jc w:val="right"/>
              <w:rPr>
                <w:caps/>
                <w:noProof/>
                <w:sz w:val="18"/>
                <w:szCs w:val="18"/>
              </w:rPr>
            </w:pPr>
            <w:r>
              <w:rPr>
                <w:caps/>
                <w:noProof/>
                <w:sz w:val="18"/>
                <w:szCs w:val="18"/>
              </w:rPr>
              <w:t>15</w:t>
            </w:r>
          </w:p>
        </w:tc>
        <w:tc>
          <w:tcPr>
            <w:tcW w:w="496" w:type="dxa"/>
            <w:tcBorders>
              <w:left w:val="dotted" w:sz="4" w:space="0" w:color="auto"/>
              <w:right w:val="single" w:sz="4" w:space="0" w:color="auto"/>
            </w:tcBorders>
          </w:tcPr>
          <w:p w14:paraId="1DC76889" w14:textId="77777777" w:rsidR="000A7D9D" w:rsidRPr="00EC1412" w:rsidRDefault="000A7D9D" w:rsidP="00F31937">
            <w:pPr>
              <w:jc w:val="right"/>
              <w:rPr>
                <w:caps/>
                <w:noProof/>
                <w:sz w:val="18"/>
                <w:szCs w:val="18"/>
              </w:rPr>
            </w:pPr>
            <w:r>
              <w:rPr>
                <w:caps/>
                <w:noProof/>
                <w:sz w:val="18"/>
                <w:szCs w:val="18"/>
              </w:rPr>
              <w:t>9</w:t>
            </w:r>
          </w:p>
        </w:tc>
        <w:tc>
          <w:tcPr>
            <w:tcW w:w="496" w:type="dxa"/>
            <w:tcBorders>
              <w:left w:val="single" w:sz="4" w:space="0" w:color="auto"/>
              <w:right w:val="dotted" w:sz="4" w:space="0" w:color="auto"/>
            </w:tcBorders>
          </w:tcPr>
          <w:p w14:paraId="06020B7E" w14:textId="77777777" w:rsidR="000A7D9D" w:rsidRPr="00EC1412" w:rsidRDefault="000A7D9D" w:rsidP="00F31937">
            <w:pPr>
              <w:jc w:val="right"/>
              <w:rPr>
                <w:caps/>
                <w:noProof/>
                <w:sz w:val="18"/>
                <w:szCs w:val="18"/>
              </w:rPr>
            </w:pPr>
            <w:r>
              <w:rPr>
                <w:caps/>
                <w:noProof/>
                <w:sz w:val="18"/>
                <w:szCs w:val="18"/>
              </w:rPr>
              <w:t>18</w:t>
            </w:r>
          </w:p>
        </w:tc>
        <w:tc>
          <w:tcPr>
            <w:tcW w:w="497" w:type="dxa"/>
            <w:tcBorders>
              <w:left w:val="dotted" w:sz="4" w:space="0" w:color="auto"/>
              <w:right w:val="single" w:sz="4" w:space="0" w:color="auto"/>
            </w:tcBorders>
          </w:tcPr>
          <w:p w14:paraId="177F8B56" w14:textId="77777777" w:rsidR="000A7D9D" w:rsidRPr="00EC1412" w:rsidRDefault="000A7D9D" w:rsidP="00F31937">
            <w:pPr>
              <w:jc w:val="right"/>
              <w:rPr>
                <w:caps/>
                <w:noProof/>
                <w:sz w:val="18"/>
                <w:szCs w:val="18"/>
              </w:rPr>
            </w:pPr>
            <w:r>
              <w:rPr>
                <w:caps/>
                <w:noProof/>
                <w:sz w:val="18"/>
                <w:szCs w:val="18"/>
              </w:rPr>
              <w:t>10</w:t>
            </w:r>
          </w:p>
        </w:tc>
        <w:tc>
          <w:tcPr>
            <w:tcW w:w="567" w:type="dxa"/>
            <w:tcBorders>
              <w:left w:val="single" w:sz="4" w:space="0" w:color="auto"/>
              <w:right w:val="dotted" w:sz="4" w:space="0" w:color="auto"/>
            </w:tcBorders>
          </w:tcPr>
          <w:p w14:paraId="13111C51" w14:textId="77777777" w:rsidR="000A7D9D" w:rsidRPr="00EC1412" w:rsidRDefault="000A7D9D" w:rsidP="00F31937">
            <w:pPr>
              <w:jc w:val="right"/>
              <w:rPr>
                <w:caps/>
                <w:noProof/>
                <w:sz w:val="18"/>
                <w:szCs w:val="18"/>
              </w:rPr>
            </w:pPr>
            <w:r>
              <w:rPr>
                <w:caps/>
                <w:noProof/>
                <w:sz w:val="18"/>
                <w:szCs w:val="18"/>
              </w:rPr>
              <w:t>19</w:t>
            </w:r>
          </w:p>
        </w:tc>
        <w:tc>
          <w:tcPr>
            <w:tcW w:w="567" w:type="dxa"/>
            <w:tcBorders>
              <w:left w:val="dotted" w:sz="4" w:space="0" w:color="auto"/>
              <w:right w:val="single" w:sz="4" w:space="0" w:color="auto"/>
            </w:tcBorders>
          </w:tcPr>
          <w:p w14:paraId="1277FA23" w14:textId="77777777" w:rsidR="000A7D9D" w:rsidRPr="00EC1412" w:rsidRDefault="000A7D9D" w:rsidP="00F31937">
            <w:pPr>
              <w:jc w:val="right"/>
              <w:rPr>
                <w:caps/>
                <w:noProof/>
                <w:sz w:val="18"/>
                <w:szCs w:val="18"/>
              </w:rPr>
            </w:pPr>
            <w:r>
              <w:rPr>
                <w:caps/>
                <w:noProof/>
                <w:sz w:val="18"/>
                <w:szCs w:val="18"/>
              </w:rPr>
              <w:t>10</w:t>
            </w:r>
          </w:p>
        </w:tc>
        <w:tc>
          <w:tcPr>
            <w:tcW w:w="496" w:type="dxa"/>
            <w:tcBorders>
              <w:left w:val="single" w:sz="4" w:space="0" w:color="auto"/>
              <w:right w:val="dotted" w:sz="4" w:space="0" w:color="auto"/>
            </w:tcBorders>
          </w:tcPr>
          <w:p w14:paraId="1FC3D8B9" w14:textId="77777777" w:rsidR="000A7D9D" w:rsidRPr="00EC1412" w:rsidRDefault="000A7D9D" w:rsidP="00F31937">
            <w:pPr>
              <w:jc w:val="right"/>
              <w:rPr>
                <w:caps/>
                <w:noProof/>
                <w:sz w:val="18"/>
                <w:szCs w:val="18"/>
              </w:rPr>
            </w:pPr>
            <w:r>
              <w:rPr>
                <w:caps/>
                <w:noProof/>
                <w:sz w:val="18"/>
                <w:szCs w:val="18"/>
              </w:rPr>
              <w:t>20</w:t>
            </w:r>
          </w:p>
        </w:tc>
        <w:tc>
          <w:tcPr>
            <w:tcW w:w="496" w:type="dxa"/>
            <w:tcBorders>
              <w:left w:val="dotted" w:sz="4" w:space="0" w:color="auto"/>
              <w:right w:val="single" w:sz="4" w:space="0" w:color="auto"/>
            </w:tcBorders>
          </w:tcPr>
          <w:p w14:paraId="375DFA0A" w14:textId="77777777" w:rsidR="000A7D9D" w:rsidRPr="00EC1412" w:rsidRDefault="000A7D9D" w:rsidP="00F31937">
            <w:pPr>
              <w:jc w:val="right"/>
              <w:rPr>
                <w:caps/>
                <w:noProof/>
                <w:sz w:val="18"/>
                <w:szCs w:val="18"/>
              </w:rPr>
            </w:pPr>
            <w:r>
              <w:rPr>
                <w:caps/>
                <w:noProof/>
                <w:sz w:val="18"/>
                <w:szCs w:val="18"/>
              </w:rPr>
              <w:t>9</w:t>
            </w:r>
          </w:p>
        </w:tc>
        <w:tc>
          <w:tcPr>
            <w:tcW w:w="850" w:type="dxa"/>
            <w:tcBorders>
              <w:left w:val="single" w:sz="4" w:space="0" w:color="auto"/>
              <w:right w:val="single" w:sz="4" w:space="0" w:color="auto"/>
            </w:tcBorders>
          </w:tcPr>
          <w:p w14:paraId="2B4E1A64" w14:textId="77777777" w:rsidR="000A7D9D" w:rsidRPr="00EC1412" w:rsidRDefault="000A7D9D" w:rsidP="00F31937">
            <w:pPr>
              <w:jc w:val="right"/>
              <w:rPr>
                <w:caps/>
                <w:noProof/>
                <w:sz w:val="18"/>
                <w:szCs w:val="18"/>
              </w:rPr>
            </w:pPr>
            <w:r w:rsidRPr="00EC1412">
              <w:rPr>
                <w:noProof/>
                <w:sz w:val="18"/>
                <w:szCs w:val="18"/>
              </w:rPr>
              <w:t>1</w:t>
            </w:r>
            <w:r>
              <w:rPr>
                <w:noProof/>
                <w:sz w:val="18"/>
                <w:szCs w:val="18"/>
              </w:rPr>
              <w:t xml:space="preserve"> </w:t>
            </w:r>
            <w:r w:rsidRPr="00EC1412">
              <w:rPr>
                <w:noProof/>
                <w:sz w:val="18"/>
                <w:szCs w:val="18"/>
              </w:rPr>
              <w:t>341</w:t>
            </w:r>
          </w:p>
        </w:tc>
        <w:tc>
          <w:tcPr>
            <w:tcW w:w="851" w:type="dxa"/>
            <w:tcBorders>
              <w:left w:val="single" w:sz="4" w:space="0" w:color="auto"/>
              <w:right w:val="single" w:sz="4" w:space="0" w:color="auto"/>
            </w:tcBorders>
            <w:vAlign w:val="bottom"/>
          </w:tcPr>
          <w:p w14:paraId="6E57301D" w14:textId="77777777" w:rsidR="000A7D9D" w:rsidRPr="00EC1412" w:rsidRDefault="000A7D9D" w:rsidP="00F31937">
            <w:pPr>
              <w:jc w:val="right"/>
              <w:rPr>
                <w:caps/>
                <w:noProof/>
                <w:sz w:val="18"/>
                <w:szCs w:val="18"/>
              </w:rPr>
            </w:pPr>
            <w:r w:rsidRPr="00EC1412">
              <w:rPr>
                <w:caps/>
                <w:noProof/>
                <w:sz w:val="18"/>
                <w:szCs w:val="18"/>
              </w:rPr>
              <w:t>1</w:t>
            </w:r>
            <w:r>
              <w:rPr>
                <w:caps/>
                <w:noProof/>
                <w:sz w:val="18"/>
                <w:szCs w:val="18"/>
              </w:rPr>
              <w:t xml:space="preserve"> </w:t>
            </w:r>
            <w:r w:rsidRPr="00EC1412">
              <w:rPr>
                <w:caps/>
                <w:noProof/>
                <w:sz w:val="18"/>
                <w:szCs w:val="18"/>
              </w:rPr>
              <w:t>364</w:t>
            </w:r>
          </w:p>
        </w:tc>
        <w:tc>
          <w:tcPr>
            <w:tcW w:w="709" w:type="dxa"/>
            <w:tcBorders>
              <w:left w:val="single" w:sz="4" w:space="0" w:color="auto"/>
              <w:right w:val="single" w:sz="4" w:space="0" w:color="auto"/>
            </w:tcBorders>
            <w:vAlign w:val="bottom"/>
          </w:tcPr>
          <w:p w14:paraId="21DDB4CF" w14:textId="77777777" w:rsidR="000A7D9D" w:rsidRPr="00EC1412" w:rsidRDefault="000A7D9D" w:rsidP="00F31937">
            <w:pPr>
              <w:jc w:val="right"/>
              <w:rPr>
                <w:caps/>
                <w:noProof/>
                <w:sz w:val="18"/>
                <w:szCs w:val="18"/>
              </w:rPr>
            </w:pPr>
            <w:r w:rsidRPr="00EC1412">
              <w:rPr>
                <w:noProof/>
                <w:sz w:val="18"/>
                <w:szCs w:val="18"/>
              </w:rPr>
              <w:t>1</w:t>
            </w:r>
            <w:r>
              <w:rPr>
                <w:noProof/>
                <w:sz w:val="18"/>
                <w:szCs w:val="18"/>
              </w:rPr>
              <w:t xml:space="preserve"> </w:t>
            </w:r>
            <w:r w:rsidRPr="00EC1412">
              <w:rPr>
                <w:noProof/>
                <w:sz w:val="18"/>
                <w:szCs w:val="18"/>
              </w:rPr>
              <w:t>257</w:t>
            </w:r>
          </w:p>
        </w:tc>
        <w:tc>
          <w:tcPr>
            <w:tcW w:w="708" w:type="dxa"/>
            <w:tcBorders>
              <w:left w:val="single" w:sz="4" w:space="0" w:color="auto"/>
            </w:tcBorders>
            <w:vAlign w:val="bottom"/>
          </w:tcPr>
          <w:p w14:paraId="516E2ECF" w14:textId="77777777" w:rsidR="000A7D9D" w:rsidRPr="00EC1412" w:rsidRDefault="000A7D9D" w:rsidP="00F31937">
            <w:pPr>
              <w:ind w:left="-75"/>
              <w:jc w:val="right"/>
              <w:rPr>
                <w:caps/>
                <w:noProof/>
                <w:sz w:val="18"/>
                <w:szCs w:val="18"/>
              </w:rPr>
            </w:pPr>
            <w:r w:rsidRPr="00EC1412">
              <w:rPr>
                <w:noProof/>
                <w:sz w:val="18"/>
                <w:szCs w:val="18"/>
              </w:rPr>
              <w:t>1</w:t>
            </w:r>
            <w:r>
              <w:rPr>
                <w:noProof/>
                <w:sz w:val="18"/>
                <w:szCs w:val="18"/>
              </w:rPr>
              <w:t xml:space="preserve"> </w:t>
            </w:r>
            <w:r w:rsidRPr="00EC1412">
              <w:rPr>
                <w:noProof/>
                <w:sz w:val="18"/>
                <w:szCs w:val="18"/>
              </w:rPr>
              <w:t>283</w:t>
            </w:r>
          </w:p>
        </w:tc>
      </w:tr>
      <w:tr w:rsidR="000A7D9D" w:rsidRPr="00EC1412" w14:paraId="143B91B2" w14:textId="77777777" w:rsidTr="00F31937">
        <w:tc>
          <w:tcPr>
            <w:tcW w:w="2405" w:type="dxa"/>
            <w:tcBorders>
              <w:bottom w:val="single" w:sz="4" w:space="0" w:color="auto"/>
              <w:right w:val="single" w:sz="4" w:space="0" w:color="auto"/>
            </w:tcBorders>
          </w:tcPr>
          <w:p w14:paraId="1517E340" w14:textId="77777777" w:rsidR="000A7D9D" w:rsidRPr="00EC1412" w:rsidRDefault="000A7D9D" w:rsidP="00F31937">
            <w:pPr>
              <w:jc w:val="both"/>
              <w:rPr>
                <w:caps/>
                <w:noProof/>
                <w:sz w:val="18"/>
                <w:szCs w:val="18"/>
              </w:rPr>
            </w:pPr>
            <w:r w:rsidRPr="00EC1412">
              <w:rPr>
                <w:caps/>
                <w:noProof/>
                <w:sz w:val="18"/>
                <w:szCs w:val="18"/>
              </w:rPr>
              <w:t>EEA</w:t>
            </w:r>
          </w:p>
        </w:tc>
        <w:tc>
          <w:tcPr>
            <w:tcW w:w="496" w:type="dxa"/>
            <w:tcBorders>
              <w:left w:val="single" w:sz="4" w:space="0" w:color="auto"/>
              <w:bottom w:val="single" w:sz="4" w:space="0" w:color="auto"/>
              <w:right w:val="dotted" w:sz="4" w:space="0" w:color="auto"/>
            </w:tcBorders>
          </w:tcPr>
          <w:p w14:paraId="5075C40C" w14:textId="77777777" w:rsidR="000A7D9D" w:rsidRPr="00EC1412" w:rsidRDefault="000A7D9D" w:rsidP="00F31937">
            <w:pPr>
              <w:jc w:val="right"/>
              <w:rPr>
                <w:caps/>
                <w:noProof/>
                <w:sz w:val="18"/>
                <w:szCs w:val="18"/>
              </w:rPr>
            </w:pPr>
            <w:r>
              <w:rPr>
                <w:caps/>
                <w:noProof/>
                <w:sz w:val="18"/>
                <w:szCs w:val="18"/>
              </w:rPr>
              <w:t>8</w:t>
            </w:r>
          </w:p>
        </w:tc>
        <w:tc>
          <w:tcPr>
            <w:tcW w:w="496" w:type="dxa"/>
            <w:tcBorders>
              <w:left w:val="dotted" w:sz="4" w:space="0" w:color="auto"/>
              <w:bottom w:val="single" w:sz="4" w:space="0" w:color="auto"/>
              <w:right w:val="single" w:sz="4" w:space="0" w:color="auto"/>
            </w:tcBorders>
          </w:tcPr>
          <w:p w14:paraId="50EEEA3B" w14:textId="77777777" w:rsidR="000A7D9D" w:rsidRPr="00EC1412" w:rsidRDefault="000A7D9D" w:rsidP="00F31937">
            <w:pPr>
              <w:jc w:val="right"/>
              <w:rPr>
                <w:caps/>
                <w:noProof/>
                <w:sz w:val="18"/>
                <w:szCs w:val="18"/>
              </w:rPr>
            </w:pPr>
            <w:r>
              <w:rPr>
                <w:caps/>
                <w:noProof/>
                <w:sz w:val="18"/>
                <w:szCs w:val="18"/>
              </w:rPr>
              <w:t>3</w:t>
            </w:r>
          </w:p>
        </w:tc>
        <w:tc>
          <w:tcPr>
            <w:tcW w:w="496" w:type="dxa"/>
            <w:tcBorders>
              <w:left w:val="single" w:sz="4" w:space="0" w:color="auto"/>
              <w:bottom w:val="single" w:sz="4" w:space="0" w:color="auto"/>
              <w:right w:val="dotted" w:sz="4" w:space="0" w:color="auto"/>
            </w:tcBorders>
          </w:tcPr>
          <w:p w14:paraId="789CCC85" w14:textId="77777777" w:rsidR="000A7D9D" w:rsidRPr="00EC1412" w:rsidRDefault="000A7D9D" w:rsidP="00F31937">
            <w:pPr>
              <w:jc w:val="right"/>
              <w:rPr>
                <w:caps/>
                <w:noProof/>
                <w:sz w:val="18"/>
                <w:szCs w:val="18"/>
              </w:rPr>
            </w:pPr>
            <w:r>
              <w:rPr>
                <w:caps/>
                <w:noProof/>
                <w:sz w:val="18"/>
                <w:szCs w:val="18"/>
              </w:rPr>
              <w:t>8</w:t>
            </w:r>
          </w:p>
        </w:tc>
        <w:tc>
          <w:tcPr>
            <w:tcW w:w="497" w:type="dxa"/>
            <w:tcBorders>
              <w:left w:val="dotted" w:sz="4" w:space="0" w:color="auto"/>
              <w:bottom w:val="single" w:sz="4" w:space="0" w:color="auto"/>
              <w:right w:val="single" w:sz="4" w:space="0" w:color="auto"/>
            </w:tcBorders>
          </w:tcPr>
          <w:p w14:paraId="325F0A85" w14:textId="77777777" w:rsidR="000A7D9D" w:rsidRPr="00EC1412" w:rsidRDefault="000A7D9D" w:rsidP="00F31937">
            <w:pPr>
              <w:jc w:val="right"/>
              <w:rPr>
                <w:caps/>
                <w:noProof/>
                <w:sz w:val="18"/>
                <w:szCs w:val="18"/>
              </w:rPr>
            </w:pPr>
            <w:r>
              <w:rPr>
                <w:caps/>
                <w:noProof/>
                <w:sz w:val="18"/>
                <w:szCs w:val="18"/>
              </w:rPr>
              <w:t>3</w:t>
            </w:r>
          </w:p>
        </w:tc>
        <w:tc>
          <w:tcPr>
            <w:tcW w:w="567" w:type="dxa"/>
            <w:tcBorders>
              <w:left w:val="single" w:sz="4" w:space="0" w:color="auto"/>
              <w:bottom w:val="single" w:sz="4" w:space="0" w:color="auto"/>
              <w:right w:val="dotted" w:sz="4" w:space="0" w:color="auto"/>
            </w:tcBorders>
          </w:tcPr>
          <w:p w14:paraId="03236211" w14:textId="77777777" w:rsidR="000A7D9D" w:rsidRPr="00EC1412" w:rsidRDefault="000A7D9D" w:rsidP="00F31937">
            <w:pPr>
              <w:jc w:val="right"/>
              <w:rPr>
                <w:caps/>
                <w:noProof/>
                <w:sz w:val="18"/>
                <w:szCs w:val="18"/>
              </w:rPr>
            </w:pPr>
            <w:r>
              <w:rPr>
                <w:caps/>
                <w:noProof/>
                <w:sz w:val="18"/>
                <w:szCs w:val="18"/>
              </w:rPr>
              <w:t>8</w:t>
            </w:r>
          </w:p>
        </w:tc>
        <w:tc>
          <w:tcPr>
            <w:tcW w:w="567" w:type="dxa"/>
            <w:tcBorders>
              <w:left w:val="dotted" w:sz="4" w:space="0" w:color="auto"/>
              <w:bottom w:val="single" w:sz="4" w:space="0" w:color="auto"/>
              <w:right w:val="single" w:sz="4" w:space="0" w:color="auto"/>
            </w:tcBorders>
          </w:tcPr>
          <w:p w14:paraId="7F75E02B" w14:textId="77777777" w:rsidR="000A7D9D" w:rsidRPr="00EC1412" w:rsidRDefault="000A7D9D" w:rsidP="00F31937">
            <w:pPr>
              <w:jc w:val="right"/>
              <w:rPr>
                <w:caps/>
                <w:noProof/>
                <w:sz w:val="18"/>
                <w:szCs w:val="18"/>
              </w:rPr>
            </w:pPr>
            <w:r>
              <w:rPr>
                <w:caps/>
                <w:noProof/>
                <w:sz w:val="18"/>
                <w:szCs w:val="18"/>
              </w:rPr>
              <w:t>3</w:t>
            </w:r>
          </w:p>
        </w:tc>
        <w:tc>
          <w:tcPr>
            <w:tcW w:w="496" w:type="dxa"/>
            <w:tcBorders>
              <w:left w:val="single" w:sz="4" w:space="0" w:color="auto"/>
              <w:bottom w:val="single" w:sz="4" w:space="0" w:color="auto"/>
              <w:right w:val="dotted" w:sz="4" w:space="0" w:color="auto"/>
            </w:tcBorders>
          </w:tcPr>
          <w:p w14:paraId="6825C217" w14:textId="77777777" w:rsidR="000A7D9D" w:rsidRPr="00EC1412" w:rsidRDefault="000A7D9D" w:rsidP="00F31937">
            <w:pPr>
              <w:jc w:val="right"/>
              <w:rPr>
                <w:caps/>
                <w:noProof/>
                <w:sz w:val="18"/>
                <w:szCs w:val="18"/>
              </w:rPr>
            </w:pPr>
            <w:r>
              <w:rPr>
                <w:caps/>
                <w:noProof/>
                <w:sz w:val="18"/>
                <w:szCs w:val="18"/>
              </w:rPr>
              <w:t>8</w:t>
            </w:r>
          </w:p>
        </w:tc>
        <w:tc>
          <w:tcPr>
            <w:tcW w:w="496" w:type="dxa"/>
            <w:tcBorders>
              <w:left w:val="dotted" w:sz="4" w:space="0" w:color="auto"/>
              <w:bottom w:val="single" w:sz="4" w:space="0" w:color="auto"/>
              <w:right w:val="single" w:sz="4" w:space="0" w:color="auto"/>
            </w:tcBorders>
          </w:tcPr>
          <w:p w14:paraId="0B93CF7D" w14:textId="77777777" w:rsidR="000A7D9D" w:rsidRPr="00EC1412" w:rsidRDefault="000A7D9D" w:rsidP="00F31937">
            <w:pPr>
              <w:jc w:val="right"/>
              <w:rPr>
                <w:caps/>
                <w:noProof/>
                <w:sz w:val="18"/>
                <w:szCs w:val="18"/>
              </w:rPr>
            </w:pPr>
            <w:r>
              <w:rPr>
                <w:caps/>
                <w:noProof/>
                <w:sz w:val="18"/>
                <w:szCs w:val="18"/>
              </w:rPr>
              <w:t>1</w:t>
            </w:r>
          </w:p>
        </w:tc>
        <w:tc>
          <w:tcPr>
            <w:tcW w:w="850" w:type="dxa"/>
            <w:tcBorders>
              <w:left w:val="single" w:sz="4" w:space="0" w:color="auto"/>
              <w:bottom w:val="single" w:sz="4" w:space="0" w:color="auto"/>
              <w:right w:val="single" w:sz="4" w:space="0" w:color="auto"/>
            </w:tcBorders>
          </w:tcPr>
          <w:p w14:paraId="408BADCD" w14:textId="77777777" w:rsidR="000A7D9D" w:rsidRPr="00EC1412" w:rsidRDefault="000A7D9D" w:rsidP="00F31937">
            <w:pPr>
              <w:jc w:val="right"/>
              <w:rPr>
                <w:caps/>
                <w:noProof/>
                <w:sz w:val="18"/>
                <w:szCs w:val="18"/>
              </w:rPr>
            </w:pPr>
            <w:r>
              <w:rPr>
                <w:noProof/>
                <w:sz w:val="18"/>
                <w:szCs w:val="18"/>
              </w:rPr>
              <w:t>919</w:t>
            </w:r>
          </w:p>
        </w:tc>
        <w:tc>
          <w:tcPr>
            <w:tcW w:w="851" w:type="dxa"/>
            <w:tcBorders>
              <w:left w:val="single" w:sz="4" w:space="0" w:color="auto"/>
              <w:bottom w:val="single" w:sz="4" w:space="0" w:color="auto"/>
              <w:right w:val="single" w:sz="4" w:space="0" w:color="auto"/>
            </w:tcBorders>
            <w:vAlign w:val="bottom"/>
          </w:tcPr>
          <w:p w14:paraId="49975E93" w14:textId="77777777" w:rsidR="000A7D9D" w:rsidRPr="00EC1412" w:rsidRDefault="000A7D9D" w:rsidP="00F31937">
            <w:pPr>
              <w:jc w:val="right"/>
              <w:rPr>
                <w:caps/>
                <w:noProof/>
                <w:sz w:val="18"/>
                <w:szCs w:val="18"/>
              </w:rPr>
            </w:pPr>
            <w:r w:rsidRPr="00EC1412">
              <w:rPr>
                <w:caps/>
                <w:noProof/>
                <w:sz w:val="18"/>
                <w:szCs w:val="18"/>
              </w:rPr>
              <w:t>509</w:t>
            </w:r>
          </w:p>
        </w:tc>
        <w:tc>
          <w:tcPr>
            <w:tcW w:w="709" w:type="dxa"/>
            <w:tcBorders>
              <w:left w:val="single" w:sz="4" w:space="0" w:color="auto"/>
              <w:bottom w:val="single" w:sz="4" w:space="0" w:color="auto"/>
              <w:right w:val="single" w:sz="4" w:space="0" w:color="auto"/>
            </w:tcBorders>
            <w:vAlign w:val="bottom"/>
          </w:tcPr>
          <w:p w14:paraId="4F1403B8" w14:textId="77777777" w:rsidR="000A7D9D" w:rsidRPr="00EC1412" w:rsidRDefault="000A7D9D" w:rsidP="00F31937">
            <w:pPr>
              <w:jc w:val="right"/>
              <w:rPr>
                <w:caps/>
                <w:noProof/>
                <w:sz w:val="18"/>
                <w:szCs w:val="18"/>
              </w:rPr>
            </w:pPr>
            <w:r w:rsidRPr="00EC1412">
              <w:rPr>
                <w:noProof/>
                <w:sz w:val="18"/>
                <w:szCs w:val="18"/>
              </w:rPr>
              <w:t>469</w:t>
            </w:r>
          </w:p>
        </w:tc>
        <w:tc>
          <w:tcPr>
            <w:tcW w:w="708" w:type="dxa"/>
            <w:tcBorders>
              <w:left w:val="single" w:sz="4" w:space="0" w:color="auto"/>
              <w:bottom w:val="single" w:sz="4" w:space="0" w:color="auto"/>
            </w:tcBorders>
            <w:vAlign w:val="bottom"/>
          </w:tcPr>
          <w:p w14:paraId="4DDF8D46" w14:textId="77777777" w:rsidR="000A7D9D" w:rsidRPr="00EC1412" w:rsidRDefault="000A7D9D" w:rsidP="00F31937">
            <w:pPr>
              <w:jc w:val="right"/>
              <w:rPr>
                <w:caps/>
                <w:noProof/>
                <w:sz w:val="18"/>
                <w:szCs w:val="18"/>
              </w:rPr>
            </w:pPr>
            <w:r w:rsidRPr="00EC1412">
              <w:rPr>
                <w:noProof/>
                <w:sz w:val="18"/>
                <w:szCs w:val="18"/>
              </w:rPr>
              <w:t>180</w:t>
            </w:r>
          </w:p>
        </w:tc>
      </w:tr>
      <w:tr w:rsidR="000A7D9D" w:rsidRPr="00EC1412" w14:paraId="7CD7F44C" w14:textId="77777777" w:rsidTr="00F31937">
        <w:tc>
          <w:tcPr>
            <w:tcW w:w="2405" w:type="dxa"/>
            <w:tcBorders>
              <w:bottom w:val="single" w:sz="4" w:space="0" w:color="auto"/>
              <w:right w:val="single" w:sz="4" w:space="0" w:color="auto"/>
            </w:tcBorders>
          </w:tcPr>
          <w:p w14:paraId="4C511648" w14:textId="77777777" w:rsidR="000A7D9D" w:rsidRPr="00EC1412" w:rsidRDefault="000A7D9D" w:rsidP="00F31937">
            <w:pPr>
              <w:jc w:val="both"/>
              <w:rPr>
                <w:caps/>
                <w:noProof/>
                <w:sz w:val="18"/>
                <w:szCs w:val="18"/>
              </w:rPr>
            </w:pPr>
            <w:r>
              <w:rPr>
                <w:caps/>
                <w:noProof/>
                <w:sz w:val="18"/>
                <w:szCs w:val="18"/>
              </w:rPr>
              <w:t>EMA</w:t>
            </w:r>
          </w:p>
        </w:tc>
        <w:tc>
          <w:tcPr>
            <w:tcW w:w="496" w:type="dxa"/>
            <w:tcBorders>
              <w:left w:val="single" w:sz="4" w:space="0" w:color="auto"/>
              <w:bottom w:val="single" w:sz="4" w:space="0" w:color="auto"/>
              <w:right w:val="dotted" w:sz="4" w:space="0" w:color="auto"/>
            </w:tcBorders>
          </w:tcPr>
          <w:p w14:paraId="5DD09FF9" w14:textId="77777777" w:rsidR="000A7D9D" w:rsidRDefault="000A7D9D" w:rsidP="00F31937">
            <w:pPr>
              <w:jc w:val="right"/>
              <w:rPr>
                <w:caps/>
                <w:noProof/>
                <w:sz w:val="18"/>
                <w:szCs w:val="18"/>
              </w:rPr>
            </w:pPr>
            <w:r>
              <w:rPr>
                <w:caps/>
                <w:noProof/>
                <w:sz w:val="18"/>
                <w:szCs w:val="18"/>
              </w:rPr>
              <w:t>19</w:t>
            </w:r>
          </w:p>
        </w:tc>
        <w:tc>
          <w:tcPr>
            <w:tcW w:w="496" w:type="dxa"/>
            <w:tcBorders>
              <w:left w:val="dotted" w:sz="4" w:space="0" w:color="auto"/>
              <w:bottom w:val="single" w:sz="4" w:space="0" w:color="auto"/>
              <w:right w:val="single" w:sz="4" w:space="0" w:color="auto"/>
            </w:tcBorders>
          </w:tcPr>
          <w:p w14:paraId="2795E8CD" w14:textId="77777777" w:rsidR="000A7D9D" w:rsidRDefault="000A7D9D" w:rsidP="00F31937">
            <w:pPr>
              <w:jc w:val="right"/>
              <w:rPr>
                <w:caps/>
                <w:noProof/>
                <w:sz w:val="18"/>
                <w:szCs w:val="18"/>
              </w:rPr>
            </w:pPr>
            <w:r>
              <w:rPr>
                <w:caps/>
                <w:noProof/>
                <w:sz w:val="18"/>
                <w:szCs w:val="18"/>
              </w:rPr>
              <w:t>0</w:t>
            </w:r>
          </w:p>
        </w:tc>
        <w:tc>
          <w:tcPr>
            <w:tcW w:w="496" w:type="dxa"/>
            <w:tcBorders>
              <w:left w:val="single" w:sz="4" w:space="0" w:color="auto"/>
              <w:bottom w:val="single" w:sz="4" w:space="0" w:color="auto"/>
              <w:right w:val="dotted" w:sz="4" w:space="0" w:color="auto"/>
            </w:tcBorders>
          </w:tcPr>
          <w:p w14:paraId="3D10D60B" w14:textId="77777777" w:rsidR="000A7D9D" w:rsidRDefault="000A7D9D" w:rsidP="00F31937">
            <w:pPr>
              <w:jc w:val="right"/>
              <w:rPr>
                <w:caps/>
                <w:noProof/>
                <w:sz w:val="18"/>
                <w:szCs w:val="18"/>
              </w:rPr>
            </w:pPr>
            <w:r>
              <w:rPr>
                <w:caps/>
                <w:noProof/>
                <w:sz w:val="18"/>
                <w:szCs w:val="18"/>
              </w:rPr>
              <w:t>37</w:t>
            </w:r>
          </w:p>
        </w:tc>
        <w:tc>
          <w:tcPr>
            <w:tcW w:w="497" w:type="dxa"/>
            <w:tcBorders>
              <w:left w:val="dotted" w:sz="4" w:space="0" w:color="auto"/>
              <w:bottom w:val="single" w:sz="4" w:space="0" w:color="auto"/>
              <w:right w:val="single" w:sz="4" w:space="0" w:color="auto"/>
            </w:tcBorders>
          </w:tcPr>
          <w:p w14:paraId="49F0281B" w14:textId="77777777" w:rsidR="000A7D9D"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dotted" w:sz="4" w:space="0" w:color="auto"/>
            </w:tcBorders>
          </w:tcPr>
          <w:p w14:paraId="1D3F71EC" w14:textId="77777777" w:rsidR="000A7D9D" w:rsidRDefault="000A7D9D" w:rsidP="00F31937">
            <w:pPr>
              <w:jc w:val="right"/>
              <w:rPr>
                <w:caps/>
                <w:noProof/>
                <w:sz w:val="18"/>
                <w:szCs w:val="18"/>
              </w:rPr>
            </w:pPr>
            <w:r>
              <w:rPr>
                <w:caps/>
                <w:noProof/>
                <w:sz w:val="18"/>
                <w:szCs w:val="18"/>
              </w:rPr>
              <w:t>52</w:t>
            </w:r>
          </w:p>
        </w:tc>
        <w:tc>
          <w:tcPr>
            <w:tcW w:w="567" w:type="dxa"/>
            <w:tcBorders>
              <w:left w:val="dotted" w:sz="4" w:space="0" w:color="auto"/>
              <w:bottom w:val="single" w:sz="4" w:space="0" w:color="auto"/>
              <w:right w:val="single" w:sz="4" w:space="0" w:color="auto"/>
            </w:tcBorders>
          </w:tcPr>
          <w:p w14:paraId="2602239B" w14:textId="77777777" w:rsidR="000A7D9D" w:rsidRDefault="000A7D9D" w:rsidP="00F31937">
            <w:pPr>
              <w:jc w:val="right"/>
              <w:rPr>
                <w:caps/>
                <w:noProof/>
                <w:sz w:val="18"/>
                <w:szCs w:val="18"/>
              </w:rPr>
            </w:pPr>
            <w:r>
              <w:rPr>
                <w:caps/>
                <w:noProof/>
                <w:sz w:val="18"/>
                <w:szCs w:val="18"/>
              </w:rPr>
              <w:t>0</w:t>
            </w:r>
          </w:p>
        </w:tc>
        <w:tc>
          <w:tcPr>
            <w:tcW w:w="496" w:type="dxa"/>
            <w:tcBorders>
              <w:left w:val="single" w:sz="4" w:space="0" w:color="auto"/>
              <w:bottom w:val="single" w:sz="4" w:space="0" w:color="auto"/>
              <w:right w:val="dotted" w:sz="4" w:space="0" w:color="auto"/>
            </w:tcBorders>
          </w:tcPr>
          <w:p w14:paraId="3B1CC5FA" w14:textId="77777777" w:rsidR="000A7D9D" w:rsidRDefault="000A7D9D" w:rsidP="00F31937">
            <w:pPr>
              <w:jc w:val="right"/>
              <w:rPr>
                <w:caps/>
                <w:noProof/>
                <w:sz w:val="18"/>
                <w:szCs w:val="18"/>
              </w:rPr>
            </w:pPr>
            <w:r>
              <w:rPr>
                <w:caps/>
                <w:noProof/>
                <w:sz w:val="18"/>
                <w:szCs w:val="18"/>
              </w:rPr>
              <w:t>60</w:t>
            </w:r>
          </w:p>
        </w:tc>
        <w:tc>
          <w:tcPr>
            <w:tcW w:w="496" w:type="dxa"/>
            <w:tcBorders>
              <w:left w:val="dotted" w:sz="4" w:space="0" w:color="auto"/>
              <w:bottom w:val="single" w:sz="4" w:space="0" w:color="auto"/>
              <w:right w:val="single" w:sz="4" w:space="0" w:color="auto"/>
            </w:tcBorders>
          </w:tcPr>
          <w:p w14:paraId="59E3EB66" w14:textId="77777777" w:rsidR="000A7D9D" w:rsidRDefault="000A7D9D" w:rsidP="00F31937">
            <w:pPr>
              <w:jc w:val="right"/>
              <w:rPr>
                <w:caps/>
                <w:noProof/>
                <w:sz w:val="18"/>
                <w:szCs w:val="18"/>
              </w:rPr>
            </w:pPr>
            <w:r>
              <w:rPr>
                <w:caps/>
                <w:noProof/>
                <w:sz w:val="18"/>
                <w:szCs w:val="18"/>
              </w:rPr>
              <w:t>0</w:t>
            </w:r>
          </w:p>
        </w:tc>
        <w:tc>
          <w:tcPr>
            <w:tcW w:w="850" w:type="dxa"/>
            <w:tcBorders>
              <w:left w:val="single" w:sz="4" w:space="0" w:color="auto"/>
              <w:bottom w:val="single" w:sz="4" w:space="0" w:color="auto"/>
              <w:right w:val="single" w:sz="4" w:space="0" w:color="auto"/>
            </w:tcBorders>
          </w:tcPr>
          <w:p w14:paraId="17CA9142" w14:textId="77777777" w:rsidR="000A7D9D" w:rsidRDefault="000A7D9D" w:rsidP="00F31937">
            <w:pPr>
              <w:tabs>
                <w:tab w:val="left" w:pos="513"/>
              </w:tabs>
              <w:rPr>
                <w:noProof/>
                <w:sz w:val="18"/>
                <w:szCs w:val="18"/>
              </w:rPr>
            </w:pPr>
            <w:r>
              <w:rPr>
                <w:noProof/>
                <w:sz w:val="18"/>
                <w:szCs w:val="18"/>
              </w:rPr>
              <w:tab/>
              <w:t>0</w:t>
            </w:r>
          </w:p>
        </w:tc>
        <w:tc>
          <w:tcPr>
            <w:tcW w:w="851" w:type="dxa"/>
            <w:tcBorders>
              <w:left w:val="single" w:sz="4" w:space="0" w:color="auto"/>
              <w:bottom w:val="single" w:sz="4" w:space="0" w:color="auto"/>
              <w:right w:val="single" w:sz="4" w:space="0" w:color="auto"/>
            </w:tcBorders>
            <w:vAlign w:val="bottom"/>
          </w:tcPr>
          <w:p w14:paraId="5133455A" w14:textId="77777777" w:rsidR="000A7D9D" w:rsidRPr="00EC1412" w:rsidRDefault="000A7D9D" w:rsidP="00F31937">
            <w:pPr>
              <w:jc w:val="right"/>
              <w:rPr>
                <w:caps/>
                <w:noProof/>
                <w:sz w:val="18"/>
                <w:szCs w:val="18"/>
              </w:rPr>
            </w:pPr>
            <w:r>
              <w:rPr>
                <w:caps/>
                <w:noProof/>
                <w:sz w:val="18"/>
                <w:szCs w:val="18"/>
              </w:rPr>
              <w:t>0</w:t>
            </w:r>
          </w:p>
        </w:tc>
        <w:tc>
          <w:tcPr>
            <w:tcW w:w="709" w:type="dxa"/>
            <w:tcBorders>
              <w:left w:val="single" w:sz="4" w:space="0" w:color="auto"/>
              <w:bottom w:val="single" w:sz="4" w:space="0" w:color="auto"/>
              <w:right w:val="single" w:sz="4" w:space="0" w:color="auto"/>
            </w:tcBorders>
            <w:vAlign w:val="bottom"/>
          </w:tcPr>
          <w:p w14:paraId="36F86643" w14:textId="77777777" w:rsidR="000A7D9D" w:rsidRPr="00EC1412" w:rsidRDefault="000A7D9D" w:rsidP="00F31937">
            <w:pPr>
              <w:jc w:val="right"/>
              <w:rPr>
                <w:noProof/>
                <w:sz w:val="18"/>
                <w:szCs w:val="18"/>
              </w:rPr>
            </w:pPr>
            <w:r>
              <w:rPr>
                <w:noProof/>
                <w:sz w:val="18"/>
                <w:szCs w:val="18"/>
              </w:rPr>
              <w:t>0</w:t>
            </w:r>
          </w:p>
        </w:tc>
        <w:tc>
          <w:tcPr>
            <w:tcW w:w="708" w:type="dxa"/>
            <w:tcBorders>
              <w:left w:val="single" w:sz="4" w:space="0" w:color="auto"/>
              <w:bottom w:val="single" w:sz="4" w:space="0" w:color="auto"/>
            </w:tcBorders>
            <w:vAlign w:val="bottom"/>
          </w:tcPr>
          <w:p w14:paraId="7277E6A3" w14:textId="77777777" w:rsidR="000A7D9D" w:rsidRPr="00EC1412" w:rsidRDefault="000A7D9D" w:rsidP="00F31937">
            <w:pPr>
              <w:jc w:val="right"/>
              <w:rPr>
                <w:noProof/>
                <w:sz w:val="18"/>
                <w:szCs w:val="18"/>
              </w:rPr>
            </w:pPr>
            <w:r>
              <w:rPr>
                <w:noProof/>
                <w:sz w:val="18"/>
                <w:szCs w:val="18"/>
              </w:rPr>
              <w:t>0</w:t>
            </w:r>
          </w:p>
        </w:tc>
      </w:tr>
      <w:tr w:rsidR="000A7D9D" w:rsidRPr="00EC1412" w14:paraId="6ADAD3C7" w14:textId="77777777" w:rsidTr="00F31937">
        <w:tc>
          <w:tcPr>
            <w:tcW w:w="2405" w:type="dxa"/>
            <w:tcBorders>
              <w:right w:val="single" w:sz="4" w:space="0" w:color="auto"/>
            </w:tcBorders>
            <w:shd w:val="clear" w:color="auto" w:fill="BFBFBF" w:themeFill="background1" w:themeFillShade="BF"/>
          </w:tcPr>
          <w:p w14:paraId="03C3F5D5" w14:textId="77777777" w:rsidR="000A7D9D" w:rsidRPr="00EC1412" w:rsidRDefault="000A7D9D" w:rsidP="00F31937">
            <w:pPr>
              <w:jc w:val="both"/>
              <w:rPr>
                <w:b/>
                <w:caps/>
                <w:noProof/>
                <w:sz w:val="18"/>
                <w:szCs w:val="18"/>
              </w:rPr>
            </w:pPr>
            <w:r w:rsidRPr="00EC1412">
              <w:rPr>
                <w:b/>
                <w:caps/>
                <w:noProof/>
                <w:sz w:val="18"/>
                <w:szCs w:val="18"/>
              </w:rPr>
              <w:t>SUm</w:t>
            </w:r>
          </w:p>
        </w:tc>
        <w:tc>
          <w:tcPr>
            <w:tcW w:w="496" w:type="dxa"/>
            <w:tcBorders>
              <w:left w:val="single" w:sz="4" w:space="0" w:color="auto"/>
              <w:right w:val="dotted" w:sz="4" w:space="0" w:color="auto"/>
            </w:tcBorders>
            <w:shd w:val="clear" w:color="auto" w:fill="BFBFBF" w:themeFill="background1" w:themeFillShade="BF"/>
          </w:tcPr>
          <w:p w14:paraId="0FBAA75A" w14:textId="77777777" w:rsidR="000A7D9D" w:rsidRPr="00EC1412" w:rsidRDefault="000A7D9D" w:rsidP="00F31937">
            <w:pPr>
              <w:jc w:val="right"/>
              <w:rPr>
                <w:b/>
                <w:caps/>
                <w:noProof/>
                <w:sz w:val="18"/>
                <w:szCs w:val="18"/>
              </w:rPr>
            </w:pPr>
            <w:r>
              <w:rPr>
                <w:b/>
                <w:caps/>
                <w:noProof/>
                <w:sz w:val="18"/>
                <w:szCs w:val="18"/>
              </w:rPr>
              <w:t>42</w:t>
            </w:r>
          </w:p>
        </w:tc>
        <w:tc>
          <w:tcPr>
            <w:tcW w:w="496" w:type="dxa"/>
            <w:tcBorders>
              <w:left w:val="dotted" w:sz="4" w:space="0" w:color="auto"/>
              <w:right w:val="single" w:sz="4" w:space="0" w:color="auto"/>
            </w:tcBorders>
            <w:shd w:val="clear" w:color="auto" w:fill="BFBFBF" w:themeFill="background1" w:themeFillShade="BF"/>
          </w:tcPr>
          <w:p w14:paraId="06B2D94D" w14:textId="77777777" w:rsidR="000A7D9D" w:rsidRPr="00EC1412" w:rsidRDefault="000A7D9D" w:rsidP="00F31937">
            <w:pPr>
              <w:jc w:val="right"/>
              <w:rPr>
                <w:b/>
                <w:caps/>
                <w:noProof/>
                <w:sz w:val="18"/>
                <w:szCs w:val="18"/>
              </w:rPr>
            </w:pPr>
            <w:r>
              <w:rPr>
                <w:b/>
                <w:caps/>
                <w:noProof/>
                <w:sz w:val="18"/>
                <w:szCs w:val="18"/>
              </w:rPr>
              <w:t>12</w:t>
            </w:r>
          </w:p>
        </w:tc>
        <w:tc>
          <w:tcPr>
            <w:tcW w:w="496" w:type="dxa"/>
            <w:tcBorders>
              <w:left w:val="single" w:sz="4" w:space="0" w:color="auto"/>
              <w:right w:val="dotted" w:sz="4" w:space="0" w:color="auto"/>
            </w:tcBorders>
            <w:shd w:val="clear" w:color="auto" w:fill="BFBFBF" w:themeFill="background1" w:themeFillShade="BF"/>
          </w:tcPr>
          <w:p w14:paraId="16471BE4" w14:textId="77777777" w:rsidR="000A7D9D" w:rsidRPr="00EC1412" w:rsidRDefault="000A7D9D" w:rsidP="00F31937">
            <w:pPr>
              <w:jc w:val="right"/>
              <w:rPr>
                <w:b/>
                <w:caps/>
                <w:noProof/>
                <w:sz w:val="18"/>
                <w:szCs w:val="18"/>
              </w:rPr>
            </w:pPr>
            <w:r>
              <w:rPr>
                <w:b/>
                <w:caps/>
                <w:noProof/>
                <w:sz w:val="18"/>
                <w:szCs w:val="18"/>
              </w:rPr>
              <w:t>63</w:t>
            </w:r>
          </w:p>
        </w:tc>
        <w:tc>
          <w:tcPr>
            <w:tcW w:w="497" w:type="dxa"/>
            <w:tcBorders>
              <w:left w:val="dotted" w:sz="4" w:space="0" w:color="auto"/>
              <w:right w:val="single" w:sz="4" w:space="0" w:color="auto"/>
            </w:tcBorders>
            <w:shd w:val="clear" w:color="auto" w:fill="BFBFBF" w:themeFill="background1" w:themeFillShade="BF"/>
          </w:tcPr>
          <w:p w14:paraId="4105C728" w14:textId="77777777" w:rsidR="000A7D9D" w:rsidRPr="00EC1412" w:rsidRDefault="000A7D9D" w:rsidP="00F31937">
            <w:pPr>
              <w:jc w:val="right"/>
              <w:rPr>
                <w:b/>
                <w:caps/>
                <w:noProof/>
                <w:sz w:val="18"/>
                <w:szCs w:val="18"/>
              </w:rPr>
            </w:pPr>
            <w:r>
              <w:rPr>
                <w:b/>
                <w:caps/>
                <w:noProof/>
                <w:sz w:val="18"/>
                <w:szCs w:val="18"/>
              </w:rPr>
              <w:t>13</w:t>
            </w:r>
          </w:p>
        </w:tc>
        <w:tc>
          <w:tcPr>
            <w:tcW w:w="567" w:type="dxa"/>
            <w:tcBorders>
              <w:left w:val="single" w:sz="4" w:space="0" w:color="auto"/>
              <w:right w:val="dotted" w:sz="4" w:space="0" w:color="auto"/>
            </w:tcBorders>
            <w:shd w:val="clear" w:color="auto" w:fill="BFBFBF" w:themeFill="background1" w:themeFillShade="BF"/>
          </w:tcPr>
          <w:p w14:paraId="15B60E65" w14:textId="77777777" w:rsidR="000A7D9D" w:rsidRPr="00EC1412" w:rsidRDefault="000A7D9D" w:rsidP="00F31937">
            <w:pPr>
              <w:jc w:val="right"/>
              <w:rPr>
                <w:b/>
                <w:caps/>
                <w:noProof/>
                <w:sz w:val="18"/>
                <w:szCs w:val="18"/>
              </w:rPr>
            </w:pPr>
            <w:r>
              <w:rPr>
                <w:b/>
                <w:caps/>
                <w:noProof/>
                <w:sz w:val="18"/>
                <w:szCs w:val="18"/>
              </w:rPr>
              <w:t>79</w:t>
            </w:r>
          </w:p>
        </w:tc>
        <w:tc>
          <w:tcPr>
            <w:tcW w:w="567" w:type="dxa"/>
            <w:tcBorders>
              <w:left w:val="dotted" w:sz="4" w:space="0" w:color="auto"/>
              <w:right w:val="single" w:sz="4" w:space="0" w:color="auto"/>
            </w:tcBorders>
            <w:shd w:val="clear" w:color="auto" w:fill="BFBFBF" w:themeFill="background1" w:themeFillShade="BF"/>
          </w:tcPr>
          <w:p w14:paraId="0452E966" w14:textId="77777777" w:rsidR="000A7D9D" w:rsidRPr="00EC1412" w:rsidRDefault="000A7D9D" w:rsidP="00F31937">
            <w:pPr>
              <w:jc w:val="right"/>
              <w:rPr>
                <w:b/>
                <w:caps/>
                <w:noProof/>
                <w:sz w:val="18"/>
                <w:szCs w:val="18"/>
              </w:rPr>
            </w:pPr>
            <w:r>
              <w:rPr>
                <w:b/>
                <w:caps/>
                <w:noProof/>
                <w:sz w:val="18"/>
                <w:szCs w:val="18"/>
              </w:rPr>
              <w:t>13</w:t>
            </w:r>
          </w:p>
        </w:tc>
        <w:tc>
          <w:tcPr>
            <w:tcW w:w="496" w:type="dxa"/>
            <w:tcBorders>
              <w:left w:val="single" w:sz="4" w:space="0" w:color="auto"/>
              <w:right w:val="dotted" w:sz="4" w:space="0" w:color="auto"/>
            </w:tcBorders>
            <w:shd w:val="clear" w:color="auto" w:fill="BFBFBF" w:themeFill="background1" w:themeFillShade="BF"/>
          </w:tcPr>
          <w:p w14:paraId="7BD0A413" w14:textId="77777777" w:rsidR="000A7D9D" w:rsidRPr="00EC1412" w:rsidRDefault="000A7D9D" w:rsidP="00F31937">
            <w:pPr>
              <w:jc w:val="right"/>
              <w:rPr>
                <w:b/>
                <w:caps/>
                <w:noProof/>
                <w:sz w:val="18"/>
                <w:szCs w:val="18"/>
              </w:rPr>
            </w:pPr>
            <w:r>
              <w:rPr>
                <w:b/>
                <w:caps/>
                <w:noProof/>
                <w:sz w:val="18"/>
                <w:szCs w:val="18"/>
              </w:rPr>
              <w:t>88</w:t>
            </w:r>
          </w:p>
        </w:tc>
        <w:tc>
          <w:tcPr>
            <w:tcW w:w="496" w:type="dxa"/>
            <w:tcBorders>
              <w:left w:val="dotted" w:sz="4" w:space="0" w:color="auto"/>
              <w:right w:val="single" w:sz="4" w:space="0" w:color="auto"/>
            </w:tcBorders>
            <w:shd w:val="clear" w:color="auto" w:fill="BFBFBF" w:themeFill="background1" w:themeFillShade="BF"/>
          </w:tcPr>
          <w:p w14:paraId="0E336BAF" w14:textId="77777777" w:rsidR="000A7D9D" w:rsidRPr="00EC1412" w:rsidRDefault="000A7D9D" w:rsidP="00F31937">
            <w:pPr>
              <w:jc w:val="right"/>
              <w:rPr>
                <w:b/>
                <w:caps/>
                <w:noProof/>
                <w:sz w:val="18"/>
                <w:szCs w:val="18"/>
              </w:rPr>
            </w:pPr>
            <w:r>
              <w:rPr>
                <w:b/>
                <w:caps/>
                <w:noProof/>
                <w:sz w:val="18"/>
                <w:szCs w:val="18"/>
              </w:rPr>
              <w:t>10</w:t>
            </w:r>
          </w:p>
        </w:tc>
        <w:tc>
          <w:tcPr>
            <w:tcW w:w="850" w:type="dxa"/>
            <w:tcBorders>
              <w:left w:val="single" w:sz="4" w:space="0" w:color="auto"/>
              <w:right w:val="single" w:sz="4" w:space="0" w:color="auto"/>
            </w:tcBorders>
            <w:shd w:val="clear" w:color="auto" w:fill="BFBFBF" w:themeFill="background1" w:themeFillShade="BF"/>
          </w:tcPr>
          <w:p w14:paraId="65B6D8F0" w14:textId="77777777" w:rsidR="000A7D9D" w:rsidRPr="00EC1412" w:rsidRDefault="000A7D9D" w:rsidP="00F31937">
            <w:pPr>
              <w:jc w:val="right"/>
              <w:rPr>
                <w:b/>
                <w:caps/>
                <w:noProof/>
                <w:sz w:val="18"/>
                <w:szCs w:val="18"/>
              </w:rPr>
            </w:pPr>
            <w:r w:rsidRPr="00EC1412">
              <w:rPr>
                <w:b/>
                <w:caps/>
                <w:noProof/>
                <w:sz w:val="18"/>
                <w:szCs w:val="18"/>
              </w:rPr>
              <w:t>2</w:t>
            </w:r>
            <w:r>
              <w:rPr>
                <w:b/>
                <w:caps/>
                <w:noProof/>
                <w:sz w:val="18"/>
                <w:szCs w:val="18"/>
              </w:rPr>
              <w:t xml:space="preserve"> 260</w:t>
            </w:r>
          </w:p>
        </w:tc>
        <w:tc>
          <w:tcPr>
            <w:tcW w:w="851" w:type="dxa"/>
            <w:tcBorders>
              <w:left w:val="single" w:sz="4" w:space="0" w:color="auto"/>
              <w:right w:val="single" w:sz="4" w:space="0" w:color="auto"/>
            </w:tcBorders>
            <w:shd w:val="clear" w:color="auto" w:fill="BFBFBF" w:themeFill="background1" w:themeFillShade="BF"/>
          </w:tcPr>
          <w:p w14:paraId="32AD4A27" w14:textId="77777777" w:rsidR="000A7D9D" w:rsidRPr="00EC1412" w:rsidRDefault="000A7D9D" w:rsidP="00F31937">
            <w:pPr>
              <w:jc w:val="right"/>
              <w:rPr>
                <w:b/>
                <w:caps/>
                <w:noProof/>
                <w:sz w:val="18"/>
                <w:szCs w:val="18"/>
              </w:rPr>
            </w:pPr>
            <w:r w:rsidRPr="00EC1412">
              <w:rPr>
                <w:b/>
                <w:caps/>
                <w:noProof/>
                <w:sz w:val="18"/>
                <w:szCs w:val="18"/>
              </w:rPr>
              <w:t>1</w:t>
            </w:r>
            <w:r>
              <w:rPr>
                <w:b/>
                <w:caps/>
                <w:noProof/>
                <w:sz w:val="18"/>
                <w:szCs w:val="18"/>
              </w:rPr>
              <w:t xml:space="preserve"> </w:t>
            </w:r>
            <w:r w:rsidRPr="00EC1412">
              <w:rPr>
                <w:b/>
                <w:caps/>
                <w:noProof/>
                <w:sz w:val="18"/>
                <w:szCs w:val="18"/>
              </w:rPr>
              <w:t>873</w:t>
            </w:r>
          </w:p>
        </w:tc>
        <w:tc>
          <w:tcPr>
            <w:tcW w:w="709" w:type="dxa"/>
            <w:tcBorders>
              <w:left w:val="single" w:sz="4" w:space="0" w:color="auto"/>
              <w:right w:val="single" w:sz="4" w:space="0" w:color="auto"/>
            </w:tcBorders>
            <w:shd w:val="clear" w:color="auto" w:fill="BFBFBF" w:themeFill="background1" w:themeFillShade="BF"/>
          </w:tcPr>
          <w:p w14:paraId="3D028147" w14:textId="77777777" w:rsidR="000A7D9D" w:rsidRPr="00EC1412" w:rsidRDefault="000A7D9D" w:rsidP="00F31937">
            <w:pPr>
              <w:jc w:val="right"/>
              <w:rPr>
                <w:b/>
                <w:caps/>
                <w:noProof/>
                <w:sz w:val="18"/>
                <w:szCs w:val="18"/>
              </w:rPr>
            </w:pPr>
            <w:r w:rsidRPr="00EC1412">
              <w:rPr>
                <w:b/>
                <w:caps/>
                <w:noProof/>
                <w:sz w:val="18"/>
                <w:szCs w:val="18"/>
              </w:rPr>
              <w:t>1</w:t>
            </w:r>
            <w:r>
              <w:rPr>
                <w:b/>
                <w:caps/>
                <w:noProof/>
                <w:sz w:val="18"/>
                <w:szCs w:val="18"/>
              </w:rPr>
              <w:t xml:space="preserve"> </w:t>
            </w:r>
            <w:r w:rsidRPr="00EC1412">
              <w:rPr>
                <w:b/>
                <w:caps/>
                <w:noProof/>
                <w:sz w:val="18"/>
                <w:szCs w:val="18"/>
              </w:rPr>
              <w:t>726</w:t>
            </w:r>
          </w:p>
        </w:tc>
        <w:tc>
          <w:tcPr>
            <w:tcW w:w="708" w:type="dxa"/>
            <w:tcBorders>
              <w:left w:val="single" w:sz="4" w:space="0" w:color="auto"/>
            </w:tcBorders>
            <w:shd w:val="clear" w:color="auto" w:fill="BFBFBF" w:themeFill="background1" w:themeFillShade="BF"/>
          </w:tcPr>
          <w:p w14:paraId="242642BB" w14:textId="77777777" w:rsidR="000A7D9D" w:rsidRPr="00EC1412" w:rsidRDefault="000A7D9D" w:rsidP="00F31937">
            <w:pPr>
              <w:jc w:val="right"/>
              <w:rPr>
                <w:b/>
                <w:caps/>
                <w:noProof/>
                <w:sz w:val="18"/>
                <w:szCs w:val="18"/>
              </w:rPr>
            </w:pPr>
            <w:r w:rsidRPr="00EC1412">
              <w:rPr>
                <w:b/>
                <w:caps/>
                <w:noProof/>
                <w:sz w:val="18"/>
                <w:szCs w:val="18"/>
              </w:rPr>
              <w:t>1</w:t>
            </w:r>
            <w:r>
              <w:rPr>
                <w:b/>
                <w:caps/>
                <w:noProof/>
                <w:sz w:val="18"/>
                <w:szCs w:val="18"/>
              </w:rPr>
              <w:t xml:space="preserve"> </w:t>
            </w:r>
            <w:r w:rsidRPr="00EC1412">
              <w:rPr>
                <w:b/>
                <w:caps/>
                <w:noProof/>
                <w:sz w:val="18"/>
                <w:szCs w:val="18"/>
              </w:rPr>
              <w:t>463</w:t>
            </w:r>
          </w:p>
        </w:tc>
      </w:tr>
    </w:tbl>
    <w:p w14:paraId="67FB5CF2" w14:textId="77777777" w:rsidR="000A7D9D" w:rsidRDefault="000A7D9D" w:rsidP="000A7D9D">
      <w:pPr>
        <w:spacing w:before="120" w:after="120"/>
        <w:jc w:val="both"/>
        <w:rPr>
          <w:rFonts w:ascii="Times New Roman" w:hAnsi="Times New Roman" w:cs="Times New Roman"/>
          <w:noProof/>
        </w:rPr>
      </w:pPr>
    </w:p>
    <w:p w14:paraId="3129A03C" w14:textId="3BFD8BD9" w:rsidR="000A7D9D" w:rsidRPr="00EC1412" w:rsidRDefault="000A7D9D" w:rsidP="000A7D9D">
      <w:pPr>
        <w:spacing w:before="120" w:after="120"/>
        <w:jc w:val="both"/>
        <w:rPr>
          <w:rFonts w:ascii="Times New Roman" w:hAnsi="Times New Roman" w:cs="Times New Roman"/>
          <w:noProof/>
        </w:rPr>
      </w:pPr>
      <w:r w:rsidRPr="00EC1412">
        <w:rPr>
          <w:rFonts w:ascii="Times New Roman" w:hAnsi="Times New Roman" w:cs="Times New Roman"/>
          <w:noProof/>
        </w:rPr>
        <w:t xml:space="preserve">The (re-)attribution of scientific and technical work has been already proposed </w:t>
      </w:r>
      <w:r w:rsidR="00DD6D6A">
        <w:rPr>
          <w:rFonts w:ascii="Times New Roman" w:hAnsi="Times New Roman" w:cs="Times New Roman"/>
          <w:noProof/>
        </w:rPr>
        <w:t xml:space="preserve">by the Commission </w:t>
      </w:r>
      <w:r w:rsidRPr="00EC1412">
        <w:rPr>
          <w:rFonts w:ascii="Times New Roman" w:hAnsi="Times New Roman" w:cs="Times New Roman"/>
          <w:noProof/>
        </w:rPr>
        <w:t xml:space="preserve">also under the revision of CLP </w:t>
      </w:r>
      <w:r>
        <w:rPr>
          <w:rFonts w:ascii="Times New Roman" w:hAnsi="Times New Roman" w:cs="Times New Roman"/>
          <w:noProof/>
        </w:rPr>
        <w:t>r</w:t>
      </w:r>
      <w:r w:rsidRPr="00EC1412">
        <w:rPr>
          <w:rFonts w:ascii="Times New Roman" w:hAnsi="Times New Roman" w:cs="Times New Roman"/>
          <w:noProof/>
        </w:rPr>
        <w:t>egulation</w:t>
      </w:r>
      <w:r>
        <w:rPr>
          <w:rFonts w:ascii="Times New Roman" w:hAnsi="Times New Roman" w:cs="Times New Roman"/>
          <w:noProof/>
        </w:rPr>
        <w:t>, p</w:t>
      </w:r>
      <w:r w:rsidRPr="00EC1412">
        <w:rPr>
          <w:rFonts w:ascii="Times New Roman" w:hAnsi="Times New Roman" w:cs="Times New Roman"/>
          <w:noProof/>
        </w:rPr>
        <w:t xml:space="preserve">ackaging and </w:t>
      </w:r>
      <w:r>
        <w:rPr>
          <w:rFonts w:ascii="Times New Roman" w:hAnsi="Times New Roman" w:cs="Times New Roman"/>
          <w:noProof/>
        </w:rPr>
        <w:t>p</w:t>
      </w:r>
      <w:r w:rsidRPr="00EC1412">
        <w:rPr>
          <w:rFonts w:ascii="Times New Roman" w:hAnsi="Times New Roman" w:cs="Times New Roman"/>
          <w:noProof/>
        </w:rPr>
        <w:t xml:space="preserve">ackaging </w:t>
      </w:r>
      <w:r>
        <w:rPr>
          <w:rFonts w:ascii="Times New Roman" w:hAnsi="Times New Roman" w:cs="Times New Roman"/>
          <w:noProof/>
        </w:rPr>
        <w:t>w</w:t>
      </w:r>
      <w:r w:rsidRPr="00EC1412">
        <w:rPr>
          <w:rFonts w:ascii="Times New Roman" w:hAnsi="Times New Roman" w:cs="Times New Roman"/>
          <w:noProof/>
        </w:rPr>
        <w:t>aste directive,</w:t>
      </w:r>
      <w:r>
        <w:rPr>
          <w:rFonts w:ascii="Times New Roman" w:hAnsi="Times New Roman" w:cs="Times New Roman"/>
          <w:noProof/>
        </w:rPr>
        <w:t xml:space="preserve"> end-of-life vehicle directive and toys safety directive</w:t>
      </w:r>
      <w:r w:rsidRPr="00EC1412">
        <w:rPr>
          <w:rFonts w:ascii="Times New Roman" w:hAnsi="Times New Roman" w:cs="Times New Roman"/>
          <w:noProof/>
        </w:rPr>
        <w:t xml:space="preserve"> but without the allocation</w:t>
      </w:r>
      <w:r>
        <w:rPr>
          <w:rFonts w:ascii="Times New Roman" w:hAnsi="Times New Roman" w:cs="Times New Roman"/>
          <w:noProof/>
        </w:rPr>
        <w:t xml:space="preserve"> of resources. As the resource allocation is </w:t>
      </w:r>
      <w:r w:rsidRPr="00EC1412">
        <w:rPr>
          <w:rFonts w:ascii="Times New Roman" w:hAnsi="Times New Roman" w:cs="Times New Roman"/>
          <w:noProof/>
        </w:rPr>
        <w:t xml:space="preserve">still pending, these initiatives are mentioned in the table with pending resource needs below. </w:t>
      </w:r>
    </w:p>
    <w:p w14:paraId="24F4DBFD"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re-attribution of tasks to the EU agencies is still to be proposed under </w:t>
      </w:r>
      <w:r>
        <w:rPr>
          <w:rFonts w:ascii="Times New Roman" w:hAnsi="Times New Roman" w:cs="Times New Roman"/>
          <w:noProof/>
        </w:rPr>
        <w:t>5</w:t>
      </w:r>
      <w:r w:rsidRPr="2D69C30E">
        <w:rPr>
          <w:rFonts w:ascii="Times New Roman" w:hAnsi="Times New Roman" w:cs="Times New Roman"/>
          <w:noProof/>
        </w:rPr>
        <w:t xml:space="preserve"> upcoming legislative proposals and under the reattribution of non-chemical assessment work from SCHEER to SAM within the Commission. After considering all possible synergies from the reattributions, the pending resource needs for the work attributed to the EU Agencies without the resources and for the work to be attributed varies between </w:t>
      </w:r>
      <w:r w:rsidRPr="2D69C30E">
        <w:rPr>
          <w:rFonts w:ascii="Times New Roman" w:hAnsi="Times New Roman" w:cs="Times New Roman"/>
          <w:b/>
          <w:bCs/>
          <w:noProof/>
        </w:rPr>
        <w:t>5</w:t>
      </w:r>
      <w:r>
        <w:rPr>
          <w:rFonts w:ascii="Times New Roman" w:hAnsi="Times New Roman" w:cs="Times New Roman"/>
          <w:b/>
          <w:bCs/>
          <w:noProof/>
        </w:rPr>
        <w:t>6</w:t>
      </w:r>
      <w:r w:rsidRPr="2D69C30E">
        <w:rPr>
          <w:rFonts w:ascii="Times New Roman" w:hAnsi="Times New Roman" w:cs="Times New Roman"/>
          <w:b/>
          <w:bCs/>
          <w:noProof/>
        </w:rPr>
        <w:t xml:space="preserve"> – 6</w:t>
      </w:r>
      <w:r>
        <w:rPr>
          <w:rFonts w:ascii="Times New Roman" w:hAnsi="Times New Roman" w:cs="Times New Roman"/>
          <w:b/>
          <w:bCs/>
          <w:noProof/>
        </w:rPr>
        <w:t>9</w:t>
      </w:r>
      <w:r w:rsidRPr="2D69C30E">
        <w:rPr>
          <w:rFonts w:ascii="Times New Roman" w:hAnsi="Times New Roman" w:cs="Times New Roman"/>
          <w:b/>
          <w:bCs/>
          <w:noProof/>
        </w:rPr>
        <w:t xml:space="preserve"> FTEs (3</w:t>
      </w:r>
      <w:r>
        <w:rPr>
          <w:rFonts w:ascii="Times New Roman" w:hAnsi="Times New Roman" w:cs="Times New Roman"/>
          <w:b/>
          <w:bCs/>
          <w:noProof/>
        </w:rPr>
        <w:t>4</w:t>
      </w:r>
      <w:r w:rsidRPr="2D69C30E">
        <w:rPr>
          <w:rFonts w:ascii="Times New Roman" w:hAnsi="Times New Roman" w:cs="Times New Roman"/>
          <w:b/>
          <w:bCs/>
          <w:noProof/>
        </w:rPr>
        <w:t>-</w:t>
      </w:r>
      <w:r>
        <w:rPr>
          <w:rFonts w:ascii="Times New Roman" w:hAnsi="Times New Roman" w:cs="Times New Roman"/>
          <w:b/>
          <w:bCs/>
          <w:noProof/>
        </w:rPr>
        <w:t>38</w:t>
      </w:r>
      <w:r w:rsidRPr="2D69C30E">
        <w:rPr>
          <w:rFonts w:ascii="Times New Roman" w:hAnsi="Times New Roman" w:cs="Times New Roman"/>
          <w:b/>
          <w:bCs/>
          <w:noProof/>
        </w:rPr>
        <w:t xml:space="preserve"> TA + 1</w:t>
      </w:r>
      <w:r>
        <w:rPr>
          <w:rFonts w:ascii="Times New Roman" w:hAnsi="Times New Roman" w:cs="Times New Roman"/>
          <w:b/>
          <w:bCs/>
          <w:noProof/>
        </w:rPr>
        <w:t>9</w:t>
      </w:r>
      <w:r w:rsidRPr="2D69C30E">
        <w:rPr>
          <w:rFonts w:ascii="Times New Roman" w:hAnsi="Times New Roman" w:cs="Times New Roman"/>
          <w:b/>
          <w:bCs/>
          <w:noProof/>
        </w:rPr>
        <w:t>-</w:t>
      </w:r>
      <w:r>
        <w:rPr>
          <w:rFonts w:ascii="Times New Roman" w:hAnsi="Times New Roman" w:cs="Times New Roman"/>
          <w:b/>
          <w:bCs/>
          <w:noProof/>
        </w:rPr>
        <w:t>31</w:t>
      </w:r>
      <w:r w:rsidRPr="2D69C30E">
        <w:rPr>
          <w:rFonts w:ascii="Times New Roman" w:hAnsi="Times New Roman" w:cs="Times New Roman"/>
          <w:b/>
          <w:bCs/>
          <w:noProof/>
        </w:rPr>
        <w:t xml:space="preserve"> CAs) </w:t>
      </w:r>
      <w:r w:rsidRPr="00F33B0C">
        <w:rPr>
          <w:rFonts w:ascii="Times New Roman" w:hAnsi="Times New Roman" w:cs="Times New Roman"/>
          <w:bCs/>
          <w:noProof/>
        </w:rPr>
        <w:t>per year</w:t>
      </w:r>
      <w:r>
        <w:rPr>
          <w:rFonts w:ascii="Times New Roman" w:hAnsi="Times New Roman" w:cs="Times New Roman"/>
          <w:b/>
          <w:bCs/>
          <w:noProof/>
        </w:rPr>
        <w:t xml:space="preserve"> </w:t>
      </w:r>
      <w:r w:rsidRPr="2D69C30E">
        <w:rPr>
          <w:rFonts w:ascii="Times New Roman" w:hAnsi="Times New Roman" w:cs="Times New Roman"/>
          <w:noProof/>
        </w:rPr>
        <w:t xml:space="preserve">and </w:t>
      </w:r>
      <w:r>
        <w:rPr>
          <w:rFonts w:ascii="Times New Roman" w:hAnsi="Times New Roman" w:cs="Times New Roman"/>
          <w:noProof/>
        </w:rPr>
        <w:t xml:space="preserve">operational budget of </w:t>
      </w:r>
      <w:r w:rsidRPr="00F33B0C">
        <w:rPr>
          <w:rFonts w:ascii="Times New Roman" w:hAnsi="Times New Roman" w:cs="Times New Roman"/>
          <w:b/>
          <w:noProof/>
        </w:rPr>
        <w:t>EUR 1 051 000 – EUR 10 300 000</w:t>
      </w:r>
      <w:r>
        <w:rPr>
          <w:rFonts w:ascii="Times New Roman" w:hAnsi="Times New Roman" w:cs="Times New Roman"/>
          <w:noProof/>
        </w:rPr>
        <w:t xml:space="preserve"> </w:t>
      </w:r>
      <w:r w:rsidRPr="2D69C30E">
        <w:rPr>
          <w:rFonts w:ascii="Times New Roman" w:hAnsi="Times New Roman" w:cs="Times New Roman"/>
          <w:noProof/>
        </w:rPr>
        <w:t xml:space="preserve">per year. </w:t>
      </w:r>
      <w:r>
        <w:rPr>
          <w:rFonts w:ascii="Times New Roman" w:hAnsi="Times New Roman" w:cs="Times New Roman"/>
          <w:noProof/>
        </w:rPr>
        <w:t xml:space="preserve">The details are provided in Table 10. </w:t>
      </w:r>
      <w:r w:rsidRPr="2D69C30E">
        <w:rPr>
          <w:rFonts w:ascii="Times New Roman" w:hAnsi="Times New Roman" w:cs="Times New Roman"/>
          <w:noProof/>
        </w:rPr>
        <w:t>The majority of the resources is to be allocated to ECHA (4</w:t>
      </w:r>
      <w:r>
        <w:rPr>
          <w:rFonts w:ascii="Times New Roman" w:hAnsi="Times New Roman" w:cs="Times New Roman"/>
          <w:noProof/>
        </w:rPr>
        <w:t>6</w:t>
      </w:r>
      <w:r w:rsidRPr="2D69C30E">
        <w:rPr>
          <w:rFonts w:ascii="Times New Roman" w:hAnsi="Times New Roman" w:cs="Times New Roman"/>
          <w:noProof/>
        </w:rPr>
        <w:t xml:space="preserve"> – 5</w:t>
      </w:r>
      <w:r>
        <w:rPr>
          <w:rFonts w:ascii="Times New Roman" w:hAnsi="Times New Roman" w:cs="Times New Roman"/>
          <w:noProof/>
        </w:rPr>
        <w:t>5</w:t>
      </w:r>
      <w:r w:rsidRPr="2D69C30E">
        <w:rPr>
          <w:rFonts w:ascii="Times New Roman" w:hAnsi="Times New Roman" w:cs="Times New Roman"/>
          <w:noProof/>
        </w:rPr>
        <w:t xml:space="preserve"> FTEs and </w:t>
      </w:r>
      <w:r>
        <w:rPr>
          <w:rFonts w:ascii="Times New Roman" w:hAnsi="Times New Roman" w:cs="Times New Roman"/>
          <w:noProof/>
        </w:rPr>
        <w:t xml:space="preserve">EUR 101 000 </w:t>
      </w:r>
      <w:r w:rsidRPr="2D69C30E">
        <w:rPr>
          <w:rFonts w:ascii="Times New Roman" w:hAnsi="Times New Roman" w:cs="Times New Roman"/>
          <w:noProof/>
        </w:rPr>
        <w:t xml:space="preserve">– </w:t>
      </w:r>
      <w:r>
        <w:rPr>
          <w:rFonts w:ascii="Times New Roman" w:hAnsi="Times New Roman" w:cs="Times New Roman"/>
          <w:noProof/>
        </w:rPr>
        <w:t xml:space="preserve">EUR 8 666 000 </w:t>
      </w:r>
      <w:r w:rsidRPr="2D69C30E">
        <w:rPr>
          <w:rFonts w:ascii="Times New Roman" w:hAnsi="Times New Roman" w:cs="Times New Roman"/>
          <w:noProof/>
        </w:rPr>
        <w:t xml:space="preserve">per year), followed by EEA (3 – 5 FTEs and </w:t>
      </w:r>
      <w:r>
        <w:rPr>
          <w:rFonts w:ascii="Times New Roman" w:hAnsi="Times New Roman" w:cs="Times New Roman"/>
          <w:noProof/>
        </w:rPr>
        <w:t xml:space="preserve">EUR </w:t>
      </w:r>
      <w:r w:rsidRPr="2D69C30E">
        <w:rPr>
          <w:rFonts w:ascii="Times New Roman" w:hAnsi="Times New Roman" w:cs="Times New Roman"/>
          <w:noProof/>
        </w:rPr>
        <w:t xml:space="preserve">400 </w:t>
      </w:r>
      <w:r>
        <w:rPr>
          <w:rFonts w:ascii="Times New Roman" w:hAnsi="Times New Roman" w:cs="Times New Roman"/>
          <w:noProof/>
        </w:rPr>
        <w:t xml:space="preserve">000 </w:t>
      </w:r>
      <w:r w:rsidRPr="2D69C30E">
        <w:rPr>
          <w:rFonts w:ascii="Times New Roman" w:hAnsi="Times New Roman" w:cs="Times New Roman"/>
          <w:noProof/>
        </w:rPr>
        <w:t xml:space="preserve">– </w:t>
      </w:r>
      <w:r>
        <w:rPr>
          <w:rFonts w:ascii="Times New Roman" w:hAnsi="Times New Roman" w:cs="Times New Roman"/>
          <w:noProof/>
        </w:rPr>
        <w:t>EUR 766 000</w:t>
      </w:r>
      <w:r w:rsidRPr="2D69C30E">
        <w:rPr>
          <w:rFonts w:ascii="Times New Roman" w:hAnsi="Times New Roman" w:cs="Times New Roman"/>
          <w:noProof/>
        </w:rPr>
        <w:t xml:space="preserve"> per year), EFSA (2 – </w:t>
      </w:r>
      <w:r>
        <w:rPr>
          <w:rFonts w:ascii="Times New Roman" w:hAnsi="Times New Roman" w:cs="Times New Roman"/>
          <w:noProof/>
        </w:rPr>
        <w:t>5</w:t>
      </w:r>
      <w:r w:rsidRPr="2D69C30E">
        <w:rPr>
          <w:rFonts w:ascii="Times New Roman" w:hAnsi="Times New Roman" w:cs="Times New Roman"/>
          <w:noProof/>
        </w:rPr>
        <w:t xml:space="preserve"> FTEs and </w:t>
      </w:r>
      <w:r>
        <w:rPr>
          <w:rFonts w:ascii="Times New Roman" w:hAnsi="Times New Roman" w:cs="Times New Roman"/>
          <w:noProof/>
        </w:rPr>
        <w:t xml:space="preserve">EUR </w:t>
      </w:r>
      <w:r w:rsidRPr="2D69C30E">
        <w:rPr>
          <w:rFonts w:ascii="Times New Roman" w:hAnsi="Times New Roman" w:cs="Times New Roman"/>
          <w:noProof/>
        </w:rPr>
        <w:t xml:space="preserve">500 </w:t>
      </w:r>
      <w:r>
        <w:rPr>
          <w:rFonts w:ascii="Times New Roman" w:hAnsi="Times New Roman" w:cs="Times New Roman"/>
          <w:noProof/>
        </w:rPr>
        <w:t xml:space="preserve">000 </w:t>
      </w:r>
      <w:r w:rsidRPr="2D69C30E">
        <w:rPr>
          <w:rFonts w:ascii="Times New Roman" w:hAnsi="Times New Roman" w:cs="Times New Roman"/>
          <w:noProof/>
        </w:rPr>
        <w:t xml:space="preserve">– </w:t>
      </w:r>
      <w:r>
        <w:rPr>
          <w:rFonts w:ascii="Times New Roman" w:hAnsi="Times New Roman" w:cs="Times New Roman"/>
          <w:noProof/>
        </w:rPr>
        <w:t>EUR 670 000</w:t>
      </w:r>
      <w:r w:rsidRPr="2D69C30E">
        <w:rPr>
          <w:rFonts w:ascii="Times New Roman" w:hAnsi="Times New Roman" w:cs="Times New Roman"/>
          <w:noProof/>
        </w:rPr>
        <w:t xml:space="preserve"> per year), EMA (</w:t>
      </w:r>
      <w:r>
        <w:rPr>
          <w:rFonts w:ascii="Times New Roman" w:hAnsi="Times New Roman" w:cs="Times New Roman"/>
          <w:noProof/>
        </w:rPr>
        <w:t xml:space="preserve">2 – </w:t>
      </w:r>
      <w:r w:rsidRPr="2D69C30E">
        <w:rPr>
          <w:rFonts w:ascii="Times New Roman" w:hAnsi="Times New Roman" w:cs="Times New Roman"/>
          <w:noProof/>
        </w:rPr>
        <w:t xml:space="preserve">3 FTEs and </w:t>
      </w:r>
      <w:r>
        <w:rPr>
          <w:rFonts w:ascii="Times New Roman" w:hAnsi="Times New Roman" w:cs="Times New Roman"/>
          <w:noProof/>
        </w:rPr>
        <w:t xml:space="preserve">EUR 0 – EUR 100 000 </w:t>
      </w:r>
      <w:r w:rsidRPr="2D69C30E">
        <w:rPr>
          <w:rFonts w:ascii="Times New Roman" w:hAnsi="Times New Roman" w:cs="Times New Roman"/>
          <w:noProof/>
        </w:rPr>
        <w:t xml:space="preserve">per year) and SAM (1 FTE per year). </w:t>
      </w:r>
      <w:r>
        <w:rPr>
          <w:rFonts w:ascii="Times New Roman" w:hAnsi="Times New Roman" w:cs="Times New Roman"/>
          <w:noProof/>
        </w:rPr>
        <w:t xml:space="preserve">The details of allocations per agency are provided in Table 11. </w:t>
      </w:r>
    </w:p>
    <w:tbl>
      <w:tblPr>
        <w:tblStyle w:val="TableGrid"/>
        <w:tblW w:w="9634" w:type="dxa"/>
        <w:tblLayout w:type="fixed"/>
        <w:tblLook w:val="04A0" w:firstRow="1" w:lastRow="0" w:firstColumn="1" w:lastColumn="0" w:noHBand="0" w:noVBand="1"/>
      </w:tblPr>
      <w:tblGrid>
        <w:gridCol w:w="3964"/>
        <w:gridCol w:w="425"/>
        <w:gridCol w:w="426"/>
        <w:gridCol w:w="425"/>
        <w:gridCol w:w="425"/>
        <w:gridCol w:w="425"/>
        <w:gridCol w:w="426"/>
        <w:gridCol w:w="425"/>
        <w:gridCol w:w="425"/>
        <w:gridCol w:w="567"/>
        <w:gridCol w:w="567"/>
        <w:gridCol w:w="567"/>
        <w:gridCol w:w="567"/>
      </w:tblGrid>
      <w:tr w:rsidR="000A7D9D" w:rsidRPr="00EC1412" w14:paraId="331CB133" w14:textId="77777777" w:rsidTr="00F31937">
        <w:trPr>
          <w:trHeight w:val="300"/>
        </w:trPr>
        <w:tc>
          <w:tcPr>
            <w:tcW w:w="9634" w:type="dxa"/>
            <w:gridSpan w:val="13"/>
            <w:tcBorders>
              <w:bottom w:val="single" w:sz="4" w:space="0" w:color="auto"/>
            </w:tcBorders>
            <w:shd w:val="clear" w:color="auto" w:fill="A6A6A6" w:themeFill="background1" w:themeFillShade="A6"/>
          </w:tcPr>
          <w:p w14:paraId="60A8499B" w14:textId="77777777" w:rsidR="000A7D9D" w:rsidRPr="00EC1412" w:rsidRDefault="000A7D9D" w:rsidP="00F31937">
            <w:pPr>
              <w:spacing w:before="60" w:after="60"/>
              <w:jc w:val="both"/>
              <w:rPr>
                <w:b/>
                <w:caps/>
                <w:noProof/>
                <w:sz w:val="18"/>
                <w:szCs w:val="18"/>
              </w:rPr>
            </w:pPr>
            <w:r w:rsidRPr="00EC1412">
              <w:rPr>
                <w:b/>
                <w:noProof/>
                <w:sz w:val="18"/>
                <w:szCs w:val="18"/>
              </w:rPr>
              <w:t xml:space="preserve">Table 10. Pending resource needs per legislative proposal (operational costs in </w:t>
            </w:r>
            <w:r>
              <w:rPr>
                <w:b/>
                <w:noProof/>
                <w:sz w:val="18"/>
                <w:szCs w:val="18"/>
              </w:rPr>
              <w:t xml:space="preserve">EUR </w:t>
            </w:r>
            <w:r w:rsidRPr="00EC1412">
              <w:rPr>
                <w:b/>
                <w:noProof/>
                <w:sz w:val="18"/>
                <w:szCs w:val="18"/>
              </w:rPr>
              <w:t>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73BF6DE8" w14:textId="77777777" w:rsidTr="00F31937">
        <w:trPr>
          <w:trHeight w:val="300"/>
        </w:trPr>
        <w:tc>
          <w:tcPr>
            <w:tcW w:w="3964" w:type="dxa"/>
            <w:tcBorders>
              <w:bottom w:val="dotted" w:sz="4" w:space="0" w:color="auto"/>
              <w:right w:val="single" w:sz="4" w:space="0" w:color="auto"/>
            </w:tcBorders>
            <w:shd w:val="clear" w:color="auto" w:fill="BFBFBF" w:themeFill="background1" w:themeFillShade="BF"/>
          </w:tcPr>
          <w:p w14:paraId="6EC6CEF6" w14:textId="77777777" w:rsidR="000A7D9D" w:rsidRPr="00EC1412" w:rsidRDefault="000A7D9D" w:rsidP="00F31937">
            <w:pPr>
              <w:jc w:val="both"/>
              <w:rPr>
                <w:caps/>
                <w:noProof/>
                <w:sz w:val="18"/>
                <w:szCs w:val="18"/>
              </w:rPr>
            </w:pPr>
          </w:p>
        </w:tc>
        <w:tc>
          <w:tcPr>
            <w:tcW w:w="3402" w:type="dxa"/>
            <w:gridSpan w:val="8"/>
            <w:tcBorders>
              <w:left w:val="single" w:sz="4" w:space="0" w:color="auto"/>
              <w:bottom w:val="single" w:sz="4" w:space="0" w:color="auto"/>
              <w:right w:val="single" w:sz="4" w:space="0" w:color="auto"/>
            </w:tcBorders>
            <w:shd w:val="clear" w:color="auto" w:fill="BFBFBF" w:themeFill="background1" w:themeFillShade="BF"/>
          </w:tcPr>
          <w:p w14:paraId="5BFEA09C" w14:textId="77777777" w:rsidR="000A7D9D" w:rsidRPr="00EC1412" w:rsidRDefault="000A7D9D" w:rsidP="00F31937">
            <w:pPr>
              <w:jc w:val="center"/>
              <w:rPr>
                <w:b/>
                <w:caps/>
                <w:noProof/>
                <w:sz w:val="18"/>
                <w:szCs w:val="18"/>
              </w:rPr>
            </w:pPr>
            <w:r w:rsidRPr="00EC1412">
              <w:rPr>
                <w:b/>
                <w:noProof/>
                <w:sz w:val="18"/>
                <w:szCs w:val="18"/>
              </w:rPr>
              <w:t>FTEs</w:t>
            </w:r>
          </w:p>
        </w:tc>
        <w:tc>
          <w:tcPr>
            <w:tcW w:w="2268" w:type="dxa"/>
            <w:gridSpan w:val="4"/>
            <w:tcBorders>
              <w:left w:val="single" w:sz="4" w:space="0" w:color="auto"/>
              <w:bottom w:val="single" w:sz="4" w:space="0" w:color="auto"/>
              <w:right w:val="single" w:sz="4" w:space="0" w:color="auto"/>
            </w:tcBorders>
            <w:shd w:val="clear" w:color="auto" w:fill="BFBFBF" w:themeFill="background1" w:themeFillShade="BF"/>
          </w:tcPr>
          <w:p w14:paraId="52647A94"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14399B14" w14:textId="77777777" w:rsidTr="00F31937">
        <w:trPr>
          <w:trHeight w:val="300"/>
        </w:trPr>
        <w:tc>
          <w:tcPr>
            <w:tcW w:w="3964" w:type="dxa"/>
            <w:tcBorders>
              <w:top w:val="dotted" w:sz="4" w:space="0" w:color="auto"/>
              <w:bottom w:val="single" w:sz="4" w:space="0" w:color="auto"/>
              <w:right w:val="single" w:sz="4" w:space="0" w:color="auto"/>
            </w:tcBorders>
            <w:shd w:val="clear" w:color="auto" w:fill="BFBFBF" w:themeFill="background1" w:themeFillShade="BF"/>
          </w:tcPr>
          <w:p w14:paraId="11E85DF0"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1A686F05" w14:textId="77777777" w:rsidR="000A7D9D" w:rsidRPr="00EC1412" w:rsidRDefault="000A7D9D" w:rsidP="00F31937">
            <w:pPr>
              <w:ind w:left="-112"/>
              <w:jc w:val="center"/>
              <w:rPr>
                <w:b/>
                <w:caps/>
                <w:noProof/>
                <w:sz w:val="18"/>
                <w:szCs w:val="18"/>
              </w:rPr>
            </w:pPr>
            <w:r w:rsidRPr="00EC1412">
              <w:rPr>
                <w:b/>
                <w:caps/>
                <w:noProof/>
                <w:sz w:val="18"/>
                <w:szCs w:val="18"/>
              </w:rPr>
              <w:t>202</w:t>
            </w:r>
            <w:r>
              <w:rPr>
                <w:b/>
                <w:caps/>
                <w:noProof/>
                <w:sz w:val="18"/>
                <w:szCs w:val="18"/>
              </w:rPr>
              <w:t>5</w:t>
            </w:r>
          </w:p>
        </w:tc>
        <w:tc>
          <w:tcPr>
            <w:tcW w:w="850" w:type="dxa"/>
            <w:gridSpan w:val="2"/>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3377DA73" w14:textId="77777777" w:rsidR="000A7D9D" w:rsidRPr="00EC1412" w:rsidRDefault="000A7D9D" w:rsidP="00F31937">
            <w:pPr>
              <w:ind w:left="-113"/>
              <w:jc w:val="center"/>
              <w:rPr>
                <w:b/>
                <w:caps/>
                <w:noProof/>
                <w:sz w:val="18"/>
                <w:szCs w:val="18"/>
              </w:rPr>
            </w:pPr>
            <w:r w:rsidRPr="00EC1412">
              <w:rPr>
                <w:b/>
                <w:caps/>
                <w:noProof/>
                <w:sz w:val="18"/>
                <w:szCs w:val="18"/>
              </w:rPr>
              <w:t>202</w:t>
            </w:r>
            <w:r>
              <w:rPr>
                <w:b/>
                <w:caps/>
                <w:noProof/>
                <w:sz w:val="18"/>
                <w:szCs w:val="18"/>
              </w:rPr>
              <w:t>6</w:t>
            </w:r>
          </w:p>
        </w:tc>
        <w:tc>
          <w:tcPr>
            <w:tcW w:w="851" w:type="dxa"/>
            <w:gridSpan w:val="2"/>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18043A22" w14:textId="77777777" w:rsidR="000A7D9D" w:rsidRPr="00EC1412" w:rsidRDefault="000A7D9D" w:rsidP="00F31937">
            <w:pPr>
              <w:ind w:left="-107"/>
              <w:jc w:val="center"/>
              <w:rPr>
                <w:b/>
                <w:caps/>
                <w:noProof/>
                <w:sz w:val="18"/>
                <w:szCs w:val="18"/>
              </w:rPr>
            </w:pPr>
            <w:r w:rsidRPr="00EC1412">
              <w:rPr>
                <w:b/>
                <w:caps/>
                <w:noProof/>
                <w:sz w:val="18"/>
                <w:szCs w:val="18"/>
              </w:rPr>
              <w:t>202</w:t>
            </w:r>
            <w:r>
              <w:rPr>
                <w:b/>
                <w:caps/>
                <w:noProof/>
                <w:sz w:val="18"/>
                <w:szCs w:val="18"/>
              </w:rPr>
              <w:t>7</w:t>
            </w:r>
          </w:p>
        </w:tc>
        <w:tc>
          <w:tcPr>
            <w:tcW w:w="850" w:type="dxa"/>
            <w:gridSpan w:val="2"/>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7536E159" w14:textId="77777777" w:rsidR="000A7D9D" w:rsidRPr="00EC1412" w:rsidRDefault="000A7D9D" w:rsidP="00F31937">
            <w:pPr>
              <w:ind w:left="-105"/>
              <w:jc w:val="center"/>
              <w:rPr>
                <w:b/>
                <w:caps/>
                <w:noProof/>
                <w:sz w:val="18"/>
                <w:szCs w:val="18"/>
              </w:rPr>
            </w:pPr>
            <w:r w:rsidRPr="00EC1412">
              <w:rPr>
                <w:b/>
                <w:caps/>
                <w:noProof/>
                <w:sz w:val="18"/>
                <w:szCs w:val="18"/>
              </w:rPr>
              <w:t>202</w:t>
            </w:r>
            <w:r>
              <w:rPr>
                <w:b/>
                <w:caps/>
                <w:noProof/>
                <w:sz w:val="18"/>
                <w:szCs w:val="18"/>
              </w:rPr>
              <w:t>8</w:t>
            </w:r>
          </w:p>
        </w:tc>
        <w:tc>
          <w:tcPr>
            <w:tcW w:w="567" w:type="dxa"/>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556FF99C" w14:textId="77777777" w:rsidR="000A7D9D" w:rsidRPr="00EC1412" w:rsidRDefault="000A7D9D" w:rsidP="00F31937">
            <w:pPr>
              <w:ind w:left="-102" w:right="-110"/>
              <w:jc w:val="center"/>
              <w:rPr>
                <w:b/>
                <w:caps/>
                <w:noProof/>
                <w:sz w:val="18"/>
                <w:szCs w:val="18"/>
              </w:rPr>
            </w:pPr>
            <w:r w:rsidRPr="00EC1412">
              <w:rPr>
                <w:b/>
                <w:caps/>
                <w:noProof/>
                <w:sz w:val="18"/>
                <w:szCs w:val="18"/>
              </w:rPr>
              <w:t>202</w:t>
            </w:r>
            <w:r>
              <w:rPr>
                <w:b/>
                <w:caps/>
                <w:noProof/>
                <w:sz w:val="18"/>
                <w:szCs w:val="18"/>
              </w:rPr>
              <w:t>5</w:t>
            </w:r>
          </w:p>
        </w:tc>
        <w:tc>
          <w:tcPr>
            <w:tcW w:w="567" w:type="dxa"/>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43C7AD43" w14:textId="77777777" w:rsidR="000A7D9D" w:rsidRPr="00EC1412" w:rsidRDefault="000A7D9D" w:rsidP="00F31937">
            <w:pPr>
              <w:ind w:left="-102" w:right="-108"/>
              <w:jc w:val="center"/>
              <w:rPr>
                <w:b/>
                <w:caps/>
                <w:noProof/>
                <w:sz w:val="18"/>
                <w:szCs w:val="18"/>
              </w:rPr>
            </w:pPr>
            <w:r w:rsidRPr="00EC1412">
              <w:rPr>
                <w:b/>
                <w:caps/>
                <w:noProof/>
                <w:sz w:val="18"/>
                <w:szCs w:val="18"/>
              </w:rPr>
              <w:t>202</w:t>
            </w:r>
            <w:r>
              <w:rPr>
                <w:b/>
                <w:caps/>
                <w:noProof/>
                <w:sz w:val="18"/>
                <w:szCs w:val="18"/>
              </w:rPr>
              <w:t>6</w:t>
            </w:r>
          </w:p>
        </w:tc>
        <w:tc>
          <w:tcPr>
            <w:tcW w:w="567" w:type="dxa"/>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5E4ECA24" w14:textId="77777777" w:rsidR="000A7D9D" w:rsidRPr="00EC1412" w:rsidRDefault="000A7D9D" w:rsidP="00F31937">
            <w:pPr>
              <w:ind w:left="-104" w:right="-108"/>
              <w:jc w:val="center"/>
              <w:rPr>
                <w:b/>
                <w:caps/>
                <w:noProof/>
                <w:sz w:val="18"/>
                <w:szCs w:val="18"/>
              </w:rPr>
            </w:pPr>
            <w:r w:rsidRPr="00EC1412">
              <w:rPr>
                <w:b/>
                <w:caps/>
                <w:noProof/>
                <w:sz w:val="18"/>
                <w:szCs w:val="18"/>
              </w:rPr>
              <w:t>202</w:t>
            </w:r>
            <w:r>
              <w:rPr>
                <w:b/>
                <w:caps/>
                <w:noProof/>
                <w:sz w:val="18"/>
                <w:szCs w:val="18"/>
              </w:rPr>
              <w:t>7</w:t>
            </w:r>
          </w:p>
        </w:tc>
        <w:tc>
          <w:tcPr>
            <w:tcW w:w="567" w:type="dxa"/>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0FADA903" w14:textId="77777777" w:rsidR="000A7D9D" w:rsidRPr="00EC1412" w:rsidRDefault="000A7D9D" w:rsidP="00F31937">
            <w:pPr>
              <w:ind w:left="-104" w:right="-110"/>
              <w:jc w:val="center"/>
              <w:rPr>
                <w:b/>
                <w:caps/>
                <w:noProof/>
                <w:sz w:val="18"/>
                <w:szCs w:val="18"/>
              </w:rPr>
            </w:pPr>
            <w:r w:rsidRPr="00EC1412">
              <w:rPr>
                <w:b/>
                <w:caps/>
                <w:noProof/>
                <w:sz w:val="18"/>
                <w:szCs w:val="18"/>
              </w:rPr>
              <w:t>202</w:t>
            </w:r>
            <w:r>
              <w:rPr>
                <w:b/>
                <w:caps/>
                <w:noProof/>
                <w:sz w:val="18"/>
                <w:szCs w:val="18"/>
              </w:rPr>
              <w:t>8</w:t>
            </w:r>
          </w:p>
        </w:tc>
      </w:tr>
      <w:tr w:rsidR="000A7D9D" w:rsidRPr="00EC1412" w14:paraId="665EDD55" w14:textId="77777777" w:rsidTr="00F31937">
        <w:trPr>
          <w:trHeight w:val="300"/>
        </w:trPr>
        <w:tc>
          <w:tcPr>
            <w:tcW w:w="3964" w:type="dxa"/>
            <w:tcBorders>
              <w:top w:val="dotted" w:sz="4" w:space="0" w:color="auto"/>
              <w:bottom w:val="single" w:sz="4" w:space="0" w:color="auto"/>
              <w:right w:val="single" w:sz="4" w:space="0" w:color="auto"/>
            </w:tcBorders>
            <w:shd w:val="clear" w:color="auto" w:fill="BFBFBF" w:themeFill="background1" w:themeFillShade="BF"/>
          </w:tcPr>
          <w:p w14:paraId="00FF1095" w14:textId="77777777" w:rsidR="000A7D9D" w:rsidRPr="00EC1412" w:rsidRDefault="000A7D9D" w:rsidP="00F31937">
            <w:pPr>
              <w:jc w:val="both"/>
              <w:rPr>
                <w:b/>
                <w:noProof/>
                <w:sz w:val="18"/>
                <w:szCs w:val="18"/>
              </w:rPr>
            </w:pPr>
          </w:p>
        </w:tc>
        <w:tc>
          <w:tcPr>
            <w:tcW w:w="425" w:type="dxa"/>
            <w:tcBorders>
              <w:top w:val="dotted" w:sz="4" w:space="0" w:color="auto"/>
              <w:left w:val="single" w:sz="4" w:space="0" w:color="auto"/>
              <w:bottom w:val="single" w:sz="4" w:space="0" w:color="auto"/>
              <w:right w:val="dotted" w:sz="4" w:space="0" w:color="auto"/>
            </w:tcBorders>
            <w:shd w:val="clear" w:color="auto" w:fill="BFBFBF" w:themeFill="background1" w:themeFillShade="BF"/>
          </w:tcPr>
          <w:p w14:paraId="542BCE16" w14:textId="77777777" w:rsidR="000A7D9D" w:rsidRPr="00EC1412" w:rsidRDefault="000A7D9D" w:rsidP="00F31937">
            <w:pPr>
              <w:ind w:left="-112"/>
              <w:jc w:val="right"/>
              <w:rPr>
                <w:b/>
                <w:caps/>
                <w:noProof/>
                <w:sz w:val="18"/>
                <w:szCs w:val="18"/>
              </w:rPr>
            </w:pPr>
            <w:r>
              <w:rPr>
                <w:b/>
                <w:caps/>
                <w:noProof/>
                <w:sz w:val="18"/>
                <w:szCs w:val="18"/>
              </w:rPr>
              <w:t>TA</w:t>
            </w:r>
          </w:p>
        </w:tc>
        <w:tc>
          <w:tcPr>
            <w:tcW w:w="426" w:type="dxa"/>
            <w:tcBorders>
              <w:top w:val="dotted" w:sz="4" w:space="0" w:color="auto"/>
              <w:left w:val="dotted" w:sz="4" w:space="0" w:color="auto"/>
              <w:bottom w:val="single" w:sz="4" w:space="0" w:color="auto"/>
              <w:right w:val="single" w:sz="4" w:space="0" w:color="auto"/>
            </w:tcBorders>
            <w:shd w:val="clear" w:color="auto" w:fill="BFBFBF" w:themeFill="background1" w:themeFillShade="BF"/>
          </w:tcPr>
          <w:p w14:paraId="2F8E1768" w14:textId="77777777" w:rsidR="000A7D9D" w:rsidRPr="00EC1412" w:rsidRDefault="000A7D9D" w:rsidP="00F31937">
            <w:pPr>
              <w:ind w:left="-112"/>
              <w:jc w:val="right"/>
              <w:rPr>
                <w:b/>
                <w:caps/>
                <w:noProof/>
                <w:sz w:val="18"/>
                <w:szCs w:val="18"/>
              </w:rPr>
            </w:pPr>
            <w:r>
              <w:rPr>
                <w:b/>
                <w:caps/>
                <w:noProof/>
                <w:sz w:val="18"/>
                <w:szCs w:val="18"/>
              </w:rPr>
              <w:t>CA</w:t>
            </w:r>
          </w:p>
        </w:tc>
        <w:tc>
          <w:tcPr>
            <w:tcW w:w="425" w:type="dxa"/>
            <w:tcBorders>
              <w:top w:val="single" w:sz="4" w:space="0" w:color="auto"/>
              <w:left w:val="single" w:sz="4" w:space="0" w:color="auto"/>
              <w:bottom w:val="single" w:sz="4" w:space="0" w:color="auto"/>
              <w:right w:val="dotted" w:sz="4" w:space="0" w:color="auto"/>
            </w:tcBorders>
            <w:shd w:val="clear" w:color="auto" w:fill="BFBFBF" w:themeFill="background1" w:themeFillShade="BF"/>
          </w:tcPr>
          <w:p w14:paraId="7924C7EB" w14:textId="77777777" w:rsidR="000A7D9D" w:rsidRPr="00EC1412" w:rsidRDefault="000A7D9D" w:rsidP="00F31937">
            <w:pPr>
              <w:ind w:left="-113"/>
              <w:jc w:val="right"/>
              <w:rPr>
                <w:b/>
                <w:caps/>
                <w:noProof/>
                <w:sz w:val="18"/>
                <w:szCs w:val="18"/>
              </w:rPr>
            </w:pPr>
            <w:r>
              <w:rPr>
                <w:b/>
                <w:caps/>
                <w:noProof/>
                <w:sz w:val="18"/>
                <w:szCs w:val="18"/>
              </w:rPr>
              <w:t>TA</w:t>
            </w:r>
          </w:p>
        </w:tc>
        <w:tc>
          <w:tcPr>
            <w:tcW w:w="425" w:type="dxa"/>
            <w:tcBorders>
              <w:top w:val="single" w:sz="4" w:space="0" w:color="auto"/>
              <w:left w:val="dotted" w:sz="4" w:space="0" w:color="auto"/>
              <w:bottom w:val="single" w:sz="4" w:space="0" w:color="auto"/>
              <w:right w:val="single" w:sz="4" w:space="0" w:color="auto"/>
            </w:tcBorders>
            <w:shd w:val="clear" w:color="auto" w:fill="BFBFBF" w:themeFill="background1" w:themeFillShade="BF"/>
          </w:tcPr>
          <w:p w14:paraId="13168C18" w14:textId="77777777" w:rsidR="000A7D9D" w:rsidRPr="00EC1412" w:rsidRDefault="000A7D9D" w:rsidP="00F31937">
            <w:pPr>
              <w:ind w:left="-113"/>
              <w:jc w:val="right"/>
              <w:rPr>
                <w:b/>
                <w:caps/>
                <w:noProof/>
                <w:sz w:val="18"/>
                <w:szCs w:val="18"/>
              </w:rPr>
            </w:pPr>
            <w:r>
              <w:rPr>
                <w:b/>
                <w:caps/>
                <w:noProof/>
                <w:sz w:val="18"/>
                <w:szCs w:val="18"/>
              </w:rPr>
              <w:t>CA</w:t>
            </w:r>
          </w:p>
        </w:tc>
        <w:tc>
          <w:tcPr>
            <w:tcW w:w="425" w:type="dxa"/>
            <w:tcBorders>
              <w:top w:val="single" w:sz="4" w:space="0" w:color="auto"/>
              <w:left w:val="single" w:sz="4" w:space="0" w:color="auto"/>
              <w:bottom w:val="single" w:sz="4" w:space="0" w:color="auto"/>
              <w:right w:val="dotted" w:sz="4" w:space="0" w:color="auto"/>
            </w:tcBorders>
            <w:shd w:val="clear" w:color="auto" w:fill="BFBFBF" w:themeFill="background1" w:themeFillShade="BF"/>
          </w:tcPr>
          <w:p w14:paraId="630922CC" w14:textId="77777777" w:rsidR="000A7D9D" w:rsidRPr="00EC1412" w:rsidRDefault="000A7D9D" w:rsidP="00F31937">
            <w:pPr>
              <w:ind w:left="-107"/>
              <w:jc w:val="right"/>
              <w:rPr>
                <w:b/>
                <w:caps/>
                <w:noProof/>
                <w:sz w:val="18"/>
                <w:szCs w:val="18"/>
              </w:rPr>
            </w:pPr>
            <w:r>
              <w:rPr>
                <w:b/>
                <w:caps/>
                <w:noProof/>
                <w:sz w:val="18"/>
                <w:szCs w:val="18"/>
              </w:rPr>
              <w:t>TA</w:t>
            </w:r>
          </w:p>
        </w:tc>
        <w:tc>
          <w:tcPr>
            <w:tcW w:w="426" w:type="dxa"/>
            <w:tcBorders>
              <w:top w:val="single" w:sz="4" w:space="0" w:color="auto"/>
              <w:left w:val="dotted" w:sz="4" w:space="0" w:color="auto"/>
              <w:bottom w:val="single" w:sz="4" w:space="0" w:color="auto"/>
              <w:right w:val="single" w:sz="4" w:space="0" w:color="auto"/>
            </w:tcBorders>
            <w:shd w:val="clear" w:color="auto" w:fill="BFBFBF" w:themeFill="background1" w:themeFillShade="BF"/>
          </w:tcPr>
          <w:p w14:paraId="7088E125" w14:textId="77777777" w:rsidR="000A7D9D" w:rsidRPr="00EC1412" w:rsidRDefault="000A7D9D" w:rsidP="00F31937">
            <w:pPr>
              <w:ind w:left="-107"/>
              <w:jc w:val="right"/>
              <w:rPr>
                <w:b/>
                <w:caps/>
                <w:noProof/>
                <w:sz w:val="18"/>
                <w:szCs w:val="18"/>
              </w:rPr>
            </w:pPr>
            <w:r>
              <w:rPr>
                <w:b/>
                <w:caps/>
                <w:noProof/>
                <w:sz w:val="18"/>
                <w:szCs w:val="18"/>
              </w:rPr>
              <w:t>CA</w:t>
            </w:r>
          </w:p>
        </w:tc>
        <w:tc>
          <w:tcPr>
            <w:tcW w:w="425" w:type="dxa"/>
            <w:tcBorders>
              <w:top w:val="single" w:sz="4" w:space="0" w:color="auto"/>
              <w:left w:val="single" w:sz="4" w:space="0" w:color="auto"/>
              <w:bottom w:val="single" w:sz="4" w:space="0" w:color="auto"/>
              <w:right w:val="dotted" w:sz="4" w:space="0" w:color="auto"/>
            </w:tcBorders>
            <w:shd w:val="clear" w:color="auto" w:fill="BFBFBF" w:themeFill="background1" w:themeFillShade="BF"/>
          </w:tcPr>
          <w:p w14:paraId="4E323E01"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top w:val="single" w:sz="4" w:space="0" w:color="auto"/>
              <w:left w:val="dotted" w:sz="4" w:space="0" w:color="auto"/>
              <w:bottom w:val="single" w:sz="4" w:space="0" w:color="auto"/>
              <w:right w:val="single" w:sz="4" w:space="0" w:color="auto"/>
            </w:tcBorders>
            <w:shd w:val="clear" w:color="auto" w:fill="BFBFBF" w:themeFill="background1" w:themeFillShade="BF"/>
          </w:tcPr>
          <w:p w14:paraId="7881860D" w14:textId="77777777" w:rsidR="000A7D9D" w:rsidRPr="00EC1412" w:rsidRDefault="000A7D9D" w:rsidP="00F31937">
            <w:pPr>
              <w:ind w:left="-105"/>
              <w:jc w:val="right"/>
              <w:rPr>
                <w:b/>
                <w:caps/>
                <w:noProof/>
                <w:sz w:val="18"/>
                <w:szCs w:val="18"/>
              </w:rPr>
            </w:pPr>
            <w:r>
              <w:rPr>
                <w:b/>
                <w:caps/>
                <w:noProof/>
                <w:sz w:val="18"/>
                <w:szCs w:val="18"/>
              </w:rPr>
              <w:t>CA</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008AD3" w14:textId="77777777" w:rsidR="000A7D9D" w:rsidRPr="00EC1412" w:rsidRDefault="000A7D9D" w:rsidP="00F31937">
            <w:pPr>
              <w:ind w:left="-102" w:right="-110"/>
              <w:jc w:val="center"/>
              <w:rPr>
                <w:b/>
                <w:caps/>
                <w:noProof/>
                <w:sz w:val="18"/>
                <w:szCs w:val="18"/>
              </w:rPr>
            </w:pPr>
          </w:p>
        </w:tc>
        <w:tc>
          <w:tcPr>
            <w:tcW w:w="567" w:type="dxa"/>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5BDA7BEB" w14:textId="77777777" w:rsidR="000A7D9D" w:rsidRPr="00EC1412" w:rsidRDefault="000A7D9D" w:rsidP="00F31937">
            <w:pPr>
              <w:ind w:left="-102" w:right="-108"/>
              <w:jc w:val="center"/>
              <w:rPr>
                <w:b/>
                <w:caps/>
                <w:noProof/>
                <w:sz w:val="18"/>
                <w:szCs w:val="18"/>
              </w:rPr>
            </w:pPr>
          </w:p>
        </w:tc>
        <w:tc>
          <w:tcPr>
            <w:tcW w:w="567" w:type="dxa"/>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67D0DA35" w14:textId="77777777" w:rsidR="000A7D9D" w:rsidRPr="00EC1412" w:rsidRDefault="000A7D9D" w:rsidP="00F31937">
            <w:pPr>
              <w:ind w:left="-104" w:right="-108"/>
              <w:jc w:val="center"/>
              <w:rPr>
                <w:b/>
                <w:caps/>
                <w:noProof/>
                <w:sz w:val="18"/>
                <w:szCs w:val="18"/>
              </w:rPr>
            </w:pPr>
          </w:p>
        </w:tc>
        <w:tc>
          <w:tcPr>
            <w:tcW w:w="567" w:type="dxa"/>
            <w:tcBorders>
              <w:top w:val="dotted" w:sz="4" w:space="0" w:color="auto"/>
              <w:left w:val="single" w:sz="4" w:space="0" w:color="auto"/>
              <w:bottom w:val="single" w:sz="4" w:space="0" w:color="auto"/>
              <w:right w:val="single" w:sz="4" w:space="0" w:color="auto"/>
            </w:tcBorders>
            <w:shd w:val="clear" w:color="auto" w:fill="BFBFBF" w:themeFill="background1" w:themeFillShade="BF"/>
          </w:tcPr>
          <w:p w14:paraId="52501C6A" w14:textId="77777777" w:rsidR="000A7D9D" w:rsidRPr="00EC1412" w:rsidRDefault="000A7D9D" w:rsidP="00F31937">
            <w:pPr>
              <w:ind w:left="-104" w:right="-110"/>
              <w:jc w:val="center"/>
              <w:rPr>
                <w:b/>
                <w:caps/>
                <w:noProof/>
                <w:sz w:val="18"/>
                <w:szCs w:val="18"/>
              </w:rPr>
            </w:pPr>
          </w:p>
        </w:tc>
      </w:tr>
      <w:tr w:rsidR="000A7D9D" w:rsidRPr="00EC1412" w14:paraId="0CDAE1D4" w14:textId="77777777" w:rsidTr="00F31937">
        <w:trPr>
          <w:trHeight w:val="300"/>
        </w:trPr>
        <w:tc>
          <w:tcPr>
            <w:tcW w:w="9634" w:type="dxa"/>
            <w:gridSpan w:val="13"/>
            <w:tcBorders>
              <w:top w:val="dotted" w:sz="4" w:space="0" w:color="auto"/>
              <w:bottom w:val="single" w:sz="4" w:space="0" w:color="auto"/>
              <w:right w:val="single" w:sz="4" w:space="0" w:color="auto"/>
            </w:tcBorders>
            <w:shd w:val="clear" w:color="auto" w:fill="BFBFBF" w:themeFill="background1" w:themeFillShade="BF"/>
          </w:tcPr>
          <w:p w14:paraId="605DE303" w14:textId="77777777" w:rsidR="000A7D9D" w:rsidRPr="00EC1412" w:rsidRDefault="000A7D9D" w:rsidP="00F31937">
            <w:pPr>
              <w:ind w:right="-110"/>
              <w:rPr>
                <w:b/>
                <w:caps/>
                <w:noProof/>
                <w:sz w:val="18"/>
                <w:szCs w:val="18"/>
              </w:rPr>
            </w:pPr>
            <w:r>
              <w:rPr>
                <w:b/>
                <w:noProof/>
                <w:sz w:val="18"/>
                <w:szCs w:val="18"/>
              </w:rPr>
              <w:t>Already proposed by the Commission (but without resources)</w:t>
            </w:r>
          </w:p>
        </w:tc>
      </w:tr>
      <w:tr w:rsidR="000A7D9D" w:rsidRPr="00EC1412" w14:paraId="5F108DCE" w14:textId="77777777" w:rsidTr="00F31937">
        <w:trPr>
          <w:trHeight w:val="300"/>
        </w:trPr>
        <w:tc>
          <w:tcPr>
            <w:tcW w:w="3964" w:type="dxa"/>
            <w:tcBorders>
              <w:top w:val="single" w:sz="4" w:space="0" w:color="auto"/>
              <w:bottom w:val="single" w:sz="4" w:space="0" w:color="auto"/>
              <w:right w:val="single" w:sz="4" w:space="0" w:color="auto"/>
            </w:tcBorders>
            <w:shd w:val="clear" w:color="auto" w:fill="FFF4CC"/>
          </w:tcPr>
          <w:p w14:paraId="44163F88" w14:textId="77777777" w:rsidR="000A7D9D" w:rsidRPr="00EC1412" w:rsidRDefault="000A7D9D" w:rsidP="00F31937">
            <w:pPr>
              <w:jc w:val="both"/>
              <w:rPr>
                <w:noProof/>
                <w:sz w:val="18"/>
                <w:szCs w:val="18"/>
              </w:rPr>
            </w:pPr>
            <w:r w:rsidRPr="00EC1412">
              <w:rPr>
                <w:noProof/>
                <w:sz w:val="18"/>
                <w:szCs w:val="18"/>
              </w:rPr>
              <w:t xml:space="preserve">CLP </w:t>
            </w:r>
            <w:r>
              <w:rPr>
                <w:noProof/>
                <w:sz w:val="18"/>
                <w:szCs w:val="18"/>
              </w:rPr>
              <w:t>r</w:t>
            </w:r>
            <w:r w:rsidRPr="00EC1412">
              <w:rPr>
                <w:noProof/>
                <w:sz w:val="18"/>
                <w:szCs w:val="18"/>
              </w:rPr>
              <w:t xml:space="preserve">egulation  </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2490231E" w14:textId="77777777" w:rsidR="000A7D9D" w:rsidRPr="00EC1412" w:rsidRDefault="000A7D9D" w:rsidP="00F31937">
            <w:pPr>
              <w:jc w:val="right"/>
              <w:rPr>
                <w:caps/>
                <w:noProof/>
                <w:sz w:val="18"/>
                <w:szCs w:val="18"/>
              </w:rPr>
            </w:pPr>
            <w:r>
              <w:rPr>
                <w:caps/>
                <w:noProof/>
                <w:sz w:val="18"/>
                <w:szCs w:val="18"/>
              </w:rPr>
              <w:t>3</w:t>
            </w:r>
          </w:p>
        </w:tc>
        <w:tc>
          <w:tcPr>
            <w:tcW w:w="426" w:type="dxa"/>
            <w:tcBorders>
              <w:top w:val="single" w:sz="4" w:space="0" w:color="auto"/>
              <w:left w:val="dotted" w:sz="4" w:space="0" w:color="auto"/>
              <w:bottom w:val="single" w:sz="4" w:space="0" w:color="auto"/>
              <w:right w:val="single" w:sz="4" w:space="0" w:color="auto"/>
            </w:tcBorders>
            <w:shd w:val="clear" w:color="auto" w:fill="FFF4CC"/>
          </w:tcPr>
          <w:p w14:paraId="48A00027" w14:textId="77777777" w:rsidR="000A7D9D" w:rsidRPr="00EC1412" w:rsidRDefault="000A7D9D" w:rsidP="00F31937">
            <w:pPr>
              <w:jc w:val="right"/>
              <w:rPr>
                <w:caps/>
                <w:noProof/>
                <w:sz w:val="18"/>
                <w:szCs w:val="18"/>
              </w:rPr>
            </w:pPr>
            <w:r>
              <w:rPr>
                <w:caps/>
                <w:noProof/>
                <w:sz w:val="18"/>
                <w:szCs w:val="18"/>
              </w:rPr>
              <w:t>2</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3D32B23B" w14:textId="77777777" w:rsidR="000A7D9D" w:rsidRPr="00EC1412" w:rsidRDefault="000A7D9D" w:rsidP="00F31937">
            <w:pPr>
              <w:jc w:val="right"/>
              <w:rPr>
                <w:caps/>
                <w:noProof/>
                <w:sz w:val="18"/>
                <w:szCs w:val="18"/>
              </w:rPr>
            </w:pPr>
            <w:r>
              <w:rPr>
                <w:caps/>
                <w:noProof/>
                <w:sz w:val="18"/>
                <w:szCs w:val="18"/>
              </w:rPr>
              <w:t>3</w:t>
            </w:r>
          </w:p>
        </w:tc>
        <w:tc>
          <w:tcPr>
            <w:tcW w:w="425" w:type="dxa"/>
            <w:tcBorders>
              <w:top w:val="single" w:sz="4" w:space="0" w:color="auto"/>
              <w:left w:val="dotted" w:sz="4" w:space="0" w:color="auto"/>
              <w:bottom w:val="single" w:sz="4" w:space="0" w:color="auto"/>
              <w:right w:val="single" w:sz="4" w:space="0" w:color="auto"/>
            </w:tcBorders>
            <w:shd w:val="clear" w:color="auto" w:fill="FFF4CC"/>
          </w:tcPr>
          <w:p w14:paraId="5CEC6802" w14:textId="77777777" w:rsidR="000A7D9D" w:rsidRPr="00EC1412" w:rsidRDefault="000A7D9D" w:rsidP="00F31937">
            <w:pPr>
              <w:jc w:val="right"/>
              <w:rPr>
                <w:caps/>
                <w:noProof/>
                <w:sz w:val="18"/>
                <w:szCs w:val="18"/>
              </w:rPr>
            </w:pPr>
            <w:r>
              <w:rPr>
                <w:caps/>
                <w:noProof/>
                <w:sz w:val="18"/>
                <w:szCs w:val="18"/>
              </w:rPr>
              <w:t>2</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745F081D" w14:textId="77777777" w:rsidR="000A7D9D" w:rsidRPr="00EC1412" w:rsidRDefault="000A7D9D" w:rsidP="00F31937">
            <w:pPr>
              <w:jc w:val="right"/>
              <w:rPr>
                <w:caps/>
                <w:noProof/>
                <w:sz w:val="18"/>
                <w:szCs w:val="18"/>
              </w:rPr>
            </w:pPr>
            <w:r>
              <w:rPr>
                <w:caps/>
                <w:noProof/>
                <w:sz w:val="18"/>
                <w:szCs w:val="18"/>
              </w:rPr>
              <w:t>3</w:t>
            </w:r>
          </w:p>
        </w:tc>
        <w:tc>
          <w:tcPr>
            <w:tcW w:w="426" w:type="dxa"/>
            <w:tcBorders>
              <w:top w:val="single" w:sz="4" w:space="0" w:color="auto"/>
              <w:left w:val="dotted" w:sz="4" w:space="0" w:color="auto"/>
              <w:bottom w:val="single" w:sz="4" w:space="0" w:color="auto"/>
              <w:right w:val="single" w:sz="4" w:space="0" w:color="auto"/>
            </w:tcBorders>
            <w:shd w:val="clear" w:color="auto" w:fill="FFF4CC"/>
          </w:tcPr>
          <w:p w14:paraId="7CC7363E" w14:textId="77777777" w:rsidR="000A7D9D" w:rsidRPr="00EC1412" w:rsidRDefault="000A7D9D" w:rsidP="00F31937">
            <w:pPr>
              <w:jc w:val="right"/>
              <w:rPr>
                <w:caps/>
                <w:noProof/>
                <w:sz w:val="18"/>
                <w:szCs w:val="18"/>
              </w:rPr>
            </w:pPr>
            <w:r>
              <w:rPr>
                <w:caps/>
                <w:noProof/>
                <w:sz w:val="18"/>
                <w:szCs w:val="18"/>
              </w:rPr>
              <w:t>2</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0178F684" w14:textId="77777777" w:rsidR="000A7D9D" w:rsidRPr="00EC1412" w:rsidRDefault="000A7D9D" w:rsidP="00F31937">
            <w:pPr>
              <w:jc w:val="right"/>
              <w:rPr>
                <w:caps/>
                <w:noProof/>
                <w:sz w:val="18"/>
                <w:szCs w:val="18"/>
              </w:rPr>
            </w:pPr>
            <w:r>
              <w:rPr>
                <w:caps/>
                <w:noProof/>
                <w:sz w:val="18"/>
                <w:szCs w:val="18"/>
              </w:rPr>
              <w:t>3</w:t>
            </w:r>
          </w:p>
        </w:tc>
        <w:tc>
          <w:tcPr>
            <w:tcW w:w="425" w:type="dxa"/>
            <w:tcBorders>
              <w:top w:val="single" w:sz="4" w:space="0" w:color="auto"/>
              <w:left w:val="dotted" w:sz="4" w:space="0" w:color="auto"/>
              <w:bottom w:val="single" w:sz="4" w:space="0" w:color="auto"/>
              <w:right w:val="single" w:sz="4" w:space="0" w:color="auto"/>
            </w:tcBorders>
            <w:shd w:val="clear" w:color="auto" w:fill="FFF4CC"/>
          </w:tcPr>
          <w:p w14:paraId="1895E186" w14:textId="77777777" w:rsidR="000A7D9D" w:rsidRPr="00EC1412" w:rsidRDefault="000A7D9D" w:rsidP="00F31937">
            <w:pPr>
              <w:jc w:val="right"/>
              <w:rPr>
                <w:caps/>
                <w:noProof/>
                <w:sz w:val="18"/>
                <w:szCs w:val="18"/>
              </w:rPr>
            </w:pPr>
            <w:r>
              <w:rPr>
                <w:caps/>
                <w:noProof/>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48F994AB" w14:textId="77777777" w:rsidR="000A7D9D" w:rsidRPr="00EC1412" w:rsidRDefault="000A7D9D" w:rsidP="00F31937">
            <w:pPr>
              <w:ind w:left="-108"/>
              <w:jc w:val="right"/>
              <w:rPr>
                <w:noProof/>
                <w:sz w:val="18"/>
                <w:szCs w:val="18"/>
              </w:rPr>
            </w:pPr>
            <w:r>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29C931F0" w14:textId="77777777" w:rsidR="000A7D9D" w:rsidRPr="00EC1412" w:rsidRDefault="000A7D9D" w:rsidP="00F31937">
            <w:pPr>
              <w:ind w:left="-104"/>
              <w:jc w:val="right"/>
              <w:rPr>
                <w:noProof/>
                <w:sz w:val="18"/>
                <w:szCs w:val="18"/>
              </w:rPr>
            </w:pPr>
            <w:r w:rsidRPr="00EC1412">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268D7CD6" w14:textId="77777777" w:rsidR="000A7D9D" w:rsidRPr="00EC1412" w:rsidRDefault="000A7D9D" w:rsidP="00F31937">
            <w:pPr>
              <w:jc w:val="right"/>
              <w:rPr>
                <w:noProof/>
                <w:sz w:val="18"/>
                <w:szCs w:val="18"/>
              </w:rPr>
            </w:pPr>
            <w:r w:rsidRPr="00EC1412">
              <w:rPr>
                <w:noProof/>
                <w:sz w:val="18"/>
                <w:szCs w:val="18"/>
              </w:rPr>
              <w:t>0</w:t>
            </w:r>
          </w:p>
        </w:tc>
        <w:tc>
          <w:tcPr>
            <w:tcW w:w="567" w:type="dxa"/>
            <w:tcBorders>
              <w:top w:val="single" w:sz="4" w:space="0" w:color="auto"/>
              <w:left w:val="single" w:sz="4" w:space="0" w:color="auto"/>
              <w:bottom w:val="single" w:sz="4" w:space="0" w:color="auto"/>
            </w:tcBorders>
            <w:shd w:val="clear" w:color="auto" w:fill="FFF4CC"/>
          </w:tcPr>
          <w:p w14:paraId="1CFADD82" w14:textId="77777777" w:rsidR="000A7D9D" w:rsidRPr="00EC1412" w:rsidRDefault="000A7D9D" w:rsidP="00F31937">
            <w:pPr>
              <w:jc w:val="right"/>
              <w:rPr>
                <w:noProof/>
                <w:sz w:val="18"/>
                <w:szCs w:val="18"/>
              </w:rPr>
            </w:pPr>
            <w:r>
              <w:rPr>
                <w:noProof/>
                <w:sz w:val="18"/>
                <w:szCs w:val="18"/>
              </w:rPr>
              <w:t>0</w:t>
            </w:r>
          </w:p>
        </w:tc>
      </w:tr>
      <w:tr w:rsidR="000A7D9D" w:rsidRPr="00EC1412" w14:paraId="5C3517D8" w14:textId="77777777" w:rsidTr="00F31937">
        <w:trPr>
          <w:trHeight w:val="300"/>
        </w:trPr>
        <w:tc>
          <w:tcPr>
            <w:tcW w:w="3964" w:type="dxa"/>
            <w:tcBorders>
              <w:top w:val="single" w:sz="4" w:space="0" w:color="auto"/>
              <w:bottom w:val="single" w:sz="4" w:space="0" w:color="auto"/>
              <w:right w:val="single" w:sz="4" w:space="0" w:color="auto"/>
            </w:tcBorders>
            <w:shd w:val="clear" w:color="auto" w:fill="C1ECFF"/>
          </w:tcPr>
          <w:p w14:paraId="191CFFEA" w14:textId="77777777" w:rsidR="000A7D9D" w:rsidRPr="00EC1412" w:rsidRDefault="000A7D9D" w:rsidP="00F31937">
            <w:pPr>
              <w:jc w:val="both"/>
              <w:rPr>
                <w:caps/>
                <w:noProof/>
                <w:sz w:val="18"/>
                <w:szCs w:val="18"/>
              </w:rPr>
            </w:pPr>
            <w:r>
              <w:rPr>
                <w:noProof/>
                <w:sz w:val="18"/>
                <w:szCs w:val="18"/>
              </w:rPr>
              <w:t>Directive on p</w:t>
            </w:r>
            <w:r w:rsidRPr="00EC1412">
              <w:rPr>
                <w:noProof/>
                <w:sz w:val="18"/>
                <w:szCs w:val="18"/>
              </w:rPr>
              <w:t xml:space="preserve">ackaging </w:t>
            </w:r>
            <w:r>
              <w:rPr>
                <w:noProof/>
                <w:sz w:val="18"/>
                <w:szCs w:val="18"/>
              </w:rPr>
              <w:t>and packaging w</w:t>
            </w:r>
            <w:r w:rsidRPr="00EC1412">
              <w:rPr>
                <w:noProof/>
                <w:sz w:val="18"/>
                <w:szCs w:val="18"/>
              </w:rPr>
              <w:t xml:space="preserve">aste </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089272F4" w14:textId="77777777" w:rsidR="000A7D9D" w:rsidRPr="00EC1412" w:rsidRDefault="000A7D9D" w:rsidP="00F31937">
            <w:pPr>
              <w:jc w:val="right"/>
              <w:rPr>
                <w:caps/>
                <w:noProof/>
                <w:sz w:val="18"/>
                <w:szCs w:val="18"/>
              </w:rPr>
            </w:pPr>
            <w:r>
              <w:rPr>
                <w:caps/>
                <w:noProof/>
                <w:sz w:val="18"/>
                <w:szCs w:val="18"/>
              </w:rPr>
              <w:t>1</w:t>
            </w:r>
          </w:p>
        </w:tc>
        <w:tc>
          <w:tcPr>
            <w:tcW w:w="426" w:type="dxa"/>
            <w:tcBorders>
              <w:top w:val="single" w:sz="4" w:space="0" w:color="auto"/>
              <w:left w:val="dotted" w:sz="4" w:space="0" w:color="auto"/>
              <w:bottom w:val="single" w:sz="4" w:space="0" w:color="auto"/>
              <w:right w:val="single" w:sz="4" w:space="0" w:color="auto"/>
            </w:tcBorders>
            <w:shd w:val="clear" w:color="auto" w:fill="C1ECFF"/>
          </w:tcPr>
          <w:p w14:paraId="75509DEE"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30C7A282" w14:textId="77777777" w:rsidR="000A7D9D" w:rsidRPr="00EC1412" w:rsidRDefault="000A7D9D" w:rsidP="00F31937">
            <w:pPr>
              <w:jc w:val="right"/>
              <w:rPr>
                <w:caps/>
                <w:noProof/>
                <w:sz w:val="18"/>
                <w:szCs w:val="18"/>
              </w:rPr>
            </w:pPr>
            <w:r>
              <w:rPr>
                <w:caps/>
                <w:noProof/>
                <w:sz w:val="18"/>
                <w:szCs w:val="18"/>
              </w:rPr>
              <w:t>1</w:t>
            </w:r>
          </w:p>
        </w:tc>
        <w:tc>
          <w:tcPr>
            <w:tcW w:w="425" w:type="dxa"/>
            <w:tcBorders>
              <w:top w:val="single" w:sz="4" w:space="0" w:color="auto"/>
              <w:left w:val="dotted" w:sz="4" w:space="0" w:color="auto"/>
              <w:bottom w:val="single" w:sz="4" w:space="0" w:color="auto"/>
              <w:right w:val="single" w:sz="4" w:space="0" w:color="auto"/>
            </w:tcBorders>
            <w:shd w:val="clear" w:color="auto" w:fill="C1ECFF"/>
          </w:tcPr>
          <w:p w14:paraId="75B21031"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4B242621" w14:textId="77777777" w:rsidR="000A7D9D" w:rsidRPr="00EC1412" w:rsidRDefault="000A7D9D" w:rsidP="00F31937">
            <w:pPr>
              <w:jc w:val="right"/>
              <w:rPr>
                <w:caps/>
                <w:noProof/>
                <w:sz w:val="18"/>
                <w:szCs w:val="18"/>
              </w:rPr>
            </w:pPr>
            <w:r>
              <w:rPr>
                <w:caps/>
                <w:noProof/>
                <w:sz w:val="18"/>
                <w:szCs w:val="18"/>
              </w:rPr>
              <w:t>1</w:t>
            </w:r>
          </w:p>
        </w:tc>
        <w:tc>
          <w:tcPr>
            <w:tcW w:w="426" w:type="dxa"/>
            <w:tcBorders>
              <w:top w:val="single" w:sz="4" w:space="0" w:color="auto"/>
              <w:left w:val="dotted" w:sz="4" w:space="0" w:color="auto"/>
              <w:bottom w:val="single" w:sz="4" w:space="0" w:color="auto"/>
              <w:right w:val="single" w:sz="4" w:space="0" w:color="auto"/>
            </w:tcBorders>
            <w:shd w:val="clear" w:color="auto" w:fill="C1ECFF"/>
          </w:tcPr>
          <w:p w14:paraId="44D7A36B"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1FA51B23"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single" w:sz="4" w:space="0" w:color="auto"/>
              <w:left w:val="dotted" w:sz="4" w:space="0" w:color="auto"/>
              <w:bottom w:val="single" w:sz="4" w:space="0" w:color="auto"/>
              <w:right w:val="single" w:sz="4" w:space="0" w:color="auto"/>
            </w:tcBorders>
            <w:shd w:val="clear" w:color="auto" w:fill="C1ECFF"/>
          </w:tcPr>
          <w:p w14:paraId="1C0ECA56" w14:textId="77777777" w:rsidR="000A7D9D" w:rsidRPr="00EC1412" w:rsidRDefault="000A7D9D" w:rsidP="00F31937">
            <w:pPr>
              <w:jc w:val="right"/>
              <w:rPr>
                <w:caps/>
                <w:noProof/>
                <w:sz w:val="18"/>
                <w:szCs w:val="18"/>
              </w:rPr>
            </w:pPr>
            <w:r>
              <w:rPr>
                <w:caps/>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C1ECFF"/>
          </w:tcPr>
          <w:p w14:paraId="7E74F6B1"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C1ECFF"/>
          </w:tcPr>
          <w:p w14:paraId="6828E001" w14:textId="77777777" w:rsidR="000A7D9D" w:rsidRPr="00EC1412" w:rsidRDefault="000A7D9D" w:rsidP="00F31937">
            <w:pPr>
              <w:ind w:left="-104"/>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C1ECFF"/>
          </w:tcPr>
          <w:p w14:paraId="03268260" w14:textId="77777777" w:rsidR="000A7D9D" w:rsidRPr="00EC1412" w:rsidRDefault="000A7D9D" w:rsidP="00F31937">
            <w:pPr>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tcBorders>
            <w:shd w:val="clear" w:color="auto" w:fill="C1ECFF"/>
          </w:tcPr>
          <w:p w14:paraId="77644196" w14:textId="77777777" w:rsidR="000A7D9D" w:rsidRPr="00EC1412" w:rsidRDefault="000A7D9D" w:rsidP="00F31937">
            <w:pPr>
              <w:jc w:val="right"/>
              <w:rPr>
                <w:caps/>
                <w:noProof/>
                <w:sz w:val="18"/>
                <w:szCs w:val="18"/>
              </w:rPr>
            </w:pPr>
            <w:r>
              <w:rPr>
                <w:noProof/>
                <w:sz w:val="18"/>
                <w:szCs w:val="18"/>
              </w:rPr>
              <w:t>0</w:t>
            </w:r>
          </w:p>
        </w:tc>
      </w:tr>
      <w:tr w:rsidR="000A7D9D" w:rsidRPr="00EC1412" w14:paraId="649048E3" w14:textId="77777777" w:rsidTr="00F31937">
        <w:trPr>
          <w:trHeight w:val="300"/>
        </w:trPr>
        <w:tc>
          <w:tcPr>
            <w:tcW w:w="3964" w:type="dxa"/>
            <w:tcBorders>
              <w:top w:val="single" w:sz="4" w:space="0" w:color="auto"/>
              <w:bottom w:val="single" w:sz="4" w:space="0" w:color="auto"/>
              <w:right w:val="single" w:sz="4" w:space="0" w:color="auto"/>
            </w:tcBorders>
            <w:shd w:val="clear" w:color="auto" w:fill="FFF4CC"/>
          </w:tcPr>
          <w:p w14:paraId="7BE0B014" w14:textId="77777777" w:rsidR="000A7D9D" w:rsidRPr="00EC1412" w:rsidRDefault="000A7D9D" w:rsidP="00F31937">
            <w:pPr>
              <w:jc w:val="both"/>
              <w:rPr>
                <w:rStyle w:val="normaltextrun"/>
                <w:b/>
                <w:noProof/>
                <w:sz w:val="18"/>
                <w:szCs w:val="18"/>
              </w:rPr>
            </w:pPr>
            <w:r>
              <w:rPr>
                <w:noProof/>
                <w:sz w:val="18"/>
                <w:szCs w:val="18"/>
              </w:rPr>
              <w:t>Directive on e</w:t>
            </w:r>
            <w:r w:rsidRPr="00EC1412">
              <w:rPr>
                <w:noProof/>
                <w:sz w:val="18"/>
                <w:szCs w:val="18"/>
              </w:rPr>
              <w:t>nd-of life-vehicle</w:t>
            </w:r>
            <w:r>
              <w:rPr>
                <w:noProof/>
                <w:sz w:val="18"/>
                <w:szCs w:val="18"/>
              </w:rPr>
              <w:t>s</w:t>
            </w:r>
            <w:r w:rsidRPr="00EC1412">
              <w:rPr>
                <w:noProof/>
                <w:sz w:val="18"/>
                <w:szCs w:val="18"/>
              </w:rPr>
              <w:t xml:space="preserve"> </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75CFDDB5" w14:textId="77777777" w:rsidR="000A7D9D" w:rsidRPr="00F92C11" w:rsidRDefault="000A7D9D" w:rsidP="00F31937">
            <w:pPr>
              <w:jc w:val="right"/>
              <w:rPr>
                <w:caps/>
                <w:noProof/>
                <w:sz w:val="18"/>
                <w:szCs w:val="18"/>
              </w:rPr>
            </w:pPr>
            <w:r w:rsidRPr="00F92C11">
              <w:rPr>
                <w:caps/>
                <w:noProof/>
                <w:sz w:val="18"/>
                <w:szCs w:val="18"/>
              </w:rPr>
              <w:t>1</w:t>
            </w:r>
          </w:p>
        </w:tc>
        <w:tc>
          <w:tcPr>
            <w:tcW w:w="426" w:type="dxa"/>
            <w:tcBorders>
              <w:top w:val="single" w:sz="4" w:space="0" w:color="auto"/>
              <w:left w:val="dotted" w:sz="4" w:space="0" w:color="auto"/>
              <w:bottom w:val="single" w:sz="4" w:space="0" w:color="auto"/>
              <w:right w:val="single" w:sz="4" w:space="0" w:color="auto"/>
            </w:tcBorders>
            <w:shd w:val="clear" w:color="auto" w:fill="FFF4CC"/>
          </w:tcPr>
          <w:p w14:paraId="42795F11" w14:textId="77777777" w:rsidR="000A7D9D" w:rsidRPr="00F92C11" w:rsidRDefault="000A7D9D" w:rsidP="00F31937">
            <w:pPr>
              <w:jc w:val="right"/>
              <w:rPr>
                <w:caps/>
                <w:noProof/>
                <w:sz w:val="18"/>
                <w:szCs w:val="18"/>
              </w:rPr>
            </w:pPr>
            <w:r w:rsidRPr="00F92C11">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4540E1D2" w14:textId="77777777" w:rsidR="000A7D9D" w:rsidRPr="00F92C11" w:rsidRDefault="000A7D9D" w:rsidP="00F31937">
            <w:pPr>
              <w:jc w:val="right"/>
              <w:rPr>
                <w:caps/>
                <w:noProof/>
                <w:sz w:val="18"/>
                <w:szCs w:val="18"/>
              </w:rPr>
            </w:pPr>
            <w:r w:rsidRPr="00F92C11">
              <w:rPr>
                <w:caps/>
                <w:noProof/>
                <w:sz w:val="18"/>
                <w:szCs w:val="18"/>
              </w:rPr>
              <w:t>1</w:t>
            </w:r>
          </w:p>
        </w:tc>
        <w:tc>
          <w:tcPr>
            <w:tcW w:w="425" w:type="dxa"/>
            <w:tcBorders>
              <w:top w:val="single" w:sz="4" w:space="0" w:color="auto"/>
              <w:left w:val="dotted" w:sz="4" w:space="0" w:color="auto"/>
              <w:bottom w:val="single" w:sz="4" w:space="0" w:color="auto"/>
              <w:right w:val="single" w:sz="4" w:space="0" w:color="auto"/>
            </w:tcBorders>
            <w:shd w:val="clear" w:color="auto" w:fill="FFF4CC"/>
          </w:tcPr>
          <w:p w14:paraId="65241C8A" w14:textId="77777777" w:rsidR="000A7D9D" w:rsidRPr="00F92C11" w:rsidRDefault="000A7D9D" w:rsidP="00F31937">
            <w:pPr>
              <w:jc w:val="right"/>
              <w:rPr>
                <w:caps/>
                <w:noProof/>
                <w:sz w:val="18"/>
                <w:szCs w:val="18"/>
              </w:rPr>
            </w:pPr>
            <w:r w:rsidRPr="00F92C11">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3567BF83" w14:textId="77777777" w:rsidR="000A7D9D" w:rsidRPr="00F92C11" w:rsidRDefault="000A7D9D" w:rsidP="00F31937">
            <w:pPr>
              <w:jc w:val="right"/>
              <w:rPr>
                <w:caps/>
                <w:noProof/>
                <w:sz w:val="18"/>
                <w:szCs w:val="18"/>
              </w:rPr>
            </w:pPr>
            <w:r w:rsidRPr="00F92C11">
              <w:rPr>
                <w:caps/>
                <w:noProof/>
                <w:sz w:val="18"/>
                <w:szCs w:val="18"/>
              </w:rPr>
              <w:t>1</w:t>
            </w:r>
          </w:p>
        </w:tc>
        <w:tc>
          <w:tcPr>
            <w:tcW w:w="426" w:type="dxa"/>
            <w:tcBorders>
              <w:top w:val="single" w:sz="4" w:space="0" w:color="auto"/>
              <w:left w:val="dotted" w:sz="4" w:space="0" w:color="auto"/>
              <w:bottom w:val="single" w:sz="4" w:space="0" w:color="auto"/>
              <w:right w:val="single" w:sz="4" w:space="0" w:color="auto"/>
            </w:tcBorders>
            <w:shd w:val="clear" w:color="auto" w:fill="FFF4CC"/>
          </w:tcPr>
          <w:p w14:paraId="682AD536" w14:textId="77777777" w:rsidR="000A7D9D" w:rsidRPr="00F92C11" w:rsidRDefault="000A7D9D" w:rsidP="00F31937">
            <w:pPr>
              <w:jc w:val="right"/>
              <w:rPr>
                <w:caps/>
                <w:noProof/>
                <w:sz w:val="18"/>
                <w:szCs w:val="18"/>
              </w:rPr>
            </w:pPr>
            <w:r w:rsidRPr="00F92C11">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4E42638A" w14:textId="77777777" w:rsidR="000A7D9D" w:rsidRPr="00F92C11" w:rsidRDefault="000A7D9D" w:rsidP="00F31937">
            <w:pPr>
              <w:jc w:val="right"/>
              <w:rPr>
                <w:caps/>
                <w:noProof/>
                <w:sz w:val="18"/>
                <w:szCs w:val="18"/>
              </w:rPr>
            </w:pPr>
            <w:r w:rsidRPr="00F92C11">
              <w:rPr>
                <w:caps/>
                <w:noProof/>
                <w:sz w:val="18"/>
                <w:szCs w:val="18"/>
              </w:rPr>
              <w:t>1</w:t>
            </w:r>
          </w:p>
        </w:tc>
        <w:tc>
          <w:tcPr>
            <w:tcW w:w="425" w:type="dxa"/>
            <w:tcBorders>
              <w:top w:val="single" w:sz="4" w:space="0" w:color="auto"/>
              <w:left w:val="dotted" w:sz="4" w:space="0" w:color="auto"/>
              <w:bottom w:val="single" w:sz="4" w:space="0" w:color="auto"/>
              <w:right w:val="single" w:sz="4" w:space="0" w:color="auto"/>
            </w:tcBorders>
            <w:shd w:val="clear" w:color="auto" w:fill="FFF4CC"/>
          </w:tcPr>
          <w:p w14:paraId="63F186B0" w14:textId="77777777" w:rsidR="000A7D9D" w:rsidRPr="00F92C11" w:rsidRDefault="000A7D9D" w:rsidP="00F31937">
            <w:pPr>
              <w:jc w:val="right"/>
              <w:rPr>
                <w:caps/>
                <w:noProof/>
                <w:sz w:val="18"/>
                <w:szCs w:val="18"/>
              </w:rPr>
            </w:pPr>
            <w:r w:rsidRPr="00F92C11">
              <w:rPr>
                <w:caps/>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43C8FACF" w14:textId="77777777" w:rsidR="000A7D9D" w:rsidRPr="00EC1412" w:rsidRDefault="000A7D9D" w:rsidP="00F31937">
            <w:pPr>
              <w:ind w:left="-108"/>
              <w:jc w:val="right"/>
              <w:rPr>
                <w:b/>
                <w:noProof/>
                <w:sz w:val="18"/>
                <w:szCs w:val="18"/>
              </w:rPr>
            </w:pPr>
            <w:r>
              <w:rPr>
                <w:caps/>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104AAE1F" w14:textId="77777777" w:rsidR="000A7D9D" w:rsidRPr="00EC1412" w:rsidRDefault="000A7D9D" w:rsidP="00F31937">
            <w:pPr>
              <w:ind w:left="-104"/>
              <w:jc w:val="right"/>
              <w:rPr>
                <w:b/>
                <w:noProof/>
                <w:sz w:val="18"/>
                <w:szCs w:val="18"/>
              </w:rPr>
            </w:pPr>
            <w:r>
              <w:rPr>
                <w:caps/>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1C06835A" w14:textId="77777777" w:rsidR="000A7D9D" w:rsidRPr="00EC1412" w:rsidRDefault="000A7D9D" w:rsidP="00F31937">
            <w:pPr>
              <w:jc w:val="right"/>
              <w:rPr>
                <w:b/>
                <w:noProof/>
                <w:sz w:val="18"/>
                <w:szCs w:val="18"/>
              </w:rPr>
            </w:pPr>
            <w:r>
              <w:rPr>
                <w:caps/>
                <w:noProof/>
                <w:sz w:val="18"/>
                <w:szCs w:val="18"/>
              </w:rPr>
              <w:t>0</w:t>
            </w:r>
          </w:p>
        </w:tc>
        <w:tc>
          <w:tcPr>
            <w:tcW w:w="567" w:type="dxa"/>
            <w:tcBorders>
              <w:top w:val="single" w:sz="4" w:space="0" w:color="auto"/>
              <w:left w:val="single" w:sz="4" w:space="0" w:color="auto"/>
              <w:bottom w:val="single" w:sz="4" w:space="0" w:color="auto"/>
            </w:tcBorders>
            <w:shd w:val="clear" w:color="auto" w:fill="FFF4CC"/>
          </w:tcPr>
          <w:p w14:paraId="40E9CDFD" w14:textId="77777777" w:rsidR="000A7D9D" w:rsidRPr="00EC1412" w:rsidRDefault="000A7D9D" w:rsidP="00F31937">
            <w:pPr>
              <w:jc w:val="right"/>
              <w:rPr>
                <w:b/>
                <w:noProof/>
                <w:sz w:val="18"/>
                <w:szCs w:val="18"/>
              </w:rPr>
            </w:pPr>
            <w:r>
              <w:rPr>
                <w:caps/>
                <w:noProof/>
                <w:sz w:val="18"/>
                <w:szCs w:val="18"/>
              </w:rPr>
              <w:t>0</w:t>
            </w:r>
          </w:p>
        </w:tc>
      </w:tr>
      <w:tr w:rsidR="000A7D9D" w:rsidRPr="00EC1412" w14:paraId="65BB4AA4" w14:textId="77777777" w:rsidTr="00F31937">
        <w:trPr>
          <w:trHeight w:val="300"/>
        </w:trPr>
        <w:tc>
          <w:tcPr>
            <w:tcW w:w="3964" w:type="dxa"/>
            <w:tcBorders>
              <w:top w:val="single" w:sz="4" w:space="0" w:color="auto"/>
              <w:bottom w:val="single" w:sz="4" w:space="0" w:color="auto"/>
              <w:right w:val="single" w:sz="4" w:space="0" w:color="auto"/>
            </w:tcBorders>
            <w:shd w:val="clear" w:color="auto" w:fill="C1ECFF"/>
          </w:tcPr>
          <w:p w14:paraId="0E490E79" w14:textId="77777777" w:rsidR="000A7D9D" w:rsidRPr="00EC1412" w:rsidRDefault="000A7D9D" w:rsidP="00F31937">
            <w:pPr>
              <w:jc w:val="both"/>
              <w:rPr>
                <w:noProof/>
                <w:sz w:val="18"/>
                <w:szCs w:val="18"/>
              </w:rPr>
            </w:pPr>
            <w:r w:rsidRPr="00EC1412">
              <w:rPr>
                <w:noProof/>
                <w:sz w:val="18"/>
                <w:szCs w:val="18"/>
              </w:rPr>
              <w:t>Toy safety directive</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23BD01EA" w14:textId="77777777" w:rsidR="000A7D9D" w:rsidRPr="00EC1412" w:rsidRDefault="000A7D9D" w:rsidP="00F31937">
            <w:pPr>
              <w:jc w:val="right"/>
              <w:rPr>
                <w:caps/>
                <w:noProof/>
                <w:sz w:val="18"/>
                <w:szCs w:val="18"/>
              </w:rPr>
            </w:pPr>
            <w:r w:rsidRPr="00EC1412">
              <w:rPr>
                <w:caps/>
                <w:noProof/>
                <w:sz w:val="18"/>
                <w:szCs w:val="18"/>
              </w:rPr>
              <w:t>2</w:t>
            </w:r>
          </w:p>
        </w:tc>
        <w:tc>
          <w:tcPr>
            <w:tcW w:w="426" w:type="dxa"/>
            <w:tcBorders>
              <w:top w:val="single" w:sz="4" w:space="0" w:color="auto"/>
              <w:left w:val="dotted" w:sz="4" w:space="0" w:color="auto"/>
              <w:bottom w:val="single" w:sz="4" w:space="0" w:color="auto"/>
              <w:right w:val="single" w:sz="4" w:space="0" w:color="auto"/>
            </w:tcBorders>
            <w:shd w:val="clear" w:color="auto" w:fill="C1ECFF"/>
          </w:tcPr>
          <w:p w14:paraId="24FF2C3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6C4F7139"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top w:val="single" w:sz="4" w:space="0" w:color="auto"/>
              <w:left w:val="dotted" w:sz="4" w:space="0" w:color="auto"/>
              <w:bottom w:val="single" w:sz="4" w:space="0" w:color="auto"/>
              <w:right w:val="single" w:sz="4" w:space="0" w:color="auto"/>
            </w:tcBorders>
            <w:shd w:val="clear" w:color="auto" w:fill="C1ECFF"/>
          </w:tcPr>
          <w:p w14:paraId="3EB7899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22269005" w14:textId="77777777" w:rsidR="000A7D9D" w:rsidRPr="00EC1412" w:rsidRDefault="000A7D9D" w:rsidP="00F31937">
            <w:pPr>
              <w:jc w:val="right"/>
              <w:rPr>
                <w:caps/>
                <w:noProof/>
                <w:sz w:val="18"/>
                <w:szCs w:val="18"/>
              </w:rPr>
            </w:pPr>
            <w:r w:rsidRPr="00EC1412">
              <w:rPr>
                <w:caps/>
                <w:noProof/>
                <w:sz w:val="18"/>
                <w:szCs w:val="18"/>
              </w:rPr>
              <w:t>2</w:t>
            </w:r>
          </w:p>
        </w:tc>
        <w:tc>
          <w:tcPr>
            <w:tcW w:w="426" w:type="dxa"/>
            <w:tcBorders>
              <w:top w:val="single" w:sz="4" w:space="0" w:color="auto"/>
              <w:left w:val="dotted" w:sz="4" w:space="0" w:color="auto"/>
              <w:bottom w:val="single" w:sz="4" w:space="0" w:color="auto"/>
              <w:right w:val="single" w:sz="4" w:space="0" w:color="auto"/>
            </w:tcBorders>
            <w:shd w:val="clear" w:color="auto" w:fill="C1ECFF"/>
          </w:tcPr>
          <w:p w14:paraId="3C6FD6B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298C646D"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top w:val="single" w:sz="4" w:space="0" w:color="auto"/>
              <w:left w:val="dotted" w:sz="4" w:space="0" w:color="auto"/>
              <w:bottom w:val="single" w:sz="4" w:space="0" w:color="auto"/>
              <w:right w:val="single" w:sz="4" w:space="0" w:color="auto"/>
            </w:tcBorders>
            <w:shd w:val="clear" w:color="auto" w:fill="C1ECFF"/>
          </w:tcPr>
          <w:p w14:paraId="09F56372" w14:textId="77777777" w:rsidR="000A7D9D" w:rsidRPr="00EC1412" w:rsidRDefault="000A7D9D" w:rsidP="00F31937">
            <w:pPr>
              <w:jc w:val="right"/>
              <w:rPr>
                <w:caps/>
                <w:noProof/>
                <w:sz w:val="18"/>
                <w:szCs w:val="18"/>
              </w:rPr>
            </w:pPr>
            <w:r>
              <w:rPr>
                <w:caps/>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C1ECFF"/>
          </w:tcPr>
          <w:p w14:paraId="25F4C895"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C1ECFF"/>
          </w:tcPr>
          <w:p w14:paraId="3ABFD080" w14:textId="77777777" w:rsidR="000A7D9D" w:rsidRPr="00EC1412" w:rsidRDefault="000A7D9D" w:rsidP="00F31937">
            <w:pPr>
              <w:ind w:left="-104"/>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C1ECFF"/>
          </w:tcPr>
          <w:p w14:paraId="6BAE8634" w14:textId="77777777" w:rsidR="000A7D9D" w:rsidRPr="00EC1412" w:rsidRDefault="000A7D9D" w:rsidP="00F31937">
            <w:pPr>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tcBorders>
            <w:shd w:val="clear" w:color="auto" w:fill="C1ECFF"/>
          </w:tcPr>
          <w:p w14:paraId="215F7294" w14:textId="77777777" w:rsidR="000A7D9D" w:rsidRPr="00EC1412" w:rsidRDefault="000A7D9D" w:rsidP="00F31937">
            <w:pPr>
              <w:jc w:val="right"/>
              <w:rPr>
                <w:caps/>
                <w:noProof/>
                <w:sz w:val="18"/>
                <w:szCs w:val="18"/>
              </w:rPr>
            </w:pPr>
            <w:r>
              <w:rPr>
                <w:noProof/>
                <w:sz w:val="18"/>
                <w:szCs w:val="18"/>
              </w:rPr>
              <w:t>0</w:t>
            </w:r>
          </w:p>
        </w:tc>
      </w:tr>
      <w:tr w:rsidR="000A7D9D" w:rsidRPr="00EC1412" w14:paraId="637E176D" w14:textId="77777777" w:rsidTr="00F31937">
        <w:trPr>
          <w:trHeight w:val="300"/>
        </w:trPr>
        <w:tc>
          <w:tcPr>
            <w:tcW w:w="9634" w:type="dxa"/>
            <w:gridSpan w:val="13"/>
            <w:tcBorders>
              <w:top w:val="single" w:sz="4" w:space="0" w:color="auto"/>
              <w:bottom w:val="single" w:sz="4" w:space="0" w:color="auto"/>
              <w:right w:val="single" w:sz="4" w:space="0" w:color="auto"/>
            </w:tcBorders>
            <w:shd w:val="clear" w:color="auto" w:fill="BFBFBF" w:themeFill="background1" w:themeFillShade="BF"/>
          </w:tcPr>
          <w:p w14:paraId="5D2B5C3A" w14:textId="77777777" w:rsidR="000A7D9D" w:rsidRPr="00EC1412" w:rsidRDefault="000A7D9D" w:rsidP="00F31937">
            <w:pPr>
              <w:ind w:right="-110"/>
              <w:rPr>
                <w:b/>
                <w:caps/>
                <w:noProof/>
                <w:sz w:val="18"/>
                <w:szCs w:val="18"/>
              </w:rPr>
            </w:pPr>
            <w:r>
              <w:rPr>
                <w:b/>
                <w:noProof/>
                <w:sz w:val="18"/>
                <w:szCs w:val="18"/>
              </w:rPr>
              <w:t>Proposed by the Commission as part of the package on one substance, one assessment</w:t>
            </w:r>
          </w:p>
        </w:tc>
      </w:tr>
      <w:tr w:rsidR="000A7D9D" w:rsidRPr="00EC1412" w14:paraId="7AB51575" w14:textId="77777777" w:rsidTr="00F31937">
        <w:trPr>
          <w:trHeight w:val="300"/>
        </w:trPr>
        <w:tc>
          <w:tcPr>
            <w:tcW w:w="3964" w:type="dxa"/>
            <w:tcBorders>
              <w:top w:val="single" w:sz="4" w:space="0" w:color="auto"/>
              <w:bottom w:val="dotted" w:sz="4" w:space="0" w:color="auto"/>
              <w:right w:val="single" w:sz="4" w:space="0" w:color="auto"/>
            </w:tcBorders>
            <w:shd w:val="clear" w:color="auto" w:fill="FFF4CC"/>
          </w:tcPr>
          <w:p w14:paraId="7755A230" w14:textId="77777777" w:rsidR="000A7D9D" w:rsidRPr="00EC1412" w:rsidRDefault="000A7D9D" w:rsidP="00F31937">
            <w:pPr>
              <w:jc w:val="both"/>
              <w:rPr>
                <w:caps/>
                <w:noProof/>
                <w:sz w:val="18"/>
                <w:szCs w:val="18"/>
              </w:rPr>
            </w:pPr>
            <w:r>
              <w:rPr>
                <w:rStyle w:val="normaltextrun"/>
                <w:noProof/>
                <w:sz w:val="18"/>
                <w:szCs w:val="18"/>
              </w:rPr>
              <w:t xml:space="preserve">Directive </w:t>
            </w:r>
            <w:r w:rsidRPr="00EC1412">
              <w:rPr>
                <w:rStyle w:val="normaltextrun"/>
                <w:noProof/>
                <w:sz w:val="18"/>
                <w:szCs w:val="18"/>
              </w:rPr>
              <w:t>on reattribution</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B3BF35D" w14:textId="77777777" w:rsidR="000A7D9D" w:rsidRPr="00EC1412" w:rsidRDefault="000A7D9D" w:rsidP="00F31937">
            <w:pPr>
              <w:jc w:val="right"/>
              <w:rPr>
                <w:b/>
                <w:caps/>
                <w:noProof/>
                <w:sz w:val="18"/>
                <w:szCs w:val="18"/>
              </w:rPr>
            </w:pPr>
            <w:r>
              <w:rPr>
                <w:b/>
                <w:caps/>
                <w:noProof/>
                <w:sz w:val="18"/>
                <w:szCs w:val="18"/>
              </w:rPr>
              <w:t>3</w:t>
            </w:r>
          </w:p>
        </w:tc>
        <w:tc>
          <w:tcPr>
            <w:tcW w:w="426" w:type="dxa"/>
            <w:tcBorders>
              <w:top w:val="single" w:sz="4" w:space="0" w:color="auto"/>
              <w:left w:val="dotted" w:sz="4" w:space="0" w:color="auto"/>
              <w:bottom w:val="dotted" w:sz="4" w:space="0" w:color="auto"/>
              <w:right w:val="single" w:sz="4" w:space="0" w:color="auto"/>
            </w:tcBorders>
            <w:shd w:val="clear" w:color="auto" w:fill="FFF4CC"/>
          </w:tcPr>
          <w:p w14:paraId="35F40E3A" w14:textId="77777777" w:rsidR="000A7D9D" w:rsidRPr="00EC1412" w:rsidRDefault="000A7D9D" w:rsidP="00F31937">
            <w:pPr>
              <w:jc w:val="right"/>
              <w:rPr>
                <w:b/>
                <w:caps/>
                <w:noProof/>
                <w:sz w:val="18"/>
                <w:szCs w:val="18"/>
              </w:rPr>
            </w:pPr>
            <w:r>
              <w:rPr>
                <w:b/>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ED29FEF" w14:textId="77777777" w:rsidR="000A7D9D" w:rsidRPr="00EC1412" w:rsidRDefault="000A7D9D" w:rsidP="00F31937">
            <w:pPr>
              <w:jc w:val="right"/>
              <w:rPr>
                <w:b/>
                <w:caps/>
                <w:noProof/>
                <w:sz w:val="18"/>
                <w:szCs w:val="18"/>
              </w:rPr>
            </w:pPr>
            <w:r>
              <w:rPr>
                <w:b/>
                <w:caps/>
                <w:noProof/>
                <w:sz w:val="18"/>
                <w:szCs w:val="18"/>
              </w:rPr>
              <w:t>4</w:t>
            </w:r>
          </w:p>
        </w:tc>
        <w:tc>
          <w:tcPr>
            <w:tcW w:w="425" w:type="dxa"/>
            <w:tcBorders>
              <w:top w:val="single" w:sz="4" w:space="0" w:color="auto"/>
              <w:left w:val="dotted" w:sz="4" w:space="0" w:color="auto"/>
              <w:bottom w:val="dotted" w:sz="4" w:space="0" w:color="auto"/>
              <w:right w:val="single" w:sz="4" w:space="0" w:color="auto"/>
            </w:tcBorders>
            <w:shd w:val="clear" w:color="auto" w:fill="FFF4CC"/>
          </w:tcPr>
          <w:p w14:paraId="214E7E00" w14:textId="77777777" w:rsidR="000A7D9D" w:rsidRPr="00EC1412" w:rsidRDefault="000A7D9D" w:rsidP="00F31937">
            <w:pPr>
              <w:jc w:val="right"/>
              <w:rPr>
                <w:b/>
                <w:caps/>
                <w:noProof/>
                <w:sz w:val="18"/>
                <w:szCs w:val="18"/>
              </w:rPr>
            </w:pPr>
            <w:r>
              <w:rPr>
                <w:b/>
                <w:caps/>
                <w:noProof/>
                <w:sz w:val="18"/>
                <w:szCs w:val="18"/>
              </w:rPr>
              <w:t>3</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B44884F" w14:textId="77777777" w:rsidR="000A7D9D" w:rsidRPr="00EC1412" w:rsidRDefault="000A7D9D" w:rsidP="00F31937">
            <w:pPr>
              <w:jc w:val="right"/>
              <w:rPr>
                <w:b/>
                <w:caps/>
                <w:noProof/>
                <w:sz w:val="18"/>
                <w:szCs w:val="18"/>
              </w:rPr>
            </w:pPr>
            <w:r>
              <w:rPr>
                <w:b/>
                <w:caps/>
                <w:noProof/>
                <w:sz w:val="18"/>
                <w:szCs w:val="18"/>
              </w:rPr>
              <w:t>4</w:t>
            </w:r>
          </w:p>
        </w:tc>
        <w:tc>
          <w:tcPr>
            <w:tcW w:w="426" w:type="dxa"/>
            <w:tcBorders>
              <w:top w:val="single" w:sz="4" w:space="0" w:color="auto"/>
              <w:left w:val="dotted" w:sz="4" w:space="0" w:color="auto"/>
              <w:bottom w:val="dotted" w:sz="4" w:space="0" w:color="auto"/>
              <w:right w:val="single" w:sz="4" w:space="0" w:color="auto"/>
            </w:tcBorders>
            <w:shd w:val="clear" w:color="auto" w:fill="FFF4CC"/>
          </w:tcPr>
          <w:p w14:paraId="6F2E3562" w14:textId="77777777" w:rsidR="000A7D9D" w:rsidRPr="00EC1412" w:rsidRDefault="000A7D9D" w:rsidP="00F31937">
            <w:pPr>
              <w:jc w:val="right"/>
              <w:rPr>
                <w:b/>
                <w:caps/>
                <w:noProof/>
                <w:sz w:val="18"/>
                <w:szCs w:val="18"/>
              </w:rPr>
            </w:pPr>
            <w:r>
              <w:rPr>
                <w:b/>
                <w:caps/>
                <w:noProof/>
                <w:sz w:val="18"/>
                <w:szCs w:val="18"/>
              </w:rPr>
              <w:t>3</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AC2E603" w14:textId="77777777" w:rsidR="000A7D9D" w:rsidRPr="00EC1412" w:rsidRDefault="000A7D9D" w:rsidP="00F31937">
            <w:pPr>
              <w:jc w:val="right"/>
              <w:rPr>
                <w:b/>
                <w:caps/>
                <w:noProof/>
                <w:sz w:val="18"/>
                <w:szCs w:val="18"/>
              </w:rPr>
            </w:pPr>
            <w:r>
              <w:rPr>
                <w:b/>
                <w:caps/>
                <w:noProof/>
                <w:sz w:val="18"/>
                <w:szCs w:val="18"/>
              </w:rPr>
              <w:t>4</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1FEF336" w14:textId="77777777" w:rsidR="000A7D9D" w:rsidRPr="00EC1412" w:rsidRDefault="000A7D9D" w:rsidP="00F31937">
            <w:pPr>
              <w:jc w:val="right"/>
              <w:rPr>
                <w:b/>
                <w:caps/>
                <w:noProof/>
                <w:sz w:val="18"/>
                <w:szCs w:val="18"/>
              </w:rPr>
            </w:pPr>
            <w:r>
              <w:rPr>
                <w:b/>
                <w:caps/>
                <w:noProof/>
                <w:sz w:val="18"/>
                <w:szCs w:val="18"/>
              </w:rPr>
              <w:t>3</w:t>
            </w:r>
          </w:p>
        </w:tc>
        <w:tc>
          <w:tcPr>
            <w:tcW w:w="567" w:type="dxa"/>
            <w:tcBorders>
              <w:top w:val="single" w:sz="4" w:space="0" w:color="auto"/>
              <w:left w:val="single" w:sz="4" w:space="0" w:color="auto"/>
              <w:bottom w:val="dotted" w:sz="4" w:space="0" w:color="auto"/>
              <w:right w:val="single" w:sz="4" w:space="0" w:color="auto"/>
            </w:tcBorders>
            <w:shd w:val="clear" w:color="auto" w:fill="FFF4CC"/>
          </w:tcPr>
          <w:p w14:paraId="2CC5043C" w14:textId="77777777" w:rsidR="000A7D9D" w:rsidRPr="00EC1412" w:rsidRDefault="000A7D9D" w:rsidP="00F31937">
            <w:pPr>
              <w:ind w:left="-108"/>
              <w:jc w:val="right"/>
              <w:rPr>
                <w:b/>
                <w:caps/>
                <w:noProof/>
                <w:sz w:val="18"/>
                <w:szCs w:val="18"/>
              </w:rPr>
            </w:pPr>
            <w:r>
              <w:rPr>
                <w:b/>
                <w:noProof/>
                <w:sz w:val="18"/>
                <w:szCs w:val="18"/>
              </w:rPr>
              <w:t>66</w:t>
            </w:r>
          </w:p>
        </w:tc>
        <w:tc>
          <w:tcPr>
            <w:tcW w:w="567" w:type="dxa"/>
            <w:tcBorders>
              <w:top w:val="single" w:sz="4" w:space="0" w:color="auto"/>
              <w:left w:val="single" w:sz="4" w:space="0" w:color="auto"/>
              <w:bottom w:val="dotted" w:sz="4" w:space="0" w:color="auto"/>
              <w:right w:val="single" w:sz="4" w:space="0" w:color="auto"/>
            </w:tcBorders>
            <w:shd w:val="clear" w:color="auto" w:fill="FFF4CC"/>
          </w:tcPr>
          <w:p w14:paraId="1D402C52" w14:textId="77777777" w:rsidR="000A7D9D" w:rsidRPr="00EC1412" w:rsidRDefault="000A7D9D" w:rsidP="00F31937">
            <w:pPr>
              <w:ind w:left="-104"/>
              <w:jc w:val="right"/>
              <w:rPr>
                <w:b/>
                <w:caps/>
                <w:noProof/>
                <w:sz w:val="18"/>
                <w:szCs w:val="18"/>
              </w:rPr>
            </w:pPr>
            <w:r>
              <w:rPr>
                <w:b/>
                <w:noProof/>
                <w:sz w:val="18"/>
                <w:szCs w:val="18"/>
              </w:rPr>
              <w:t>33</w:t>
            </w:r>
          </w:p>
        </w:tc>
        <w:tc>
          <w:tcPr>
            <w:tcW w:w="567" w:type="dxa"/>
            <w:tcBorders>
              <w:top w:val="single" w:sz="4" w:space="0" w:color="auto"/>
              <w:left w:val="single" w:sz="4" w:space="0" w:color="auto"/>
              <w:bottom w:val="dotted" w:sz="4" w:space="0" w:color="auto"/>
              <w:right w:val="single" w:sz="4" w:space="0" w:color="auto"/>
            </w:tcBorders>
            <w:shd w:val="clear" w:color="auto" w:fill="FFF4CC"/>
          </w:tcPr>
          <w:p w14:paraId="41F10AF3" w14:textId="77777777" w:rsidR="000A7D9D" w:rsidRPr="00EC1412" w:rsidRDefault="000A7D9D" w:rsidP="00F31937">
            <w:pPr>
              <w:jc w:val="right"/>
              <w:rPr>
                <w:b/>
                <w:caps/>
                <w:noProof/>
                <w:sz w:val="18"/>
                <w:szCs w:val="18"/>
              </w:rPr>
            </w:pPr>
            <w:r>
              <w:rPr>
                <w:b/>
                <w:noProof/>
                <w:sz w:val="18"/>
                <w:szCs w:val="18"/>
              </w:rPr>
              <w:t>33</w:t>
            </w:r>
          </w:p>
        </w:tc>
        <w:tc>
          <w:tcPr>
            <w:tcW w:w="567" w:type="dxa"/>
            <w:tcBorders>
              <w:top w:val="dotted" w:sz="4" w:space="0" w:color="auto"/>
              <w:left w:val="single" w:sz="4" w:space="0" w:color="auto"/>
              <w:bottom w:val="dotted" w:sz="4" w:space="0" w:color="auto"/>
            </w:tcBorders>
            <w:shd w:val="clear" w:color="auto" w:fill="FFF4CC"/>
          </w:tcPr>
          <w:p w14:paraId="573DD8DA" w14:textId="77777777" w:rsidR="000A7D9D" w:rsidRPr="00EC1412" w:rsidRDefault="000A7D9D" w:rsidP="00F31937">
            <w:pPr>
              <w:jc w:val="right"/>
              <w:rPr>
                <w:b/>
                <w:caps/>
                <w:noProof/>
                <w:sz w:val="18"/>
                <w:szCs w:val="18"/>
              </w:rPr>
            </w:pPr>
            <w:r>
              <w:rPr>
                <w:b/>
                <w:noProof/>
                <w:sz w:val="18"/>
                <w:szCs w:val="18"/>
              </w:rPr>
              <w:t>33</w:t>
            </w:r>
          </w:p>
        </w:tc>
      </w:tr>
      <w:tr w:rsidR="000A7D9D" w:rsidRPr="00EC1412" w14:paraId="2C7AC39F" w14:textId="77777777" w:rsidTr="00F31937">
        <w:trPr>
          <w:trHeight w:val="300"/>
        </w:trPr>
        <w:tc>
          <w:tcPr>
            <w:tcW w:w="3964" w:type="dxa"/>
            <w:tcBorders>
              <w:top w:val="dotted" w:sz="4" w:space="0" w:color="auto"/>
              <w:bottom w:val="single" w:sz="4" w:space="0" w:color="auto"/>
              <w:right w:val="single" w:sz="4" w:space="0" w:color="auto"/>
            </w:tcBorders>
            <w:shd w:val="clear" w:color="auto" w:fill="FFF4CC"/>
          </w:tcPr>
          <w:p w14:paraId="100529C9" w14:textId="77777777" w:rsidR="000A7D9D" w:rsidRPr="00EC1412" w:rsidRDefault="000A7D9D" w:rsidP="00F31937">
            <w:pPr>
              <w:jc w:val="both"/>
              <w:rPr>
                <w:noProof/>
                <w:sz w:val="18"/>
                <w:szCs w:val="18"/>
              </w:rPr>
            </w:pPr>
            <w:r w:rsidRPr="00EC1412">
              <w:rPr>
                <w:noProof/>
                <w:sz w:val="18"/>
                <w:szCs w:val="18"/>
              </w:rPr>
              <w:t xml:space="preserve">   RoHS </w:t>
            </w:r>
            <w:r>
              <w:rPr>
                <w:noProof/>
                <w:sz w:val="18"/>
                <w:szCs w:val="18"/>
              </w:rPr>
              <w:t>d</w:t>
            </w:r>
            <w:r w:rsidRPr="00EC1412">
              <w:rPr>
                <w:noProof/>
                <w:sz w:val="18"/>
                <w:szCs w:val="18"/>
              </w:rPr>
              <w:t xml:space="preserve">irective </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3120B64C" w14:textId="77777777" w:rsidR="000A7D9D" w:rsidRPr="00EC1412" w:rsidRDefault="000A7D9D" w:rsidP="00F31937">
            <w:pPr>
              <w:jc w:val="right"/>
              <w:rPr>
                <w:caps/>
                <w:noProof/>
                <w:sz w:val="18"/>
                <w:szCs w:val="18"/>
              </w:rPr>
            </w:pPr>
            <w:r w:rsidRPr="00EC1412">
              <w:rPr>
                <w:caps/>
                <w:noProof/>
                <w:sz w:val="18"/>
                <w:szCs w:val="18"/>
              </w:rPr>
              <w:t>3</w:t>
            </w:r>
          </w:p>
        </w:tc>
        <w:tc>
          <w:tcPr>
            <w:tcW w:w="426" w:type="dxa"/>
            <w:tcBorders>
              <w:top w:val="dotted" w:sz="4" w:space="0" w:color="auto"/>
              <w:left w:val="dotted" w:sz="4" w:space="0" w:color="auto"/>
              <w:bottom w:val="single" w:sz="4" w:space="0" w:color="auto"/>
              <w:right w:val="single" w:sz="4" w:space="0" w:color="auto"/>
            </w:tcBorders>
            <w:shd w:val="clear" w:color="auto" w:fill="FFF4CC"/>
          </w:tcPr>
          <w:p w14:paraId="4EFE56E1"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0E57C457" w14:textId="77777777" w:rsidR="000A7D9D" w:rsidRPr="00EC1412" w:rsidRDefault="000A7D9D" w:rsidP="00F31937">
            <w:pPr>
              <w:jc w:val="right"/>
              <w:rPr>
                <w:caps/>
                <w:noProof/>
                <w:sz w:val="18"/>
                <w:szCs w:val="18"/>
              </w:rPr>
            </w:pPr>
            <w:r>
              <w:rPr>
                <w:caps/>
                <w:noProof/>
                <w:sz w:val="18"/>
                <w:szCs w:val="18"/>
              </w:rPr>
              <w:t>4</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581405D6"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1330C07B" w14:textId="77777777" w:rsidR="000A7D9D" w:rsidRPr="00EC1412" w:rsidRDefault="000A7D9D" w:rsidP="00F31937">
            <w:pPr>
              <w:jc w:val="right"/>
              <w:rPr>
                <w:caps/>
                <w:noProof/>
                <w:sz w:val="18"/>
                <w:szCs w:val="18"/>
              </w:rPr>
            </w:pPr>
            <w:r>
              <w:rPr>
                <w:caps/>
                <w:noProof/>
                <w:sz w:val="18"/>
                <w:szCs w:val="18"/>
              </w:rPr>
              <w:t>4</w:t>
            </w:r>
          </w:p>
        </w:tc>
        <w:tc>
          <w:tcPr>
            <w:tcW w:w="426" w:type="dxa"/>
            <w:tcBorders>
              <w:top w:val="dotted" w:sz="4" w:space="0" w:color="auto"/>
              <w:left w:val="dotted" w:sz="4" w:space="0" w:color="auto"/>
              <w:bottom w:val="single" w:sz="4" w:space="0" w:color="auto"/>
              <w:right w:val="single" w:sz="4" w:space="0" w:color="auto"/>
            </w:tcBorders>
            <w:shd w:val="clear" w:color="auto" w:fill="FFF4CC"/>
          </w:tcPr>
          <w:p w14:paraId="5054EB13"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64CB212D" w14:textId="77777777" w:rsidR="000A7D9D" w:rsidRPr="00EC1412" w:rsidRDefault="000A7D9D" w:rsidP="00F31937">
            <w:pPr>
              <w:jc w:val="right"/>
              <w:rPr>
                <w:caps/>
                <w:noProof/>
                <w:sz w:val="18"/>
                <w:szCs w:val="18"/>
              </w:rPr>
            </w:pPr>
            <w:r>
              <w:rPr>
                <w:caps/>
                <w:noProof/>
                <w:sz w:val="18"/>
                <w:szCs w:val="18"/>
              </w:rPr>
              <w:t>4</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5FC49D0D" w14:textId="77777777" w:rsidR="000A7D9D" w:rsidRPr="00EC1412" w:rsidRDefault="000A7D9D" w:rsidP="00F31937">
            <w:pPr>
              <w:jc w:val="right"/>
              <w:rPr>
                <w:caps/>
                <w:noProof/>
                <w:sz w:val="18"/>
                <w:szCs w:val="18"/>
              </w:rPr>
            </w:pPr>
            <w:r>
              <w:rPr>
                <w:caps/>
                <w:noProof/>
                <w:sz w:val="18"/>
                <w:szCs w:val="18"/>
              </w:rPr>
              <w:t>3</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14C9F688" w14:textId="77777777" w:rsidR="000A7D9D" w:rsidRPr="00EC1412" w:rsidRDefault="000A7D9D" w:rsidP="00F31937">
            <w:pPr>
              <w:ind w:left="-108"/>
              <w:jc w:val="right"/>
              <w:rPr>
                <w:noProof/>
                <w:sz w:val="18"/>
                <w:szCs w:val="18"/>
              </w:rPr>
            </w:pPr>
            <w:r>
              <w:rPr>
                <w:noProof/>
                <w:sz w:val="18"/>
                <w:szCs w:val="18"/>
              </w:rPr>
              <w:t>66</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23038E15" w14:textId="77777777" w:rsidR="000A7D9D" w:rsidRPr="00EC1412" w:rsidRDefault="000A7D9D" w:rsidP="00F31937">
            <w:pPr>
              <w:ind w:left="-104"/>
              <w:jc w:val="right"/>
              <w:rPr>
                <w:noProof/>
                <w:sz w:val="18"/>
                <w:szCs w:val="18"/>
              </w:rPr>
            </w:pPr>
            <w:r>
              <w:rPr>
                <w:noProof/>
                <w:sz w:val="18"/>
                <w:szCs w:val="18"/>
              </w:rPr>
              <w:t>33</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5A6E8AD4" w14:textId="77777777" w:rsidR="000A7D9D" w:rsidRPr="00EC1412" w:rsidRDefault="000A7D9D" w:rsidP="00F31937">
            <w:pPr>
              <w:jc w:val="right"/>
              <w:rPr>
                <w:noProof/>
                <w:sz w:val="18"/>
                <w:szCs w:val="18"/>
              </w:rPr>
            </w:pPr>
            <w:r>
              <w:rPr>
                <w:noProof/>
                <w:sz w:val="18"/>
                <w:szCs w:val="18"/>
              </w:rPr>
              <w:t>33</w:t>
            </w:r>
          </w:p>
        </w:tc>
        <w:tc>
          <w:tcPr>
            <w:tcW w:w="567" w:type="dxa"/>
            <w:tcBorders>
              <w:top w:val="dotted" w:sz="4" w:space="0" w:color="auto"/>
              <w:left w:val="single" w:sz="4" w:space="0" w:color="auto"/>
              <w:bottom w:val="single" w:sz="4" w:space="0" w:color="auto"/>
            </w:tcBorders>
            <w:shd w:val="clear" w:color="auto" w:fill="FFF4CC"/>
          </w:tcPr>
          <w:p w14:paraId="5DD0C0A1" w14:textId="77777777" w:rsidR="000A7D9D" w:rsidRPr="00EC1412" w:rsidRDefault="000A7D9D" w:rsidP="00F31937">
            <w:pPr>
              <w:jc w:val="right"/>
              <w:rPr>
                <w:noProof/>
                <w:sz w:val="18"/>
                <w:szCs w:val="18"/>
              </w:rPr>
            </w:pPr>
            <w:r>
              <w:rPr>
                <w:noProof/>
                <w:sz w:val="18"/>
                <w:szCs w:val="18"/>
              </w:rPr>
              <w:t>33</w:t>
            </w:r>
          </w:p>
        </w:tc>
      </w:tr>
      <w:tr w:rsidR="000A7D9D" w:rsidRPr="00EC1412" w14:paraId="1AE2104C" w14:textId="77777777" w:rsidTr="00F31937">
        <w:trPr>
          <w:trHeight w:val="300"/>
        </w:trPr>
        <w:tc>
          <w:tcPr>
            <w:tcW w:w="3964" w:type="dxa"/>
            <w:tcBorders>
              <w:top w:val="single" w:sz="4" w:space="0" w:color="auto"/>
              <w:bottom w:val="dotted" w:sz="4" w:space="0" w:color="auto"/>
              <w:right w:val="single" w:sz="4" w:space="0" w:color="auto"/>
            </w:tcBorders>
            <w:shd w:val="clear" w:color="auto" w:fill="C1ECFF"/>
          </w:tcPr>
          <w:p w14:paraId="7CAF6A26" w14:textId="77777777" w:rsidR="000A7D9D" w:rsidRPr="00F071D5" w:rsidRDefault="000A7D9D" w:rsidP="00F31937">
            <w:pPr>
              <w:jc w:val="both"/>
              <w:rPr>
                <w:b/>
                <w:noProof/>
                <w:sz w:val="18"/>
                <w:szCs w:val="18"/>
              </w:rPr>
            </w:pPr>
            <w:r w:rsidRPr="00F071D5">
              <w:rPr>
                <w:b/>
                <w:noProof/>
                <w:sz w:val="18"/>
                <w:szCs w:val="18"/>
              </w:rPr>
              <w:t>Regulation on reattribution</w:t>
            </w:r>
          </w:p>
        </w:tc>
        <w:tc>
          <w:tcPr>
            <w:tcW w:w="425" w:type="dxa"/>
            <w:tcBorders>
              <w:top w:val="single" w:sz="4" w:space="0" w:color="auto"/>
              <w:left w:val="single" w:sz="4" w:space="0" w:color="auto"/>
              <w:bottom w:val="dotted" w:sz="4" w:space="0" w:color="auto"/>
              <w:right w:val="dotted" w:sz="4" w:space="0" w:color="auto"/>
            </w:tcBorders>
            <w:shd w:val="clear" w:color="auto" w:fill="C1ECFF"/>
          </w:tcPr>
          <w:p w14:paraId="70882744" w14:textId="77777777" w:rsidR="000A7D9D" w:rsidRPr="00F071D5" w:rsidRDefault="000A7D9D" w:rsidP="00F31937">
            <w:pPr>
              <w:jc w:val="right"/>
              <w:rPr>
                <w:b/>
                <w:caps/>
                <w:noProof/>
                <w:sz w:val="18"/>
                <w:szCs w:val="18"/>
              </w:rPr>
            </w:pPr>
            <w:r w:rsidRPr="00F071D5">
              <w:rPr>
                <w:b/>
                <w:caps/>
                <w:noProof/>
                <w:sz w:val="18"/>
                <w:szCs w:val="18"/>
              </w:rPr>
              <w:t>1</w:t>
            </w:r>
          </w:p>
        </w:tc>
        <w:tc>
          <w:tcPr>
            <w:tcW w:w="426" w:type="dxa"/>
            <w:tcBorders>
              <w:top w:val="single" w:sz="4" w:space="0" w:color="auto"/>
              <w:left w:val="dotted" w:sz="4" w:space="0" w:color="auto"/>
              <w:bottom w:val="dotted" w:sz="4" w:space="0" w:color="auto"/>
              <w:right w:val="single" w:sz="4" w:space="0" w:color="auto"/>
            </w:tcBorders>
            <w:shd w:val="clear" w:color="auto" w:fill="C1ECFF"/>
          </w:tcPr>
          <w:p w14:paraId="32575876" w14:textId="77777777" w:rsidR="000A7D9D" w:rsidRPr="00F071D5" w:rsidRDefault="000A7D9D" w:rsidP="00F31937">
            <w:pPr>
              <w:jc w:val="right"/>
              <w:rPr>
                <w:b/>
                <w:caps/>
                <w:noProof/>
                <w:sz w:val="18"/>
                <w:szCs w:val="18"/>
              </w:rPr>
            </w:pPr>
            <w:r w:rsidRPr="00F071D5">
              <w:rPr>
                <w:b/>
                <w:caps/>
                <w:noProof/>
                <w:sz w:val="18"/>
                <w:szCs w:val="18"/>
              </w:rPr>
              <w:t>0</w:t>
            </w:r>
          </w:p>
        </w:tc>
        <w:tc>
          <w:tcPr>
            <w:tcW w:w="425" w:type="dxa"/>
            <w:tcBorders>
              <w:top w:val="single" w:sz="4" w:space="0" w:color="auto"/>
              <w:left w:val="single" w:sz="4" w:space="0" w:color="auto"/>
              <w:bottom w:val="dotted" w:sz="4" w:space="0" w:color="auto"/>
              <w:right w:val="dotted" w:sz="4" w:space="0" w:color="auto"/>
            </w:tcBorders>
            <w:shd w:val="clear" w:color="auto" w:fill="C1ECFF"/>
          </w:tcPr>
          <w:p w14:paraId="5BE96AFA" w14:textId="77777777" w:rsidR="000A7D9D" w:rsidRPr="00F071D5" w:rsidRDefault="000A7D9D" w:rsidP="00F31937">
            <w:pPr>
              <w:jc w:val="right"/>
              <w:rPr>
                <w:b/>
                <w:caps/>
                <w:noProof/>
                <w:sz w:val="18"/>
                <w:szCs w:val="18"/>
              </w:rPr>
            </w:pPr>
            <w:r w:rsidRPr="00F071D5">
              <w:rPr>
                <w:b/>
                <w:caps/>
                <w:noProof/>
                <w:sz w:val="18"/>
                <w:szCs w:val="18"/>
              </w:rPr>
              <w:t>2</w:t>
            </w:r>
          </w:p>
        </w:tc>
        <w:tc>
          <w:tcPr>
            <w:tcW w:w="425" w:type="dxa"/>
            <w:tcBorders>
              <w:top w:val="single" w:sz="4" w:space="0" w:color="auto"/>
              <w:left w:val="dotted" w:sz="4" w:space="0" w:color="auto"/>
              <w:bottom w:val="dotted" w:sz="4" w:space="0" w:color="auto"/>
              <w:right w:val="single" w:sz="4" w:space="0" w:color="auto"/>
            </w:tcBorders>
            <w:shd w:val="clear" w:color="auto" w:fill="C1ECFF"/>
          </w:tcPr>
          <w:p w14:paraId="24B9D6EF" w14:textId="77777777" w:rsidR="000A7D9D" w:rsidRPr="00F071D5" w:rsidRDefault="000A7D9D" w:rsidP="00F31937">
            <w:pPr>
              <w:jc w:val="right"/>
              <w:rPr>
                <w:b/>
                <w:caps/>
                <w:noProof/>
                <w:sz w:val="18"/>
                <w:szCs w:val="18"/>
              </w:rPr>
            </w:pPr>
            <w:r w:rsidRPr="00F071D5">
              <w:rPr>
                <w:b/>
                <w:caps/>
                <w:noProof/>
                <w:sz w:val="18"/>
                <w:szCs w:val="18"/>
              </w:rPr>
              <w:t>0</w:t>
            </w:r>
          </w:p>
        </w:tc>
        <w:tc>
          <w:tcPr>
            <w:tcW w:w="425" w:type="dxa"/>
            <w:tcBorders>
              <w:top w:val="single" w:sz="4" w:space="0" w:color="auto"/>
              <w:left w:val="single" w:sz="4" w:space="0" w:color="auto"/>
              <w:bottom w:val="dotted" w:sz="4" w:space="0" w:color="auto"/>
              <w:right w:val="dotted" w:sz="4" w:space="0" w:color="auto"/>
            </w:tcBorders>
            <w:shd w:val="clear" w:color="auto" w:fill="C1ECFF"/>
          </w:tcPr>
          <w:p w14:paraId="087747B3" w14:textId="77777777" w:rsidR="000A7D9D" w:rsidRPr="00F071D5" w:rsidRDefault="000A7D9D" w:rsidP="00F31937">
            <w:pPr>
              <w:jc w:val="right"/>
              <w:rPr>
                <w:b/>
                <w:caps/>
                <w:noProof/>
                <w:sz w:val="18"/>
                <w:szCs w:val="18"/>
              </w:rPr>
            </w:pPr>
            <w:r w:rsidRPr="00F071D5">
              <w:rPr>
                <w:b/>
                <w:caps/>
                <w:noProof/>
                <w:sz w:val="18"/>
                <w:szCs w:val="18"/>
              </w:rPr>
              <w:t>2</w:t>
            </w:r>
          </w:p>
        </w:tc>
        <w:tc>
          <w:tcPr>
            <w:tcW w:w="426" w:type="dxa"/>
            <w:tcBorders>
              <w:top w:val="single" w:sz="4" w:space="0" w:color="auto"/>
              <w:left w:val="dotted" w:sz="4" w:space="0" w:color="auto"/>
              <w:bottom w:val="dotted" w:sz="4" w:space="0" w:color="auto"/>
              <w:right w:val="single" w:sz="4" w:space="0" w:color="auto"/>
            </w:tcBorders>
            <w:shd w:val="clear" w:color="auto" w:fill="C1ECFF"/>
          </w:tcPr>
          <w:p w14:paraId="63064C55" w14:textId="77777777" w:rsidR="000A7D9D" w:rsidRPr="00F071D5" w:rsidRDefault="000A7D9D" w:rsidP="00F31937">
            <w:pPr>
              <w:jc w:val="right"/>
              <w:rPr>
                <w:b/>
                <w:caps/>
                <w:noProof/>
                <w:sz w:val="18"/>
                <w:szCs w:val="18"/>
              </w:rPr>
            </w:pPr>
            <w:r w:rsidRPr="00F071D5">
              <w:rPr>
                <w:b/>
                <w:caps/>
                <w:noProof/>
                <w:sz w:val="18"/>
                <w:szCs w:val="18"/>
              </w:rPr>
              <w:t>0</w:t>
            </w:r>
          </w:p>
        </w:tc>
        <w:tc>
          <w:tcPr>
            <w:tcW w:w="425" w:type="dxa"/>
            <w:tcBorders>
              <w:top w:val="single" w:sz="4" w:space="0" w:color="auto"/>
              <w:left w:val="single" w:sz="4" w:space="0" w:color="auto"/>
              <w:bottom w:val="dotted" w:sz="4" w:space="0" w:color="auto"/>
              <w:right w:val="dotted" w:sz="4" w:space="0" w:color="auto"/>
            </w:tcBorders>
            <w:shd w:val="clear" w:color="auto" w:fill="C1ECFF"/>
          </w:tcPr>
          <w:p w14:paraId="03AB3C76" w14:textId="77777777" w:rsidR="000A7D9D" w:rsidRPr="00F071D5" w:rsidRDefault="000A7D9D" w:rsidP="00F31937">
            <w:pPr>
              <w:jc w:val="right"/>
              <w:rPr>
                <w:b/>
                <w:caps/>
                <w:noProof/>
                <w:sz w:val="18"/>
                <w:szCs w:val="18"/>
              </w:rPr>
            </w:pPr>
            <w:r w:rsidRPr="00F071D5">
              <w:rPr>
                <w:b/>
                <w:caps/>
                <w:noProof/>
                <w:sz w:val="18"/>
                <w:szCs w:val="18"/>
              </w:rPr>
              <w:t>2</w:t>
            </w:r>
          </w:p>
        </w:tc>
        <w:tc>
          <w:tcPr>
            <w:tcW w:w="425" w:type="dxa"/>
            <w:tcBorders>
              <w:top w:val="single" w:sz="4" w:space="0" w:color="auto"/>
              <w:left w:val="dotted" w:sz="4" w:space="0" w:color="auto"/>
              <w:bottom w:val="dotted" w:sz="4" w:space="0" w:color="auto"/>
              <w:right w:val="single" w:sz="4" w:space="0" w:color="auto"/>
            </w:tcBorders>
            <w:shd w:val="clear" w:color="auto" w:fill="C1ECFF"/>
          </w:tcPr>
          <w:p w14:paraId="5B3B3DB4" w14:textId="77777777" w:rsidR="000A7D9D" w:rsidRPr="00F071D5" w:rsidRDefault="000A7D9D" w:rsidP="00F31937">
            <w:pPr>
              <w:jc w:val="right"/>
              <w:rPr>
                <w:b/>
                <w:caps/>
                <w:noProof/>
                <w:sz w:val="18"/>
                <w:szCs w:val="18"/>
              </w:rPr>
            </w:pPr>
            <w:r w:rsidRPr="00F071D5">
              <w:rPr>
                <w:b/>
                <w:caps/>
                <w:noProof/>
                <w:sz w:val="18"/>
                <w:szCs w:val="18"/>
              </w:rPr>
              <w:t>0</w:t>
            </w:r>
          </w:p>
        </w:tc>
        <w:tc>
          <w:tcPr>
            <w:tcW w:w="567" w:type="dxa"/>
            <w:tcBorders>
              <w:top w:val="single" w:sz="4" w:space="0" w:color="auto"/>
              <w:left w:val="single" w:sz="4" w:space="0" w:color="auto"/>
              <w:bottom w:val="dotted" w:sz="4" w:space="0" w:color="auto"/>
              <w:right w:val="single" w:sz="4" w:space="0" w:color="auto"/>
            </w:tcBorders>
            <w:shd w:val="clear" w:color="auto" w:fill="C1ECFF"/>
          </w:tcPr>
          <w:p w14:paraId="0ABAFD22" w14:textId="77777777" w:rsidR="000A7D9D" w:rsidRPr="00F071D5" w:rsidRDefault="000A7D9D" w:rsidP="00F31937">
            <w:pPr>
              <w:ind w:left="-108"/>
              <w:jc w:val="right"/>
              <w:rPr>
                <w:b/>
                <w:noProof/>
                <w:sz w:val="18"/>
                <w:szCs w:val="18"/>
              </w:rPr>
            </w:pPr>
            <w:r w:rsidRPr="00F071D5">
              <w:rPr>
                <w:b/>
                <w:noProof/>
                <w:sz w:val="18"/>
                <w:szCs w:val="18"/>
              </w:rPr>
              <w:t>35</w:t>
            </w:r>
          </w:p>
        </w:tc>
        <w:tc>
          <w:tcPr>
            <w:tcW w:w="567" w:type="dxa"/>
            <w:tcBorders>
              <w:top w:val="single" w:sz="4" w:space="0" w:color="auto"/>
              <w:left w:val="single" w:sz="4" w:space="0" w:color="auto"/>
              <w:bottom w:val="dotted" w:sz="4" w:space="0" w:color="auto"/>
              <w:right w:val="single" w:sz="4" w:space="0" w:color="auto"/>
            </w:tcBorders>
            <w:shd w:val="clear" w:color="auto" w:fill="C1ECFF"/>
          </w:tcPr>
          <w:p w14:paraId="428DB38E" w14:textId="77777777" w:rsidR="000A7D9D" w:rsidRPr="00F071D5" w:rsidRDefault="000A7D9D" w:rsidP="00F31937">
            <w:pPr>
              <w:ind w:left="-104"/>
              <w:jc w:val="right"/>
              <w:rPr>
                <w:b/>
                <w:noProof/>
                <w:sz w:val="18"/>
                <w:szCs w:val="18"/>
              </w:rPr>
            </w:pPr>
            <w:r w:rsidRPr="00F071D5">
              <w:rPr>
                <w:b/>
                <w:noProof/>
                <w:sz w:val="18"/>
                <w:szCs w:val="18"/>
              </w:rPr>
              <w:t>50</w:t>
            </w:r>
          </w:p>
        </w:tc>
        <w:tc>
          <w:tcPr>
            <w:tcW w:w="567" w:type="dxa"/>
            <w:tcBorders>
              <w:top w:val="single" w:sz="4" w:space="0" w:color="auto"/>
              <w:left w:val="single" w:sz="4" w:space="0" w:color="auto"/>
              <w:bottom w:val="dotted" w:sz="4" w:space="0" w:color="auto"/>
              <w:right w:val="single" w:sz="4" w:space="0" w:color="auto"/>
            </w:tcBorders>
            <w:shd w:val="clear" w:color="auto" w:fill="C1ECFF"/>
          </w:tcPr>
          <w:p w14:paraId="512E1CE3" w14:textId="77777777" w:rsidR="000A7D9D" w:rsidRPr="00F071D5" w:rsidRDefault="000A7D9D" w:rsidP="00F31937">
            <w:pPr>
              <w:jc w:val="right"/>
              <w:rPr>
                <w:b/>
                <w:noProof/>
                <w:sz w:val="18"/>
                <w:szCs w:val="18"/>
              </w:rPr>
            </w:pPr>
            <w:r w:rsidRPr="00F071D5">
              <w:rPr>
                <w:b/>
                <w:noProof/>
                <w:sz w:val="18"/>
                <w:szCs w:val="18"/>
              </w:rPr>
              <w:t>50</w:t>
            </w:r>
          </w:p>
        </w:tc>
        <w:tc>
          <w:tcPr>
            <w:tcW w:w="567" w:type="dxa"/>
            <w:tcBorders>
              <w:top w:val="single" w:sz="4" w:space="0" w:color="auto"/>
              <w:left w:val="single" w:sz="4" w:space="0" w:color="auto"/>
              <w:bottom w:val="dotted" w:sz="4" w:space="0" w:color="auto"/>
            </w:tcBorders>
            <w:shd w:val="clear" w:color="auto" w:fill="C1ECFF"/>
          </w:tcPr>
          <w:p w14:paraId="7117032F" w14:textId="77777777" w:rsidR="000A7D9D" w:rsidRPr="00F071D5" w:rsidRDefault="000A7D9D" w:rsidP="00F31937">
            <w:pPr>
              <w:jc w:val="right"/>
              <w:rPr>
                <w:b/>
                <w:noProof/>
                <w:sz w:val="18"/>
                <w:szCs w:val="18"/>
              </w:rPr>
            </w:pPr>
            <w:r w:rsidRPr="00F071D5">
              <w:rPr>
                <w:b/>
                <w:noProof/>
                <w:sz w:val="18"/>
                <w:szCs w:val="18"/>
              </w:rPr>
              <w:t>50</w:t>
            </w:r>
          </w:p>
        </w:tc>
      </w:tr>
      <w:tr w:rsidR="000A7D9D" w:rsidRPr="00EC1412" w14:paraId="33837E95" w14:textId="77777777" w:rsidTr="00F31937">
        <w:trPr>
          <w:trHeight w:val="300"/>
        </w:trPr>
        <w:tc>
          <w:tcPr>
            <w:tcW w:w="3964" w:type="dxa"/>
            <w:tcBorders>
              <w:top w:val="dotted" w:sz="4" w:space="0" w:color="auto"/>
              <w:bottom w:val="dotted" w:sz="4" w:space="0" w:color="auto"/>
              <w:right w:val="single" w:sz="4" w:space="0" w:color="auto"/>
            </w:tcBorders>
            <w:shd w:val="clear" w:color="auto" w:fill="C1ECFF"/>
          </w:tcPr>
          <w:p w14:paraId="6D97EE93" w14:textId="77777777" w:rsidR="000A7D9D" w:rsidRPr="00EC1412" w:rsidRDefault="000A7D9D" w:rsidP="00F31937">
            <w:pPr>
              <w:jc w:val="both"/>
              <w:rPr>
                <w:caps/>
                <w:noProof/>
                <w:sz w:val="18"/>
                <w:szCs w:val="18"/>
              </w:rPr>
            </w:pPr>
            <w:r w:rsidRPr="00EC1412">
              <w:rPr>
                <w:noProof/>
                <w:sz w:val="18"/>
                <w:szCs w:val="18"/>
              </w:rPr>
              <w:t xml:space="preserve">   POPs regulation</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78A87BBA" w14:textId="77777777" w:rsidR="000A7D9D" w:rsidRPr="00EC1412" w:rsidRDefault="000A7D9D" w:rsidP="00F31937">
            <w:pPr>
              <w:jc w:val="right"/>
              <w:rPr>
                <w:caps/>
                <w:noProof/>
                <w:sz w:val="18"/>
                <w:szCs w:val="18"/>
              </w:rPr>
            </w:pPr>
            <w:r w:rsidRPr="00EC1412">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729F985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6FA5031F"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2875A64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44791942" w14:textId="77777777" w:rsidR="000A7D9D" w:rsidRPr="00EC1412" w:rsidRDefault="000A7D9D" w:rsidP="00F31937">
            <w:pPr>
              <w:jc w:val="right"/>
              <w:rPr>
                <w:caps/>
                <w:noProof/>
                <w:sz w:val="18"/>
                <w:szCs w:val="18"/>
              </w:rPr>
            </w:pPr>
            <w:r w:rsidRPr="00EC1412">
              <w:rPr>
                <w:caps/>
                <w:noProof/>
                <w:sz w:val="18"/>
                <w:szCs w:val="18"/>
              </w:rPr>
              <w:t>2</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74CAD18A"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23D58FCC"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52FA57E8"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690B2E1B" w14:textId="77777777" w:rsidR="000A7D9D" w:rsidRPr="00EC1412" w:rsidRDefault="000A7D9D" w:rsidP="00F31937">
            <w:pPr>
              <w:ind w:left="-108"/>
              <w:jc w:val="right"/>
              <w:rPr>
                <w:caps/>
                <w:noProof/>
                <w:sz w:val="18"/>
                <w:szCs w:val="18"/>
              </w:rPr>
            </w:pPr>
            <w:r>
              <w:rPr>
                <w:noProof/>
                <w:sz w:val="18"/>
                <w:szCs w:val="18"/>
              </w:rPr>
              <w:t>35</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6CF49EF1" w14:textId="77777777" w:rsidR="000A7D9D" w:rsidRPr="00EC1412" w:rsidRDefault="000A7D9D" w:rsidP="00F31937">
            <w:pPr>
              <w:ind w:left="-104"/>
              <w:jc w:val="right"/>
              <w:rPr>
                <w:caps/>
                <w:noProof/>
                <w:sz w:val="18"/>
                <w:szCs w:val="18"/>
              </w:rPr>
            </w:pPr>
            <w:r>
              <w:rPr>
                <w:noProof/>
                <w:sz w:val="18"/>
                <w:szCs w:val="18"/>
              </w:rPr>
              <w:t>50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7F827B48" w14:textId="77777777" w:rsidR="000A7D9D" w:rsidRPr="00EC1412" w:rsidRDefault="000A7D9D" w:rsidP="00F31937">
            <w:pPr>
              <w:jc w:val="right"/>
              <w:rPr>
                <w:caps/>
                <w:noProof/>
                <w:sz w:val="18"/>
                <w:szCs w:val="18"/>
              </w:rPr>
            </w:pPr>
            <w:r>
              <w:rPr>
                <w:noProof/>
                <w:sz w:val="18"/>
                <w:szCs w:val="18"/>
              </w:rPr>
              <w:t>50</w:t>
            </w:r>
          </w:p>
        </w:tc>
        <w:tc>
          <w:tcPr>
            <w:tcW w:w="567" w:type="dxa"/>
            <w:tcBorders>
              <w:top w:val="dotted" w:sz="4" w:space="0" w:color="auto"/>
              <w:left w:val="single" w:sz="4" w:space="0" w:color="auto"/>
              <w:bottom w:val="dotted" w:sz="4" w:space="0" w:color="auto"/>
            </w:tcBorders>
            <w:shd w:val="clear" w:color="auto" w:fill="C1ECFF"/>
          </w:tcPr>
          <w:p w14:paraId="4BC0838C" w14:textId="77777777" w:rsidR="000A7D9D" w:rsidRPr="00EC1412" w:rsidRDefault="000A7D9D" w:rsidP="00F31937">
            <w:pPr>
              <w:jc w:val="right"/>
              <w:rPr>
                <w:caps/>
                <w:noProof/>
                <w:sz w:val="18"/>
                <w:szCs w:val="18"/>
              </w:rPr>
            </w:pPr>
            <w:r>
              <w:rPr>
                <w:noProof/>
                <w:sz w:val="18"/>
                <w:szCs w:val="18"/>
              </w:rPr>
              <w:t>50</w:t>
            </w:r>
          </w:p>
        </w:tc>
      </w:tr>
      <w:tr w:rsidR="000A7D9D" w:rsidRPr="00EC1412" w14:paraId="71E4C5CE" w14:textId="77777777" w:rsidTr="00F31937">
        <w:trPr>
          <w:trHeight w:val="300"/>
        </w:trPr>
        <w:tc>
          <w:tcPr>
            <w:tcW w:w="3964" w:type="dxa"/>
            <w:tcBorders>
              <w:top w:val="dotted" w:sz="4" w:space="0" w:color="auto"/>
              <w:bottom w:val="dotted" w:sz="4" w:space="0" w:color="auto"/>
              <w:right w:val="single" w:sz="4" w:space="0" w:color="auto"/>
            </w:tcBorders>
            <w:shd w:val="clear" w:color="auto" w:fill="C1ECFF"/>
          </w:tcPr>
          <w:p w14:paraId="569BE31C" w14:textId="77777777" w:rsidR="000A7D9D" w:rsidRPr="00EC1412" w:rsidRDefault="000A7D9D" w:rsidP="00F31937">
            <w:pPr>
              <w:jc w:val="both"/>
              <w:rPr>
                <w:caps/>
                <w:noProof/>
                <w:sz w:val="18"/>
                <w:szCs w:val="18"/>
              </w:rPr>
            </w:pPr>
            <w:r w:rsidRPr="00EC1412">
              <w:rPr>
                <w:noProof/>
                <w:sz w:val="18"/>
                <w:szCs w:val="18"/>
              </w:rPr>
              <w:t xml:space="preserve">   Medical devices regulation</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35647FDD"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6B8A2131"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2D2841D3"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7C71FA37"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3B990385"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7828E2C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538FCCFF"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4EB8262E"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099DA0DC"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7F30CBD8" w14:textId="77777777" w:rsidR="000A7D9D" w:rsidRPr="00EC1412" w:rsidRDefault="000A7D9D" w:rsidP="00F31937">
            <w:pPr>
              <w:ind w:left="-104"/>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0E0918F4"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C1ECFF"/>
          </w:tcPr>
          <w:p w14:paraId="0E0F094F" w14:textId="77777777" w:rsidR="000A7D9D" w:rsidRPr="00EC1412" w:rsidRDefault="000A7D9D" w:rsidP="00F31937">
            <w:pPr>
              <w:jc w:val="right"/>
              <w:rPr>
                <w:caps/>
                <w:noProof/>
                <w:sz w:val="18"/>
                <w:szCs w:val="18"/>
              </w:rPr>
            </w:pPr>
            <w:r>
              <w:rPr>
                <w:noProof/>
                <w:sz w:val="18"/>
                <w:szCs w:val="18"/>
              </w:rPr>
              <w:t>0</w:t>
            </w:r>
          </w:p>
        </w:tc>
      </w:tr>
      <w:tr w:rsidR="000A7D9D" w:rsidRPr="00EC1412" w14:paraId="3792B9DB" w14:textId="77777777" w:rsidTr="00F31937">
        <w:trPr>
          <w:trHeight w:val="300"/>
        </w:trPr>
        <w:tc>
          <w:tcPr>
            <w:tcW w:w="3964" w:type="dxa"/>
            <w:tcBorders>
              <w:top w:val="dotted" w:sz="4" w:space="0" w:color="auto"/>
              <w:bottom w:val="dotted" w:sz="4" w:space="0" w:color="auto"/>
              <w:right w:val="single" w:sz="4" w:space="0" w:color="auto"/>
            </w:tcBorders>
            <w:shd w:val="clear" w:color="auto" w:fill="C1ECFF"/>
          </w:tcPr>
          <w:p w14:paraId="7085732F" w14:textId="77777777" w:rsidR="000A7D9D" w:rsidRPr="00EC1412" w:rsidRDefault="000A7D9D" w:rsidP="00F31937">
            <w:pPr>
              <w:jc w:val="both"/>
              <w:rPr>
                <w:caps/>
                <w:noProof/>
                <w:sz w:val="18"/>
                <w:szCs w:val="18"/>
              </w:rPr>
            </w:pPr>
            <w:r w:rsidRPr="00EC1412">
              <w:rPr>
                <w:noProof/>
                <w:sz w:val="18"/>
                <w:szCs w:val="18"/>
              </w:rPr>
              <w:t xml:space="preserve">   EEA founding regulation</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4AA0BBF3"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13572615"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115CAE13"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2B8EDC74"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22AC27E8"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4183B9F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7582D60E"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375ACB4D"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31361853"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034FE958" w14:textId="77777777" w:rsidR="000A7D9D" w:rsidRPr="00EC1412" w:rsidRDefault="000A7D9D" w:rsidP="00F31937">
            <w:pPr>
              <w:ind w:left="-104"/>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2BB7897F"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C1ECFF"/>
          </w:tcPr>
          <w:p w14:paraId="3B228D47" w14:textId="77777777" w:rsidR="000A7D9D" w:rsidRPr="00EC1412" w:rsidRDefault="000A7D9D" w:rsidP="00F31937">
            <w:pPr>
              <w:jc w:val="right"/>
              <w:rPr>
                <w:caps/>
                <w:noProof/>
                <w:sz w:val="18"/>
                <w:szCs w:val="18"/>
              </w:rPr>
            </w:pPr>
            <w:r>
              <w:rPr>
                <w:noProof/>
                <w:sz w:val="18"/>
                <w:szCs w:val="18"/>
              </w:rPr>
              <w:t>0</w:t>
            </w:r>
          </w:p>
        </w:tc>
      </w:tr>
      <w:tr w:rsidR="000A7D9D" w:rsidRPr="00EC1412" w14:paraId="0CB560D5" w14:textId="77777777" w:rsidTr="00F31937">
        <w:trPr>
          <w:trHeight w:val="300"/>
        </w:trPr>
        <w:tc>
          <w:tcPr>
            <w:tcW w:w="3964" w:type="dxa"/>
            <w:tcBorders>
              <w:top w:val="dotted" w:sz="4" w:space="0" w:color="auto"/>
              <w:bottom w:val="single" w:sz="4" w:space="0" w:color="auto"/>
              <w:right w:val="single" w:sz="4" w:space="0" w:color="auto"/>
            </w:tcBorders>
            <w:shd w:val="clear" w:color="auto" w:fill="C1ECFF"/>
          </w:tcPr>
          <w:p w14:paraId="12F0D0F7" w14:textId="77777777" w:rsidR="000A7D9D" w:rsidRPr="00EC1412" w:rsidRDefault="000A7D9D" w:rsidP="00F31937">
            <w:pPr>
              <w:jc w:val="both"/>
              <w:rPr>
                <w:caps/>
                <w:noProof/>
                <w:sz w:val="18"/>
                <w:szCs w:val="18"/>
              </w:rPr>
            </w:pPr>
            <w:r w:rsidRPr="00EC1412">
              <w:rPr>
                <w:noProof/>
                <w:sz w:val="18"/>
                <w:szCs w:val="18"/>
              </w:rPr>
              <w:t xml:space="preserve">   General Food Law</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3B8D555E"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single" w:sz="4" w:space="0" w:color="auto"/>
              <w:right w:val="single" w:sz="4" w:space="0" w:color="auto"/>
            </w:tcBorders>
            <w:shd w:val="clear" w:color="auto" w:fill="C1ECFF"/>
          </w:tcPr>
          <w:p w14:paraId="3810D57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78DAC3D2"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7B973DF4"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7430C4C8"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single" w:sz="4" w:space="0" w:color="auto"/>
              <w:right w:val="single" w:sz="4" w:space="0" w:color="auto"/>
            </w:tcBorders>
            <w:shd w:val="clear" w:color="auto" w:fill="C1ECFF"/>
          </w:tcPr>
          <w:p w14:paraId="0DFA1256"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4D9E3373"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4928A42F"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372F7E02"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3401F1E3" w14:textId="77777777" w:rsidR="000A7D9D" w:rsidRPr="00EC1412" w:rsidRDefault="000A7D9D" w:rsidP="00F31937">
            <w:pPr>
              <w:ind w:left="-104"/>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49A95F2A"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tcBorders>
            <w:shd w:val="clear" w:color="auto" w:fill="C1ECFF"/>
          </w:tcPr>
          <w:p w14:paraId="01B4B5F6" w14:textId="77777777" w:rsidR="000A7D9D" w:rsidRPr="00EC1412" w:rsidRDefault="000A7D9D" w:rsidP="00F31937">
            <w:pPr>
              <w:jc w:val="right"/>
              <w:rPr>
                <w:caps/>
                <w:noProof/>
                <w:sz w:val="18"/>
                <w:szCs w:val="18"/>
              </w:rPr>
            </w:pPr>
            <w:r>
              <w:rPr>
                <w:noProof/>
                <w:sz w:val="18"/>
                <w:szCs w:val="18"/>
              </w:rPr>
              <w:t>0</w:t>
            </w:r>
          </w:p>
        </w:tc>
      </w:tr>
      <w:tr w:rsidR="000A7D9D" w:rsidRPr="00EC1412" w14:paraId="1DA19141" w14:textId="77777777" w:rsidTr="00F31937">
        <w:trPr>
          <w:trHeight w:val="300"/>
        </w:trPr>
        <w:tc>
          <w:tcPr>
            <w:tcW w:w="3964" w:type="dxa"/>
            <w:tcBorders>
              <w:top w:val="single" w:sz="4" w:space="0" w:color="auto"/>
              <w:bottom w:val="dotted" w:sz="4" w:space="0" w:color="auto"/>
              <w:right w:val="single" w:sz="4" w:space="0" w:color="auto"/>
            </w:tcBorders>
            <w:shd w:val="clear" w:color="auto" w:fill="FFF4CC"/>
          </w:tcPr>
          <w:p w14:paraId="25508348" w14:textId="77777777" w:rsidR="000A7D9D" w:rsidRPr="00EC1412" w:rsidRDefault="000A7D9D" w:rsidP="00F31937">
            <w:pPr>
              <w:jc w:val="both"/>
              <w:rPr>
                <w:b/>
                <w:caps/>
                <w:noProof/>
                <w:sz w:val="18"/>
                <w:szCs w:val="18"/>
              </w:rPr>
            </w:pPr>
            <w:r w:rsidRPr="00EC1412">
              <w:rPr>
                <w:b/>
                <w:noProof/>
                <w:sz w:val="18"/>
                <w:szCs w:val="18"/>
              </w:rPr>
              <w:t>Regulation on chemical</w:t>
            </w:r>
            <w:r>
              <w:rPr>
                <w:b/>
                <w:noProof/>
                <w:sz w:val="18"/>
                <w:szCs w:val="18"/>
              </w:rPr>
              <w:t>s</w:t>
            </w:r>
            <w:r w:rsidRPr="00EC1412">
              <w:rPr>
                <w:b/>
                <w:noProof/>
                <w:sz w:val="18"/>
                <w:szCs w:val="18"/>
              </w:rPr>
              <w:t xml:space="preserve"> </w:t>
            </w:r>
            <w:r>
              <w:rPr>
                <w:b/>
                <w:noProof/>
                <w:sz w:val="18"/>
                <w:szCs w:val="18"/>
              </w:rPr>
              <w:t>data</w:t>
            </w:r>
          </w:p>
        </w:tc>
        <w:tc>
          <w:tcPr>
            <w:tcW w:w="425" w:type="dxa"/>
            <w:tcBorders>
              <w:top w:val="single" w:sz="4" w:space="0" w:color="auto"/>
              <w:left w:val="single" w:sz="4" w:space="0" w:color="auto"/>
              <w:bottom w:val="dotted" w:sz="4" w:space="0" w:color="auto"/>
              <w:right w:val="dotted" w:sz="4" w:space="0" w:color="auto"/>
            </w:tcBorders>
            <w:shd w:val="clear" w:color="auto" w:fill="FFF4CC"/>
          </w:tcPr>
          <w:p w14:paraId="1CC91899" w14:textId="77777777" w:rsidR="000A7D9D" w:rsidRPr="00EC1412" w:rsidRDefault="000A7D9D" w:rsidP="00F31937">
            <w:pPr>
              <w:jc w:val="right"/>
              <w:rPr>
                <w:b/>
                <w:caps/>
                <w:noProof/>
                <w:sz w:val="18"/>
                <w:szCs w:val="18"/>
              </w:rPr>
            </w:pPr>
            <w:r>
              <w:rPr>
                <w:b/>
                <w:caps/>
                <w:noProof/>
                <w:sz w:val="18"/>
                <w:szCs w:val="18"/>
              </w:rPr>
              <w:t>10</w:t>
            </w:r>
          </w:p>
        </w:tc>
        <w:tc>
          <w:tcPr>
            <w:tcW w:w="426" w:type="dxa"/>
            <w:tcBorders>
              <w:top w:val="single" w:sz="4" w:space="0" w:color="auto"/>
              <w:left w:val="dotted" w:sz="4" w:space="0" w:color="auto"/>
              <w:bottom w:val="dotted" w:sz="4" w:space="0" w:color="auto"/>
              <w:right w:val="single" w:sz="4" w:space="0" w:color="auto"/>
            </w:tcBorders>
            <w:shd w:val="clear" w:color="auto" w:fill="FFF4CC"/>
          </w:tcPr>
          <w:p w14:paraId="69C159B1" w14:textId="77777777" w:rsidR="000A7D9D" w:rsidRPr="00EC1412" w:rsidRDefault="000A7D9D" w:rsidP="00F31937">
            <w:pPr>
              <w:jc w:val="right"/>
              <w:rPr>
                <w:b/>
                <w:caps/>
                <w:noProof/>
                <w:sz w:val="18"/>
                <w:szCs w:val="18"/>
              </w:rPr>
            </w:pPr>
            <w:r>
              <w:rPr>
                <w:b/>
                <w:caps/>
                <w:noProof/>
                <w:sz w:val="18"/>
                <w:szCs w:val="18"/>
              </w:rPr>
              <w:t>18</w:t>
            </w:r>
          </w:p>
        </w:tc>
        <w:tc>
          <w:tcPr>
            <w:tcW w:w="425" w:type="dxa"/>
            <w:tcBorders>
              <w:top w:val="single" w:sz="4" w:space="0" w:color="auto"/>
              <w:left w:val="single" w:sz="4" w:space="0" w:color="auto"/>
              <w:bottom w:val="dotted" w:sz="4" w:space="0" w:color="auto"/>
              <w:right w:val="dotted" w:sz="4" w:space="0" w:color="auto"/>
            </w:tcBorders>
            <w:shd w:val="clear" w:color="auto" w:fill="FFF4CC"/>
          </w:tcPr>
          <w:p w14:paraId="399AD506" w14:textId="77777777" w:rsidR="000A7D9D" w:rsidRPr="00EC1412" w:rsidRDefault="000A7D9D" w:rsidP="00F31937">
            <w:pPr>
              <w:jc w:val="right"/>
              <w:rPr>
                <w:b/>
                <w:caps/>
                <w:noProof/>
                <w:sz w:val="18"/>
                <w:szCs w:val="18"/>
              </w:rPr>
            </w:pPr>
            <w:r>
              <w:rPr>
                <w:b/>
                <w:caps/>
                <w:noProof/>
                <w:sz w:val="18"/>
                <w:szCs w:val="18"/>
              </w:rPr>
              <w:t>12</w:t>
            </w:r>
          </w:p>
        </w:tc>
        <w:tc>
          <w:tcPr>
            <w:tcW w:w="425" w:type="dxa"/>
            <w:tcBorders>
              <w:top w:val="single" w:sz="4" w:space="0" w:color="auto"/>
              <w:left w:val="dotted" w:sz="4" w:space="0" w:color="auto"/>
              <w:bottom w:val="dotted" w:sz="4" w:space="0" w:color="auto"/>
              <w:right w:val="single" w:sz="4" w:space="0" w:color="auto"/>
            </w:tcBorders>
            <w:shd w:val="clear" w:color="auto" w:fill="FFF4CC"/>
          </w:tcPr>
          <w:p w14:paraId="03EB10C3" w14:textId="77777777" w:rsidR="000A7D9D" w:rsidRPr="00EC1412" w:rsidRDefault="000A7D9D" w:rsidP="00F31937">
            <w:pPr>
              <w:jc w:val="right"/>
              <w:rPr>
                <w:b/>
                <w:caps/>
                <w:noProof/>
                <w:sz w:val="18"/>
                <w:szCs w:val="18"/>
              </w:rPr>
            </w:pPr>
            <w:r>
              <w:rPr>
                <w:b/>
                <w:caps/>
                <w:noProof/>
                <w:sz w:val="18"/>
                <w:szCs w:val="18"/>
              </w:rPr>
              <w:t>20</w:t>
            </w:r>
          </w:p>
        </w:tc>
        <w:tc>
          <w:tcPr>
            <w:tcW w:w="425" w:type="dxa"/>
            <w:tcBorders>
              <w:top w:val="single" w:sz="4" w:space="0" w:color="auto"/>
              <w:left w:val="single" w:sz="4" w:space="0" w:color="auto"/>
              <w:bottom w:val="dotted" w:sz="4" w:space="0" w:color="auto"/>
              <w:right w:val="dotted" w:sz="4" w:space="0" w:color="auto"/>
            </w:tcBorders>
            <w:shd w:val="clear" w:color="auto" w:fill="FFF4CC"/>
          </w:tcPr>
          <w:p w14:paraId="6BEECA8D" w14:textId="77777777" w:rsidR="000A7D9D" w:rsidRPr="00EC1412" w:rsidRDefault="000A7D9D" w:rsidP="00F31937">
            <w:pPr>
              <w:jc w:val="right"/>
              <w:rPr>
                <w:b/>
                <w:caps/>
                <w:noProof/>
                <w:sz w:val="18"/>
                <w:szCs w:val="18"/>
              </w:rPr>
            </w:pPr>
            <w:r>
              <w:rPr>
                <w:b/>
                <w:caps/>
                <w:noProof/>
                <w:sz w:val="18"/>
                <w:szCs w:val="18"/>
              </w:rPr>
              <w:t>12</w:t>
            </w:r>
          </w:p>
        </w:tc>
        <w:tc>
          <w:tcPr>
            <w:tcW w:w="426" w:type="dxa"/>
            <w:tcBorders>
              <w:top w:val="single" w:sz="4" w:space="0" w:color="auto"/>
              <w:left w:val="dotted" w:sz="4" w:space="0" w:color="auto"/>
              <w:bottom w:val="dotted" w:sz="4" w:space="0" w:color="auto"/>
              <w:right w:val="single" w:sz="4" w:space="0" w:color="auto"/>
            </w:tcBorders>
            <w:shd w:val="clear" w:color="auto" w:fill="FFF4CC"/>
          </w:tcPr>
          <w:p w14:paraId="42DD6887" w14:textId="77777777" w:rsidR="000A7D9D" w:rsidRPr="00EC1412" w:rsidRDefault="000A7D9D" w:rsidP="00F31937">
            <w:pPr>
              <w:jc w:val="right"/>
              <w:rPr>
                <w:b/>
                <w:caps/>
                <w:noProof/>
                <w:sz w:val="18"/>
                <w:szCs w:val="18"/>
              </w:rPr>
            </w:pPr>
            <w:r>
              <w:rPr>
                <w:b/>
                <w:caps/>
                <w:noProof/>
                <w:sz w:val="18"/>
                <w:szCs w:val="18"/>
              </w:rPr>
              <w:t>20</w:t>
            </w:r>
          </w:p>
        </w:tc>
        <w:tc>
          <w:tcPr>
            <w:tcW w:w="425" w:type="dxa"/>
            <w:tcBorders>
              <w:top w:val="single" w:sz="4" w:space="0" w:color="auto"/>
              <w:left w:val="single" w:sz="4" w:space="0" w:color="auto"/>
              <w:bottom w:val="dotted" w:sz="4" w:space="0" w:color="auto"/>
              <w:right w:val="dotted" w:sz="4" w:space="0" w:color="auto"/>
            </w:tcBorders>
            <w:shd w:val="clear" w:color="auto" w:fill="FFF4CC"/>
          </w:tcPr>
          <w:p w14:paraId="42FFCCB3" w14:textId="77777777" w:rsidR="000A7D9D" w:rsidRPr="00EC1412" w:rsidRDefault="000A7D9D" w:rsidP="00F31937">
            <w:pPr>
              <w:jc w:val="right"/>
              <w:rPr>
                <w:b/>
                <w:caps/>
                <w:noProof/>
                <w:sz w:val="18"/>
                <w:szCs w:val="18"/>
              </w:rPr>
            </w:pPr>
            <w:r>
              <w:rPr>
                <w:b/>
                <w:caps/>
                <w:noProof/>
                <w:sz w:val="18"/>
                <w:szCs w:val="18"/>
              </w:rPr>
              <w:t>12</w:t>
            </w:r>
          </w:p>
        </w:tc>
        <w:tc>
          <w:tcPr>
            <w:tcW w:w="425" w:type="dxa"/>
            <w:tcBorders>
              <w:top w:val="single" w:sz="4" w:space="0" w:color="auto"/>
              <w:left w:val="dotted" w:sz="4" w:space="0" w:color="auto"/>
              <w:bottom w:val="dotted" w:sz="4" w:space="0" w:color="auto"/>
              <w:right w:val="single" w:sz="4" w:space="0" w:color="auto"/>
            </w:tcBorders>
            <w:shd w:val="clear" w:color="auto" w:fill="FFF4CC"/>
          </w:tcPr>
          <w:p w14:paraId="6A5CB7B5" w14:textId="77777777" w:rsidR="000A7D9D" w:rsidRPr="00EC1412" w:rsidRDefault="000A7D9D" w:rsidP="00F31937">
            <w:pPr>
              <w:jc w:val="right"/>
              <w:rPr>
                <w:b/>
                <w:caps/>
                <w:noProof/>
                <w:sz w:val="18"/>
                <w:szCs w:val="18"/>
              </w:rPr>
            </w:pPr>
            <w:r>
              <w:rPr>
                <w:b/>
                <w:caps/>
                <w:noProof/>
                <w:sz w:val="18"/>
                <w:szCs w:val="18"/>
              </w:rPr>
              <w:t>8</w:t>
            </w:r>
          </w:p>
        </w:tc>
        <w:tc>
          <w:tcPr>
            <w:tcW w:w="567" w:type="dxa"/>
            <w:tcBorders>
              <w:top w:val="single" w:sz="4" w:space="0" w:color="auto"/>
              <w:left w:val="single" w:sz="4" w:space="0" w:color="auto"/>
              <w:bottom w:val="dotted" w:sz="4" w:space="0" w:color="auto"/>
              <w:right w:val="single" w:sz="4" w:space="0" w:color="auto"/>
            </w:tcBorders>
            <w:shd w:val="clear" w:color="auto" w:fill="FFF4CC"/>
          </w:tcPr>
          <w:p w14:paraId="02007BF1" w14:textId="77777777" w:rsidR="000A7D9D" w:rsidRPr="00EC1412" w:rsidRDefault="000A7D9D" w:rsidP="00F31937">
            <w:pPr>
              <w:ind w:left="-108"/>
              <w:jc w:val="right"/>
              <w:rPr>
                <w:b/>
                <w:caps/>
                <w:noProof/>
                <w:sz w:val="18"/>
                <w:szCs w:val="18"/>
              </w:rPr>
            </w:pPr>
            <w:r>
              <w:rPr>
                <w:b/>
                <w:caps/>
                <w:noProof/>
                <w:sz w:val="18"/>
                <w:szCs w:val="18"/>
              </w:rPr>
              <w:t>950</w:t>
            </w:r>
          </w:p>
        </w:tc>
        <w:tc>
          <w:tcPr>
            <w:tcW w:w="567" w:type="dxa"/>
            <w:tcBorders>
              <w:top w:val="single" w:sz="4" w:space="0" w:color="auto"/>
              <w:left w:val="single" w:sz="4" w:space="0" w:color="auto"/>
              <w:bottom w:val="dotted" w:sz="4" w:space="0" w:color="auto"/>
              <w:right w:val="single" w:sz="4" w:space="0" w:color="auto"/>
            </w:tcBorders>
            <w:shd w:val="clear" w:color="auto" w:fill="FFF4CC"/>
          </w:tcPr>
          <w:p w14:paraId="679F7037" w14:textId="77777777" w:rsidR="000A7D9D" w:rsidRPr="00EC1412" w:rsidRDefault="000A7D9D" w:rsidP="00F31937">
            <w:pPr>
              <w:ind w:left="-104"/>
              <w:jc w:val="right"/>
              <w:rPr>
                <w:b/>
                <w:caps/>
                <w:noProof/>
                <w:sz w:val="18"/>
                <w:szCs w:val="18"/>
              </w:rPr>
            </w:pPr>
            <w:r>
              <w:rPr>
                <w:b/>
                <w:caps/>
                <w:noProof/>
                <w:sz w:val="18"/>
                <w:szCs w:val="18"/>
              </w:rPr>
              <w:t>6 792</w:t>
            </w:r>
          </w:p>
        </w:tc>
        <w:tc>
          <w:tcPr>
            <w:tcW w:w="567" w:type="dxa"/>
            <w:tcBorders>
              <w:top w:val="single" w:sz="4" w:space="0" w:color="auto"/>
              <w:left w:val="single" w:sz="4" w:space="0" w:color="auto"/>
              <w:bottom w:val="dotted" w:sz="4" w:space="0" w:color="auto"/>
              <w:right w:val="single" w:sz="4" w:space="0" w:color="auto"/>
            </w:tcBorders>
            <w:shd w:val="clear" w:color="auto" w:fill="FFF4CC"/>
          </w:tcPr>
          <w:p w14:paraId="6AA0D981" w14:textId="77777777" w:rsidR="000A7D9D" w:rsidRPr="00EC1412" w:rsidRDefault="000A7D9D" w:rsidP="00F31937">
            <w:pPr>
              <w:ind w:left="-113"/>
              <w:jc w:val="right"/>
              <w:rPr>
                <w:b/>
                <w:caps/>
                <w:noProof/>
                <w:sz w:val="18"/>
                <w:szCs w:val="18"/>
              </w:rPr>
            </w:pPr>
            <w:r>
              <w:rPr>
                <w:b/>
                <w:caps/>
                <w:noProof/>
                <w:sz w:val="18"/>
                <w:szCs w:val="18"/>
              </w:rPr>
              <w:t>8 657</w:t>
            </w:r>
          </w:p>
        </w:tc>
        <w:tc>
          <w:tcPr>
            <w:tcW w:w="567" w:type="dxa"/>
            <w:tcBorders>
              <w:top w:val="single" w:sz="4" w:space="0" w:color="auto"/>
              <w:left w:val="single" w:sz="4" w:space="0" w:color="auto"/>
              <w:bottom w:val="dotted" w:sz="4" w:space="0" w:color="auto"/>
            </w:tcBorders>
            <w:shd w:val="clear" w:color="auto" w:fill="FFF4CC"/>
          </w:tcPr>
          <w:p w14:paraId="37C50D72" w14:textId="77777777" w:rsidR="000A7D9D" w:rsidRPr="00EC1412" w:rsidRDefault="000A7D9D" w:rsidP="00F31937">
            <w:pPr>
              <w:ind w:left="-119"/>
              <w:jc w:val="right"/>
              <w:rPr>
                <w:b/>
                <w:caps/>
                <w:noProof/>
                <w:sz w:val="18"/>
                <w:szCs w:val="18"/>
              </w:rPr>
            </w:pPr>
            <w:r>
              <w:rPr>
                <w:b/>
                <w:caps/>
                <w:noProof/>
                <w:sz w:val="18"/>
                <w:szCs w:val="18"/>
              </w:rPr>
              <w:t>7 080</w:t>
            </w:r>
          </w:p>
        </w:tc>
      </w:tr>
      <w:tr w:rsidR="000A7D9D" w:rsidRPr="00EC1412" w14:paraId="289C0824" w14:textId="77777777" w:rsidTr="00F31937">
        <w:trPr>
          <w:trHeight w:val="300"/>
        </w:trPr>
        <w:tc>
          <w:tcPr>
            <w:tcW w:w="3964" w:type="dxa"/>
            <w:tcBorders>
              <w:top w:val="dotted" w:sz="4" w:space="0" w:color="auto"/>
              <w:bottom w:val="dotted" w:sz="4" w:space="0" w:color="auto"/>
              <w:right w:val="single" w:sz="4" w:space="0" w:color="auto"/>
            </w:tcBorders>
            <w:shd w:val="clear" w:color="auto" w:fill="FFF4CC"/>
          </w:tcPr>
          <w:p w14:paraId="5A4E1EFD" w14:textId="77777777" w:rsidR="000A7D9D" w:rsidRPr="00EC1412" w:rsidRDefault="000A7D9D" w:rsidP="00F31937">
            <w:pPr>
              <w:rPr>
                <w:b/>
                <w:bCs/>
                <w:noProof/>
                <w:sz w:val="18"/>
                <w:szCs w:val="18"/>
              </w:rPr>
            </w:pPr>
            <w:r w:rsidRPr="2D69C30E">
              <w:rPr>
                <w:noProof/>
                <w:sz w:val="18"/>
                <w:szCs w:val="18"/>
              </w:rPr>
              <w:t xml:space="preserve">   Common data platform </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207A87B" w14:textId="77777777" w:rsidR="000A7D9D" w:rsidRPr="00EC1412" w:rsidRDefault="000A7D9D" w:rsidP="00F31937">
            <w:pPr>
              <w:jc w:val="right"/>
              <w:rPr>
                <w:caps/>
                <w:noProof/>
                <w:sz w:val="18"/>
                <w:szCs w:val="18"/>
              </w:rPr>
            </w:pPr>
            <w:r>
              <w:rPr>
                <w:caps/>
                <w:noProof/>
                <w:sz w:val="18"/>
                <w:szCs w:val="18"/>
              </w:rPr>
              <w:t>5</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7AD71E9E" w14:textId="77777777" w:rsidR="000A7D9D" w:rsidRPr="00EC1412" w:rsidRDefault="000A7D9D" w:rsidP="00F31937">
            <w:pPr>
              <w:jc w:val="right"/>
              <w:rPr>
                <w:caps/>
                <w:noProof/>
                <w:sz w:val="18"/>
                <w:szCs w:val="18"/>
              </w:rPr>
            </w:pPr>
            <w:r>
              <w:rPr>
                <w:caps/>
                <w:noProof/>
                <w:sz w:val="18"/>
                <w:szCs w:val="18"/>
              </w:rPr>
              <w:t>16</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9BE8C7D" w14:textId="77777777" w:rsidR="000A7D9D" w:rsidRPr="00EC1412" w:rsidRDefault="000A7D9D" w:rsidP="00F31937">
            <w:pPr>
              <w:jc w:val="right"/>
              <w:rPr>
                <w:caps/>
                <w:noProof/>
                <w:sz w:val="18"/>
                <w:szCs w:val="18"/>
              </w:rPr>
            </w:pPr>
            <w:r>
              <w:rPr>
                <w:caps/>
                <w:noProof/>
                <w:sz w:val="18"/>
                <w:szCs w:val="18"/>
              </w:rPr>
              <w:t>5</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E204FFC" w14:textId="77777777" w:rsidR="000A7D9D" w:rsidRPr="00EC1412" w:rsidRDefault="000A7D9D" w:rsidP="00F31937">
            <w:pPr>
              <w:jc w:val="right"/>
              <w:rPr>
                <w:caps/>
                <w:noProof/>
                <w:sz w:val="18"/>
                <w:szCs w:val="18"/>
              </w:rPr>
            </w:pPr>
            <w:r>
              <w:rPr>
                <w:caps/>
                <w:noProof/>
                <w:sz w:val="18"/>
                <w:szCs w:val="18"/>
              </w:rPr>
              <w:t>16</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8A92F59" w14:textId="77777777" w:rsidR="000A7D9D" w:rsidRPr="00EC1412" w:rsidRDefault="000A7D9D" w:rsidP="00F31937">
            <w:pPr>
              <w:jc w:val="right"/>
              <w:rPr>
                <w:caps/>
                <w:noProof/>
                <w:sz w:val="18"/>
                <w:szCs w:val="18"/>
              </w:rPr>
            </w:pPr>
            <w:r>
              <w:rPr>
                <w:caps/>
                <w:noProof/>
                <w:sz w:val="18"/>
                <w:szCs w:val="18"/>
              </w:rPr>
              <w:t>5</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5D8A10AB" w14:textId="77777777" w:rsidR="000A7D9D" w:rsidRPr="00EC1412" w:rsidRDefault="000A7D9D" w:rsidP="00F31937">
            <w:pPr>
              <w:jc w:val="right"/>
              <w:rPr>
                <w:caps/>
                <w:noProof/>
                <w:sz w:val="18"/>
                <w:szCs w:val="18"/>
              </w:rPr>
            </w:pPr>
            <w:r>
              <w:rPr>
                <w:caps/>
                <w:noProof/>
                <w:sz w:val="18"/>
                <w:szCs w:val="18"/>
              </w:rPr>
              <w:t>16</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4AE57D3" w14:textId="77777777" w:rsidR="000A7D9D" w:rsidRPr="00EC1412" w:rsidRDefault="000A7D9D" w:rsidP="00F31937">
            <w:pPr>
              <w:jc w:val="right"/>
              <w:rPr>
                <w:caps/>
                <w:noProof/>
                <w:sz w:val="18"/>
                <w:szCs w:val="18"/>
              </w:rPr>
            </w:pPr>
            <w:r>
              <w:rPr>
                <w:caps/>
                <w:noProof/>
                <w:sz w:val="18"/>
                <w:szCs w:val="18"/>
              </w:rPr>
              <w:t>5</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F6BFC1C" w14:textId="77777777" w:rsidR="000A7D9D" w:rsidRPr="00EC1412" w:rsidRDefault="000A7D9D" w:rsidP="00F31937">
            <w:pPr>
              <w:jc w:val="right"/>
              <w:rPr>
                <w:caps/>
                <w:noProof/>
                <w:sz w:val="18"/>
                <w:szCs w:val="18"/>
              </w:rPr>
            </w:pPr>
            <w:r>
              <w:rPr>
                <w:caps/>
                <w:noProof/>
                <w:sz w:val="18"/>
                <w:szCs w:val="18"/>
              </w:rPr>
              <w:t>4</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6CB3C2CB" w14:textId="77777777" w:rsidR="000A7D9D" w:rsidRPr="00EC1412" w:rsidRDefault="000A7D9D" w:rsidP="00F31937">
            <w:pPr>
              <w:ind w:left="-108"/>
              <w:jc w:val="right"/>
              <w:rPr>
                <w:caps/>
                <w:noProof/>
                <w:sz w:val="18"/>
                <w:szCs w:val="18"/>
              </w:rPr>
            </w:pPr>
            <w:r>
              <w:rPr>
                <w:noProof/>
                <w:sz w:val="18"/>
                <w:szCs w:val="18"/>
              </w:rPr>
              <w:t>950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744D311" w14:textId="77777777" w:rsidR="000A7D9D" w:rsidRPr="00EC1412" w:rsidRDefault="000A7D9D" w:rsidP="00F31937">
            <w:pPr>
              <w:ind w:left="-104"/>
              <w:jc w:val="right"/>
              <w:rPr>
                <w:caps/>
                <w:noProof/>
                <w:sz w:val="18"/>
                <w:szCs w:val="18"/>
              </w:rPr>
            </w:pPr>
            <w:r>
              <w:rPr>
                <w:noProof/>
                <w:sz w:val="18"/>
                <w:szCs w:val="18"/>
              </w:rPr>
              <w:t>3 442</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36620D9D" w14:textId="77777777" w:rsidR="000A7D9D" w:rsidRPr="00EC1412" w:rsidRDefault="000A7D9D" w:rsidP="00F31937">
            <w:pPr>
              <w:ind w:left="-113"/>
              <w:jc w:val="right"/>
              <w:rPr>
                <w:caps/>
                <w:noProof/>
                <w:sz w:val="18"/>
                <w:szCs w:val="18"/>
              </w:rPr>
            </w:pPr>
            <w:r>
              <w:rPr>
                <w:noProof/>
                <w:sz w:val="18"/>
                <w:szCs w:val="18"/>
              </w:rPr>
              <w:t>4 077</w:t>
            </w:r>
          </w:p>
        </w:tc>
        <w:tc>
          <w:tcPr>
            <w:tcW w:w="567" w:type="dxa"/>
            <w:tcBorders>
              <w:top w:val="dotted" w:sz="4" w:space="0" w:color="auto"/>
              <w:left w:val="single" w:sz="4" w:space="0" w:color="auto"/>
              <w:bottom w:val="dotted" w:sz="4" w:space="0" w:color="auto"/>
            </w:tcBorders>
            <w:shd w:val="clear" w:color="auto" w:fill="FFF4CC"/>
          </w:tcPr>
          <w:p w14:paraId="6AB12317" w14:textId="77777777" w:rsidR="000A7D9D" w:rsidRPr="00EC1412" w:rsidRDefault="000A7D9D" w:rsidP="00F31937">
            <w:pPr>
              <w:ind w:left="-119"/>
              <w:jc w:val="right"/>
              <w:rPr>
                <w:caps/>
                <w:noProof/>
                <w:sz w:val="18"/>
                <w:szCs w:val="18"/>
              </w:rPr>
            </w:pPr>
            <w:r w:rsidRPr="00EC1412">
              <w:rPr>
                <w:noProof/>
                <w:sz w:val="18"/>
                <w:szCs w:val="18"/>
              </w:rPr>
              <w:t>1</w:t>
            </w:r>
            <w:r>
              <w:rPr>
                <w:noProof/>
                <w:sz w:val="18"/>
                <w:szCs w:val="18"/>
              </w:rPr>
              <w:t xml:space="preserve"> </w:t>
            </w:r>
            <w:r w:rsidRPr="00EC1412">
              <w:rPr>
                <w:noProof/>
                <w:sz w:val="18"/>
                <w:szCs w:val="18"/>
              </w:rPr>
              <w:t>300</w:t>
            </w:r>
          </w:p>
        </w:tc>
      </w:tr>
      <w:tr w:rsidR="000A7D9D" w:rsidRPr="00EC1412" w14:paraId="082D1B3D" w14:textId="77777777" w:rsidTr="00F31937">
        <w:trPr>
          <w:trHeight w:val="300"/>
        </w:trPr>
        <w:tc>
          <w:tcPr>
            <w:tcW w:w="3964" w:type="dxa"/>
            <w:tcBorders>
              <w:top w:val="dotted" w:sz="4" w:space="0" w:color="auto"/>
              <w:bottom w:val="dotted" w:sz="4" w:space="0" w:color="auto"/>
              <w:right w:val="single" w:sz="4" w:space="0" w:color="auto"/>
            </w:tcBorders>
            <w:shd w:val="clear" w:color="auto" w:fill="FFF4CC"/>
          </w:tcPr>
          <w:p w14:paraId="04F11E4E" w14:textId="77777777" w:rsidR="000A7D9D" w:rsidRPr="00EC1412" w:rsidRDefault="000A7D9D" w:rsidP="00F31937">
            <w:pPr>
              <w:rPr>
                <w:b/>
                <w:bCs/>
                <w:noProof/>
                <w:sz w:val="18"/>
                <w:szCs w:val="18"/>
              </w:rPr>
            </w:pPr>
            <w:r w:rsidRPr="2D69C30E">
              <w:rPr>
                <w:noProof/>
                <w:sz w:val="18"/>
                <w:szCs w:val="18"/>
              </w:rPr>
              <w:t xml:space="preserve">   Information Platform for Chemical Monitoring</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12445EB"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579B08F5"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1B38EDE"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07CE21F"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1FB8253" w14:textId="77777777" w:rsidR="000A7D9D" w:rsidRPr="00EC1412" w:rsidRDefault="000A7D9D" w:rsidP="00F31937">
            <w:pPr>
              <w:jc w:val="right"/>
              <w:rPr>
                <w:caps/>
                <w:noProof/>
                <w:sz w:val="18"/>
                <w:szCs w:val="18"/>
              </w:rPr>
            </w:pPr>
            <w:r>
              <w:rPr>
                <w:caps/>
                <w:noProof/>
                <w:sz w:val="18"/>
                <w:szCs w:val="18"/>
              </w:rPr>
              <w:t>2</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48C3736F"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D303588"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D824B78" w14:textId="77777777" w:rsidR="000A7D9D" w:rsidRPr="00EC1412" w:rsidRDefault="000A7D9D" w:rsidP="00F31937">
            <w:pPr>
              <w:jc w:val="right"/>
              <w:rPr>
                <w:caps/>
                <w:noProof/>
                <w:sz w:val="18"/>
                <w:szCs w:val="18"/>
              </w:rPr>
            </w:pPr>
            <w:r>
              <w:rPr>
                <w:caps/>
                <w:noProof/>
                <w:sz w:val="18"/>
                <w:szCs w:val="18"/>
              </w:rPr>
              <w:t>1</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A9602C0"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7F45684" w14:textId="77777777" w:rsidR="000A7D9D" w:rsidRPr="00EC1412" w:rsidRDefault="000A7D9D" w:rsidP="00F31937">
            <w:pPr>
              <w:ind w:left="-104"/>
              <w:jc w:val="right"/>
              <w:rPr>
                <w:caps/>
                <w:noProof/>
                <w:sz w:val="18"/>
                <w:szCs w:val="18"/>
              </w:rPr>
            </w:pPr>
            <w:r>
              <w:rPr>
                <w:noProof/>
                <w:sz w:val="18"/>
                <w:szCs w:val="18"/>
              </w:rPr>
              <w:t>200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3A7ECD5" w14:textId="77777777" w:rsidR="000A7D9D" w:rsidRPr="00EC1412" w:rsidRDefault="000A7D9D" w:rsidP="00F31937">
            <w:pPr>
              <w:ind w:left="-113"/>
              <w:jc w:val="right"/>
              <w:rPr>
                <w:caps/>
                <w:noProof/>
                <w:sz w:val="18"/>
                <w:szCs w:val="18"/>
              </w:rPr>
            </w:pPr>
            <w:r>
              <w:rPr>
                <w:noProof/>
                <w:sz w:val="18"/>
                <w:szCs w:val="18"/>
              </w:rPr>
              <w:t>380</w:t>
            </w:r>
          </w:p>
        </w:tc>
        <w:tc>
          <w:tcPr>
            <w:tcW w:w="567" w:type="dxa"/>
            <w:tcBorders>
              <w:top w:val="dotted" w:sz="4" w:space="0" w:color="auto"/>
              <w:left w:val="single" w:sz="4" w:space="0" w:color="auto"/>
              <w:bottom w:val="dotted" w:sz="4" w:space="0" w:color="auto"/>
            </w:tcBorders>
            <w:shd w:val="clear" w:color="auto" w:fill="FFF4CC"/>
          </w:tcPr>
          <w:p w14:paraId="5C3569EA" w14:textId="77777777" w:rsidR="000A7D9D" w:rsidRPr="00EC1412" w:rsidRDefault="000A7D9D" w:rsidP="00F31937">
            <w:pPr>
              <w:ind w:left="-119"/>
              <w:jc w:val="right"/>
              <w:rPr>
                <w:caps/>
                <w:noProof/>
                <w:sz w:val="18"/>
                <w:szCs w:val="18"/>
              </w:rPr>
            </w:pPr>
            <w:r>
              <w:rPr>
                <w:noProof/>
                <w:sz w:val="18"/>
                <w:szCs w:val="18"/>
              </w:rPr>
              <w:t>230</w:t>
            </w:r>
          </w:p>
        </w:tc>
      </w:tr>
      <w:tr w:rsidR="000A7D9D" w:rsidRPr="00EC1412" w14:paraId="4B655C97" w14:textId="77777777" w:rsidTr="00F31937">
        <w:trPr>
          <w:trHeight w:val="300"/>
        </w:trPr>
        <w:tc>
          <w:tcPr>
            <w:tcW w:w="3964" w:type="dxa"/>
            <w:tcBorders>
              <w:top w:val="dotted" w:sz="4" w:space="0" w:color="auto"/>
              <w:bottom w:val="dotted" w:sz="4" w:space="0" w:color="auto"/>
              <w:right w:val="single" w:sz="4" w:space="0" w:color="auto"/>
            </w:tcBorders>
            <w:shd w:val="clear" w:color="auto" w:fill="FFF4CC"/>
          </w:tcPr>
          <w:p w14:paraId="457AB5D9" w14:textId="77777777" w:rsidR="000A7D9D" w:rsidRPr="00EC1412" w:rsidRDefault="000A7D9D" w:rsidP="00F31937">
            <w:pPr>
              <w:rPr>
                <w:b/>
                <w:bCs/>
                <w:noProof/>
                <w:sz w:val="18"/>
                <w:szCs w:val="18"/>
              </w:rPr>
            </w:pPr>
            <w:r w:rsidRPr="2D69C30E">
              <w:rPr>
                <w:caps/>
                <w:noProof/>
                <w:sz w:val="18"/>
                <w:szCs w:val="18"/>
              </w:rPr>
              <w:t xml:space="preserve">   </w:t>
            </w:r>
            <w:r w:rsidRPr="000C037C">
              <w:rPr>
                <w:noProof/>
                <w:sz w:val="18"/>
                <w:szCs w:val="18"/>
              </w:rPr>
              <w:t xml:space="preserve">Information on regulatory processes on chemicals </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F9F12A3"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649AB1A8"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D9E6DF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1ECB6A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128FBEA"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2C551D85"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85A452A"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A1C51E6"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B7E9EC6"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39DF0F0" w14:textId="77777777" w:rsidR="000A7D9D" w:rsidRPr="00EC1412" w:rsidRDefault="000A7D9D" w:rsidP="00F31937">
            <w:pPr>
              <w:ind w:left="-104"/>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6D310D50" w14:textId="77777777" w:rsidR="000A7D9D" w:rsidRPr="00EC1412" w:rsidRDefault="000A7D9D" w:rsidP="00F31937">
            <w:pPr>
              <w:ind w:left="-113"/>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0DD8A602" w14:textId="77777777" w:rsidR="000A7D9D" w:rsidRPr="00EC1412" w:rsidRDefault="000A7D9D" w:rsidP="00F31937">
            <w:pPr>
              <w:ind w:left="-119"/>
              <w:jc w:val="right"/>
              <w:rPr>
                <w:caps/>
                <w:noProof/>
                <w:sz w:val="18"/>
                <w:szCs w:val="18"/>
              </w:rPr>
            </w:pPr>
            <w:r>
              <w:rPr>
                <w:noProof/>
                <w:sz w:val="18"/>
                <w:szCs w:val="18"/>
              </w:rPr>
              <w:t>0</w:t>
            </w:r>
          </w:p>
        </w:tc>
      </w:tr>
      <w:tr w:rsidR="000A7D9D" w:rsidRPr="00EC1412" w14:paraId="28E5A26E" w14:textId="77777777" w:rsidTr="00F31937">
        <w:trPr>
          <w:trHeight w:val="300"/>
        </w:trPr>
        <w:tc>
          <w:tcPr>
            <w:tcW w:w="3964" w:type="dxa"/>
            <w:tcBorders>
              <w:top w:val="dotted" w:sz="4" w:space="0" w:color="auto"/>
              <w:bottom w:val="dotted" w:sz="4" w:space="0" w:color="auto"/>
              <w:right w:val="single" w:sz="4" w:space="0" w:color="auto"/>
            </w:tcBorders>
            <w:shd w:val="clear" w:color="auto" w:fill="FFF4CC"/>
          </w:tcPr>
          <w:p w14:paraId="0A9DD9BC" w14:textId="77777777" w:rsidR="000A7D9D" w:rsidRPr="00EC1412" w:rsidRDefault="000A7D9D" w:rsidP="00F31937">
            <w:pPr>
              <w:rPr>
                <w:b/>
                <w:bCs/>
                <w:noProof/>
                <w:sz w:val="18"/>
                <w:szCs w:val="18"/>
              </w:rPr>
            </w:pPr>
            <w:r w:rsidRPr="2D69C30E">
              <w:rPr>
                <w:noProof/>
                <w:sz w:val="18"/>
                <w:szCs w:val="18"/>
              </w:rPr>
              <w:t xml:space="preserve">   Repository of reference values </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4B6C2B5"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5258898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9A19A00"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79DB92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8D608FB"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062354E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47D2C50"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2119BF59"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73CE7B57"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35EB9C8" w14:textId="77777777" w:rsidR="000A7D9D" w:rsidRPr="00EC1412" w:rsidRDefault="000A7D9D" w:rsidP="00F31937">
            <w:pPr>
              <w:ind w:left="-104"/>
              <w:jc w:val="right"/>
              <w:rPr>
                <w:caps/>
                <w:noProof/>
                <w:sz w:val="18"/>
                <w:szCs w:val="18"/>
              </w:rPr>
            </w:pPr>
            <w:r>
              <w:rPr>
                <w:noProof/>
                <w:sz w:val="18"/>
                <w:szCs w:val="18"/>
              </w:rPr>
              <w:t>650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740A0D30" w14:textId="77777777" w:rsidR="000A7D9D" w:rsidRPr="00EC1412" w:rsidRDefault="000A7D9D" w:rsidP="00F31937">
            <w:pPr>
              <w:ind w:left="-113"/>
              <w:jc w:val="right"/>
              <w:rPr>
                <w:caps/>
                <w:noProof/>
                <w:sz w:val="18"/>
                <w:szCs w:val="18"/>
              </w:rPr>
            </w:pPr>
            <w:r>
              <w:rPr>
                <w:noProof/>
                <w:sz w:val="18"/>
                <w:szCs w:val="18"/>
              </w:rPr>
              <w:t>650</w:t>
            </w:r>
          </w:p>
        </w:tc>
        <w:tc>
          <w:tcPr>
            <w:tcW w:w="567" w:type="dxa"/>
            <w:tcBorders>
              <w:top w:val="dotted" w:sz="4" w:space="0" w:color="auto"/>
              <w:left w:val="single" w:sz="4" w:space="0" w:color="auto"/>
              <w:bottom w:val="dotted" w:sz="4" w:space="0" w:color="auto"/>
            </w:tcBorders>
            <w:shd w:val="clear" w:color="auto" w:fill="FFF4CC"/>
          </w:tcPr>
          <w:p w14:paraId="40A8DAFB" w14:textId="77777777" w:rsidR="000A7D9D" w:rsidRPr="00EC1412" w:rsidRDefault="000A7D9D" w:rsidP="00F31937">
            <w:pPr>
              <w:ind w:left="-119"/>
              <w:jc w:val="right"/>
              <w:rPr>
                <w:caps/>
                <w:noProof/>
                <w:sz w:val="18"/>
                <w:szCs w:val="18"/>
              </w:rPr>
            </w:pPr>
            <w:r>
              <w:rPr>
                <w:noProof/>
                <w:sz w:val="18"/>
                <w:szCs w:val="18"/>
              </w:rPr>
              <w:t>200</w:t>
            </w:r>
          </w:p>
        </w:tc>
      </w:tr>
      <w:tr w:rsidR="000A7D9D" w:rsidRPr="00EC1412" w14:paraId="3811027D" w14:textId="77777777" w:rsidTr="00F31937">
        <w:trPr>
          <w:trHeight w:val="300"/>
        </w:trPr>
        <w:tc>
          <w:tcPr>
            <w:tcW w:w="3964" w:type="dxa"/>
            <w:tcBorders>
              <w:top w:val="dotted" w:sz="4" w:space="0" w:color="auto"/>
              <w:bottom w:val="dotted" w:sz="4" w:space="0" w:color="auto"/>
              <w:right w:val="single" w:sz="4" w:space="0" w:color="auto"/>
            </w:tcBorders>
            <w:shd w:val="clear" w:color="auto" w:fill="FFF4CC"/>
          </w:tcPr>
          <w:p w14:paraId="0C95283C" w14:textId="77777777" w:rsidR="000A7D9D" w:rsidRPr="00EC1412" w:rsidRDefault="000A7D9D" w:rsidP="00F31937">
            <w:pPr>
              <w:ind w:left="142"/>
              <w:rPr>
                <w:b/>
                <w:bCs/>
                <w:noProof/>
                <w:sz w:val="18"/>
                <w:szCs w:val="18"/>
              </w:rPr>
            </w:pPr>
            <w:r w:rsidRPr="2D69C30E">
              <w:rPr>
                <w:noProof/>
                <w:sz w:val="18"/>
                <w:szCs w:val="18"/>
              </w:rPr>
              <w:t xml:space="preserve">Information on the obligations under Union acts on chemicals </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1354A35"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046CA6E1"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74AAE2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706D7CA"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C915C3E"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3F8C73AA"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A3E22FE"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CD122C6"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E2FB7C2"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17A95F4D" w14:textId="77777777" w:rsidR="000A7D9D" w:rsidRPr="00EC1412" w:rsidRDefault="000A7D9D" w:rsidP="00F31937">
            <w:pPr>
              <w:ind w:left="-104"/>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7B9CDEF" w14:textId="77777777" w:rsidR="000A7D9D" w:rsidRPr="00EC1412" w:rsidRDefault="000A7D9D" w:rsidP="00F31937">
            <w:pPr>
              <w:ind w:left="-113"/>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0E1E362D" w14:textId="77777777" w:rsidR="000A7D9D" w:rsidRPr="00EC1412" w:rsidRDefault="000A7D9D" w:rsidP="00F31937">
            <w:pPr>
              <w:ind w:left="-119"/>
              <w:jc w:val="right"/>
              <w:rPr>
                <w:caps/>
                <w:noProof/>
                <w:sz w:val="18"/>
                <w:szCs w:val="18"/>
              </w:rPr>
            </w:pPr>
            <w:r>
              <w:rPr>
                <w:noProof/>
                <w:sz w:val="18"/>
                <w:szCs w:val="18"/>
              </w:rPr>
              <w:t>0</w:t>
            </w:r>
          </w:p>
        </w:tc>
      </w:tr>
      <w:tr w:rsidR="000A7D9D" w:rsidRPr="00EC1412" w14:paraId="638413E3" w14:textId="77777777" w:rsidTr="00F31937">
        <w:trPr>
          <w:trHeight w:val="300"/>
        </w:trPr>
        <w:tc>
          <w:tcPr>
            <w:tcW w:w="3964" w:type="dxa"/>
            <w:tcBorders>
              <w:top w:val="dotted" w:sz="4" w:space="0" w:color="auto"/>
              <w:bottom w:val="dotted" w:sz="4" w:space="0" w:color="auto"/>
              <w:right w:val="single" w:sz="4" w:space="0" w:color="auto"/>
            </w:tcBorders>
            <w:shd w:val="clear" w:color="auto" w:fill="FFF4CC"/>
          </w:tcPr>
          <w:p w14:paraId="7F993A57" w14:textId="77777777" w:rsidR="000A7D9D" w:rsidRPr="00EC1412" w:rsidRDefault="000A7D9D" w:rsidP="00F31937">
            <w:pPr>
              <w:ind w:left="142"/>
              <w:rPr>
                <w:noProof/>
                <w:sz w:val="18"/>
                <w:szCs w:val="18"/>
              </w:rPr>
            </w:pPr>
            <w:r w:rsidRPr="2D69C30E">
              <w:rPr>
                <w:noProof/>
                <w:sz w:val="18"/>
                <w:szCs w:val="18"/>
              </w:rPr>
              <w:t>Environmental sustainability related data on chemicals</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4602001"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66B89EB4"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3AD3F26"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85C73E4"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4DD6B88F"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417331C5"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B493B03"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369EA3C"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14BDB49" w14:textId="77777777" w:rsidR="000A7D9D" w:rsidRPr="00EC1412" w:rsidRDefault="000A7D9D" w:rsidP="00F31937">
            <w:pPr>
              <w:ind w:left="-108"/>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6628510A" w14:textId="77777777" w:rsidR="000A7D9D" w:rsidRPr="00EC1412" w:rsidRDefault="000A7D9D" w:rsidP="00F31937">
            <w:pPr>
              <w:ind w:left="-104"/>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33B9DE73" w14:textId="77777777" w:rsidR="000A7D9D" w:rsidRPr="00EC1412" w:rsidRDefault="000A7D9D" w:rsidP="00F31937">
            <w:pPr>
              <w:ind w:left="-113"/>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7C97B83E"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3E79DCC4" w14:textId="77777777" w:rsidTr="00F31937">
        <w:trPr>
          <w:trHeight w:val="300"/>
        </w:trPr>
        <w:tc>
          <w:tcPr>
            <w:tcW w:w="3964" w:type="dxa"/>
            <w:tcBorders>
              <w:top w:val="dotted" w:sz="4" w:space="0" w:color="auto"/>
              <w:bottom w:val="dotted" w:sz="4" w:space="0" w:color="auto"/>
              <w:right w:val="single" w:sz="4" w:space="0" w:color="auto"/>
            </w:tcBorders>
            <w:shd w:val="clear" w:color="auto" w:fill="FFF4CC"/>
          </w:tcPr>
          <w:p w14:paraId="5CFBE4EC" w14:textId="77777777" w:rsidR="000A7D9D" w:rsidRPr="00EC1412" w:rsidRDefault="000A7D9D" w:rsidP="00F31937">
            <w:pPr>
              <w:rPr>
                <w:b/>
                <w:bCs/>
                <w:noProof/>
                <w:sz w:val="18"/>
                <w:szCs w:val="18"/>
              </w:rPr>
            </w:pPr>
            <w:r w:rsidRPr="2D69C30E">
              <w:rPr>
                <w:noProof/>
                <w:sz w:val="18"/>
                <w:szCs w:val="18"/>
              </w:rPr>
              <w:t xml:space="preserve">   Data generation mechanism </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468A1C6F"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3B719AFA"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0533BB2"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425CB17"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8ED30BC"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5E736E0B"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D517C5B"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A1C792B" w14:textId="77777777" w:rsidR="000A7D9D" w:rsidRPr="00EC1412" w:rsidRDefault="000A7D9D" w:rsidP="00F31937">
            <w:pPr>
              <w:jc w:val="right"/>
              <w:rPr>
                <w:caps/>
                <w:noProof/>
                <w:sz w:val="18"/>
                <w:szCs w:val="18"/>
              </w:rPr>
            </w:pPr>
            <w:r>
              <w:rPr>
                <w:caps/>
                <w:noProof/>
                <w:sz w:val="18"/>
                <w:szCs w:val="18"/>
              </w:rPr>
              <w:t>1</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1610C64"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324FA6D" w14:textId="77777777" w:rsidR="000A7D9D" w:rsidRPr="00EC1412" w:rsidRDefault="000A7D9D" w:rsidP="00F31937">
            <w:pPr>
              <w:ind w:left="-104"/>
              <w:jc w:val="right"/>
              <w:rPr>
                <w:caps/>
                <w:noProof/>
                <w:sz w:val="18"/>
                <w:szCs w:val="18"/>
              </w:rPr>
            </w:pPr>
            <w:r>
              <w:rPr>
                <w:noProof/>
                <w:sz w:val="18"/>
                <w:szCs w:val="18"/>
              </w:rPr>
              <w:t>1 000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3CA7CD83" w14:textId="77777777" w:rsidR="000A7D9D" w:rsidRPr="00EC1412" w:rsidRDefault="000A7D9D" w:rsidP="00F31937">
            <w:pPr>
              <w:ind w:left="-113"/>
              <w:jc w:val="right"/>
              <w:rPr>
                <w:caps/>
                <w:noProof/>
                <w:sz w:val="18"/>
                <w:szCs w:val="18"/>
              </w:rPr>
            </w:pPr>
            <w:r>
              <w:rPr>
                <w:noProof/>
                <w:sz w:val="18"/>
                <w:szCs w:val="18"/>
              </w:rPr>
              <w:t xml:space="preserve">3 </w:t>
            </w:r>
            <w:r w:rsidRPr="00EC1412">
              <w:rPr>
                <w:noProof/>
                <w:sz w:val="18"/>
                <w:szCs w:val="18"/>
              </w:rPr>
              <w:t>000</w:t>
            </w:r>
          </w:p>
        </w:tc>
        <w:tc>
          <w:tcPr>
            <w:tcW w:w="567" w:type="dxa"/>
            <w:tcBorders>
              <w:top w:val="dotted" w:sz="4" w:space="0" w:color="auto"/>
              <w:left w:val="single" w:sz="4" w:space="0" w:color="auto"/>
              <w:bottom w:val="dotted" w:sz="4" w:space="0" w:color="auto"/>
            </w:tcBorders>
            <w:shd w:val="clear" w:color="auto" w:fill="FFF4CC"/>
          </w:tcPr>
          <w:p w14:paraId="0C83FC7C" w14:textId="77777777" w:rsidR="000A7D9D" w:rsidRPr="00EC1412" w:rsidRDefault="000A7D9D" w:rsidP="00F31937">
            <w:pPr>
              <w:ind w:left="-119"/>
              <w:jc w:val="right"/>
              <w:rPr>
                <w:caps/>
                <w:noProof/>
                <w:sz w:val="18"/>
                <w:szCs w:val="18"/>
              </w:rPr>
            </w:pPr>
            <w:r w:rsidRPr="00EC1412">
              <w:rPr>
                <w:noProof/>
                <w:sz w:val="18"/>
                <w:szCs w:val="18"/>
              </w:rPr>
              <w:t>5</w:t>
            </w:r>
            <w:r>
              <w:rPr>
                <w:noProof/>
                <w:sz w:val="18"/>
                <w:szCs w:val="18"/>
              </w:rPr>
              <w:t xml:space="preserve"> </w:t>
            </w:r>
            <w:r w:rsidRPr="00EC1412">
              <w:rPr>
                <w:noProof/>
                <w:sz w:val="18"/>
                <w:szCs w:val="18"/>
              </w:rPr>
              <w:t>000</w:t>
            </w:r>
          </w:p>
        </w:tc>
      </w:tr>
      <w:tr w:rsidR="000A7D9D" w:rsidRPr="00EC1412" w14:paraId="22801AB6" w14:textId="77777777" w:rsidTr="00F31937">
        <w:trPr>
          <w:trHeight w:val="300"/>
        </w:trPr>
        <w:tc>
          <w:tcPr>
            <w:tcW w:w="3964" w:type="dxa"/>
            <w:tcBorders>
              <w:top w:val="dotted" w:sz="4" w:space="0" w:color="auto"/>
              <w:bottom w:val="dotted" w:sz="4" w:space="0" w:color="auto"/>
              <w:right w:val="single" w:sz="4" w:space="0" w:color="auto"/>
            </w:tcBorders>
            <w:shd w:val="clear" w:color="auto" w:fill="FFF4CC"/>
          </w:tcPr>
          <w:p w14:paraId="64171C20" w14:textId="77777777" w:rsidR="000A7D9D" w:rsidRPr="00EC1412" w:rsidRDefault="000A7D9D" w:rsidP="00F31937">
            <w:pPr>
              <w:ind w:left="142"/>
              <w:rPr>
                <w:noProof/>
                <w:sz w:val="18"/>
                <w:szCs w:val="18"/>
              </w:rPr>
            </w:pPr>
            <w:r w:rsidRPr="2D69C30E">
              <w:rPr>
                <w:noProof/>
                <w:sz w:val="18"/>
                <w:szCs w:val="18"/>
              </w:rPr>
              <w:t>Mechanism for notification of studies &amp; database for study notifications</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59ED80E"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19D38886"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32944AF"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13CDCC5"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6EE3A52"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0C4043F1"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87B3A76"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A7E8666" w14:textId="77777777" w:rsidR="000A7D9D" w:rsidRPr="00EC1412" w:rsidRDefault="000A7D9D" w:rsidP="00F31937">
            <w:pPr>
              <w:jc w:val="right"/>
              <w:rPr>
                <w:caps/>
                <w:noProof/>
                <w:sz w:val="18"/>
                <w:szCs w:val="18"/>
              </w:rPr>
            </w:pPr>
            <w:r>
              <w:rPr>
                <w:caps/>
                <w:noProof/>
                <w:sz w:val="18"/>
                <w:szCs w:val="18"/>
              </w:rPr>
              <w:t>2</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72F6E678"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4F48D9F" w14:textId="77777777" w:rsidR="000A7D9D" w:rsidRPr="00EC1412" w:rsidRDefault="000A7D9D" w:rsidP="00F31937">
            <w:pPr>
              <w:ind w:left="-104"/>
              <w:jc w:val="right"/>
              <w:rPr>
                <w:caps/>
                <w:noProof/>
                <w:sz w:val="18"/>
                <w:szCs w:val="18"/>
              </w:rPr>
            </w:pPr>
            <w:r>
              <w:rPr>
                <w:noProof/>
                <w:sz w:val="18"/>
                <w:szCs w:val="18"/>
              </w:rPr>
              <w:t>1200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34E9C256" w14:textId="77777777" w:rsidR="000A7D9D" w:rsidRPr="00EC1412" w:rsidRDefault="000A7D9D" w:rsidP="00F31937">
            <w:pPr>
              <w:ind w:left="-113"/>
              <w:jc w:val="right"/>
              <w:rPr>
                <w:caps/>
                <w:noProof/>
                <w:sz w:val="18"/>
                <w:szCs w:val="18"/>
              </w:rPr>
            </w:pPr>
            <w:r>
              <w:rPr>
                <w:noProof/>
                <w:sz w:val="18"/>
                <w:szCs w:val="18"/>
              </w:rPr>
              <w:t>400</w:t>
            </w:r>
          </w:p>
        </w:tc>
        <w:tc>
          <w:tcPr>
            <w:tcW w:w="567" w:type="dxa"/>
            <w:tcBorders>
              <w:top w:val="dotted" w:sz="4" w:space="0" w:color="auto"/>
              <w:left w:val="single" w:sz="4" w:space="0" w:color="auto"/>
              <w:bottom w:val="dotted" w:sz="4" w:space="0" w:color="auto"/>
            </w:tcBorders>
            <w:shd w:val="clear" w:color="auto" w:fill="FFF4CC"/>
          </w:tcPr>
          <w:p w14:paraId="06D13237" w14:textId="77777777" w:rsidR="000A7D9D" w:rsidRPr="00EC1412" w:rsidRDefault="000A7D9D" w:rsidP="00F31937">
            <w:pPr>
              <w:ind w:left="-119"/>
              <w:jc w:val="right"/>
              <w:rPr>
                <w:caps/>
                <w:noProof/>
                <w:sz w:val="18"/>
                <w:szCs w:val="18"/>
              </w:rPr>
            </w:pPr>
            <w:r>
              <w:rPr>
                <w:noProof/>
                <w:sz w:val="18"/>
                <w:szCs w:val="18"/>
              </w:rPr>
              <w:t>200</w:t>
            </w:r>
          </w:p>
        </w:tc>
      </w:tr>
      <w:tr w:rsidR="000A7D9D" w:rsidRPr="00EC1412" w14:paraId="3DC042C6" w14:textId="77777777" w:rsidTr="00F31937">
        <w:trPr>
          <w:trHeight w:val="300"/>
        </w:trPr>
        <w:tc>
          <w:tcPr>
            <w:tcW w:w="3964" w:type="dxa"/>
            <w:tcBorders>
              <w:top w:val="dotted" w:sz="4" w:space="0" w:color="auto"/>
              <w:bottom w:val="dotted" w:sz="4" w:space="0" w:color="auto"/>
              <w:right w:val="single" w:sz="4" w:space="0" w:color="auto"/>
            </w:tcBorders>
            <w:shd w:val="clear" w:color="auto" w:fill="FFF4CC"/>
          </w:tcPr>
          <w:p w14:paraId="278D6A79" w14:textId="77777777" w:rsidR="000A7D9D" w:rsidRPr="00EC1412" w:rsidRDefault="000A7D9D" w:rsidP="00F31937">
            <w:pPr>
              <w:ind w:left="142"/>
              <w:rPr>
                <w:b/>
                <w:bCs/>
                <w:noProof/>
                <w:sz w:val="18"/>
                <w:szCs w:val="18"/>
              </w:rPr>
            </w:pPr>
            <w:r w:rsidRPr="2D69C30E">
              <w:rPr>
                <w:noProof/>
                <w:sz w:val="18"/>
                <w:szCs w:val="18"/>
              </w:rPr>
              <w:t>Early warning and action system for emerging chemical risks and framework of indicators</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73A59D4"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14950AD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4CE62AE"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CAC6EF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E2B18E9"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46676841"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81755A4"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23D27C2"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7F2AF346"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2DC3AE4F" w14:textId="77777777" w:rsidR="000A7D9D" w:rsidRPr="00EC1412" w:rsidRDefault="000A7D9D" w:rsidP="00F31937">
            <w:pPr>
              <w:ind w:left="-104"/>
              <w:jc w:val="right"/>
              <w:rPr>
                <w:caps/>
                <w:noProof/>
                <w:sz w:val="18"/>
                <w:szCs w:val="18"/>
              </w:rPr>
            </w:pPr>
            <w:r>
              <w:rPr>
                <w:noProof/>
                <w:sz w:val="18"/>
                <w:szCs w:val="18"/>
              </w:rPr>
              <w:t>300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702CA11" w14:textId="77777777" w:rsidR="000A7D9D" w:rsidRPr="00EC1412" w:rsidRDefault="000A7D9D" w:rsidP="00F31937">
            <w:pPr>
              <w:ind w:left="-113"/>
              <w:jc w:val="right"/>
              <w:rPr>
                <w:caps/>
                <w:noProof/>
                <w:sz w:val="18"/>
                <w:szCs w:val="18"/>
              </w:rPr>
            </w:pPr>
            <w:r>
              <w:rPr>
                <w:noProof/>
                <w:sz w:val="18"/>
                <w:szCs w:val="18"/>
              </w:rPr>
              <w:t>150</w:t>
            </w:r>
          </w:p>
        </w:tc>
        <w:tc>
          <w:tcPr>
            <w:tcW w:w="567" w:type="dxa"/>
            <w:tcBorders>
              <w:top w:val="dotted" w:sz="4" w:space="0" w:color="auto"/>
              <w:left w:val="single" w:sz="4" w:space="0" w:color="auto"/>
              <w:bottom w:val="dotted" w:sz="4" w:space="0" w:color="auto"/>
            </w:tcBorders>
            <w:shd w:val="clear" w:color="auto" w:fill="FFF4CC"/>
          </w:tcPr>
          <w:p w14:paraId="510EBEF3" w14:textId="77777777" w:rsidR="000A7D9D" w:rsidRPr="00EC1412" w:rsidRDefault="000A7D9D" w:rsidP="00F31937">
            <w:pPr>
              <w:ind w:left="-119"/>
              <w:jc w:val="right"/>
              <w:rPr>
                <w:caps/>
                <w:noProof/>
                <w:sz w:val="18"/>
                <w:szCs w:val="18"/>
              </w:rPr>
            </w:pPr>
            <w:r>
              <w:rPr>
                <w:noProof/>
                <w:sz w:val="18"/>
                <w:szCs w:val="18"/>
              </w:rPr>
              <w:t>150</w:t>
            </w:r>
          </w:p>
        </w:tc>
      </w:tr>
      <w:tr w:rsidR="000A7D9D" w:rsidRPr="00EC1412" w14:paraId="50D61277" w14:textId="77777777" w:rsidTr="00F31937">
        <w:trPr>
          <w:trHeight w:val="300"/>
        </w:trPr>
        <w:tc>
          <w:tcPr>
            <w:tcW w:w="3964" w:type="dxa"/>
            <w:tcBorders>
              <w:top w:val="dotted" w:sz="4" w:space="0" w:color="auto"/>
              <w:bottom w:val="single" w:sz="4" w:space="0" w:color="auto"/>
              <w:right w:val="single" w:sz="4" w:space="0" w:color="auto"/>
            </w:tcBorders>
            <w:shd w:val="clear" w:color="auto" w:fill="FFF4CC"/>
          </w:tcPr>
          <w:p w14:paraId="13CE7F3F" w14:textId="77777777" w:rsidR="000A7D9D" w:rsidRPr="00EC1412" w:rsidRDefault="000A7D9D" w:rsidP="00F31937">
            <w:pPr>
              <w:ind w:left="142"/>
              <w:rPr>
                <w:b/>
                <w:bCs/>
                <w:noProof/>
                <w:sz w:val="18"/>
                <w:szCs w:val="18"/>
              </w:rPr>
            </w:pPr>
            <w:r w:rsidRPr="2D69C30E">
              <w:rPr>
                <w:noProof/>
                <w:sz w:val="18"/>
                <w:szCs w:val="18"/>
              </w:rPr>
              <w:t xml:space="preserve">Observatory for </w:t>
            </w:r>
            <w:r w:rsidRPr="000C037C">
              <w:rPr>
                <w:noProof/>
                <w:sz w:val="18"/>
                <w:szCs w:val="18"/>
              </w:rPr>
              <w:t>specific chemicals with potential contribution to emerging chemical risks</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73F45B24"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single" w:sz="4" w:space="0" w:color="auto"/>
              <w:right w:val="single" w:sz="4" w:space="0" w:color="auto"/>
            </w:tcBorders>
            <w:shd w:val="clear" w:color="auto" w:fill="FFF4CC"/>
          </w:tcPr>
          <w:p w14:paraId="00596A52"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0150712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0612BDB2"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1803F832"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single" w:sz="4" w:space="0" w:color="auto"/>
              <w:right w:val="single" w:sz="4" w:space="0" w:color="auto"/>
            </w:tcBorders>
            <w:shd w:val="clear" w:color="auto" w:fill="FFF4CC"/>
          </w:tcPr>
          <w:p w14:paraId="6B555A7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447DAD27"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2468841E"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58A1294C" w14:textId="77777777" w:rsidR="000A7D9D" w:rsidRPr="00EC1412" w:rsidRDefault="000A7D9D" w:rsidP="00F31937">
            <w:pPr>
              <w:ind w:left="-108"/>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39BA1D81" w14:textId="77777777" w:rsidR="000A7D9D" w:rsidRPr="00EC1412" w:rsidRDefault="000A7D9D" w:rsidP="00F31937">
            <w:pPr>
              <w:ind w:left="-104"/>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340AAFFC" w14:textId="77777777" w:rsidR="000A7D9D" w:rsidRPr="00EC1412" w:rsidRDefault="000A7D9D" w:rsidP="00F31937">
            <w:pPr>
              <w:ind w:left="-113"/>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tcBorders>
            <w:shd w:val="clear" w:color="auto" w:fill="FFF4CC"/>
          </w:tcPr>
          <w:p w14:paraId="190E3363" w14:textId="77777777" w:rsidR="000A7D9D" w:rsidRPr="00EC1412" w:rsidRDefault="000A7D9D" w:rsidP="00F31937">
            <w:pPr>
              <w:ind w:left="-119"/>
              <w:jc w:val="right"/>
              <w:rPr>
                <w:caps/>
                <w:noProof/>
                <w:sz w:val="18"/>
                <w:szCs w:val="18"/>
              </w:rPr>
            </w:pPr>
            <w:r>
              <w:rPr>
                <w:noProof/>
                <w:sz w:val="18"/>
                <w:szCs w:val="18"/>
              </w:rPr>
              <w:t>0</w:t>
            </w:r>
          </w:p>
        </w:tc>
      </w:tr>
      <w:tr w:rsidR="000A7D9D" w:rsidRPr="00EC1412" w14:paraId="72C70DA4" w14:textId="77777777" w:rsidTr="00F31937">
        <w:trPr>
          <w:trHeight w:val="300"/>
        </w:trPr>
        <w:tc>
          <w:tcPr>
            <w:tcW w:w="9634" w:type="dxa"/>
            <w:gridSpan w:val="13"/>
            <w:tcBorders>
              <w:top w:val="single" w:sz="4" w:space="0" w:color="auto"/>
              <w:bottom w:val="single" w:sz="4" w:space="0" w:color="auto"/>
              <w:right w:val="single" w:sz="4" w:space="0" w:color="auto"/>
            </w:tcBorders>
            <w:shd w:val="clear" w:color="auto" w:fill="BFBFBF" w:themeFill="background1" w:themeFillShade="BF"/>
          </w:tcPr>
          <w:p w14:paraId="3F8F2D3B" w14:textId="77777777" w:rsidR="000A7D9D" w:rsidRPr="00EC1412" w:rsidRDefault="000A7D9D" w:rsidP="00F31937">
            <w:pPr>
              <w:ind w:right="-110"/>
              <w:rPr>
                <w:b/>
                <w:caps/>
                <w:noProof/>
                <w:sz w:val="18"/>
                <w:szCs w:val="18"/>
              </w:rPr>
            </w:pPr>
            <w:r>
              <w:rPr>
                <w:b/>
                <w:noProof/>
                <w:sz w:val="18"/>
                <w:szCs w:val="18"/>
              </w:rPr>
              <w:t xml:space="preserve">Planned to be proposed by the Commission </w:t>
            </w:r>
          </w:p>
        </w:tc>
      </w:tr>
      <w:tr w:rsidR="000A7D9D" w:rsidRPr="00EC1412" w14:paraId="5A910077" w14:textId="77777777" w:rsidTr="00F31937">
        <w:trPr>
          <w:trHeight w:val="300"/>
        </w:trPr>
        <w:tc>
          <w:tcPr>
            <w:tcW w:w="3964" w:type="dxa"/>
            <w:tcBorders>
              <w:top w:val="single" w:sz="4" w:space="0" w:color="auto"/>
              <w:bottom w:val="dotted" w:sz="4" w:space="0" w:color="auto"/>
              <w:right w:val="single" w:sz="4" w:space="0" w:color="auto"/>
            </w:tcBorders>
            <w:shd w:val="clear" w:color="auto" w:fill="C1ECFF"/>
          </w:tcPr>
          <w:p w14:paraId="59634B48" w14:textId="77777777" w:rsidR="000A7D9D" w:rsidRPr="00EC1412" w:rsidRDefault="000A7D9D" w:rsidP="00F31937">
            <w:pPr>
              <w:jc w:val="both"/>
              <w:rPr>
                <w:noProof/>
                <w:sz w:val="18"/>
                <w:szCs w:val="18"/>
              </w:rPr>
            </w:pPr>
            <w:r>
              <w:rPr>
                <w:b/>
                <w:bCs/>
                <w:noProof/>
                <w:sz w:val="18"/>
                <w:szCs w:val="18"/>
              </w:rPr>
              <w:t xml:space="preserve">Proposal for regulation on </w:t>
            </w:r>
            <w:r w:rsidRPr="2D69C30E">
              <w:rPr>
                <w:b/>
                <w:bCs/>
                <w:noProof/>
                <w:sz w:val="18"/>
                <w:szCs w:val="18"/>
              </w:rPr>
              <w:t xml:space="preserve">ECHA </w:t>
            </w:r>
          </w:p>
        </w:tc>
        <w:tc>
          <w:tcPr>
            <w:tcW w:w="425" w:type="dxa"/>
            <w:tcBorders>
              <w:top w:val="single" w:sz="4" w:space="0" w:color="auto"/>
              <w:left w:val="single" w:sz="4" w:space="0" w:color="auto"/>
              <w:bottom w:val="dotted" w:sz="4" w:space="0" w:color="auto"/>
              <w:right w:val="dotted" w:sz="4" w:space="0" w:color="auto"/>
            </w:tcBorders>
            <w:shd w:val="clear" w:color="auto" w:fill="C1ECFF"/>
          </w:tcPr>
          <w:p w14:paraId="514BE8FD" w14:textId="77777777" w:rsidR="000A7D9D" w:rsidRPr="00EC1412" w:rsidRDefault="000A7D9D" w:rsidP="00F31937">
            <w:pPr>
              <w:jc w:val="right"/>
              <w:rPr>
                <w:b/>
                <w:caps/>
                <w:noProof/>
                <w:sz w:val="18"/>
                <w:szCs w:val="18"/>
              </w:rPr>
            </w:pPr>
            <w:r w:rsidRPr="00EC1412">
              <w:rPr>
                <w:b/>
                <w:caps/>
                <w:noProof/>
                <w:sz w:val="18"/>
                <w:szCs w:val="18"/>
              </w:rPr>
              <w:t>5</w:t>
            </w:r>
          </w:p>
        </w:tc>
        <w:tc>
          <w:tcPr>
            <w:tcW w:w="426" w:type="dxa"/>
            <w:tcBorders>
              <w:top w:val="single" w:sz="4" w:space="0" w:color="auto"/>
              <w:left w:val="dotted" w:sz="4" w:space="0" w:color="auto"/>
              <w:bottom w:val="dotted" w:sz="4" w:space="0" w:color="auto"/>
              <w:right w:val="single" w:sz="4" w:space="0" w:color="auto"/>
            </w:tcBorders>
            <w:shd w:val="clear" w:color="auto" w:fill="C1ECFF"/>
          </w:tcPr>
          <w:p w14:paraId="683617F6" w14:textId="77777777" w:rsidR="000A7D9D" w:rsidRPr="00EC1412" w:rsidRDefault="000A7D9D" w:rsidP="00F31937">
            <w:pPr>
              <w:jc w:val="right"/>
              <w:rPr>
                <w:b/>
                <w:caps/>
                <w:noProof/>
                <w:sz w:val="18"/>
                <w:szCs w:val="18"/>
              </w:rPr>
            </w:pPr>
            <w:r>
              <w:rPr>
                <w:b/>
                <w:caps/>
                <w:noProof/>
                <w:sz w:val="18"/>
                <w:szCs w:val="18"/>
              </w:rPr>
              <w:t>6</w:t>
            </w:r>
          </w:p>
        </w:tc>
        <w:tc>
          <w:tcPr>
            <w:tcW w:w="425" w:type="dxa"/>
            <w:tcBorders>
              <w:top w:val="single" w:sz="4" w:space="0" w:color="auto"/>
              <w:left w:val="single" w:sz="4" w:space="0" w:color="auto"/>
              <w:bottom w:val="dotted" w:sz="4" w:space="0" w:color="auto"/>
              <w:right w:val="dotted" w:sz="4" w:space="0" w:color="auto"/>
            </w:tcBorders>
            <w:shd w:val="clear" w:color="auto" w:fill="C1ECFF"/>
          </w:tcPr>
          <w:p w14:paraId="7E422157" w14:textId="77777777" w:rsidR="000A7D9D" w:rsidRPr="00EC1412" w:rsidRDefault="000A7D9D" w:rsidP="00F31937">
            <w:pPr>
              <w:jc w:val="right"/>
              <w:rPr>
                <w:b/>
                <w:caps/>
                <w:noProof/>
                <w:sz w:val="18"/>
                <w:szCs w:val="18"/>
              </w:rPr>
            </w:pPr>
            <w:r w:rsidRPr="00EC1412">
              <w:rPr>
                <w:b/>
                <w:caps/>
                <w:noProof/>
                <w:sz w:val="18"/>
                <w:szCs w:val="18"/>
              </w:rPr>
              <w:t>5</w:t>
            </w:r>
          </w:p>
        </w:tc>
        <w:tc>
          <w:tcPr>
            <w:tcW w:w="425" w:type="dxa"/>
            <w:tcBorders>
              <w:top w:val="single" w:sz="4" w:space="0" w:color="auto"/>
              <w:left w:val="dotted" w:sz="4" w:space="0" w:color="auto"/>
              <w:bottom w:val="dotted" w:sz="4" w:space="0" w:color="auto"/>
              <w:right w:val="single" w:sz="4" w:space="0" w:color="auto"/>
            </w:tcBorders>
            <w:shd w:val="clear" w:color="auto" w:fill="C1ECFF"/>
          </w:tcPr>
          <w:p w14:paraId="4A05F2CD" w14:textId="77777777" w:rsidR="000A7D9D" w:rsidRPr="00EC1412" w:rsidRDefault="000A7D9D" w:rsidP="00F31937">
            <w:pPr>
              <w:jc w:val="right"/>
              <w:rPr>
                <w:b/>
                <w:caps/>
                <w:noProof/>
                <w:sz w:val="18"/>
                <w:szCs w:val="18"/>
              </w:rPr>
            </w:pPr>
            <w:r>
              <w:rPr>
                <w:b/>
                <w:caps/>
                <w:noProof/>
                <w:sz w:val="18"/>
                <w:szCs w:val="18"/>
              </w:rPr>
              <w:t>6</w:t>
            </w:r>
          </w:p>
        </w:tc>
        <w:tc>
          <w:tcPr>
            <w:tcW w:w="425" w:type="dxa"/>
            <w:tcBorders>
              <w:top w:val="single" w:sz="4" w:space="0" w:color="auto"/>
              <w:left w:val="single" w:sz="4" w:space="0" w:color="auto"/>
              <w:bottom w:val="dotted" w:sz="4" w:space="0" w:color="auto"/>
              <w:right w:val="dotted" w:sz="4" w:space="0" w:color="auto"/>
            </w:tcBorders>
            <w:shd w:val="clear" w:color="auto" w:fill="C1ECFF"/>
          </w:tcPr>
          <w:p w14:paraId="61408766" w14:textId="77777777" w:rsidR="000A7D9D" w:rsidRPr="00EC1412" w:rsidRDefault="000A7D9D" w:rsidP="00F31937">
            <w:pPr>
              <w:jc w:val="right"/>
              <w:rPr>
                <w:b/>
                <w:caps/>
                <w:noProof/>
                <w:sz w:val="18"/>
                <w:szCs w:val="18"/>
              </w:rPr>
            </w:pPr>
            <w:r w:rsidRPr="00EC1412">
              <w:rPr>
                <w:b/>
                <w:caps/>
                <w:noProof/>
                <w:sz w:val="18"/>
                <w:szCs w:val="18"/>
              </w:rPr>
              <w:t>5</w:t>
            </w:r>
          </w:p>
        </w:tc>
        <w:tc>
          <w:tcPr>
            <w:tcW w:w="426" w:type="dxa"/>
            <w:tcBorders>
              <w:top w:val="single" w:sz="4" w:space="0" w:color="auto"/>
              <w:left w:val="dotted" w:sz="4" w:space="0" w:color="auto"/>
              <w:bottom w:val="dotted" w:sz="4" w:space="0" w:color="auto"/>
              <w:right w:val="single" w:sz="4" w:space="0" w:color="auto"/>
            </w:tcBorders>
            <w:shd w:val="clear" w:color="auto" w:fill="C1ECFF"/>
          </w:tcPr>
          <w:p w14:paraId="03974799" w14:textId="77777777" w:rsidR="000A7D9D" w:rsidRPr="00EC1412" w:rsidRDefault="000A7D9D" w:rsidP="00F31937">
            <w:pPr>
              <w:jc w:val="right"/>
              <w:rPr>
                <w:b/>
                <w:caps/>
                <w:noProof/>
                <w:sz w:val="18"/>
                <w:szCs w:val="18"/>
              </w:rPr>
            </w:pPr>
            <w:r>
              <w:rPr>
                <w:b/>
                <w:caps/>
                <w:noProof/>
                <w:sz w:val="18"/>
                <w:szCs w:val="18"/>
              </w:rPr>
              <w:t>6</w:t>
            </w:r>
          </w:p>
        </w:tc>
        <w:tc>
          <w:tcPr>
            <w:tcW w:w="425" w:type="dxa"/>
            <w:tcBorders>
              <w:top w:val="single" w:sz="4" w:space="0" w:color="auto"/>
              <w:left w:val="single" w:sz="4" w:space="0" w:color="auto"/>
              <w:bottom w:val="dotted" w:sz="4" w:space="0" w:color="auto"/>
              <w:right w:val="dotted" w:sz="4" w:space="0" w:color="auto"/>
            </w:tcBorders>
            <w:shd w:val="clear" w:color="auto" w:fill="C1ECFF"/>
          </w:tcPr>
          <w:p w14:paraId="5DA26F81" w14:textId="77777777" w:rsidR="000A7D9D" w:rsidRPr="00EC1412" w:rsidRDefault="000A7D9D" w:rsidP="00F31937">
            <w:pPr>
              <w:jc w:val="right"/>
              <w:rPr>
                <w:b/>
                <w:caps/>
                <w:noProof/>
                <w:sz w:val="18"/>
                <w:szCs w:val="18"/>
              </w:rPr>
            </w:pPr>
            <w:r w:rsidRPr="00EC1412">
              <w:rPr>
                <w:b/>
                <w:caps/>
                <w:noProof/>
                <w:sz w:val="18"/>
                <w:szCs w:val="18"/>
              </w:rPr>
              <w:t>5</w:t>
            </w:r>
          </w:p>
        </w:tc>
        <w:tc>
          <w:tcPr>
            <w:tcW w:w="425" w:type="dxa"/>
            <w:tcBorders>
              <w:top w:val="single" w:sz="4" w:space="0" w:color="auto"/>
              <w:left w:val="dotted" w:sz="4" w:space="0" w:color="auto"/>
              <w:bottom w:val="dotted" w:sz="4" w:space="0" w:color="auto"/>
              <w:right w:val="single" w:sz="4" w:space="0" w:color="auto"/>
            </w:tcBorders>
            <w:shd w:val="clear" w:color="auto" w:fill="C1ECFF"/>
          </w:tcPr>
          <w:p w14:paraId="3B9C872C" w14:textId="77777777" w:rsidR="000A7D9D" w:rsidRPr="00EC1412" w:rsidRDefault="000A7D9D" w:rsidP="00F31937">
            <w:pPr>
              <w:jc w:val="right"/>
              <w:rPr>
                <w:b/>
                <w:caps/>
                <w:noProof/>
                <w:sz w:val="18"/>
                <w:szCs w:val="18"/>
              </w:rPr>
            </w:pPr>
            <w:r>
              <w:rPr>
                <w:b/>
                <w:caps/>
                <w:noProof/>
                <w:sz w:val="18"/>
                <w:szCs w:val="18"/>
              </w:rPr>
              <w:t>6</w:t>
            </w:r>
          </w:p>
        </w:tc>
        <w:tc>
          <w:tcPr>
            <w:tcW w:w="567" w:type="dxa"/>
            <w:tcBorders>
              <w:top w:val="single" w:sz="4" w:space="0" w:color="auto"/>
              <w:left w:val="single" w:sz="4" w:space="0" w:color="auto"/>
              <w:bottom w:val="dotted" w:sz="4" w:space="0" w:color="auto"/>
              <w:right w:val="single" w:sz="4" w:space="0" w:color="auto"/>
            </w:tcBorders>
            <w:shd w:val="clear" w:color="auto" w:fill="C1ECFF"/>
          </w:tcPr>
          <w:p w14:paraId="7EFA7E9E" w14:textId="77777777" w:rsidR="000A7D9D" w:rsidRPr="00EC1412" w:rsidRDefault="000A7D9D" w:rsidP="00F31937">
            <w:pPr>
              <w:ind w:left="-108"/>
              <w:jc w:val="right"/>
              <w:rPr>
                <w:b/>
                <w:caps/>
                <w:noProof/>
                <w:sz w:val="18"/>
                <w:szCs w:val="18"/>
              </w:rPr>
            </w:pPr>
            <w:r>
              <w:rPr>
                <w:b/>
                <w:caps/>
                <w:noProof/>
                <w:sz w:val="18"/>
                <w:szCs w:val="18"/>
              </w:rPr>
              <w:t>0</w:t>
            </w:r>
          </w:p>
        </w:tc>
        <w:tc>
          <w:tcPr>
            <w:tcW w:w="567" w:type="dxa"/>
            <w:tcBorders>
              <w:top w:val="single" w:sz="4" w:space="0" w:color="auto"/>
              <w:left w:val="single" w:sz="4" w:space="0" w:color="auto"/>
              <w:bottom w:val="dotted" w:sz="4" w:space="0" w:color="auto"/>
              <w:right w:val="single" w:sz="4" w:space="0" w:color="auto"/>
            </w:tcBorders>
            <w:shd w:val="clear" w:color="auto" w:fill="C1ECFF"/>
          </w:tcPr>
          <w:p w14:paraId="6AD87938" w14:textId="77777777" w:rsidR="000A7D9D" w:rsidRPr="00EC1412" w:rsidRDefault="000A7D9D" w:rsidP="00F31937">
            <w:pPr>
              <w:ind w:left="-104"/>
              <w:jc w:val="right"/>
              <w:rPr>
                <w:b/>
                <w:caps/>
                <w:noProof/>
                <w:sz w:val="18"/>
                <w:szCs w:val="18"/>
              </w:rPr>
            </w:pPr>
            <w:r>
              <w:rPr>
                <w:b/>
                <w:caps/>
                <w:noProof/>
                <w:sz w:val="18"/>
                <w:szCs w:val="18"/>
              </w:rPr>
              <w:t>1 260</w:t>
            </w:r>
          </w:p>
        </w:tc>
        <w:tc>
          <w:tcPr>
            <w:tcW w:w="567" w:type="dxa"/>
            <w:tcBorders>
              <w:top w:val="single" w:sz="4" w:space="0" w:color="auto"/>
              <w:left w:val="single" w:sz="4" w:space="0" w:color="auto"/>
              <w:bottom w:val="dotted" w:sz="4" w:space="0" w:color="auto"/>
              <w:right w:val="single" w:sz="4" w:space="0" w:color="auto"/>
            </w:tcBorders>
            <w:shd w:val="clear" w:color="auto" w:fill="C1ECFF"/>
          </w:tcPr>
          <w:p w14:paraId="0DAF4312" w14:textId="77777777" w:rsidR="000A7D9D" w:rsidRPr="00EC1412" w:rsidRDefault="000A7D9D" w:rsidP="00F31937">
            <w:pPr>
              <w:ind w:left="-113"/>
              <w:jc w:val="right"/>
              <w:rPr>
                <w:b/>
                <w:caps/>
                <w:noProof/>
                <w:sz w:val="18"/>
                <w:szCs w:val="18"/>
              </w:rPr>
            </w:pPr>
            <w:r>
              <w:rPr>
                <w:b/>
                <w:caps/>
                <w:noProof/>
                <w:sz w:val="18"/>
                <w:szCs w:val="18"/>
              </w:rPr>
              <w:t>1 260</w:t>
            </w:r>
          </w:p>
        </w:tc>
        <w:tc>
          <w:tcPr>
            <w:tcW w:w="567" w:type="dxa"/>
            <w:tcBorders>
              <w:top w:val="single" w:sz="4" w:space="0" w:color="auto"/>
              <w:left w:val="single" w:sz="4" w:space="0" w:color="auto"/>
              <w:bottom w:val="dotted" w:sz="4" w:space="0" w:color="auto"/>
            </w:tcBorders>
            <w:shd w:val="clear" w:color="auto" w:fill="C1ECFF"/>
          </w:tcPr>
          <w:p w14:paraId="17ACC868" w14:textId="77777777" w:rsidR="000A7D9D" w:rsidRPr="00EC1412" w:rsidRDefault="000A7D9D" w:rsidP="00F31937">
            <w:pPr>
              <w:ind w:left="-119"/>
              <w:jc w:val="right"/>
              <w:rPr>
                <w:b/>
                <w:caps/>
                <w:noProof/>
                <w:sz w:val="18"/>
                <w:szCs w:val="18"/>
              </w:rPr>
            </w:pPr>
            <w:r>
              <w:rPr>
                <w:b/>
                <w:caps/>
                <w:noProof/>
                <w:sz w:val="18"/>
                <w:szCs w:val="18"/>
              </w:rPr>
              <w:t>1 260</w:t>
            </w:r>
          </w:p>
        </w:tc>
      </w:tr>
      <w:tr w:rsidR="000A7D9D" w:rsidRPr="00EC1412" w14:paraId="086C2FA3" w14:textId="77777777" w:rsidTr="00F31937">
        <w:trPr>
          <w:trHeight w:val="300"/>
        </w:trPr>
        <w:tc>
          <w:tcPr>
            <w:tcW w:w="3964" w:type="dxa"/>
            <w:tcBorders>
              <w:top w:val="dotted" w:sz="4" w:space="0" w:color="auto"/>
              <w:bottom w:val="dotted" w:sz="4" w:space="0" w:color="auto"/>
              <w:right w:val="single" w:sz="4" w:space="0" w:color="auto"/>
            </w:tcBorders>
            <w:shd w:val="clear" w:color="auto" w:fill="C1ECFF"/>
          </w:tcPr>
          <w:p w14:paraId="07CBC866" w14:textId="77777777" w:rsidR="000A7D9D" w:rsidRPr="00EC1412" w:rsidRDefault="000A7D9D" w:rsidP="00F31937">
            <w:pPr>
              <w:jc w:val="both"/>
              <w:rPr>
                <w:noProof/>
                <w:sz w:val="18"/>
                <w:szCs w:val="18"/>
              </w:rPr>
            </w:pPr>
            <w:r w:rsidRPr="00EC1412">
              <w:rPr>
                <w:noProof/>
                <w:sz w:val="18"/>
                <w:szCs w:val="18"/>
              </w:rPr>
              <w:t xml:space="preserve">   Cooperation of ECHA with other agencies</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2FD3AB80"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66671B0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1C859B7D"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4CAAD51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50BE970C"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3AB57536"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5E5E67E4"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66C47669"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19FF7928" w14:textId="77777777" w:rsidR="000A7D9D" w:rsidRPr="00EC1412" w:rsidRDefault="000A7D9D" w:rsidP="00F31937">
            <w:pPr>
              <w:ind w:left="-108"/>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78D7B34B" w14:textId="77777777" w:rsidR="000A7D9D" w:rsidRPr="00EC1412" w:rsidRDefault="000A7D9D" w:rsidP="00F31937">
            <w:pPr>
              <w:ind w:left="-104"/>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06063431" w14:textId="77777777" w:rsidR="000A7D9D" w:rsidRPr="00EC1412" w:rsidRDefault="000A7D9D" w:rsidP="00F31937">
            <w:pPr>
              <w:ind w:left="-113"/>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C1ECFF"/>
          </w:tcPr>
          <w:p w14:paraId="370CFDAA"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4C7F00AC" w14:textId="77777777" w:rsidTr="00F31937">
        <w:trPr>
          <w:trHeight w:val="300"/>
        </w:trPr>
        <w:tc>
          <w:tcPr>
            <w:tcW w:w="3964" w:type="dxa"/>
            <w:tcBorders>
              <w:top w:val="dotted" w:sz="4" w:space="0" w:color="auto"/>
              <w:bottom w:val="dotted" w:sz="4" w:space="0" w:color="auto"/>
              <w:right w:val="single" w:sz="4" w:space="0" w:color="auto"/>
            </w:tcBorders>
            <w:shd w:val="clear" w:color="auto" w:fill="C1ECFF"/>
          </w:tcPr>
          <w:p w14:paraId="396C41A1" w14:textId="77777777" w:rsidR="000A7D9D" w:rsidRPr="00EC1412" w:rsidRDefault="000A7D9D" w:rsidP="00F31937">
            <w:pPr>
              <w:jc w:val="both"/>
              <w:rPr>
                <w:caps/>
                <w:noProof/>
                <w:sz w:val="18"/>
                <w:szCs w:val="18"/>
              </w:rPr>
            </w:pPr>
            <w:r w:rsidRPr="00EC1412">
              <w:rPr>
                <w:noProof/>
                <w:sz w:val="18"/>
                <w:szCs w:val="18"/>
              </w:rPr>
              <w:t xml:space="preserve"> </w:t>
            </w:r>
            <w:r>
              <w:rPr>
                <w:noProof/>
                <w:sz w:val="18"/>
                <w:szCs w:val="18"/>
              </w:rPr>
              <w:t xml:space="preserve">  </w:t>
            </w:r>
            <w:r w:rsidRPr="00EC1412">
              <w:rPr>
                <w:noProof/>
                <w:sz w:val="18"/>
                <w:szCs w:val="18"/>
              </w:rPr>
              <w:t>Scientific opinions on OELs</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091E86EC" w14:textId="77777777" w:rsidR="000A7D9D" w:rsidRPr="00EC1412" w:rsidRDefault="000A7D9D" w:rsidP="00F31937">
            <w:pPr>
              <w:tabs>
                <w:tab w:val="left" w:pos="403"/>
              </w:tabs>
              <w:jc w:val="right"/>
              <w:rPr>
                <w:caps/>
                <w:noProof/>
                <w:sz w:val="18"/>
                <w:szCs w:val="18"/>
              </w:rPr>
            </w:pPr>
            <w:r>
              <w:rPr>
                <w:caps/>
                <w:noProof/>
                <w:sz w:val="18"/>
                <w:szCs w:val="18"/>
              </w:rPr>
              <w:t>3</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732ABF82" w14:textId="77777777" w:rsidR="000A7D9D" w:rsidRPr="00EC1412" w:rsidRDefault="000A7D9D" w:rsidP="00F31937">
            <w:pPr>
              <w:tabs>
                <w:tab w:val="left" w:pos="403"/>
              </w:tabs>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4A01CBC5"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41F333FC"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2A1E2835" w14:textId="77777777" w:rsidR="000A7D9D" w:rsidRPr="00EC1412" w:rsidRDefault="000A7D9D" w:rsidP="00F31937">
            <w:pPr>
              <w:jc w:val="right"/>
              <w:rPr>
                <w:caps/>
                <w:noProof/>
                <w:sz w:val="18"/>
                <w:szCs w:val="18"/>
              </w:rPr>
            </w:pPr>
            <w:r>
              <w:rPr>
                <w:caps/>
                <w:noProof/>
                <w:sz w:val="18"/>
                <w:szCs w:val="18"/>
              </w:rPr>
              <w:t>3</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61F9550A"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35404E07"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7EFE43DF" w14:textId="77777777" w:rsidR="000A7D9D" w:rsidRPr="00EC1412" w:rsidRDefault="000A7D9D" w:rsidP="00F31937">
            <w:pPr>
              <w:jc w:val="right"/>
              <w:rPr>
                <w:caps/>
                <w:noProof/>
                <w:sz w:val="18"/>
                <w:szCs w:val="18"/>
              </w:rPr>
            </w:pPr>
            <w:r>
              <w:rPr>
                <w:caps/>
                <w:noProof/>
                <w:sz w:val="18"/>
                <w:szCs w:val="18"/>
              </w:rPr>
              <w:t>2</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7B7EC056" w14:textId="77777777" w:rsidR="000A7D9D" w:rsidRPr="00EC1412" w:rsidRDefault="000A7D9D" w:rsidP="00F31937">
            <w:pPr>
              <w:ind w:left="-108"/>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48A5AD09" w14:textId="77777777" w:rsidR="000A7D9D" w:rsidRPr="00EC1412" w:rsidRDefault="000A7D9D" w:rsidP="00F31937">
            <w:pPr>
              <w:ind w:left="-104"/>
              <w:jc w:val="right"/>
              <w:rPr>
                <w:caps/>
                <w:noProof/>
                <w:sz w:val="18"/>
                <w:szCs w:val="18"/>
              </w:rPr>
            </w:pPr>
            <w:r>
              <w:rPr>
                <w:caps/>
                <w:noProof/>
                <w:sz w:val="18"/>
                <w:szCs w:val="18"/>
              </w:rPr>
              <w:t>200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16EC0D9C" w14:textId="77777777" w:rsidR="000A7D9D" w:rsidRPr="00EC1412" w:rsidRDefault="000A7D9D" w:rsidP="00F31937">
            <w:pPr>
              <w:ind w:left="-113"/>
              <w:jc w:val="right"/>
              <w:rPr>
                <w:caps/>
                <w:noProof/>
                <w:sz w:val="18"/>
                <w:szCs w:val="18"/>
              </w:rPr>
            </w:pPr>
            <w:r>
              <w:rPr>
                <w:caps/>
                <w:noProof/>
                <w:sz w:val="18"/>
                <w:szCs w:val="18"/>
              </w:rPr>
              <w:t>200</w:t>
            </w:r>
          </w:p>
        </w:tc>
        <w:tc>
          <w:tcPr>
            <w:tcW w:w="567" w:type="dxa"/>
            <w:tcBorders>
              <w:top w:val="dotted" w:sz="4" w:space="0" w:color="auto"/>
              <w:left w:val="single" w:sz="4" w:space="0" w:color="auto"/>
              <w:bottom w:val="dotted" w:sz="4" w:space="0" w:color="auto"/>
            </w:tcBorders>
            <w:shd w:val="clear" w:color="auto" w:fill="C1ECFF"/>
          </w:tcPr>
          <w:p w14:paraId="78D2DD41" w14:textId="77777777" w:rsidR="000A7D9D" w:rsidRPr="00EC1412" w:rsidRDefault="000A7D9D" w:rsidP="00F31937">
            <w:pPr>
              <w:jc w:val="right"/>
              <w:rPr>
                <w:caps/>
                <w:noProof/>
                <w:sz w:val="18"/>
                <w:szCs w:val="18"/>
              </w:rPr>
            </w:pPr>
            <w:r>
              <w:rPr>
                <w:caps/>
                <w:noProof/>
                <w:sz w:val="18"/>
                <w:szCs w:val="18"/>
              </w:rPr>
              <w:t>200</w:t>
            </w:r>
          </w:p>
        </w:tc>
      </w:tr>
      <w:tr w:rsidR="000A7D9D" w:rsidRPr="00EC1412" w14:paraId="23BC44F6" w14:textId="77777777" w:rsidTr="00F31937">
        <w:trPr>
          <w:trHeight w:val="300"/>
        </w:trPr>
        <w:tc>
          <w:tcPr>
            <w:tcW w:w="3964" w:type="dxa"/>
            <w:tcBorders>
              <w:top w:val="dotted" w:sz="4" w:space="0" w:color="auto"/>
              <w:bottom w:val="dotted" w:sz="4" w:space="0" w:color="auto"/>
              <w:right w:val="single" w:sz="4" w:space="0" w:color="auto"/>
            </w:tcBorders>
            <w:shd w:val="clear" w:color="auto" w:fill="C1ECFF"/>
          </w:tcPr>
          <w:p w14:paraId="3F499C47" w14:textId="77777777" w:rsidR="000A7D9D" w:rsidRPr="00EC1412" w:rsidRDefault="000A7D9D" w:rsidP="00F31937">
            <w:pPr>
              <w:ind w:left="142"/>
              <w:jc w:val="both"/>
              <w:rPr>
                <w:noProof/>
                <w:sz w:val="18"/>
                <w:szCs w:val="18"/>
              </w:rPr>
            </w:pPr>
            <w:r w:rsidRPr="2D69C30E">
              <w:rPr>
                <w:noProof/>
                <w:sz w:val="18"/>
                <w:szCs w:val="18"/>
              </w:rPr>
              <w:t>Information on the obligations under</w:t>
            </w:r>
            <w:r>
              <w:rPr>
                <w:noProof/>
                <w:sz w:val="18"/>
                <w:szCs w:val="18"/>
              </w:rPr>
              <w:t xml:space="preserve"> </w:t>
            </w:r>
            <w:r w:rsidRPr="2D69C30E">
              <w:rPr>
                <w:noProof/>
                <w:sz w:val="18"/>
                <w:szCs w:val="18"/>
              </w:rPr>
              <w:t xml:space="preserve">Union acts on chemicals </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05FD28D0" w14:textId="77777777" w:rsidR="000A7D9D" w:rsidRPr="00EC1412" w:rsidRDefault="000A7D9D" w:rsidP="00F31937">
            <w:pPr>
              <w:tabs>
                <w:tab w:val="left" w:pos="403"/>
              </w:tabs>
              <w:jc w:val="right"/>
              <w:rPr>
                <w:caps/>
                <w:noProof/>
                <w:sz w:val="18"/>
                <w:szCs w:val="18"/>
              </w:rPr>
            </w:pPr>
            <w:r>
              <w:rPr>
                <w:caps/>
                <w:noProof/>
                <w:sz w:val="18"/>
                <w:szCs w:val="18"/>
              </w:rPr>
              <w:t>2</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5C135EF2" w14:textId="77777777" w:rsidR="000A7D9D" w:rsidRPr="00EC1412" w:rsidRDefault="000A7D9D" w:rsidP="00F31937">
            <w:pPr>
              <w:tabs>
                <w:tab w:val="left" w:pos="403"/>
              </w:tabs>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6E2E4A45"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00E4298A"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4C1A38F9" w14:textId="77777777" w:rsidR="000A7D9D" w:rsidRPr="00EC1412" w:rsidRDefault="000A7D9D" w:rsidP="00F31937">
            <w:pPr>
              <w:jc w:val="right"/>
              <w:rPr>
                <w:caps/>
                <w:noProof/>
                <w:sz w:val="18"/>
                <w:szCs w:val="18"/>
              </w:rPr>
            </w:pPr>
            <w:r>
              <w:rPr>
                <w:caps/>
                <w:noProof/>
                <w:sz w:val="18"/>
                <w:szCs w:val="18"/>
              </w:rPr>
              <w:t>2</w:t>
            </w:r>
          </w:p>
        </w:tc>
        <w:tc>
          <w:tcPr>
            <w:tcW w:w="426" w:type="dxa"/>
            <w:tcBorders>
              <w:top w:val="dotted" w:sz="4" w:space="0" w:color="auto"/>
              <w:left w:val="dotted" w:sz="4" w:space="0" w:color="auto"/>
              <w:bottom w:val="dotted" w:sz="4" w:space="0" w:color="auto"/>
              <w:right w:val="single" w:sz="4" w:space="0" w:color="auto"/>
            </w:tcBorders>
            <w:shd w:val="clear" w:color="auto" w:fill="C1ECFF"/>
          </w:tcPr>
          <w:p w14:paraId="250877E2"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50EBECB9"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05E543F6" w14:textId="77777777" w:rsidR="000A7D9D" w:rsidRPr="00EC1412" w:rsidRDefault="000A7D9D" w:rsidP="00F31937">
            <w:pPr>
              <w:jc w:val="right"/>
              <w:rPr>
                <w:caps/>
                <w:noProof/>
                <w:sz w:val="18"/>
                <w:szCs w:val="18"/>
              </w:rPr>
            </w:pPr>
            <w:r>
              <w:rPr>
                <w:caps/>
                <w:noProof/>
                <w:sz w:val="18"/>
                <w:szCs w:val="18"/>
              </w:rPr>
              <w:t>1</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476CE42C"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377A417A" w14:textId="77777777" w:rsidR="000A7D9D" w:rsidRPr="00EC1412" w:rsidRDefault="000A7D9D" w:rsidP="00F31937">
            <w:pPr>
              <w:ind w:left="-104"/>
              <w:jc w:val="right"/>
              <w:rPr>
                <w:caps/>
                <w:noProof/>
                <w:sz w:val="18"/>
                <w:szCs w:val="18"/>
              </w:rPr>
            </w:pPr>
            <w:r>
              <w:rPr>
                <w:noProof/>
                <w:sz w:val="18"/>
                <w:szCs w:val="18"/>
              </w:rPr>
              <w:t>630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682EC8D3" w14:textId="77777777" w:rsidR="000A7D9D" w:rsidRPr="00EC1412" w:rsidRDefault="000A7D9D" w:rsidP="00F31937">
            <w:pPr>
              <w:ind w:left="-113"/>
              <w:jc w:val="right"/>
              <w:rPr>
                <w:caps/>
                <w:noProof/>
                <w:sz w:val="18"/>
                <w:szCs w:val="18"/>
              </w:rPr>
            </w:pPr>
            <w:r>
              <w:rPr>
                <w:noProof/>
                <w:sz w:val="18"/>
                <w:szCs w:val="18"/>
              </w:rPr>
              <w:t>630</w:t>
            </w:r>
          </w:p>
        </w:tc>
        <w:tc>
          <w:tcPr>
            <w:tcW w:w="567" w:type="dxa"/>
            <w:tcBorders>
              <w:top w:val="dotted" w:sz="4" w:space="0" w:color="auto"/>
              <w:left w:val="single" w:sz="4" w:space="0" w:color="auto"/>
              <w:bottom w:val="dotted" w:sz="4" w:space="0" w:color="auto"/>
            </w:tcBorders>
            <w:shd w:val="clear" w:color="auto" w:fill="C1ECFF"/>
          </w:tcPr>
          <w:p w14:paraId="65DB28E2" w14:textId="77777777" w:rsidR="000A7D9D" w:rsidRPr="00EC1412" w:rsidRDefault="000A7D9D" w:rsidP="00F31937">
            <w:pPr>
              <w:jc w:val="right"/>
              <w:rPr>
                <w:caps/>
                <w:noProof/>
                <w:sz w:val="18"/>
                <w:szCs w:val="18"/>
              </w:rPr>
            </w:pPr>
            <w:r>
              <w:rPr>
                <w:noProof/>
                <w:sz w:val="18"/>
                <w:szCs w:val="18"/>
              </w:rPr>
              <w:t>630</w:t>
            </w:r>
          </w:p>
        </w:tc>
      </w:tr>
      <w:tr w:rsidR="000A7D9D" w:rsidRPr="00EC1412" w14:paraId="43D2BF71" w14:textId="77777777" w:rsidTr="00F31937">
        <w:trPr>
          <w:trHeight w:val="300"/>
        </w:trPr>
        <w:tc>
          <w:tcPr>
            <w:tcW w:w="3964" w:type="dxa"/>
            <w:tcBorders>
              <w:top w:val="dotted" w:sz="4" w:space="0" w:color="auto"/>
              <w:bottom w:val="single" w:sz="4" w:space="0" w:color="auto"/>
              <w:right w:val="single" w:sz="4" w:space="0" w:color="auto"/>
            </w:tcBorders>
            <w:shd w:val="clear" w:color="auto" w:fill="C1ECFF"/>
          </w:tcPr>
          <w:p w14:paraId="08AE6990" w14:textId="77777777" w:rsidR="000A7D9D" w:rsidRPr="00EC1412" w:rsidRDefault="000A7D9D" w:rsidP="00F31937">
            <w:pPr>
              <w:ind w:left="142"/>
              <w:jc w:val="both"/>
              <w:rPr>
                <w:noProof/>
                <w:sz w:val="18"/>
                <w:szCs w:val="18"/>
              </w:rPr>
            </w:pPr>
            <w:r w:rsidRPr="2D69C30E">
              <w:rPr>
                <w:noProof/>
                <w:sz w:val="18"/>
                <w:szCs w:val="18"/>
              </w:rPr>
              <w:t xml:space="preserve">Observatory for </w:t>
            </w:r>
            <w:r w:rsidRPr="000C037C">
              <w:rPr>
                <w:noProof/>
                <w:sz w:val="18"/>
                <w:szCs w:val="18"/>
              </w:rPr>
              <w:t>specific chemicals with potential contribution to emerging chemical risks</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261464C6" w14:textId="77777777" w:rsidR="000A7D9D" w:rsidRPr="00EC1412" w:rsidRDefault="000A7D9D" w:rsidP="00F31937">
            <w:pPr>
              <w:tabs>
                <w:tab w:val="left" w:pos="403"/>
              </w:tabs>
              <w:jc w:val="right"/>
              <w:rPr>
                <w:caps/>
                <w:noProof/>
                <w:sz w:val="18"/>
                <w:szCs w:val="18"/>
              </w:rPr>
            </w:pPr>
            <w:r>
              <w:rPr>
                <w:caps/>
                <w:noProof/>
                <w:sz w:val="18"/>
                <w:szCs w:val="18"/>
              </w:rPr>
              <w:t>0</w:t>
            </w:r>
          </w:p>
        </w:tc>
        <w:tc>
          <w:tcPr>
            <w:tcW w:w="426" w:type="dxa"/>
            <w:tcBorders>
              <w:top w:val="dotted" w:sz="4" w:space="0" w:color="auto"/>
              <w:left w:val="dotted" w:sz="4" w:space="0" w:color="auto"/>
              <w:bottom w:val="single" w:sz="4" w:space="0" w:color="auto"/>
              <w:right w:val="single" w:sz="4" w:space="0" w:color="auto"/>
            </w:tcBorders>
            <w:shd w:val="clear" w:color="auto" w:fill="C1ECFF"/>
          </w:tcPr>
          <w:p w14:paraId="776AC0E4" w14:textId="77777777" w:rsidR="000A7D9D" w:rsidRPr="00EC1412" w:rsidRDefault="000A7D9D" w:rsidP="00F31937">
            <w:pPr>
              <w:tabs>
                <w:tab w:val="left" w:pos="403"/>
              </w:tabs>
              <w:jc w:val="right"/>
              <w:rPr>
                <w:caps/>
                <w:noProof/>
                <w:sz w:val="18"/>
                <w:szCs w:val="18"/>
              </w:rPr>
            </w:pPr>
            <w:r>
              <w:rPr>
                <w:caps/>
                <w:noProof/>
                <w:sz w:val="18"/>
                <w:szCs w:val="18"/>
              </w:rPr>
              <w:t>3</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5576D72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4B29A600"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17D220E0"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single" w:sz="4" w:space="0" w:color="auto"/>
              <w:right w:val="single" w:sz="4" w:space="0" w:color="auto"/>
            </w:tcBorders>
            <w:shd w:val="clear" w:color="auto" w:fill="C1ECFF"/>
          </w:tcPr>
          <w:p w14:paraId="7343E0CD"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0E1417DB"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33E3D7F1" w14:textId="77777777" w:rsidR="000A7D9D" w:rsidRPr="00EC1412" w:rsidRDefault="000A7D9D" w:rsidP="00F31937">
            <w:pPr>
              <w:jc w:val="right"/>
              <w:rPr>
                <w:caps/>
                <w:noProof/>
                <w:sz w:val="18"/>
                <w:szCs w:val="18"/>
              </w:rPr>
            </w:pPr>
            <w:r>
              <w:rPr>
                <w:caps/>
                <w:noProof/>
                <w:sz w:val="18"/>
                <w:szCs w:val="18"/>
              </w:rPr>
              <w:t>3</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46E018E9"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1E286CC0" w14:textId="77777777" w:rsidR="000A7D9D" w:rsidRPr="00EC1412" w:rsidRDefault="000A7D9D" w:rsidP="00F31937">
            <w:pPr>
              <w:ind w:left="-104"/>
              <w:jc w:val="right"/>
              <w:rPr>
                <w:caps/>
                <w:noProof/>
                <w:sz w:val="18"/>
                <w:szCs w:val="18"/>
              </w:rPr>
            </w:pPr>
            <w:r>
              <w:rPr>
                <w:noProof/>
                <w:sz w:val="18"/>
                <w:szCs w:val="18"/>
              </w:rPr>
              <w:t>430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0FE0CDE1" w14:textId="77777777" w:rsidR="000A7D9D" w:rsidRPr="00EC1412" w:rsidRDefault="000A7D9D" w:rsidP="00F31937">
            <w:pPr>
              <w:ind w:left="-113"/>
              <w:jc w:val="right"/>
              <w:rPr>
                <w:caps/>
                <w:noProof/>
                <w:sz w:val="18"/>
                <w:szCs w:val="18"/>
              </w:rPr>
            </w:pPr>
            <w:r>
              <w:rPr>
                <w:noProof/>
                <w:sz w:val="18"/>
                <w:szCs w:val="18"/>
              </w:rPr>
              <w:t>430</w:t>
            </w:r>
          </w:p>
        </w:tc>
        <w:tc>
          <w:tcPr>
            <w:tcW w:w="567" w:type="dxa"/>
            <w:tcBorders>
              <w:top w:val="dotted" w:sz="4" w:space="0" w:color="auto"/>
              <w:left w:val="single" w:sz="4" w:space="0" w:color="auto"/>
              <w:bottom w:val="single" w:sz="4" w:space="0" w:color="auto"/>
            </w:tcBorders>
            <w:shd w:val="clear" w:color="auto" w:fill="C1ECFF"/>
          </w:tcPr>
          <w:p w14:paraId="3E46F932" w14:textId="77777777" w:rsidR="000A7D9D" w:rsidRPr="00EC1412" w:rsidRDefault="000A7D9D" w:rsidP="00F31937">
            <w:pPr>
              <w:jc w:val="right"/>
              <w:rPr>
                <w:caps/>
                <w:noProof/>
                <w:sz w:val="18"/>
                <w:szCs w:val="18"/>
              </w:rPr>
            </w:pPr>
            <w:r>
              <w:rPr>
                <w:noProof/>
                <w:sz w:val="18"/>
                <w:szCs w:val="18"/>
              </w:rPr>
              <w:t>430</w:t>
            </w:r>
          </w:p>
        </w:tc>
      </w:tr>
      <w:tr w:rsidR="000A7D9D" w:rsidRPr="00EC1412" w14:paraId="6F5298A7" w14:textId="77777777" w:rsidTr="00F31937">
        <w:trPr>
          <w:trHeight w:val="300"/>
        </w:trPr>
        <w:tc>
          <w:tcPr>
            <w:tcW w:w="3964" w:type="dxa"/>
            <w:tcBorders>
              <w:top w:val="single" w:sz="4" w:space="0" w:color="auto"/>
              <w:bottom w:val="single" w:sz="4" w:space="0" w:color="auto"/>
              <w:right w:val="single" w:sz="4" w:space="0" w:color="auto"/>
            </w:tcBorders>
            <w:shd w:val="clear" w:color="auto" w:fill="FFF4CC"/>
          </w:tcPr>
          <w:p w14:paraId="07072872" w14:textId="77777777" w:rsidR="000A7D9D" w:rsidRPr="00EC1412" w:rsidRDefault="000A7D9D" w:rsidP="00F31937">
            <w:pPr>
              <w:jc w:val="both"/>
              <w:rPr>
                <w:noProof/>
                <w:sz w:val="18"/>
                <w:szCs w:val="18"/>
              </w:rPr>
            </w:pPr>
            <w:r w:rsidRPr="00EC1412">
              <w:rPr>
                <w:noProof/>
                <w:sz w:val="18"/>
                <w:szCs w:val="18"/>
              </w:rPr>
              <w:t>REACH regulation</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38A76173" w14:textId="77777777" w:rsidR="000A7D9D" w:rsidRPr="00EC1412" w:rsidRDefault="000A7D9D" w:rsidP="00F31937">
            <w:pPr>
              <w:ind w:left="-81"/>
              <w:jc w:val="right"/>
              <w:rPr>
                <w:caps/>
                <w:noProof/>
                <w:sz w:val="18"/>
                <w:szCs w:val="18"/>
              </w:rPr>
            </w:pPr>
            <w:r w:rsidRPr="00EC1412">
              <w:rPr>
                <w:caps/>
                <w:noProof/>
                <w:sz w:val="18"/>
                <w:szCs w:val="18"/>
              </w:rPr>
              <w:t>0</w:t>
            </w:r>
          </w:p>
        </w:tc>
        <w:tc>
          <w:tcPr>
            <w:tcW w:w="426" w:type="dxa"/>
            <w:tcBorders>
              <w:top w:val="single" w:sz="4" w:space="0" w:color="auto"/>
              <w:left w:val="dotted" w:sz="4" w:space="0" w:color="auto"/>
              <w:bottom w:val="single" w:sz="4" w:space="0" w:color="auto"/>
              <w:right w:val="single" w:sz="4" w:space="0" w:color="auto"/>
            </w:tcBorders>
            <w:shd w:val="clear" w:color="auto" w:fill="FFF4CC"/>
          </w:tcPr>
          <w:p w14:paraId="08524FEC" w14:textId="77777777" w:rsidR="000A7D9D" w:rsidRPr="00EC1412" w:rsidRDefault="000A7D9D" w:rsidP="00F31937">
            <w:pPr>
              <w:ind w:left="-81"/>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58D0CDBA" w14:textId="77777777" w:rsidR="000A7D9D" w:rsidRPr="00EC1412" w:rsidRDefault="000A7D9D" w:rsidP="00F31937">
            <w:pPr>
              <w:ind w:left="-110"/>
              <w:jc w:val="right"/>
              <w:rPr>
                <w:caps/>
                <w:noProof/>
                <w:sz w:val="18"/>
                <w:szCs w:val="18"/>
              </w:rPr>
            </w:pPr>
            <w:r w:rsidRPr="00EC1412">
              <w:rPr>
                <w:caps/>
                <w:noProof/>
                <w:sz w:val="18"/>
                <w:szCs w:val="18"/>
              </w:rPr>
              <w:t>0</w:t>
            </w:r>
          </w:p>
        </w:tc>
        <w:tc>
          <w:tcPr>
            <w:tcW w:w="425" w:type="dxa"/>
            <w:tcBorders>
              <w:top w:val="single" w:sz="4" w:space="0" w:color="auto"/>
              <w:left w:val="dotted" w:sz="4" w:space="0" w:color="auto"/>
              <w:bottom w:val="single" w:sz="4" w:space="0" w:color="auto"/>
              <w:right w:val="single" w:sz="4" w:space="0" w:color="auto"/>
            </w:tcBorders>
            <w:shd w:val="clear" w:color="auto" w:fill="FFF4CC"/>
          </w:tcPr>
          <w:p w14:paraId="5D712CDD" w14:textId="77777777" w:rsidR="000A7D9D" w:rsidRPr="00EC1412" w:rsidRDefault="000A7D9D" w:rsidP="00F31937">
            <w:pPr>
              <w:ind w:left="-110"/>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59D30163" w14:textId="77777777" w:rsidR="000A7D9D" w:rsidRPr="00EC1412" w:rsidRDefault="000A7D9D" w:rsidP="00F31937">
            <w:pPr>
              <w:ind w:left="-104"/>
              <w:jc w:val="right"/>
              <w:rPr>
                <w:caps/>
                <w:noProof/>
                <w:sz w:val="18"/>
                <w:szCs w:val="18"/>
              </w:rPr>
            </w:pPr>
            <w:r w:rsidRPr="00EC1412">
              <w:rPr>
                <w:caps/>
                <w:noProof/>
                <w:sz w:val="18"/>
                <w:szCs w:val="18"/>
              </w:rPr>
              <w:t>0</w:t>
            </w:r>
          </w:p>
        </w:tc>
        <w:tc>
          <w:tcPr>
            <w:tcW w:w="426" w:type="dxa"/>
            <w:tcBorders>
              <w:top w:val="single" w:sz="4" w:space="0" w:color="auto"/>
              <w:left w:val="dotted" w:sz="4" w:space="0" w:color="auto"/>
              <w:bottom w:val="single" w:sz="4" w:space="0" w:color="auto"/>
              <w:right w:val="single" w:sz="4" w:space="0" w:color="auto"/>
            </w:tcBorders>
            <w:shd w:val="clear" w:color="auto" w:fill="FFF4CC"/>
          </w:tcPr>
          <w:p w14:paraId="0EE90A69" w14:textId="77777777" w:rsidR="000A7D9D" w:rsidRPr="00EC1412" w:rsidRDefault="000A7D9D" w:rsidP="00F31937">
            <w:pPr>
              <w:ind w:left="-104"/>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1D4110A6" w14:textId="77777777" w:rsidR="000A7D9D" w:rsidRPr="00EC1412" w:rsidRDefault="000A7D9D" w:rsidP="00F31937">
            <w:pPr>
              <w:ind w:left="-24"/>
              <w:jc w:val="right"/>
              <w:rPr>
                <w:caps/>
                <w:noProof/>
                <w:sz w:val="18"/>
                <w:szCs w:val="18"/>
              </w:rPr>
            </w:pPr>
            <w:r w:rsidRPr="00EC1412">
              <w:rPr>
                <w:caps/>
                <w:noProof/>
                <w:sz w:val="18"/>
                <w:szCs w:val="18"/>
              </w:rPr>
              <w:t>0</w:t>
            </w:r>
          </w:p>
        </w:tc>
        <w:tc>
          <w:tcPr>
            <w:tcW w:w="425" w:type="dxa"/>
            <w:tcBorders>
              <w:top w:val="single" w:sz="4" w:space="0" w:color="auto"/>
              <w:left w:val="dotted" w:sz="4" w:space="0" w:color="auto"/>
              <w:bottom w:val="single" w:sz="4" w:space="0" w:color="auto"/>
              <w:right w:val="single" w:sz="4" w:space="0" w:color="auto"/>
            </w:tcBorders>
            <w:shd w:val="clear" w:color="auto" w:fill="FFF4CC"/>
          </w:tcPr>
          <w:p w14:paraId="6428741D" w14:textId="77777777" w:rsidR="000A7D9D" w:rsidRPr="00EC1412" w:rsidRDefault="000A7D9D" w:rsidP="00F31937">
            <w:pPr>
              <w:ind w:left="-24"/>
              <w:jc w:val="right"/>
              <w:rPr>
                <w:caps/>
                <w:noProof/>
                <w:sz w:val="18"/>
                <w:szCs w:val="18"/>
              </w:rPr>
            </w:pPr>
            <w:r>
              <w:rPr>
                <w:caps/>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7EFB6522"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0D63B913" w14:textId="77777777" w:rsidR="000A7D9D" w:rsidRPr="00EC1412" w:rsidRDefault="000A7D9D" w:rsidP="00F31937">
            <w:pPr>
              <w:ind w:left="-104"/>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45BFBAC9" w14:textId="77777777" w:rsidR="000A7D9D" w:rsidRPr="00EC1412" w:rsidRDefault="000A7D9D" w:rsidP="00F31937">
            <w:pPr>
              <w:ind w:left="-113"/>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tcBorders>
            <w:shd w:val="clear" w:color="auto" w:fill="FFF4CC"/>
          </w:tcPr>
          <w:p w14:paraId="676D834A" w14:textId="77777777" w:rsidR="000A7D9D" w:rsidRPr="00EC1412" w:rsidRDefault="000A7D9D" w:rsidP="00F31937">
            <w:pPr>
              <w:jc w:val="right"/>
              <w:rPr>
                <w:caps/>
                <w:noProof/>
                <w:sz w:val="18"/>
                <w:szCs w:val="18"/>
              </w:rPr>
            </w:pPr>
            <w:r w:rsidRPr="00EC1412">
              <w:rPr>
                <w:noProof/>
                <w:sz w:val="18"/>
                <w:szCs w:val="18"/>
              </w:rPr>
              <w:t>0</w:t>
            </w:r>
          </w:p>
        </w:tc>
      </w:tr>
      <w:tr w:rsidR="000A7D9D" w:rsidRPr="00EC1412" w14:paraId="0E119297" w14:textId="77777777" w:rsidTr="00F31937">
        <w:trPr>
          <w:trHeight w:val="300"/>
        </w:trPr>
        <w:tc>
          <w:tcPr>
            <w:tcW w:w="3964" w:type="dxa"/>
            <w:tcBorders>
              <w:top w:val="single" w:sz="4" w:space="0" w:color="auto"/>
              <w:bottom w:val="single" w:sz="4" w:space="0" w:color="auto"/>
              <w:right w:val="single" w:sz="4" w:space="0" w:color="auto"/>
            </w:tcBorders>
            <w:shd w:val="clear" w:color="auto" w:fill="C1ECFF"/>
          </w:tcPr>
          <w:p w14:paraId="4EB738A7" w14:textId="77777777" w:rsidR="000A7D9D" w:rsidRPr="00EC1412" w:rsidRDefault="000A7D9D" w:rsidP="00F31937">
            <w:pPr>
              <w:jc w:val="both"/>
              <w:rPr>
                <w:noProof/>
                <w:sz w:val="18"/>
                <w:szCs w:val="18"/>
              </w:rPr>
            </w:pPr>
            <w:r w:rsidRPr="00EC1412">
              <w:rPr>
                <w:noProof/>
                <w:sz w:val="18"/>
                <w:szCs w:val="18"/>
              </w:rPr>
              <w:t>Cosmetic products regulation</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66052D6A" w14:textId="77777777" w:rsidR="000A7D9D" w:rsidRPr="00EC1412" w:rsidRDefault="000A7D9D" w:rsidP="00F31937">
            <w:pPr>
              <w:jc w:val="right"/>
              <w:rPr>
                <w:caps/>
                <w:noProof/>
                <w:sz w:val="18"/>
                <w:szCs w:val="18"/>
              </w:rPr>
            </w:pPr>
            <w:r w:rsidRPr="00EC1412">
              <w:rPr>
                <w:caps/>
                <w:noProof/>
                <w:sz w:val="18"/>
                <w:szCs w:val="18"/>
              </w:rPr>
              <w:t>7</w:t>
            </w:r>
          </w:p>
        </w:tc>
        <w:tc>
          <w:tcPr>
            <w:tcW w:w="426" w:type="dxa"/>
            <w:tcBorders>
              <w:top w:val="single" w:sz="4" w:space="0" w:color="auto"/>
              <w:left w:val="dotted" w:sz="4" w:space="0" w:color="auto"/>
              <w:bottom w:val="single" w:sz="4" w:space="0" w:color="auto"/>
              <w:right w:val="single" w:sz="4" w:space="0" w:color="auto"/>
            </w:tcBorders>
            <w:shd w:val="clear" w:color="auto" w:fill="C1ECFF"/>
          </w:tcPr>
          <w:p w14:paraId="6FAC380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3CEEAD20" w14:textId="77777777" w:rsidR="000A7D9D" w:rsidRPr="00EC1412" w:rsidRDefault="000A7D9D" w:rsidP="00F31937">
            <w:pPr>
              <w:jc w:val="right"/>
              <w:rPr>
                <w:caps/>
                <w:noProof/>
                <w:sz w:val="18"/>
                <w:szCs w:val="18"/>
              </w:rPr>
            </w:pPr>
            <w:r w:rsidRPr="00EC1412">
              <w:rPr>
                <w:caps/>
                <w:noProof/>
                <w:sz w:val="18"/>
                <w:szCs w:val="18"/>
              </w:rPr>
              <w:t>7</w:t>
            </w:r>
          </w:p>
        </w:tc>
        <w:tc>
          <w:tcPr>
            <w:tcW w:w="425" w:type="dxa"/>
            <w:tcBorders>
              <w:top w:val="single" w:sz="4" w:space="0" w:color="auto"/>
              <w:left w:val="dotted" w:sz="4" w:space="0" w:color="auto"/>
              <w:bottom w:val="single" w:sz="4" w:space="0" w:color="auto"/>
              <w:right w:val="single" w:sz="4" w:space="0" w:color="auto"/>
            </w:tcBorders>
            <w:shd w:val="clear" w:color="auto" w:fill="C1ECFF"/>
          </w:tcPr>
          <w:p w14:paraId="2B748835"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309A1C17" w14:textId="77777777" w:rsidR="000A7D9D" w:rsidRPr="00EC1412" w:rsidRDefault="000A7D9D" w:rsidP="00F31937">
            <w:pPr>
              <w:jc w:val="right"/>
              <w:rPr>
                <w:caps/>
                <w:noProof/>
                <w:sz w:val="18"/>
                <w:szCs w:val="18"/>
              </w:rPr>
            </w:pPr>
            <w:r w:rsidRPr="00EC1412">
              <w:rPr>
                <w:caps/>
                <w:noProof/>
                <w:sz w:val="18"/>
                <w:szCs w:val="18"/>
              </w:rPr>
              <w:t>7</w:t>
            </w:r>
          </w:p>
        </w:tc>
        <w:tc>
          <w:tcPr>
            <w:tcW w:w="426" w:type="dxa"/>
            <w:tcBorders>
              <w:top w:val="single" w:sz="4" w:space="0" w:color="auto"/>
              <w:left w:val="dotted" w:sz="4" w:space="0" w:color="auto"/>
              <w:bottom w:val="single" w:sz="4" w:space="0" w:color="auto"/>
              <w:right w:val="single" w:sz="4" w:space="0" w:color="auto"/>
            </w:tcBorders>
            <w:shd w:val="clear" w:color="auto" w:fill="C1ECFF"/>
          </w:tcPr>
          <w:p w14:paraId="2334791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C1ECFF"/>
          </w:tcPr>
          <w:p w14:paraId="2F166649" w14:textId="77777777" w:rsidR="000A7D9D" w:rsidRPr="00EC1412" w:rsidRDefault="000A7D9D" w:rsidP="00F31937">
            <w:pPr>
              <w:jc w:val="right"/>
              <w:rPr>
                <w:caps/>
                <w:noProof/>
                <w:sz w:val="18"/>
                <w:szCs w:val="18"/>
              </w:rPr>
            </w:pPr>
            <w:r w:rsidRPr="00EC1412">
              <w:rPr>
                <w:caps/>
                <w:noProof/>
                <w:sz w:val="18"/>
                <w:szCs w:val="18"/>
              </w:rPr>
              <w:t>7</w:t>
            </w:r>
          </w:p>
        </w:tc>
        <w:tc>
          <w:tcPr>
            <w:tcW w:w="425" w:type="dxa"/>
            <w:tcBorders>
              <w:top w:val="single" w:sz="4" w:space="0" w:color="auto"/>
              <w:left w:val="dotted" w:sz="4" w:space="0" w:color="auto"/>
              <w:bottom w:val="single" w:sz="4" w:space="0" w:color="auto"/>
              <w:right w:val="single" w:sz="4" w:space="0" w:color="auto"/>
            </w:tcBorders>
            <w:shd w:val="clear" w:color="auto" w:fill="C1ECFF"/>
          </w:tcPr>
          <w:p w14:paraId="095ECCD3" w14:textId="77777777" w:rsidR="000A7D9D" w:rsidRPr="00EC1412" w:rsidRDefault="000A7D9D" w:rsidP="00F31937">
            <w:pPr>
              <w:jc w:val="right"/>
              <w:rPr>
                <w:caps/>
                <w:noProof/>
                <w:sz w:val="18"/>
                <w:szCs w:val="18"/>
              </w:rPr>
            </w:pPr>
            <w:r>
              <w:rPr>
                <w:caps/>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C1ECFF"/>
          </w:tcPr>
          <w:p w14:paraId="14E46703" w14:textId="77777777" w:rsidR="000A7D9D" w:rsidRPr="00EC1412" w:rsidRDefault="000A7D9D" w:rsidP="00F31937">
            <w:pPr>
              <w:ind w:left="-108"/>
              <w:jc w:val="right"/>
              <w:rPr>
                <w:caps/>
                <w:noProof/>
                <w:sz w:val="18"/>
                <w:szCs w:val="18"/>
              </w:rPr>
            </w:pPr>
            <w:r>
              <w:rPr>
                <w:caps/>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C1ECFF"/>
          </w:tcPr>
          <w:p w14:paraId="1950A5F3" w14:textId="77777777" w:rsidR="000A7D9D" w:rsidRPr="00EC1412" w:rsidRDefault="000A7D9D" w:rsidP="00F31937">
            <w:pPr>
              <w:ind w:left="-104"/>
              <w:jc w:val="right"/>
              <w:rPr>
                <w:caps/>
                <w:noProof/>
                <w:sz w:val="18"/>
                <w:szCs w:val="18"/>
              </w:rPr>
            </w:pPr>
            <w:r>
              <w:rPr>
                <w:caps/>
                <w:noProof/>
                <w:sz w:val="18"/>
                <w:szCs w:val="18"/>
              </w:rPr>
              <w:t>300</w:t>
            </w:r>
          </w:p>
        </w:tc>
        <w:tc>
          <w:tcPr>
            <w:tcW w:w="567" w:type="dxa"/>
            <w:tcBorders>
              <w:top w:val="single" w:sz="4" w:space="0" w:color="auto"/>
              <w:left w:val="single" w:sz="4" w:space="0" w:color="auto"/>
              <w:bottom w:val="single" w:sz="4" w:space="0" w:color="auto"/>
              <w:right w:val="single" w:sz="4" w:space="0" w:color="auto"/>
            </w:tcBorders>
            <w:shd w:val="clear" w:color="auto" w:fill="C1ECFF"/>
          </w:tcPr>
          <w:p w14:paraId="45FB162C" w14:textId="77777777" w:rsidR="000A7D9D" w:rsidRPr="00EC1412" w:rsidRDefault="000A7D9D" w:rsidP="00F31937">
            <w:pPr>
              <w:ind w:left="-113"/>
              <w:jc w:val="right"/>
              <w:rPr>
                <w:caps/>
                <w:noProof/>
                <w:sz w:val="18"/>
                <w:szCs w:val="18"/>
              </w:rPr>
            </w:pPr>
            <w:r>
              <w:rPr>
                <w:caps/>
                <w:noProof/>
                <w:sz w:val="18"/>
                <w:szCs w:val="18"/>
              </w:rPr>
              <w:t>300</w:t>
            </w:r>
          </w:p>
        </w:tc>
        <w:tc>
          <w:tcPr>
            <w:tcW w:w="567" w:type="dxa"/>
            <w:tcBorders>
              <w:top w:val="single" w:sz="4" w:space="0" w:color="auto"/>
              <w:left w:val="single" w:sz="4" w:space="0" w:color="auto"/>
              <w:bottom w:val="single" w:sz="4" w:space="0" w:color="auto"/>
            </w:tcBorders>
            <w:shd w:val="clear" w:color="auto" w:fill="C1ECFF"/>
          </w:tcPr>
          <w:p w14:paraId="4C8E66FB" w14:textId="77777777" w:rsidR="000A7D9D" w:rsidRPr="00EC1412" w:rsidRDefault="000A7D9D" w:rsidP="00F31937">
            <w:pPr>
              <w:jc w:val="right"/>
              <w:rPr>
                <w:caps/>
                <w:noProof/>
                <w:sz w:val="18"/>
                <w:szCs w:val="18"/>
              </w:rPr>
            </w:pPr>
            <w:r>
              <w:rPr>
                <w:caps/>
                <w:noProof/>
                <w:sz w:val="18"/>
                <w:szCs w:val="18"/>
              </w:rPr>
              <w:t>300</w:t>
            </w:r>
          </w:p>
        </w:tc>
      </w:tr>
      <w:tr w:rsidR="000A7D9D" w:rsidRPr="00EC1412" w14:paraId="15F8678B" w14:textId="77777777" w:rsidTr="00F31937">
        <w:trPr>
          <w:trHeight w:val="300"/>
        </w:trPr>
        <w:tc>
          <w:tcPr>
            <w:tcW w:w="3964" w:type="dxa"/>
            <w:tcBorders>
              <w:top w:val="single" w:sz="4" w:space="0" w:color="auto"/>
              <w:bottom w:val="single" w:sz="4" w:space="0" w:color="auto"/>
              <w:right w:val="single" w:sz="4" w:space="0" w:color="auto"/>
            </w:tcBorders>
            <w:shd w:val="clear" w:color="auto" w:fill="FFF4CC"/>
          </w:tcPr>
          <w:p w14:paraId="53315171" w14:textId="77777777" w:rsidR="000A7D9D" w:rsidRPr="00EC1412" w:rsidRDefault="000A7D9D" w:rsidP="00F31937">
            <w:pPr>
              <w:jc w:val="both"/>
              <w:rPr>
                <w:noProof/>
                <w:sz w:val="18"/>
                <w:szCs w:val="18"/>
              </w:rPr>
            </w:pPr>
            <w:r>
              <w:rPr>
                <w:noProof/>
                <w:sz w:val="18"/>
                <w:szCs w:val="18"/>
              </w:rPr>
              <w:t>Scientific advice of SCHEER on n</w:t>
            </w:r>
            <w:r w:rsidRPr="00EC1412">
              <w:rPr>
                <w:noProof/>
                <w:sz w:val="18"/>
                <w:szCs w:val="18"/>
              </w:rPr>
              <w:t xml:space="preserve">on-chemical </w:t>
            </w:r>
            <w:r>
              <w:rPr>
                <w:noProof/>
                <w:sz w:val="18"/>
                <w:szCs w:val="18"/>
              </w:rPr>
              <w:t xml:space="preserve">topics </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260E4ACC" w14:textId="77777777" w:rsidR="000A7D9D" w:rsidRPr="00EC1412" w:rsidRDefault="000A7D9D" w:rsidP="00F31937">
            <w:pPr>
              <w:jc w:val="right"/>
              <w:rPr>
                <w:caps/>
                <w:noProof/>
                <w:sz w:val="18"/>
                <w:szCs w:val="18"/>
              </w:rPr>
            </w:pPr>
            <w:r w:rsidRPr="00EC1412">
              <w:rPr>
                <w:caps/>
                <w:noProof/>
                <w:sz w:val="18"/>
                <w:szCs w:val="18"/>
              </w:rPr>
              <w:t>1</w:t>
            </w:r>
          </w:p>
        </w:tc>
        <w:tc>
          <w:tcPr>
            <w:tcW w:w="426" w:type="dxa"/>
            <w:tcBorders>
              <w:top w:val="single" w:sz="4" w:space="0" w:color="auto"/>
              <w:left w:val="dotted" w:sz="4" w:space="0" w:color="auto"/>
              <w:bottom w:val="single" w:sz="4" w:space="0" w:color="auto"/>
              <w:right w:val="single" w:sz="4" w:space="0" w:color="auto"/>
            </w:tcBorders>
            <w:shd w:val="clear" w:color="auto" w:fill="FFF4CC"/>
          </w:tcPr>
          <w:p w14:paraId="0D58396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0C9F9863"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single" w:sz="4" w:space="0" w:color="auto"/>
              <w:left w:val="dotted" w:sz="4" w:space="0" w:color="auto"/>
              <w:bottom w:val="single" w:sz="4" w:space="0" w:color="auto"/>
              <w:right w:val="single" w:sz="4" w:space="0" w:color="auto"/>
            </w:tcBorders>
            <w:shd w:val="clear" w:color="auto" w:fill="FFF4CC"/>
          </w:tcPr>
          <w:p w14:paraId="61A5D1A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3167C1CA" w14:textId="77777777" w:rsidR="000A7D9D" w:rsidRPr="00EC1412" w:rsidRDefault="000A7D9D" w:rsidP="00F31937">
            <w:pPr>
              <w:jc w:val="right"/>
              <w:rPr>
                <w:caps/>
                <w:noProof/>
                <w:sz w:val="18"/>
                <w:szCs w:val="18"/>
              </w:rPr>
            </w:pPr>
            <w:r w:rsidRPr="00EC1412">
              <w:rPr>
                <w:caps/>
                <w:noProof/>
                <w:sz w:val="18"/>
                <w:szCs w:val="18"/>
              </w:rPr>
              <w:t>1</w:t>
            </w:r>
          </w:p>
        </w:tc>
        <w:tc>
          <w:tcPr>
            <w:tcW w:w="426" w:type="dxa"/>
            <w:tcBorders>
              <w:top w:val="single" w:sz="4" w:space="0" w:color="auto"/>
              <w:left w:val="dotted" w:sz="4" w:space="0" w:color="auto"/>
              <w:bottom w:val="single" w:sz="4" w:space="0" w:color="auto"/>
              <w:right w:val="single" w:sz="4" w:space="0" w:color="auto"/>
            </w:tcBorders>
            <w:shd w:val="clear" w:color="auto" w:fill="FFF4CC"/>
          </w:tcPr>
          <w:p w14:paraId="748233FA" w14:textId="77777777" w:rsidR="000A7D9D" w:rsidRPr="00EC1412" w:rsidRDefault="000A7D9D" w:rsidP="00F31937">
            <w:pPr>
              <w:jc w:val="right"/>
              <w:rPr>
                <w:caps/>
                <w:noProof/>
                <w:sz w:val="18"/>
                <w:szCs w:val="18"/>
              </w:rPr>
            </w:pPr>
            <w:r>
              <w:rPr>
                <w:caps/>
                <w:noProof/>
                <w:sz w:val="18"/>
                <w:szCs w:val="18"/>
              </w:rPr>
              <w:t>0</w:t>
            </w:r>
          </w:p>
        </w:tc>
        <w:tc>
          <w:tcPr>
            <w:tcW w:w="425" w:type="dxa"/>
            <w:tcBorders>
              <w:top w:val="single" w:sz="4" w:space="0" w:color="auto"/>
              <w:left w:val="single" w:sz="4" w:space="0" w:color="auto"/>
              <w:bottom w:val="single" w:sz="4" w:space="0" w:color="auto"/>
              <w:right w:val="dotted" w:sz="4" w:space="0" w:color="auto"/>
            </w:tcBorders>
            <w:shd w:val="clear" w:color="auto" w:fill="FFF4CC"/>
          </w:tcPr>
          <w:p w14:paraId="4210F69B"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single" w:sz="4" w:space="0" w:color="auto"/>
              <w:left w:val="dotted" w:sz="4" w:space="0" w:color="auto"/>
              <w:bottom w:val="single" w:sz="4" w:space="0" w:color="auto"/>
              <w:right w:val="single" w:sz="4" w:space="0" w:color="auto"/>
            </w:tcBorders>
            <w:shd w:val="clear" w:color="auto" w:fill="FFF4CC"/>
          </w:tcPr>
          <w:p w14:paraId="1FD16AA8" w14:textId="77777777" w:rsidR="000A7D9D" w:rsidRPr="00EC1412" w:rsidRDefault="000A7D9D" w:rsidP="00F31937">
            <w:pPr>
              <w:jc w:val="right"/>
              <w:rPr>
                <w:caps/>
                <w:noProof/>
                <w:sz w:val="18"/>
                <w:szCs w:val="18"/>
              </w:rPr>
            </w:pPr>
            <w:r>
              <w:rPr>
                <w:caps/>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3FF57A69" w14:textId="77777777" w:rsidR="000A7D9D" w:rsidRPr="00EC1412" w:rsidRDefault="000A7D9D" w:rsidP="00F31937">
            <w:pPr>
              <w:ind w:left="-108"/>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4765DDA5" w14:textId="77777777" w:rsidR="000A7D9D" w:rsidRPr="00EC1412" w:rsidRDefault="000A7D9D" w:rsidP="00F31937">
            <w:pPr>
              <w:ind w:left="-104"/>
              <w:jc w:val="right"/>
              <w:rPr>
                <w:caps/>
                <w:noProof/>
                <w:sz w:val="18"/>
                <w:szCs w:val="18"/>
              </w:rPr>
            </w:pPr>
            <w:r>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4CC"/>
          </w:tcPr>
          <w:p w14:paraId="29F4D211" w14:textId="77777777" w:rsidR="000A7D9D" w:rsidRPr="00EC1412" w:rsidRDefault="000A7D9D" w:rsidP="00F31937">
            <w:pPr>
              <w:ind w:left="-113"/>
              <w:jc w:val="right"/>
              <w:rPr>
                <w:caps/>
                <w:noProof/>
                <w:sz w:val="18"/>
                <w:szCs w:val="18"/>
              </w:rPr>
            </w:pPr>
            <w:r w:rsidRPr="00EC1412">
              <w:rPr>
                <w:noProof/>
                <w:sz w:val="18"/>
                <w:szCs w:val="18"/>
              </w:rPr>
              <w:t>0</w:t>
            </w:r>
          </w:p>
        </w:tc>
        <w:tc>
          <w:tcPr>
            <w:tcW w:w="567" w:type="dxa"/>
            <w:tcBorders>
              <w:top w:val="single" w:sz="4" w:space="0" w:color="auto"/>
              <w:left w:val="single" w:sz="4" w:space="0" w:color="auto"/>
              <w:bottom w:val="single" w:sz="4" w:space="0" w:color="auto"/>
            </w:tcBorders>
            <w:shd w:val="clear" w:color="auto" w:fill="FFF4CC"/>
          </w:tcPr>
          <w:p w14:paraId="302BA8D3" w14:textId="77777777" w:rsidR="000A7D9D" w:rsidRPr="00EC1412" w:rsidRDefault="000A7D9D" w:rsidP="00F31937">
            <w:pPr>
              <w:jc w:val="right"/>
              <w:rPr>
                <w:caps/>
                <w:noProof/>
                <w:sz w:val="18"/>
                <w:szCs w:val="18"/>
              </w:rPr>
            </w:pPr>
            <w:r>
              <w:rPr>
                <w:noProof/>
                <w:sz w:val="18"/>
                <w:szCs w:val="18"/>
              </w:rPr>
              <w:t>0</w:t>
            </w:r>
          </w:p>
        </w:tc>
      </w:tr>
      <w:tr w:rsidR="000A7D9D" w:rsidRPr="00EC1412" w14:paraId="168DE215" w14:textId="77777777" w:rsidTr="00F31937">
        <w:trPr>
          <w:trHeight w:val="300"/>
        </w:trPr>
        <w:tc>
          <w:tcPr>
            <w:tcW w:w="3964" w:type="dxa"/>
            <w:tcBorders>
              <w:top w:val="single" w:sz="4" w:space="0" w:color="auto"/>
              <w:right w:val="single" w:sz="4" w:space="0" w:color="auto"/>
            </w:tcBorders>
            <w:shd w:val="clear" w:color="auto" w:fill="BFBFBF" w:themeFill="background1" w:themeFillShade="BF"/>
          </w:tcPr>
          <w:p w14:paraId="75A8FE82" w14:textId="77777777" w:rsidR="000A7D9D" w:rsidRPr="00EC1412" w:rsidRDefault="000A7D9D" w:rsidP="00F31937">
            <w:pPr>
              <w:jc w:val="both"/>
              <w:rPr>
                <w:b/>
                <w:caps/>
                <w:noProof/>
                <w:sz w:val="18"/>
                <w:szCs w:val="18"/>
              </w:rPr>
            </w:pPr>
            <w:r w:rsidRPr="00EC1412">
              <w:rPr>
                <w:b/>
                <w:caps/>
                <w:noProof/>
                <w:sz w:val="18"/>
                <w:szCs w:val="18"/>
              </w:rPr>
              <w:t>SUm</w:t>
            </w:r>
          </w:p>
        </w:tc>
        <w:tc>
          <w:tcPr>
            <w:tcW w:w="425" w:type="dxa"/>
            <w:tcBorders>
              <w:top w:val="single" w:sz="4" w:space="0" w:color="auto"/>
              <w:left w:val="single" w:sz="4" w:space="0" w:color="auto"/>
              <w:right w:val="dotted" w:sz="4" w:space="0" w:color="auto"/>
            </w:tcBorders>
            <w:shd w:val="clear" w:color="auto" w:fill="BFBFBF" w:themeFill="background1" w:themeFillShade="BF"/>
          </w:tcPr>
          <w:p w14:paraId="6F38B836" w14:textId="77777777" w:rsidR="000A7D9D" w:rsidRPr="00EC1412" w:rsidRDefault="000A7D9D" w:rsidP="00F31937">
            <w:pPr>
              <w:jc w:val="right"/>
              <w:rPr>
                <w:b/>
                <w:caps/>
                <w:noProof/>
                <w:sz w:val="18"/>
                <w:szCs w:val="18"/>
              </w:rPr>
            </w:pPr>
            <w:r>
              <w:rPr>
                <w:b/>
                <w:caps/>
                <w:noProof/>
                <w:sz w:val="18"/>
                <w:szCs w:val="18"/>
              </w:rPr>
              <w:t>34</w:t>
            </w:r>
          </w:p>
        </w:tc>
        <w:tc>
          <w:tcPr>
            <w:tcW w:w="426" w:type="dxa"/>
            <w:tcBorders>
              <w:top w:val="single" w:sz="4" w:space="0" w:color="auto"/>
              <w:left w:val="dotted" w:sz="4" w:space="0" w:color="auto"/>
              <w:right w:val="single" w:sz="4" w:space="0" w:color="auto"/>
            </w:tcBorders>
            <w:shd w:val="clear" w:color="auto" w:fill="BFBFBF" w:themeFill="background1" w:themeFillShade="BF"/>
          </w:tcPr>
          <w:p w14:paraId="6DFFDA8A" w14:textId="77777777" w:rsidR="000A7D9D" w:rsidRPr="00EC1412" w:rsidRDefault="000A7D9D" w:rsidP="00F31937">
            <w:pPr>
              <w:jc w:val="right"/>
              <w:rPr>
                <w:b/>
                <w:caps/>
                <w:noProof/>
                <w:sz w:val="18"/>
                <w:szCs w:val="18"/>
              </w:rPr>
            </w:pPr>
            <w:r>
              <w:rPr>
                <w:b/>
                <w:caps/>
                <w:noProof/>
                <w:sz w:val="18"/>
                <w:szCs w:val="18"/>
              </w:rPr>
              <w:t>26</w:t>
            </w:r>
          </w:p>
        </w:tc>
        <w:tc>
          <w:tcPr>
            <w:tcW w:w="425" w:type="dxa"/>
            <w:tcBorders>
              <w:top w:val="single" w:sz="4" w:space="0" w:color="auto"/>
              <w:left w:val="single" w:sz="4" w:space="0" w:color="auto"/>
              <w:right w:val="dotted" w:sz="4" w:space="0" w:color="auto"/>
            </w:tcBorders>
            <w:shd w:val="clear" w:color="auto" w:fill="BFBFBF" w:themeFill="background1" w:themeFillShade="BF"/>
          </w:tcPr>
          <w:p w14:paraId="0B6FC1C5" w14:textId="77777777" w:rsidR="000A7D9D" w:rsidRPr="00EC1412" w:rsidRDefault="000A7D9D" w:rsidP="00F31937">
            <w:pPr>
              <w:jc w:val="right"/>
              <w:rPr>
                <w:b/>
                <w:caps/>
                <w:noProof/>
                <w:sz w:val="18"/>
                <w:szCs w:val="18"/>
              </w:rPr>
            </w:pPr>
            <w:r>
              <w:rPr>
                <w:b/>
                <w:caps/>
                <w:noProof/>
                <w:sz w:val="18"/>
                <w:szCs w:val="18"/>
              </w:rPr>
              <w:t>38</w:t>
            </w:r>
          </w:p>
        </w:tc>
        <w:tc>
          <w:tcPr>
            <w:tcW w:w="425" w:type="dxa"/>
            <w:tcBorders>
              <w:top w:val="single" w:sz="4" w:space="0" w:color="auto"/>
              <w:left w:val="dotted" w:sz="4" w:space="0" w:color="auto"/>
              <w:right w:val="single" w:sz="4" w:space="0" w:color="auto"/>
            </w:tcBorders>
            <w:shd w:val="clear" w:color="auto" w:fill="BFBFBF" w:themeFill="background1" w:themeFillShade="BF"/>
          </w:tcPr>
          <w:p w14:paraId="596949C1" w14:textId="77777777" w:rsidR="000A7D9D" w:rsidRPr="00EC1412" w:rsidRDefault="000A7D9D" w:rsidP="00F31937">
            <w:pPr>
              <w:jc w:val="right"/>
              <w:rPr>
                <w:b/>
                <w:caps/>
                <w:noProof/>
                <w:sz w:val="18"/>
                <w:szCs w:val="18"/>
              </w:rPr>
            </w:pPr>
            <w:r>
              <w:rPr>
                <w:b/>
                <w:caps/>
                <w:noProof/>
                <w:sz w:val="18"/>
                <w:szCs w:val="18"/>
              </w:rPr>
              <w:t>31</w:t>
            </w:r>
          </w:p>
        </w:tc>
        <w:tc>
          <w:tcPr>
            <w:tcW w:w="425" w:type="dxa"/>
            <w:tcBorders>
              <w:top w:val="single" w:sz="4" w:space="0" w:color="auto"/>
              <w:left w:val="single" w:sz="4" w:space="0" w:color="auto"/>
              <w:right w:val="dotted" w:sz="4" w:space="0" w:color="auto"/>
            </w:tcBorders>
            <w:shd w:val="clear" w:color="auto" w:fill="BFBFBF" w:themeFill="background1" w:themeFillShade="BF"/>
          </w:tcPr>
          <w:p w14:paraId="373F4AE1" w14:textId="77777777" w:rsidR="000A7D9D" w:rsidRPr="00EC1412" w:rsidRDefault="000A7D9D" w:rsidP="00F31937">
            <w:pPr>
              <w:jc w:val="right"/>
              <w:rPr>
                <w:b/>
                <w:caps/>
                <w:noProof/>
                <w:sz w:val="18"/>
                <w:szCs w:val="18"/>
              </w:rPr>
            </w:pPr>
            <w:r>
              <w:rPr>
                <w:b/>
                <w:caps/>
                <w:noProof/>
                <w:sz w:val="18"/>
                <w:szCs w:val="18"/>
              </w:rPr>
              <w:t>38</w:t>
            </w:r>
          </w:p>
        </w:tc>
        <w:tc>
          <w:tcPr>
            <w:tcW w:w="426" w:type="dxa"/>
            <w:tcBorders>
              <w:top w:val="single" w:sz="4" w:space="0" w:color="auto"/>
              <w:left w:val="dotted" w:sz="4" w:space="0" w:color="auto"/>
              <w:right w:val="single" w:sz="4" w:space="0" w:color="auto"/>
            </w:tcBorders>
            <w:shd w:val="clear" w:color="auto" w:fill="BFBFBF" w:themeFill="background1" w:themeFillShade="BF"/>
          </w:tcPr>
          <w:p w14:paraId="12286472" w14:textId="77777777" w:rsidR="000A7D9D" w:rsidRPr="00EC1412" w:rsidRDefault="000A7D9D" w:rsidP="00F31937">
            <w:pPr>
              <w:jc w:val="right"/>
              <w:rPr>
                <w:b/>
                <w:caps/>
                <w:noProof/>
                <w:sz w:val="18"/>
                <w:szCs w:val="18"/>
              </w:rPr>
            </w:pPr>
            <w:r>
              <w:rPr>
                <w:b/>
                <w:caps/>
                <w:noProof/>
                <w:sz w:val="18"/>
                <w:szCs w:val="18"/>
              </w:rPr>
              <w:t>31</w:t>
            </w:r>
          </w:p>
        </w:tc>
        <w:tc>
          <w:tcPr>
            <w:tcW w:w="425" w:type="dxa"/>
            <w:tcBorders>
              <w:top w:val="single" w:sz="4" w:space="0" w:color="auto"/>
              <w:left w:val="single" w:sz="4" w:space="0" w:color="auto"/>
              <w:right w:val="dotted" w:sz="4" w:space="0" w:color="auto"/>
            </w:tcBorders>
            <w:shd w:val="clear" w:color="auto" w:fill="BFBFBF" w:themeFill="background1" w:themeFillShade="BF"/>
          </w:tcPr>
          <w:p w14:paraId="32A22090" w14:textId="77777777" w:rsidR="000A7D9D" w:rsidRPr="00EC1412" w:rsidRDefault="000A7D9D" w:rsidP="00F31937">
            <w:pPr>
              <w:jc w:val="right"/>
              <w:rPr>
                <w:b/>
                <w:caps/>
                <w:noProof/>
                <w:sz w:val="18"/>
                <w:szCs w:val="18"/>
              </w:rPr>
            </w:pPr>
            <w:r>
              <w:rPr>
                <w:b/>
                <w:caps/>
                <w:noProof/>
                <w:sz w:val="18"/>
                <w:szCs w:val="18"/>
              </w:rPr>
              <w:t>37</w:t>
            </w:r>
          </w:p>
        </w:tc>
        <w:tc>
          <w:tcPr>
            <w:tcW w:w="425" w:type="dxa"/>
            <w:tcBorders>
              <w:top w:val="single" w:sz="4" w:space="0" w:color="auto"/>
              <w:left w:val="dotted" w:sz="4" w:space="0" w:color="auto"/>
              <w:right w:val="single" w:sz="4" w:space="0" w:color="auto"/>
            </w:tcBorders>
            <w:shd w:val="clear" w:color="auto" w:fill="BFBFBF" w:themeFill="background1" w:themeFillShade="BF"/>
          </w:tcPr>
          <w:p w14:paraId="10C8022B" w14:textId="77777777" w:rsidR="000A7D9D" w:rsidRPr="00EC1412" w:rsidRDefault="000A7D9D" w:rsidP="00F31937">
            <w:pPr>
              <w:jc w:val="right"/>
              <w:rPr>
                <w:b/>
                <w:caps/>
                <w:noProof/>
                <w:sz w:val="18"/>
                <w:szCs w:val="18"/>
              </w:rPr>
            </w:pPr>
            <w:r>
              <w:rPr>
                <w:b/>
                <w:caps/>
                <w:noProof/>
                <w:sz w:val="18"/>
                <w:szCs w:val="18"/>
              </w:rPr>
              <w:t>19</w:t>
            </w:r>
          </w:p>
        </w:tc>
        <w:tc>
          <w:tcPr>
            <w:tcW w:w="567" w:type="dxa"/>
            <w:tcBorders>
              <w:top w:val="single" w:sz="4" w:space="0" w:color="auto"/>
              <w:left w:val="single" w:sz="4" w:space="0" w:color="auto"/>
              <w:right w:val="single" w:sz="4" w:space="0" w:color="auto"/>
            </w:tcBorders>
            <w:shd w:val="clear" w:color="auto" w:fill="BFBFBF" w:themeFill="background1" w:themeFillShade="BF"/>
          </w:tcPr>
          <w:p w14:paraId="6407D488" w14:textId="77777777" w:rsidR="000A7D9D" w:rsidRPr="00EC1412" w:rsidRDefault="000A7D9D" w:rsidP="00F31937">
            <w:pPr>
              <w:ind w:left="-108"/>
              <w:jc w:val="right"/>
              <w:rPr>
                <w:b/>
                <w:caps/>
                <w:noProof/>
                <w:sz w:val="18"/>
                <w:szCs w:val="18"/>
              </w:rPr>
            </w:pPr>
            <w:r>
              <w:rPr>
                <w:b/>
                <w:caps/>
                <w:noProof/>
                <w:sz w:val="18"/>
                <w:szCs w:val="18"/>
              </w:rPr>
              <w:t>1 051</w:t>
            </w:r>
          </w:p>
        </w:tc>
        <w:tc>
          <w:tcPr>
            <w:tcW w:w="567" w:type="dxa"/>
            <w:tcBorders>
              <w:top w:val="single" w:sz="4" w:space="0" w:color="auto"/>
              <w:left w:val="single" w:sz="4" w:space="0" w:color="auto"/>
              <w:right w:val="single" w:sz="4" w:space="0" w:color="auto"/>
            </w:tcBorders>
            <w:shd w:val="clear" w:color="auto" w:fill="BFBFBF" w:themeFill="background1" w:themeFillShade="BF"/>
          </w:tcPr>
          <w:p w14:paraId="1B7145FE" w14:textId="77777777" w:rsidR="000A7D9D" w:rsidRPr="00EC1412" w:rsidRDefault="000A7D9D" w:rsidP="00F31937">
            <w:pPr>
              <w:ind w:left="-104"/>
              <w:jc w:val="right"/>
              <w:rPr>
                <w:b/>
                <w:caps/>
                <w:noProof/>
                <w:sz w:val="18"/>
                <w:szCs w:val="18"/>
              </w:rPr>
            </w:pPr>
            <w:r>
              <w:rPr>
                <w:b/>
                <w:caps/>
                <w:noProof/>
                <w:sz w:val="18"/>
                <w:szCs w:val="18"/>
              </w:rPr>
              <w:t>8 435</w:t>
            </w:r>
          </w:p>
        </w:tc>
        <w:tc>
          <w:tcPr>
            <w:tcW w:w="567" w:type="dxa"/>
            <w:tcBorders>
              <w:top w:val="single" w:sz="4" w:space="0" w:color="auto"/>
              <w:left w:val="single" w:sz="4" w:space="0" w:color="auto"/>
              <w:right w:val="single" w:sz="4" w:space="0" w:color="auto"/>
            </w:tcBorders>
            <w:shd w:val="clear" w:color="auto" w:fill="BFBFBF" w:themeFill="background1" w:themeFillShade="BF"/>
          </w:tcPr>
          <w:p w14:paraId="6396D9EB" w14:textId="77777777" w:rsidR="000A7D9D" w:rsidRPr="00EC1412" w:rsidRDefault="000A7D9D" w:rsidP="00F31937">
            <w:pPr>
              <w:ind w:left="-113" w:right="-106"/>
              <w:jc w:val="center"/>
              <w:rPr>
                <w:b/>
                <w:caps/>
                <w:noProof/>
                <w:sz w:val="18"/>
                <w:szCs w:val="18"/>
              </w:rPr>
            </w:pPr>
            <w:r>
              <w:rPr>
                <w:b/>
                <w:caps/>
                <w:noProof/>
                <w:sz w:val="18"/>
                <w:szCs w:val="18"/>
              </w:rPr>
              <w:t>10 300</w:t>
            </w:r>
          </w:p>
        </w:tc>
        <w:tc>
          <w:tcPr>
            <w:tcW w:w="567" w:type="dxa"/>
            <w:tcBorders>
              <w:top w:val="single" w:sz="4" w:space="0" w:color="auto"/>
              <w:left w:val="single" w:sz="4" w:space="0" w:color="auto"/>
            </w:tcBorders>
            <w:shd w:val="clear" w:color="auto" w:fill="BFBFBF" w:themeFill="background1" w:themeFillShade="BF"/>
          </w:tcPr>
          <w:p w14:paraId="2D32F280" w14:textId="77777777" w:rsidR="000A7D9D" w:rsidRPr="00EC1412" w:rsidRDefault="000A7D9D" w:rsidP="00F31937">
            <w:pPr>
              <w:ind w:left="-104"/>
              <w:jc w:val="right"/>
              <w:rPr>
                <w:b/>
                <w:caps/>
                <w:noProof/>
                <w:sz w:val="18"/>
                <w:szCs w:val="18"/>
              </w:rPr>
            </w:pPr>
            <w:r w:rsidRPr="00EC1412">
              <w:rPr>
                <w:b/>
                <w:caps/>
                <w:noProof/>
                <w:sz w:val="18"/>
                <w:szCs w:val="18"/>
              </w:rPr>
              <w:t>8</w:t>
            </w:r>
            <w:r>
              <w:rPr>
                <w:b/>
                <w:caps/>
                <w:noProof/>
                <w:sz w:val="18"/>
                <w:szCs w:val="18"/>
              </w:rPr>
              <w:t xml:space="preserve"> 723</w:t>
            </w:r>
          </w:p>
        </w:tc>
      </w:tr>
    </w:tbl>
    <w:p w14:paraId="5C270157" w14:textId="77777777" w:rsidR="000A7D9D" w:rsidRPr="00EC1412" w:rsidRDefault="000A7D9D" w:rsidP="000A7D9D">
      <w:pPr>
        <w:jc w:val="both"/>
        <w:rPr>
          <w:rFonts w:ascii="Times New Roman" w:hAnsi="Times New Roman" w:cs="Times New Roman"/>
          <w:caps/>
          <w:noProof/>
        </w:rPr>
      </w:pPr>
    </w:p>
    <w:tbl>
      <w:tblPr>
        <w:tblStyle w:val="TableGrid"/>
        <w:tblW w:w="9634" w:type="dxa"/>
        <w:tblLayout w:type="fixed"/>
        <w:tblLook w:val="04A0" w:firstRow="1" w:lastRow="0" w:firstColumn="1" w:lastColumn="0" w:noHBand="0" w:noVBand="1"/>
      </w:tblPr>
      <w:tblGrid>
        <w:gridCol w:w="1838"/>
        <w:gridCol w:w="567"/>
        <w:gridCol w:w="425"/>
        <w:gridCol w:w="567"/>
        <w:gridCol w:w="567"/>
        <w:gridCol w:w="567"/>
        <w:gridCol w:w="567"/>
        <w:gridCol w:w="567"/>
        <w:gridCol w:w="567"/>
        <w:gridCol w:w="851"/>
        <w:gridCol w:w="850"/>
        <w:gridCol w:w="851"/>
        <w:gridCol w:w="850"/>
      </w:tblGrid>
      <w:tr w:rsidR="000A7D9D" w:rsidRPr="00EC1412" w14:paraId="324BF34D" w14:textId="77777777" w:rsidTr="00F31937">
        <w:tc>
          <w:tcPr>
            <w:tcW w:w="9634" w:type="dxa"/>
            <w:gridSpan w:val="13"/>
            <w:tcBorders>
              <w:bottom w:val="single" w:sz="4" w:space="0" w:color="auto"/>
            </w:tcBorders>
            <w:shd w:val="clear" w:color="auto" w:fill="A6A6A6" w:themeFill="background1" w:themeFillShade="A6"/>
          </w:tcPr>
          <w:p w14:paraId="5F6B4BE8" w14:textId="77777777" w:rsidR="000A7D9D" w:rsidRPr="00EC1412" w:rsidRDefault="000A7D9D" w:rsidP="00F31937">
            <w:pPr>
              <w:spacing w:before="60" w:after="60"/>
              <w:jc w:val="both"/>
              <w:rPr>
                <w:b/>
                <w:bCs/>
                <w:caps/>
                <w:noProof/>
                <w:sz w:val="18"/>
                <w:szCs w:val="18"/>
              </w:rPr>
            </w:pPr>
            <w:r w:rsidRPr="2D69C30E">
              <w:rPr>
                <w:b/>
                <w:bCs/>
                <w:noProof/>
                <w:sz w:val="18"/>
                <w:szCs w:val="18"/>
              </w:rPr>
              <w:t>Table 11. Pending resource needs per agency (operational costs in EUR 1 000</w:t>
            </w:r>
            <w:r w:rsidRPr="2D69C30E">
              <w:rPr>
                <w:noProof/>
                <w:sz w:val="18"/>
                <w:szCs w:val="18"/>
              </w:rPr>
              <w:t>)</w:t>
            </w:r>
          </w:p>
        </w:tc>
      </w:tr>
      <w:tr w:rsidR="000A7D9D" w:rsidRPr="00EC1412" w14:paraId="7B94533A" w14:textId="77777777" w:rsidTr="00F31937">
        <w:tc>
          <w:tcPr>
            <w:tcW w:w="1838" w:type="dxa"/>
            <w:tcBorders>
              <w:bottom w:val="single" w:sz="4" w:space="0" w:color="auto"/>
              <w:right w:val="single" w:sz="4" w:space="0" w:color="auto"/>
            </w:tcBorders>
            <w:shd w:val="clear" w:color="auto" w:fill="BFBFBF" w:themeFill="background1" w:themeFillShade="BF"/>
          </w:tcPr>
          <w:p w14:paraId="26C199A8" w14:textId="77777777" w:rsidR="000A7D9D" w:rsidRPr="00EC1412" w:rsidRDefault="000A7D9D" w:rsidP="00F31937">
            <w:pPr>
              <w:jc w:val="both"/>
              <w:rPr>
                <w:noProof/>
                <w:sz w:val="18"/>
                <w:szCs w:val="18"/>
              </w:rPr>
            </w:pPr>
          </w:p>
        </w:tc>
        <w:tc>
          <w:tcPr>
            <w:tcW w:w="4394" w:type="dxa"/>
            <w:gridSpan w:val="8"/>
            <w:tcBorders>
              <w:left w:val="single" w:sz="4" w:space="0" w:color="auto"/>
              <w:right w:val="single" w:sz="4" w:space="0" w:color="auto"/>
            </w:tcBorders>
            <w:shd w:val="clear" w:color="auto" w:fill="BFBFBF" w:themeFill="background1" w:themeFillShade="BF"/>
          </w:tcPr>
          <w:p w14:paraId="6C307CD9" w14:textId="77777777" w:rsidR="000A7D9D" w:rsidRPr="00EC1412" w:rsidRDefault="000A7D9D" w:rsidP="00F31937">
            <w:pPr>
              <w:jc w:val="center"/>
              <w:rPr>
                <w:b/>
                <w:caps/>
                <w:noProof/>
                <w:sz w:val="18"/>
                <w:szCs w:val="18"/>
              </w:rPr>
            </w:pPr>
            <w:r w:rsidRPr="00EC1412">
              <w:rPr>
                <w:b/>
                <w:noProof/>
                <w:sz w:val="18"/>
                <w:szCs w:val="18"/>
              </w:rPr>
              <w:t>FTEs</w:t>
            </w:r>
          </w:p>
        </w:tc>
        <w:tc>
          <w:tcPr>
            <w:tcW w:w="3402" w:type="dxa"/>
            <w:gridSpan w:val="4"/>
            <w:tcBorders>
              <w:left w:val="single" w:sz="4" w:space="0" w:color="auto"/>
              <w:bottom w:val="single" w:sz="4" w:space="0" w:color="auto"/>
            </w:tcBorders>
            <w:shd w:val="clear" w:color="auto" w:fill="BFBFBF" w:themeFill="background1" w:themeFillShade="BF"/>
          </w:tcPr>
          <w:p w14:paraId="1B32813A"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19D9EA4E" w14:textId="77777777" w:rsidTr="00F31937">
        <w:tc>
          <w:tcPr>
            <w:tcW w:w="1838" w:type="dxa"/>
            <w:tcBorders>
              <w:right w:val="single" w:sz="4" w:space="0" w:color="auto"/>
            </w:tcBorders>
            <w:shd w:val="clear" w:color="auto" w:fill="BFBFBF" w:themeFill="background1" w:themeFillShade="BF"/>
          </w:tcPr>
          <w:p w14:paraId="0449CB04" w14:textId="77777777" w:rsidR="000A7D9D" w:rsidRPr="00EC1412" w:rsidRDefault="000A7D9D" w:rsidP="00F31937">
            <w:pPr>
              <w:jc w:val="both"/>
              <w:rPr>
                <w:b/>
                <w:bCs/>
                <w:noProof/>
                <w:sz w:val="18"/>
                <w:szCs w:val="18"/>
              </w:rPr>
            </w:pPr>
            <w:r w:rsidRPr="2D69C30E">
              <w:rPr>
                <w:b/>
                <w:bCs/>
                <w:noProof/>
                <w:sz w:val="18"/>
                <w:szCs w:val="18"/>
              </w:rPr>
              <w:t>Agency / Service</w:t>
            </w:r>
          </w:p>
        </w:tc>
        <w:tc>
          <w:tcPr>
            <w:tcW w:w="992" w:type="dxa"/>
            <w:gridSpan w:val="2"/>
            <w:tcBorders>
              <w:left w:val="single" w:sz="4" w:space="0" w:color="auto"/>
              <w:right w:val="single" w:sz="4" w:space="0" w:color="auto"/>
            </w:tcBorders>
            <w:shd w:val="clear" w:color="auto" w:fill="BFBFBF" w:themeFill="background1" w:themeFillShade="BF"/>
          </w:tcPr>
          <w:p w14:paraId="1DFDFE25"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5</w:t>
            </w:r>
          </w:p>
        </w:tc>
        <w:tc>
          <w:tcPr>
            <w:tcW w:w="1134" w:type="dxa"/>
            <w:gridSpan w:val="2"/>
            <w:tcBorders>
              <w:left w:val="single" w:sz="4" w:space="0" w:color="auto"/>
              <w:right w:val="single" w:sz="4" w:space="0" w:color="auto"/>
            </w:tcBorders>
            <w:shd w:val="clear" w:color="auto" w:fill="BFBFBF" w:themeFill="background1" w:themeFillShade="BF"/>
          </w:tcPr>
          <w:p w14:paraId="340B92EE"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6</w:t>
            </w:r>
          </w:p>
        </w:tc>
        <w:tc>
          <w:tcPr>
            <w:tcW w:w="1134" w:type="dxa"/>
            <w:gridSpan w:val="2"/>
            <w:tcBorders>
              <w:left w:val="single" w:sz="4" w:space="0" w:color="auto"/>
              <w:right w:val="single" w:sz="4" w:space="0" w:color="auto"/>
            </w:tcBorders>
            <w:shd w:val="clear" w:color="auto" w:fill="BFBFBF" w:themeFill="background1" w:themeFillShade="BF"/>
          </w:tcPr>
          <w:p w14:paraId="3B1084DC"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7</w:t>
            </w:r>
          </w:p>
        </w:tc>
        <w:tc>
          <w:tcPr>
            <w:tcW w:w="1134" w:type="dxa"/>
            <w:gridSpan w:val="2"/>
            <w:tcBorders>
              <w:left w:val="single" w:sz="4" w:space="0" w:color="auto"/>
              <w:right w:val="single" w:sz="4" w:space="0" w:color="auto"/>
            </w:tcBorders>
            <w:shd w:val="clear" w:color="auto" w:fill="BFBFBF" w:themeFill="background1" w:themeFillShade="BF"/>
          </w:tcPr>
          <w:p w14:paraId="03C5C1F2"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8</w:t>
            </w:r>
          </w:p>
        </w:tc>
        <w:tc>
          <w:tcPr>
            <w:tcW w:w="851" w:type="dxa"/>
            <w:tcBorders>
              <w:left w:val="single" w:sz="4" w:space="0" w:color="auto"/>
              <w:right w:val="single" w:sz="4" w:space="0" w:color="auto"/>
            </w:tcBorders>
            <w:shd w:val="clear" w:color="auto" w:fill="BFBFBF" w:themeFill="background1" w:themeFillShade="BF"/>
          </w:tcPr>
          <w:p w14:paraId="54AE021B"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5</w:t>
            </w:r>
          </w:p>
        </w:tc>
        <w:tc>
          <w:tcPr>
            <w:tcW w:w="850" w:type="dxa"/>
            <w:tcBorders>
              <w:left w:val="single" w:sz="4" w:space="0" w:color="auto"/>
              <w:right w:val="single" w:sz="4" w:space="0" w:color="auto"/>
            </w:tcBorders>
            <w:shd w:val="clear" w:color="auto" w:fill="BFBFBF" w:themeFill="background1" w:themeFillShade="BF"/>
          </w:tcPr>
          <w:p w14:paraId="3293B18E"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6</w:t>
            </w:r>
          </w:p>
        </w:tc>
        <w:tc>
          <w:tcPr>
            <w:tcW w:w="851" w:type="dxa"/>
            <w:tcBorders>
              <w:left w:val="single" w:sz="4" w:space="0" w:color="auto"/>
              <w:right w:val="single" w:sz="4" w:space="0" w:color="auto"/>
            </w:tcBorders>
            <w:shd w:val="clear" w:color="auto" w:fill="BFBFBF" w:themeFill="background1" w:themeFillShade="BF"/>
          </w:tcPr>
          <w:p w14:paraId="670F7611"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7</w:t>
            </w:r>
          </w:p>
        </w:tc>
        <w:tc>
          <w:tcPr>
            <w:tcW w:w="850" w:type="dxa"/>
            <w:tcBorders>
              <w:left w:val="single" w:sz="4" w:space="0" w:color="auto"/>
            </w:tcBorders>
            <w:shd w:val="clear" w:color="auto" w:fill="BFBFBF" w:themeFill="background1" w:themeFillShade="BF"/>
          </w:tcPr>
          <w:p w14:paraId="57315014"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8</w:t>
            </w:r>
          </w:p>
        </w:tc>
      </w:tr>
      <w:tr w:rsidR="000A7D9D" w:rsidRPr="00EC1412" w14:paraId="4704EC23" w14:textId="77777777" w:rsidTr="00F31937">
        <w:tc>
          <w:tcPr>
            <w:tcW w:w="1838" w:type="dxa"/>
            <w:tcBorders>
              <w:bottom w:val="single" w:sz="4" w:space="0" w:color="auto"/>
              <w:right w:val="single" w:sz="4" w:space="0" w:color="auto"/>
            </w:tcBorders>
            <w:shd w:val="clear" w:color="auto" w:fill="BFBFBF" w:themeFill="background1" w:themeFillShade="BF"/>
          </w:tcPr>
          <w:p w14:paraId="57FE8069" w14:textId="77777777" w:rsidR="000A7D9D" w:rsidRPr="2D69C30E" w:rsidRDefault="000A7D9D" w:rsidP="00F31937">
            <w:pPr>
              <w:jc w:val="both"/>
              <w:rPr>
                <w:b/>
                <w:bCs/>
                <w:noProof/>
                <w:sz w:val="18"/>
                <w:szCs w:val="18"/>
              </w:rPr>
            </w:pPr>
          </w:p>
        </w:tc>
        <w:tc>
          <w:tcPr>
            <w:tcW w:w="567" w:type="dxa"/>
            <w:tcBorders>
              <w:left w:val="single" w:sz="4" w:space="0" w:color="auto"/>
              <w:right w:val="dotted" w:sz="4" w:space="0" w:color="auto"/>
            </w:tcBorders>
            <w:shd w:val="clear" w:color="auto" w:fill="BFBFBF" w:themeFill="background1" w:themeFillShade="BF"/>
          </w:tcPr>
          <w:p w14:paraId="59912053" w14:textId="77777777" w:rsidR="000A7D9D" w:rsidRPr="00EC1412" w:rsidRDefault="000A7D9D" w:rsidP="00F31937">
            <w:pPr>
              <w:jc w:val="center"/>
              <w:rPr>
                <w:b/>
                <w:caps/>
                <w:noProof/>
                <w:sz w:val="18"/>
                <w:szCs w:val="18"/>
              </w:rPr>
            </w:pPr>
            <w:r>
              <w:rPr>
                <w:b/>
                <w:caps/>
                <w:noProof/>
                <w:sz w:val="18"/>
                <w:szCs w:val="18"/>
              </w:rPr>
              <w:t>TA</w:t>
            </w:r>
          </w:p>
        </w:tc>
        <w:tc>
          <w:tcPr>
            <w:tcW w:w="425" w:type="dxa"/>
            <w:tcBorders>
              <w:left w:val="dotted" w:sz="4" w:space="0" w:color="auto"/>
              <w:right w:val="single" w:sz="4" w:space="0" w:color="auto"/>
            </w:tcBorders>
            <w:shd w:val="clear" w:color="auto" w:fill="BFBFBF" w:themeFill="background1" w:themeFillShade="BF"/>
          </w:tcPr>
          <w:p w14:paraId="2F91E460" w14:textId="77777777" w:rsidR="000A7D9D" w:rsidRPr="00EC1412" w:rsidRDefault="000A7D9D" w:rsidP="00F31937">
            <w:pPr>
              <w:ind w:left="-111"/>
              <w:jc w:val="center"/>
              <w:rPr>
                <w:b/>
                <w:caps/>
                <w:noProof/>
                <w:sz w:val="18"/>
                <w:szCs w:val="18"/>
              </w:rPr>
            </w:pPr>
            <w:r>
              <w:rPr>
                <w:b/>
                <w:caps/>
                <w:noProof/>
                <w:sz w:val="18"/>
                <w:szCs w:val="18"/>
              </w:rPr>
              <w:t>CA</w:t>
            </w:r>
          </w:p>
        </w:tc>
        <w:tc>
          <w:tcPr>
            <w:tcW w:w="567" w:type="dxa"/>
            <w:tcBorders>
              <w:left w:val="single" w:sz="4" w:space="0" w:color="auto"/>
              <w:right w:val="dotted" w:sz="4" w:space="0" w:color="auto"/>
            </w:tcBorders>
            <w:shd w:val="clear" w:color="auto" w:fill="BFBFBF" w:themeFill="background1" w:themeFillShade="BF"/>
          </w:tcPr>
          <w:p w14:paraId="0AF2F0A6" w14:textId="77777777" w:rsidR="000A7D9D" w:rsidRPr="00EC1412" w:rsidRDefault="000A7D9D" w:rsidP="00F31937">
            <w:pPr>
              <w:jc w:val="center"/>
              <w:rPr>
                <w:b/>
                <w:caps/>
                <w:noProof/>
                <w:sz w:val="18"/>
                <w:szCs w:val="18"/>
              </w:rPr>
            </w:pPr>
            <w:r>
              <w:rPr>
                <w:b/>
                <w:caps/>
                <w:noProof/>
                <w:sz w:val="18"/>
                <w:szCs w:val="18"/>
              </w:rPr>
              <w:t>TA</w:t>
            </w:r>
          </w:p>
        </w:tc>
        <w:tc>
          <w:tcPr>
            <w:tcW w:w="567" w:type="dxa"/>
            <w:tcBorders>
              <w:left w:val="dotted" w:sz="4" w:space="0" w:color="auto"/>
              <w:right w:val="single" w:sz="4" w:space="0" w:color="auto"/>
            </w:tcBorders>
            <w:shd w:val="clear" w:color="auto" w:fill="BFBFBF" w:themeFill="background1" w:themeFillShade="BF"/>
          </w:tcPr>
          <w:p w14:paraId="2506C581" w14:textId="77777777" w:rsidR="000A7D9D" w:rsidRPr="00EC1412" w:rsidRDefault="000A7D9D" w:rsidP="00F31937">
            <w:pPr>
              <w:jc w:val="center"/>
              <w:rPr>
                <w:b/>
                <w:caps/>
                <w:noProof/>
                <w:sz w:val="18"/>
                <w:szCs w:val="18"/>
              </w:rPr>
            </w:pPr>
            <w:r>
              <w:rPr>
                <w:b/>
                <w:caps/>
                <w:noProof/>
                <w:sz w:val="18"/>
                <w:szCs w:val="18"/>
              </w:rPr>
              <w:t>CA</w:t>
            </w:r>
          </w:p>
        </w:tc>
        <w:tc>
          <w:tcPr>
            <w:tcW w:w="567" w:type="dxa"/>
            <w:tcBorders>
              <w:left w:val="single" w:sz="4" w:space="0" w:color="auto"/>
              <w:right w:val="dotted" w:sz="4" w:space="0" w:color="auto"/>
            </w:tcBorders>
            <w:shd w:val="clear" w:color="auto" w:fill="BFBFBF" w:themeFill="background1" w:themeFillShade="BF"/>
          </w:tcPr>
          <w:p w14:paraId="0FD3BE5B" w14:textId="77777777" w:rsidR="000A7D9D" w:rsidRPr="00EC1412" w:rsidRDefault="000A7D9D" w:rsidP="00F31937">
            <w:pPr>
              <w:jc w:val="center"/>
              <w:rPr>
                <w:b/>
                <w:caps/>
                <w:noProof/>
                <w:sz w:val="18"/>
                <w:szCs w:val="18"/>
              </w:rPr>
            </w:pPr>
            <w:r>
              <w:rPr>
                <w:b/>
                <w:caps/>
                <w:noProof/>
                <w:sz w:val="18"/>
                <w:szCs w:val="18"/>
              </w:rPr>
              <w:t>TA</w:t>
            </w:r>
          </w:p>
        </w:tc>
        <w:tc>
          <w:tcPr>
            <w:tcW w:w="567" w:type="dxa"/>
            <w:tcBorders>
              <w:left w:val="dotted" w:sz="4" w:space="0" w:color="auto"/>
              <w:right w:val="single" w:sz="4" w:space="0" w:color="auto"/>
            </w:tcBorders>
            <w:shd w:val="clear" w:color="auto" w:fill="BFBFBF" w:themeFill="background1" w:themeFillShade="BF"/>
          </w:tcPr>
          <w:p w14:paraId="493A7064" w14:textId="77777777" w:rsidR="000A7D9D" w:rsidRPr="00EC1412" w:rsidRDefault="000A7D9D" w:rsidP="00F31937">
            <w:pPr>
              <w:jc w:val="center"/>
              <w:rPr>
                <w:b/>
                <w:caps/>
                <w:noProof/>
                <w:sz w:val="18"/>
                <w:szCs w:val="18"/>
              </w:rPr>
            </w:pPr>
            <w:r>
              <w:rPr>
                <w:b/>
                <w:caps/>
                <w:noProof/>
                <w:sz w:val="18"/>
                <w:szCs w:val="18"/>
              </w:rPr>
              <w:t>CA</w:t>
            </w:r>
          </w:p>
        </w:tc>
        <w:tc>
          <w:tcPr>
            <w:tcW w:w="567" w:type="dxa"/>
            <w:tcBorders>
              <w:left w:val="single" w:sz="4" w:space="0" w:color="auto"/>
              <w:bottom w:val="single" w:sz="4" w:space="0" w:color="auto"/>
              <w:right w:val="dotted" w:sz="4" w:space="0" w:color="auto"/>
            </w:tcBorders>
            <w:shd w:val="clear" w:color="auto" w:fill="BFBFBF" w:themeFill="background1" w:themeFillShade="BF"/>
          </w:tcPr>
          <w:p w14:paraId="61F6832B" w14:textId="77777777" w:rsidR="000A7D9D" w:rsidRPr="00EC1412" w:rsidRDefault="000A7D9D" w:rsidP="00F31937">
            <w:pPr>
              <w:jc w:val="center"/>
              <w:rPr>
                <w:b/>
                <w:caps/>
                <w:noProof/>
                <w:sz w:val="18"/>
                <w:szCs w:val="18"/>
              </w:rPr>
            </w:pPr>
            <w:r>
              <w:rPr>
                <w:b/>
                <w:caps/>
                <w:noProof/>
                <w:sz w:val="18"/>
                <w:szCs w:val="18"/>
              </w:rPr>
              <w:t>TA</w:t>
            </w:r>
          </w:p>
        </w:tc>
        <w:tc>
          <w:tcPr>
            <w:tcW w:w="567" w:type="dxa"/>
            <w:tcBorders>
              <w:left w:val="dotted" w:sz="4" w:space="0" w:color="auto"/>
              <w:right w:val="single" w:sz="4" w:space="0" w:color="auto"/>
            </w:tcBorders>
            <w:shd w:val="clear" w:color="auto" w:fill="BFBFBF" w:themeFill="background1" w:themeFillShade="BF"/>
          </w:tcPr>
          <w:p w14:paraId="4912F677" w14:textId="77777777" w:rsidR="000A7D9D" w:rsidRPr="00EC1412" w:rsidRDefault="000A7D9D" w:rsidP="00F31937">
            <w:pPr>
              <w:jc w:val="center"/>
              <w:rPr>
                <w:b/>
                <w:caps/>
                <w:noProof/>
                <w:sz w:val="18"/>
                <w:szCs w:val="18"/>
              </w:rPr>
            </w:pPr>
            <w:r>
              <w:rPr>
                <w:b/>
                <w:caps/>
                <w:noProof/>
                <w:sz w:val="18"/>
                <w:szCs w:val="18"/>
              </w:rPr>
              <w:t>CA</w:t>
            </w:r>
          </w:p>
        </w:tc>
        <w:tc>
          <w:tcPr>
            <w:tcW w:w="851" w:type="dxa"/>
            <w:tcBorders>
              <w:left w:val="single" w:sz="4" w:space="0" w:color="auto"/>
              <w:right w:val="single" w:sz="4" w:space="0" w:color="auto"/>
            </w:tcBorders>
            <w:shd w:val="clear" w:color="auto" w:fill="BFBFBF" w:themeFill="background1" w:themeFillShade="BF"/>
          </w:tcPr>
          <w:p w14:paraId="77861802" w14:textId="77777777" w:rsidR="000A7D9D" w:rsidRPr="00EC1412" w:rsidRDefault="000A7D9D" w:rsidP="00F31937">
            <w:pPr>
              <w:jc w:val="right"/>
              <w:rPr>
                <w:b/>
                <w:caps/>
                <w:noProof/>
                <w:sz w:val="18"/>
                <w:szCs w:val="18"/>
              </w:rPr>
            </w:pPr>
          </w:p>
        </w:tc>
        <w:tc>
          <w:tcPr>
            <w:tcW w:w="850" w:type="dxa"/>
            <w:tcBorders>
              <w:left w:val="single" w:sz="4" w:space="0" w:color="auto"/>
              <w:right w:val="single" w:sz="4" w:space="0" w:color="auto"/>
            </w:tcBorders>
            <w:shd w:val="clear" w:color="auto" w:fill="BFBFBF" w:themeFill="background1" w:themeFillShade="BF"/>
          </w:tcPr>
          <w:p w14:paraId="6E53EA54" w14:textId="77777777" w:rsidR="000A7D9D" w:rsidRPr="00EC1412" w:rsidRDefault="000A7D9D" w:rsidP="00F31937">
            <w:pPr>
              <w:jc w:val="right"/>
              <w:rPr>
                <w:b/>
                <w:caps/>
                <w:noProof/>
                <w:sz w:val="18"/>
                <w:szCs w:val="18"/>
              </w:rPr>
            </w:pPr>
          </w:p>
        </w:tc>
        <w:tc>
          <w:tcPr>
            <w:tcW w:w="851" w:type="dxa"/>
            <w:tcBorders>
              <w:left w:val="single" w:sz="4" w:space="0" w:color="auto"/>
              <w:right w:val="single" w:sz="4" w:space="0" w:color="auto"/>
            </w:tcBorders>
            <w:shd w:val="clear" w:color="auto" w:fill="BFBFBF" w:themeFill="background1" w:themeFillShade="BF"/>
          </w:tcPr>
          <w:p w14:paraId="24517E0C" w14:textId="77777777" w:rsidR="000A7D9D" w:rsidRPr="00EC1412" w:rsidRDefault="000A7D9D" w:rsidP="00F31937">
            <w:pPr>
              <w:jc w:val="right"/>
              <w:rPr>
                <w:b/>
                <w:caps/>
                <w:noProof/>
                <w:sz w:val="18"/>
                <w:szCs w:val="18"/>
              </w:rPr>
            </w:pPr>
          </w:p>
        </w:tc>
        <w:tc>
          <w:tcPr>
            <w:tcW w:w="850" w:type="dxa"/>
            <w:tcBorders>
              <w:left w:val="single" w:sz="4" w:space="0" w:color="auto"/>
            </w:tcBorders>
            <w:shd w:val="clear" w:color="auto" w:fill="BFBFBF" w:themeFill="background1" w:themeFillShade="BF"/>
          </w:tcPr>
          <w:p w14:paraId="655D4AA1" w14:textId="77777777" w:rsidR="000A7D9D" w:rsidRPr="00EC1412" w:rsidRDefault="000A7D9D" w:rsidP="00F31937">
            <w:pPr>
              <w:jc w:val="right"/>
              <w:rPr>
                <w:b/>
                <w:caps/>
                <w:noProof/>
                <w:sz w:val="18"/>
                <w:szCs w:val="18"/>
              </w:rPr>
            </w:pPr>
          </w:p>
        </w:tc>
      </w:tr>
      <w:tr w:rsidR="000A7D9D" w:rsidRPr="00EC1412" w14:paraId="5A3A8FB7" w14:textId="77777777" w:rsidTr="00F31937">
        <w:tc>
          <w:tcPr>
            <w:tcW w:w="1838" w:type="dxa"/>
            <w:tcBorders>
              <w:right w:val="single" w:sz="4" w:space="0" w:color="auto"/>
            </w:tcBorders>
          </w:tcPr>
          <w:p w14:paraId="22E3D8E7" w14:textId="77777777" w:rsidR="000A7D9D" w:rsidRPr="00EC1412" w:rsidRDefault="000A7D9D" w:rsidP="00F31937">
            <w:pPr>
              <w:jc w:val="both"/>
              <w:rPr>
                <w:caps/>
                <w:noProof/>
                <w:sz w:val="18"/>
                <w:szCs w:val="18"/>
              </w:rPr>
            </w:pPr>
            <w:r w:rsidRPr="00EC1412">
              <w:rPr>
                <w:caps/>
                <w:noProof/>
                <w:sz w:val="18"/>
                <w:szCs w:val="18"/>
              </w:rPr>
              <w:t>ECHA</w:t>
            </w:r>
          </w:p>
        </w:tc>
        <w:tc>
          <w:tcPr>
            <w:tcW w:w="567" w:type="dxa"/>
            <w:tcBorders>
              <w:left w:val="single" w:sz="4" w:space="0" w:color="auto"/>
              <w:right w:val="dotted" w:sz="4" w:space="0" w:color="auto"/>
            </w:tcBorders>
          </w:tcPr>
          <w:p w14:paraId="1A04D5C2" w14:textId="77777777" w:rsidR="000A7D9D" w:rsidRPr="00EC1412" w:rsidRDefault="000A7D9D" w:rsidP="00F31937">
            <w:pPr>
              <w:jc w:val="right"/>
              <w:rPr>
                <w:caps/>
                <w:noProof/>
                <w:sz w:val="18"/>
                <w:szCs w:val="18"/>
              </w:rPr>
            </w:pPr>
            <w:r>
              <w:rPr>
                <w:caps/>
                <w:noProof/>
                <w:sz w:val="18"/>
                <w:szCs w:val="18"/>
              </w:rPr>
              <w:t>30</w:t>
            </w:r>
          </w:p>
        </w:tc>
        <w:tc>
          <w:tcPr>
            <w:tcW w:w="425" w:type="dxa"/>
            <w:tcBorders>
              <w:left w:val="dotted" w:sz="4" w:space="0" w:color="auto"/>
              <w:right w:val="single" w:sz="4" w:space="0" w:color="auto"/>
            </w:tcBorders>
          </w:tcPr>
          <w:p w14:paraId="46894406" w14:textId="77777777" w:rsidR="000A7D9D" w:rsidRPr="00EC1412" w:rsidRDefault="000A7D9D" w:rsidP="00F31937">
            <w:pPr>
              <w:jc w:val="right"/>
              <w:rPr>
                <w:caps/>
                <w:noProof/>
                <w:sz w:val="18"/>
                <w:szCs w:val="18"/>
              </w:rPr>
            </w:pPr>
            <w:r>
              <w:rPr>
                <w:caps/>
                <w:noProof/>
                <w:sz w:val="18"/>
                <w:szCs w:val="18"/>
              </w:rPr>
              <w:t>16</w:t>
            </w:r>
          </w:p>
        </w:tc>
        <w:tc>
          <w:tcPr>
            <w:tcW w:w="567" w:type="dxa"/>
            <w:tcBorders>
              <w:left w:val="single" w:sz="4" w:space="0" w:color="auto"/>
              <w:right w:val="dotted" w:sz="4" w:space="0" w:color="auto"/>
            </w:tcBorders>
          </w:tcPr>
          <w:p w14:paraId="1B037E23" w14:textId="77777777" w:rsidR="000A7D9D" w:rsidRPr="00EC1412" w:rsidRDefault="000A7D9D" w:rsidP="00F31937">
            <w:pPr>
              <w:jc w:val="right"/>
              <w:rPr>
                <w:caps/>
                <w:noProof/>
                <w:sz w:val="18"/>
                <w:szCs w:val="18"/>
              </w:rPr>
            </w:pPr>
            <w:r>
              <w:rPr>
                <w:caps/>
                <w:noProof/>
                <w:sz w:val="18"/>
                <w:szCs w:val="18"/>
              </w:rPr>
              <w:t>34</w:t>
            </w:r>
          </w:p>
        </w:tc>
        <w:tc>
          <w:tcPr>
            <w:tcW w:w="567" w:type="dxa"/>
            <w:tcBorders>
              <w:left w:val="dotted" w:sz="4" w:space="0" w:color="auto"/>
              <w:right w:val="single" w:sz="4" w:space="0" w:color="auto"/>
            </w:tcBorders>
          </w:tcPr>
          <w:p w14:paraId="700AC407" w14:textId="77777777" w:rsidR="000A7D9D" w:rsidRPr="00EC1412" w:rsidRDefault="000A7D9D" w:rsidP="00F31937">
            <w:pPr>
              <w:jc w:val="right"/>
              <w:rPr>
                <w:caps/>
                <w:noProof/>
                <w:sz w:val="18"/>
                <w:szCs w:val="18"/>
              </w:rPr>
            </w:pPr>
            <w:r>
              <w:rPr>
                <w:caps/>
                <w:noProof/>
                <w:sz w:val="18"/>
                <w:szCs w:val="18"/>
              </w:rPr>
              <w:t>21</w:t>
            </w:r>
          </w:p>
        </w:tc>
        <w:tc>
          <w:tcPr>
            <w:tcW w:w="567" w:type="dxa"/>
            <w:tcBorders>
              <w:left w:val="single" w:sz="4" w:space="0" w:color="auto"/>
              <w:right w:val="dotted" w:sz="4" w:space="0" w:color="auto"/>
            </w:tcBorders>
          </w:tcPr>
          <w:p w14:paraId="680F2D09" w14:textId="77777777" w:rsidR="000A7D9D" w:rsidRPr="00EC1412" w:rsidRDefault="000A7D9D" w:rsidP="00F31937">
            <w:pPr>
              <w:jc w:val="right"/>
              <w:rPr>
                <w:caps/>
                <w:noProof/>
                <w:sz w:val="18"/>
                <w:szCs w:val="18"/>
              </w:rPr>
            </w:pPr>
            <w:r>
              <w:rPr>
                <w:caps/>
                <w:noProof/>
                <w:sz w:val="18"/>
                <w:szCs w:val="18"/>
              </w:rPr>
              <w:t>34</w:t>
            </w:r>
          </w:p>
        </w:tc>
        <w:tc>
          <w:tcPr>
            <w:tcW w:w="567" w:type="dxa"/>
            <w:tcBorders>
              <w:left w:val="dotted" w:sz="4" w:space="0" w:color="auto"/>
              <w:right w:val="single" w:sz="4" w:space="0" w:color="auto"/>
            </w:tcBorders>
          </w:tcPr>
          <w:p w14:paraId="293FB313" w14:textId="77777777" w:rsidR="000A7D9D" w:rsidRPr="00EC1412" w:rsidRDefault="000A7D9D" w:rsidP="00F31937">
            <w:pPr>
              <w:jc w:val="right"/>
              <w:rPr>
                <w:caps/>
                <w:noProof/>
                <w:sz w:val="18"/>
                <w:szCs w:val="18"/>
              </w:rPr>
            </w:pPr>
            <w:r>
              <w:rPr>
                <w:caps/>
                <w:noProof/>
                <w:sz w:val="18"/>
                <w:szCs w:val="18"/>
              </w:rPr>
              <w:t>21</w:t>
            </w:r>
          </w:p>
        </w:tc>
        <w:tc>
          <w:tcPr>
            <w:tcW w:w="567" w:type="dxa"/>
            <w:tcBorders>
              <w:left w:val="single" w:sz="4" w:space="0" w:color="auto"/>
              <w:right w:val="dotted" w:sz="4" w:space="0" w:color="auto"/>
            </w:tcBorders>
          </w:tcPr>
          <w:p w14:paraId="0BC59C99" w14:textId="77777777" w:rsidR="000A7D9D" w:rsidRPr="00EC1412" w:rsidRDefault="000A7D9D" w:rsidP="00F31937">
            <w:pPr>
              <w:jc w:val="right"/>
              <w:rPr>
                <w:caps/>
                <w:noProof/>
                <w:sz w:val="18"/>
                <w:szCs w:val="18"/>
              </w:rPr>
            </w:pPr>
            <w:r>
              <w:rPr>
                <w:caps/>
                <w:noProof/>
                <w:sz w:val="18"/>
                <w:szCs w:val="18"/>
              </w:rPr>
              <w:t>33</w:t>
            </w:r>
          </w:p>
        </w:tc>
        <w:tc>
          <w:tcPr>
            <w:tcW w:w="567" w:type="dxa"/>
            <w:tcBorders>
              <w:left w:val="dotted" w:sz="4" w:space="0" w:color="auto"/>
              <w:right w:val="single" w:sz="4" w:space="0" w:color="auto"/>
            </w:tcBorders>
          </w:tcPr>
          <w:p w14:paraId="37155201" w14:textId="77777777" w:rsidR="000A7D9D" w:rsidRPr="00EC1412" w:rsidRDefault="000A7D9D" w:rsidP="00F31937">
            <w:pPr>
              <w:jc w:val="right"/>
              <w:rPr>
                <w:caps/>
                <w:noProof/>
                <w:sz w:val="18"/>
                <w:szCs w:val="18"/>
              </w:rPr>
            </w:pPr>
            <w:r>
              <w:rPr>
                <w:caps/>
                <w:noProof/>
                <w:sz w:val="18"/>
                <w:szCs w:val="18"/>
              </w:rPr>
              <w:t>15</w:t>
            </w:r>
          </w:p>
        </w:tc>
        <w:tc>
          <w:tcPr>
            <w:tcW w:w="851" w:type="dxa"/>
            <w:tcBorders>
              <w:left w:val="single" w:sz="4" w:space="0" w:color="auto"/>
              <w:right w:val="single" w:sz="4" w:space="0" w:color="auto"/>
            </w:tcBorders>
          </w:tcPr>
          <w:p w14:paraId="47F7C196" w14:textId="77777777" w:rsidR="000A7D9D" w:rsidRPr="00EC1412" w:rsidRDefault="000A7D9D" w:rsidP="00F31937">
            <w:pPr>
              <w:jc w:val="right"/>
              <w:rPr>
                <w:caps/>
                <w:noProof/>
                <w:sz w:val="18"/>
                <w:szCs w:val="18"/>
              </w:rPr>
            </w:pPr>
            <w:r>
              <w:rPr>
                <w:noProof/>
                <w:sz w:val="18"/>
                <w:szCs w:val="18"/>
              </w:rPr>
              <w:t>101</w:t>
            </w:r>
          </w:p>
        </w:tc>
        <w:tc>
          <w:tcPr>
            <w:tcW w:w="850" w:type="dxa"/>
            <w:tcBorders>
              <w:left w:val="single" w:sz="4" w:space="0" w:color="auto"/>
              <w:right w:val="single" w:sz="4" w:space="0" w:color="auto"/>
            </w:tcBorders>
            <w:vAlign w:val="bottom"/>
          </w:tcPr>
          <w:p w14:paraId="06CA6D70" w14:textId="77777777" w:rsidR="000A7D9D" w:rsidRPr="00EC1412" w:rsidRDefault="000A7D9D" w:rsidP="00F31937">
            <w:pPr>
              <w:jc w:val="right"/>
              <w:rPr>
                <w:caps/>
                <w:noProof/>
                <w:sz w:val="18"/>
                <w:szCs w:val="18"/>
              </w:rPr>
            </w:pPr>
            <w:r>
              <w:rPr>
                <w:caps/>
                <w:noProof/>
                <w:sz w:val="18"/>
                <w:szCs w:val="18"/>
              </w:rPr>
              <w:t>6 719</w:t>
            </w:r>
          </w:p>
        </w:tc>
        <w:tc>
          <w:tcPr>
            <w:tcW w:w="851" w:type="dxa"/>
            <w:tcBorders>
              <w:left w:val="single" w:sz="4" w:space="0" w:color="auto"/>
              <w:right w:val="single" w:sz="4" w:space="0" w:color="auto"/>
            </w:tcBorders>
            <w:vAlign w:val="bottom"/>
          </w:tcPr>
          <w:p w14:paraId="1ED52247" w14:textId="77777777" w:rsidR="000A7D9D" w:rsidRPr="00EC1412" w:rsidRDefault="000A7D9D" w:rsidP="00F31937">
            <w:pPr>
              <w:jc w:val="right"/>
              <w:rPr>
                <w:caps/>
                <w:noProof/>
                <w:sz w:val="18"/>
                <w:szCs w:val="18"/>
              </w:rPr>
            </w:pPr>
            <w:r>
              <w:rPr>
                <w:noProof/>
                <w:sz w:val="18"/>
                <w:szCs w:val="18"/>
              </w:rPr>
              <w:t>8 666</w:t>
            </w:r>
          </w:p>
        </w:tc>
        <w:tc>
          <w:tcPr>
            <w:tcW w:w="850" w:type="dxa"/>
            <w:tcBorders>
              <w:left w:val="single" w:sz="4" w:space="0" w:color="auto"/>
            </w:tcBorders>
            <w:vAlign w:val="bottom"/>
          </w:tcPr>
          <w:p w14:paraId="7190C74C" w14:textId="77777777" w:rsidR="000A7D9D" w:rsidRPr="00EC1412" w:rsidRDefault="000A7D9D" w:rsidP="00F31937">
            <w:pPr>
              <w:jc w:val="right"/>
              <w:rPr>
                <w:caps/>
                <w:noProof/>
                <w:sz w:val="18"/>
                <w:szCs w:val="18"/>
              </w:rPr>
            </w:pPr>
            <w:r>
              <w:rPr>
                <w:noProof/>
                <w:sz w:val="18"/>
                <w:szCs w:val="18"/>
              </w:rPr>
              <w:t>7 823</w:t>
            </w:r>
          </w:p>
        </w:tc>
      </w:tr>
      <w:tr w:rsidR="000A7D9D" w:rsidRPr="00EC1412" w14:paraId="2B15418B" w14:textId="77777777" w:rsidTr="00F31937">
        <w:tc>
          <w:tcPr>
            <w:tcW w:w="1838" w:type="dxa"/>
            <w:tcBorders>
              <w:right w:val="single" w:sz="4" w:space="0" w:color="auto"/>
            </w:tcBorders>
          </w:tcPr>
          <w:p w14:paraId="13A848E8" w14:textId="77777777" w:rsidR="000A7D9D" w:rsidRPr="00EC1412" w:rsidRDefault="000A7D9D" w:rsidP="00F31937">
            <w:pPr>
              <w:jc w:val="both"/>
              <w:rPr>
                <w:caps/>
                <w:noProof/>
                <w:sz w:val="18"/>
                <w:szCs w:val="18"/>
              </w:rPr>
            </w:pPr>
            <w:r w:rsidRPr="00EC1412">
              <w:rPr>
                <w:caps/>
                <w:noProof/>
                <w:sz w:val="18"/>
                <w:szCs w:val="18"/>
              </w:rPr>
              <w:t>EEA</w:t>
            </w:r>
          </w:p>
        </w:tc>
        <w:tc>
          <w:tcPr>
            <w:tcW w:w="567" w:type="dxa"/>
            <w:tcBorders>
              <w:left w:val="single" w:sz="4" w:space="0" w:color="auto"/>
              <w:right w:val="dotted" w:sz="4" w:space="0" w:color="auto"/>
            </w:tcBorders>
          </w:tcPr>
          <w:p w14:paraId="3A01B590"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right w:val="single" w:sz="4" w:space="0" w:color="auto"/>
            </w:tcBorders>
          </w:tcPr>
          <w:p w14:paraId="6E9F2183" w14:textId="77777777" w:rsidR="000A7D9D" w:rsidRPr="00EC1412" w:rsidRDefault="000A7D9D" w:rsidP="00F31937">
            <w:pPr>
              <w:jc w:val="right"/>
              <w:rPr>
                <w:caps/>
                <w:noProof/>
                <w:sz w:val="18"/>
                <w:szCs w:val="18"/>
              </w:rPr>
            </w:pPr>
            <w:r>
              <w:rPr>
                <w:caps/>
                <w:noProof/>
                <w:sz w:val="18"/>
                <w:szCs w:val="18"/>
              </w:rPr>
              <w:t>2</w:t>
            </w:r>
          </w:p>
        </w:tc>
        <w:tc>
          <w:tcPr>
            <w:tcW w:w="567" w:type="dxa"/>
            <w:tcBorders>
              <w:left w:val="single" w:sz="4" w:space="0" w:color="auto"/>
              <w:right w:val="dotted" w:sz="4" w:space="0" w:color="auto"/>
            </w:tcBorders>
          </w:tcPr>
          <w:p w14:paraId="69D59460" w14:textId="77777777" w:rsidR="000A7D9D" w:rsidRPr="00EC1412" w:rsidRDefault="000A7D9D" w:rsidP="00F31937">
            <w:pPr>
              <w:jc w:val="right"/>
              <w:rPr>
                <w:caps/>
                <w:noProof/>
                <w:sz w:val="18"/>
                <w:szCs w:val="18"/>
              </w:rPr>
            </w:pPr>
            <w:r>
              <w:rPr>
                <w:caps/>
                <w:noProof/>
                <w:sz w:val="18"/>
                <w:szCs w:val="18"/>
              </w:rPr>
              <w:t>3</w:t>
            </w:r>
          </w:p>
        </w:tc>
        <w:tc>
          <w:tcPr>
            <w:tcW w:w="567" w:type="dxa"/>
            <w:tcBorders>
              <w:left w:val="dotted" w:sz="4" w:space="0" w:color="auto"/>
              <w:right w:val="single" w:sz="4" w:space="0" w:color="auto"/>
            </w:tcBorders>
          </w:tcPr>
          <w:p w14:paraId="41AA1565" w14:textId="77777777" w:rsidR="000A7D9D" w:rsidRPr="00EC1412" w:rsidRDefault="000A7D9D" w:rsidP="00F31937">
            <w:pPr>
              <w:jc w:val="right"/>
              <w:rPr>
                <w:caps/>
                <w:noProof/>
                <w:sz w:val="18"/>
                <w:szCs w:val="18"/>
              </w:rPr>
            </w:pPr>
            <w:r>
              <w:rPr>
                <w:caps/>
                <w:noProof/>
                <w:sz w:val="18"/>
                <w:szCs w:val="18"/>
              </w:rPr>
              <w:t>2</w:t>
            </w:r>
          </w:p>
        </w:tc>
        <w:tc>
          <w:tcPr>
            <w:tcW w:w="567" w:type="dxa"/>
            <w:tcBorders>
              <w:left w:val="single" w:sz="4" w:space="0" w:color="auto"/>
              <w:right w:val="dotted" w:sz="4" w:space="0" w:color="auto"/>
            </w:tcBorders>
          </w:tcPr>
          <w:p w14:paraId="35039A76" w14:textId="77777777" w:rsidR="000A7D9D" w:rsidRPr="00EC1412" w:rsidRDefault="000A7D9D" w:rsidP="00F31937">
            <w:pPr>
              <w:jc w:val="right"/>
              <w:rPr>
                <w:caps/>
                <w:noProof/>
                <w:sz w:val="18"/>
                <w:szCs w:val="18"/>
              </w:rPr>
            </w:pPr>
            <w:r>
              <w:rPr>
                <w:caps/>
                <w:noProof/>
                <w:sz w:val="18"/>
                <w:szCs w:val="18"/>
              </w:rPr>
              <w:t>3</w:t>
            </w:r>
          </w:p>
        </w:tc>
        <w:tc>
          <w:tcPr>
            <w:tcW w:w="567" w:type="dxa"/>
            <w:tcBorders>
              <w:left w:val="dotted" w:sz="4" w:space="0" w:color="auto"/>
              <w:right w:val="single" w:sz="4" w:space="0" w:color="auto"/>
            </w:tcBorders>
          </w:tcPr>
          <w:p w14:paraId="66496161" w14:textId="77777777" w:rsidR="000A7D9D" w:rsidRPr="00EC1412" w:rsidRDefault="000A7D9D" w:rsidP="00F31937">
            <w:pPr>
              <w:jc w:val="right"/>
              <w:rPr>
                <w:caps/>
                <w:noProof/>
                <w:sz w:val="18"/>
                <w:szCs w:val="18"/>
              </w:rPr>
            </w:pPr>
            <w:r>
              <w:rPr>
                <w:caps/>
                <w:noProof/>
                <w:sz w:val="18"/>
                <w:szCs w:val="18"/>
              </w:rPr>
              <w:t>2</w:t>
            </w:r>
          </w:p>
        </w:tc>
        <w:tc>
          <w:tcPr>
            <w:tcW w:w="567" w:type="dxa"/>
            <w:tcBorders>
              <w:left w:val="single" w:sz="4" w:space="0" w:color="auto"/>
              <w:right w:val="dotted" w:sz="4" w:space="0" w:color="auto"/>
            </w:tcBorders>
          </w:tcPr>
          <w:p w14:paraId="2829AF24" w14:textId="77777777" w:rsidR="000A7D9D" w:rsidRPr="00EC1412" w:rsidRDefault="000A7D9D" w:rsidP="00F31937">
            <w:pPr>
              <w:jc w:val="right"/>
              <w:rPr>
                <w:caps/>
                <w:noProof/>
                <w:sz w:val="18"/>
                <w:szCs w:val="18"/>
              </w:rPr>
            </w:pPr>
            <w:r w:rsidRPr="00EC1412">
              <w:rPr>
                <w:caps/>
                <w:noProof/>
                <w:sz w:val="18"/>
                <w:szCs w:val="18"/>
              </w:rPr>
              <w:t>3</w:t>
            </w:r>
          </w:p>
        </w:tc>
        <w:tc>
          <w:tcPr>
            <w:tcW w:w="567" w:type="dxa"/>
            <w:tcBorders>
              <w:left w:val="dotted" w:sz="4" w:space="0" w:color="auto"/>
              <w:right w:val="single" w:sz="4" w:space="0" w:color="auto"/>
            </w:tcBorders>
          </w:tcPr>
          <w:p w14:paraId="6230B6F1" w14:textId="77777777" w:rsidR="000A7D9D" w:rsidRPr="00EC1412" w:rsidRDefault="000A7D9D" w:rsidP="00F31937">
            <w:pPr>
              <w:jc w:val="right"/>
              <w:rPr>
                <w:caps/>
                <w:noProof/>
                <w:sz w:val="18"/>
                <w:szCs w:val="18"/>
              </w:rPr>
            </w:pPr>
            <w:r>
              <w:rPr>
                <w:caps/>
                <w:noProof/>
                <w:sz w:val="18"/>
                <w:szCs w:val="18"/>
              </w:rPr>
              <w:t>0</w:t>
            </w:r>
          </w:p>
        </w:tc>
        <w:tc>
          <w:tcPr>
            <w:tcW w:w="851" w:type="dxa"/>
            <w:tcBorders>
              <w:left w:val="single" w:sz="4" w:space="0" w:color="auto"/>
              <w:right w:val="single" w:sz="4" w:space="0" w:color="auto"/>
            </w:tcBorders>
          </w:tcPr>
          <w:p w14:paraId="01E7249B" w14:textId="77777777" w:rsidR="000A7D9D" w:rsidRPr="00EC1412" w:rsidRDefault="000A7D9D" w:rsidP="00F31937">
            <w:pPr>
              <w:jc w:val="right"/>
              <w:rPr>
                <w:caps/>
                <w:noProof/>
                <w:sz w:val="18"/>
                <w:szCs w:val="18"/>
              </w:rPr>
            </w:pPr>
            <w:r>
              <w:rPr>
                <w:noProof/>
                <w:sz w:val="18"/>
                <w:szCs w:val="18"/>
              </w:rPr>
              <w:t>0</w:t>
            </w:r>
          </w:p>
        </w:tc>
        <w:tc>
          <w:tcPr>
            <w:tcW w:w="850" w:type="dxa"/>
            <w:tcBorders>
              <w:left w:val="single" w:sz="4" w:space="0" w:color="auto"/>
              <w:right w:val="single" w:sz="4" w:space="0" w:color="auto"/>
            </w:tcBorders>
            <w:vAlign w:val="bottom"/>
          </w:tcPr>
          <w:p w14:paraId="1B73F4C0" w14:textId="77777777" w:rsidR="000A7D9D" w:rsidRPr="00EC1412" w:rsidRDefault="000A7D9D" w:rsidP="00F31937">
            <w:pPr>
              <w:jc w:val="right"/>
              <w:rPr>
                <w:caps/>
                <w:noProof/>
                <w:sz w:val="18"/>
                <w:szCs w:val="18"/>
              </w:rPr>
            </w:pPr>
            <w:r>
              <w:rPr>
                <w:caps/>
                <w:noProof/>
                <w:sz w:val="18"/>
                <w:szCs w:val="18"/>
              </w:rPr>
              <w:t>766</w:t>
            </w:r>
          </w:p>
        </w:tc>
        <w:tc>
          <w:tcPr>
            <w:tcW w:w="851" w:type="dxa"/>
            <w:tcBorders>
              <w:left w:val="single" w:sz="4" w:space="0" w:color="auto"/>
              <w:right w:val="single" w:sz="4" w:space="0" w:color="auto"/>
            </w:tcBorders>
            <w:vAlign w:val="bottom"/>
          </w:tcPr>
          <w:p w14:paraId="4A812432" w14:textId="77777777" w:rsidR="000A7D9D" w:rsidRPr="00EC1412" w:rsidRDefault="000A7D9D" w:rsidP="00F31937">
            <w:pPr>
              <w:jc w:val="right"/>
              <w:rPr>
                <w:caps/>
                <w:noProof/>
                <w:sz w:val="18"/>
                <w:szCs w:val="18"/>
              </w:rPr>
            </w:pPr>
            <w:r>
              <w:rPr>
                <w:noProof/>
                <w:sz w:val="18"/>
                <w:szCs w:val="18"/>
              </w:rPr>
              <w:t>684</w:t>
            </w:r>
          </w:p>
        </w:tc>
        <w:tc>
          <w:tcPr>
            <w:tcW w:w="850" w:type="dxa"/>
            <w:tcBorders>
              <w:left w:val="single" w:sz="4" w:space="0" w:color="auto"/>
            </w:tcBorders>
            <w:vAlign w:val="bottom"/>
          </w:tcPr>
          <w:p w14:paraId="575676B7" w14:textId="77777777" w:rsidR="000A7D9D" w:rsidRPr="00EC1412" w:rsidRDefault="000A7D9D" w:rsidP="00F31937">
            <w:pPr>
              <w:jc w:val="right"/>
              <w:rPr>
                <w:caps/>
                <w:noProof/>
                <w:sz w:val="18"/>
                <w:szCs w:val="18"/>
              </w:rPr>
            </w:pPr>
            <w:r>
              <w:rPr>
                <w:noProof/>
                <w:sz w:val="18"/>
                <w:szCs w:val="18"/>
              </w:rPr>
              <w:t>400</w:t>
            </w:r>
          </w:p>
        </w:tc>
      </w:tr>
      <w:tr w:rsidR="000A7D9D" w:rsidRPr="00EC1412" w14:paraId="12D2498B" w14:textId="77777777" w:rsidTr="00F31937">
        <w:tc>
          <w:tcPr>
            <w:tcW w:w="1838" w:type="dxa"/>
            <w:tcBorders>
              <w:right w:val="single" w:sz="4" w:space="0" w:color="auto"/>
            </w:tcBorders>
          </w:tcPr>
          <w:p w14:paraId="69803D06" w14:textId="77777777" w:rsidR="000A7D9D" w:rsidRPr="00EC1412" w:rsidRDefault="000A7D9D" w:rsidP="00F31937">
            <w:pPr>
              <w:jc w:val="both"/>
              <w:rPr>
                <w:caps/>
                <w:noProof/>
                <w:sz w:val="18"/>
                <w:szCs w:val="18"/>
              </w:rPr>
            </w:pPr>
            <w:r w:rsidRPr="00EC1412">
              <w:rPr>
                <w:caps/>
                <w:noProof/>
                <w:sz w:val="18"/>
                <w:szCs w:val="18"/>
              </w:rPr>
              <w:t>EFSA</w:t>
            </w:r>
          </w:p>
        </w:tc>
        <w:tc>
          <w:tcPr>
            <w:tcW w:w="567" w:type="dxa"/>
            <w:tcBorders>
              <w:left w:val="single" w:sz="4" w:space="0" w:color="auto"/>
              <w:right w:val="dotted" w:sz="4" w:space="0" w:color="auto"/>
            </w:tcBorders>
          </w:tcPr>
          <w:p w14:paraId="77B1EC9D"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right w:val="single" w:sz="4" w:space="0" w:color="auto"/>
            </w:tcBorders>
          </w:tcPr>
          <w:p w14:paraId="7FCF3047" w14:textId="77777777" w:rsidR="000A7D9D" w:rsidRPr="00EC1412" w:rsidRDefault="000A7D9D" w:rsidP="00F31937">
            <w:pPr>
              <w:jc w:val="right"/>
              <w:rPr>
                <w:caps/>
                <w:noProof/>
                <w:sz w:val="18"/>
                <w:szCs w:val="18"/>
              </w:rPr>
            </w:pPr>
            <w:r>
              <w:rPr>
                <w:caps/>
                <w:noProof/>
                <w:sz w:val="18"/>
                <w:szCs w:val="18"/>
              </w:rPr>
              <w:t>5</w:t>
            </w:r>
          </w:p>
        </w:tc>
        <w:tc>
          <w:tcPr>
            <w:tcW w:w="567" w:type="dxa"/>
            <w:tcBorders>
              <w:left w:val="single" w:sz="4" w:space="0" w:color="auto"/>
              <w:right w:val="dotted" w:sz="4" w:space="0" w:color="auto"/>
            </w:tcBorders>
          </w:tcPr>
          <w:p w14:paraId="4A7C0DB3"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dotted" w:sz="4" w:space="0" w:color="auto"/>
              <w:right w:val="single" w:sz="4" w:space="0" w:color="auto"/>
            </w:tcBorders>
          </w:tcPr>
          <w:p w14:paraId="14267A40" w14:textId="77777777" w:rsidR="000A7D9D" w:rsidRPr="00EC1412" w:rsidRDefault="000A7D9D" w:rsidP="00F31937">
            <w:pPr>
              <w:jc w:val="right"/>
              <w:rPr>
                <w:caps/>
                <w:noProof/>
                <w:sz w:val="18"/>
                <w:szCs w:val="18"/>
              </w:rPr>
            </w:pPr>
            <w:r>
              <w:rPr>
                <w:caps/>
                <w:noProof/>
                <w:sz w:val="18"/>
                <w:szCs w:val="18"/>
              </w:rPr>
              <w:t>5</w:t>
            </w:r>
          </w:p>
        </w:tc>
        <w:tc>
          <w:tcPr>
            <w:tcW w:w="567" w:type="dxa"/>
            <w:tcBorders>
              <w:left w:val="single" w:sz="4" w:space="0" w:color="auto"/>
              <w:right w:val="dotted" w:sz="4" w:space="0" w:color="auto"/>
            </w:tcBorders>
          </w:tcPr>
          <w:p w14:paraId="232CA425"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dotted" w:sz="4" w:space="0" w:color="auto"/>
              <w:right w:val="single" w:sz="4" w:space="0" w:color="auto"/>
            </w:tcBorders>
          </w:tcPr>
          <w:p w14:paraId="02A1F071" w14:textId="77777777" w:rsidR="000A7D9D" w:rsidRPr="00EC1412" w:rsidRDefault="000A7D9D" w:rsidP="00F31937">
            <w:pPr>
              <w:jc w:val="right"/>
              <w:rPr>
                <w:caps/>
                <w:noProof/>
                <w:sz w:val="18"/>
                <w:szCs w:val="18"/>
              </w:rPr>
            </w:pPr>
            <w:r>
              <w:rPr>
                <w:caps/>
                <w:noProof/>
                <w:sz w:val="18"/>
                <w:szCs w:val="18"/>
              </w:rPr>
              <w:t>5</w:t>
            </w:r>
          </w:p>
        </w:tc>
        <w:tc>
          <w:tcPr>
            <w:tcW w:w="567" w:type="dxa"/>
            <w:tcBorders>
              <w:left w:val="single" w:sz="4" w:space="0" w:color="auto"/>
              <w:right w:val="dotted" w:sz="4" w:space="0" w:color="auto"/>
            </w:tcBorders>
          </w:tcPr>
          <w:p w14:paraId="1991E017"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dotted" w:sz="4" w:space="0" w:color="auto"/>
              <w:right w:val="single" w:sz="4" w:space="0" w:color="auto"/>
            </w:tcBorders>
          </w:tcPr>
          <w:p w14:paraId="0C4E9F50" w14:textId="77777777" w:rsidR="000A7D9D" w:rsidRPr="00EC1412" w:rsidRDefault="000A7D9D" w:rsidP="00F31937">
            <w:pPr>
              <w:jc w:val="right"/>
              <w:rPr>
                <w:caps/>
                <w:noProof/>
                <w:sz w:val="18"/>
                <w:szCs w:val="18"/>
              </w:rPr>
            </w:pPr>
            <w:r>
              <w:rPr>
                <w:caps/>
                <w:noProof/>
                <w:sz w:val="18"/>
                <w:szCs w:val="18"/>
              </w:rPr>
              <w:t>2</w:t>
            </w:r>
          </w:p>
        </w:tc>
        <w:tc>
          <w:tcPr>
            <w:tcW w:w="851" w:type="dxa"/>
            <w:tcBorders>
              <w:left w:val="single" w:sz="4" w:space="0" w:color="auto"/>
              <w:right w:val="single" w:sz="4" w:space="0" w:color="auto"/>
            </w:tcBorders>
          </w:tcPr>
          <w:p w14:paraId="3F427915" w14:textId="77777777" w:rsidR="000A7D9D" w:rsidRPr="00EC1412" w:rsidRDefault="000A7D9D" w:rsidP="00F31937">
            <w:pPr>
              <w:jc w:val="right"/>
              <w:rPr>
                <w:caps/>
                <w:noProof/>
                <w:sz w:val="18"/>
                <w:szCs w:val="18"/>
              </w:rPr>
            </w:pPr>
            <w:r>
              <w:rPr>
                <w:noProof/>
                <w:sz w:val="18"/>
                <w:szCs w:val="18"/>
              </w:rPr>
              <w:t>670</w:t>
            </w:r>
          </w:p>
        </w:tc>
        <w:tc>
          <w:tcPr>
            <w:tcW w:w="850" w:type="dxa"/>
            <w:tcBorders>
              <w:left w:val="single" w:sz="4" w:space="0" w:color="auto"/>
              <w:right w:val="single" w:sz="4" w:space="0" w:color="auto"/>
            </w:tcBorders>
            <w:vAlign w:val="bottom"/>
          </w:tcPr>
          <w:p w14:paraId="742BFD3B" w14:textId="77777777" w:rsidR="000A7D9D" w:rsidRPr="00EC1412" w:rsidRDefault="000A7D9D" w:rsidP="00F31937">
            <w:pPr>
              <w:jc w:val="right"/>
              <w:rPr>
                <w:caps/>
                <w:noProof/>
                <w:sz w:val="18"/>
                <w:szCs w:val="18"/>
              </w:rPr>
            </w:pPr>
            <w:r>
              <w:rPr>
                <w:caps/>
                <w:noProof/>
                <w:sz w:val="18"/>
                <w:szCs w:val="18"/>
              </w:rPr>
              <w:t>670</w:t>
            </w:r>
          </w:p>
        </w:tc>
        <w:tc>
          <w:tcPr>
            <w:tcW w:w="851" w:type="dxa"/>
            <w:tcBorders>
              <w:left w:val="single" w:sz="4" w:space="0" w:color="auto"/>
              <w:right w:val="single" w:sz="4" w:space="0" w:color="auto"/>
            </w:tcBorders>
            <w:vAlign w:val="bottom"/>
          </w:tcPr>
          <w:p w14:paraId="569EC222" w14:textId="77777777" w:rsidR="000A7D9D" w:rsidRPr="00EC1412" w:rsidRDefault="000A7D9D" w:rsidP="00F31937">
            <w:pPr>
              <w:jc w:val="right"/>
              <w:rPr>
                <w:caps/>
                <w:noProof/>
                <w:sz w:val="18"/>
                <w:szCs w:val="18"/>
              </w:rPr>
            </w:pPr>
            <w:r>
              <w:rPr>
                <w:noProof/>
                <w:sz w:val="18"/>
                <w:szCs w:val="18"/>
              </w:rPr>
              <w:t>670</w:t>
            </w:r>
          </w:p>
        </w:tc>
        <w:tc>
          <w:tcPr>
            <w:tcW w:w="850" w:type="dxa"/>
            <w:tcBorders>
              <w:left w:val="single" w:sz="4" w:space="0" w:color="auto"/>
            </w:tcBorders>
            <w:vAlign w:val="bottom"/>
          </w:tcPr>
          <w:p w14:paraId="238A7C61" w14:textId="77777777" w:rsidR="000A7D9D" w:rsidRPr="00EC1412" w:rsidRDefault="000A7D9D" w:rsidP="00F31937">
            <w:pPr>
              <w:jc w:val="right"/>
              <w:rPr>
                <w:caps/>
                <w:noProof/>
                <w:sz w:val="18"/>
                <w:szCs w:val="18"/>
              </w:rPr>
            </w:pPr>
            <w:r>
              <w:rPr>
                <w:noProof/>
                <w:sz w:val="18"/>
                <w:szCs w:val="18"/>
              </w:rPr>
              <w:t>500</w:t>
            </w:r>
          </w:p>
        </w:tc>
      </w:tr>
      <w:tr w:rsidR="000A7D9D" w:rsidRPr="00EC1412" w14:paraId="5FE5DB22" w14:textId="77777777" w:rsidTr="00F31937">
        <w:tc>
          <w:tcPr>
            <w:tcW w:w="1838" w:type="dxa"/>
            <w:tcBorders>
              <w:right w:val="single" w:sz="4" w:space="0" w:color="auto"/>
            </w:tcBorders>
          </w:tcPr>
          <w:p w14:paraId="285C04BB" w14:textId="77777777" w:rsidR="000A7D9D" w:rsidRPr="00EC1412" w:rsidRDefault="000A7D9D" w:rsidP="00F31937">
            <w:pPr>
              <w:jc w:val="both"/>
              <w:rPr>
                <w:caps/>
                <w:noProof/>
                <w:sz w:val="18"/>
                <w:szCs w:val="18"/>
              </w:rPr>
            </w:pPr>
            <w:r w:rsidRPr="00EC1412">
              <w:rPr>
                <w:caps/>
                <w:noProof/>
                <w:sz w:val="18"/>
                <w:szCs w:val="18"/>
              </w:rPr>
              <w:t>EMA</w:t>
            </w:r>
          </w:p>
        </w:tc>
        <w:tc>
          <w:tcPr>
            <w:tcW w:w="567" w:type="dxa"/>
            <w:tcBorders>
              <w:left w:val="single" w:sz="4" w:space="0" w:color="auto"/>
              <w:right w:val="dotted" w:sz="4" w:space="0" w:color="auto"/>
            </w:tcBorders>
          </w:tcPr>
          <w:p w14:paraId="6D2E4C5A"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right w:val="single" w:sz="4" w:space="0" w:color="auto"/>
            </w:tcBorders>
          </w:tcPr>
          <w:p w14:paraId="24341168" w14:textId="77777777" w:rsidR="000A7D9D" w:rsidRPr="00EC1412" w:rsidRDefault="000A7D9D" w:rsidP="00F31937">
            <w:pPr>
              <w:jc w:val="right"/>
              <w:rPr>
                <w:caps/>
                <w:noProof/>
                <w:sz w:val="18"/>
                <w:szCs w:val="18"/>
              </w:rPr>
            </w:pPr>
            <w:r>
              <w:rPr>
                <w:caps/>
                <w:noProof/>
                <w:sz w:val="18"/>
                <w:szCs w:val="18"/>
              </w:rPr>
              <w:t>3</w:t>
            </w:r>
          </w:p>
        </w:tc>
        <w:tc>
          <w:tcPr>
            <w:tcW w:w="567" w:type="dxa"/>
            <w:tcBorders>
              <w:left w:val="single" w:sz="4" w:space="0" w:color="auto"/>
              <w:right w:val="dotted" w:sz="4" w:space="0" w:color="auto"/>
            </w:tcBorders>
          </w:tcPr>
          <w:p w14:paraId="7C8C8E3B"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dotted" w:sz="4" w:space="0" w:color="auto"/>
              <w:right w:val="single" w:sz="4" w:space="0" w:color="auto"/>
            </w:tcBorders>
          </w:tcPr>
          <w:p w14:paraId="37396A44" w14:textId="77777777" w:rsidR="000A7D9D" w:rsidRPr="00EC1412" w:rsidRDefault="000A7D9D" w:rsidP="00F31937">
            <w:pPr>
              <w:jc w:val="right"/>
              <w:rPr>
                <w:caps/>
                <w:noProof/>
                <w:sz w:val="18"/>
                <w:szCs w:val="18"/>
              </w:rPr>
            </w:pPr>
            <w:r>
              <w:rPr>
                <w:caps/>
                <w:noProof/>
                <w:sz w:val="18"/>
                <w:szCs w:val="18"/>
              </w:rPr>
              <w:t>3</w:t>
            </w:r>
          </w:p>
        </w:tc>
        <w:tc>
          <w:tcPr>
            <w:tcW w:w="567" w:type="dxa"/>
            <w:tcBorders>
              <w:left w:val="single" w:sz="4" w:space="0" w:color="auto"/>
              <w:right w:val="dotted" w:sz="4" w:space="0" w:color="auto"/>
            </w:tcBorders>
          </w:tcPr>
          <w:p w14:paraId="30AE7DDC"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dotted" w:sz="4" w:space="0" w:color="auto"/>
              <w:right w:val="single" w:sz="4" w:space="0" w:color="auto"/>
            </w:tcBorders>
          </w:tcPr>
          <w:p w14:paraId="311F1B84" w14:textId="77777777" w:rsidR="000A7D9D" w:rsidRPr="00EC1412" w:rsidRDefault="000A7D9D" w:rsidP="00F31937">
            <w:pPr>
              <w:jc w:val="right"/>
              <w:rPr>
                <w:caps/>
                <w:noProof/>
                <w:sz w:val="18"/>
                <w:szCs w:val="18"/>
              </w:rPr>
            </w:pPr>
            <w:r>
              <w:rPr>
                <w:caps/>
                <w:noProof/>
                <w:sz w:val="18"/>
                <w:szCs w:val="18"/>
              </w:rPr>
              <w:t>3</w:t>
            </w:r>
          </w:p>
        </w:tc>
        <w:tc>
          <w:tcPr>
            <w:tcW w:w="567" w:type="dxa"/>
            <w:tcBorders>
              <w:left w:val="single" w:sz="4" w:space="0" w:color="auto"/>
              <w:right w:val="dotted" w:sz="4" w:space="0" w:color="auto"/>
            </w:tcBorders>
          </w:tcPr>
          <w:p w14:paraId="116F7272"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dotted" w:sz="4" w:space="0" w:color="auto"/>
              <w:right w:val="single" w:sz="4" w:space="0" w:color="auto"/>
            </w:tcBorders>
          </w:tcPr>
          <w:p w14:paraId="7B862A92" w14:textId="77777777" w:rsidR="000A7D9D" w:rsidRPr="00EC1412" w:rsidRDefault="000A7D9D" w:rsidP="00F31937">
            <w:pPr>
              <w:jc w:val="right"/>
              <w:rPr>
                <w:caps/>
                <w:noProof/>
                <w:sz w:val="18"/>
                <w:szCs w:val="18"/>
              </w:rPr>
            </w:pPr>
            <w:r>
              <w:rPr>
                <w:caps/>
                <w:noProof/>
                <w:sz w:val="18"/>
                <w:szCs w:val="18"/>
              </w:rPr>
              <w:t>2</w:t>
            </w:r>
          </w:p>
        </w:tc>
        <w:tc>
          <w:tcPr>
            <w:tcW w:w="851" w:type="dxa"/>
            <w:tcBorders>
              <w:left w:val="single" w:sz="4" w:space="0" w:color="auto"/>
              <w:right w:val="single" w:sz="4" w:space="0" w:color="auto"/>
            </w:tcBorders>
          </w:tcPr>
          <w:p w14:paraId="651C14DA" w14:textId="77777777" w:rsidR="000A7D9D" w:rsidRPr="00EC1412" w:rsidRDefault="000A7D9D" w:rsidP="00F31937">
            <w:pPr>
              <w:jc w:val="right"/>
              <w:rPr>
                <w:caps/>
                <w:noProof/>
                <w:sz w:val="18"/>
                <w:szCs w:val="18"/>
              </w:rPr>
            </w:pPr>
            <w:r>
              <w:rPr>
                <w:noProof/>
                <w:sz w:val="18"/>
                <w:szCs w:val="18"/>
              </w:rPr>
              <w:t>100</w:t>
            </w:r>
          </w:p>
        </w:tc>
        <w:tc>
          <w:tcPr>
            <w:tcW w:w="850" w:type="dxa"/>
            <w:tcBorders>
              <w:left w:val="single" w:sz="4" w:space="0" w:color="auto"/>
              <w:right w:val="single" w:sz="4" w:space="0" w:color="auto"/>
            </w:tcBorders>
            <w:vAlign w:val="bottom"/>
          </w:tcPr>
          <w:p w14:paraId="0158EC1B" w14:textId="77777777" w:rsidR="000A7D9D" w:rsidRPr="00EC1412" w:rsidRDefault="000A7D9D" w:rsidP="00F31937">
            <w:pPr>
              <w:jc w:val="right"/>
              <w:rPr>
                <w:caps/>
                <w:noProof/>
                <w:sz w:val="18"/>
                <w:szCs w:val="18"/>
              </w:rPr>
            </w:pPr>
            <w:r>
              <w:rPr>
                <w:caps/>
                <w:noProof/>
                <w:sz w:val="18"/>
                <w:szCs w:val="18"/>
              </w:rPr>
              <w:t>100</w:t>
            </w:r>
          </w:p>
        </w:tc>
        <w:tc>
          <w:tcPr>
            <w:tcW w:w="851" w:type="dxa"/>
            <w:tcBorders>
              <w:left w:val="single" w:sz="4" w:space="0" w:color="auto"/>
              <w:right w:val="single" w:sz="4" w:space="0" w:color="auto"/>
            </w:tcBorders>
            <w:vAlign w:val="bottom"/>
          </w:tcPr>
          <w:p w14:paraId="4B66736B" w14:textId="77777777" w:rsidR="000A7D9D" w:rsidRPr="00EC1412" w:rsidRDefault="000A7D9D" w:rsidP="00F31937">
            <w:pPr>
              <w:jc w:val="right"/>
              <w:rPr>
                <w:caps/>
                <w:noProof/>
                <w:sz w:val="18"/>
                <w:szCs w:val="18"/>
              </w:rPr>
            </w:pPr>
            <w:r>
              <w:rPr>
                <w:noProof/>
                <w:sz w:val="18"/>
                <w:szCs w:val="18"/>
              </w:rPr>
              <w:t>100</w:t>
            </w:r>
          </w:p>
        </w:tc>
        <w:tc>
          <w:tcPr>
            <w:tcW w:w="850" w:type="dxa"/>
            <w:tcBorders>
              <w:left w:val="single" w:sz="4" w:space="0" w:color="auto"/>
            </w:tcBorders>
            <w:vAlign w:val="bottom"/>
          </w:tcPr>
          <w:p w14:paraId="34669EC6" w14:textId="77777777" w:rsidR="000A7D9D" w:rsidRPr="00EC1412" w:rsidRDefault="000A7D9D" w:rsidP="00F31937">
            <w:pPr>
              <w:jc w:val="right"/>
              <w:rPr>
                <w:caps/>
                <w:noProof/>
                <w:sz w:val="18"/>
                <w:szCs w:val="18"/>
              </w:rPr>
            </w:pPr>
            <w:r>
              <w:rPr>
                <w:noProof/>
                <w:sz w:val="18"/>
                <w:szCs w:val="18"/>
              </w:rPr>
              <w:t>0</w:t>
            </w:r>
          </w:p>
        </w:tc>
      </w:tr>
      <w:tr w:rsidR="000A7D9D" w:rsidRPr="00EC1412" w14:paraId="3F891EAB" w14:textId="77777777" w:rsidTr="00F31937">
        <w:tc>
          <w:tcPr>
            <w:tcW w:w="1838" w:type="dxa"/>
            <w:tcBorders>
              <w:right w:val="single" w:sz="4" w:space="0" w:color="auto"/>
            </w:tcBorders>
          </w:tcPr>
          <w:p w14:paraId="101492F4" w14:textId="77777777" w:rsidR="000A7D9D" w:rsidRPr="00EC1412" w:rsidRDefault="000A7D9D" w:rsidP="00F31937">
            <w:pPr>
              <w:jc w:val="both"/>
              <w:rPr>
                <w:caps/>
                <w:noProof/>
                <w:sz w:val="18"/>
                <w:szCs w:val="18"/>
              </w:rPr>
            </w:pPr>
            <w:r>
              <w:rPr>
                <w:caps/>
                <w:noProof/>
                <w:sz w:val="18"/>
                <w:szCs w:val="18"/>
              </w:rPr>
              <w:t>EU-OSHA</w:t>
            </w:r>
          </w:p>
        </w:tc>
        <w:tc>
          <w:tcPr>
            <w:tcW w:w="567" w:type="dxa"/>
            <w:tcBorders>
              <w:left w:val="single" w:sz="4" w:space="0" w:color="auto"/>
              <w:right w:val="dotted" w:sz="4" w:space="0" w:color="auto"/>
            </w:tcBorders>
          </w:tcPr>
          <w:p w14:paraId="005647D4"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right w:val="single" w:sz="4" w:space="0" w:color="auto"/>
            </w:tcBorders>
          </w:tcPr>
          <w:p w14:paraId="090E3170"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right w:val="dotted" w:sz="4" w:space="0" w:color="auto"/>
            </w:tcBorders>
          </w:tcPr>
          <w:p w14:paraId="008B499E"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dotted" w:sz="4" w:space="0" w:color="auto"/>
              <w:right w:val="single" w:sz="4" w:space="0" w:color="auto"/>
            </w:tcBorders>
          </w:tcPr>
          <w:p w14:paraId="7A93EF87"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right w:val="dotted" w:sz="4" w:space="0" w:color="auto"/>
            </w:tcBorders>
          </w:tcPr>
          <w:p w14:paraId="18590762"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dotted" w:sz="4" w:space="0" w:color="auto"/>
              <w:right w:val="single" w:sz="4" w:space="0" w:color="auto"/>
            </w:tcBorders>
          </w:tcPr>
          <w:p w14:paraId="2A7D03F5"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right w:val="dotted" w:sz="4" w:space="0" w:color="auto"/>
            </w:tcBorders>
          </w:tcPr>
          <w:p w14:paraId="190DA12D"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dotted" w:sz="4" w:space="0" w:color="auto"/>
              <w:right w:val="single" w:sz="4" w:space="0" w:color="auto"/>
            </w:tcBorders>
          </w:tcPr>
          <w:p w14:paraId="3AED06A7" w14:textId="77777777" w:rsidR="000A7D9D" w:rsidRPr="00EC1412" w:rsidRDefault="000A7D9D" w:rsidP="00F31937">
            <w:pPr>
              <w:jc w:val="right"/>
              <w:rPr>
                <w:caps/>
                <w:noProof/>
                <w:sz w:val="18"/>
                <w:szCs w:val="18"/>
              </w:rPr>
            </w:pPr>
            <w:r>
              <w:rPr>
                <w:caps/>
                <w:noProof/>
                <w:sz w:val="18"/>
                <w:szCs w:val="18"/>
              </w:rPr>
              <w:t>0</w:t>
            </w:r>
          </w:p>
        </w:tc>
        <w:tc>
          <w:tcPr>
            <w:tcW w:w="851" w:type="dxa"/>
            <w:tcBorders>
              <w:left w:val="single" w:sz="4" w:space="0" w:color="auto"/>
              <w:right w:val="single" w:sz="4" w:space="0" w:color="auto"/>
            </w:tcBorders>
          </w:tcPr>
          <w:p w14:paraId="3224FD33" w14:textId="77777777" w:rsidR="000A7D9D" w:rsidRPr="00EC1412" w:rsidRDefault="000A7D9D" w:rsidP="00F31937">
            <w:pPr>
              <w:jc w:val="right"/>
              <w:rPr>
                <w:noProof/>
                <w:sz w:val="18"/>
                <w:szCs w:val="18"/>
              </w:rPr>
            </w:pPr>
            <w:r>
              <w:rPr>
                <w:noProof/>
                <w:sz w:val="18"/>
                <w:szCs w:val="18"/>
              </w:rPr>
              <w:t>0</w:t>
            </w:r>
          </w:p>
        </w:tc>
        <w:tc>
          <w:tcPr>
            <w:tcW w:w="850" w:type="dxa"/>
            <w:tcBorders>
              <w:left w:val="single" w:sz="4" w:space="0" w:color="auto"/>
              <w:right w:val="single" w:sz="4" w:space="0" w:color="auto"/>
            </w:tcBorders>
            <w:vAlign w:val="bottom"/>
          </w:tcPr>
          <w:p w14:paraId="501260C6" w14:textId="77777777" w:rsidR="000A7D9D" w:rsidRPr="00EC1412" w:rsidRDefault="000A7D9D" w:rsidP="00F31937">
            <w:pPr>
              <w:jc w:val="right"/>
              <w:rPr>
                <w:caps/>
                <w:noProof/>
                <w:sz w:val="18"/>
                <w:szCs w:val="18"/>
              </w:rPr>
            </w:pPr>
            <w:r>
              <w:rPr>
                <w:caps/>
                <w:noProof/>
                <w:sz w:val="18"/>
                <w:szCs w:val="18"/>
              </w:rPr>
              <w:t>0</w:t>
            </w:r>
          </w:p>
        </w:tc>
        <w:tc>
          <w:tcPr>
            <w:tcW w:w="851" w:type="dxa"/>
            <w:tcBorders>
              <w:left w:val="single" w:sz="4" w:space="0" w:color="auto"/>
              <w:right w:val="single" w:sz="4" w:space="0" w:color="auto"/>
            </w:tcBorders>
            <w:vAlign w:val="bottom"/>
          </w:tcPr>
          <w:p w14:paraId="6C175E33" w14:textId="77777777" w:rsidR="000A7D9D" w:rsidRPr="00EC1412" w:rsidRDefault="000A7D9D" w:rsidP="00F31937">
            <w:pPr>
              <w:jc w:val="right"/>
              <w:rPr>
                <w:noProof/>
                <w:sz w:val="18"/>
                <w:szCs w:val="18"/>
              </w:rPr>
            </w:pPr>
            <w:r>
              <w:rPr>
                <w:noProof/>
                <w:sz w:val="18"/>
                <w:szCs w:val="18"/>
              </w:rPr>
              <w:t>0</w:t>
            </w:r>
          </w:p>
        </w:tc>
        <w:tc>
          <w:tcPr>
            <w:tcW w:w="850" w:type="dxa"/>
            <w:tcBorders>
              <w:left w:val="single" w:sz="4" w:space="0" w:color="auto"/>
            </w:tcBorders>
            <w:vAlign w:val="bottom"/>
          </w:tcPr>
          <w:p w14:paraId="5785B54D" w14:textId="77777777" w:rsidR="000A7D9D" w:rsidRPr="00EC1412" w:rsidRDefault="000A7D9D" w:rsidP="00F31937">
            <w:pPr>
              <w:jc w:val="right"/>
              <w:rPr>
                <w:noProof/>
                <w:sz w:val="18"/>
                <w:szCs w:val="18"/>
              </w:rPr>
            </w:pPr>
            <w:r>
              <w:rPr>
                <w:noProof/>
                <w:sz w:val="18"/>
                <w:szCs w:val="18"/>
              </w:rPr>
              <w:t>0</w:t>
            </w:r>
          </w:p>
        </w:tc>
      </w:tr>
      <w:tr w:rsidR="000A7D9D" w:rsidRPr="00EC1412" w14:paraId="3FD886D3" w14:textId="77777777" w:rsidTr="00F31937">
        <w:tc>
          <w:tcPr>
            <w:tcW w:w="1838" w:type="dxa"/>
            <w:tcBorders>
              <w:bottom w:val="single" w:sz="4" w:space="0" w:color="auto"/>
              <w:right w:val="single" w:sz="4" w:space="0" w:color="auto"/>
            </w:tcBorders>
          </w:tcPr>
          <w:p w14:paraId="0A6A5BD8" w14:textId="77777777" w:rsidR="000A7D9D" w:rsidRPr="00EC1412" w:rsidRDefault="000A7D9D" w:rsidP="00F31937">
            <w:pPr>
              <w:jc w:val="both"/>
              <w:rPr>
                <w:caps/>
                <w:noProof/>
                <w:sz w:val="18"/>
                <w:szCs w:val="18"/>
              </w:rPr>
            </w:pPr>
            <w:r w:rsidRPr="00EC1412">
              <w:rPr>
                <w:caps/>
                <w:noProof/>
                <w:sz w:val="18"/>
                <w:szCs w:val="18"/>
              </w:rPr>
              <w:t>JRC</w:t>
            </w:r>
          </w:p>
        </w:tc>
        <w:tc>
          <w:tcPr>
            <w:tcW w:w="567" w:type="dxa"/>
            <w:tcBorders>
              <w:left w:val="single" w:sz="4" w:space="0" w:color="auto"/>
              <w:bottom w:val="single" w:sz="4" w:space="0" w:color="auto"/>
              <w:right w:val="dotted" w:sz="4" w:space="0" w:color="auto"/>
            </w:tcBorders>
          </w:tcPr>
          <w:p w14:paraId="2D521927" w14:textId="77777777" w:rsidR="000A7D9D" w:rsidRPr="00EC1412" w:rsidRDefault="000A7D9D" w:rsidP="00F31937">
            <w:pPr>
              <w:jc w:val="right"/>
              <w:rPr>
                <w:noProof/>
                <w:sz w:val="18"/>
                <w:szCs w:val="18"/>
              </w:rPr>
            </w:pPr>
            <w:r w:rsidRPr="00EC1412">
              <w:rPr>
                <w:noProof/>
                <w:sz w:val="18"/>
                <w:szCs w:val="18"/>
              </w:rPr>
              <w:t>0</w:t>
            </w:r>
          </w:p>
        </w:tc>
        <w:tc>
          <w:tcPr>
            <w:tcW w:w="425" w:type="dxa"/>
            <w:tcBorders>
              <w:left w:val="dotted" w:sz="4" w:space="0" w:color="auto"/>
              <w:bottom w:val="single" w:sz="4" w:space="0" w:color="auto"/>
              <w:right w:val="single" w:sz="4" w:space="0" w:color="auto"/>
            </w:tcBorders>
          </w:tcPr>
          <w:p w14:paraId="419BC309"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right w:val="dotted" w:sz="4" w:space="0" w:color="auto"/>
            </w:tcBorders>
            <w:vAlign w:val="bottom"/>
          </w:tcPr>
          <w:p w14:paraId="0F961042" w14:textId="77777777" w:rsidR="000A7D9D" w:rsidRPr="00EC1412" w:rsidRDefault="000A7D9D" w:rsidP="00F31937">
            <w:pPr>
              <w:jc w:val="right"/>
              <w:rPr>
                <w:caps/>
                <w:noProof/>
                <w:sz w:val="18"/>
                <w:szCs w:val="18"/>
              </w:rPr>
            </w:pPr>
            <w:r w:rsidRPr="00EC1412">
              <w:rPr>
                <w:caps/>
                <w:noProof/>
                <w:sz w:val="18"/>
                <w:szCs w:val="18"/>
              </w:rPr>
              <w:t>0</w:t>
            </w:r>
          </w:p>
        </w:tc>
        <w:tc>
          <w:tcPr>
            <w:tcW w:w="567" w:type="dxa"/>
            <w:tcBorders>
              <w:left w:val="dotted" w:sz="4" w:space="0" w:color="auto"/>
              <w:bottom w:val="single" w:sz="4" w:space="0" w:color="auto"/>
              <w:right w:val="single" w:sz="4" w:space="0" w:color="auto"/>
            </w:tcBorders>
            <w:vAlign w:val="bottom"/>
          </w:tcPr>
          <w:p w14:paraId="0AFA5B3E"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dotted" w:sz="4" w:space="0" w:color="auto"/>
            </w:tcBorders>
            <w:vAlign w:val="bottom"/>
          </w:tcPr>
          <w:p w14:paraId="418B13E5" w14:textId="77777777" w:rsidR="000A7D9D" w:rsidRPr="00EC1412" w:rsidRDefault="000A7D9D" w:rsidP="00F31937">
            <w:pPr>
              <w:jc w:val="right"/>
              <w:rPr>
                <w:noProof/>
                <w:sz w:val="18"/>
                <w:szCs w:val="18"/>
              </w:rPr>
            </w:pPr>
            <w:r w:rsidRPr="00EC1412">
              <w:rPr>
                <w:noProof/>
                <w:sz w:val="18"/>
                <w:szCs w:val="18"/>
              </w:rPr>
              <w:t>0</w:t>
            </w:r>
          </w:p>
        </w:tc>
        <w:tc>
          <w:tcPr>
            <w:tcW w:w="567" w:type="dxa"/>
            <w:tcBorders>
              <w:left w:val="dotted" w:sz="4" w:space="0" w:color="auto"/>
              <w:bottom w:val="single" w:sz="4" w:space="0" w:color="auto"/>
              <w:right w:val="single" w:sz="4" w:space="0" w:color="auto"/>
            </w:tcBorders>
            <w:vAlign w:val="bottom"/>
          </w:tcPr>
          <w:p w14:paraId="0F86FEC7"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right w:val="dotted" w:sz="4" w:space="0" w:color="auto"/>
            </w:tcBorders>
            <w:vAlign w:val="bottom"/>
          </w:tcPr>
          <w:p w14:paraId="48E8CFD1" w14:textId="77777777" w:rsidR="000A7D9D" w:rsidRPr="00EC1412" w:rsidRDefault="000A7D9D" w:rsidP="00F31937">
            <w:pPr>
              <w:jc w:val="right"/>
              <w:rPr>
                <w:noProof/>
                <w:sz w:val="18"/>
                <w:szCs w:val="18"/>
              </w:rPr>
            </w:pPr>
            <w:r w:rsidRPr="00EC1412">
              <w:rPr>
                <w:noProof/>
                <w:sz w:val="18"/>
                <w:szCs w:val="18"/>
              </w:rPr>
              <w:t>0</w:t>
            </w:r>
          </w:p>
        </w:tc>
        <w:tc>
          <w:tcPr>
            <w:tcW w:w="567" w:type="dxa"/>
            <w:tcBorders>
              <w:left w:val="dotted" w:sz="4" w:space="0" w:color="auto"/>
              <w:bottom w:val="single" w:sz="4" w:space="0" w:color="auto"/>
              <w:right w:val="single" w:sz="4" w:space="0" w:color="auto"/>
            </w:tcBorders>
            <w:vAlign w:val="bottom"/>
          </w:tcPr>
          <w:p w14:paraId="26794F42" w14:textId="77777777" w:rsidR="000A7D9D" w:rsidRPr="00EC1412" w:rsidRDefault="000A7D9D" w:rsidP="00F31937">
            <w:pPr>
              <w:jc w:val="right"/>
              <w:rPr>
                <w:noProof/>
                <w:sz w:val="18"/>
                <w:szCs w:val="18"/>
              </w:rPr>
            </w:pPr>
            <w:r>
              <w:rPr>
                <w:noProof/>
                <w:sz w:val="18"/>
                <w:szCs w:val="18"/>
              </w:rPr>
              <w:t>0</w:t>
            </w:r>
          </w:p>
        </w:tc>
        <w:tc>
          <w:tcPr>
            <w:tcW w:w="851" w:type="dxa"/>
            <w:tcBorders>
              <w:left w:val="single" w:sz="4" w:space="0" w:color="auto"/>
              <w:bottom w:val="single" w:sz="4" w:space="0" w:color="auto"/>
              <w:right w:val="single" w:sz="4" w:space="0" w:color="auto"/>
            </w:tcBorders>
          </w:tcPr>
          <w:p w14:paraId="16E251A6" w14:textId="77777777" w:rsidR="000A7D9D" w:rsidRPr="00EC1412" w:rsidRDefault="000A7D9D" w:rsidP="00F31937">
            <w:pPr>
              <w:jc w:val="right"/>
              <w:rPr>
                <w:noProof/>
                <w:sz w:val="18"/>
                <w:szCs w:val="18"/>
              </w:rPr>
            </w:pPr>
            <w:r w:rsidRPr="00EC1412">
              <w:rPr>
                <w:noProof/>
                <w:sz w:val="18"/>
                <w:szCs w:val="18"/>
              </w:rPr>
              <w:t>180</w:t>
            </w:r>
          </w:p>
        </w:tc>
        <w:tc>
          <w:tcPr>
            <w:tcW w:w="850" w:type="dxa"/>
            <w:tcBorders>
              <w:left w:val="single" w:sz="4" w:space="0" w:color="auto"/>
              <w:bottom w:val="single" w:sz="4" w:space="0" w:color="auto"/>
              <w:right w:val="single" w:sz="4" w:space="0" w:color="auto"/>
            </w:tcBorders>
            <w:vAlign w:val="bottom"/>
          </w:tcPr>
          <w:p w14:paraId="03630967" w14:textId="77777777" w:rsidR="000A7D9D" w:rsidRPr="00EC1412" w:rsidRDefault="000A7D9D" w:rsidP="00F31937">
            <w:pPr>
              <w:jc w:val="right"/>
              <w:rPr>
                <w:noProof/>
                <w:sz w:val="18"/>
                <w:szCs w:val="18"/>
              </w:rPr>
            </w:pPr>
            <w:r w:rsidRPr="00EC1412">
              <w:rPr>
                <w:caps/>
                <w:noProof/>
                <w:sz w:val="18"/>
                <w:szCs w:val="18"/>
              </w:rPr>
              <w:t>180</w:t>
            </w:r>
          </w:p>
        </w:tc>
        <w:tc>
          <w:tcPr>
            <w:tcW w:w="851" w:type="dxa"/>
            <w:tcBorders>
              <w:left w:val="single" w:sz="4" w:space="0" w:color="auto"/>
              <w:bottom w:val="single" w:sz="4" w:space="0" w:color="auto"/>
              <w:right w:val="single" w:sz="4" w:space="0" w:color="auto"/>
            </w:tcBorders>
            <w:vAlign w:val="bottom"/>
          </w:tcPr>
          <w:p w14:paraId="096C5B76" w14:textId="77777777" w:rsidR="000A7D9D" w:rsidRPr="00EC1412" w:rsidRDefault="000A7D9D" w:rsidP="00F31937">
            <w:pPr>
              <w:jc w:val="right"/>
              <w:rPr>
                <w:noProof/>
                <w:sz w:val="18"/>
                <w:szCs w:val="18"/>
              </w:rPr>
            </w:pPr>
            <w:r w:rsidRPr="00EC1412">
              <w:rPr>
                <w:noProof/>
                <w:sz w:val="18"/>
                <w:szCs w:val="18"/>
              </w:rPr>
              <w:t>180</w:t>
            </w:r>
          </w:p>
        </w:tc>
        <w:tc>
          <w:tcPr>
            <w:tcW w:w="850" w:type="dxa"/>
            <w:tcBorders>
              <w:left w:val="single" w:sz="4" w:space="0" w:color="auto"/>
              <w:bottom w:val="single" w:sz="4" w:space="0" w:color="auto"/>
            </w:tcBorders>
            <w:vAlign w:val="bottom"/>
          </w:tcPr>
          <w:p w14:paraId="1CFD6355" w14:textId="77777777" w:rsidR="000A7D9D" w:rsidRPr="00EC1412" w:rsidRDefault="000A7D9D" w:rsidP="00F31937">
            <w:pPr>
              <w:jc w:val="right"/>
              <w:rPr>
                <w:noProof/>
                <w:sz w:val="18"/>
                <w:szCs w:val="18"/>
              </w:rPr>
            </w:pPr>
            <w:r w:rsidRPr="00EC1412">
              <w:rPr>
                <w:noProof/>
                <w:sz w:val="18"/>
                <w:szCs w:val="18"/>
              </w:rPr>
              <w:t>0</w:t>
            </w:r>
          </w:p>
        </w:tc>
      </w:tr>
      <w:tr w:rsidR="000A7D9D" w:rsidRPr="00EC1412" w14:paraId="763B7F5F" w14:textId="77777777" w:rsidTr="00F31937">
        <w:tc>
          <w:tcPr>
            <w:tcW w:w="1838" w:type="dxa"/>
            <w:tcBorders>
              <w:bottom w:val="single" w:sz="4" w:space="0" w:color="auto"/>
              <w:right w:val="single" w:sz="4" w:space="0" w:color="auto"/>
            </w:tcBorders>
          </w:tcPr>
          <w:p w14:paraId="70B92969" w14:textId="77777777" w:rsidR="000A7D9D" w:rsidRPr="00EC1412" w:rsidRDefault="000A7D9D" w:rsidP="00F31937">
            <w:pPr>
              <w:jc w:val="both"/>
              <w:rPr>
                <w:caps/>
                <w:noProof/>
                <w:sz w:val="18"/>
                <w:szCs w:val="18"/>
              </w:rPr>
            </w:pPr>
            <w:r w:rsidRPr="00EC1412">
              <w:rPr>
                <w:caps/>
                <w:noProof/>
                <w:sz w:val="18"/>
                <w:szCs w:val="18"/>
              </w:rPr>
              <w:t>SAM</w:t>
            </w:r>
          </w:p>
        </w:tc>
        <w:tc>
          <w:tcPr>
            <w:tcW w:w="567" w:type="dxa"/>
            <w:tcBorders>
              <w:left w:val="single" w:sz="4" w:space="0" w:color="auto"/>
              <w:bottom w:val="single" w:sz="4" w:space="0" w:color="auto"/>
              <w:right w:val="dotted" w:sz="4" w:space="0" w:color="auto"/>
            </w:tcBorders>
          </w:tcPr>
          <w:p w14:paraId="0A769C68" w14:textId="77777777" w:rsidR="000A7D9D" w:rsidRPr="00EC1412" w:rsidRDefault="000A7D9D" w:rsidP="00F31937">
            <w:pPr>
              <w:jc w:val="right"/>
              <w:rPr>
                <w:noProof/>
                <w:sz w:val="18"/>
                <w:szCs w:val="18"/>
              </w:rPr>
            </w:pPr>
            <w:r w:rsidRPr="00EC1412">
              <w:rPr>
                <w:noProof/>
                <w:sz w:val="18"/>
                <w:szCs w:val="18"/>
              </w:rPr>
              <w:t>1</w:t>
            </w:r>
          </w:p>
        </w:tc>
        <w:tc>
          <w:tcPr>
            <w:tcW w:w="425" w:type="dxa"/>
            <w:tcBorders>
              <w:left w:val="dotted" w:sz="4" w:space="0" w:color="auto"/>
              <w:bottom w:val="single" w:sz="4" w:space="0" w:color="auto"/>
              <w:right w:val="single" w:sz="4" w:space="0" w:color="auto"/>
            </w:tcBorders>
          </w:tcPr>
          <w:p w14:paraId="035AED9E"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right w:val="dotted" w:sz="4" w:space="0" w:color="auto"/>
            </w:tcBorders>
            <w:vAlign w:val="bottom"/>
          </w:tcPr>
          <w:p w14:paraId="525A83D7" w14:textId="77777777" w:rsidR="000A7D9D" w:rsidRPr="00EC1412" w:rsidRDefault="000A7D9D" w:rsidP="00F31937">
            <w:pPr>
              <w:jc w:val="right"/>
              <w:rPr>
                <w:caps/>
                <w:noProof/>
                <w:sz w:val="18"/>
                <w:szCs w:val="18"/>
              </w:rPr>
            </w:pPr>
            <w:r w:rsidRPr="00EC1412">
              <w:rPr>
                <w:caps/>
                <w:noProof/>
                <w:sz w:val="18"/>
                <w:szCs w:val="18"/>
              </w:rPr>
              <w:t>1</w:t>
            </w:r>
          </w:p>
        </w:tc>
        <w:tc>
          <w:tcPr>
            <w:tcW w:w="567" w:type="dxa"/>
            <w:tcBorders>
              <w:left w:val="dotted" w:sz="4" w:space="0" w:color="auto"/>
              <w:bottom w:val="single" w:sz="4" w:space="0" w:color="auto"/>
              <w:right w:val="single" w:sz="4" w:space="0" w:color="auto"/>
            </w:tcBorders>
            <w:vAlign w:val="bottom"/>
          </w:tcPr>
          <w:p w14:paraId="7580A6D8"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dotted" w:sz="4" w:space="0" w:color="auto"/>
            </w:tcBorders>
            <w:vAlign w:val="bottom"/>
          </w:tcPr>
          <w:p w14:paraId="638DA135" w14:textId="77777777" w:rsidR="000A7D9D" w:rsidRPr="00EC1412" w:rsidRDefault="000A7D9D" w:rsidP="00F31937">
            <w:pPr>
              <w:jc w:val="right"/>
              <w:rPr>
                <w:noProof/>
                <w:sz w:val="18"/>
                <w:szCs w:val="18"/>
              </w:rPr>
            </w:pPr>
            <w:r w:rsidRPr="00EC1412">
              <w:rPr>
                <w:noProof/>
                <w:sz w:val="18"/>
                <w:szCs w:val="18"/>
              </w:rPr>
              <w:t>1</w:t>
            </w:r>
          </w:p>
        </w:tc>
        <w:tc>
          <w:tcPr>
            <w:tcW w:w="567" w:type="dxa"/>
            <w:tcBorders>
              <w:left w:val="dotted" w:sz="4" w:space="0" w:color="auto"/>
              <w:bottom w:val="single" w:sz="4" w:space="0" w:color="auto"/>
              <w:right w:val="single" w:sz="4" w:space="0" w:color="auto"/>
            </w:tcBorders>
            <w:vAlign w:val="bottom"/>
          </w:tcPr>
          <w:p w14:paraId="4B6E4818"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right w:val="dotted" w:sz="4" w:space="0" w:color="auto"/>
            </w:tcBorders>
            <w:vAlign w:val="bottom"/>
          </w:tcPr>
          <w:p w14:paraId="60D09264" w14:textId="77777777" w:rsidR="000A7D9D" w:rsidRPr="00EC1412" w:rsidRDefault="000A7D9D" w:rsidP="00F31937">
            <w:pPr>
              <w:jc w:val="right"/>
              <w:rPr>
                <w:noProof/>
                <w:sz w:val="18"/>
                <w:szCs w:val="18"/>
              </w:rPr>
            </w:pPr>
            <w:r w:rsidRPr="00EC1412">
              <w:rPr>
                <w:noProof/>
                <w:sz w:val="18"/>
                <w:szCs w:val="18"/>
              </w:rPr>
              <w:t>1</w:t>
            </w:r>
          </w:p>
        </w:tc>
        <w:tc>
          <w:tcPr>
            <w:tcW w:w="567" w:type="dxa"/>
            <w:tcBorders>
              <w:left w:val="dotted" w:sz="4" w:space="0" w:color="auto"/>
              <w:bottom w:val="single" w:sz="4" w:space="0" w:color="auto"/>
              <w:right w:val="single" w:sz="4" w:space="0" w:color="auto"/>
            </w:tcBorders>
            <w:vAlign w:val="bottom"/>
          </w:tcPr>
          <w:p w14:paraId="3C8CDFB8" w14:textId="77777777" w:rsidR="000A7D9D" w:rsidRPr="00EC1412" w:rsidRDefault="000A7D9D" w:rsidP="00F31937">
            <w:pPr>
              <w:jc w:val="right"/>
              <w:rPr>
                <w:noProof/>
                <w:sz w:val="18"/>
                <w:szCs w:val="18"/>
              </w:rPr>
            </w:pPr>
            <w:r>
              <w:rPr>
                <w:noProof/>
                <w:sz w:val="18"/>
                <w:szCs w:val="18"/>
              </w:rPr>
              <w:t>0</w:t>
            </w:r>
          </w:p>
        </w:tc>
        <w:tc>
          <w:tcPr>
            <w:tcW w:w="851" w:type="dxa"/>
            <w:tcBorders>
              <w:left w:val="single" w:sz="4" w:space="0" w:color="auto"/>
              <w:bottom w:val="single" w:sz="4" w:space="0" w:color="auto"/>
              <w:right w:val="single" w:sz="4" w:space="0" w:color="auto"/>
            </w:tcBorders>
          </w:tcPr>
          <w:p w14:paraId="036F6413" w14:textId="77777777" w:rsidR="000A7D9D" w:rsidRPr="00EC1412" w:rsidRDefault="000A7D9D" w:rsidP="00F31937">
            <w:pPr>
              <w:jc w:val="right"/>
              <w:rPr>
                <w:noProof/>
                <w:sz w:val="18"/>
                <w:szCs w:val="18"/>
              </w:rPr>
            </w:pPr>
            <w:r w:rsidRPr="00EC1412">
              <w:rPr>
                <w:noProof/>
                <w:sz w:val="18"/>
                <w:szCs w:val="18"/>
              </w:rPr>
              <w:t>0</w:t>
            </w:r>
          </w:p>
        </w:tc>
        <w:tc>
          <w:tcPr>
            <w:tcW w:w="850" w:type="dxa"/>
            <w:tcBorders>
              <w:left w:val="single" w:sz="4" w:space="0" w:color="auto"/>
              <w:bottom w:val="single" w:sz="4" w:space="0" w:color="auto"/>
              <w:right w:val="single" w:sz="4" w:space="0" w:color="auto"/>
            </w:tcBorders>
            <w:vAlign w:val="bottom"/>
          </w:tcPr>
          <w:p w14:paraId="635ED24A" w14:textId="77777777" w:rsidR="000A7D9D" w:rsidRPr="00EC1412" w:rsidRDefault="000A7D9D" w:rsidP="00F31937">
            <w:pPr>
              <w:jc w:val="right"/>
              <w:rPr>
                <w:caps/>
                <w:noProof/>
                <w:sz w:val="18"/>
                <w:szCs w:val="18"/>
              </w:rPr>
            </w:pPr>
            <w:r w:rsidRPr="00EC1412">
              <w:rPr>
                <w:caps/>
                <w:noProof/>
                <w:sz w:val="18"/>
                <w:szCs w:val="18"/>
              </w:rPr>
              <w:t>0</w:t>
            </w:r>
          </w:p>
        </w:tc>
        <w:tc>
          <w:tcPr>
            <w:tcW w:w="851" w:type="dxa"/>
            <w:tcBorders>
              <w:left w:val="single" w:sz="4" w:space="0" w:color="auto"/>
              <w:bottom w:val="single" w:sz="4" w:space="0" w:color="auto"/>
              <w:right w:val="single" w:sz="4" w:space="0" w:color="auto"/>
            </w:tcBorders>
            <w:vAlign w:val="bottom"/>
          </w:tcPr>
          <w:p w14:paraId="47B65339" w14:textId="77777777" w:rsidR="000A7D9D" w:rsidRPr="00EC1412" w:rsidRDefault="000A7D9D" w:rsidP="00F31937">
            <w:pPr>
              <w:jc w:val="right"/>
              <w:rPr>
                <w:noProof/>
                <w:sz w:val="18"/>
                <w:szCs w:val="18"/>
              </w:rPr>
            </w:pPr>
            <w:r w:rsidRPr="00EC1412">
              <w:rPr>
                <w:noProof/>
                <w:sz w:val="18"/>
                <w:szCs w:val="18"/>
              </w:rPr>
              <w:t>0</w:t>
            </w:r>
          </w:p>
        </w:tc>
        <w:tc>
          <w:tcPr>
            <w:tcW w:w="850" w:type="dxa"/>
            <w:tcBorders>
              <w:left w:val="single" w:sz="4" w:space="0" w:color="auto"/>
              <w:bottom w:val="single" w:sz="4" w:space="0" w:color="auto"/>
            </w:tcBorders>
            <w:vAlign w:val="bottom"/>
          </w:tcPr>
          <w:p w14:paraId="38A39297" w14:textId="77777777" w:rsidR="000A7D9D" w:rsidRPr="00EC1412" w:rsidRDefault="000A7D9D" w:rsidP="00F31937">
            <w:pPr>
              <w:jc w:val="right"/>
              <w:rPr>
                <w:noProof/>
                <w:sz w:val="18"/>
                <w:szCs w:val="18"/>
              </w:rPr>
            </w:pPr>
            <w:r w:rsidRPr="00EC1412">
              <w:rPr>
                <w:noProof/>
                <w:sz w:val="18"/>
                <w:szCs w:val="18"/>
              </w:rPr>
              <w:t>0</w:t>
            </w:r>
          </w:p>
        </w:tc>
      </w:tr>
      <w:tr w:rsidR="000A7D9D" w:rsidRPr="00EC1412" w14:paraId="20046DC6" w14:textId="77777777" w:rsidTr="00F31937">
        <w:tc>
          <w:tcPr>
            <w:tcW w:w="1838" w:type="dxa"/>
            <w:tcBorders>
              <w:right w:val="single" w:sz="4" w:space="0" w:color="auto"/>
            </w:tcBorders>
            <w:shd w:val="clear" w:color="auto" w:fill="BFBFBF" w:themeFill="background1" w:themeFillShade="BF"/>
          </w:tcPr>
          <w:p w14:paraId="63925B84" w14:textId="77777777" w:rsidR="000A7D9D" w:rsidRPr="00EC1412" w:rsidRDefault="000A7D9D" w:rsidP="00F31937">
            <w:pPr>
              <w:jc w:val="both"/>
              <w:rPr>
                <w:b/>
                <w:caps/>
                <w:noProof/>
                <w:sz w:val="18"/>
                <w:szCs w:val="18"/>
              </w:rPr>
            </w:pPr>
            <w:r w:rsidRPr="00EC1412">
              <w:rPr>
                <w:b/>
                <w:caps/>
                <w:noProof/>
                <w:sz w:val="18"/>
                <w:szCs w:val="18"/>
              </w:rPr>
              <w:t>SUm</w:t>
            </w:r>
          </w:p>
        </w:tc>
        <w:tc>
          <w:tcPr>
            <w:tcW w:w="567" w:type="dxa"/>
            <w:tcBorders>
              <w:left w:val="single" w:sz="4" w:space="0" w:color="auto"/>
              <w:right w:val="dotted" w:sz="4" w:space="0" w:color="auto"/>
            </w:tcBorders>
            <w:shd w:val="clear" w:color="auto" w:fill="BFBFBF" w:themeFill="background1" w:themeFillShade="BF"/>
          </w:tcPr>
          <w:p w14:paraId="00CDC879" w14:textId="77777777" w:rsidR="000A7D9D" w:rsidRPr="00EC1412" w:rsidRDefault="000A7D9D" w:rsidP="00F31937">
            <w:pPr>
              <w:jc w:val="right"/>
              <w:rPr>
                <w:b/>
                <w:caps/>
                <w:noProof/>
                <w:sz w:val="18"/>
                <w:szCs w:val="18"/>
              </w:rPr>
            </w:pPr>
            <w:r>
              <w:rPr>
                <w:b/>
                <w:caps/>
                <w:noProof/>
                <w:sz w:val="18"/>
                <w:szCs w:val="18"/>
              </w:rPr>
              <w:t>34</w:t>
            </w:r>
          </w:p>
        </w:tc>
        <w:tc>
          <w:tcPr>
            <w:tcW w:w="425" w:type="dxa"/>
            <w:tcBorders>
              <w:left w:val="dotted" w:sz="4" w:space="0" w:color="auto"/>
              <w:right w:val="single" w:sz="4" w:space="0" w:color="auto"/>
            </w:tcBorders>
            <w:shd w:val="clear" w:color="auto" w:fill="BFBFBF" w:themeFill="background1" w:themeFillShade="BF"/>
          </w:tcPr>
          <w:p w14:paraId="7190848C" w14:textId="77777777" w:rsidR="000A7D9D" w:rsidRPr="00EC1412" w:rsidRDefault="000A7D9D" w:rsidP="00F31937">
            <w:pPr>
              <w:jc w:val="right"/>
              <w:rPr>
                <w:b/>
                <w:caps/>
                <w:noProof/>
                <w:sz w:val="18"/>
                <w:szCs w:val="18"/>
              </w:rPr>
            </w:pPr>
            <w:r>
              <w:rPr>
                <w:b/>
                <w:caps/>
                <w:noProof/>
                <w:sz w:val="18"/>
                <w:szCs w:val="18"/>
              </w:rPr>
              <w:t>26</w:t>
            </w:r>
          </w:p>
        </w:tc>
        <w:tc>
          <w:tcPr>
            <w:tcW w:w="567" w:type="dxa"/>
            <w:tcBorders>
              <w:left w:val="single" w:sz="4" w:space="0" w:color="auto"/>
              <w:right w:val="dotted" w:sz="4" w:space="0" w:color="auto"/>
            </w:tcBorders>
            <w:shd w:val="clear" w:color="auto" w:fill="BFBFBF" w:themeFill="background1" w:themeFillShade="BF"/>
          </w:tcPr>
          <w:p w14:paraId="5039F0B6" w14:textId="77777777" w:rsidR="000A7D9D" w:rsidRPr="00EC1412" w:rsidRDefault="000A7D9D" w:rsidP="00F31937">
            <w:pPr>
              <w:jc w:val="right"/>
              <w:rPr>
                <w:b/>
                <w:caps/>
                <w:noProof/>
                <w:sz w:val="18"/>
                <w:szCs w:val="18"/>
              </w:rPr>
            </w:pPr>
            <w:r>
              <w:rPr>
                <w:b/>
                <w:caps/>
                <w:noProof/>
                <w:sz w:val="18"/>
                <w:szCs w:val="18"/>
              </w:rPr>
              <w:t>38</w:t>
            </w:r>
          </w:p>
        </w:tc>
        <w:tc>
          <w:tcPr>
            <w:tcW w:w="567" w:type="dxa"/>
            <w:tcBorders>
              <w:left w:val="dotted" w:sz="4" w:space="0" w:color="auto"/>
              <w:right w:val="single" w:sz="4" w:space="0" w:color="auto"/>
            </w:tcBorders>
            <w:shd w:val="clear" w:color="auto" w:fill="BFBFBF" w:themeFill="background1" w:themeFillShade="BF"/>
          </w:tcPr>
          <w:p w14:paraId="59D45340" w14:textId="77777777" w:rsidR="000A7D9D" w:rsidRPr="00EC1412" w:rsidRDefault="000A7D9D" w:rsidP="00F31937">
            <w:pPr>
              <w:jc w:val="right"/>
              <w:rPr>
                <w:b/>
                <w:caps/>
                <w:noProof/>
                <w:sz w:val="18"/>
                <w:szCs w:val="18"/>
              </w:rPr>
            </w:pPr>
            <w:r>
              <w:rPr>
                <w:b/>
                <w:caps/>
                <w:noProof/>
                <w:sz w:val="18"/>
                <w:szCs w:val="18"/>
              </w:rPr>
              <w:t>31</w:t>
            </w:r>
          </w:p>
        </w:tc>
        <w:tc>
          <w:tcPr>
            <w:tcW w:w="567" w:type="dxa"/>
            <w:tcBorders>
              <w:left w:val="single" w:sz="4" w:space="0" w:color="auto"/>
              <w:right w:val="dotted" w:sz="4" w:space="0" w:color="auto"/>
            </w:tcBorders>
            <w:shd w:val="clear" w:color="auto" w:fill="BFBFBF" w:themeFill="background1" w:themeFillShade="BF"/>
          </w:tcPr>
          <w:p w14:paraId="418AB5FC" w14:textId="77777777" w:rsidR="000A7D9D" w:rsidRPr="00EC1412" w:rsidRDefault="000A7D9D" w:rsidP="00F31937">
            <w:pPr>
              <w:jc w:val="right"/>
              <w:rPr>
                <w:b/>
                <w:caps/>
                <w:noProof/>
                <w:sz w:val="18"/>
                <w:szCs w:val="18"/>
              </w:rPr>
            </w:pPr>
            <w:r>
              <w:rPr>
                <w:b/>
                <w:caps/>
                <w:noProof/>
                <w:sz w:val="18"/>
                <w:szCs w:val="18"/>
              </w:rPr>
              <w:t>38</w:t>
            </w:r>
          </w:p>
        </w:tc>
        <w:tc>
          <w:tcPr>
            <w:tcW w:w="567" w:type="dxa"/>
            <w:tcBorders>
              <w:left w:val="dotted" w:sz="4" w:space="0" w:color="auto"/>
              <w:right w:val="single" w:sz="4" w:space="0" w:color="auto"/>
            </w:tcBorders>
            <w:shd w:val="clear" w:color="auto" w:fill="BFBFBF" w:themeFill="background1" w:themeFillShade="BF"/>
          </w:tcPr>
          <w:p w14:paraId="0174686E" w14:textId="77777777" w:rsidR="000A7D9D" w:rsidRPr="00EC1412" w:rsidRDefault="000A7D9D" w:rsidP="00F31937">
            <w:pPr>
              <w:jc w:val="right"/>
              <w:rPr>
                <w:b/>
                <w:caps/>
                <w:noProof/>
                <w:sz w:val="18"/>
                <w:szCs w:val="18"/>
              </w:rPr>
            </w:pPr>
            <w:r>
              <w:rPr>
                <w:b/>
                <w:caps/>
                <w:noProof/>
                <w:sz w:val="18"/>
                <w:szCs w:val="18"/>
              </w:rPr>
              <w:t>31</w:t>
            </w:r>
          </w:p>
        </w:tc>
        <w:tc>
          <w:tcPr>
            <w:tcW w:w="567" w:type="dxa"/>
            <w:tcBorders>
              <w:left w:val="single" w:sz="4" w:space="0" w:color="auto"/>
              <w:right w:val="dotted" w:sz="4" w:space="0" w:color="auto"/>
            </w:tcBorders>
            <w:shd w:val="clear" w:color="auto" w:fill="BFBFBF" w:themeFill="background1" w:themeFillShade="BF"/>
          </w:tcPr>
          <w:p w14:paraId="69D6FC4E" w14:textId="77777777" w:rsidR="000A7D9D" w:rsidRPr="00EC1412" w:rsidRDefault="000A7D9D" w:rsidP="00F31937">
            <w:pPr>
              <w:jc w:val="right"/>
              <w:rPr>
                <w:b/>
                <w:caps/>
                <w:noProof/>
                <w:sz w:val="18"/>
                <w:szCs w:val="18"/>
              </w:rPr>
            </w:pPr>
            <w:r>
              <w:rPr>
                <w:b/>
                <w:caps/>
                <w:noProof/>
                <w:sz w:val="18"/>
                <w:szCs w:val="18"/>
              </w:rPr>
              <w:t>37</w:t>
            </w:r>
          </w:p>
        </w:tc>
        <w:tc>
          <w:tcPr>
            <w:tcW w:w="567" w:type="dxa"/>
            <w:tcBorders>
              <w:left w:val="dotted" w:sz="4" w:space="0" w:color="auto"/>
              <w:right w:val="single" w:sz="4" w:space="0" w:color="auto"/>
            </w:tcBorders>
            <w:shd w:val="clear" w:color="auto" w:fill="BFBFBF" w:themeFill="background1" w:themeFillShade="BF"/>
          </w:tcPr>
          <w:p w14:paraId="779A2CF4" w14:textId="77777777" w:rsidR="000A7D9D" w:rsidRPr="00EC1412" w:rsidRDefault="000A7D9D" w:rsidP="00F31937">
            <w:pPr>
              <w:jc w:val="right"/>
              <w:rPr>
                <w:b/>
                <w:caps/>
                <w:noProof/>
                <w:sz w:val="18"/>
                <w:szCs w:val="18"/>
              </w:rPr>
            </w:pPr>
            <w:r>
              <w:rPr>
                <w:b/>
                <w:caps/>
                <w:noProof/>
                <w:sz w:val="18"/>
                <w:szCs w:val="18"/>
              </w:rPr>
              <w:t>19</w:t>
            </w:r>
          </w:p>
        </w:tc>
        <w:tc>
          <w:tcPr>
            <w:tcW w:w="851" w:type="dxa"/>
            <w:tcBorders>
              <w:left w:val="single" w:sz="4" w:space="0" w:color="auto"/>
              <w:right w:val="single" w:sz="4" w:space="0" w:color="auto"/>
            </w:tcBorders>
            <w:shd w:val="clear" w:color="auto" w:fill="BFBFBF" w:themeFill="background1" w:themeFillShade="BF"/>
          </w:tcPr>
          <w:p w14:paraId="70BB722A" w14:textId="77777777" w:rsidR="000A7D9D" w:rsidRPr="00EC1412" w:rsidRDefault="000A7D9D" w:rsidP="00F31937">
            <w:pPr>
              <w:jc w:val="right"/>
              <w:rPr>
                <w:b/>
                <w:caps/>
                <w:noProof/>
                <w:sz w:val="18"/>
                <w:szCs w:val="18"/>
              </w:rPr>
            </w:pPr>
            <w:r>
              <w:rPr>
                <w:b/>
                <w:caps/>
                <w:noProof/>
                <w:sz w:val="18"/>
                <w:szCs w:val="18"/>
              </w:rPr>
              <w:t>1 051</w:t>
            </w:r>
          </w:p>
        </w:tc>
        <w:tc>
          <w:tcPr>
            <w:tcW w:w="850" w:type="dxa"/>
            <w:tcBorders>
              <w:left w:val="single" w:sz="4" w:space="0" w:color="auto"/>
              <w:right w:val="single" w:sz="4" w:space="0" w:color="auto"/>
            </w:tcBorders>
            <w:shd w:val="clear" w:color="auto" w:fill="BFBFBF" w:themeFill="background1" w:themeFillShade="BF"/>
          </w:tcPr>
          <w:p w14:paraId="6217BA41" w14:textId="77777777" w:rsidR="000A7D9D" w:rsidRPr="00EC1412" w:rsidRDefault="000A7D9D" w:rsidP="00F31937">
            <w:pPr>
              <w:jc w:val="right"/>
              <w:rPr>
                <w:b/>
                <w:caps/>
                <w:noProof/>
                <w:sz w:val="18"/>
                <w:szCs w:val="18"/>
              </w:rPr>
            </w:pPr>
            <w:r>
              <w:rPr>
                <w:b/>
                <w:caps/>
                <w:noProof/>
                <w:sz w:val="18"/>
                <w:szCs w:val="18"/>
              </w:rPr>
              <w:t>8 435</w:t>
            </w:r>
          </w:p>
        </w:tc>
        <w:tc>
          <w:tcPr>
            <w:tcW w:w="851" w:type="dxa"/>
            <w:tcBorders>
              <w:left w:val="single" w:sz="4" w:space="0" w:color="auto"/>
              <w:right w:val="single" w:sz="4" w:space="0" w:color="auto"/>
            </w:tcBorders>
            <w:shd w:val="clear" w:color="auto" w:fill="BFBFBF" w:themeFill="background1" w:themeFillShade="BF"/>
          </w:tcPr>
          <w:p w14:paraId="43513956" w14:textId="77777777" w:rsidR="000A7D9D" w:rsidRPr="00EC1412" w:rsidRDefault="000A7D9D" w:rsidP="00F31937">
            <w:pPr>
              <w:jc w:val="right"/>
              <w:rPr>
                <w:b/>
                <w:caps/>
                <w:noProof/>
                <w:sz w:val="18"/>
                <w:szCs w:val="18"/>
              </w:rPr>
            </w:pPr>
            <w:r>
              <w:rPr>
                <w:b/>
                <w:caps/>
                <w:noProof/>
                <w:sz w:val="18"/>
                <w:szCs w:val="18"/>
              </w:rPr>
              <w:t>10 300</w:t>
            </w:r>
          </w:p>
        </w:tc>
        <w:tc>
          <w:tcPr>
            <w:tcW w:w="850" w:type="dxa"/>
            <w:tcBorders>
              <w:left w:val="single" w:sz="4" w:space="0" w:color="auto"/>
            </w:tcBorders>
            <w:shd w:val="clear" w:color="auto" w:fill="BFBFBF" w:themeFill="background1" w:themeFillShade="BF"/>
          </w:tcPr>
          <w:p w14:paraId="1E117D66" w14:textId="77777777" w:rsidR="000A7D9D" w:rsidRPr="00EC1412" w:rsidRDefault="000A7D9D" w:rsidP="00F31937">
            <w:pPr>
              <w:jc w:val="right"/>
              <w:rPr>
                <w:b/>
                <w:caps/>
                <w:noProof/>
                <w:sz w:val="18"/>
                <w:szCs w:val="18"/>
              </w:rPr>
            </w:pPr>
            <w:r>
              <w:rPr>
                <w:b/>
                <w:caps/>
                <w:noProof/>
                <w:sz w:val="18"/>
                <w:szCs w:val="18"/>
              </w:rPr>
              <w:t>8 723</w:t>
            </w:r>
          </w:p>
        </w:tc>
      </w:tr>
    </w:tbl>
    <w:p w14:paraId="64F415DA" w14:textId="77777777" w:rsidR="000A7D9D" w:rsidRPr="00EC1412" w:rsidRDefault="000A7D9D" w:rsidP="000A7D9D">
      <w:pPr>
        <w:jc w:val="both"/>
        <w:rPr>
          <w:rFonts w:ascii="Times New Roman" w:hAnsi="Times New Roman" w:cs="Times New Roman"/>
          <w:caps/>
          <w:noProof/>
        </w:rPr>
      </w:pPr>
    </w:p>
    <w:p w14:paraId="02F72CA2"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 xml:space="preserve">Overall resources saved </w:t>
      </w:r>
    </w:p>
    <w:p w14:paraId="5F77ED8F"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It must be noted that some activities that have been reattributed were performed also before the reattribution and resources were used for those activities (see Table 12 below). The resources used for rapid risk assessment for serious cross-border threats, the operation of databases under the SEVESO directive and implementation work on chemicals under surface and ground water legislation consisted of </w:t>
      </w:r>
      <w:r w:rsidRPr="00B51389">
        <w:rPr>
          <w:rFonts w:ascii="Times New Roman" w:hAnsi="Times New Roman" w:cs="Times New Roman"/>
          <w:b/>
          <w:noProof/>
        </w:rPr>
        <w:t xml:space="preserve">3.6 FTEs/year of regular staff, 7 FTEs per year of intramurous contractors or interim staff (ca. </w:t>
      </w:r>
      <w:r>
        <w:rPr>
          <w:rFonts w:ascii="Times New Roman" w:hAnsi="Times New Roman" w:cs="Times New Roman"/>
          <w:b/>
          <w:noProof/>
        </w:rPr>
        <w:t xml:space="preserve">EUR </w:t>
      </w:r>
      <w:r w:rsidRPr="00B51389">
        <w:rPr>
          <w:rFonts w:ascii="Times New Roman" w:hAnsi="Times New Roman" w:cs="Times New Roman"/>
          <w:b/>
          <w:noProof/>
        </w:rPr>
        <w:t>460</w:t>
      </w:r>
      <w:r>
        <w:rPr>
          <w:rFonts w:ascii="Times New Roman" w:hAnsi="Times New Roman" w:cs="Times New Roman"/>
          <w:b/>
          <w:noProof/>
        </w:rPr>
        <w:t xml:space="preserve"> 000</w:t>
      </w:r>
      <w:r w:rsidRPr="00B51389">
        <w:rPr>
          <w:rFonts w:ascii="Times New Roman" w:hAnsi="Times New Roman" w:cs="Times New Roman"/>
          <w:b/>
          <w:noProof/>
        </w:rPr>
        <w:t xml:space="preserve"> per year) and operational budget of </w:t>
      </w:r>
      <w:r>
        <w:rPr>
          <w:rFonts w:ascii="Times New Roman" w:hAnsi="Times New Roman" w:cs="Times New Roman"/>
          <w:b/>
          <w:noProof/>
        </w:rPr>
        <w:t xml:space="preserve">EUR </w:t>
      </w:r>
      <w:r w:rsidRPr="00B51389">
        <w:rPr>
          <w:rFonts w:ascii="Times New Roman" w:hAnsi="Times New Roman" w:cs="Times New Roman"/>
          <w:b/>
          <w:noProof/>
        </w:rPr>
        <w:t>127</w:t>
      </w:r>
      <w:r>
        <w:rPr>
          <w:rFonts w:ascii="Times New Roman" w:hAnsi="Times New Roman" w:cs="Times New Roman"/>
          <w:b/>
          <w:noProof/>
        </w:rPr>
        <w:t xml:space="preserve"> 000</w:t>
      </w:r>
      <w:r w:rsidRPr="00B51389">
        <w:rPr>
          <w:rFonts w:ascii="Times New Roman" w:hAnsi="Times New Roman" w:cs="Times New Roman"/>
          <w:b/>
          <w:noProof/>
        </w:rPr>
        <w:t xml:space="preserve"> per year.</w:t>
      </w:r>
      <w:r>
        <w:rPr>
          <w:rFonts w:ascii="Times New Roman" w:hAnsi="Times New Roman" w:cs="Times New Roman"/>
          <w:noProof/>
        </w:rPr>
        <w:t xml:space="preserve"> These resources will be saved at the institution that has performed the tasks so far.</w:t>
      </w:r>
    </w:p>
    <w:tbl>
      <w:tblPr>
        <w:tblStyle w:val="TableGrid"/>
        <w:tblW w:w="9634" w:type="dxa"/>
        <w:tblLook w:val="04A0" w:firstRow="1" w:lastRow="0" w:firstColumn="1" w:lastColumn="0" w:noHBand="0" w:noVBand="1"/>
      </w:tblPr>
      <w:tblGrid>
        <w:gridCol w:w="2830"/>
        <w:gridCol w:w="6804"/>
      </w:tblGrid>
      <w:tr w:rsidR="000A7D9D" w:rsidRPr="00EC1412" w14:paraId="625EAA9F" w14:textId="77777777" w:rsidTr="00F31937">
        <w:tc>
          <w:tcPr>
            <w:tcW w:w="9634" w:type="dxa"/>
            <w:gridSpan w:val="2"/>
            <w:tcBorders>
              <w:bottom w:val="single" w:sz="4" w:space="0" w:color="auto"/>
            </w:tcBorders>
            <w:shd w:val="clear" w:color="auto" w:fill="A6A6A6" w:themeFill="background1" w:themeFillShade="A6"/>
          </w:tcPr>
          <w:p w14:paraId="16E17553" w14:textId="77777777" w:rsidR="000A7D9D" w:rsidRPr="00EC1412" w:rsidRDefault="000A7D9D" w:rsidP="00F31937">
            <w:pPr>
              <w:spacing w:before="60" w:after="60"/>
              <w:rPr>
                <w:b/>
                <w:caps/>
                <w:noProof/>
                <w:sz w:val="18"/>
                <w:szCs w:val="18"/>
              </w:rPr>
            </w:pPr>
            <w:r w:rsidRPr="00EC1412">
              <w:rPr>
                <w:b/>
                <w:noProof/>
                <w:sz w:val="18"/>
                <w:szCs w:val="18"/>
              </w:rPr>
              <w:t>Table 12. Resource use for technical and scientific work before it was (re-)attributed to EU Agencies</w:t>
            </w:r>
          </w:p>
        </w:tc>
      </w:tr>
      <w:tr w:rsidR="000A7D9D" w:rsidRPr="00EC1412" w14:paraId="77304AF7" w14:textId="77777777" w:rsidTr="00F31937">
        <w:tc>
          <w:tcPr>
            <w:tcW w:w="2830" w:type="dxa"/>
            <w:tcBorders>
              <w:bottom w:val="single" w:sz="4" w:space="0" w:color="auto"/>
            </w:tcBorders>
            <w:shd w:val="clear" w:color="auto" w:fill="FFF4CC"/>
          </w:tcPr>
          <w:p w14:paraId="64C47BD0" w14:textId="77777777" w:rsidR="000A7D9D" w:rsidRPr="00EC1412" w:rsidRDefault="000A7D9D" w:rsidP="00F31937">
            <w:pPr>
              <w:jc w:val="both"/>
              <w:rPr>
                <w:noProof/>
                <w:sz w:val="18"/>
                <w:szCs w:val="18"/>
              </w:rPr>
            </w:pPr>
            <w:r w:rsidRPr="00EC1412">
              <w:rPr>
                <w:noProof/>
                <w:sz w:val="18"/>
                <w:szCs w:val="18"/>
              </w:rPr>
              <w:t xml:space="preserve">Regulation on serious cross-border threats to health </w:t>
            </w:r>
          </w:p>
        </w:tc>
        <w:tc>
          <w:tcPr>
            <w:tcW w:w="6804" w:type="dxa"/>
            <w:tcBorders>
              <w:bottom w:val="single" w:sz="4" w:space="0" w:color="auto"/>
            </w:tcBorders>
            <w:shd w:val="clear" w:color="auto" w:fill="FFF4CC"/>
          </w:tcPr>
          <w:p w14:paraId="60CEC389" w14:textId="77777777" w:rsidR="000A7D9D" w:rsidRPr="00EC1412" w:rsidRDefault="000A7D9D" w:rsidP="00F31937">
            <w:pPr>
              <w:spacing w:before="120"/>
              <w:rPr>
                <w:noProof/>
                <w:sz w:val="18"/>
                <w:szCs w:val="18"/>
              </w:rPr>
            </w:pPr>
            <w:r w:rsidRPr="00EC1412">
              <w:rPr>
                <w:noProof/>
                <w:sz w:val="18"/>
                <w:szCs w:val="18"/>
              </w:rPr>
              <w:t xml:space="preserve">Total ca. 0.6 FTE/year + </w:t>
            </w:r>
            <w:r>
              <w:rPr>
                <w:noProof/>
                <w:sz w:val="18"/>
                <w:szCs w:val="18"/>
              </w:rPr>
              <w:t xml:space="preserve">EUR </w:t>
            </w:r>
            <w:r w:rsidRPr="00EC1412">
              <w:rPr>
                <w:noProof/>
                <w:sz w:val="18"/>
                <w:szCs w:val="18"/>
              </w:rPr>
              <w:t>48</w:t>
            </w:r>
            <w:r>
              <w:rPr>
                <w:noProof/>
                <w:sz w:val="18"/>
                <w:szCs w:val="18"/>
              </w:rPr>
              <w:t xml:space="preserve"> 000</w:t>
            </w:r>
            <w:r w:rsidRPr="00EC1412">
              <w:rPr>
                <w:noProof/>
                <w:sz w:val="18"/>
                <w:szCs w:val="18"/>
              </w:rPr>
              <w:t>/year: DG SANTE SCHEER secretariat 0</w:t>
            </w:r>
            <w:r>
              <w:rPr>
                <w:noProof/>
                <w:sz w:val="18"/>
                <w:szCs w:val="18"/>
              </w:rPr>
              <w:t>.</w:t>
            </w:r>
            <w:r w:rsidRPr="00EC1412">
              <w:rPr>
                <w:noProof/>
                <w:sz w:val="18"/>
                <w:szCs w:val="18"/>
              </w:rPr>
              <w:t xml:space="preserve">6 FTE (ca. 20% of SCHEER secretariat work), </w:t>
            </w:r>
            <w:r>
              <w:rPr>
                <w:noProof/>
                <w:sz w:val="18"/>
                <w:szCs w:val="18"/>
              </w:rPr>
              <w:t xml:space="preserve">EUR </w:t>
            </w:r>
            <w:r w:rsidRPr="00EC1412">
              <w:rPr>
                <w:noProof/>
                <w:sz w:val="18"/>
                <w:szCs w:val="18"/>
              </w:rPr>
              <w:t>48</w:t>
            </w:r>
            <w:r>
              <w:rPr>
                <w:noProof/>
                <w:sz w:val="18"/>
                <w:szCs w:val="18"/>
              </w:rPr>
              <w:t xml:space="preserve"> </w:t>
            </w:r>
            <w:r w:rsidRPr="00EC1412">
              <w:rPr>
                <w:noProof/>
                <w:sz w:val="18"/>
                <w:szCs w:val="18"/>
              </w:rPr>
              <w:t xml:space="preserve">000 /year for indemnities, travel, </w:t>
            </w:r>
            <w:r w:rsidRPr="00560775">
              <w:rPr>
                <w:i/>
                <w:noProof/>
                <w:sz w:val="18"/>
                <w:szCs w:val="18"/>
              </w:rPr>
              <w:t>e.g.</w:t>
            </w:r>
            <w:r w:rsidRPr="00EC1412">
              <w:rPr>
                <w:noProof/>
                <w:sz w:val="18"/>
                <w:szCs w:val="18"/>
              </w:rPr>
              <w:t xml:space="preserve"> costs for members of the committee</w:t>
            </w:r>
          </w:p>
        </w:tc>
      </w:tr>
      <w:tr w:rsidR="000A7D9D" w:rsidRPr="00EC1412" w14:paraId="76F7D831" w14:textId="77777777" w:rsidTr="00F31937">
        <w:tc>
          <w:tcPr>
            <w:tcW w:w="2830" w:type="dxa"/>
            <w:tcBorders>
              <w:bottom w:val="single" w:sz="4" w:space="0" w:color="auto"/>
            </w:tcBorders>
            <w:shd w:val="clear" w:color="auto" w:fill="C1ECFF"/>
          </w:tcPr>
          <w:p w14:paraId="12B8CAA9" w14:textId="77777777" w:rsidR="000A7D9D" w:rsidRPr="00EC1412" w:rsidRDefault="000A7D9D" w:rsidP="00F31937">
            <w:pPr>
              <w:jc w:val="both"/>
              <w:rPr>
                <w:noProof/>
                <w:sz w:val="18"/>
                <w:szCs w:val="18"/>
              </w:rPr>
            </w:pPr>
            <w:r w:rsidRPr="00EC1412">
              <w:rPr>
                <w:noProof/>
                <w:sz w:val="18"/>
                <w:szCs w:val="18"/>
              </w:rPr>
              <w:t>Commission implementing decision (EU) 2022/1979 under the SEVESO Directive (2012/18/EU)</w:t>
            </w:r>
          </w:p>
        </w:tc>
        <w:tc>
          <w:tcPr>
            <w:tcW w:w="6804" w:type="dxa"/>
            <w:tcBorders>
              <w:bottom w:val="single" w:sz="4" w:space="0" w:color="auto"/>
            </w:tcBorders>
            <w:shd w:val="clear" w:color="auto" w:fill="C1ECFF"/>
          </w:tcPr>
          <w:p w14:paraId="564382A5" w14:textId="77777777" w:rsidR="000A7D9D" w:rsidRPr="00EC1412" w:rsidRDefault="000A7D9D" w:rsidP="00F31937">
            <w:pPr>
              <w:spacing w:before="120" w:after="120"/>
              <w:rPr>
                <w:noProof/>
                <w:sz w:val="18"/>
                <w:szCs w:val="18"/>
              </w:rPr>
            </w:pPr>
            <w:r w:rsidRPr="00EC1412">
              <w:rPr>
                <w:noProof/>
                <w:sz w:val="18"/>
                <w:szCs w:val="18"/>
              </w:rPr>
              <w:t xml:space="preserve">Total 4 FTEs: DG JRC 1 FTE (core staff) + 3 FTEs external contractors </w:t>
            </w:r>
          </w:p>
        </w:tc>
      </w:tr>
      <w:tr w:rsidR="000A7D9D" w:rsidRPr="00EC1412" w14:paraId="74A7125A" w14:textId="77777777" w:rsidTr="00F31937">
        <w:tc>
          <w:tcPr>
            <w:tcW w:w="2830" w:type="dxa"/>
            <w:tcBorders>
              <w:bottom w:val="single" w:sz="4" w:space="0" w:color="auto"/>
            </w:tcBorders>
            <w:shd w:val="clear" w:color="auto" w:fill="FFF4CC"/>
          </w:tcPr>
          <w:p w14:paraId="1D2DD15B" w14:textId="77777777" w:rsidR="000A7D9D" w:rsidRPr="00EC1412" w:rsidRDefault="000A7D9D" w:rsidP="00F31937">
            <w:pPr>
              <w:rPr>
                <w:caps/>
                <w:noProof/>
                <w:sz w:val="18"/>
                <w:szCs w:val="18"/>
              </w:rPr>
            </w:pPr>
            <w:r w:rsidRPr="00EC1412">
              <w:rPr>
                <w:noProof/>
                <w:sz w:val="18"/>
                <w:szCs w:val="18"/>
              </w:rPr>
              <w:t>Water legislation (surface and ground)</w:t>
            </w:r>
          </w:p>
        </w:tc>
        <w:tc>
          <w:tcPr>
            <w:tcW w:w="6804" w:type="dxa"/>
            <w:tcBorders>
              <w:bottom w:val="single" w:sz="4" w:space="0" w:color="auto"/>
            </w:tcBorders>
            <w:shd w:val="clear" w:color="auto" w:fill="FFF4CC"/>
          </w:tcPr>
          <w:p w14:paraId="01C545C9" w14:textId="77777777" w:rsidR="000A7D9D" w:rsidRPr="00EC1412" w:rsidRDefault="000A7D9D" w:rsidP="00F31937">
            <w:pPr>
              <w:spacing w:after="20"/>
              <w:rPr>
                <w:noProof/>
                <w:sz w:val="18"/>
                <w:szCs w:val="18"/>
              </w:rPr>
            </w:pPr>
            <w:r w:rsidRPr="00EC1412">
              <w:rPr>
                <w:noProof/>
                <w:sz w:val="18"/>
                <w:szCs w:val="18"/>
              </w:rPr>
              <w:t>Total: ca. 6</w:t>
            </w:r>
            <w:r>
              <w:rPr>
                <w:noProof/>
                <w:sz w:val="18"/>
                <w:szCs w:val="18"/>
              </w:rPr>
              <w:t>.</w:t>
            </w:r>
            <w:r w:rsidRPr="00EC1412">
              <w:rPr>
                <w:noProof/>
                <w:sz w:val="18"/>
                <w:szCs w:val="18"/>
              </w:rPr>
              <w:t xml:space="preserve">0 FTEs and </w:t>
            </w:r>
            <w:r>
              <w:rPr>
                <w:noProof/>
                <w:sz w:val="18"/>
                <w:szCs w:val="18"/>
              </w:rPr>
              <w:t xml:space="preserve">EUR </w:t>
            </w:r>
            <w:r w:rsidRPr="00EC1412">
              <w:rPr>
                <w:noProof/>
                <w:sz w:val="18"/>
                <w:szCs w:val="18"/>
              </w:rPr>
              <w:t>79</w:t>
            </w:r>
            <w:r>
              <w:rPr>
                <w:noProof/>
                <w:sz w:val="18"/>
                <w:szCs w:val="18"/>
              </w:rPr>
              <w:t xml:space="preserve"> 200</w:t>
            </w:r>
            <w:r w:rsidRPr="00EC1412">
              <w:rPr>
                <w:noProof/>
                <w:sz w:val="18"/>
                <w:szCs w:val="18"/>
              </w:rPr>
              <w:t xml:space="preserve">/year: </w:t>
            </w:r>
          </w:p>
          <w:p w14:paraId="0812EC91" w14:textId="77777777" w:rsidR="000A7D9D" w:rsidRPr="00EC1412" w:rsidRDefault="000A7D9D" w:rsidP="00F31937">
            <w:pPr>
              <w:rPr>
                <w:noProof/>
                <w:sz w:val="18"/>
                <w:szCs w:val="18"/>
              </w:rPr>
            </w:pPr>
            <w:r w:rsidRPr="00EC1412">
              <w:rPr>
                <w:noProof/>
                <w:sz w:val="18"/>
                <w:szCs w:val="18"/>
              </w:rPr>
              <w:t xml:space="preserve">EQSD: DG JRC 1 FTE /year (core staff) + contracting out </w:t>
            </w:r>
            <w:r>
              <w:rPr>
                <w:noProof/>
                <w:sz w:val="18"/>
                <w:szCs w:val="18"/>
              </w:rPr>
              <w:t xml:space="preserve">for EUR </w:t>
            </w:r>
            <w:r w:rsidRPr="00EC1412">
              <w:rPr>
                <w:noProof/>
                <w:sz w:val="18"/>
                <w:szCs w:val="18"/>
              </w:rPr>
              <w:t>232</w:t>
            </w:r>
            <w:r>
              <w:rPr>
                <w:noProof/>
                <w:sz w:val="18"/>
                <w:szCs w:val="18"/>
              </w:rPr>
              <w:t xml:space="preserve"> </w:t>
            </w:r>
            <w:r w:rsidRPr="00EC1412">
              <w:rPr>
                <w:noProof/>
                <w:sz w:val="18"/>
                <w:szCs w:val="18"/>
              </w:rPr>
              <w:t xml:space="preserve">030 per year (= 3.5 FTEs), DG ENV contracting out </w:t>
            </w:r>
            <w:r>
              <w:rPr>
                <w:noProof/>
                <w:sz w:val="18"/>
                <w:szCs w:val="18"/>
              </w:rPr>
              <w:t xml:space="preserve">for EUR </w:t>
            </w:r>
            <w:r w:rsidRPr="00EC1412">
              <w:rPr>
                <w:noProof/>
                <w:sz w:val="18"/>
                <w:szCs w:val="18"/>
              </w:rPr>
              <w:t>100</w:t>
            </w:r>
            <w:r>
              <w:rPr>
                <w:noProof/>
                <w:sz w:val="18"/>
                <w:szCs w:val="18"/>
              </w:rPr>
              <w:t xml:space="preserve"> 000</w:t>
            </w:r>
            <w:r w:rsidRPr="00EC1412">
              <w:rPr>
                <w:noProof/>
                <w:sz w:val="18"/>
                <w:szCs w:val="18"/>
              </w:rPr>
              <w:t xml:space="preserve"> every 6 years for impact assessment (= ca. 0</w:t>
            </w:r>
            <w:r>
              <w:rPr>
                <w:noProof/>
                <w:sz w:val="18"/>
                <w:szCs w:val="18"/>
              </w:rPr>
              <w:t>.</w:t>
            </w:r>
            <w:r w:rsidRPr="00EC1412">
              <w:rPr>
                <w:noProof/>
                <w:sz w:val="18"/>
                <w:szCs w:val="18"/>
              </w:rPr>
              <w:t>25 FTEs/year). In addition, 1/3</w:t>
            </w:r>
            <w:r w:rsidRPr="00EC1412">
              <w:rPr>
                <w:noProof/>
                <w:sz w:val="18"/>
                <w:szCs w:val="18"/>
                <w:vertAlign w:val="superscript"/>
              </w:rPr>
              <w:t>rd</w:t>
            </w:r>
            <w:r w:rsidRPr="00EC1412">
              <w:rPr>
                <w:noProof/>
                <w:sz w:val="18"/>
                <w:szCs w:val="18"/>
              </w:rPr>
              <w:t xml:space="preserve"> of the SCHEER Committee capacity is dedicated to water legislation (17 committee members + external experts); DG SANTE = 1 FTE (core staff) and </w:t>
            </w:r>
            <w:r>
              <w:rPr>
                <w:noProof/>
                <w:sz w:val="18"/>
                <w:szCs w:val="18"/>
              </w:rPr>
              <w:t xml:space="preserve">EUR </w:t>
            </w:r>
            <w:r w:rsidRPr="00EC1412">
              <w:rPr>
                <w:noProof/>
                <w:sz w:val="18"/>
                <w:szCs w:val="18"/>
              </w:rPr>
              <w:t>79</w:t>
            </w:r>
            <w:r>
              <w:rPr>
                <w:noProof/>
                <w:sz w:val="18"/>
                <w:szCs w:val="18"/>
              </w:rPr>
              <w:t xml:space="preserve"> </w:t>
            </w:r>
            <w:r w:rsidRPr="00EC1412">
              <w:rPr>
                <w:noProof/>
                <w:sz w:val="18"/>
                <w:szCs w:val="18"/>
              </w:rPr>
              <w:t>200 EUR per year (30% of 3 FTEs - the secretariat to SCHEER.</w:t>
            </w:r>
          </w:p>
          <w:p w14:paraId="590A2129" w14:textId="77777777" w:rsidR="000A7D9D" w:rsidRPr="00EC1412" w:rsidRDefault="000A7D9D" w:rsidP="00F31937">
            <w:pPr>
              <w:rPr>
                <w:noProof/>
                <w:sz w:val="18"/>
                <w:szCs w:val="18"/>
              </w:rPr>
            </w:pPr>
            <w:r w:rsidRPr="00EC1412">
              <w:rPr>
                <w:noProof/>
                <w:sz w:val="18"/>
                <w:szCs w:val="18"/>
              </w:rPr>
              <w:t xml:space="preserve">GWD: DG ENV contracting out </w:t>
            </w:r>
            <w:r>
              <w:rPr>
                <w:noProof/>
                <w:sz w:val="18"/>
                <w:szCs w:val="18"/>
              </w:rPr>
              <w:t xml:space="preserve">EUR </w:t>
            </w:r>
            <w:r w:rsidRPr="00EC1412">
              <w:rPr>
                <w:noProof/>
                <w:sz w:val="18"/>
                <w:szCs w:val="18"/>
              </w:rPr>
              <w:t>10</w:t>
            </w:r>
            <w:r>
              <w:rPr>
                <w:noProof/>
                <w:sz w:val="18"/>
                <w:szCs w:val="18"/>
              </w:rPr>
              <w:t xml:space="preserve"> 560</w:t>
            </w:r>
            <w:r w:rsidRPr="00EC1412">
              <w:rPr>
                <w:noProof/>
                <w:sz w:val="18"/>
                <w:szCs w:val="18"/>
              </w:rPr>
              <w:t>/year to get support to voluntary watchlist (=0.16 FTEs)</w:t>
            </w:r>
          </w:p>
        </w:tc>
      </w:tr>
      <w:tr w:rsidR="000A7D9D" w:rsidRPr="00EC1412" w14:paraId="4851B1C6" w14:textId="77777777" w:rsidTr="00F31937">
        <w:tc>
          <w:tcPr>
            <w:tcW w:w="2830" w:type="dxa"/>
            <w:shd w:val="clear" w:color="auto" w:fill="BFBFBF" w:themeFill="background1" w:themeFillShade="BF"/>
          </w:tcPr>
          <w:p w14:paraId="4877E9E6" w14:textId="77777777" w:rsidR="000A7D9D" w:rsidRPr="00EC1412" w:rsidRDefault="000A7D9D" w:rsidP="00F31937">
            <w:pPr>
              <w:jc w:val="both"/>
              <w:rPr>
                <w:b/>
                <w:caps/>
                <w:noProof/>
                <w:sz w:val="18"/>
                <w:szCs w:val="18"/>
              </w:rPr>
            </w:pPr>
            <w:r w:rsidRPr="00EC1412">
              <w:rPr>
                <w:b/>
                <w:caps/>
                <w:noProof/>
                <w:sz w:val="18"/>
                <w:szCs w:val="18"/>
              </w:rPr>
              <w:t>SUm</w:t>
            </w:r>
          </w:p>
        </w:tc>
        <w:tc>
          <w:tcPr>
            <w:tcW w:w="6804" w:type="dxa"/>
            <w:shd w:val="clear" w:color="auto" w:fill="BFBFBF" w:themeFill="background1" w:themeFillShade="BF"/>
          </w:tcPr>
          <w:p w14:paraId="3B550947" w14:textId="77777777" w:rsidR="000A7D9D" w:rsidRPr="00EC1412" w:rsidRDefault="000A7D9D" w:rsidP="00F31937">
            <w:pPr>
              <w:rPr>
                <w:noProof/>
                <w:sz w:val="18"/>
                <w:szCs w:val="18"/>
              </w:rPr>
            </w:pPr>
            <w:r w:rsidRPr="00EC1412">
              <w:rPr>
                <w:b/>
                <w:noProof/>
                <w:sz w:val="18"/>
                <w:szCs w:val="18"/>
              </w:rPr>
              <w:t>3</w:t>
            </w:r>
            <w:r>
              <w:rPr>
                <w:b/>
                <w:noProof/>
                <w:sz w:val="18"/>
                <w:szCs w:val="18"/>
              </w:rPr>
              <w:t>.</w:t>
            </w:r>
            <w:r w:rsidRPr="00EC1412">
              <w:rPr>
                <w:b/>
                <w:noProof/>
                <w:sz w:val="18"/>
                <w:szCs w:val="18"/>
              </w:rPr>
              <w:t xml:space="preserve">6 FTEs / year of regular staff; 7 FTEs / year of intramurous contractors or interim staff (ca. </w:t>
            </w:r>
            <w:r>
              <w:rPr>
                <w:b/>
                <w:noProof/>
                <w:sz w:val="18"/>
                <w:szCs w:val="18"/>
              </w:rPr>
              <w:t xml:space="preserve">EUR </w:t>
            </w:r>
            <w:r w:rsidRPr="00EC1412">
              <w:rPr>
                <w:b/>
                <w:noProof/>
                <w:sz w:val="18"/>
                <w:szCs w:val="18"/>
              </w:rPr>
              <w:t>460</w:t>
            </w:r>
            <w:r>
              <w:rPr>
                <w:b/>
                <w:noProof/>
                <w:sz w:val="18"/>
                <w:szCs w:val="18"/>
              </w:rPr>
              <w:t xml:space="preserve"> 000</w:t>
            </w:r>
            <w:r w:rsidRPr="00EC1412">
              <w:rPr>
                <w:b/>
                <w:noProof/>
                <w:sz w:val="18"/>
                <w:szCs w:val="18"/>
              </w:rPr>
              <w:t>/ year); Operational costs of ca.</w:t>
            </w:r>
            <w:r>
              <w:rPr>
                <w:b/>
                <w:noProof/>
                <w:sz w:val="18"/>
                <w:szCs w:val="18"/>
              </w:rPr>
              <w:t xml:space="preserve"> EUR</w:t>
            </w:r>
            <w:r w:rsidRPr="00EC1412">
              <w:rPr>
                <w:b/>
                <w:noProof/>
                <w:sz w:val="18"/>
                <w:szCs w:val="18"/>
              </w:rPr>
              <w:t xml:space="preserve"> 127</w:t>
            </w:r>
            <w:r>
              <w:rPr>
                <w:b/>
                <w:noProof/>
                <w:sz w:val="18"/>
                <w:szCs w:val="18"/>
              </w:rPr>
              <w:t xml:space="preserve"> 000 per</w:t>
            </w:r>
            <w:r w:rsidRPr="00EC1412">
              <w:rPr>
                <w:b/>
                <w:noProof/>
                <w:sz w:val="18"/>
                <w:szCs w:val="18"/>
              </w:rPr>
              <w:t xml:space="preserve"> year</w:t>
            </w:r>
          </w:p>
        </w:tc>
      </w:tr>
    </w:tbl>
    <w:p w14:paraId="011DCFA0" w14:textId="77777777" w:rsidR="000A7D9D" w:rsidRPr="00EC1412" w:rsidRDefault="000A7D9D" w:rsidP="000A7D9D">
      <w:pPr>
        <w:spacing w:after="120"/>
        <w:jc w:val="both"/>
        <w:rPr>
          <w:rFonts w:ascii="Times New Roman" w:hAnsi="Times New Roman" w:cs="Times New Roman"/>
          <w:noProof/>
        </w:rPr>
      </w:pPr>
    </w:p>
    <w:p w14:paraId="6FB2E6AB" w14:textId="77777777" w:rsidR="000A7D9D" w:rsidRPr="00EC1412" w:rsidRDefault="000A7D9D" w:rsidP="000A7D9D">
      <w:pPr>
        <w:spacing w:after="120"/>
        <w:jc w:val="both"/>
        <w:rPr>
          <w:rFonts w:ascii="Times New Roman" w:hAnsi="Times New Roman" w:cs="Times New Roman"/>
          <w:b/>
          <w:bCs/>
          <w:noProof/>
        </w:rPr>
      </w:pPr>
      <w:r w:rsidRPr="2D69C30E">
        <w:rPr>
          <w:rFonts w:ascii="Times New Roman" w:hAnsi="Times New Roman" w:cs="Times New Roman"/>
          <w:noProof/>
        </w:rPr>
        <w:t>Some tasks that are still to be (re-)attributed via the upcoming proposals are being currently performed and the resources are allocated to them (see Table 13 below). The resources currently used for the RoHS directive, POPs regulation, medical devices regulation, operation of IPCHEM, EUCLEF and observatory for nanomaterials, for scientific opinions on OELs, end-of-life vehicle directive, cosmetics regulation and toy safety directive amount to 1</w:t>
      </w:r>
      <w:r>
        <w:rPr>
          <w:rFonts w:ascii="Times New Roman" w:hAnsi="Times New Roman" w:cs="Times New Roman"/>
          <w:noProof/>
        </w:rPr>
        <w:t>2</w:t>
      </w:r>
      <w:r w:rsidRPr="2D69C30E">
        <w:rPr>
          <w:rFonts w:ascii="Times New Roman" w:hAnsi="Times New Roman" w:cs="Times New Roman"/>
          <w:noProof/>
        </w:rPr>
        <w:t>.</w:t>
      </w:r>
      <w:r>
        <w:rPr>
          <w:rFonts w:ascii="Times New Roman" w:hAnsi="Times New Roman" w:cs="Times New Roman"/>
          <w:noProof/>
        </w:rPr>
        <w:t>8</w:t>
      </w:r>
      <w:r w:rsidRPr="2D69C30E">
        <w:rPr>
          <w:rFonts w:ascii="Times New Roman" w:hAnsi="Times New Roman" w:cs="Times New Roman"/>
          <w:noProof/>
        </w:rPr>
        <w:t xml:space="preserve"> FTEs per year of regular staff, 10.</w:t>
      </w:r>
      <w:r>
        <w:rPr>
          <w:rFonts w:ascii="Times New Roman" w:hAnsi="Times New Roman" w:cs="Times New Roman"/>
          <w:noProof/>
        </w:rPr>
        <w:t>9</w:t>
      </w:r>
      <w:r w:rsidRPr="2D69C30E">
        <w:rPr>
          <w:rFonts w:ascii="Times New Roman" w:hAnsi="Times New Roman" w:cs="Times New Roman"/>
          <w:noProof/>
        </w:rPr>
        <w:t xml:space="preserve"> FTEs of intramurous contractors or interim staff (705 K€</w:t>
      </w:r>
      <w:r w:rsidRPr="2D69C30E">
        <w:rPr>
          <w:rFonts w:ascii="Times New Roman" w:hAnsi="Times New Roman" w:cs="Times New Roman"/>
          <w:b/>
          <w:bCs/>
          <w:noProof/>
        </w:rPr>
        <w:t xml:space="preserve"> </w:t>
      </w:r>
      <w:r w:rsidRPr="2D69C30E">
        <w:rPr>
          <w:rFonts w:ascii="Times New Roman" w:hAnsi="Times New Roman" w:cs="Times New Roman"/>
          <w:noProof/>
        </w:rPr>
        <w:t xml:space="preserve">per year) and an operational budget of </w:t>
      </w:r>
      <w:r>
        <w:rPr>
          <w:rFonts w:ascii="Times New Roman" w:hAnsi="Times New Roman" w:cs="Times New Roman"/>
          <w:noProof/>
        </w:rPr>
        <w:t xml:space="preserve">EUR </w:t>
      </w:r>
      <w:r w:rsidRPr="2D69C30E">
        <w:rPr>
          <w:rFonts w:ascii="Times New Roman" w:hAnsi="Times New Roman" w:cs="Times New Roman"/>
          <w:noProof/>
        </w:rPr>
        <w:t>2</w:t>
      </w:r>
      <w:r>
        <w:rPr>
          <w:rFonts w:ascii="Times New Roman" w:hAnsi="Times New Roman" w:cs="Times New Roman"/>
          <w:noProof/>
        </w:rPr>
        <w:t xml:space="preserve"> </w:t>
      </w:r>
      <w:r w:rsidRPr="2D69C30E">
        <w:rPr>
          <w:rFonts w:ascii="Times New Roman" w:hAnsi="Times New Roman" w:cs="Times New Roman"/>
          <w:noProof/>
        </w:rPr>
        <w:t>0</w:t>
      </w:r>
      <w:r>
        <w:rPr>
          <w:rFonts w:ascii="Times New Roman" w:hAnsi="Times New Roman" w:cs="Times New Roman"/>
          <w:noProof/>
        </w:rPr>
        <w:t xml:space="preserve">23 000 – EUR 2 423 000 </w:t>
      </w:r>
      <w:r w:rsidRPr="2D69C30E">
        <w:rPr>
          <w:rFonts w:ascii="Times New Roman" w:hAnsi="Times New Roman" w:cs="Times New Roman"/>
          <w:noProof/>
        </w:rPr>
        <w:t>/year. As these tasks will be reattributed or formalised, the current resources used for these tasks will not be needed</w:t>
      </w:r>
      <w:r>
        <w:rPr>
          <w:rFonts w:ascii="Times New Roman" w:hAnsi="Times New Roman" w:cs="Times New Roman"/>
          <w:noProof/>
        </w:rPr>
        <w:t xml:space="preserve"> and will be saved at the institution that performs or finances the tasks today</w:t>
      </w:r>
      <w:r w:rsidRPr="2D69C30E">
        <w:rPr>
          <w:rFonts w:ascii="Times New Roman" w:hAnsi="Times New Roman" w:cs="Times New Roman"/>
          <w:noProof/>
        </w:rPr>
        <w:t xml:space="preserve">. Therefore, the </w:t>
      </w:r>
      <w:r w:rsidRPr="2D69C30E">
        <w:rPr>
          <w:rFonts w:ascii="Times New Roman" w:hAnsi="Times New Roman" w:cs="Times New Roman"/>
          <w:b/>
          <w:bCs/>
          <w:noProof/>
        </w:rPr>
        <w:t xml:space="preserve">total net increase in the resources is lower than indicated in the Table 10, and for the tasks to be still reattributed accounts for </w:t>
      </w:r>
      <w:r>
        <w:rPr>
          <w:rFonts w:ascii="Times New Roman" w:hAnsi="Times New Roman" w:cs="Times New Roman"/>
          <w:b/>
          <w:bCs/>
          <w:noProof/>
        </w:rPr>
        <w:t>32</w:t>
      </w:r>
      <w:r w:rsidRPr="2D69C30E">
        <w:rPr>
          <w:rFonts w:ascii="Times New Roman" w:hAnsi="Times New Roman" w:cs="Times New Roman"/>
          <w:b/>
          <w:bCs/>
          <w:noProof/>
        </w:rPr>
        <w:t xml:space="preserve"> – 4</w:t>
      </w:r>
      <w:r>
        <w:rPr>
          <w:rFonts w:ascii="Times New Roman" w:hAnsi="Times New Roman" w:cs="Times New Roman"/>
          <w:b/>
          <w:bCs/>
          <w:noProof/>
        </w:rPr>
        <w:t>5</w:t>
      </w:r>
      <w:r w:rsidRPr="2D69C30E">
        <w:rPr>
          <w:rFonts w:ascii="Times New Roman" w:hAnsi="Times New Roman" w:cs="Times New Roman"/>
          <w:b/>
          <w:bCs/>
          <w:noProof/>
        </w:rPr>
        <w:t xml:space="preserve"> FTEs per year </w:t>
      </w:r>
      <w:r w:rsidRPr="2D69C30E">
        <w:rPr>
          <w:rFonts w:ascii="Times New Roman" w:hAnsi="Times New Roman" w:cs="Times New Roman"/>
          <w:noProof/>
        </w:rPr>
        <w:t xml:space="preserve">and </w:t>
      </w:r>
      <w:r>
        <w:rPr>
          <w:rFonts w:ascii="Times New Roman" w:hAnsi="Times New Roman" w:cs="Times New Roman"/>
          <w:noProof/>
        </w:rPr>
        <w:t xml:space="preserve">an operational budget of up to EUR 8 277 000 </w:t>
      </w:r>
      <w:r w:rsidRPr="2D69C30E">
        <w:rPr>
          <w:rFonts w:ascii="Times New Roman" w:hAnsi="Times New Roman" w:cs="Times New Roman"/>
          <w:noProof/>
        </w:rPr>
        <w:t>per year.</w:t>
      </w:r>
    </w:p>
    <w:tbl>
      <w:tblPr>
        <w:tblStyle w:val="TableGrid"/>
        <w:tblW w:w="9634" w:type="dxa"/>
        <w:tblLook w:val="04A0" w:firstRow="1" w:lastRow="0" w:firstColumn="1" w:lastColumn="0" w:noHBand="0" w:noVBand="1"/>
      </w:tblPr>
      <w:tblGrid>
        <w:gridCol w:w="2376"/>
        <w:gridCol w:w="7258"/>
      </w:tblGrid>
      <w:tr w:rsidR="000A7D9D" w:rsidRPr="00EC1412" w14:paraId="1246248C" w14:textId="77777777" w:rsidTr="00F31937">
        <w:tc>
          <w:tcPr>
            <w:tcW w:w="9634" w:type="dxa"/>
            <w:gridSpan w:val="2"/>
            <w:tcBorders>
              <w:bottom w:val="single" w:sz="4" w:space="0" w:color="auto"/>
            </w:tcBorders>
            <w:shd w:val="clear" w:color="auto" w:fill="A6A6A6" w:themeFill="background1" w:themeFillShade="A6"/>
          </w:tcPr>
          <w:p w14:paraId="3D481B25" w14:textId="77777777" w:rsidR="000A7D9D" w:rsidRPr="00EC1412" w:rsidRDefault="000A7D9D" w:rsidP="00F31937">
            <w:pPr>
              <w:spacing w:before="60" w:after="60"/>
              <w:rPr>
                <w:b/>
                <w:caps/>
                <w:noProof/>
                <w:sz w:val="18"/>
                <w:szCs w:val="18"/>
              </w:rPr>
            </w:pPr>
            <w:r w:rsidRPr="00EC1412">
              <w:rPr>
                <w:b/>
                <w:noProof/>
                <w:sz w:val="18"/>
                <w:szCs w:val="18"/>
              </w:rPr>
              <w:t>Table 13. Current resource use for technical and scientific work that is to be (re-)attributed to EU Agencies</w:t>
            </w:r>
          </w:p>
        </w:tc>
      </w:tr>
      <w:tr w:rsidR="000A7D9D" w:rsidRPr="00EC1412" w14:paraId="47BD4A24" w14:textId="77777777" w:rsidTr="00F31937">
        <w:tc>
          <w:tcPr>
            <w:tcW w:w="2376" w:type="dxa"/>
            <w:tcBorders>
              <w:bottom w:val="single" w:sz="4" w:space="0" w:color="auto"/>
            </w:tcBorders>
            <w:shd w:val="clear" w:color="auto" w:fill="FFF4CC"/>
          </w:tcPr>
          <w:p w14:paraId="27F4DAFD" w14:textId="77777777" w:rsidR="000A7D9D" w:rsidRPr="00EC1412" w:rsidRDefault="000A7D9D" w:rsidP="00F31937">
            <w:pPr>
              <w:jc w:val="both"/>
              <w:rPr>
                <w:noProof/>
                <w:sz w:val="18"/>
                <w:szCs w:val="18"/>
              </w:rPr>
            </w:pPr>
            <w:r w:rsidRPr="00EC1412">
              <w:rPr>
                <w:noProof/>
                <w:sz w:val="18"/>
                <w:szCs w:val="18"/>
              </w:rPr>
              <w:t>RoHS directive</w:t>
            </w:r>
          </w:p>
          <w:p w14:paraId="7781E45D" w14:textId="77777777" w:rsidR="000A7D9D" w:rsidRPr="00EC1412" w:rsidRDefault="000A7D9D" w:rsidP="00F31937">
            <w:pPr>
              <w:pStyle w:val="ListParagraph"/>
              <w:ind w:left="142"/>
              <w:jc w:val="both"/>
              <w:rPr>
                <w:caps/>
                <w:noProof/>
                <w:sz w:val="18"/>
                <w:szCs w:val="18"/>
              </w:rPr>
            </w:pPr>
          </w:p>
        </w:tc>
        <w:tc>
          <w:tcPr>
            <w:tcW w:w="7258" w:type="dxa"/>
            <w:tcBorders>
              <w:bottom w:val="single" w:sz="4" w:space="0" w:color="auto"/>
            </w:tcBorders>
            <w:shd w:val="clear" w:color="auto" w:fill="FFF4CC"/>
          </w:tcPr>
          <w:p w14:paraId="4D22B66D" w14:textId="77777777" w:rsidR="000A7D9D" w:rsidRPr="00EC1412" w:rsidRDefault="000A7D9D" w:rsidP="00F31937">
            <w:pPr>
              <w:spacing w:before="120"/>
              <w:rPr>
                <w:noProof/>
                <w:sz w:val="18"/>
                <w:szCs w:val="18"/>
              </w:rPr>
            </w:pPr>
            <w:r w:rsidRPr="00EC1412">
              <w:rPr>
                <w:noProof/>
                <w:sz w:val="18"/>
                <w:szCs w:val="18"/>
              </w:rPr>
              <w:t xml:space="preserve">Total ca. </w:t>
            </w:r>
            <w:r>
              <w:rPr>
                <w:noProof/>
                <w:sz w:val="18"/>
                <w:szCs w:val="18"/>
              </w:rPr>
              <w:t>2.7</w:t>
            </w:r>
            <w:r w:rsidRPr="00EC1412">
              <w:rPr>
                <w:noProof/>
                <w:sz w:val="18"/>
                <w:szCs w:val="18"/>
              </w:rPr>
              <w:t xml:space="preserve">4 FTEs/year: </w:t>
            </w:r>
            <w:r>
              <w:rPr>
                <w:noProof/>
                <w:sz w:val="18"/>
                <w:szCs w:val="18"/>
              </w:rPr>
              <w:t xml:space="preserve">EUR </w:t>
            </w:r>
            <w:r w:rsidRPr="00EC1412">
              <w:rPr>
                <w:noProof/>
                <w:sz w:val="18"/>
                <w:szCs w:val="18"/>
              </w:rPr>
              <w:t>145</w:t>
            </w:r>
            <w:r>
              <w:rPr>
                <w:noProof/>
                <w:sz w:val="18"/>
                <w:szCs w:val="18"/>
              </w:rPr>
              <w:t xml:space="preserve"> 000</w:t>
            </w:r>
            <w:r w:rsidRPr="00EC1412">
              <w:rPr>
                <w:noProof/>
                <w:sz w:val="18"/>
                <w:szCs w:val="18"/>
              </w:rPr>
              <w:t xml:space="preserve"> annually (on average) for outsourcing the review of exemptions (= ca. 2</w:t>
            </w:r>
            <w:r>
              <w:rPr>
                <w:noProof/>
                <w:sz w:val="18"/>
                <w:szCs w:val="18"/>
              </w:rPr>
              <w:t>.</w:t>
            </w:r>
            <w:r w:rsidRPr="00EC1412">
              <w:rPr>
                <w:noProof/>
                <w:sz w:val="18"/>
                <w:szCs w:val="18"/>
              </w:rPr>
              <w:t xml:space="preserve">2 FTEs/year) + a contract of </w:t>
            </w:r>
            <w:r>
              <w:rPr>
                <w:noProof/>
                <w:sz w:val="18"/>
                <w:szCs w:val="18"/>
              </w:rPr>
              <w:t xml:space="preserve">EUR </w:t>
            </w:r>
            <w:r w:rsidRPr="00EC1412">
              <w:rPr>
                <w:noProof/>
                <w:sz w:val="18"/>
                <w:szCs w:val="18"/>
              </w:rPr>
              <w:t>180</w:t>
            </w:r>
            <w:r>
              <w:rPr>
                <w:noProof/>
                <w:sz w:val="18"/>
                <w:szCs w:val="18"/>
              </w:rPr>
              <w:t xml:space="preserve"> 000 </w:t>
            </w:r>
            <w:r w:rsidRPr="00EC1412">
              <w:rPr>
                <w:noProof/>
                <w:sz w:val="18"/>
                <w:szCs w:val="18"/>
              </w:rPr>
              <w:t>on average each 5 years for reviewing restrictions (= 0</w:t>
            </w:r>
            <w:r>
              <w:rPr>
                <w:noProof/>
                <w:sz w:val="18"/>
                <w:szCs w:val="18"/>
              </w:rPr>
              <w:t>.</w:t>
            </w:r>
            <w:r w:rsidRPr="00EC1412">
              <w:rPr>
                <w:noProof/>
                <w:sz w:val="18"/>
                <w:szCs w:val="18"/>
              </w:rPr>
              <w:t>54 FTE/year)</w:t>
            </w:r>
            <w:r>
              <w:rPr>
                <w:noProof/>
                <w:sz w:val="18"/>
                <w:szCs w:val="18"/>
              </w:rPr>
              <w:t xml:space="preserve">. (In addition, </w:t>
            </w:r>
            <w:r w:rsidRPr="00EC1412">
              <w:rPr>
                <w:noProof/>
                <w:sz w:val="18"/>
                <w:szCs w:val="18"/>
              </w:rPr>
              <w:t>DG ENV ca. 1</w:t>
            </w:r>
            <w:r>
              <w:rPr>
                <w:noProof/>
                <w:sz w:val="18"/>
                <w:szCs w:val="18"/>
              </w:rPr>
              <w:t>.</w:t>
            </w:r>
            <w:r w:rsidRPr="00EC1412">
              <w:rPr>
                <w:noProof/>
                <w:sz w:val="18"/>
                <w:szCs w:val="18"/>
              </w:rPr>
              <w:t>5 FTE/year (f</w:t>
            </w:r>
            <w:r>
              <w:rPr>
                <w:noProof/>
                <w:sz w:val="18"/>
                <w:szCs w:val="18"/>
              </w:rPr>
              <w:t>or overall RoHS implementation) whose work will remain)</w:t>
            </w:r>
          </w:p>
        </w:tc>
      </w:tr>
      <w:tr w:rsidR="000A7D9D" w:rsidRPr="00EC1412" w14:paraId="239175DE" w14:textId="77777777" w:rsidTr="00F31937">
        <w:trPr>
          <w:trHeight w:val="527"/>
        </w:trPr>
        <w:tc>
          <w:tcPr>
            <w:tcW w:w="2376" w:type="dxa"/>
            <w:tcBorders>
              <w:bottom w:val="single" w:sz="4" w:space="0" w:color="auto"/>
            </w:tcBorders>
            <w:shd w:val="clear" w:color="auto" w:fill="C1ECFF"/>
          </w:tcPr>
          <w:p w14:paraId="43D2190D" w14:textId="77777777" w:rsidR="000A7D9D" w:rsidRPr="00EC1412" w:rsidRDefault="000A7D9D" w:rsidP="00F31937">
            <w:pPr>
              <w:jc w:val="both"/>
              <w:rPr>
                <w:noProof/>
                <w:sz w:val="18"/>
                <w:szCs w:val="18"/>
              </w:rPr>
            </w:pPr>
            <w:r w:rsidRPr="00EC1412">
              <w:rPr>
                <w:noProof/>
                <w:sz w:val="18"/>
                <w:szCs w:val="18"/>
              </w:rPr>
              <w:t xml:space="preserve">POPs regulation </w:t>
            </w:r>
          </w:p>
        </w:tc>
        <w:tc>
          <w:tcPr>
            <w:tcW w:w="7258" w:type="dxa"/>
            <w:tcBorders>
              <w:bottom w:val="single" w:sz="4" w:space="0" w:color="auto"/>
            </w:tcBorders>
            <w:shd w:val="clear" w:color="auto" w:fill="C1ECFF"/>
          </w:tcPr>
          <w:p w14:paraId="6E17D69F" w14:textId="77777777" w:rsidR="000A7D9D" w:rsidRPr="00EC1412" w:rsidRDefault="000A7D9D" w:rsidP="00F31937">
            <w:pPr>
              <w:spacing w:before="120" w:after="120"/>
              <w:rPr>
                <w:noProof/>
                <w:sz w:val="18"/>
                <w:szCs w:val="18"/>
              </w:rPr>
            </w:pPr>
            <w:r w:rsidRPr="00EC1412">
              <w:rPr>
                <w:noProof/>
                <w:sz w:val="18"/>
                <w:szCs w:val="18"/>
              </w:rPr>
              <w:t xml:space="preserve">Total ca. </w:t>
            </w:r>
            <w:r>
              <w:rPr>
                <w:noProof/>
                <w:sz w:val="18"/>
                <w:szCs w:val="18"/>
              </w:rPr>
              <w:t>1.5</w:t>
            </w:r>
            <w:r w:rsidRPr="00EC1412">
              <w:rPr>
                <w:noProof/>
                <w:sz w:val="18"/>
                <w:szCs w:val="18"/>
              </w:rPr>
              <w:t xml:space="preserve"> FTEs/year: </w:t>
            </w:r>
            <w:r>
              <w:rPr>
                <w:noProof/>
                <w:sz w:val="18"/>
                <w:szCs w:val="18"/>
              </w:rPr>
              <w:t xml:space="preserve">EUR </w:t>
            </w:r>
            <w:r w:rsidRPr="00EC1412">
              <w:rPr>
                <w:noProof/>
                <w:sz w:val="18"/>
                <w:szCs w:val="18"/>
              </w:rPr>
              <w:t>300</w:t>
            </w:r>
            <w:r>
              <w:rPr>
                <w:noProof/>
                <w:sz w:val="18"/>
                <w:szCs w:val="18"/>
              </w:rPr>
              <w:t xml:space="preserve"> 000</w:t>
            </w:r>
            <w:r w:rsidRPr="00EC1412">
              <w:rPr>
                <w:noProof/>
                <w:sz w:val="18"/>
                <w:szCs w:val="18"/>
              </w:rPr>
              <w:t xml:space="preserve"> for consultants every 3 years (=1</w:t>
            </w:r>
            <w:r>
              <w:rPr>
                <w:noProof/>
                <w:sz w:val="18"/>
                <w:szCs w:val="18"/>
              </w:rPr>
              <w:t>.</w:t>
            </w:r>
            <w:r w:rsidRPr="00EC1412">
              <w:rPr>
                <w:noProof/>
                <w:sz w:val="18"/>
                <w:szCs w:val="18"/>
              </w:rPr>
              <w:t>5 FTE/year)</w:t>
            </w:r>
            <w:r>
              <w:rPr>
                <w:noProof/>
                <w:sz w:val="18"/>
                <w:szCs w:val="18"/>
              </w:rPr>
              <w:t xml:space="preserve">. (In addition, </w:t>
            </w:r>
            <w:r w:rsidRPr="00EC1412">
              <w:rPr>
                <w:noProof/>
                <w:sz w:val="18"/>
                <w:szCs w:val="18"/>
              </w:rPr>
              <w:t>DG ENV ca. 0</w:t>
            </w:r>
            <w:r>
              <w:rPr>
                <w:noProof/>
                <w:sz w:val="18"/>
                <w:szCs w:val="18"/>
              </w:rPr>
              <w:t>.</w:t>
            </w:r>
            <w:r w:rsidRPr="00EC1412">
              <w:rPr>
                <w:noProof/>
                <w:sz w:val="18"/>
                <w:szCs w:val="18"/>
              </w:rPr>
              <w:t>5 FTE/year (implementing the review</w:t>
            </w:r>
            <w:r>
              <w:rPr>
                <w:noProof/>
                <w:sz w:val="18"/>
                <w:szCs w:val="18"/>
              </w:rPr>
              <w:t xml:space="preserve"> of Annexes IV and V) whose work will remain)</w:t>
            </w:r>
          </w:p>
        </w:tc>
      </w:tr>
      <w:tr w:rsidR="000A7D9D" w:rsidRPr="00EC1412" w14:paraId="68AB5F0D" w14:textId="77777777" w:rsidTr="00F31937">
        <w:tc>
          <w:tcPr>
            <w:tcW w:w="2376" w:type="dxa"/>
            <w:tcBorders>
              <w:bottom w:val="single" w:sz="4" w:space="0" w:color="auto"/>
            </w:tcBorders>
            <w:shd w:val="clear" w:color="auto" w:fill="FFF4CC"/>
          </w:tcPr>
          <w:p w14:paraId="1E6392E7" w14:textId="77777777" w:rsidR="000A7D9D" w:rsidRPr="00EC1412" w:rsidRDefault="000A7D9D" w:rsidP="00F31937">
            <w:pPr>
              <w:jc w:val="both"/>
              <w:rPr>
                <w:noProof/>
                <w:sz w:val="18"/>
                <w:szCs w:val="18"/>
              </w:rPr>
            </w:pPr>
            <w:r w:rsidRPr="00EC1412">
              <w:rPr>
                <w:noProof/>
                <w:sz w:val="18"/>
                <w:szCs w:val="18"/>
              </w:rPr>
              <w:t xml:space="preserve">Medical devices regulation </w:t>
            </w:r>
          </w:p>
          <w:p w14:paraId="6D0765CE" w14:textId="77777777" w:rsidR="000A7D9D" w:rsidRPr="00EC1412" w:rsidRDefault="000A7D9D" w:rsidP="00F31937">
            <w:pPr>
              <w:pStyle w:val="ListParagraph"/>
              <w:ind w:left="142"/>
              <w:contextualSpacing w:val="0"/>
              <w:rPr>
                <w:caps/>
                <w:noProof/>
                <w:sz w:val="18"/>
                <w:szCs w:val="18"/>
              </w:rPr>
            </w:pPr>
          </w:p>
        </w:tc>
        <w:tc>
          <w:tcPr>
            <w:tcW w:w="7258" w:type="dxa"/>
            <w:tcBorders>
              <w:bottom w:val="single" w:sz="4" w:space="0" w:color="auto"/>
            </w:tcBorders>
            <w:shd w:val="clear" w:color="auto" w:fill="FFF4CC"/>
          </w:tcPr>
          <w:p w14:paraId="4FD99163" w14:textId="77777777" w:rsidR="000A7D9D" w:rsidRPr="00EC1412" w:rsidRDefault="000A7D9D" w:rsidP="00F31937">
            <w:pPr>
              <w:rPr>
                <w:noProof/>
                <w:sz w:val="18"/>
                <w:szCs w:val="18"/>
              </w:rPr>
            </w:pPr>
            <w:r w:rsidRPr="00EC1412">
              <w:rPr>
                <w:noProof/>
                <w:sz w:val="18"/>
                <w:szCs w:val="18"/>
              </w:rPr>
              <w:t>Total ca. 0</w:t>
            </w:r>
            <w:r>
              <w:rPr>
                <w:noProof/>
                <w:sz w:val="18"/>
                <w:szCs w:val="18"/>
              </w:rPr>
              <w:t>.3</w:t>
            </w:r>
            <w:r w:rsidRPr="00EC1412">
              <w:rPr>
                <w:noProof/>
                <w:sz w:val="18"/>
                <w:szCs w:val="18"/>
              </w:rPr>
              <w:t xml:space="preserve"> FTE/year + </w:t>
            </w:r>
            <w:r>
              <w:rPr>
                <w:noProof/>
                <w:sz w:val="18"/>
                <w:szCs w:val="18"/>
              </w:rPr>
              <w:t xml:space="preserve">EUR </w:t>
            </w:r>
            <w:r w:rsidRPr="00EC1412">
              <w:rPr>
                <w:noProof/>
                <w:sz w:val="18"/>
                <w:szCs w:val="18"/>
              </w:rPr>
              <w:t>24</w:t>
            </w:r>
            <w:r>
              <w:rPr>
                <w:noProof/>
                <w:sz w:val="18"/>
                <w:szCs w:val="18"/>
              </w:rPr>
              <w:t xml:space="preserve"> 000</w:t>
            </w:r>
            <w:r w:rsidRPr="00EC1412">
              <w:rPr>
                <w:noProof/>
                <w:sz w:val="18"/>
                <w:szCs w:val="18"/>
              </w:rPr>
              <w:t>/year: DG SANTE SCHEER secretariat 0</w:t>
            </w:r>
            <w:r>
              <w:rPr>
                <w:noProof/>
                <w:sz w:val="18"/>
                <w:szCs w:val="18"/>
              </w:rPr>
              <w:t>.</w:t>
            </w:r>
            <w:r w:rsidRPr="00EC1412">
              <w:rPr>
                <w:noProof/>
                <w:sz w:val="18"/>
                <w:szCs w:val="18"/>
              </w:rPr>
              <w:t xml:space="preserve">3 FTE (ca. 10% of SCHEER secretariat work), </w:t>
            </w:r>
            <w:r>
              <w:rPr>
                <w:noProof/>
                <w:sz w:val="18"/>
                <w:szCs w:val="18"/>
              </w:rPr>
              <w:t xml:space="preserve">EUR </w:t>
            </w:r>
            <w:r w:rsidRPr="00EC1412">
              <w:rPr>
                <w:noProof/>
                <w:sz w:val="18"/>
                <w:szCs w:val="18"/>
              </w:rPr>
              <w:t>24</w:t>
            </w:r>
            <w:r>
              <w:rPr>
                <w:noProof/>
                <w:sz w:val="18"/>
                <w:szCs w:val="18"/>
              </w:rPr>
              <w:t xml:space="preserve"> 000</w:t>
            </w:r>
            <w:r w:rsidRPr="00EC1412">
              <w:rPr>
                <w:noProof/>
                <w:sz w:val="18"/>
                <w:szCs w:val="18"/>
              </w:rPr>
              <w:t xml:space="preserve">/year for indemnities, travel, </w:t>
            </w:r>
            <w:r w:rsidRPr="00EC1412">
              <w:rPr>
                <w:i/>
                <w:noProof/>
                <w:sz w:val="18"/>
                <w:szCs w:val="18"/>
              </w:rPr>
              <w:t>e.g.</w:t>
            </w:r>
            <w:r w:rsidRPr="00EC1412">
              <w:rPr>
                <w:noProof/>
                <w:sz w:val="18"/>
                <w:szCs w:val="18"/>
              </w:rPr>
              <w:t xml:space="preserve"> costs for members of the committee</w:t>
            </w:r>
            <w:r>
              <w:rPr>
                <w:noProof/>
                <w:sz w:val="18"/>
                <w:szCs w:val="18"/>
              </w:rPr>
              <w:t xml:space="preserve">. (In addition, </w:t>
            </w:r>
            <w:r w:rsidRPr="00EC1412">
              <w:rPr>
                <w:noProof/>
                <w:sz w:val="18"/>
                <w:szCs w:val="18"/>
              </w:rPr>
              <w:t>DG SANTE (policy unit) 0</w:t>
            </w:r>
            <w:r>
              <w:rPr>
                <w:noProof/>
                <w:sz w:val="18"/>
                <w:szCs w:val="18"/>
              </w:rPr>
              <w:t>.</w:t>
            </w:r>
            <w:r w:rsidRPr="00EC1412">
              <w:rPr>
                <w:noProof/>
                <w:sz w:val="18"/>
                <w:szCs w:val="18"/>
              </w:rPr>
              <w:t>1 FTE/year</w:t>
            </w:r>
            <w:r>
              <w:rPr>
                <w:noProof/>
                <w:sz w:val="18"/>
                <w:szCs w:val="18"/>
              </w:rPr>
              <w:t xml:space="preserve"> whose work will remain).</w:t>
            </w:r>
          </w:p>
        </w:tc>
      </w:tr>
      <w:tr w:rsidR="000A7D9D" w:rsidRPr="00EC1412" w14:paraId="4AC261B5" w14:textId="77777777" w:rsidTr="00F31937">
        <w:tc>
          <w:tcPr>
            <w:tcW w:w="2376" w:type="dxa"/>
            <w:tcBorders>
              <w:bottom w:val="single" w:sz="4" w:space="0" w:color="auto"/>
            </w:tcBorders>
            <w:shd w:val="clear" w:color="auto" w:fill="C1ECFF"/>
          </w:tcPr>
          <w:p w14:paraId="116A58A2" w14:textId="77777777" w:rsidR="000A7D9D" w:rsidRPr="00EC1412" w:rsidRDefault="000A7D9D" w:rsidP="00F31937">
            <w:pPr>
              <w:jc w:val="both"/>
              <w:rPr>
                <w:b/>
                <w:caps/>
                <w:noProof/>
                <w:sz w:val="18"/>
                <w:szCs w:val="18"/>
              </w:rPr>
            </w:pPr>
            <w:r w:rsidRPr="00EC1412">
              <w:rPr>
                <w:noProof/>
                <w:sz w:val="18"/>
                <w:szCs w:val="18"/>
              </w:rPr>
              <w:t>IPCHEM</w:t>
            </w:r>
          </w:p>
        </w:tc>
        <w:tc>
          <w:tcPr>
            <w:tcW w:w="7258" w:type="dxa"/>
            <w:tcBorders>
              <w:bottom w:val="single" w:sz="4" w:space="0" w:color="auto"/>
            </w:tcBorders>
            <w:shd w:val="clear" w:color="auto" w:fill="C1ECFF"/>
          </w:tcPr>
          <w:p w14:paraId="37D6E956" w14:textId="77777777" w:rsidR="000A7D9D" w:rsidRPr="00EC1412" w:rsidRDefault="000A7D9D" w:rsidP="00F31937">
            <w:pPr>
              <w:rPr>
                <w:b/>
                <w:noProof/>
                <w:sz w:val="18"/>
                <w:szCs w:val="18"/>
              </w:rPr>
            </w:pPr>
            <w:r w:rsidRPr="00EC1412">
              <w:rPr>
                <w:noProof/>
                <w:sz w:val="18"/>
                <w:szCs w:val="18"/>
              </w:rPr>
              <w:t>Total 4</w:t>
            </w:r>
            <w:r>
              <w:rPr>
                <w:noProof/>
                <w:sz w:val="18"/>
                <w:szCs w:val="18"/>
              </w:rPr>
              <w:t>.</w:t>
            </w:r>
            <w:r w:rsidRPr="00EC1412">
              <w:rPr>
                <w:noProof/>
                <w:sz w:val="18"/>
                <w:szCs w:val="18"/>
              </w:rPr>
              <w:t>5 FTEs/year: DG JRC staff 2</w:t>
            </w:r>
            <w:r>
              <w:rPr>
                <w:noProof/>
                <w:sz w:val="18"/>
                <w:szCs w:val="18"/>
              </w:rPr>
              <w:t>.</w:t>
            </w:r>
            <w:r w:rsidRPr="00EC1412">
              <w:rPr>
                <w:noProof/>
                <w:sz w:val="18"/>
                <w:szCs w:val="18"/>
              </w:rPr>
              <w:t>5 FTEs/year + IT experts intramurous 2 FTEs/year (</w:t>
            </w:r>
            <w:r>
              <w:rPr>
                <w:noProof/>
                <w:sz w:val="18"/>
                <w:szCs w:val="18"/>
              </w:rPr>
              <w:t xml:space="preserve">EUR 130 </w:t>
            </w:r>
            <w:r w:rsidRPr="00EC1412">
              <w:rPr>
                <w:noProof/>
                <w:sz w:val="18"/>
                <w:szCs w:val="18"/>
              </w:rPr>
              <w:t>000</w:t>
            </w:r>
            <w:r>
              <w:rPr>
                <w:noProof/>
                <w:sz w:val="18"/>
                <w:szCs w:val="18"/>
              </w:rPr>
              <w:t xml:space="preserve"> per </w:t>
            </w:r>
            <w:r w:rsidRPr="00EC1412">
              <w:rPr>
                <w:noProof/>
                <w:sz w:val="18"/>
                <w:szCs w:val="18"/>
              </w:rPr>
              <w:t>year)</w:t>
            </w:r>
          </w:p>
        </w:tc>
      </w:tr>
      <w:tr w:rsidR="000A7D9D" w:rsidRPr="00EC1412" w14:paraId="6B6AFCFF" w14:textId="77777777" w:rsidTr="00F31937">
        <w:tc>
          <w:tcPr>
            <w:tcW w:w="2376" w:type="dxa"/>
            <w:tcBorders>
              <w:bottom w:val="single" w:sz="4" w:space="0" w:color="auto"/>
            </w:tcBorders>
            <w:shd w:val="clear" w:color="auto" w:fill="FFF4CC"/>
          </w:tcPr>
          <w:p w14:paraId="1E2B31F3" w14:textId="77777777" w:rsidR="000A7D9D" w:rsidRPr="00EC1412" w:rsidRDefault="000A7D9D" w:rsidP="00F31937">
            <w:pPr>
              <w:jc w:val="both"/>
              <w:rPr>
                <w:noProof/>
                <w:sz w:val="18"/>
                <w:szCs w:val="18"/>
              </w:rPr>
            </w:pPr>
            <w:r w:rsidRPr="00667029">
              <w:rPr>
                <w:noProof/>
                <w:sz w:val="18"/>
                <w:szCs w:val="18"/>
              </w:rPr>
              <w:t xml:space="preserve">Information </w:t>
            </w:r>
            <w:r w:rsidRPr="2D69C30E">
              <w:rPr>
                <w:noProof/>
                <w:sz w:val="18"/>
                <w:szCs w:val="18"/>
              </w:rPr>
              <w:t>on regulatory processes on chemicals</w:t>
            </w:r>
            <w:r w:rsidRPr="00EC1412">
              <w:rPr>
                <w:caps/>
                <w:noProof/>
                <w:sz w:val="18"/>
                <w:szCs w:val="18"/>
              </w:rPr>
              <w:t xml:space="preserve"> </w:t>
            </w:r>
          </w:p>
        </w:tc>
        <w:tc>
          <w:tcPr>
            <w:tcW w:w="7258" w:type="dxa"/>
            <w:tcBorders>
              <w:bottom w:val="single" w:sz="4" w:space="0" w:color="auto"/>
            </w:tcBorders>
            <w:shd w:val="clear" w:color="auto" w:fill="FFF4CC"/>
          </w:tcPr>
          <w:p w14:paraId="7A27FEE8" w14:textId="77777777" w:rsidR="000A7D9D" w:rsidRPr="00EC1412" w:rsidRDefault="000A7D9D" w:rsidP="00F31937">
            <w:pPr>
              <w:rPr>
                <w:noProof/>
                <w:sz w:val="18"/>
                <w:szCs w:val="18"/>
              </w:rPr>
            </w:pPr>
            <w:r w:rsidRPr="00EC1412">
              <w:rPr>
                <w:noProof/>
                <w:sz w:val="18"/>
                <w:szCs w:val="18"/>
              </w:rPr>
              <w:t>ECHA already operates (P)ACT for REACH, CLP and POPs processes. EFSA already operates OpenEFSA which has similar level of information as PACT. Resources for the operation and continuous provision of information are to be absorbed by the Agencies.</w:t>
            </w:r>
          </w:p>
        </w:tc>
      </w:tr>
      <w:tr w:rsidR="000A7D9D" w:rsidRPr="00EC1412" w14:paraId="204A354A" w14:textId="77777777" w:rsidTr="00F31937">
        <w:tc>
          <w:tcPr>
            <w:tcW w:w="2376" w:type="dxa"/>
            <w:tcBorders>
              <w:bottom w:val="single" w:sz="4" w:space="0" w:color="auto"/>
            </w:tcBorders>
            <w:shd w:val="clear" w:color="auto" w:fill="C1ECFF"/>
          </w:tcPr>
          <w:p w14:paraId="0278A014" w14:textId="77777777" w:rsidR="000A7D9D" w:rsidRPr="00EC1412" w:rsidRDefault="000A7D9D" w:rsidP="00F31937">
            <w:pPr>
              <w:rPr>
                <w:caps/>
                <w:noProof/>
                <w:sz w:val="18"/>
                <w:szCs w:val="18"/>
              </w:rPr>
            </w:pPr>
            <w:r w:rsidRPr="2D69C30E">
              <w:rPr>
                <w:noProof/>
                <w:sz w:val="18"/>
                <w:szCs w:val="18"/>
              </w:rPr>
              <w:t>Information on the obligations under Union acts on chemicals</w:t>
            </w:r>
            <w:r w:rsidRPr="00EC1412">
              <w:rPr>
                <w:noProof/>
                <w:sz w:val="18"/>
                <w:szCs w:val="18"/>
              </w:rPr>
              <w:t xml:space="preserve"> </w:t>
            </w:r>
          </w:p>
        </w:tc>
        <w:tc>
          <w:tcPr>
            <w:tcW w:w="7258" w:type="dxa"/>
            <w:tcBorders>
              <w:bottom w:val="single" w:sz="4" w:space="0" w:color="auto"/>
            </w:tcBorders>
            <w:shd w:val="clear" w:color="auto" w:fill="C1ECFF"/>
          </w:tcPr>
          <w:p w14:paraId="68A1BFDB" w14:textId="77777777" w:rsidR="000A7D9D" w:rsidRPr="00EC1412" w:rsidRDefault="000A7D9D" w:rsidP="00F31937">
            <w:pPr>
              <w:rPr>
                <w:noProof/>
                <w:sz w:val="18"/>
                <w:szCs w:val="18"/>
              </w:rPr>
            </w:pPr>
            <w:r>
              <w:rPr>
                <w:noProof/>
                <w:sz w:val="18"/>
                <w:szCs w:val="18"/>
              </w:rPr>
              <w:t xml:space="preserve">ECHA already operates EUCLEF and this is financed through the contribution agreement between DG GROW and ECHA: </w:t>
            </w:r>
            <w:r w:rsidRPr="00EC1412">
              <w:rPr>
                <w:noProof/>
                <w:sz w:val="18"/>
                <w:szCs w:val="18"/>
              </w:rPr>
              <w:t xml:space="preserve">Total ca. </w:t>
            </w:r>
            <w:r>
              <w:rPr>
                <w:noProof/>
                <w:sz w:val="18"/>
                <w:szCs w:val="18"/>
              </w:rPr>
              <w:t xml:space="preserve">EUR </w:t>
            </w:r>
            <w:r w:rsidRPr="00EC1412">
              <w:rPr>
                <w:noProof/>
                <w:sz w:val="18"/>
                <w:szCs w:val="18"/>
              </w:rPr>
              <w:t>1</w:t>
            </w:r>
            <w:r>
              <w:rPr>
                <w:noProof/>
                <w:sz w:val="18"/>
                <w:szCs w:val="18"/>
              </w:rPr>
              <w:t>.</w:t>
            </w:r>
            <w:r w:rsidRPr="00EC1412">
              <w:rPr>
                <w:noProof/>
                <w:sz w:val="18"/>
                <w:szCs w:val="18"/>
              </w:rPr>
              <w:t xml:space="preserve">0 </w:t>
            </w:r>
            <w:r>
              <w:rPr>
                <w:noProof/>
                <w:sz w:val="18"/>
                <w:szCs w:val="18"/>
              </w:rPr>
              <w:t>–</w:t>
            </w:r>
            <w:r w:rsidRPr="00EC1412">
              <w:rPr>
                <w:noProof/>
                <w:sz w:val="18"/>
                <w:szCs w:val="18"/>
              </w:rPr>
              <w:t xml:space="preserve"> 1</w:t>
            </w:r>
            <w:r>
              <w:rPr>
                <w:noProof/>
                <w:sz w:val="18"/>
                <w:szCs w:val="18"/>
              </w:rPr>
              <w:t>.</w:t>
            </w:r>
            <w:r w:rsidRPr="00EC1412">
              <w:rPr>
                <w:noProof/>
                <w:sz w:val="18"/>
                <w:szCs w:val="18"/>
              </w:rPr>
              <w:t>4 million annually</w:t>
            </w:r>
            <w:r>
              <w:rPr>
                <w:noProof/>
                <w:sz w:val="18"/>
                <w:szCs w:val="18"/>
              </w:rPr>
              <w:t xml:space="preserve">, with no posts. </w:t>
            </w:r>
            <w:r w:rsidRPr="00EC1412">
              <w:rPr>
                <w:noProof/>
                <w:sz w:val="18"/>
                <w:szCs w:val="18"/>
              </w:rPr>
              <w:t xml:space="preserve"> ECHA runs the service through the employment of 4 interim staff members (ca. </w:t>
            </w:r>
            <w:r>
              <w:rPr>
                <w:noProof/>
                <w:sz w:val="18"/>
                <w:szCs w:val="18"/>
              </w:rPr>
              <w:t xml:space="preserve">EUR </w:t>
            </w:r>
            <w:r w:rsidRPr="00EC1412">
              <w:rPr>
                <w:noProof/>
                <w:sz w:val="18"/>
                <w:szCs w:val="18"/>
              </w:rPr>
              <w:t>270</w:t>
            </w:r>
            <w:r>
              <w:rPr>
                <w:noProof/>
                <w:sz w:val="18"/>
                <w:szCs w:val="18"/>
              </w:rPr>
              <w:t xml:space="preserve"> 000</w:t>
            </w:r>
            <w:r w:rsidRPr="00EC1412">
              <w:rPr>
                <w:noProof/>
                <w:sz w:val="18"/>
                <w:szCs w:val="18"/>
              </w:rPr>
              <w:t xml:space="preserve">/year) and via contractors: communication activities and external helpdesk ca. </w:t>
            </w:r>
            <w:r>
              <w:rPr>
                <w:noProof/>
                <w:sz w:val="18"/>
                <w:szCs w:val="18"/>
              </w:rPr>
              <w:t xml:space="preserve">EUR </w:t>
            </w:r>
            <w:r w:rsidRPr="00EC1412">
              <w:rPr>
                <w:noProof/>
                <w:sz w:val="18"/>
                <w:szCs w:val="18"/>
              </w:rPr>
              <w:t>60</w:t>
            </w:r>
            <w:r>
              <w:rPr>
                <w:noProof/>
                <w:sz w:val="18"/>
                <w:szCs w:val="18"/>
              </w:rPr>
              <w:t xml:space="preserve"> 000/</w:t>
            </w:r>
            <w:r w:rsidRPr="00EC1412">
              <w:rPr>
                <w:noProof/>
                <w:sz w:val="18"/>
                <w:szCs w:val="18"/>
              </w:rPr>
              <w:t xml:space="preserve">year, IT costs </w:t>
            </w:r>
            <w:r>
              <w:rPr>
                <w:noProof/>
                <w:sz w:val="18"/>
                <w:szCs w:val="18"/>
              </w:rPr>
              <w:t xml:space="preserve">EUR </w:t>
            </w:r>
            <w:r w:rsidRPr="00EC1412">
              <w:rPr>
                <w:noProof/>
                <w:sz w:val="18"/>
                <w:szCs w:val="18"/>
              </w:rPr>
              <w:t>200</w:t>
            </w:r>
            <w:r>
              <w:rPr>
                <w:noProof/>
                <w:sz w:val="18"/>
                <w:szCs w:val="18"/>
              </w:rPr>
              <w:t xml:space="preserve"> 000/</w:t>
            </w:r>
            <w:r w:rsidRPr="00EC1412">
              <w:rPr>
                <w:noProof/>
                <w:sz w:val="18"/>
                <w:szCs w:val="18"/>
              </w:rPr>
              <w:t xml:space="preserve">year, data costs </w:t>
            </w:r>
            <w:r>
              <w:rPr>
                <w:noProof/>
                <w:sz w:val="18"/>
                <w:szCs w:val="18"/>
              </w:rPr>
              <w:t xml:space="preserve">EUR </w:t>
            </w:r>
            <w:r w:rsidRPr="00EC1412">
              <w:rPr>
                <w:noProof/>
                <w:sz w:val="18"/>
                <w:szCs w:val="18"/>
              </w:rPr>
              <w:t>430</w:t>
            </w:r>
            <w:r>
              <w:rPr>
                <w:noProof/>
                <w:sz w:val="18"/>
                <w:szCs w:val="18"/>
              </w:rPr>
              <w:t xml:space="preserve"> 000</w:t>
            </w:r>
            <w:r w:rsidRPr="00EC1412">
              <w:rPr>
                <w:noProof/>
                <w:sz w:val="18"/>
                <w:szCs w:val="18"/>
              </w:rPr>
              <w:t xml:space="preserve">/year. </w:t>
            </w:r>
          </w:p>
        </w:tc>
      </w:tr>
      <w:tr w:rsidR="000A7D9D" w:rsidRPr="00EC1412" w14:paraId="6718C942" w14:textId="77777777" w:rsidTr="00F31937">
        <w:trPr>
          <w:trHeight w:val="533"/>
        </w:trPr>
        <w:tc>
          <w:tcPr>
            <w:tcW w:w="2376" w:type="dxa"/>
            <w:tcBorders>
              <w:bottom w:val="single" w:sz="4" w:space="0" w:color="auto"/>
            </w:tcBorders>
            <w:shd w:val="clear" w:color="auto" w:fill="FFF4CC"/>
          </w:tcPr>
          <w:p w14:paraId="59EB249C" w14:textId="77777777" w:rsidR="000A7D9D" w:rsidRPr="00EC1412" w:rsidRDefault="000A7D9D" w:rsidP="00F31937">
            <w:pPr>
              <w:rPr>
                <w:b/>
                <w:caps/>
                <w:noProof/>
                <w:sz w:val="18"/>
                <w:szCs w:val="18"/>
              </w:rPr>
            </w:pPr>
            <w:r w:rsidRPr="00667029">
              <w:rPr>
                <w:noProof/>
                <w:sz w:val="18"/>
                <w:szCs w:val="18"/>
              </w:rPr>
              <w:t>Observatory for specific chemicals with potential contribution to emerging chemical risks</w:t>
            </w:r>
          </w:p>
        </w:tc>
        <w:tc>
          <w:tcPr>
            <w:tcW w:w="7258" w:type="dxa"/>
            <w:tcBorders>
              <w:bottom w:val="single" w:sz="4" w:space="0" w:color="auto"/>
            </w:tcBorders>
            <w:shd w:val="clear" w:color="auto" w:fill="FFF4CC"/>
          </w:tcPr>
          <w:p w14:paraId="2CE84E83" w14:textId="77777777" w:rsidR="000A7D9D" w:rsidRPr="00EC1412" w:rsidRDefault="000A7D9D" w:rsidP="00F31937">
            <w:pPr>
              <w:rPr>
                <w:b/>
                <w:noProof/>
                <w:sz w:val="18"/>
                <w:szCs w:val="18"/>
              </w:rPr>
            </w:pPr>
            <w:r w:rsidRPr="2D69C30E">
              <w:rPr>
                <w:noProof/>
                <w:sz w:val="18"/>
                <w:szCs w:val="18"/>
              </w:rPr>
              <w:t xml:space="preserve">ECHA already operates the EU Observatory on Nanomaterials and this is financed via </w:t>
            </w:r>
            <w:r>
              <w:rPr>
                <w:noProof/>
                <w:sz w:val="18"/>
                <w:szCs w:val="18"/>
              </w:rPr>
              <w:t>a</w:t>
            </w:r>
            <w:r w:rsidRPr="2D69C30E">
              <w:rPr>
                <w:noProof/>
                <w:sz w:val="18"/>
                <w:szCs w:val="18"/>
              </w:rPr>
              <w:t xml:space="preserve"> contribution agreement between DG GROW and ECHA</w:t>
            </w:r>
            <w:r>
              <w:rPr>
                <w:noProof/>
                <w:sz w:val="18"/>
                <w:szCs w:val="18"/>
              </w:rPr>
              <w:t>:</w:t>
            </w:r>
            <w:r w:rsidRPr="00EC1412">
              <w:rPr>
                <w:noProof/>
                <w:sz w:val="18"/>
                <w:szCs w:val="18"/>
              </w:rPr>
              <w:t xml:space="preserve"> Total </w:t>
            </w:r>
            <w:r>
              <w:rPr>
                <w:noProof/>
                <w:sz w:val="18"/>
                <w:szCs w:val="18"/>
              </w:rPr>
              <w:t xml:space="preserve">of ca. EUR 700 000 per year including the 3 posts per year: </w:t>
            </w:r>
            <w:r w:rsidRPr="00EC1412">
              <w:rPr>
                <w:noProof/>
                <w:sz w:val="18"/>
                <w:szCs w:val="18"/>
              </w:rPr>
              <w:t xml:space="preserve">3 </w:t>
            </w:r>
            <w:r>
              <w:rPr>
                <w:noProof/>
                <w:sz w:val="18"/>
                <w:szCs w:val="18"/>
              </w:rPr>
              <w:t>C</w:t>
            </w:r>
            <w:r w:rsidRPr="00EC1412">
              <w:rPr>
                <w:noProof/>
                <w:sz w:val="18"/>
                <w:szCs w:val="18"/>
              </w:rPr>
              <w:t xml:space="preserve">As/year </w:t>
            </w:r>
            <w:r>
              <w:rPr>
                <w:noProof/>
                <w:sz w:val="18"/>
                <w:szCs w:val="18"/>
              </w:rPr>
              <w:t xml:space="preserve">(ca. EUR 270 000/year) </w:t>
            </w:r>
            <w:r w:rsidRPr="00EC1412">
              <w:rPr>
                <w:noProof/>
                <w:sz w:val="18"/>
                <w:szCs w:val="18"/>
              </w:rPr>
              <w:t xml:space="preserve">and </w:t>
            </w:r>
            <w:r>
              <w:rPr>
                <w:noProof/>
                <w:sz w:val="18"/>
                <w:szCs w:val="18"/>
              </w:rPr>
              <w:t>operational costs of ca. EUR 430 000</w:t>
            </w:r>
            <w:r w:rsidRPr="00EC1412">
              <w:rPr>
                <w:noProof/>
                <w:sz w:val="18"/>
                <w:szCs w:val="18"/>
              </w:rPr>
              <w:t>/year</w:t>
            </w:r>
            <w:r>
              <w:rPr>
                <w:noProof/>
                <w:sz w:val="18"/>
                <w:szCs w:val="18"/>
              </w:rPr>
              <w:t>.</w:t>
            </w:r>
            <w:r w:rsidRPr="00EC1412">
              <w:rPr>
                <w:noProof/>
                <w:sz w:val="18"/>
                <w:szCs w:val="18"/>
              </w:rPr>
              <w:t xml:space="preserve"> </w:t>
            </w:r>
          </w:p>
        </w:tc>
      </w:tr>
      <w:tr w:rsidR="000A7D9D" w:rsidRPr="00EC1412" w14:paraId="1B731CA6" w14:textId="77777777" w:rsidTr="00F31937">
        <w:tc>
          <w:tcPr>
            <w:tcW w:w="2376" w:type="dxa"/>
            <w:tcBorders>
              <w:bottom w:val="single" w:sz="4" w:space="0" w:color="auto"/>
            </w:tcBorders>
            <w:shd w:val="clear" w:color="auto" w:fill="C1ECFF"/>
          </w:tcPr>
          <w:p w14:paraId="3CEDE8BB" w14:textId="77777777" w:rsidR="000A7D9D" w:rsidRPr="00EC1412" w:rsidRDefault="000A7D9D" w:rsidP="00F31937">
            <w:pPr>
              <w:jc w:val="both"/>
              <w:rPr>
                <w:noProof/>
                <w:sz w:val="18"/>
                <w:szCs w:val="18"/>
              </w:rPr>
            </w:pPr>
            <w:r w:rsidRPr="00EC1412">
              <w:rPr>
                <w:noProof/>
                <w:sz w:val="18"/>
                <w:szCs w:val="18"/>
              </w:rPr>
              <w:t>Scientific opinions on OELs</w:t>
            </w:r>
          </w:p>
        </w:tc>
        <w:tc>
          <w:tcPr>
            <w:tcW w:w="7258" w:type="dxa"/>
            <w:tcBorders>
              <w:bottom w:val="single" w:sz="4" w:space="0" w:color="auto"/>
            </w:tcBorders>
            <w:shd w:val="clear" w:color="auto" w:fill="C1ECFF"/>
          </w:tcPr>
          <w:p w14:paraId="0E061C29" w14:textId="77777777" w:rsidR="000A7D9D" w:rsidRPr="00EC1412" w:rsidRDefault="000A7D9D" w:rsidP="00F31937">
            <w:pPr>
              <w:rPr>
                <w:noProof/>
                <w:sz w:val="18"/>
                <w:szCs w:val="18"/>
              </w:rPr>
            </w:pPr>
            <w:r w:rsidRPr="00EC1412">
              <w:rPr>
                <w:noProof/>
                <w:sz w:val="18"/>
                <w:szCs w:val="18"/>
              </w:rPr>
              <w:t xml:space="preserve">Total 4 FTEs/year and </w:t>
            </w:r>
            <w:r>
              <w:rPr>
                <w:noProof/>
                <w:sz w:val="18"/>
                <w:szCs w:val="18"/>
              </w:rPr>
              <w:t>operational budget of ca. EUR 575 000</w:t>
            </w:r>
            <w:r w:rsidRPr="00EC1412">
              <w:rPr>
                <w:noProof/>
                <w:sz w:val="18"/>
                <w:szCs w:val="18"/>
              </w:rPr>
              <w:t>/year: DG EMPL Service Level Agreement with ECHA</w:t>
            </w:r>
            <w:r>
              <w:rPr>
                <w:noProof/>
                <w:sz w:val="18"/>
                <w:szCs w:val="18"/>
              </w:rPr>
              <w:t xml:space="preserve"> for assessment of 5 substances annually – in total EUR 975 000 that includes </w:t>
            </w:r>
            <w:r w:rsidRPr="00EC1412">
              <w:rPr>
                <w:noProof/>
                <w:sz w:val="18"/>
                <w:szCs w:val="18"/>
              </w:rPr>
              <w:t>4 CA posts</w:t>
            </w:r>
            <w:r>
              <w:rPr>
                <w:noProof/>
                <w:sz w:val="18"/>
                <w:szCs w:val="18"/>
              </w:rPr>
              <w:t xml:space="preserve">. </w:t>
            </w:r>
          </w:p>
        </w:tc>
      </w:tr>
      <w:tr w:rsidR="000A7D9D" w:rsidRPr="00EC1412" w14:paraId="75B90B26" w14:textId="77777777" w:rsidTr="00F31937">
        <w:tc>
          <w:tcPr>
            <w:tcW w:w="2376" w:type="dxa"/>
            <w:tcBorders>
              <w:bottom w:val="single" w:sz="4" w:space="0" w:color="auto"/>
            </w:tcBorders>
            <w:shd w:val="clear" w:color="auto" w:fill="FFF4CC"/>
          </w:tcPr>
          <w:p w14:paraId="2A1ED849" w14:textId="77777777" w:rsidR="000A7D9D" w:rsidRPr="00EC1412" w:rsidRDefault="000A7D9D" w:rsidP="00F31937">
            <w:pPr>
              <w:jc w:val="both"/>
              <w:rPr>
                <w:noProof/>
                <w:sz w:val="18"/>
                <w:szCs w:val="18"/>
              </w:rPr>
            </w:pPr>
            <w:r w:rsidRPr="00EC1412">
              <w:rPr>
                <w:noProof/>
                <w:sz w:val="18"/>
                <w:szCs w:val="18"/>
              </w:rPr>
              <w:t>End-of-life vehicle directive</w:t>
            </w:r>
          </w:p>
        </w:tc>
        <w:tc>
          <w:tcPr>
            <w:tcW w:w="7258" w:type="dxa"/>
            <w:tcBorders>
              <w:bottom w:val="single" w:sz="4" w:space="0" w:color="auto"/>
            </w:tcBorders>
            <w:shd w:val="clear" w:color="auto" w:fill="FFF4CC"/>
          </w:tcPr>
          <w:p w14:paraId="7C5C2309" w14:textId="77777777" w:rsidR="000A7D9D" w:rsidRPr="00EC1412" w:rsidRDefault="000A7D9D" w:rsidP="00F31937">
            <w:pPr>
              <w:rPr>
                <w:noProof/>
                <w:sz w:val="18"/>
                <w:szCs w:val="18"/>
              </w:rPr>
            </w:pPr>
            <w:r w:rsidRPr="00EC1412">
              <w:rPr>
                <w:noProof/>
                <w:sz w:val="18"/>
                <w:szCs w:val="18"/>
              </w:rPr>
              <w:t>Total ca. 0</w:t>
            </w:r>
            <w:r>
              <w:rPr>
                <w:noProof/>
                <w:sz w:val="18"/>
                <w:szCs w:val="18"/>
              </w:rPr>
              <w:t>.3</w:t>
            </w:r>
            <w:r w:rsidRPr="00EC1412">
              <w:rPr>
                <w:noProof/>
                <w:sz w:val="18"/>
                <w:szCs w:val="18"/>
              </w:rPr>
              <w:t xml:space="preserve">6 FTE/year for assessment of exemptions: a contract of </w:t>
            </w:r>
            <w:r>
              <w:rPr>
                <w:noProof/>
                <w:sz w:val="18"/>
                <w:szCs w:val="18"/>
              </w:rPr>
              <w:t xml:space="preserve">EUR </w:t>
            </w:r>
            <w:r w:rsidRPr="00EC1412">
              <w:rPr>
                <w:noProof/>
                <w:sz w:val="18"/>
                <w:szCs w:val="18"/>
              </w:rPr>
              <w:t>60</w:t>
            </w:r>
            <w:r>
              <w:rPr>
                <w:noProof/>
                <w:sz w:val="18"/>
                <w:szCs w:val="18"/>
              </w:rPr>
              <w:t xml:space="preserve"> 000 </w:t>
            </w:r>
            <w:r w:rsidRPr="00EC1412">
              <w:rPr>
                <w:noProof/>
                <w:sz w:val="18"/>
                <w:szCs w:val="18"/>
              </w:rPr>
              <w:t>every 2</w:t>
            </w:r>
            <w:r>
              <w:rPr>
                <w:noProof/>
                <w:sz w:val="18"/>
                <w:szCs w:val="18"/>
              </w:rPr>
              <w:t>.</w:t>
            </w:r>
            <w:r w:rsidRPr="00EC1412">
              <w:rPr>
                <w:noProof/>
                <w:sz w:val="18"/>
                <w:szCs w:val="18"/>
              </w:rPr>
              <w:t>5 years for reviewing exemptions (= ca. 0.36 FTE annually)</w:t>
            </w:r>
            <w:r>
              <w:rPr>
                <w:noProof/>
                <w:sz w:val="18"/>
                <w:szCs w:val="18"/>
              </w:rPr>
              <w:t>. (In addition, DG</w:t>
            </w:r>
            <w:r w:rsidRPr="00EC1412">
              <w:rPr>
                <w:noProof/>
                <w:sz w:val="18"/>
                <w:szCs w:val="18"/>
              </w:rPr>
              <w:t>ENV ca. 0</w:t>
            </w:r>
            <w:r>
              <w:rPr>
                <w:noProof/>
                <w:sz w:val="18"/>
                <w:szCs w:val="18"/>
              </w:rPr>
              <w:t>.</w:t>
            </w:r>
            <w:r w:rsidRPr="00EC1412">
              <w:rPr>
                <w:noProof/>
                <w:sz w:val="18"/>
                <w:szCs w:val="18"/>
              </w:rPr>
              <w:t>1 FTE dedicated to the work on hazardous substances</w:t>
            </w:r>
            <w:r>
              <w:rPr>
                <w:noProof/>
                <w:sz w:val="18"/>
                <w:szCs w:val="18"/>
              </w:rPr>
              <w:t xml:space="preserve"> whose work will remain).</w:t>
            </w:r>
          </w:p>
        </w:tc>
      </w:tr>
      <w:tr w:rsidR="000A7D9D" w:rsidRPr="00EC1412" w14:paraId="0D3CB771" w14:textId="77777777" w:rsidTr="00F31937">
        <w:tc>
          <w:tcPr>
            <w:tcW w:w="2376" w:type="dxa"/>
            <w:tcBorders>
              <w:bottom w:val="single" w:sz="4" w:space="0" w:color="auto"/>
            </w:tcBorders>
            <w:shd w:val="clear" w:color="auto" w:fill="C1ECFF"/>
          </w:tcPr>
          <w:p w14:paraId="56EDACCF" w14:textId="77777777" w:rsidR="000A7D9D" w:rsidRPr="00EC1412" w:rsidRDefault="000A7D9D" w:rsidP="00F31937">
            <w:pPr>
              <w:jc w:val="both"/>
              <w:rPr>
                <w:noProof/>
                <w:sz w:val="18"/>
                <w:szCs w:val="18"/>
              </w:rPr>
            </w:pPr>
            <w:r w:rsidRPr="00EC1412">
              <w:rPr>
                <w:noProof/>
                <w:sz w:val="18"/>
                <w:szCs w:val="18"/>
              </w:rPr>
              <w:t xml:space="preserve">Cosmetic products regulation </w:t>
            </w:r>
          </w:p>
        </w:tc>
        <w:tc>
          <w:tcPr>
            <w:tcW w:w="7258" w:type="dxa"/>
            <w:tcBorders>
              <w:bottom w:val="single" w:sz="4" w:space="0" w:color="auto"/>
            </w:tcBorders>
            <w:shd w:val="clear" w:color="auto" w:fill="C1ECFF"/>
          </w:tcPr>
          <w:p w14:paraId="770B72B6" w14:textId="77777777" w:rsidR="000A7D9D" w:rsidRPr="00EC1412" w:rsidRDefault="000A7D9D" w:rsidP="00F31937">
            <w:pPr>
              <w:rPr>
                <w:noProof/>
                <w:sz w:val="18"/>
                <w:szCs w:val="18"/>
              </w:rPr>
            </w:pPr>
            <w:r w:rsidRPr="003C74BD">
              <w:rPr>
                <w:bCs/>
                <w:noProof/>
                <w:sz w:val="18"/>
                <w:szCs w:val="18"/>
              </w:rPr>
              <w:t xml:space="preserve">Total ca. 3 FTEs/year + full SCCS membership + </w:t>
            </w:r>
            <w:r>
              <w:rPr>
                <w:bCs/>
                <w:noProof/>
                <w:sz w:val="18"/>
                <w:szCs w:val="18"/>
              </w:rPr>
              <w:t xml:space="preserve">EUR </w:t>
            </w:r>
            <w:r w:rsidRPr="003C74BD">
              <w:rPr>
                <w:bCs/>
                <w:noProof/>
                <w:sz w:val="18"/>
                <w:szCs w:val="18"/>
              </w:rPr>
              <w:t>2</w:t>
            </w:r>
            <w:r>
              <w:rPr>
                <w:bCs/>
                <w:noProof/>
                <w:sz w:val="18"/>
                <w:szCs w:val="18"/>
              </w:rPr>
              <w:t>4</w:t>
            </w:r>
            <w:r w:rsidRPr="003C74BD">
              <w:rPr>
                <w:bCs/>
                <w:noProof/>
                <w:sz w:val="18"/>
                <w:szCs w:val="18"/>
              </w:rPr>
              <w:t>0</w:t>
            </w:r>
            <w:r>
              <w:rPr>
                <w:bCs/>
                <w:noProof/>
                <w:sz w:val="18"/>
                <w:szCs w:val="18"/>
              </w:rPr>
              <w:t xml:space="preserve"> </w:t>
            </w:r>
            <w:r w:rsidRPr="003C74BD">
              <w:rPr>
                <w:bCs/>
                <w:noProof/>
                <w:sz w:val="18"/>
                <w:szCs w:val="18"/>
              </w:rPr>
              <w:t xml:space="preserve">000/year: DG SANTE 3 FTEs for the secretariat of SCCS + 14 members of SCCS and 4 external experts + ca. </w:t>
            </w:r>
            <w:r>
              <w:rPr>
                <w:bCs/>
                <w:noProof/>
                <w:sz w:val="18"/>
                <w:szCs w:val="18"/>
              </w:rPr>
              <w:t xml:space="preserve">EUR </w:t>
            </w:r>
            <w:r w:rsidRPr="003C74BD">
              <w:rPr>
                <w:bCs/>
                <w:noProof/>
                <w:sz w:val="18"/>
                <w:szCs w:val="18"/>
              </w:rPr>
              <w:t>2</w:t>
            </w:r>
            <w:r>
              <w:rPr>
                <w:bCs/>
                <w:noProof/>
                <w:sz w:val="18"/>
                <w:szCs w:val="18"/>
              </w:rPr>
              <w:t>4</w:t>
            </w:r>
            <w:r w:rsidRPr="003C74BD">
              <w:rPr>
                <w:bCs/>
                <w:noProof/>
                <w:sz w:val="18"/>
                <w:szCs w:val="18"/>
              </w:rPr>
              <w:t>0</w:t>
            </w:r>
            <w:r>
              <w:rPr>
                <w:bCs/>
                <w:noProof/>
                <w:sz w:val="18"/>
                <w:szCs w:val="18"/>
              </w:rPr>
              <w:t xml:space="preserve"> </w:t>
            </w:r>
            <w:r w:rsidRPr="003C74BD">
              <w:rPr>
                <w:bCs/>
                <w:noProof/>
                <w:sz w:val="18"/>
                <w:szCs w:val="18"/>
              </w:rPr>
              <w:t xml:space="preserve">000 /year for reimbursement of members (at peak up to </w:t>
            </w:r>
            <w:r>
              <w:rPr>
                <w:bCs/>
                <w:noProof/>
                <w:sz w:val="18"/>
                <w:szCs w:val="18"/>
              </w:rPr>
              <w:t xml:space="preserve">EUR </w:t>
            </w:r>
            <w:r w:rsidRPr="003C74BD">
              <w:rPr>
                <w:bCs/>
                <w:noProof/>
                <w:sz w:val="18"/>
                <w:szCs w:val="18"/>
              </w:rPr>
              <w:t>3</w:t>
            </w:r>
            <w:r>
              <w:rPr>
                <w:bCs/>
                <w:noProof/>
                <w:sz w:val="18"/>
                <w:szCs w:val="18"/>
              </w:rPr>
              <w:t>4</w:t>
            </w:r>
            <w:r w:rsidRPr="003C74BD">
              <w:rPr>
                <w:bCs/>
                <w:noProof/>
                <w:sz w:val="18"/>
                <w:szCs w:val="18"/>
              </w:rPr>
              <w:t>0</w:t>
            </w:r>
            <w:r>
              <w:rPr>
                <w:bCs/>
                <w:noProof/>
                <w:sz w:val="18"/>
                <w:szCs w:val="18"/>
              </w:rPr>
              <w:t xml:space="preserve"> </w:t>
            </w:r>
            <w:r w:rsidRPr="003C74BD">
              <w:rPr>
                <w:bCs/>
                <w:noProof/>
                <w:sz w:val="18"/>
                <w:szCs w:val="18"/>
              </w:rPr>
              <w:t>000/year)</w:t>
            </w:r>
            <w:r>
              <w:rPr>
                <w:noProof/>
                <w:sz w:val="18"/>
                <w:szCs w:val="18"/>
              </w:rPr>
              <w:t>. (In addition, DG GROW ca. 1 FTE for overall implementation of the related provisions whose work will remain)</w:t>
            </w:r>
          </w:p>
        </w:tc>
      </w:tr>
      <w:tr w:rsidR="000A7D9D" w:rsidRPr="00EC1412" w14:paraId="43915465" w14:textId="77777777" w:rsidTr="00F31937">
        <w:tc>
          <w:tcPr>
            <w:tcW w:w="2376" w:type="dxa"/>
            <w:tcBorders>
              <w:bottom w:val="single" w:sz="4" w:space="0" w:color="auto"/>
            </w:tcBorders>
            <w:shd w:val="clear" w:color="auto" w:fill="FFF4CC"/>
          </w:tcPr>
          <w:p w14:paraId="6D561F53" w14:textId="77777777" w:rsidR="000A7D9D" w:rsidRPr="00EC1412" w:rsidRDefault="000A7D9D" w:rsidP="00F31937">
            <w:pPr>
              <w:jc w:val="both"/>
              <w:rPr>
                <w:noProof/>
                <w:sz w:val="18"/>
                <w:szCs w:val="18"/>
              </w:rPr>
            </w:pPr>
            <w:r w:rsidRPr="00EC1412">
              <w:rPr>
                <w:noProof/>
                <w:sz w:val="18"/>
                <w:szCs w:val="18"/>
              </w:rPr>
              <w:t>Toy safety directive</w:t>
            </w:r>
          </w:p>
        </w:tc>
        <w:tc>
          <w:tcPr>
            <w:tcW w:w="7258" w:type="dxa"/>
            <w:tcBorders>
              <w:bottom w:val="single" w:sz="4" w:space="0" w:color="auto"/>
            </w:tcBorders>
            <w:shd w:val="clear" w:color="auto" w:fill="FFF4CC"/>
          </w:tcPr>
          <w:p w14:paraId="1BFC929D" w14:textId="77777777" w:rsidR="000A7D9D" w:rsidRPr="00EC1412" w:rsidRDefault="000A7D9D" w:rsidP="00F31937">
            <w:pPr>
              <w:rPr>
                <w:noProof/>
                <w:sz w:val="18"/>
                <w:szCs w:val="18"/>
              </w:rPr>
            </w:pPr>
            <w:r w:rsidRPr="00EC1412">
              <w:rPr>
                <w:bCs/>
                <w:noProof/>
                <w:sz w:val="18"/>
                <w:szCs w:val="18"/>
              </w:rPr>
              <w:t xml:space="preserve">Total ca. </w:t>
            </w:r>
            <w:r>
              <w:rPr>
                <w:bCs/>
                <w:noProof/>
                <w:sz w:val="18"/>
                <w:szCs w:val="18"/>
              </w:rPr>
              <w:t>0.</w:t>
            </w:r>
            <w:r w:rsidRPr="00EC1412">
              <w:rPr>
                <w:bCs/>
                <w:noProof/>
                <w:sz w:val="18"/>
                <w:szCs w:val="18"/>
              </w:rPr>
              <w:t xml:space="preserve">3 FTEs/year + </w:t>
            </w:r>
            <w:r>
              <w:rPr>
                <w:bCs/>
                <w:noProof/>
                <w:sz w:val="18"/>
                <w:szCs w:val="18"/>
              </w:rPr>
              <w:t xml:space="preserve">EUR </w:t>
            </w:r>
            <w:r w:rsidRPr="00EC1412">
              <w:rPr>
                <w:bCs/>
                <w:noProof/>
                <w:sz w:val="18"/>
                <w:szCs w:val="18"/>
              </w:rPr>
              <w:t>24</w:t>
            </w:r>
            <w:r>
              <w:rPr>
                <w:bCs/>
                <w:noProof/>
                <w:sz w:val="18"/>
                <w:szCs w:val="18"/>
              </w:rPr>
              <w:t xml:space="preserve"> 000</w:t>
            </w:r>
            <w:r w:rsidRPr="00EC1412">
              <w:rPr>
                <w:bCs/>
                <w:noProof/>
                <w:sz w:val="18"/>
                <w:szCs w:val="18"/>
              </w:rPr>
              <w:t>/year: DG SANTE for SCHEER secretariat ca. 0</w:t>
            </w:r>
            <w:r>
              <w:rPr>
                <w:bCs/>
                <w:noProof/>
                <w:sz w:val="18"/>
                <w:szCs w:val="18"/>
              </w:rPr>
              <w:t>.</w:t>
            </w:r>
            <w:r w:rsidRPr="00EC1412">
              <w:rPr>
                <w:bCs/>
                <w:noProof/>
                <w:sz w:val="18"/>
                <w:szCs w:val="18"/>
              </w:rPr>
              <w:t xml:space="preserve">3 FTE (ca. 10% of SCHEER secretariat work) + </w:t>
            </w:r>
            <w:r>
              <w:rPr>
                <w:bCs/>
                <w:noProof/>
                <w:sz w:val="18"/>
                <w:szCs w:val="18"/>
              </w:rPr>
              <w:t xml:space="preserve">EUR </w:t>
            </w:r>
            <w:r w:rsidRPr="00EC1412">
              <w:rPr>
                <w:bCs/>
                <w:noProof/>
                <w:sz w:val="18"/>
                <w:szCs w:val="18"/>
              </w:rPr>
              <w:t>24</w:t>
            </w:r>
            <w:r>
              <w:rPr>
                <w:bCs/>
                <w:noProof/>
                <w:sz w:val="18"/>
                <w:szCs w:val="18"/>
              </w:rPr>
              <w:t xml:space="preserve"> 000</w:t>
            </w:r>
            <w:r w:rsidRPr="00EC1412">
              <w:rPr>
                <w:bCs/>
                <w:noProof/>
                <w:sz w:val="18"/>
                <w:szCs w:val="18"/>
              </w:rPr>
              <w:t>/year for reimbursements of SCHEER members (10% of SCHEER work)</w:t>
            </w:r>
            <w:r>
              <w:rPr>
                <w:bCs/>
                <w:noProof/>
                <w:sz w:val="18"/>
                <w:szCs w:val="18"/>
              </w:rPr>
              <w:t xml:space="preserve">. (In addition, </w:t>
            </w:r>
            <w:r w:rsidRPr="00EC1412">
              <w:rPr>
                <w:bCs/>
                <w:noProof/>
                <w:sz w:val="18"/>
                <w:szCs w:val="18"/>
              </w:rPr>
              <w:t xml:space="preserve">DG GROW ca. 1 FTE/year </w:t>
            </w:r>
            <w:r>
              <w:rPr>
                <w:bCs/>
                <w:noProof/>
                <w:sz w:val="18"/>
                <w:szCs w:val="18"/>
              </w:rPr>
              <w:t>for overall implementation of the related provisions) whose work will remain).</w:t>
            </w:r>
          </w:p>
        </w:tc>
      </w:tr>
      <w:tr w:rsidR="000A7D9D" w:rsidRPr="00EC1412" w14:paraId="7CB55524" w14:textId="77777777" w:rsidTr="00F31937">
        <w:tc>
          <w:tcPr>
            <w:tcW w:w="2376" w:type="dxa"/>
            <w:shd w:val="clear" w:color="auto" w:fill="BFBFBF" w:themeFill="background1" w:themeFillShade="BF"/>
          </w:tcPr>
          <w:p w14:paraId="395F8BD8" w14:textId="77777777" w:rsidR="000A7D9D" w:rsidRPr="00EC1412" w:rsidRDefault="000A7D9D" w:rsidP="00F31937">
            <w:pPr>
              <w:jc w:val="both"/>
              <w:rPr>
                <w:b/>
                <w:caps/>
                <w:noProof/>
                <w:sz w:val="18"/>
                <w:szCs w:val="18"/>
              </w:rPr>
            </w:pPr>
            <w:r w:rsidRPr="00EC1412">
              <w:rPr>
                <w:b/>
                <w:caps/>
                <w:noProof/>
                <w:sz w:val="18"/>
                <w:szCs w:val="18"/>
              </w:rPr>
              <w:t>SUm</w:t>
            </w:r>
          </w:p>
        </w:tc>
        <w:tc>
          <w:tcPr>
            <w:tcW w:w="7258" w:type="dxa"/>
            <w:shd w:val="clear" w:color="auto" w:fill="BFBFBF" w:themeFill="background1" w:themeFillShade="BF"/>
          </w:tcPr>
          <w:p w14:paraId="2184BF8D" w14:textId="77777777" w:rsidR="000A7D9D" w:rsidRPr="00EC1412" w:rsidRDefault="000A7D9D" w:rsidP="00F31937">
            <w:pPr>
              <w:rPr>
                <w:noProof/>
                <w:sz w:val="18"/>
                <w:szCs w:val="18"/>
              </w:rPr>
            </w:pPr>
            <w:r w:rsidRPr="00EC1412">
              <w:rPr>
                <w:b/>
                <w:noProof/>
                <w:sz w:val="18"/>
                <w:szCs w:val="18"/>
              </w:rPr>
              <w:t>1</w:t>
            </w:r>
            <w:r>
              <w:rPr>
                <w:b/>
                <w:noProof/>
                <w:sz w:val="18"/>
                <w:szCs w:val="18"/>
              </w:rPr>
              <w:t>2.8</w:t>
            </w:r>
            <w:r w:rsidRPr="00EC1412">
              <w:rPr>
                <w:b/>
                <w:noProof/>
                <w:sz w:val="18"/>
                <w:szCs w:val="18"/>
              </w:rPr>
              <w:t xml:space="preserve"> FTEs/year regular staff; 1</w:t>
            </w:r>
            <w:r>
              <w:rPr>
                <w:b/>
                <w:noProof/>
                <w:sz w:val="18"/>
                <w:szCs w:val="18"/>
              </w:rPr>
              <w:t>0.9</w:t>
            </w:r>
            <w:r w:rsidRPr="00EC1412">
              <w:rPr>
                <w:b/>
                <w:noProof/>
                <w:sz w:val="18"/>
                <w:szCs w:val="18"/>
              </w:rPr>
              <w:t xml:space="preserve"> FTEs/year interim staff + contracted staff; Operational budget: </w:t>
            </w:r>
            <w:r>
              <w:rPr>
                <w:b/>
                <w:noProof/>
                <w:sz w:val="18"/>
                <w:szCs w:val="18"/>
              </w:rPr>
              <w:t xml:space="preserve">EUR </w:t>
            </w:r>
            <w:r w:rsidRPr="00EC1412">
              <w:rPr>
                <w:b/>
                <w:noProof/>
                <w:sz w:val="18"/>
                <w:szCs w:val="18"/>
              </w:rPr>
              <w:t>2</w:t>
            </w:r>
            <w:r>
              <w:rPr>
                <w:b/>
                <w:noProof/>
                <w:sz w:val="18"/>
                <w:szCs w:val="18"/>
              </w:rPr>
              <w:t xml:space="preserve"> </w:t>
            </w:r>
            <w:r w:rsidRPr="00EC1412">
              <w:rPr>
                <w:b/>
                <w:noProof/>
                <w:sz w:val="18"/>
                <w:szCs w:val="18"/>
              </w:rPr>
              <w:t>0</w:t>
            </w:r>
            <w:r>
              <w:rPr>
                <w:b/>
                <w:noProof/>
                <w:sz w:val="18"/>
                <w:szCs w:val="18"/>
              </w:rPr>
              <w:t>2</w:t>
            </w:r>
            <w:r w:rsidRPr="00EC1412">
              <w:rPr>
                <w:b/>
                <w:noProof/>
                <w:sz w:val="18"/>
                <w:szCs w:val="18"/>
              </w:rPr>
              <w:t>3</w:t>
            </w:r>
            <w:r>
              <w:rPr>
                <w:b/>
                <w:noProof/>
                <w:sz w:val="18"/>
                <w:szCs w:val="18"/>
              </w:rPr>
              <w:t xml:space="preserve"> 000 – </w:t>
            </w:r>
            <w:r w:rsidRPr="00EC1412">
              <w:rPr>
                <w:b/>
                <w:noProof/>
                <w:sz w:val="18"/>
                <w:szCs w:val="18"/>
              </w:rPr>
              <w:t>2</w:t>
            </w:r>
            <w:r>
              <w:rPr>
                <w:b/>
                <w:noProof/>
                <w:sz w:val="18"/>
                <w:szCs w:val="18"/>
              </w:rPr>
              <w:t xml:space="preserve"> 42</w:t>
            </w:r>
            <w:r w:rsidRPr="00EC1412">
              <w:rPr>
                <w:b/>
                <w:noProof/>
                <w:sz w:val="18"/>
                <w:szCs w:val="18"/>
              </w:rPr>
              <w:t>3</w:t>
            </w:r>
            <w:r>
              <w:rPr>
                <w:b/>
                <w:noProof/>
                <w:sz w:val="18"/>
                <w:szCs w:val="18"/>
              </w:rPr>
              <w:t xml:space="preserve"> 000 per </w:t>
            </w:r>
            <w:r w:rsidRPr="00EC1412">
              <w:rPr>
                <w:b/>
                <w:noProof/>
                <w:sz w:val="18"/>
                <w:szCs w:val="18"/>
              </w:rPr>
              <w:t>year</w:t>
            </w:r>
          </w:p>
        </w:tc>
      </w:tr>
    </w:tbl>
    <w:p w14:paraId="53904CE0" w14:textId="77777777" w:rsidR="000A7D9D" w:rsidRPr="00EC1412" w:rsidRDefault="000A7D9D" w:rsidP="000A7D9D">
      <w:pPr>
        <w:jc w:val="both"/>
        <w:rPr>
          <w:rFonts w:ascii="Times New Roman" w:hAnsi="Times New Roman" w:cs="Times New Roman"/>
          <w:caps/>
          <w:noProof/>
        </w:rPr>
      </w:pPr>
    </w:p>
    <w:p w14:paraId="61E1FE85" w14:textId="77777777" w:rsidR="000A7D9D" w:rsidRPr="00CB3F79" w:rsidRDefault="000A7D9D" w:rsidP="000A7D9D">
      <w:pPr>
        <w:pStyle w:val="Heading2"/>
        <w:keepLines w:val="0"/>
        <w:numPr>
          <w:ilvl w:val="1"/>
          <w:numId w:val="7"/>
        </w:numPr>
        <w:tabs>
          <w:tab w:val="num" w:pos="1200"/>
        </w:tabs>
        <w:spacing w:before="0" w:after="240"/>
        <w:ind w:left="1200" w:hanging="720"/>
        <w:jc w:val="both"/>
        <w:rPr>
          <w:rFonts w:ascii="Times New Roman" w:eastAsia="Times New Roman" w:hAnsi="Times New Roman" w:cs="Times New Roman"/>
          <w:b/>
          <w:noProof/>
          <w:color w:val="auto"/>
          <w:sz w:val="24"/>
          <w:szCs w:val="20"/>
        </w:rPr>
      </w:pPr>
      <w:bookmarkStart w:id="16" w:name="_Toc150499902"/>
      <w:r w:rsidRPr="00CB3F79">
        <w:rPr>
          <w:rFonts w:ascii="Times New Roman" w:eastAsia="Times New Roman" w:hAnsi="Times New Roman" w:cs="Times New Roman"/>
          <w:b/>
          <w:noProof/>
          <w:color w:val="auto"/>
          <w:sz w:val="24"/>
          <w:szCs w:val="20"/>
        </w:rPr>
        <w:t xml:space="preserve">Overall </w:t>
      </w:r>
      <w:r>
        <w:rPr>
          <w:rFonts w:ascii="Times New Roman" w:eastAsia="Times New Roman" w:hAnsi="Times New Roman" w:cs="Times New Roman"/>
          <w:b/>
          <w:noProof/>
          <w:color w:val="auto"/>
          <w:sz w:val="24"/>
          <w:szCs w:val="20"/>
        </w:rPr>
        <w:t>i</w:t>
      </w:r>
      <w:r w:rsidRPr="00CB3F79">
        <w:rPr>
          <w:rFonts w:ascii="Times New Roman" w:eastAsia="Times New Roman" w:hAnsi="Times New Roman" w:cs="Times New Roman"/>
          <w:b/>
          <w:noProof/>
          <w:color w:val="auto"/>
          <w:sz w:val="24"/>
          <w:szCs w:val="20"/>
        </w:rPr>
        <w:t>mpacts on ECHA</w:t>
      </w:r>
      <w:bookmarkEnd w:id="16"/>
    </w:p>
    <w:p w14:paraId="35EE29A8" w14:textId="77777777" w:rsidR="000A7D9D" w:rsidRDefault="000A7D9D" w:rsidP="000A7D9D">
      <w:pPr>
        <w:spacing w:before="240" w:after="120" w:line="240" w:lineRule="auto"/>
        <w:rPr>
          <w:rFonts w:ascii="Times New Roman" w:hAnsi="Times New Roman" w:cs="Times New Roman"/>
          <w:i/>
          <w:noProof/>
        </w:rPr>
      </w:pPr>
      <w:r w:rsidRPr="00EC1412">
        <w:rPr>
          <w:rFonts w:ascii="Times New Roman" w:hAnsi="Times New Roman" w:cs="Times New Roman"/>
          <w:i/>
          <w:noProof/>
        </w:rPr>
        <w:t>Impact on ECHA’s resources</w:t>
      </w:r>
    </w:p>
    <w:p w14:paraId="0CC0D6BE" w14:textId="77777777" w:rsidR="000A7D9D" w:rsidRPr="00EC1412" w:rsidRDefault="000A7D9D" w:rsidP="000A7D9D">
      <w:pPr>
        <w:spacing w:before="240" w:after="120"/>
        <w:jc w:val="both"/>
        <w:rPr>
          <w:rFonts w:ascii="Times New Roman" w:hAnsi="Times New Roman" w:cs="Times New Roman"/>
          <w:i/>
          <w:noProof/>
        </w:rPr>
      </w:pPr>
      <w:r>
        <w:rPr>
          <w:rFonts w:ascii="Times New Roman" w:hAnsi="Times New Roman" w:cs="Times New Roman"/>
          <w:noProof/>
        </w:rPr>
        <w:t xml:space="preserve">The proposals made by the Commission so far have already proposed to strengthen </w:t>
      </w:r>
      <w:r w:rsidRPr="2D69C30E">
        <w:rPr>
          <w:rFonts w:ascii="Times New Roman" w:hAnsi="Times New Roman" w:cs="Times New Roman"/>
          <w:noProof/>
        </w:rPr>
        <w:t xml:space="preserve">ECHA </w:t>
      </w:r>
      <w:r>
        <w:rPr>
          <w:rFonts w:ascii="Times New Roman" w:hAnsi="Times New Roman" w:cs="Times New Roman"/>
          <w:noProof/>
        </w:rPr>
        <w:t xml:space="preserve">in the long term </w:t>
      </w:r>
      <w:r w:rsidRPr="2D69C30E">
        <w:rPr>
          <w:rFonts w:ascii="Times New Roman" w:hAnsi="Times New Roman" w:cs="Times New Roman"/>
          <w:noProof/>
        </w:rPr>
        <w:t>by 29 FTEs</w:t>
      </w:r>
      <w:r>
        <w:rPr>
          <w:rFonts w:ascii="Times New Roman" w:hAnsi="Times New Roman" w:cs="Times New Roman"/>
          <w:noProof/>
        </w:rPr>
        <w:t xml:space="preserve"> (see Table 14)</w:t>
      </w:r>
      <w:r w:rsidRPr="2D69C30E">
        <w:rPr>
          <w:rFonts w:ascii="Times New Roman" w:hAnsi="Times New Roman" w:cs="Times New Roman"/>
          <w:noProof/>
        </w:rPr>
        <w:t>. An additional 4</w:t>
      </w:r>
      <w:r>
        <w:rPr>
          <w:rFonts w:ascii="Times New Roman" w:hAnsi="Times New Roman" w:cs="Times New Roman"/>
          <w:noProof/>
        </w:rPr>
        <w:t>8</w:t>
      </w:r>
      <w:r w:rsidRPr="2D69C30E">
        <w:rPr>
          <w:rFonts w:ascii="Times New Roman" w:hAnsi="Times New Roman" w:cs="Times New Roman"/>
          <w:noProof/>
        </w:rPr>
        <w:t xml:space="preserve"> FTEs are necessary in the long term to deal with the envisaged tasks</w:t>
      </w:r>
      <w:r>
        <w:rPr>
          <w:rFonts w:ascii="Times New Roman" w:hAnsi="Times New Roman" w:cs="Times New Roman"/>
          <w:noProof/>
        </w:rPr>
        <w:t xml:space="preserve"> that were already proposed by the Commission but without allocation of resources or are still to be proposed (see Table 15)</w:t>
      </w:r>
      <w:r w:rsidRPr="2D69C30E">
        <w:rPr>
          <w:rFonts w:ascii="Times New Roman" w:hAnsi="Times New Roman" w:cs="Times New Roman"/>
          <w:noProof/>
        </w:rPr>
        <w:t xml:space="preserve">. Although the </w:t>
      </w:r>
      <w:r>
        <w:rPr>
          <w:rFonts w:ascii="Times New Roman" w:hAnsi="Times New Roman" w:cs="Times New Roman"/>
          <w:noProof/>
        </w:rPr>
        <w:t xml:space="preserve">required </w:t>
      </w:r>
      <w:r w:rsidRPr="2D69C30E">
        <w:rPr>
          <w:rFonts w:ascii="Times New Roman" w:hAnsi="Times New Roman" w:cs="Times New Roman"/>
          <w:noProof/>
        </w:rPr>
        <w:t>reinforcement of ECHA seems significant, the allocation of 11 FTEs out of 4</w:t>
      </w:r>
      <w:r>
        <w:rPr>
          <w:rFonts w:ascii="Times New Roman" w:hAnsi="Times New Roman" w:cs="Times New Roman"/>
          <w:noProof/>
        </w:rPr>
        <w:t>8</w:t>
      </w:r>
      <w:r w:rsidRPr="2D69C30E">
        <w:rPr>
          <w:rFonts w:ascii="Times New Roman" w:hAnsi="Times New Roman" w:cs="Times New Roman"/>
          <w:noProof/>
        </w:rPr>
        <w:t xml:space="preserve"> </w:t>
      </w:r>
      <w:r>
        <w:rPr>
          <w:rFonts w:ascii="Times New Roman" w:hAnsi="Times New Roman" w:cs="Times New Roman"/>
          <w:noProof/>
        </w:rPr>
        <w:t>will be</w:t>
      </w:r>
      <w:r w:rsidRPr="2D69C30E">
        <w:rPr>
          <w:rFonts w:ascii="Times New Roman" w:hAnsi="Times New Roman" w:cs="Times New Roman"/>
          <w:noProof/>
        </w:rPr>
        <w:t xml:space="preserve"> de facto a regularisation of resources that already exist in ECHA via administrative agreements (4 FTEs for worker protection legislation and 3 FTEs for operation of EUON) or via a service level agreement (4 interim employees for operation of EUCLEF). In addition, the allocation of </w:t>
      </w:r>
      <w:r>
        <w:rPr>
          <w:rFonts w:ascii="Times New Roman" w:hAnsi="Times New Roman" w:cs="Times New Roman"/>
          <w:noProof/>
        </w:rPr>
        <w:t>some additional 11</w:t>
      </w:r>
      <w:r w:rsidRPr="2D69C30E">
        <w:rPr>
          <w:rFonts w:ascii="Times New Roman" w:hAnsi="Times New Roman" w:cs="Times New Roman"/>
          <w:noProof/>
        </w:rPr>
        <w:t xml:space="preserve"> FTEs is a reattribution from other sources, mainly from contracting out the support (</w:t>
      </w:r>
      <w:r>
        <w:rPr>
          <w:rFonts w:ascii="Times New Roman" w:hAnsi="Times New Roman" w:cs="Times New Roman"/>
          <w:noProof/>
        </w:rPr>
        <w:t>2</w:t>
      </w:r>
      <w:r w:rsidRPr="2D69C30E">
        <w:rPr>
          <w:rFonts w:ascii="Times New Roman" w:hAnsi="Times New Roman" w:cs="Times New Roman"/>
          <w:noProof/>
        </w:rPr>
        <w:t>.</w:t>
      </w:r>
      <w:r>
        <w:rPr>
          <w:rFonts w:ascii="Times New Roman" w:hAnsi="Times New Roman" w:cs="Times New Roman"/>
          <w:noProof/>
        </w:rPr>
        <w:t>7</w:t>
      </w:r>
      <w:r w:rsidRPr="2D69C30E">
        <w:rPr>
          <w:rFonts w:ascii="Times New Roman" w:hAnsi="Times New Roman" w:cs="Times New Roman"/>
          <w:noProof/>
        </w:rPr>
        <w:t xml:space="preserve"> FTEs for RoHS directive, </w:t>
      </w:r>
      <w:r>
        <w:rPr>
          <w:rFonts w:ascii="Times New Roman" w:hAnsi="Times New Roman" w:cs="Times New Roman"/>
          <w:noProof/>
        </w:rPr>
        <w:t>1.5</w:t>
      </w:r>
      <w:r w:rsidRPr="2D69C30E">
        <w:rPr>
          <w:rFonts w:ascii="Times New Roman" w:hAnsi="Times New Roman" w:cs="Times New Roman"/>
          <w:noProof/>
        </w:rPr>
        <w:t xml:space="preserve"> FTEs for POPs </w:t>
      </w:r>
      <w:r>
        <w:rPr>
          <w:rFonts w:ascii="Times New Roman" w:hAnsi="Times New Roman" w:cs="Times New Roman"/>
          <w:noProof/>
        </w:rPr>
        <w:t>regulation</w:t>
      </w:r>
      <w:r w:rsidRPr="2D69C30E">
        <w:rPr>
          <w:rFonts w:ascii="Times New Roman" w:hAnsi="Times New Roman" w:cs="Times New Roman"/>
          <w:noProof/>
        </w:rPr>
        <w:t>, 0.</w:t>
      </w:r>
      <w:r>
        <w:rPr>
          <w:rFonts w:ascii="Times New Roman" w:hAnsi="Times New Roman" w:cs="Times New Roman"/>
          <w:noProof/>
        </w:rPr>
        <w:t>3</w:t>
      </w:r>
      <w:r w:rsidRPr="2D69C30E">
        <w:rPr>
          <w:rFonts w:ascii="Times New Roman" w:hAnsi="Times New Roman" w:cs="Times New Roman"/>
          <w:noProof/>
        </w:rPr>
        <w:t xml:space="preserve"> FTEs for medical devices, </w:t>
      </w:r>
      <w:r>
        <w:rPr>
          <w:rFonts w:ascii="Times New Roman" w:hAnsi="Times New Roman" w:cs="Times New Roman"/>
          <w:noProof/>
        </w:rPr>
        <w:t>3.5</w:t>
      </w:r>
      <w:r w:rsidRPr="2D69C30E">
        <w:rPr>
          <w:rFonts w:ascii="Times New Roman" w:hAnsi="Times New Roman" w:cs="Times New Roman"/>
          <w:noProof/>
        </w:rPr>
        <w:t xml:space="preserve"> FTEs for IPCHEM, 3 FTEs for cosmetics regulation, 0.3 FTEs for toy safety directive and 0.</w:t>
      </w:r>
      <w:r>
        <w:rPr>
          <w:rFonts w:ascii="Times New Roman" w:hAnsi="Times New Roman" w:cs="Times New Roman"/>
          <w:noProof/>
        </w:rPr>
        <w:t>3</w:t>
      </w:r>
      <w:r w:rsidRPr="2D69C30E">
        <w:rPr>
          <w:rFonts w:ascii="Times New Roman" w:hAnsi="Times New Roman" w:cs="Times New Roman"/>
          <w:noProof/>
        </w:rPr>
        <w:t>6 FTEs for end-of-life vehicle directive).</w:t>
      </w:r>
    </w:p>
    <w:tbl>
      <w:tblPr>
        <w:tblStyle w:val="TableGrid"/>
        <w:tblW w:w="9634" w:type="dxa"/>
        <w:tblLayout w:type="fixed"/>
        <w:tblLook w:val="04A0" w:firstRow="1" w:lastRow="0" w:firstColumn="1" w:lastColumn="0" w:noHBand="0" w:noVBand="1"/>
      </w:tblPr>
      <w:tblGrid>
        <w:gridCol w:w="3964"/>
        <w:gridCol w:w="426"/>
        <w:gridCol w:w="425"/>
        <w:gridCol w:w="425"/>
        <w:gridCol w:w="425"/>
        <w:gridCol w:w="426"/>
        <w:gridCol w:w="425"/>
        <w:gridCol w:w="425"/>
        <w:gridCol w:w="425"/>
        <w:gridCol w:w="567"/>
        <w:gridCol w:w="567"/>
        <w:gridCol w:w="567"/>
        <w:gridCol w:w="567"/>
      </w:tblGrid>
      <w:tr w:rsidR="000A7D9D" w:rsidRPr="00EC1412" w14:paraId="2441BCCC" w14:textId="77777777" w:rsidTr="00F31937">
        <w:tc>
          <w:tcPr>
            <w:tcW w:w="9634" w:type="dxa"/>
            <w:gridSpan w:val="13"/>
            <w:tcBorders>
              <w:bottom w:val="single" w:sz="4" w:space="0" w:color="auto"/>
            </w:tcBorders>
            <w:shd w:val="clear" w:color="auto" w:fill="A6A6A6" w:themeFill="background1" w:themeFillShade="A6"/>
          </w:tcPr>
          <w:p w14:paraId="5CFB0027" w14:textId="77777777" w:rsidR="000A7D9D" w:rsidRPr="00EC1412" w:rsidRDefault="000A7D9D" w:rsidP="00F31937">
            <w:pPr>
              <w:spacing w:before="60" w:after="60"/>
              <w:jc w:val="both"/>
              <w:rPr>
                <w:b/>
                <w:bCs/>
                <w:caps/>
                <w:noProof/>
                <w:sz w:val="18"/>
                <w:szCs w:val="18"/>
              </w:rPr>
            </w:pPr>
            <w:r w:rsidRPr="2D69C30E">
              <w:rPr>
                <w:b/>
                <w:bCs/>
                <w:noProof/>
                <w:sz w:val="18"/>
                <w:szCs w:val="18"/>
              </w:rPr>
              <w:t xml:space="preserve">Table 14. Resource already allocated to or proposed to be allocated to ECHA (operational costs in </w:t>
            </w:r>
            <w:r>
              <w:rPr>
                <w:b/>
                <w:bCs/>
                <w:noProof/>
                <w:sz w:val="18"/>
                <w:szCs w:val="18"/>
              </w:rPr>
              <w:t xml:space="preserve">EUR </w:t>
            </w:r>
            <w:r w:rsidRPr="2D69C30E">
              <w:rPr>
                <w:b/>
                <w:bCs/>
                <w:noProof/>
                <w:sz w:val="18"/>
                <w:szCs w:val="18"/>
              </w:rPr>
              <w:t>1</w:t>
            </w:r>
            <w:r>
              <w:rPr>
                <w:b/>
                <w:bCs/>
                <w:noProof/>
                <w:sz w:val="18"/>
                <w:szCs w:val="18"/>
              </w:rPr>
              <w:t xml:space="preserve"> </w:t>
            </w:r>
            <w:r w:rsidRPr="2D69C30E">
              <w:rPr>
                <w:b/>
                <w:bCs/>
                <w:noProof/>
                <w:sz w:val="18"/>
                <w:szCs w:val="18"/>
              </w:rPr>
              <w:t>000</w:t>
            </w:r>
            <w:r w:rsidRPr="2D69C30E">
              <w:rPr>
                <w:noProof/>
                <w:sz w:val="18"/>
                <w:szCs w:val="18"/>
              </w:rPr>
              <w:t>)</w:t>
            </w:r>
          </w:p>
        </w:tc>
      </w:tr>
      <w:tr w:rsidR="000A7D9D" w:rsidRPr="00EC1412" w14:paraId="544E9577" w14:textId="77777777" w:rsidTr="00F31937">
        <w:tc>
          <w:tcPr>
            <w:tcW w:w="3964" w:type="dxa"/>
            <w:tcBorders>
              <w:bottom w:val="single" w:sz="4" w:space="0" w:color="auto"/>
            </w:tcBorders>
            <w:shd w:val="clear" w:color="auto" w:fill="BFBFBF" w:themeFill="background1" w:themeFillShade="BF"/>
          </w:tcPr>
          <w:p w14:paraId="08F4B5C7" w14:textId="77777777" w:rsidR="000A7D9D" w:rsidRPr="00EC1412" w:rsidRDefault="000A7D9D" w:rsidP="00F31937">
            <w:pPr>
              <w:jc w:val="both"/>
              <w:rPr>
                <w:caps/>
                <w:noProof/>
                <w:sz w:val="18"/>
                <w:szCs w:val="18"/>
              </w:rPr>
            </w:pPr>
          </w:p>
        </w:tc>
        <w:tc>
          <w:tcPr>
            <w:tcW w:w="3402" w:type="dxa"/>
            <w:gridSpan w:val="8"/>
            <w:tcBorders>
              <w:bottom w:val="single" w:sz="4" w:space="0" w:color="auto"/>
            </w:tcBorders>
            <w:shd w:val="clear" w:color="auto" w:fill="BFBFBF" w:themeFill="background1" w:themeFillShade="BF"/>
          </w:tcPr>
          <w:p w14:paraId="2EEE5AB3" w14:textId="77777777" w:rsidR="000A7D9D" w:rsidRPr="00EC1412" w:rsidRDefault="000A7D9D" w:rsidP="00F31937">
            <w:pPr>
              <w:jc w:val="center"/>
              <w:rPr>
                <w:b/>
                <w:caps/>
                <w:noProof/>
                <w:sz w:val="18"/>
                <w:szCs w:val="18"/>
              </w:rPr>
            </w:pPr>
            <w:r w:rsidRPr="00EC1412">
              <w:rPr>
                <w:b/>
                <w:noProof/>
                <w:sz w:val="18"/>
                <w:szCs w:val="18"/>
              </w:rPr>
              <w:t>FTEs</w:t>
            </w:r>
          </w:p>
        </w:tc>
        <w:tc>
          <w:tcPr>
            <w:tcW w:w="2268" w:type="dxa"/>
            <w:gridSpan w:val="4"/>
            <w:tcBorders>
              <w:bottom w:val="single" w:sz="4" w:space="0" w:color="auto"/>
            </w:tcBorders>
            <w:shd w:val="clear" w:color="auto" w:fill="BFBFBF" w:themeFill="background1" w:themeFillShade="BF"/>
          </w:tcPr>
          <w:p w14:paraId="091A62D7"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50E3E7FD" w14:textId="77777777" w:rsidTr="00F31937">
        <w:tc>
          <w:tcPr>
            <w:tcW w:w="3964" w:type="dxa"/>
            <w:tcBorders>
              <w:bottom w:val="single" w:sz="4" w:space="0" w:color="auto"/>
              <w:right w:val="single" w:sz="4" w:space="0" w:color="auto"/>
            </w:tcBorders>
            <w:shd w:val="clear" w:color="auto" w:fill="BFBFBF" w:themeFill="background1" w:themeFillShade="BF"/>
          </w:tcPr>
          <w:p w14:paraId="65C8DB62"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659520AE" w14:textId="77777777" w:rsidR="000A7D9D" w:rsidRPr="00EC1412" w:rsidRDefault="000A7D9D" w:rsidP="00F31937">
            <w:pPr>
              <w:ind w:left="-112"/>
              <w:jc w:val="center"/>
              <w:rPr>
                <w:b/>
                <w:caps/>
                <w:noProof/>
                <w:sz w:val="18"/>
                <w:szCs w:val="18"/>
              </w:rPr>
            </w:pPr>
            <w:r w:rsidRPr="00EC1412">
              <w:rPr>
                <w:b/>
                <w:caps/>
                <w:noProof/>
                <w:sz w:val="18"/>
                <w:szCs w:val="18"/>
              </w:rPr>
              <w:t>2024</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2513AA80" w14:textId="77777777" w:rsidR="000A7D9D" w:rsidRPr="00EC1412" w:rsidRDefault="000A7D9D" w:rsidP="00F31937">
            <w:pPr>
              <w:jc w:val="center"/>
              <w:rPr>
                <w:b/>
                <w:caps/>
                <w:noProof/>
                <w:sz w:val="18"/>
                <w:szCs w:val="18"/>
              </w:rPr>
            </w:pPr>
            <w:r w:rsidRPr="00EC1412">
              <w:rPr>
                <w:b/>
                <w:caps/>
                <w:noProof/>
                <w:sz w:val="18"/>
                <w:szCs w:val="18"/>
              </w:rPr>
              <w:t>2025</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7E80AA91" w14:textId="77777777" w:rsidR="000A7D9D" w:rsidRPr="00EC1412" w:rsidRDefault="000A7D9D" w:rsidP="00F31937">
            <w:pPr>
              <w:ind w:left="-107"/>
              <w:jc w:val="center"/>
              <w:rPr>
                <w:b/>
                <w:caps/>
                <w:noProof/>
                <w:sz w:val="18"/>
                <w:szCs w:val="18"/>
              </w:rPr>
            </w:pPr>
            <w:r w:rsidRPr="00EC1412">
              <w:rPr>
                <w:b/>
                <w:caps/>
                <w:noProof/>
                <w:sz w:val="18"/>
                <w:szCs w:val="18"/>
              </w:rPr>
              <w:t>2026</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291C741D" w14:textId="77777777" w:rsidR="000A7D9D" w:rsidRPr="00EC1412" w:rsidRDefault="000A7D9D" w:rsidP="00F31937">
            <w:pPr>
              <w:ind w:left="-105"/>
              <w:jc w:val="center"/>
              <w:rPr>
                <w:b/>
                <w:caps/>
                <w:noProof/>
                <w:sz w:val="18"/>
                <w:szCs w:val="18"/>
              </w:rPr>
            </w:pPr>
            <w:r w:rsidRPr="00EC1412">
              <w:rPr>
                <w:b/>
                <w:caps/>
                <w:noProof/>
                <w:sz w:val="18"/>
                <w:szCs w:val="18"/>
              </w:rPr>
              <w:t>2027</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439F44B1" w14:textId="77777777" w:rsidR="000A7D9D" w:rsidRPr="00EC1412" w:rsidRDefault="000A7D9D" w:rsidP="00F31937">
            <w:pPr>
              <w:ind w:left="-107" w:right="-104"/>
              <w:jc w:val="center"/>
              <w:rPr>
                <w:b/>
                <w:caps/>
                <w:noProof/>
                <w:sz w:val="18"/>
                <w:szCs w:val="18"/>
              </w:rPr>
            </w:pPr>
            <w:r w:rsidRPr="00EC1412">
              <w:rPr>
                <w:b/>
                <w:caps/>
                <w:noProof/>
                <w:sz w:val="18"/>
                <w:szCs w:val="18"/>
              </w:rPr>
              <w:t>2024</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501B1111" w14:textId="77777777" w:rsidR="000A7D9D" w:rsidRPr="00EC1412" w:rsidRDefault="000A7D9D" w:rsidP="00F31937">
            <w:pPr>
              <w:ind w:left="-110" w:right="-112"/>
              <w:jc w:val="center"/>
              <w:rPr>
                <w:b/>
                <w:caps/>
                <w:noProof/>
                <w:sz w:val="18"/>
                <w:szCs w:val="18"/>
              </w:rPr>
            </w:pPr>
            <w:r w:rsidRPr="00EC1412">
              <w:rPr>
                <w:b/>
                <w:caps/>
                <w:noProof/>
                <w:sz w:val="18"/>
                <w:szCs w:val="18"/>
              </w:rPr>
              <w:t>2025</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396AA00E" w14:textId="77777777" w:rsidR="000A7D9D" w:rsidRPr="00EC1412" w:rsidRDefault="000A7D9D" w:rsidP="00F31937">
            <w:pPr>
              <w:ind w:left="-102" w:right="-110"/>
              <w:jc w:val="center"/>
              <w:rPr>
                <w:b/>
                <w:caps/>
                <w:noProof/>
                <w:sz w:val="18"/>
                <w:szCs w:val="18"/>
              </w:rPr>
            </w:pPr>
            <w:r w:rsidRPr="00EC1412">
              <w:rPr>
                <w:b/>
                <w:caps/>
                <w:noProof/>
                <w:sz w:val="18"/>
                <w:szCs w:val="18"/>
              </w:rPr>
              <w:t>2026</w:t>
            </w:r>
          </w:p>
        </w:tc>
        <w:tc>
          <w:tcPr>
            <w:tcW w:w="567" w:type="dxa"/>
            <w:tcBorders>
              <w:left w:val="single" w:sz="4" w:space="0" w:color="auto"/>
              <w:bottom w:val="single" w:sz="4" w:space="0" w:color="auto"/>
            </w:tcBorders>
            <w:shd w:val="clear" w:color="auto" w:fill="BFBFBF" w:themeFill="background1" w:themeFillShade="BF"/>
          </w:tcPr>
          <w:p w14:paraId="4A8AFB9F" w14:textId="77777777" w:rsidR="000A7D9D" w:rsidRPr="00EC1412" w:rsidRDefault="000A7D9D" w:rsidP="00F31937">
            <w:pPr>
              <w:ind w:left="-105" w:right="-107"/>
              <w:jc w:val="center"/>
              <w:rPr>
                <w:b/>
                <w:caps/>
                <w:noProof/>
                <w:sz w:val="18"/>
                <w:szCs w:val="18"/>
              </w:rPr>
            </w:pPr>
            <w:r w:rsidRPr="00EC1412">
              <w:rPr>
                <w:b/>
                <w:caps/>
                <w:noProof/>
                <w:sz w:val="18"/>
                <w:szCs w:val="18"/>
              </w:rPr>
              <w:t>2027</w:t>
            </w:r>
          </w:p>
        </w:tc>
      </w:tr>
      <w:tr w:rsidR="000A7D9D" w:rsidRPr="00EC1412" w14:paraId="74B87470" w14:textId="77777777" w:rsidTr="00F31937">
        <w:tc>
          <w:tcPr>
            <w:tcW w:w="3964" w:type="dxa"/>
            <w:tcBorders>
              <w:bottom w:val="single" w:sz="4" w:space="0" w:color="auto"/>
              <w:right w:val="single" w:sz="4" w:space="0" w:color="auto"/>
            </w:tcBorders>
            <w:shd w:val="clear" w:color="auto" w:fill="BFBFBF" w:themeFill="background1" w:themeFillShade="BF"/>
          </w:tcPr>
          <w:p w14:paraId="5247BDF5" w14:textId="77777777" w:rsidR="000A7D9D" w:rsidRPr="00EC1412" w:rsidRDefault="000A7D9D" w:rsidP="00F31937">
            <w:pPr>
              <w:jc w:val="both"/>
              <w:rPr>
                <w:b/>
                <w:noProof/>
                <w:sz w:val="18"/>
                <w:szCs w:val="18"/>
              </w:rPr>
            </w:pP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254F532C" w14:textId="77777777" w:rsidR="000A7D9D" w:rsidRPr="00CA7B93" w:rsidRDefault="000A7D9D" w:rsidP="00F31937">
            <w:pPr>
              <w:ind w:left="-103" w:right="-108"/>
              <w:jc w:val="center"/>
              <w:rPr>
                <w:b/>
                <w:caps/>
                <w:noProof/>
                <w:sz w:val="18"/>
                <w:szCs w:val="18"/>
              </w:rPr>
            </w:pPr>
            <w:r w:rsidRPr="00CA7B93">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6F36796D" w14:textId="77777777" w:rsidR="000A7D9D" w:rsidRPr="00EC1412" w:rsidRDefault="000A7D9D" w:rsidP="00F31937">
            <w:pPr>
              <w:ind w:left="-106" w:right="-113"/>
              <w:jc w:val="center"/>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17DD3E84" w14:textId="77777777" w:rsidR="000A7D9D" w:rsidRPr="00EC1412" w:rsidRDefault="000A7D9D" w:rsidP="00F31937">
            <w:pPr>
              <w:ind w:left="-111" w:right="-111"/>
              <w:jc w:val="center"/>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1DB4016E" w14:textId="77777777" w:rsidR="000A7D9D" w:rsidRPr="00EC1412" w:rsidRDefault="000A7D9D" w:rsidP="00F31937">
            <w:pPr>
              <w:ind w:left="-103" w:right="-106"/>
              <w:jc w:val="center"/>
              <w:rPr>
                <w:b/>
                <w:caps/>
                <w:noProof/>
                <w:sz w:val="18"/>
                <w:szCs w:val="18"/>
              </w:rPr>
            </w:pPr>
            <w:r>
              <w:rPr>
                <w:b/>
                <w:caps/>
                <w:noProof/>
                <w:sz w:val="18"/>
                <w:szCs w:val="18"/>
              </w:rPr>
              <w:t>CA</w:t>
            </w: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1DA7AAA3" w14:textId="77777777" w:rsidR="000A7D9D" w:rsidRPr="00EC1412" w:rsidRDefault="000A7D9D" w:rsidP="00F31937">
            <w:pPr>
              <w:ind w:left="-107" w:right="-112"/>
              <w:jc w:val="center"/>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4449E23E" w14:textId="77777777" w:rsidR="000A7D9D" w:rsidRPr="00EC1412" w:rsidRDefault="000A7D9D" w:rsidP="00F31937">
            <w:pPr>
              <w:ind w:left="-107" w:right="-108"/>
              <w:jc w:val="center"/>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617932BF" w14:textId="77777777" w:rsidR="000A7D9D" w:rsidRPr="00EC1412" w:rsidRDefault="000A7D9D" w:rsidP="00F31937">
            <w:pPr>
              <w:ind w:left="-105" w:right="-103"/>
              <w:jc w:val="center"/>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019CBB82" w14:textId="77777777" w:rsidR="000A7D9D" w:rsidRPr="00EC1412" w:rsidRDefault="000A7D9D" w:rsidP="00F31937">
            <w:pPr>
              <w:ind w:left="-105" w:right="-107"/>
              <w:jc w:val="center"/>
              <w:rPr>
                <w:b/>
                <w:caps/>
                <w:noProof/>
                <w:sz w:val="18"/>
                <w:szCs w:val="18"/>
              </w:rPr>
            </w:pPr>
            <w:r>
              <w:rPr>
                <w:b/>
                <w:caps/>
                <w:noProof/>
                <w:sz w:val="18"/>
                <w:szCs w:val="18"/>
              </w:rPr>
              <w:t>CA</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74D20FD6" w14:textId="77777777" w:rsidR="000A7D9D" w:rsidRPr="00EC1412" w:rsidRDefault="000A7D9D" w:rsidP="00F31937">
            <w:pPr>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39B68BFD" w14:textId="77777777" w:rsidR="000A7D9D" w:rsidRPr="00EC1412" w:rsidRDefault="000A7D9D" w:rsidP="00F31937">
            <w:pPr>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2B25490B" w14:textId="77777777" w:rsidR="000A7D9D" w:rsidRPr="00EC1412" w:rsidRDefault="000A7D9D" w:rsidP="00F31937">
            <w:pPr>
              <w:jc w:val="right"/>
              <w:rPr>
                <w:b/>
                <w:caps/>
                <w:noProof/>
                <w:sz w:val="18"/>
                <w:szCs w:val="18"/>
              </w:rPr>
            </w:pPr>
          </w:p>
        </w:tc>
        <w:tc>
          <w:tcPr>
            <w:tcW w:w="567" w:type="dxa"/>
            <w:tcBorders>
              <w:left w:val="single" w:sz="4" w:space="0" w:color="auto"/>
              <w:bottom w:val="single" w:sz="4" w:space="0" w:color="auto"/>
            </w:tcBorders>
            <w:shd w:val="clear" w:color="auto" w:fill="BFBFBF" w:themeFill="background1" w:themeFillShade="BF"/>
          </w:tcPr>
          <w:p w14:paraId="5070068F" w14:textId="77777777" w:rsidR="000A7D9D" w:rsidRPr="00EC1412" w:rsidRDefault="000A7D9D" w:rsidP="00F31937">
            <w:pPr>
              <w:jc w:val="right"/>
              <w:rPr>
                <w:b/>
                <w:caps/>
                <w:noProof/>
                <w:sz w:val="18"/>
                <w:szCs w:val="18"/>
              </w:rPr>
            </w:pPr>
          </w:p>
        </w:tc>
      </w:tr>
      <w:tr w:rsidR="000A7D9D" w:rsidRPr="00EC1412" w14:paraId="097DD054" w14:textId="77777777" w:rsidTr="00F31937">
        <w:tc>
          <w:tcPr>
            <w:tcW w:w="3964" w:type="dxa"/>
            <w:tcBorders>
              <w:bottom w:val="single" w:sz="4" w:space="0" w:color="auto"/>
              <w:right w:val="single" w:sz="4" w:space="0" w:color="auto"/>
            </w:tcBorders>
            <w:shd w:val="clear" w:color="auto" w:fill="FFF4CC"/>
          </w:tcPr>
          <w:p w14:paraId="6357DA61" w14:textId="77777777" w:rsidR="000A7D9D" w:rsidRPr="00EC1412" w:rsidRDefault="000A7D9D" w:rsidP="00F31937">
            <w:pPr>
              <w:jc w:val="both"/>
              <w:rPr>
                <w:noProof/>
                <w:sz w:val="18"/>
                <w:szCs w:val="18"/>
              </w:rPr>
            </w:pPr>
            <w:r w:rsidRPr="00EC1412">
              <w:rPr>
                <w:noProof/>
                <w:sz w:val="18"/>
                <w:szCs w:val="18"/>
              </w:rPr>
              <w:t xml:space="preserve">Drinking water directive   </w:t>
            </w:r>
          </w:p>
        </w:tc>
        <w:tc>
          <w:tcPr>
            <w:tcW w:w="426" w:type="dxa"/>
            <w:tcBorders>
              <w:left w:val="single" w:sz="4" w:space="0" w:color="auto"/>
              <w:bottom w:val="single" w:sz="4" w:space="0" w:color="auto"/>
              <w:right w:val="dotted" w:sz="4" w:space="0" w:color="auto"/>
            </w:tcBorders>
            <w:shd w:val="clear" w:color="auto" w:fill="FFF4CC"/>
          </w:tcPr>
          <w:p w14:paraId="3C61B872"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0BEDB4E6"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single" w:sz="4" w:space="0" w:color="auto"/>
              <w:bottom w:val="single" w:sz="4" w:space="0" w:color="auto"/>
              <w:right w:val="dotted" w:sz="4" w:space="0" w:color="auto"/>
            </w:tcBorders>
            <w:shd w:val="clear" w:color="auto" w:fill="FFF4CC"/>
          </w:tcPr>
          <w:p w14:paraId="394199F8" w14:textId="77777777" w:rsidR="000A7D9D" w:rsidRPr="00EC1412" w:rsidRDefault="000A7D9D" w:rsidP="00F31937">
            <w:pPr>
              <w:jc w:val="right"/>
              <w:rPr>
                <w:caps/>
                <w:noProof/>
                <w:sz w:val="18"/>
                <w:szCs w:val="18"/>
              </w:rPr>
            </w:pPr>
            <w:r>
              <w:rPr>
                <w:caps/>
                <w:noProof/>
                <w:sz w:val="18"/>
                <w:szCs w:val="18"/>
              </w:rPr>
              <w:t>6</w:t>
            </w:r>
          </w:p>
        </w:tc>
        <w:tc>
          <w:tcPr>
            <w:tcW w:w="425" w:type="dxa"/>
            <w:tcBorders>
              <w:left w:val="dotted" w:sz="4" w:space="0" w:color="auto"/>
              <w:bottom w:val="single" w:sz="4" w:space="0" w:color="auto"/>
              <w:right w:val="single" w:sz="4" w:space="0" w:color="auto"/>
            </w:tcBorders>
            <w:shd w:val="clear" w:color="auto" w:fill="FFF4CC"/>
          </w:tcPr>
          <w:p w14:paraId="24BCA4B3" w14:textId="77777777" w:rsidR="000A7D9D" w:rsidRPr="00EC1412" w:rsidRDefault="000A7D9D" w:rsidP="00F31937">
            <w:pPr>
              <w:jc w:val="right"/>
              <w:rPr>
                <w:caps/>
                <w:noProof/>
                <w:sz w:val="18"/>
                <w:szCs w:val="18"/>
              </w:rPr>
            </w:pPr>
            <w:r>
              <w:rPr>
                <w:caps/>
                <w:noProof/>
                <w:sz w:val="18"/>
                <w:szCs w:val="18"/>
              </w:rPr>
              <w:t>3</w:t>
            </w:r>
          </w:p>
        </w:tc>
        <w:tc>
          <w:tcPr>
            <w:tcW w:w="426" w:type="dxa"/>
            <w:tcBorders>
              <w:left w:val="single" w:sz="4" w:space="0" w:color="auto"/>
              <w:bottom w:val="single" w:sz="4" w:space="0" w:color="auto"/>
              <w:right w:val="dotted" w:sz="4" w:space="0" w:color="auto"/>
            </w:tcBorders>
            <w:shd w:val="clear" w:color="auto" w:fill="FFF4CC"/>
          </w:tcPr>
          <w:p w14:paraId="74072630" w14:textId="77777777" w:rsidR="000A7D9D" w:rsidRPr="00EC1412" w:rsidRDefault="000A7D9D" w:rsidP="00F31937">
            <w:pPr>
              <w:jc w:val="right"/>
              <w:rPr>
                <w:caps/>
                <w:noProof/>
                <w:sz w:val="18"/>
                <w:szCs w:val="18"/>
              </w:rPr>
            </w:pPr>
            <w:r>
              <w:rPr>
                <w:caps/>
                <w:noProof/>
                <w:sz w:val="18"/>
                <w:szCs w:val="18"/>
              </w:rPr>
              <w:t>7</w:t>
            </w:r>
          </w:p>
        </w:tc>
        <w:tc>
          <w:tcPr>
            <w:tcW w:w="425" w:type="dxa"/>
            <w:tcBorders>
              <w:left w:val="dotted" w:sz="4" w:space="0" w:color="auto"/>
              <w:bottom w:val="single" w:sz="4" w:space="0" w:color="auto"/>
              <w:right w:val="single" w:sz="4" w:space="0" w:color="auto"/>
            </w:tcBorders>
            <w:shd w:val="clear" w:color="auto" w:fill="FFF4CC"/>
          </w:tcPr>
          <w:p w14:paraId="5151045C"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single" w:sz="4" w:space="0" w:color="auto"/>
              <w:bottom w:val="single" w:sz="4" w:space="0" w:color="auto"/>
              <w:right w:val="dotted" w:sz="4" w:space="0" w:color="auto"/>
            </w:tcBorders>
            <w:shd w:val="clear" w:color="auto" w:fill="FFF4CC"/>
          </w:tcPr>
          <w:p w14:paraId="2C212041" w14:textId="77777777" w:rsidR="000A7D9D" w:rsidRPr="00EC1412" w:rsidRDefault="000A7D9D" w:rsidP="00F31937">
            <w:pPr>
              <w:jc w:val="right"/>
              <w:rPr>
                <w:caps/>
                <w:noProof/>
                <w:sz w:val="18"/>
                <w:szCs w:val="18"/>
              </w:rPr>
            </w:pPr>
            <w:r>
              <w:rPr>
                <w:caps/>
                <w:noProof/>
                <w:sz w:val="18"/>
                <w:szCs w:val="18"/>
              </w:rPr>
              <w:t>8</w:t>
            </w:r>
          </w:p>
        </w:tc>
        <w:tc>
          <w:tcPr>
            <w:tcW w:w="425" w:type="dxa"/>
            <w:tcBorders>
              <w:left w:val="dotted" w:sz="4" w:space="0" w:color="auto"/>
              <w:bottom w:val="single" w:sz="4" w:space="0" w:color="auto"/>
              <w:right w:val="single" w:sz="4" w:space="0" w:color="auto"/>
            </w:tcBorders>
            <w:shd w:val="clear" w:color="auto" w:fill="FFF4CC"/>
          </w:tcPr>
          <w:p w14:paraId="0DDF277F" w14:textId="77777777" w:rsidR="000A7D9D" w:rsidRPr="00EC1412" w:rsidRDefault="000A7D9D" w:rsidP="00F31937">
            <w:pPr>
              <w:jc w:val="right"/>
              <w:rPr>
                <w:caps/>
                <w:noProof/>
                <w:sz w:val="18"/>
                <w:szCs w:val="18"/>
              </w:rPr>
            </w:pPr>
            <w:r>
              <w:rPr>
                <w:caps/>
                <w:noProof/>
                <w:sz w:val="18"/>
                <w:szCs w:val="18"/>
              </w:rPr>
              <w:t>3</w:t>
            </w:r>
          </w:p>
        </w:tc>
        <w:tc>
          <w:tcPr>
            <w:tcW w:w="567" w:type="dxa"/>
            <w:tcBorders>
              <w:left w:val="single" w:sz="4" w:space="0" w:color="auto"/>
              <w:bottom w:val="single" w:sz="4" w:space="0" w:color="auto"/>
              <w:right w:val="single" w:sz="4" w:space="0" w:color="auto"/>
            </w:tcBorders>
            <w:shd w:val="clear" w:color="auto" w:fill="FFF4CC"/>
          </w:tcPr>
          <w:p w14:paraId="44FAEA5C" w14:textId="77777777" w:rsidR="000A7D9D" w:rsidRPr="00EC1412" w:rsidRDefault="000A7D9D" w:rsidP="00F31937">
            <w:pPr>
              <w:jc w:val="right"/>
              <w:rPr>
                <w:noProof/>
                <w:sz w:val="18"/>
                <w:szCs w:val="18"/>
              </w:rPr>
            </w:pPr>
            <w:r>
              <w:rPr>
                <w:noProof/>
                <w:sz w:val="18"/>
                <w:szCs w:val="18"/>
              </w:rPr>
              <w:t>510</w:t>
            </w:r>
          </w:p>
        </w:tc>
        <w:tc>
          <w:tcPr>
            <w:tcW w:w="567" w:type="dxa"/>
            <w:tcBorders>
              <w:left w:val="single" w:sz="4" w:space="0" w:color="auto"/>
              <w:bottom w:val="single" w:sz="4" w:space="0" w:color="auto"/>
              <w:right w:val="single" w:sz="4" w:space="0" w:color="auto"/>
            </w:tcBorders>
            <w:shd w:val="clear" w:color="auto" w:fill="FFF4CC"/>
          </w:tcPr>
          <w:p w14:paraId="68FDA03D" w14:textId="77777777" w:rsidR="000A7D9D" w:rsidRPr="00EC1412" w:rsidRDefault="000A7D9D" w:rsidP="00F31937">
            <w:pPr>
              <w:jc w:val="right"/>
              <w:rPr>
                <w:noProof/>
                <w:sz w:val="18"/>
                <w:szCs w:val="18"/>
              </w:rPr>
            </w:pPr>
            <w:r>
              <w:rPr>
                <w:noProof/>
                <w:sz w:val="18"/>
                <w:szCs w:val="18"/>
              </w:rPr>
              <w:t>520</w:t>
            </w:r>
          </w:p>
        </w:tc>
        <w:tc>
          <w:tcPr>
            <w:tcW w:w="567" w:type="dxa"/>
            <w:tcBorders>
              <w:left w:val="single" w:sz="4" w:space="0" w:color="auto"/>
              <w:bottom w:val="single" w:sz="4" w:space="0" w:color="auto"/>
              <w:right w:val="single" w:sz="4" w:space="0" w:color="auto"/>
            </w:tcBorders>
            <w:shd w:val="clear" w:color="auto" w:fill="FFF4CC"/>
          </w:tcPr>
          <w:p w14:paraId="64F935AD" w14:textId="77777777" w:rsidR="000A7D9D" w:rsidRPr="00EC1412" w:rsidRDefault="000A7D9D" w:rsidP="00F31937">
            <w:pPr>
              <w:jc w:val="right"/>
              <w:rPr>
                <w:noProof/>
                <w:sz w:val="18"/>
                <w:szCs w:val="18"/>
              </w:rPr>
            </w:pPr>
            <w:r>
              <w:rPr>
                <w:noProof/>
                <w:sz w:val="18"/>
                <w:szCs w:val="18"/>
              </w:rPr>
              <w:t>530</w:t>
            </w:r>
          </w:p>
        </w:tc>
        <w:tc>
          <w:tcPr>
            <w:tcW w:w="567" w:type="dxa"/>
            <w:tcBorders>
              <w:left w:val="single" w:sz="4" w:space="0" w:color="auto"/>
              <w:bottom w:val="single" w:sz="4" w:space="0" w:color="auto"/>
            </w:tcBorders>
            <w:shd w:val="clear" w:color="auto" w:fill="FFF4CC"/>
          </w:tcPr>
          <w:p w14:paraId="478D0ECE" w14:textId="77777777" w:rsidR="000A7D9D" w:rsidRPr="00EC1412" w:rsidRDefault="000A7D9D" w:rsidP="00F31937">
            <w:pPr>
              <w:jc w:val="right"/>
              <w:rPr>
                <w:noProof/>
                <w:sz w:val="18"/>
                <w:szCs w:val="18"/>
              </w:rPr>
            </w:pPr>
            <w:r>
              <w:rPr>
                <w:noProof/>
                <w:sz w:val="18"/>
                <w:szCs w:val="18"/>
              </w:rPr>
              <w:t>540</w:t>
            </w:r>
          </w:p>
        </w:tc>
      </w:tr>
      <w:tr w:rsidR="000A7D9D" w:rsidRPr="00EC1412" w14:paraId="0C247F92" w14:textId="77777777" w:rsidTr="00F31937">
        <w:tc>
          <w:tcPr>
            <w:tcW w:w="3964" w:type="dxa"/>
            <w:tcBorders>
              <w:bottom w:val="single" w:sz="4" w:space="0" w:color="auto"/>
              <w:right w:val="single" w:sz="4" w:space="0" w:color="auto"/>
            </w:tcBorders>
            <w:shd w:val="clear" w:color="auto" w:fill="C1ECFF"/>
          </w:tcPr>
          <w:p w14:paraId="3AADD1AD" w14:textId="77777777" w:rsidR="000A7D9D" w:rsidRPr="00EC1412" w:rsidRDefault="000A7D9D" w:rsidP="00F31937">
            <w:pPr>
              <w:jc w:val="both"/>
              <w:rPr>
                <w:caps/>
                <w:noProof/>
                <w:sz w:val="18"/>
                <w:szCs w:val="18"/>
              </w:rPr>
            </w:pPr>
            <w:r>
              <w:rPr>
                <w:noProof/>
                <w:sz w:val="18"/>
                <w:szCs w:val="18"/>
              </w:rPr>
              <w:t>Regulation on s</w:t>
            </w:r>
            <w:r w:rsidRPr="00EC1412">
              <w:rPr>
                <w:noProof/>
                <w:sz w:val="18"/>
                <w:szCs w:val="18"/>
              </w:rPr>
              <w:t>erious cross-border threat</w:t>
            </w:r>
            <w:r>
              <w:rPr>
                <w:noProof/>
                <w:sz w:val="18"/>
                <w:szCs w:val="18"/>
              </w:rPr>
              <w:t>s to health</w:t>
            </w:r>
          </w:p>
        </w:tc>
        <w:tc>
          <w:tcPr>
            <w:tcW w:w="426" w:type="dxa"/>
            <w:tcBorders>
              <w:left w:val="single" w:sz="4" w:space="0" w:color="auto"/>
              <w:bottom w:val="single" w:sz="4" w:space="0" w:color="auto"/>
              <w:right w:val="dotted" w:sz="4" w:space="0" w:color="auto"/>
            </w:tcBorders>
            <w:shd w:val="clear" w:color="auto" w:fill="C1ECFF"/>
          </w:tcPr>
          <w:p w14:paraId="3951A54D"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0C3F5172"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7424270D"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29FB171C"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C1ECFF"/>
          </w:tcPr>
          <w:p w14:paraId="20B24A8A"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72E260E7"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71AC76C6"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005589B0"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6C8FCCDF"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63B38018"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78461552"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tcBorders>
            <w:shd w:val="clear" w:color="auto" w:fill="C1ECFF"/>
          </w:tcPr>
          <w:p w14:paraId="33ACED9D" w14:textId="77777777" w:rsidR="000A7D9D" w:rsidRPr="00EC1412" w:rsidRDefault="000A7D9D" w:rsidP="00F31937">
            <w:pPr>
              <w:jc w:val="right"/>
              <w:rPr>
                <w:caps/>
                <w:noProof/>
                <w:sz w:val="18"/>
                <w:szCs w:val="18"/>
              </w:rPr>
            </w:pPr>
            <w:r>
              <w:rPr>
                <w:noProof/>
                <w:sz w:val="18"/>
                <w:szCs w:val="18"/>
              </w:rPr>
              <w:t>0</w:t>
            </w:r>
          </w:p>
        </w:tc>
      </w:tr>
      <w:tr w:rsidR="000A7D9D" w:rsidRPr="00EC1412" w14:paraId="63E945BF" w14:textId="77777777" w:rsidTr="00F31937">
        <w:tc>
          <w:tcPr>
            <w:tcW w:w="3964" w:type="dxa"/>
            <w:tcBorders>
              <w:bottom w:val="single" w:sz="4" w:space="0" w:color="auto"/>
              <w:right w:val="single" w:sz="4" w:space="0" w:color="auto"/>
            </w:tcBorders>
            <w:shd w:val="clear" w:color="auto" w:fill="FFF4CC"/>
          </w:tcPr>
          <w:p w14:paraId="6F3ECE37" w14:textId="77777777" w:rsidR="000A7D9D" w:rsidRPr="00EC1412" w:rsidRDefault="000A7D9D" w:rsidP="00F31937">
            <w:pPr>
              <w:rPr>
                <w:caps/>
                <w:noProof/>
                <w:sz w:val="18"/>
                <w:szCs w:val="18"/>
              </w:rPr>
            </w:pPr>
            <w:r>
              <w:rPr>
                <w:noProof/>
                <w:sz w:val="18"/>
                <w:szCs w:val="18"/>
              </w:rPr>
              <w:t>European Partnership for the Assessment of Risks from Chemicals</w:t>
            </w:r>
          </w:p>
        </w:tc>
        <w:tc>
          <w:tcPr>
            <w:tcW w:w="426" w:type="dxa"/>
            <w:tcBorders>
              <w:left w:val="single" w:sz="4" w:space="0" w:color="auto"/>
              <w:bottom w:val="single" w:sz="4" w:space="0" w:color="auto"/>
              <w:right w:val="dotted" w:sz="4" w:space="0" w:color="auto"/>
            </w:tcBorders>
            <w:shd w:val="clear" w:color="auto" w:fill="FFF4CC"/>
          </w:tcPr>
          <w:p w14:paraId="577A0D70"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00626C77"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single" w:sz="4" w:space="0" w:color="auto"/>
              <w:bottom w:val="single" w:sz="4" w:space="0" w:color="auto"/>
              <w:right w:val="dotted" w:sz="4" w:space="0" w:color="auto"/>
            </w:tcBorders>
            <w:shd w:val="clear" w:color="auto" w:fill="FFF4CC"/>
          </w:tcPr>
          <w:p w14:paraId="5AE7BE7C"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0783902A" w14:textId="77777777" w:rsidR="000A7D9D" w:rsidRPr="00EC1412" w:rsidRDefault="000A7D9D" w:rsidP="00F31937">
            <w:pPr>
              <w:jc w:val="right"/>
              <w:rPr>
                <w:caps/>
                <w:noProof/>
                <w:sz w:val="18"/>
                <w:szCs w:val="18"/>
              </w:rPr>
            </w:pPr>
            <w:r>
              <w:rPr>
                <w:caps/>
                <w:noProof/>
                <w:sz w:val="18"/>
                <w:szCs w:val="18"/>
              </w:rPr>
              <w:t>2</w:t>
            </w:r>
          </w:p>
        </w:tc>
        <w:tc>
          <w:tcPr>
            <w:tcW w:w="426" w:type="dxa"/>
            <w:tcBorders>
              <w:left w:val="single" w:sz="4" w:space="0" w:color="auto"/>
              <w:bottom w:val="single" w:sz="4" w:space="0" w:color="auto"/>
              <w:right w:val="dotted" w:sz="4" w:space="0" w:color="auto"/>
            </w:tcBorders>
            <w:shd w:val="clear" w:color="auto" w:fill="FFF4CC"/>
          </w:tcPr>
          <w:p w14:paraId="5D3E5972"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3BFA617A"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single" w:sz="4" w:space="0" w:color="auto"/>
              <w:bottom w:val="single" w:sz="4" w:space="0" w:color="auto"/>
              <w:right w:val="dotted" w:sz="4" w:space="0" w:color="auto"/>
            </w:tcBorders>
            <w:shd w:val="clear" w:color="auto" w:fill="FFF4CC"/>
          </w:tcPr>
          <w:p w14:paraId="0F7A50DA"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627C7244" w14:textId="77777777" w:rsidR="000A7D9D" w:rsidRPr="00EC1412" w:rsidRDefault="000A7D9D" w:rsidP="00F31937">
            <w:pPr>
              <w:jc w:val="right"/>
              <w:rPr>
                <w:caps/>
                <w:noProof/>
                <w:sz w:val="18"/>
                <w:szCs w:val="18"/>
              </w:rPr>
            </w:pPr>
            <w:r>
              <w:rPr>
                <w:caps/>
                <w:noProof/>
                <w:sz w:val="18"/>
                <w:szCs w:val="18"/>
              </w:rPr>
              <w:t>2</w:t>
            </w:r>
          </w:p>
        </w:tc>
        <w:tc>
          <w:tcPr>
            <w:tcW w:w="567" w:type="dxa"/>
            <w:tcBorders>
              <w:left w:val="single" w:sz="4" w:space="0" w:color="auto"/>
              <w:bottom w:val="single" w:sz="4" w:space="0" w:color="auto"/>
              <w:right w:val="single" w:sz="4" w:space="0" w:color="auto"/>
            </w:tcBorders>
            <w:shd w:val="clear" w:color="auto" w:fill="FFF4CC"/>
          </w:tcPr>
          <w:p w14:paraId="5B3887F2"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22C448AD"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5F24CEB1"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tcBorders>
            <w:shd w:val="clear" w:color="auto" w:fill="FFF4CC"/>
          </w:tcPr>
          <w:p w14:paraId="221A3ED5" w14:textId="77777777" w:rsidR="000A7D9D" w:rsidRPr="00EC1412" w:rsidRDefault="000A7D9D" w:rsidP="00F31937">
            <w:pPr>
              <w:jc w:val="right"/>
              <w:rPr>
                <w:caps/>
                <w:noProof/>
                <w:sz w:val="18"/>
                <w:szCs w:val="18"/>
              </w:rPr>
            </w:pPr>
            <w:r>
              <w:rPr>
                <w:noProof/>
                <w:sz w:val="18"/>
                <w:szCs w:val="18"/>
              </w:rPr>
              <w:t>0</w:t>
            </w:r>
          </w:p>
        </w:tc>
      </w:tr>
      <w:tr w:rsidR="000A7D9D" w:rsidRPr="00EC1412" w14:paraId="075143D3" w14:textId="77777777" w:rsidTr="00F31937">
        <w:tc>
          <w:tcPr>
            <w:tcW w:w="3964" w:type="dxa"/>
            <w:tcBorders>
              <w:bottom w:val="single" w:sz="4" w:space="0" w:color="auto"/>
              <w:right w:val="single" w:sz="4" w:space="0" w:color="auto"/>
            </w:tcBorders>
            <w:shd w:val="clear" w:color="auto" w:fill="C1ECFF"/>
          </w:tcPr>
          <w:p w14:paraId="07259E76" w14:textId="77777777" w:rsidR="000A7D9D" w:rsidRPr="00EC1412" w:rsidRDefault="000A7D9D" w:rsidP="00F31937">
            <w:pPr>
              <w:jc w:val="both"/>
              <w:rPr>
                <w:caps/>
                <w:noProof/>
                <w:sz w:val="18"/>
                <w:szCs w:val="18"/>
              </w:rPr>
            </w:pPr>
            <w:r w:rsidRPr="00EC1412">
              <w:rPr>
                <w:noProof/>
                <w:sz w:val="18"/>
                <w:szCs w:val="18"/>
              </w:rPr>
              <w:t xml:space="preserve">Batteries regulation </w:t>
            </w:r>
          </w:p>
        </w:tc>
        <w:tc>
          <w:tcPr>
            <w:tcW w:w="426" w:type="dxa"/>
            <w:tcBorders>
              <w:left w:val="single" w:sz="4" w:space="0" w:color="auto"/>
              <w:bottom w:val="single" w:sz="4" w:space="0" w:color="auto"/>
              <w:right w:val="dotted" w:sz="4" w:space="0" w:color="auto"/>
            </w:tcBorders>
            <w:shd w:val="clear" w:color="auto" w:fill="C1ECFF"/>
          </w:tcPr>
          <w:p w14:paraId="493CC1D3"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3AE494E4"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C1ECFF"/>
          </w:tcPr>
          <w:p w14:paraId="6E30D57A"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627AA3AD" w14:textId="77777777" w:rsidR="000A7D9D" w:rsidRPr="00EC1412" w:rsidRDefault="000A7D9D" w:rsidP="00F31937">
            <w:pPr>
              <w:jc w:val="right"/>
              <w:rPr>
                <w:caps/>
                <w:noProof/>
                <w:sz w:val="18"/>
                <w:szCs w:val="18"/>
              </w:rPr>
            </w:pPr>
            <w:r>
              <w:rPr>
                <w:caps/>
                <w:noProof/>
                <w:sz w:val="18"/>
                <w:szCs w:val="18"/>
              </w:rPr>
              <w:t>1</w:t>
            </w:r>
          </w:p>
        </w:tc>
        <w:tc>
          <w:tcPr>
            <w:tcW w:w="426" w:type="dxa"/>
            <w:tcBorders>
              <w:left w:val="single" w:sz="4" w:space="0" w:color="auto"/>
              <w:bottom w:val="single" w:sz="4" w:space="0" w:color="auto"/>
              <w:right w:val="dotted" w:sz="4" w:space="0" w:color="auto"/>
            </w:tcBorders>
            <w:shd w:val="clear" w:color="auto" w:fill="C1ECFF"/>
          </w:tcPr>
          <w:p w14:paraId="15E61584"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36D4317C"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C1ECFF"/>
          </w:tcPr>
          <w:p w14:paraId="057B354C"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62B85084"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53F5C2BA" w14:textId="77777777" w:rsidR="000A7D9D" w:rsidRPr="00EC1412" w:rsidRDefault="000A7D9D" w:rsidP="00F31937">
            <w:pPr>
              <w:jc w:val="right"/>
              <w:rPr>
                <w:caps/>
                <w:noProof/>
                <w:sz w:val="18"/>
                <w:szCs w:val="18"/>
              </w:rPr>
            </w:pPr>
            <w:r>
              <w:rPr>
                <w:noProof/>
                <w:sz w:val="18"/>
                <w:szCs w:val="18"/>
              </w:rPr>
              <w:t>158</w:t>
            </w:r>
          </w:p>
        </w:tc>
        <w:tc>
          <w:tcPr>
            <w:tcW w:w="567" w:type="dxa"/>
            <w:tcBorders>
              <w:left w:val="single" w:sz="4" w:space="0" w:color="auto"/>
              <w:bottom w:val="single" w:sz="4" w:space="0" w:color="auto"/>
              <w:right w:val="single" w:sz="4" w:space="0" w:color="auto"/>
            </w:tcBorders>
            <w:shd w:val="clear" w:color="auto" w:fill="C1ECFF"/>
          </w:tcPr>
          <w:p w14:paraId="163C2D31" w14:textId="77777777" w:rsidR="000A7D9D" w:rsidRPr="00EC1412" w:rsidRDefault="000A7D9D" w:rsidP="00F31937">
            <w:pPr>
              <w:jc w:val="right"/>
              <w:rPr>
                <w:caps/>
                <w:noProof/>
                <w:sz w:val="18"/>
                <w:szCs w:val="18"/>
              </w:rPr>
            </w:pPr>
            <w:r w:rsidRPr="00EC1412">
              <w:rPr>
                <w:noProof/>
                <w:sz w:val="18"/>
                <w:szCs w:val="18"/>
              </w:rPr>
              <w:t>15</w:t>
            </w:r>
            <w:r>
              <w:rPr>
                <w:noProof/>
                <w:sz w:val="18"/>
                <w:szCs w:val="18"/>
              </w:rPr>
              <w:t>8</w:t>
            </w:r>
          </w:p>
        </w:tc>
        <w:tc>
          <w:tcPr>
            <w:tcW w:w="567" w:type="dxa"/>
            <w:tcBorders>
              <w:left w:val="single" w:sz="4" w:space="0" w:color="auto"/>
              <w:bottom w:val="single" w:sz="4" w:space="0" w:color="auto"/>
              <w:right w:val="single" w:sz="4" w:space="0" w:color="auto"/>
            </w:tcBorders>
            <w:shd w:val="clear" w:color="auto" w:fill="C1ECFF"/>
          </w:tcPr>
          <w:p w14:paraId="1D9E7F8E" w14:textId="77777777" w:rsidR="000A7D9D" w:rsidRPr="00EC1412" w:rsidRDefault="000A7D9D" w:rsidP="00F31937">
            <w:pPr>
              <w:jc w:val="right"/>
              <w:rPr>
                <w:caps/>
                <w:noProof/>
                <w:sz w:val="18"/>
                <w:szCs w:val="18"/>
              </w:rPr>
            </w:pPr>
            <w:r>
              <w:rPr>
                <w:noProof/>
                <w:sz w:val="18"/>
                <w:szCs w:val="18"/>
              </w:rPr>
              <w:t>25</w:t>
            </w:r>
          </w:p>
        </w:tc>
        <w:tc>
          <w:tcPr>
            <w:tcW w:w="567" w:type="dxa"/>
            <w:tcBorders>
              <w:left w:val="single" w:sz="4" w:space="0" w:color="auto"/>
              <w:bottom w:val="single" w:sz="4" w:space="0" w:color="auto"/>
            </w:tcBorders>
            <w:shd w:val="clear" w:color="auto" w:fill="C1ECFF"/>
          </w:tcPr>
          <w:p w14:paraId="64901A63" w14:textId="77777777" w:rsidR="000A7D9D" w:rsidRPr="00EC1412" w:rsidRDefault="000A7D9D" w:rsidP="00F31937">
            <w:pPr>
              <w:jc w:val="right"/>
              <w:rPr>
                <w:caps/>
                <w:noProof/>
                <w:sz w:val="18"/>
                <w:szCs w:val="18"/>
              </w:rPr>
            </w:pPr>
            <w:r>
              <w:rPr>
                <w:noProof/>
                <w:sz w:val="18"/>
                <w:szCs w:val="18"/>
              </w:rPr>
              <w:t>25</w:t>
            </w:r>
          </w:p>
        </w:tc>
      </w:tr>
      <w:tr w:rsidR="000A7D9D" w:rsidRPr="00EC1412" w14:paraId="7D80C8F0" w14:textId="77777777" w:rsidTr="00F31937">
        <w:tc>
          <w:tcPr>
            <w:tcW w:w="3964" w:type="dxa"/>
            <w:tcBorders>
              <w:bottom w:val="single" w:sz="4" w:space="0" w:color="auto"/>
              <w:right w:val="single" w:sz="4" w:space="0" w:color="auto"/>
            </w:tcBorders>
            <w:shd w:val="clear" w:color="auto" w:fill="FFF4CC"/>
          </w:tcPr>
          <w:p w14:paraId="53A3B2CB" w14:textId="77777777" w:rsidR="000A7D9D" w:rsidRPr="00EC1412" w:rsidRDefault="000A7D9D" w:rsidP="00F31937">
            <w:pPr>
              <w:jc w:val="both"/>
              <w:rPr>
                <w:caps/>
                <w:noProof/>
                <w:sz w:val="18"/>
                <w:szCs w:val="18"/>
              </w:rPr>
            </w:pPr>
            <w:r w:rsidRPr="00EC1412">
              <w:rPr>
                <w:noProof/>
                <w:sz w:val="18"/>
                <w:szCs w:val="18"/>
              </w:rPr>
              <w:t>Industrial emissions directive</w:t>
            </w:r>
          </w:p>
        </w:tc>
        <w:tc>
          <w:tcPr>
            <w:tcW w:w="426" w:type="dxa"/>
            <w:tcBorders>
              <w:left w:val="single" w:sz="4" w:space="0" w:color="auto"/>
              <w:bottom w:val="single" w:sz="4" w:space="0" w:color="auto"/>
              <w:right w:val="dotted" w:sz="4" w:space="0" w:color="auto"/>
            </w:tcBorders>
            <w:shd w:val="clear" w:color="auto" w:fill="FFF4CC"/>
          </w:tcPr>
          <w:p w14:paraId="4A0EF7FA"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3B4C10AE"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7028BB66" w14:textId="77777777" w:rsidR="000A7D9D" w:rsidRPr="00EC1412" w:rsidRDefault="000A7D9D" w:rsidP="00F31937">
            <w:pPr>
              <w:jc w:val="right"/>
              <w:rPr>
                <w:caps/>
                <w:noProof/>
                <w:sz w:val="18"/>
                <w:szCs w:val="18"/>
              </w:rPr>
            </w:pPr>
            <w:r w:rsidRPr="00EC1412">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65AA303D"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FFF4CC"/>
          </w:tcPr>
          <w:p w14:paraId="4D097B7C" w14:textId="77777777" w:rsidR="000A7D9D" w:rsidRPr="00EC1412" w:rsidRDefault="000A7D9D" w:rsidP="00F31937">
            <w:pPr>
              <w:jc w:val="right"/>
              <w:rPr>
                <w:caps/>
                <w:noProof/>
                <w:sz w:val="18"/>
                <w:szCs w:val="18"/>
              </w:rPr>
            </w:pPr>
            <w:r w:rsidRPr="00EC1412">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7FD33064"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63F45F31" w14:textId="77777777" w:rsidR="000A7D9D" w:rsidRPr="00EC1412" w:rsidRDefault="000A7D9D" w:rsidP="00F31937">
            <w:pPr>
              <w:jc w:val="right"/>
              <w:rPr>
                <w:caps/>
                <w:noProof/>
                <w:sz w:val="18"/>
                <w:szCs w:val="18"/>
              </w:rPr>
            </w:pPr>
            <w:r w:rsidRPr="00EC1412">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30F4C62D"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39636AFD"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360C400E"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0F023241"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tcBorders>
            <w:shd w:val="clear" w:color="auto" w:fill="FFF4CC"/>
          </w:tcPr>
          <w:p w14:paraId="624EA0EF" w14:textId="77777777" w:rsidR="000A7D9D" w:rsidRPr="00EC1412" w:rsidRDefault="000A7D9D" w:rsidP="00F31937">
            <w:pPr>
              <w:jc w:val="right"/>
              <w:rPr>
                <w:caps/>
                <w:noProof/>
                <w:sz w:val="18"/>
                <w:szCs w:val="18"/>
              </w:rPr>
            </w:pPr>
            <w:r>
              <w:rPr>
                <w:noProof/>
                <w:sz w:val="18"/>
                <w:szCs w:val="18"/>
              </w:rPr>
              <w:t>0</w:t>
            </w:r>
          </w:p>
        </w:tc>
      </w:tr>
      <w:tr w:rsidR="000A7D9D" w:rsidRPr="00EC1412" w14:paraId="165594A2" w14:textId="77777777" w:rsidTr="00F31937">
        <w:tc>
          <w:tcPr>
            <w:tcW w:w="3964" w:type="dxa"/>
            <w:tcBorders>
              <w:bottom w:val="single" w:sz="4" w:space="0" w:color="auto"/>
              <w:right w:val="single" w:sz="4" w:space="0" w:color="auto"/>
            </w:tcBorders>
            <w:shd w:val="clear" w:color="auto" w:fill="C1ECFF"/>
          </w:tcPr>
          <w:p w14:paraId="50A99067" w14:textId="77777777" w:rsidR="000A7D9D" w:rsidRPr="00EC1412" w:rsidRDefault="000A7D9D" w:rsidP="00F31937">
            <w:pPr>
              <w:jc w:val="both"/>
              <w:rPr>
                <w:caps/>
                <w:noProof/>
                <w:sz w:val="18"/>
                <w:szCs w:val="18"/>
              </w:rPr>
            </w:pPr>
            <w:r w:rsidRPr="00EC1412">
              <w:rPr>
                <w:noProof/>
                <w:sz w:val="18"/>
                <w:szCs w:val="18"/>
              </w:rPr>
              <w:t xml:space="preserve">Water legislation </w:t>
            </w:r>
          </w:p>
        </w:tc>
        <w:tc>
          <w:tcPr>
            <w:tcW w:w="426" w:type="dxa"/>
            <w:tcBorders>
              <w:left w:val="single" w:sz="4" w:space="0" w:color="auto"/>
              <w:right w:val="dotted" w:sz="4" w:space="0" w:color="auto"/>
            </w:tcBorders>
            <w:shd w:val="clear" w:color="auto" w:fill="C1ECFF"/>
          </w:tcPr>
          <w:p w14:paraId="1415AAF1" w14:textId="77777777" w:rsidR="000A7D9D" w:rsidRPr="00EC1412" w:rsidRDefault="000A7D9D" w:rsidP="00F31937">
            <w:pPr>
              <w:jc w:val="right"/>
              <w:rPr>
                <w:caps/>
                <w:noProof/>
                <w:sz w:val="18"/>
                <w:szCs w:val="18"/>
              </w:rPr>
            </w:pPr>
            <w:r>
              <w:rPr>
                <w:caps/>
                <w:noProof/>
                <w:sz w:val="18"/>
                <w:szCs w:val="18"/>
              </w:rPr>
              <w:t>7</w:t>
            </w:r>
          </w:p>
        </w:tc>
        <w:tc>
          <w:tcPr>
            <w:tcW w:w="425" w:type="dxa"/>
            <w:tcBorders>
              <w:left w:val="dotted" w:sz="4" w:space="0" w:color="auto"/>
              <w:right w:val="single" w:sz="4" w:space="0" w:color="auto"/>
            </w:tcBorders>
            <w:shd w:val="clear" w:color="auto" w:fill="C1ECFF"/>
          </w:tcPr>
          <w:p w14:paraId="1E4BAC21" w14:textId="77777777" w:rsidR="000A7D9D" w:rsidRPr="00EC1412" w:rsidRDefault="000A7D9D" w:rsidP="00F31937">
            <w:pPr>
              <w:jc w:val="right"/>
              <w:rPr>
                <w:caps/>
                <w:noProof/>
                <w:sz w:val="18"/>
                <w:szCs w:val="18"/>
              </w:rPr>
            </w:pPr>
            <w:r>
              <w:rPr>
                <w:caps/>
                <w:noProof/>
                <w:sz w:val="18"/>
                <w:szCs w:val="18"/>
              </w:rPr>
              <w:t>4</w:t>
            </w:r>
          </w:p>
        </w:tc>
        <w:tc>
          <w:tcPr>
            <w:tcW w:w="425" w:type="dxa"/>
            <w:tcBorders>
              <w:left w:val="single" w:sz="4" w:space="0" w:color="auto"/>
              <w:bottom w:val="single" w:sz="4" w:space="0" w:color="auto"/>
              <w:right w:val="dotted" w:sz="4" w:space="0" w:color="auto"/>
            </w:tcBorders>
            <w:shd w:val="clear" w:color="auto" w:fill="C1ECFF"/>
          </w:tcPr>
          <w:p w14:paraId="581739E4" w14:textId="77777777" w:rsidR="000A7D9D" w:rsidRPr="00EC1412" w:rsidRDefault="000A7D9D" w:rsidP="00F31937">
            <w:pPr>
              <w:jc w:val="right"/>
              <w:rPr>
                <w:caps/>
                <w:noProof/>
                <w:sz w:val="18"/>
                <w:szCs w:val="18"/>
              </w:rPr>
            </w:pPr>
            <w:r>
              <w:rPr>
                <w:caps/>
                <w:noProof/>
                <w:sz w:val="18"/>
                <w:szCs w:val="18"/>
              </w:rPr>
              <w:t>7</w:t>
            </w:r>
          </w:p>
        </w:tc>
        <w:tc>
          <w:tcPr>
            <w:tcW w:w="425" w:type="dxa"/>
            <w:tcBorders>
              <w:left w:val="dotted" w:sz="4" w:space="0" w:color="auto"/>
              <w:bottom w:val="single" w:sz="4" w:space="0" w:color="auto"/>
              <w:right w:val="single" w:sz="4" w:space="0" w:color="auto"/>
            </w:tcBorders>
            <w:shd w:val="clear" w:color="auto" w:fill="C1ECFF"/>
          </w:tcPr>
          <w:p w14:paraId="0E14B9BF" w14:textId="77777777" w:rsidR="000A7D9D" w:rsidRPr="00EC1412" w:rsidRDefault="000A7D9D" w:rsidP="00F31937">
            <w:pPr>
              <w:jc w:val="right"/>
              <w:rPr>
                <w:caps/>
                <w:noProof/>
                <w:sz w:val="18"/>
                <w:szCs w:val="18"/>
              </w:rPr>
            </w:pPr>
            <w:r>
              <w:rPr>
                <w:caps/>
                <w:noProof/>
                <w:sz w:val="18"/>
                <w:szCs w:val="18"/>
              </w:rPr>
              <w:t>4</w:t>
            </w:r>
          </w:p>
        </w:tc>
        <w:tc>
          <w:tcPr>
            <w:tcW w:w="426" w:type="dxa"/>
            <w:tcBorders>
              <w:left w:val="single" w:sz="4" w:space="0" w:color="auto"/>
              <w:bottom w:val="single" w:sz="4" w:space="0" w:color="auto"/>
              <w:right w:val="dotted" w:sz="4" w:space="0" w:color="auto"/>
            </w:tcBorders>
            <w:shd w:val="clear" w:color="auto" w:fill="C1ECFF"/>
          </w:tcPr>
          <w:p w14:paraId="4C2686AA" w14:textId="77777777" w:rsidR="000A7D9D" w:rsidRPr="00EC1412" w:rsidRDefault="000A7D9D" w:rsidP="00F31937">
            <w:pPr>
              <w:jc w:val="right"/>
              <w:rPr>
                <w:caps/>
                <w:noProof/>
                <w:sz w:val="18"/>
                <w:szCs w:val="18"/>
              </w:rPr>
            </w:pPr>
            <w:r>
              <w:rPr>
                <w:caps/>
                <w:noProof/>
                <w:sz w:val="18"/>
                <w:szCs w:val="18"/>
              </w:rPr>
              <w:t>7</w:t>
            </w:r>
          </w:p>
        </w:tc>
        <w:tc>
          <w:tcPr>
            <w:tcW w:w="425" w:type="dxa"/>
            <w:tcBorders>
              <w:left w:val="dotted" w:sz="4" w:space="0" w:color="auto"/>
              <w:bottom w:val="single" w:sz="4" w:space="0" w:color="auto"/>
              <w:right w:val="single" w:sz="4" w:space="0" w:color="auto"/>
            </w:tcBorders>
            <w:shd w:val="clear" w:color="auto" w:fill="C1ECFF"/>
          </w:tcPr>
          <w:p w14:paraId="7D08FD06" w14:textId="77777777" w:rsidR="000A7D9D" w:rsidRPr="00EC1412" w:rsidRDefault="000A7D9D" w:rsidP="00F31937">
            <w:pPr>
              <w:jc w:val="right"/>
              <w:rPr>
                <w:caps/>
                <w:noProof/>
                <w:sz w:val="18"/>
                <w:szCs w:val="18"/>
              </w:rPr>
            </w:pPr>
            <w:r>
              <w:rPr>
                <w:caps/>
                <w:noProof/>
                <w:sz w:val="18"/>
                <w:szCs w:val="18"/>
              </w:rPr>
              <w:t>4</w:t>
            </w:r>
          </w:p>
        </w:tc>
        <w:tc>
          <w:tcPr>
            <w:tcW w:w="425" w:type="dxa"/>
            <w:tcBorders>
              <w:left w:val="single" w:sz="4" w:space="0" w:color="auto"/>
              <w:bottom w:val="single" w:sz="4" w:space="0" w:color="auto"/>
              <w:right w:val="dotted" w:sz="4" w:space="0" w:color="auto"/>
            </w:tcBorders>
            <w:shd w:val="clear" w:color="auto" w:fill="C1ECFF"/>
          </w:tcPr>
          <w:p w14:paraId="5CDFC424" w14:textId="77777777" w:rsidR="000A7D9D" w:rsidRPr="00EC1412" w:rsidRDefault="000A7D9D" w:rsidP="00F31937">
            <w:pPr>
              <w:jc w:val="right"/>
              <w:rPr>
                <w:caps/>
                <w:noProof/>
                <w:sz w:val="18"/>
                <w:szCs w:val="18"/>
              </w:rPr>
            </w:pPr>
            <w:r>
              <w:rPr>
                <w:caps/>
                <w:noProof/>
                <w:sz w:val="18"/>
                <w:szCs w:val="18"/>
              </w:rPr>
              <w:t>7</w:t>
            </w:r>
          </w:p>
        </w:tc>
        <w:tc>
          <w:tcPr>
            <w:tcW w:w="425" w:type="dxa"/>
            <w:tcBorders>
              <w:left w:val="dotted" w:sz="4" w:space="0" w:color="auto"/>
              <w:bottom w:val="single" w:sz="4" w:space="0" w:color="auto"/>
              <w:right w:val="single" w:sz="4" w:space="0" w:color="auto"/>
            </w:tcBorders>
            <w:shd w:val="clear" w:color="auto" w:fill="C1ECFF"/>
          </w:tcPr>
          <w:p w14:paraId="0F7487C0" w14:textId="77777777" w:rsidR="000A7D9D" w:rsidRPr="00EC1412" w:rsidRDefault="000A7D9D" w:rsidP="00F31937">
            <w:pPr>
              <w:jc w:val="right"/>
              <w:rPr>
                <w:caps/>
                <w:noProof/>
                <w:sz w:val="18"/>
                <w:szCs w:val="18"/>
              </w:rPr>
            </w:pPr>
            <w:r>
              <w:rPr>
                <w:caps/>
                <w:noProof/>
                <w:sz w:val="18"/>
                <w:szCs w:val="18"/>
              </w:rPr>
              <w:t>4</w:t>
            </w:r>
          </w:p>
        </w:tc>
        <w:tc>
          <w:tcPr>
            <w:tcW w:w="567" w:type="dxa"/>
            <w:tcBorders>
              <w:left w:val="single" w:sz="4" w:space="0" w:color="auto"/>
              <w:bottom w:val="single" w:sz="4" w:space="0" w:color="auto"/>
              <w:right w:val="single" w:sz="4" w:space="0" w:color="auto"/>
            </w:tcBorders>
            <w:shd w:val="clear" w:color="auto" w:fill="C1ECFF"/>
          </w:tcPr>
          <w:p w14:paraId="04888F18" w14:textId="77777777" w:rsidR="000A7D9D" w:rsidRPr="00EC1412" w:rsidRDefault="000A7D9D" w:rsidP="00F31937">
            <w:pPr>
              <w:jc w:val="right"/>
              <w:rPr>
                <w:caps/>
                <w:noProof/>
                <w:sz w:val="18"/>
                <w:szCs w:val="18"/>
              </w:rPr>
            </w:pPr>
            <w:r>
              <w:rPr>
                <w:caps/>
                <w:noProof/>
                <w:sz w:val="18"/>
                <w:szCs w:val="18"/>
              </w:rPr>
              <w:t>673</w:t>
            </w:r>
          </w:p>
        </w:tc>
        <w:tc>
          <w:tcPr>
            <w:tcW w:w="567" w:type="dxa"/>
            <w:tcBorders>
              <w:left w:val="single" w:sz="4" w:space="0" w:color="auto"/>
              <w:bottom w:val="single" w:sz="4" w:space="0" w:color="auto"/>
              <w:right w:val="single" w:sz="4" w:space="0" w:color="auto"/>
            </w:tcBorders>
            <w:shd w:val="clear" w:color="auto" w:fill="C1ECFF"/>
          </w:tcPr>
          <w:p w14:paraId="05E643FE" w14:textId="77777777" w:rsidR="000A7D9D" w:rsidRPr="00EC1412" w:rsidRDefault="000A7D9D" w:rsidP="00F31937">
            <w:pPr>
              <w:jc w:val="right"/>
              <w:rPr>
                <w:caps/>
                <w:noProof/>
                <w:sz w:val="18"/>
                <w:szCs w:val="18"/>
              </w:rPr>
            </w:pPr>
            <w:r>
              <w:rPr>
                <w:caps/>
                <w:noProof/>
                <w:sz w:val="18"/>
                <w:szCs w:val="18"/>
              </w:rPr>
              <w:t>686</w:t>
            </w:r>
          </w:p>
        </w:tc>
        <w:tc>
          <w:tcPr>
            <w:tcW w:w="567" w:type="dxa"/>
            <w:tcBorders>
              <w:left w:val="single" w:sz="4" w:space="0" w:color="auto"/>
              <w:bottom w:val="single" w:sz="4" w:space="0" w:color="auto"/>
              <w:right w:val="single" w:sz="4" w:space="0" w:color="auto"/>
            </w:tcBorders>
            <w:shd w:val="clear" w:color="auto" w:fill="C1ECFF"/>
          </w:tcPr>
          <w:p w14:paraId="6DCB2A8E" w14:textId="77777777" w:rsidR="000A7D9D" w:rsidRPr="00EC1412" w:rsidRDefault="000A7D9D" w:rsidP="00F31937">
            <w:pPr>
              <w:jc w:val="right"/>
              <w:rPr>
                <w:caps/>
                <w:noProof/>
                <w:sz w:val="18"/>
                <w:szCs w:val="18"/>
              </w:rPr>
            </w:pPr>
            <w:r>
              <w:rPr>
                <w:caps/>
                <w:noProof/>
                <w:sz w:val="18"/>
                <w:szCs w:val="18"/>
              </w:rPr>
              <w:t>702</w:t>
            </w:r>
          </w:p>
        </w:tc>
        <w:tc>
          <w:tcPr>
            <w:tcW w:w="567" w:type="dxa"/>
            <w:tcBorders>
              <w:left w:val="single" w:sz="4" w:space="0" w:color="auto"/>
              <w:bottom w:val="single" w:sz="4" w:space="0" w:color="auto"/>
            </w:tcBorders>
            <w:shd w:val="clear" w:color="auto" w:fill="C1ECFF"/>
          </w:tcPr>
          <w:p w14:paraId="262C8E23" w14:textId="77777777" w:rsidR="000A7D9D" w:rsidRPr="00EC1412" w:rsidRDefault="000A7D9D" w:rsidP="00F31937">
            <w:pPr>
              <w:ind w:left="-119"/>
              <w:jc w:val="right"/>
              <w:rPr>
                <w:caps/>
                <w:noProof/>
                <w:sz w:val="18"/>
                <w:szCs w:val="18"/>
              </w:rPr>
            </w:pPr>
            <w:r>
              <w:rPr>
                <w:caps/>
                <w:noProof/>
                <w:sz w:val="18"/>
                <w:szCs w:val="18"/>
              </w:rPr>
              <w:t>718</w:t>
            </w:r>
          </w:p>
        </w:tc>
      </w:tr>
      <w:tr w:rsidR="000A7D9D" w:rsidRPr="00EC1412" w14:paraId="7CE7E864" w14:textId="77777777" w:rsidTr="00F31937">
        <w:tc>
          <w:tcPr>
            <w:tcW w:w="3964" w:type="dxa"/>
            <w:tcBorders>
              <w:right w:val="single" w:sz="4" w:space="0" w:color="auto"/>
            </w:tcBorders>
            <w:shd w:val="clear" w:color="auto" w:fill="BFBFBF" w:themeFill="background1" w:themeFillShade="BF"/>
          </w:tcPr>
          <w:p w14:paraId="6C33BC01" w14:textId="77777777" w:rsidR="000A7D9D" w:rsidRPr="00EC1412" w:rsidRDefault="000A7D9D" w:rsidP="00F31937">
            <w:pPr>
              <w:jc w:val="both"/>
              <w:rPr>
                <w:b/>
                <w:caps/>
                <w:noProof/>
                <w:sz w:val="18"/>
                <w:szCs w:val="18"/>
              </w:rPr>
            </w:pPr>
            <w:r w:rsidRPr="00EC1412">
              <w:rPr>
                <w:b/>
                <w:caps/>
                <w:noProof/>
                <w:sz w:val="18"/>
                <w:szCs w:val="18"/>
              </w:rPr>
              <w:t>SUm</w:t>
            </w:r>
          </w:p>
        </w:tc>
        <w:tc>
          <w:tcPr>
            <w:tcW w:w="426" w:type="dxa"/>
            <w:tcBorders>
              <w:left w:val="single" w:sz="4" w:space="0" w:color="auto"/>
              <w:right w:val="dotted" w:sz="4" w:space="0" w:color="auto"/>
            </w:tcBorders>
            <w:shd w:val="clear" w:color="auto" w:fill="BFBFBF" w:themeFill="background1" w:themeFillShade="BF"/>
          </w:tcPr>
          <w:p w14:paraId="17C05233" w14:textId="77777777" w:rsidR="000A7D9D" w:rsidRPr="00EC1412" w:rsidRDefault="000A7D9D" w:rsidP="00F31937">
            <w:pPr>
              <w:jc w:val="right"/>
              <w:rPr>
                <w:b/>
                <w:caps/>
                <w:noProof/>
                <w:sz w:val="18"/>
                <w:szCs w:val="18"/>
              </w:rPr>
            </w:pPr>
            <w:r>
              <w:rPr>
                <w:b/>
                <w:caps/>
                <w:noProof/>
                <w:sz w:val="18"/>
                <w:szCs w:val="18"/>
              </w:rPr>
              <w:t>15</w:t>
            </w:r>
          </w:p>
        </w:tc>
        <w:tc>
          <w:tcPr>
            <w:tcW w:w="425" w:type="dxa"/>
            <w:tcBorders>
              <w:left w:val="dotted" w:sz="4" w:space="0" w:color="auto"/>
              <w:right w:val="single" w:sz="4" w:space="0" w:color="auto"/>
            </w:tcBorders>
            <w:shd w:val="clear" w:color="auto" w:fill="BFBFBF" w:themeFill="background1" w:themeFillShade="BF"/>
          </w:tcPr>
          <w:p w14:paraId="481E2E4B" w14:textId="77777777" w:rsidR="000A7D9D" w:rsidRPr="00EC1412" w:rsidRDefault="000A7D9D" w:rsidP="00F31937">
            <w:pPr>
              <w:jc w:val="right"/>
              <w:rPr>
                <w:b/>
                <w:caps/>
                <w:noProof/>
                <w:sz w:val="18"/>
                <w:szCs w:val="18"/>
              </w:rPr>
            </w:pPr>
            <w:r>
              <w:rPr>
                <w:b/>
                <w:caps/>
                <w:noProof/>
                <w:sz w:val="18"/>
                <w:szCs w:val="18"/>
              </w:rPr>
              <w:t>9</w:t>
            </w:r>
          </w:p>
        </w:tc>
        <w:tc>
          <w:tcPr>
            <w:tcW w:w="425" w:type="dxa"/>
            <w:tcBorders>
              <w:left w:val="single" w:sz="4" w:space="0" w:color="auto"/>
              <w:right w:val="dotted" w:sz="4" w:space="0" w:color="auto"/>
            </w:tcBorders>
            <w:shd w:val="clear" w:color="auto" w:fill="BFBFBF" w:themeFill="background1" w:themeFillShade="BF"/>
          </w:tcPr>
          <w:p w14:paraId="48E2BCD3" w14:textId="77777777" w:rsidR="000A7D9D" w:rsidRPr="00EC1412" w:rsidRDefault="000A7D9D" w:rsidP="00F31937">
            <w:pPr>
              <w:jc w:val="right"/>
              <w:rPr>
                <w:b/>
                <w:caps/>
                <w:noProof/>
                <w:sz w:val="18"/>
                <w:szCs w:val="18"/>
              </w:rPr>
            </w:pPr>
            <w:r>
              <w:rPr>
                <w:b/>
                <w:caps/>
                <w:noProof/>
                <w:sz w:val="18"/>
                <w:szCs w:val="18"/>
              </w:rPr>
              <w:t>18</w:t>
            </w:r>
          </w:p>
        </w:tc>
        <w:tc>
          <w:tcPr>
            <w:tcW w:w="425" w:type="dxa"/>
            <w:tcBorders>
              <w:left w:val="dotted" w:sz="4" w:space="0" w:color="auto"/>
              <w:right w:val="single" w:sz="4" w:space="0" w:color="auto"/>
            </w:tcBorders>
            <w:shd w:val="clear" w:color="auto" w:fill="BFBFBF" w:themeFill="background1" w:themeFillShade="BF"/>
          </w:tcPr>
          <w:p w14:paraId="3D72D2BA" w14:textId="77777777" w:rsidR="000A7D9D" w:rsidRPr="00EC1412" w:rsidRDefault="000A7D9D" w:rsidP="00F31937">
            <w:pPr>
              <w:jc w:val="right"/>
              <w:rPr>
                <w:b/>
                <w:caps/>
                <w:noProof/>
                <w:sz w:val="18"/>
                <w:szCs w:val="18"/>
              </w:rPr>
            </w:pPr>
            <w:r>
              <w:rPr>
                <w:b/>
                <w:caps/>
                <w:noProof/>
                <w:sz w:val="18"/>
                <w:szCs w:val="18"/>
              </w:rPr>
              <w:t>10</w:t>
            </w:r>
          </w:p>
        </w:tc>
        <w:tc>
          <w:tcPr>
            <w:tcW w:w="426" w:type="dxa"/>
            <w:tcBorders>
              <w:left w:val="single" w:sz="4" w:space="0" w:color="auto"/>
              <w:right w:val="dotted" w:sz="4" w:space="0" w:color="auto"/>
            </w:tcBorders>
            <w:shd w:val="clear" w:color="auto" w:fill="BFBFBF" w:themeFill="background1" w:themeFillShade="BF"/>
          </w:tcPr>
          <w:p w14:paraId="790B0EDF" w14:textId="77777777" w:rsidR="000A7D9D" w:rsidRPr="00EC1412" w:rsidRDefault="000A7D9D" w:rsidP="00F31937">
            <w:pPr>
              <w:jc w:val="right"/>
              <w:rPr>
                <w:b/>
                <w:caps/>
                <w:noProof/>
                <w:sz w:val="18"/>
                <w:szCs w:val="18"/>
              </w:rPr>
            </w:pPr>
            <w:r>
              <w:rPr>
                <w:b/>
                <w:caps/>
                <w:noProof/>
                <w:sz w:val="18"/>
                <w:szCs w:val="18"/>
              </w:rPr>
              <w:t>19</w:t>
            </w:r>
          </w:p>
        </w:tc>
        <w:tc>
          <w:tcPr>
            <w:tcW w:w="425" w:type="dxa"/>
            <w:tcBorders>
              <w:left w:val="dotted" w:sz="4" w:space="0" w:color="auto"/>
              <w:right w:val="single" w:sz="4" w:space="0" w:color="auto"/>
            </w:tcBorders>
            <w:shd w:val="clear" w:color="auto" w:fill="BFBFBF" w:themeFill="background1" w:themeFillShade="BF"/>
          </w:tcPr>
          <w:p w14:paraId="38467108" w14:textId="77777777" w:rsidR="000A7D9D" w:rsidRPr="00EC1412" w:rsidRDefault="000A7D9D" w:rsidP="00F31937">
            <w:pPr>
              <w:ind w:left="-102" w:right="-106"/>
              <w:jc w:val="center"/>
              <w:rPr>
                <w:b/>
                <w:caps/>
                <w:noProof/>
                <w:sz w:val="18"/>
                <w:szCs w:val="18"/>
              </w:rPr>
            </w:pPr>
            <w:r>
              <w:rPr>
                <w:b/>
                <w:caps/>
                <w:noProof/>
                <w:sz w:val="18"/>
                <w:szCs w:val="18"/>
              </w:rPr>
              <w:t>10</w:t>
            </w:r>
          </w:p>
        </w:tc>
        <w:tc>
          <w:tcPr>
            <w:tcW w:w="425" w:type="dxa"/>
            <w:tcBorders>
              <w:left w:val="single" w:sz="4" w:space="0" w:color="auto"/>
              <w:right w:val="dotted" w:sz="4" w:space="0" w:color="auto"/>
            </w:tcBorders>
            <w:shd w:val="clear" w:color="auto" w:fill="BFBFBF" w:themeFill="background1" w:themeFillShade="BF"/>
          </w:tcPr>
          <w:p w14:paraId="016B08AA" w14:textId="77777777" w:rsidR="000A7D9D" w:rsidRPr="00EC1412" w:rsidRDefault="000A7D9D" w:rsidP="00F31937">
            <w:pPr>
              <w:jc w:val="right"/>
              <w:rPr>
                <w:b/>
                <w:caps/>
                <w:noProof/>
                <w:sz w:val="18"/>
                <w:szCs w:val="18"/>
              </w:rPr>
            </w:pPr>
            <w:r>
              <w:rPr>
                <w:b/>
                <w:caps/>
                <w:noProof/>
                <w:sz w:val="18"/>
                <w:szCs w:val="18"/>
              </w:rPr>
              <w:t>20</w:t>
            </w:r>
          </w:p>
        </w:tc>
        <w:tc>
          <w:tcPr>
            <w:tcW w:w="425" w:type="dxa"/>
            <w:tcBorders>
              <w:left w:val="dotted" w:sz="4" w:space="0" w:color="auto"/>
              <w:right w:val="single" w:sz="4" w:space="0" w:color="auto"/>
            </w:tcBorders>
            <w:shd w:val="clear" w:color="auto" w:fill="BFBFBF" w:themeFill="background1" w:themeFillShade="BF"/>
          </w:tcPr>
          <w:p w14:paraId="0238238D" w14:textId="77777777" w:rsidR="000A7D9D" w:rsidRPr="00EC1412" w:rsidRDefault="000A7D9D" w:rsidP="00F31937">
            <w:pPr>
              <w:jc w:val="right"/>
              <w:rPr>
                <w:b/>
                <w:caps/>
                <w:noProof/>
                <w:sz w:val="18"/>
                <w:szCs w:val="18"/>
              </w:rPr>
            </w:pPr>
            <w:r>
              <w:rPr>
                <w:b/>
                <w:caps/>
                <w:noProof/>
                <w:sz w:val="18"/>
                <w:szCs w:val="18"/>
              </w:rPr>
              <w:t>9</w:t>
            </w:r>
          </w:p>
        </w:tc>
        <w:tc>
          <w:tcPr>
            <w:tcW w:w="567" w:type="dxa"/>
            <w:tcBorders>
              <w:left w:val="single" w:sz="4" w:space="0" w:color="auto"/>
              <w:right w:val="single" w:sz="4" w:space="0" w:color="auto"/>
            </w:tcBorders>
            <w:shd w:val="clear" w:color="auto" w:fill="BFBFBF" w:themeFill="background1" w:themeFillShade="BF"/>
          </w:tcPr>
          <w:p w14:paraId="3EB877C5" w14:textId="77777777" w:rsidR="000A7D9D" w:rsidRPr="00EC1412" w:rsidRDefault="000A7D9D" w:rsidP="00F31937">
            <w:pPr>
              <w:ind w:left="-107" w:right="-104"/>
              <w:jc w:val="center"/>
              <w:rPr>
                <w:b/>
                <w:caps/>
                <w:noProof/>
                <w:sz w:val="18"/>
                <w:szCs w:val="18"/>
              </w:rPr>
            </w:pPr>
            <w:r w:rsidRPr="00EC1412">
              <w:rPr>
                <w:b/>
                <w:caps/>
                <w:noProof/>
                <w:sz w:val="18"/>
                <w:szCs w:val="18"/>
              </w:rPr>
              <w:t>1</w:t>
            </w:r>
            <w:r>
              <w:rPr>
                <w:b/>
                <w:caps/>
                <w:noProof/>
                <w:sz w:val="18"/>
                <w:szCs w:val="18"/>
              </w:rPr>
              <w:t xml:space="preserve"> 341</w:t>
            </w:r>
          </w:p>
        </w:tc>
        <w:tc>
          <w:tcPr>
            <w:tcW w:w="567" w:type="dxa"/>
            <w:tcBorders>
              <w:left w:val="single" w:sz="4" w:space="0" w:color="auto"/>
              <w:right w:val="single" w:sz="4" w:space="0" w:color="auto"/>
            </w:tcBorders>
            <w:shd w:val="clear" w:color="auto" w:fill="BFBFBF" w:themeFill="background1" w:themeFillShade="BF"/>
          </w:tcPr>
          <w:p w14:paraId="45D79199" w14:textId="77777777" w:rsidR="000A7D9D" w:rsidRPr="00EC1412" w:rsidRDefault="000A7D9D" w:rsidP="00F31937">
            <w:pPr>
              <w:ind w:left="-110" w:right="-112"/>
              <w:jc w:val="center"/>
              <w:rPr>
                <w:b/>
                <w:caps/>
                <w:noProof/>
                <w:sz w:val="18"/>
                <w:szCs w:val="18"/>
              </w:rPr>
            </w:pPr>
            <w:r w:rsidRPr="00EC1412">
              <w:rPr>
                <w:b/>
                <w:caps/>
                <w:noProof/>
                <w:sz w:val="18"/>
                <w:szCs w:val="18"/>
              </w:rPr>
              <w:t>1</w:t>
            </w:r>
            <w:r>
              <w:rPr>
                <w:b/>
                <w:caps/>
                <w:noProof/>
                <w:sz w:val="18"/>
                <w:szCs w:val="18"/>
              </w:rPr>
              <w:t xml:space="preserve"> 364</w:t>
            </w:r>
          </w:p>
        </w:tc>
        <w:tc>
          <w:tcPr>
            <w:tcW w:w="567" w:type="dxa"/>
            <w:tcBorders>
              <w:left w:val="single" w:sz="4" w:space="0" w:color="auto"/>
              <w:right w:val="single" w:sz="4" w:space="0" w:color="auto"/>
            </w:tcBorders>
            <w:shd w:val="clear" w:color="auto" w:fill="BFBFBF" w:themeFill="background1" w:themeFillShade="BF"/>
          </w:tcPr>
          <w:p w14:paraId="79F981AE" w14:textId="77777777" w:rsidR="000A7D9D" w:rsidRPr="00EC1412" w:rsidRDefault="000A7D9D" w:rsidP="00F31937">
            <w:pPr>
              <w:ind w:left="-102" w:right="-110"/>
              <w:jc w:val="center"/>
              <w:rPr>
                <w:b/>
                <w:caps/>
                <w:noProof/>
                <w:sz w:val="18"/>
                <w:szCs w:val="18"/>
              </w:rPr>
            </w:pPr>
            <w:r w:rsidRPr="00EC1412">
              <w:rPr>
                <w:b/>
                <w:caps/>
                <w:noProof/>
                <w:sz w:val="18"/>
                <w:szCs w:val="18"/>
              </w:rPr>
              <w:t>1</w:t>
            </w:r>
            <w:r>
              <w:rPr>
                <w:b/>
                <w:caps/>
                <w:noProof/>
                <w:sz w:val="18"/>
                <w:szCs w:val="18"/>
              </w:rPr>
              <w:t xml:space="preserve"> 257</w:t>
            </w:r>
          </w:p>
        </w:tc>
        <w:tc>
          <w:tcPr>
            <w:tcW w:w="567" w:type="dxa"/>
            <w:tcBorders>
              <w:left w:val="single" w:sz="4" w:space="0" w:color="auto"/>
            </w:tcBorders>
            <w:shd w:val="clear" w:color="auto" w:fill="BFBFBF" w:themeFill="background1" w:themeFillShade="BF"/>
          </w:tcPr>
          <w:p w14:paraId="73F0EE03" w14:textId="77777777" w:rsidR="000A7D9D" w:rsidRPr="00EC1412" w:rsidRDefault="000A7D9D" w:rsidP="00F31937">
            <w:pPr>
              <w:ind w:left="-104" w:right="-107"/>
              <w:jc w:val="center"/>
              <w:rPr>
                <w:b/>
                <w:caps/>
                <w:noProof/>
                <w:sz w:val="18"/>
                <w:szCs w:val="18"/>
              </w:rPr>
            </w:pPr>
            <w:r w:rsidRPr="00EC1412">
              <w:rPr>
                <w:b/>
                <w:caps/>
                <w:noProof/>
                <w:sz w:val="18"/>
                <w:szCs w:val="18"/>
              </w:rPr>
              <w:t>1</w:t>
            </w:r>
            <w:r>
              <w:rPr>
                <w:b/>
                <w:caps/>
                <w:noProof/>
                <w:sz w:val="18"/>
                <w:szCs w:val="18"/>
              </w:rPr>
              <w:t xml:space="preserve"> </w:t>
            </w:r>
            <w:r w:rsidRPr="00EC1412">
              <w:rPr>
                <w:b/>
                <w:caps/>
                <w:noProof/>
                <w:sz w:val="18"/>
                <w:szCs w:val="18"/>
              </w:rPr>
              <w:t>283</w:t>
            </w:r>
          </w:p>
        </w:tc>
      </w:tr>
    </w:tbl>
    <w:p w14:paraId="67CB358B" w14:textId="77777777" w:rsidR="000A7D9D" w:rsidRPr="00EC1412" w:rsidRDefault="000A7D9D" w:rsidP="000A7D9D">
      <w:pPr>
        <w:spacing w:after="120"/>
        <w:jc w:val="both"/>
        <w:rPr>
          <w:rFonts w:ascii="Times New Roman" w:hAnsi="Times New Roman" w:cs="Times New Roman"/>
          <w:noProof/>
        </w:rPr>
      </w:pPr>
    </w:p>
    <w:tbl>
      <w:tblPr>
        <w:tblStyle w:val="TableGrid"/>
        <w:tblW w:w="9634" w:type="dxa"/>
        <w:tblLayout w:type="fixed"/>
        <w:tblLook w:val="04A0" w:firstRow="1" w:lastRow="0" w:firstColumn="1" w:lastColumn="0" w:noHBand="0" w:noVBand="1"/>
      </w:tblPr>
      <w:tblGrid>
        <w:gridCol w:w="3964"/>
        <w:gridCol w:w="426"/>
        <w:gridCol w:w="425"/>
        <w:gridCol w:w="425"/>
        <w:gridCol w:w="425"/>
        <w:gridCol w:w="426"/>
        <w:gridCol w:w="425"/>
        <w:gridCol w:w="425"/>
        <w:gridCol w:w="425"/>
        <w:gridCol w:w="567"/>
        <w:gridCol w:w="567"/>
        <w:gridCol w:w="567"/>
        <w:gridCol w:w="567"/>
      </w:tblGrid>
      <w:tr w:rsidR="000A7D9D" w:rsidRPr="00EC1412" w14:paraId="087DE966" w14:textId="77777777" w:rsidTr="00F31937">
        <w:tc>
          <w:tcPr>
            <w:tcW w:w="9634" w:type="dxa"/>
            <w:gridSpan w:val="13"/>
            <w:tcBorders>
              <w:bottom w:val="single" w:sz="4" w:space="0" w:color="auto"/>
            </w:tcBorders>
            <w:shd w:val="clear" w:color="auto" w:fill="A6A6A6" w:themeFill="background1" w:themeFillShade="A6"/>
          </w:tcPr>
          <w:p w14:paraId="79D20104" w14:textId="77777777" w:rsidR="000A7D9D" w:rsidRPr="00EC1412" w:rsidRDefault="000A7D9D" w:rsidP="00F31937">
            <w:pPr>
              <w:spacing w:before="60" w:after="60"/>
              <w:jc w:val="both"/>
              <w:rPr>
                <w:b/>
                <w:caps/>
                <w:noProof/>
                <w:sz w:val="18"/>
                <w:szCs w:val="18"/>
              </w:rPr>
            </w:pPr>
            <w:r w:rsidRPr="00EC1412">
              <w:rPr>
                <w:b/>
                <w:noProof/>
                <w:sz w:val="18"/>
                <w:szCs w:val="18"/>
              </w:rPr>
              <w:t xml:space="preserve">Table 15. ECHA pending resource needs per legislative proposal (operational costs in </w:t>
            </w:r>
            <w:r>
              <w:rPr>
                <w:b/>
                <w:noProof/>
                <w:sz w:val="18"/>
                <w:szCs w:val="18"/>
              </w:rPr>
              <w:t xml:space="preserve">EUR </w:t>
            </w:r>
            <w:r w:rsidRPr="00EC1412">
              <w:rPr>
                <w:b/>
                <w:noProof/>
                <w:sz w:val="18"/>
                <w:szCs w:val="18"/>
              </w:rPr>
              <w:t>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17CBFDF3" w14:textId="77777777" w:rsidTr="00F31937">
        <w:tc>
          <w:tcPr>
            <w:tcW w:w="3964" w:type="dxa"/>
            <w:tcBorders>
              <w:bottom w:val="single" w:sz="4" w:space="0" w:color="auto"/>
            </w:tcBorders>
            <w:shd w:val="clear" w:color="auto" w:fill="BFBFBF" w:themeFill="background1" w:themeFillShade="BF"/>
          </w:tcPr>
          <w:p w14:paraId="616F93BE" w14:textId="77777777" w:rsidR="000A7D9D" w:rsidRPr="00EC1412" w:rsidRDefault="000A7D9D" w:rsidP="00F31937">
            <w:pPr>
              <w:jc w:val="both"/>
              <w:rPr>
                <w:caps/>
                <w:noProof/>
                <w:sz w:val="18"/>
                <w:szCs w:val="18"/>
              </w:rPr>
            </w:pPr>
          </w:p>
        </w:tc>
        <w:tc>
          <w:tcPr>
            <w:tcW w:w="3402" w:type="dxa"/>
            <w:gridSpan w:val="8"/>
            <w:tcBorders>
              <w:bottom w:val="single" w:sz="4" w:space="0" w:color="auto"/>
            </w:tcBorders>
            <w:shd w:val="clear" w:color="auto" w:fill="BFBFBF" w:themeFill="background1" w:themeFillShade="BF"/>
          </w:tcPr>
          <w:p w14:paraId="1083C7E1" w14:textId="77777777" w:rsidR="000A7D9D" w:rsidRPr="00EC1412" w:rsidRDefault="000A7D9D" w:rsidP="00F31937">
            <w:pPr>
              <w:jc w:val="center"/>
              <w:rPr>
                <w:b/>
                <w:caps/>
                <w:noProof/>
                <w:sz w:val="18"/>
                <w:szCs w:val="18"/>
              </w:rPr>
            </w:pPr>
            <w:r w:rsidRPr="00EC1412">
              <w:rPr>
                <w:b/>
                <w:noProof/>
                <w:sz w:val="18"/>
                <w:szCs w:val="18"/>
              </w:rPr>
              <w:t>FTEs</w:t>
            </w:r>
          </w:p>
        </w:tc>
        <w:tc>
          <w:tcPr>
            <w:tcW w:w="2268" w:type="dxa"/>
            <w:gridSpan w:val="4"/>
            <w:tcBorders>
              <w:bottom w:val="single" w:sz="4" w:space="0" w:color="auto"/>
            </w:tcBorders>
            <w:shd w:val="clear" w:color="auto" w:fill="BFBFBF" w:themeFill="background1" w:themeFillShade="BF"/>
          </w:tcPr>
          <w:p w14:paraId="2A97ACC6"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142C44C3" w14:textId="77777777" w:rsidTr="00F31937">
        <w:tc>
          <w:tcPr>
            <w:tcW w:w="3964" w:type="dxa"/>
            <w:tcBorders>
              <w:bottom w:val="single" w:sz="4" w:space="0" w:color="auto"/>
              <w:right w:val="single" w:sz="4" w:space="0" w:color="auto"/>
            </w:tcBorders>
            <w:shd w:val="clear" w:color="auto" w:fill="BFBFBF" w:themeFill="background1" w:themeFillShade="BF"/>
          </w:tcPr>
          <w:p w14:paraId="07DA1AD6"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55444920" w14:textId="77777777" w:rsidR="000A7D9D" w:rsidRPr="00EC1412" w:rsidRDefault="000A7D9D" w:rsidP="00F31937">
            <w:pPr>
              <w:ind w:left="-112"/>
              <w:jc w:val="center"/>
              <w:rPr>
                <w:b/>
                <w:caps/>
                <w:noProof/>
                <w:sz w:val="18"/>
                <w:szCs w:val="18"/>
              </w:rPr>
            </w:pPr>
            <w:r w:rsidRPr="00EC1412">
              <w:rPr>
                <w:b/>
                <w:caps/>
                <w:noProof/>
                <w:sz w:val="18"/>
                <w:szCs w:val="18"/>
              </w:rPr>
              <w:t>202</w:t>
            </w:r>
            <w:r>
              <w:rPr>
                <w:b/>
                <w:caps/>
                <w:noProof/>
                <w:sz w:val="18"/>
                <w:szCs w:val="18"/>
              </w:rPr>
              <w:t>5</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37B6321C" w14:textId="77777777" w:rsidR="000A7D9D" w:rsidRPr="00EC1412" w:rsidRDefault="000A7D9D" w:rsidP="00F31937">
            <w:pPr>
              <w:ind w:left="-113"/>
              <w:jc w:val="center"/>
              <w:rPr>
                <w:b/>
                <w:caps/>
                <w:noProof/>
                <w:sz w:val="18"/>
                <w:szCs w:val="18"/>
              </w:rPr>
            </w:pPr>
            <w:r w:rsidRPr="00EC1412">
              <w:rPr>
                <w:b/>
                <w:caps/>
                <w:noProof/>
                <w:sz w:val="18"/>
                <w:szCs w:val="18"/>
              </w:rPr>
              <w:t>202</w:t>
            </w:r>
            <w:r>
              <w:rPr>
                <w:b/>
                <w:caps/>
                <w:noProof/>
                <w:sz w:val="18"/>
                <w:szCs w:val="18"/>
              </w:rPr>
              <w:t>6</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63AD1BB6" w14:textId="77777777" w:rsidR="000A7D9D" w:rsidRPr="00EC1412" w:rsidRDefault="000A7D9D" w:rsidP="00F31937">
            <w:pPr>
              <w:ind w:left="-107"/>
              <w:jc w:val="center"/>
              <w:rPr>
                <w:b/>
                <w:caps/>
                <w:noProof/>
                <w:sz w:val="18"/>
                <w:szCs w:val="18"/>
              </w:rPr>
            </w:pPr>
            <w:r w:rsidRPr="00EC1412">
              <w:rPr>
                <w:b/>
                <w:caps/>
                <w:noProof/>
                <w:sz w:val="18"/>
                <w:szCs w:val="18"/>
              </w:rPr>
              <w:t>202</w:t>
            </w:r>
            <w:r>
              <w:rPr>
                <w:b/>
                <w:caps/>
                <w:noProof/>
                <w:sz w:val="18"/>
                <w:szCs w:val="18"/>
              </w:rPr>
              <w:t>7</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030CF029" w14:textId="77777777" w:rsidR="000A7D9D" w:rsidRPr="00EC1412" w:rsidRDefault="000A7D9D" w:rsidP="00F31937">
            <w:pPr>
              <w:ind w:left="-105"/>
              <w:jc w:val="center"/>
              <w:rPr>
                <w:b/>
                <w:caps/>
                <w:noProof/>
                <w:sz w:val="18"/>
                <w:szCs w:val="18"/>
              </w:rPr>
            </w:pPr>
            <w:r w:rsidRPr="00EC1412">
              <w:rPr>
                <w:b/>
                <w:caps/>
                <w:noProof/>
                <w:sz w:val="18"/>
                <w:szCs w:val="18"/>
              </w:rPr>
              <w:t>202</w:t>
            </w:r>
            <w:r>
              <w:rPr>
                <w:b/>
                <w:caps/>
                <w:noProof/>
                <w:sz w:val="18"/>
                <w:szCs w:val="18"/>
              </w:rPr>
              <w:t>8</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2265FC9C" w14:textId="77777777" w:rsidR="000A7D9D" w:rsidRPr="00EC1412" w:rsidRDefault="000A7D9D" w:rsidP="00F31937">
            <w:pPr>
              <w:ind w:left="-108"/>
              <w:jc w:val="right"/>
              <w:rPr>
                <w:b/>
                <w:caps/>
                <w:noProof/>
                <w:sz w:val="18"/>
                <w:szCs w:val="18"/>
              </w:rPr>
            </w:pPr>
            <w:r w:rsidRPr="00EC1412">
              <w:rPr>
                <w:b/>
                <w:caps/>
                <w:noProof/>
                <w:sz w:val="18"/>
                <w:szCs w:val="18"/>
              </w:rPr>
              <w:t>202</w:t>
            </w:r>
            <w:r>
              <w:rPr>
                <w:b/>
                <w:caps/>
                <w:noProof/>
                <w:sz w:val="18"/>
                <w:szCs w:val="18"/>
              </w:rPr>
              <w:t>5</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3D98AA7E" w14:textId="77777777" w:rsidR="000A7D9D" w:rsidRPr="00EC1412" w:rsidRDefault="000A7D9D" w:rsidP="00F31937">
            <w:pPr>
              <w:ind w:left="-108"/>
              <w:jc w:val="right"/>
              <w:rPr>
                <w:b/>
                <w:caps/>
                <w:noProof/>
                <w:sz w:val="18"/>
                <w:szCs w:val="18"/>
              </w:rPr>
            </w:pPr>
            <w:r w:rsidRPr="00EC1412">
              <w:rPr>
                <w:b/>
                <w:caps/>
                <w:noProof/>
                <w:sz w:val="18"/>
                <w:szCs w:val="18"/>
              </w:rPr>
              <w:t>202</w:t>
            </w:r>
            <w:r>
              <w:rPr>
                <w:b/>
                <w:caps/>
                <w:noProof/>
                <w:sz w:val="18"/>
                <w:szCs w:val="18"/>
              </w:rPr>
              <w:t>6</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24D168A2" w14:textId="77777777" w:rsidR="000A7D9D" w:rsidRPr="00EC1412" w:rsidRDefault="000A7D9D" w:rsidP="00F31937">
            <w:pPr>
              <w:ind w:left="-108"/>
              <w:jc w:val="right"/>
              <w:rPr>
                <w:b/>
                <w:caps/>
                <w:noProof/>
                <w:sz w:val="18"/>
                <w:szCs w:val="18"/>
              </w:rPr>
            </w:pPr>
            <w:r w:rsidRPr="00EC1412">
              <w:rPr>
                <w:b/>
                <w:caps/>
                <w:noProof/>
                <w:sz w:val="18"/>
                <w:szCs w:val="18"/>
              </w:rPr>
              <w:t>202</w:t>
            </w:r>
            <w:r>
              <w:rPr>
                <w:b/>
                <w:caps/>
                <w:noProof/>
                <w:sz w:val="18"/>
                <w:szCs w:val="18"/>
              </w:rPr>
              <w:t>7</w:t>
            </w:r>
          </w:p>
        </w:tc>
        <w:tc>
          <w:tcPr>
            <w:tcW w:w="567" w:type="dxa"/>
            <w:tcBorders>
              <w:left w:val="single" w:sz="4" w:space="0" w:color="auto"/>
              <w:bottom w:val="single" w:sz="4" w:space="0" w:color="auto"/>
            </w:tcBorders>
            <w:shd w:val="clear" w:color="auto" w:fill="BFBFBF" w:themeFill="background1" w:themeFillShade="BF"/>
          </w:tcPr>
          <w:p w14:paraId="10A7E5EC" w14:textId="77777777" w:rsidR="000A7D9D" w:rsidRPr="00EC1412" w:rsidRDefault="000A7D9D" w:rsidP="00F31937">
            <w:pPr>
              <w:ind w:left="-108"/>
              <w:jc w:val="right"/>
              <w:rPr>
                <w:b/>
                <w:caps/>
                <w:noProof/>
                <w:sz w:val="18"/>
                <w:szCs w:val="18"/>
              </w:rPr>
            </w:pPr>
            <w:r w:rsidRPr="00EC1412">
              <w:rPr>
                <w:b/>
                <w:caps/>
                <w:noProof/>
                <w:sz w:val="18"/>
                <w:szCs w:val="18"/>
              </w:rPr>
              <w:t>202</w:t>
            </w:r>
            <w:r>
              <w:rPr>
                <w:b/>
                <w:caps/>
                <w:noProof/>
                <w:sz w:val="18"/>
                <w:szCs w:val="18"/>
              </w:rPr>
              <w:t>8</w:t>
            </w:r>
          </w:p>
        </w:tc>
      </w:tr>
      <w:tr w:rsidR="000A7D9D" w:rsidRPr="00EC1412" w14:paraId="5F7664AE" w14:textId="77777777" w:rsidTr="00F31937">
        <w:tc>
          <w:tcPr>
            <w:tcW w:w="3964" w:type="dxa"/>
            <w:tcBorders>
              <w:bottom w:val="single" w:sz="4" w:space="0" w:color="auto"/>
              <w:right w:val="single" w:sz="4" w:space="0" w:color="auto"/>
            </w:tcBorders>
            <w:shd w:val="clear" w:color="auto" w:fill="BFBFBF" w:themeFill="background1" w:themeFillShade="BF"/>
          </w:tcPr>
          <w:p w14:paraId="01569EE5" w14:textId="77777777" w:rsidR="000A7D9D" w:rsidRPr="00EC1412" w:rsidRDefault="000A7D9D" w:rsidP="00F31937">
            <w:pPr>
              <w:jc w:val="both"/>
              <w:rPr>
                <w:b/>
                <w:noProof/>
                <w:sz w:val="18"/>
                <w:szCs w:val="18"/>
              </w:rPr>
            </w:pP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731A778D" w14:textId="77777777" w:rsidR="000A7D9D" w:rsidRPr="00EC1412" w:rsidRDefault="000A7D9D" w:rsidP="00F31937">
            <w:pPr>
              <w:ind w:left="-112"/>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59695D8D" w14:textId="77777777" w:rsidR="000A7D9D" w:rsidRPr="00EC1412" w:rsidRDefault="000A7D9D" w:rsidP="00F31937">
            <w:pPr>
              <w:ind w:left="-112"/>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3A36BCDF" w14:textId="77777777" w:rsidR="000A7D9D" w:rsidRPr="00EC1412" w:rsidRDefault="000A7D9D" w:rsidP="00F31937">
            <w:pPr>
              <w:ind w:left="-113"/>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60F877E6" w14:textId="77777777" w:rsidR="000A7D9D" w:rsidRPr="00EC1412" w:rsidRDefault="000A7D9D" w:rsidP="00F31937">
            <w:pPr>
              <w:ind w:left="-113"/>
              <w:jc w:val="right"/>
              <w:rPr>
                <w:b/>
                <w:caps/>
                <w:noProof/>
                <w:sz w:val="18"/>
                <w:szCs w:val="18"/>
              </w:rPr>
            </w:pPr>
            <w:r>
              <w:rPr>
                <w:b/>
                <w:caps/>
                <w:noProof/>
                <w:sz w:val="18"/>
                <w:szCs w:val="18"/>
              </w:rPr>
              <w:t>CA</w:t>
            </w: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371C97EF" w14:textId="77777777" w:rsidR="000A7D9D" w:rsidRPr="00EC1412" w:rsidRDefault="000A7D9D" w:rsidP="00F31937">
            <w:pPr>
              <w:ind w:left="-107"/>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5EFD7C72" w14:textId="77777777" w:rsidR="000A7D9D" w:rsidRPr="00EC1412" w:rsidRDefault="000A7D9D" w:rsidP="00F31937">
            <w:pPr>
              <w:ind w:left="-107"/>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3D9C0C56"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269220CD" w14:textId="77777777" w:rsidR="000A7D9D" w:rsidRPr="00EC1412" w:rsidRDefault="000A7D9D" w:rsidP="00F31937">
            <w:pPr>
              <w:ind w:left="-105"/>
              <w:jc w:val="right"/>
              <w:rPr>
                <w:b/>
                <w:caps/>
                <w:noProof/>
                <w:sz w:val="18"/>
                <w:szCs w:val="18"/>
              </w:rPr>
            </w:pPr>
            <w:r>
              <w:rPr>
                <w:b/>
                <w:caps/>
                <w:noProof/>
                <w:sz w:val="18"/>
                <w:szCs w:val="18"/>
              </w:rPr>
              <w:t>CA</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4F011EFB" w14:textId="77777777" w:rsidR="000A7D9D" w:rsidRPr="00EC1412" w:rsidRDefault="000A7D9D" w:rsidP="00F31937">
            <w:pPr>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790E5A19" w14:textId="77777777" w:rsidR="000A7D9D" w:rsidRPr="00EC1412" w:rsidRDefault="000A7D9D" w:rsidP="00F31937">
            <w:pPr>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36A365E5" w14:textId="77777777" w:rsidR="000A7D9D" w:rsidRPr="00EC1412" w:rsidRDefault="000A7D9D" w:rsidP="00F31937">
            <w:pPr>
              <w:jc w:val="right"/>
              <w:rPr>
                <w:b/>
                <w:caps/>
                <w:noProof/>
                <w:sz w:val="18"/>
                <w:szCs w:val="18"/>
              </w:rPr>
            </w:pPr>
          </w:p>
        </w:tc>
        <w:tc>
          <w:tcPr>
            <w:tcW w:w="567" w:type="dxa"/>
            <w:tcBorders>
              <w:left w:val="single" w:sz="4" w:space="0" w:color="auto"/>
              <w:bottom w:val="single" w:sz="4" w:space="0" w:color="auto"/>
            </w:tcBorders>
            <w:shd w:val="clear" w:color="auto" w:fill="BFBFBF" w:themeFill="background1" w:themeFillShade="BF"/>
          </w:tcPr>
          <w:p w14:paraId="3588E2ED" w14:textId="77777777" w:rsidR="000A7D9D" w:rsidRPr="00EC1412" w:rsidRDefault="000A7D9D" w:rsidP="00F31937">
            <w:pPr>
              <w:jc w:val="right"/>
              <w:rPr>
                <w:b/>
                <w:caps/>
                <w:noProof/>
                <w:sz w:val="18"/>
                <w:szCs w:val="18"/>
              </w:rPr>
            </w:pPr>
          </w:p>
        </w:tc>
      </w:tr>
      <w:tr w:rsidR="000A7D9D" w:rsidRPr="00EC1412" w14:paraId="37C49A69" w14:textId="77777777" w:rsidTr="00F31937">
        <w:tc>
          <w:tcPr>
            <w:tcW w:w="9634" w:type="dxa"/>
            <w:gridSpan w:val="13"/>
            <w:tcBorders>
              <w:bottom w:val="single" w:sz="4" w:space="0" w:color="auto"/>
            </w:tcBorders>
            <w:shd w:val="clear" w:color="auto" w:fill="BFBFBF" w:themeFill="background1" w:themeFillShade="BF"/>
          </w:tcPr>
          <w:p w14:paraId="5C014518" w14:textId="77777777" w:rsidR="000A7D9D" w:rsidRPr="00EC1412" w:rsidRDefault="000A7D9D" w:rsidP="00F31937">
            <w:pPr>
              <w:rPr>
                <w:b/>
                <w:caps/>
                <w:noProof/>
                <w:sz w:val="18"/>
                <w:szCs w:val="18"/>
              </w:rPr>
            </w:pPr>
            <w:r>
              <w:rPr>
                <w:b/>
                <w:noProof/>
                <w:sz w:val="18"/>
                <w:szCs w:val="18"/>
              </w:rPr>
              <w:t>Already proposed by the Commission (but without resources)</w:t>
            </w:r>
          </w:p>
        </w:tc>
      </w:tr>
      <w:tr w:rsidR="000A7D9D" w:rsidRPr="00EC1412" w14:paraId="287E93D6" w14:textId="77777777" w:rsidTr="00F31937">
        <w:tc>
          <w:tcPr>
            <w:tcW w:w="3964" w:type="dxa"/>
            <w:tcBorders>
              <w:bottom w:val="single" w:sz="4" w:space="0" w:color="auto"/>
              <w:right w:val="single" w:sz="4" w:space="0" w:color="auto"/>
            </w:tcBorders>
            <w:shd w:val="clear" w:color="auto" w:fill="FFF4CC"/>
          </w:tcPr>
          <w:p w14:paraId="0C648F2E" w14:textId="77777777" w:rsidR="000A7D9D" w:rsidRPr="00EC1412" w:rsidRDefault="000A7D9D" w:rsidP="00F31937">
            <w:pPr>
              <w:jc w:val="both"/>
              <w:rPr>
                <w:noProof/>
                <w:sz w:val="18"/>
                <w:szCs w:val="18"/>
              </w:rPr>
            </w:pPr>
            <w:r w:rsidRPr="00EC1412">
              <w:rPr>
                <w:noProof/>
                <w:sz w:val="18"/>
                <w:szCs w:val="18"/>
              </w:rPr>
              <w:t xml:space="preserve">CLP Regulation  </w:t>
            </w:r>
          </w:p>
        </w:tc>
        <w:tc>
          <w:tcPr>
            <w:tcW w:w="426" w:type="dxa"/>
            <w:tcBorders>
              <w:left w:val="single" w:sz="4" w:space="0" w:color="auto"/>
              <w:bottom w:val="single" w:sz="4" w:space="0" w:color="auto"/>
              <w:right w:val="dotted" w:sz="4" w:space="0" w:color="auto"/>
            </w:tcBorders>
            <w:shd w:val="clear" w:color="auto" w:fill="FFF4CC"/>
          </w:tcPr>
          <w:p w14:paraId="08D593CF"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0494133E"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single" w:sz="4" w:space="0" w:color="auto"/>
              <w:bottom w:val="single" w:sz="4" w:space="0" w:color="auto"/>
              <w:right w:val="dotted" w:sz="4" w:space="0" w:color="auto"/>
            </w:tcBorders>
            <w:shd w:val="clear" w:color="auto" w:fill="FFF4CC"/>
          </w:tcPr>
          <w:p w14:paraId="3FB2D6FD"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4AEE7ADB" w14:textId="77777777" w:rsidR="000A7D9D" w:rsidRPr="00EC1412" w:rsidRDefault="000A7D9D" w:rsidP="00F31937">
            <w:pPr>
              <w:jc w:val="right"/>
              <w:rPr>
                <w:caps/>
                <w:noProof/>
                <w:sz w:val="18"/>
                <w:szCs w:val="18"/>
              </w:rPr>
            </w:pPr>
            <w:r>
              <w:rPr>
                <w:caps/>
                <w:noProof/>
                <w:sz w:val="18"/>
                <w:szCs w:val="18"/>
              </w:rPr>
              <w:t>2</w:t>
            </w:r>
          </w:p>
        </w:tc>
        <w:tc>
          <w:tcPr>
            <w:tcW w:w="426" w:type="dxa"/>
            <w:tcBorders>
              <w:left w:val="single" w:sz="4" w:space="0" w:color="auto"/>
              <w:bottom w:val="single" w:sz="4" w:space="0" w:color="auto"/>
              <w:right w:val="dotted" w:sz="4" w:space="0" w:color="auto"/>
            </w:tcBorders>
            <w:shd w:val="clear" w:color="auto" w:fill="FFF4CC"/>
          </w:tcPr>
          <w:p w14:paraId="39EC0052"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2DD51EAF"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single" w:sz="4" w:space="0" w:color="auto"/>
              <w:bottom w:val="single" w:sz="4" w:space="0" w:color="auto"/>
              <w:right w:val="dotted" w:sz="4" w:space="0" w:color="auto"/>
            </w:tcBorders>
            <w:shd w:val="clear" w:color="auto" w:fill="FFF4CC"/>
          </w:tcPr>
          <w:p w14:paraId="6406F1B2"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7973167F" w14:textId="77777777" w:rsidR="000A7D9D" w:rsidRPr="00EC1412" w:rsidRDefault="000A7D9D" w:rsidP="00F31937">
            <w:pPr>
              <w:jc w:val="right"/>
              <w:rPr>
                <w:caps/>
                <w:noProof/>
                <w:sz w:val="18"/>
                <w:szCs w:val="18"/>
              </w:rPr>
            </w:pPr>
            <w:r>
              <w:rPr>
                <w:caps/>
                <w:noProof/>
                <w:sz w:val="18"/>
                <w:szCs w:val="18"/>
              </w:rPr>
              <w:t>2</w:t>
            </w:r>
          </w:p>
        </w:tc>
        <w:tc>
          <w:tcPr>
            <w:tcW w:w="567" w:type="dxa"/>
            <w:tcBorders>
              <w:left w:val="single" w:sz="4" w:space="0" w:color="auto"/>
              <w:bottom w:val="single" w:sz="4" w:space="0" w:color="auto"/>
              <w:right w:val="single" w:sz="4" w:space="0" w:color="auto"/>
            </w:tcBorders>
            <w:shd w:val="clear" w:color="auto" w:fill="FFF4CC"/>
          </w:tcPr>
          <w:p w14:paraId="4F33085D" w14:textId="77777777" w:rsidR="000A7D9D" w:rsidRPr="00EC1412" w:rsidRDefault="000A7D9D" w:rsidP="00F31937">
            <w:pPr>
              <w:jc w:val="right"/>
              <w:rPr>
                <w:noProof/>
                <w:sz w:val="18"/>
                <w:szCs w:val="18"/>
              </w:rPr>
            </w:pPr>
            <w:r w:rsidRPr="00EC1412">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73D4A5EF"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3FEEACF9" w14:textId="77777777" w:rsidR="000A7D9D" w:rsidRPr="00EC1412" w:rsidRDefault="000A7D9D" w:rsidP="00F31937">
            <w:pPr>
              <w:jc w:val="right"/>
              <w:rPr>
                <w:noProof/>
                <w:sz w:val="18"/>
                <w:szCs w:val="18"/>
              </w:rPr>
            </w:pPr>
            <w:r w:rsidRPr="00EC1412">
              <w:rPr>
                <w:noProof/>
                <w:sz w:val="18"/>
                <w:szCs w:val="18"/>
              </w:rPr>
              <w:t>0</w:t>
            </w:r>
          </w:p>
        </w:tc>
        <w:tc>
          <w:tcPr>
            <w:tcW w:w="567" w:type="dxa"/>
            <w:tcBorders>
              <w:left w:val="single" w:sz="4" w:space="0" w:color="auto"/>
              <w:bottom w:val="single" w:sz="4" w:space="0" w:color="auto"/>
            </w:tcBorders>
            <w:shd w:val="clear" w:color="auto" w:fill="FFF4CC"/>
          </w:tcPr>
          <w:p w14:paraId="426E9CB5" w14:textId="77777777" w:rsidR="000A7D9D" w:rsidRPr="00EC1412" w:rsidRDefault="000A7D9D" w:rsidP="00F31937">
            <w:pPr>
              <w:jc w:val="right"/>
              <w:rPr>
                <w:noProof/>
                <w:sz w:val="18"/>
                <w:szCs w:val="18"/>
              </w:rPr>
            </w:pPr>
            <w:r>
              <w:rPr>
                <w:noProof/>
                <w:sz w:val="18"/>
                <w:szCs w:val="18"/>
              </w:rPr>
              <w:t>0</w:t>
            </w:r>
          </w:p>
        </w:tc>
      </w:tr>
      <w:tr w:rsidR="000A7D9D" w:rsidRPr="00EC1412" w14:paraId="2160382E" w14:textId="77777777" w:rsidTr="00F31937">
        <w:tc>
          <w:tcPr>
            <w:tcW w:w="3964" w:type="dxa"/>
            <w:tcBorders>
              <w:bottom w:val="single" w:sz="4" w:space="0" w:color="auto"/>
              <w:right w:val="single" w:sz="4" w:space="0" w:color="auto"/>
            </w:tcBorders>
            <w:shd w:val="clear" w:color="auto" w:fill="C1ECFF"/>
          </w:tcPr>
          <w:p w14:paraId="1AFA488B" w14:textId="77777777" w:rsidR="000A7D9D" w:rsidRPr="00EC1412" w:rsidRDefault="000A7D9D" w:rsidP="00F31937">
            <w:pPr>
              <w:jc w:val="both"/>
              <w:rPr>
                <w:caps/>
                <w:noProof/>
                <w:sz w:val="18"/>
                <w:szCs w:val="18"/>
              </w:rPr>
            </w:pPr>
            <w:r>
              <w:rPr>
                <w:noProof/>
                <w:sz w:val="18"/>
                <w:szCs w:val="18"/>
              </w:rPr>
              <w:t>Directive on p</w:t>
            </w:r>
            <w:r w:rsidRPr="00EC1412">
              <w:rPr>
                <w:noProof/>
                <w:sz w:val="18"/>
                <w:szCs w:val="18"/>
              </w:rPr>
              <w:t xml:space="preserve">ackaging </w:t>
            </w:r>
            <w:r>
              <w:rPr>
                <w:noProof/>
                <w:sz w:val="18"/>
                <w:szCs w:val="18"/>
              </w:rPr>
              <w:t>and packaging w</w:t>
            </w:r>
            <w:r w:rsidRPr="00EC1412">
              <w:rPr>
                <w:noProof/>
                <w:sz w:val="18"/>
                <w:szCs w:val="18"/>
              </w:rPr>
              <w:t xml:space="preserve">aste </w:t>
            </w:r>
          </w:p>
        </w:tc>
        <w:tc>
          <w:tcPr>
            <w:tcW w:w="426" w:type="dxa"/>
            <w:tcBorders>
              <w:left w:val="single" w:sz="4" w:space="0" w:color="auto"/>
              <w:bottom w:val="single" w:sz="4" w:space="0" w:color="auto"/>
              <w:right w:val="dotted" w:sz="4" w:space="0" w:color="auto"/>
            </w:tcBorders>
            <w:shd w:val="clear" w:color="auto" w:fill="C1ECFF"/>
          </w:tcPr>
          <w:p w14:paraId="0EBDC122"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dotted" w:sz="4" w:space="0" w:color="auto"/>
              <w:bottom w:val="single" w:sz="4" w:space="0" w:color="auto"/>
              <w:right w:val="single" w:sz="4" w:space="0" w:color="auto"/>
            </w:tcBorders>
            <w:shd w:val="clear" w:color="auto" w:fill="C1ECFF"/>
          </w:tcPr>
          <w:p w14:paraId="20A6F784"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40724557"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dotted" w:sz="4" w:space="0" w:color="auto"/>
              <w:bottom w:val="single" w:sz="4" w:space="0" w:color="auto"/>
              <w:right w:val="single" w:sz="4" w:space="0" w:color="auto"/>
            </w:tcBorders>
            <w:shd w:val="clear" w:color="auto" w:fill="C1ECFF"/>
          </w:tcPr>
          <w:p w14:paraId="7ADAF1E5"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C1ECFF"/>
          </w:tcPr>
          <w:p w14:paraId="3C7ECF7C"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dotted" w:sz="4" w:space="0" w:color="auto"/>
              <w:bottom w:val="single" w:sz="4" w:space="0" w:color="auto"/>
              <w:right w:val="single" w:sz="4" w:space="0" w:color="auto"/>
            </w:tcBorders>
            <w:shd w:val="clear" w:color="auto" w:fill="C1ECFF"/>
          </w:tcPr>
          <w:p w14:paraId="67EA9419"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2D406AEF"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1B53233A"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5F7B17B9"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104A0221"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02407160"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tcBorders>
            <w:shd w:val="clear" w:color="auto" w:fill="C1ECFF"/>
          </w:tcPr>
          <w:p w14:paraId="7D4A2AFD" w14:textId="77777777" w:rsidR="000A7D9D" w:rsidRPr="00EC1412" w:rsidRDefault="000A7D9D" w:rsidP="00F31937">
            <w:pPr>
              <w:jc w:val="right"/>
              <w:rPr>
                <w:caps/>
                <w:noProof/>
                <w:sz w:val="18"/>
                <w:szCs w:val="18"/>
              </w:rPr>
            </w:pPr>
            <w:r>
              <w:rPr>
                <w:noProof/>
                <w:sz w:val="18"/>
                <w:szCs w:val="18"/>
              </w:rPr>
              <w:t>0</w:t>
            </w:r>
          </w:p>
        </w:tc>
      </w:tr>
      <w:tr w:rsidR="000A7D9D" w:rsidRPr="00EC1412" w14:paraId="2E6D3071" w14:textId="77777777" w:rsidTr="00F31937">
        <w:tc>
          <w:tcPr>
            <w:tcW w:w="3964" w:type="dxa"/>
            <w:tcBorders>
              <w:bottom w:val="single" w:sz="4" w:space="0" w:color="auto"/>
              <w:right w:val="single" w:sz="4" w:space="0" w:color="auto"/>
            </w:tcBorders>
            <w:shd w:val="clear" w:color="auto" w:fill="FFF4CC"/>
          </w:tcPr>
          <w:p w14:paraId="03580878" w14:textId="77777777" w:rsidR="000A7D9D" w:rsidRDefault="000A7D9D" w:rsidP="00F31937">
            <w:pPr>
              <w:jc w:val="both"/>
              <w:rPr>
                <w:noProof/>
                <w:sz w:val="18"/>
                <w:szCs w:val="18"/>
              </w:rPr>
            </w:pPr>
            <w:r>
              <w:rPr>
                <w:noProof/>
                <w:sz w:val="18"/>
                <w:szCs w:val="18"/>
              </w:rPr>
              <w:t>Directive on e</w:t>
            </w:r>
            <w:r w:rsidRPr="00EC1412">
              <w:rPr>
                <w:noProof/>
                <w:sz w:val="18"/>
                <w:szCs w:val="18"/>
              </w:rPr>
              <w:t>nd-of life-vehicle</w:t>
            </w:r>
            <w:r>
              <w:rPr>
                <w:noProof/>
                <w:sz w:val="18"/>
                <w:szCs w:val="18"/>
              </w:rPr>
              <w:t>s</w:t>
            </w:r>
            <w:r w:rsidRPr="00EC1412">
              <w:rPr>
                <w:noProof/>
                <w:sz w:val="18"/>
                <w:szCs w:val="18"/>
              </w:rPr>
              <w:t xml:space="preserve"> </w:t>
            </w:r>
          </w:p>
        </w:tc>
        <w:tc>
          <w:tcPr>
            <w:tcW w:w="426" w:type="dxa"/>
            <w:tcBorders>
              <w:left w:val="single" w:sz="4" w:space="0" w:color="auto"/>
              <w:bottom w:val="single" w:sz="4" w:space="0" w:color="auto"/>
              <w:right w:val="dotted" w:sz="4" w:space="0" w:color="auto"/>
            </w:tcBorders>
            <w:shd w:val="clear" w:color="auto" w:fill="FFF4CC"/>
          </w:tcPr>
          <w:p w14:paraId="63498935" w14:textId="77777777" w:rsidR="000A7D9D" w:rsidRDefault="000A7D9D" w:rsidP="00F31937">
            <w:pPr>
              <w:jc w:val="right"/>
              <w:rPr>
                <w:caps/>
                <w:noProof/>
                <w:sz w:val="18"/>
                <w:szCs w:val="18"/>
              </w:rPr>
            </w:pPr>
            <w:r w:rsidRPr="00F92C11">
              <w:rPr>
                <w:caps/>
                <w:noProof/>
                <w:sz w:val="18"/>
                <w:szCs w:val="18"/>
              </w:rPr>
              <w:t>1</w:t>
            </w:r>
          </w:p>
        </w:tc>
        <w:tc>
          <w:tcPr>
            <w:tcW w:w="425" w:type="dxa"/>
            <w:tcBorders>
              <w:left w:val="dotted" w:sz="4" w:space="0" w:color="auto"/>
              <w:bottom w:val="single" w:sz="4" w:space="0" w:color="auto"/>
              <w:right w:val="single" w:sz="4" w:space="0" w:color="auto"/>
            </w:tcBorders>
            <w:shd w:val="clear" w:color="auto" w:fill="FFF4CC"/>
          </w:tcPr>
          <w:p w14:paraId="17219724" w14:textId="77777777" w:rsidR="000A7D9D" w:rsidRDefault="000A7D9D" w:rsidP="00F31937">
            <w:pPr>
              <w:jc w:val="right"/>
              <w:rPr>
                <w:caps/>
                <w:noProof/>
                <w:sz w:val="18"/>
                <w:szCs w:val="18"/>
              </w:rPr>
            </w:pPr>
            <w:r w:rsidRPr="00F92C11">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7EAFEE3B" w14:textId="77777777" w:rsidR="000A7D9D" w:rsidRDefault="000A7D9D" w:rsidP="00F31937">
            <w:pPr>
              <w:jc w:val="right"/>
              <w:rPr>
                <w:caps/>
                <w:noProof/>
                <w:sz w:val="18"/>
                <w:szCs w:val="18"/>
              </w:rPr>
            </w:pPr>
            <w:r w:rsidRPr="00F92C11">
              <w:rPr>
                <w:caps/>
                <w:noProof/>
                <w:sz w:val="18"/>
                <w:szCs w:val="18"/>
              </w:rPr>
              <w:t>1</w:t>
            </w:r>
          </w:p>
        </w:tc>
        <w:tc>
          <w:tcPr>
            <w:tcW w:w="425" w:type="dxa"/>
            <w:tcBorders>
              <w:left w:val="dotted" w:sz="4" w:space="0" w:color="auto"/>
              <w:bottom w:val="single" w:sz="4" w:space="0" w:color="auto"/>
              <w:right w:val="single" w:sz="4" w:space="0" w:color="auto"/>
            </w:tcBorders>
            <w:shd w:val="clear" w:color="auto" w:fill="FFF4CC"/>
          </w:tcPr>
          <w:p w14:paraId="3E534971" w14:textId="77777777" w:rsidR="000A7D9D" w:rsidRDefault="000A7D9D" w:rsidP="00F31937">
            <w:pPr>
              <w:jc w:val="right"/>
              <w:rPr>
                <w:caps/>
                <w:noProof/>
                <w:sz w:val="18"/>
                <w:szCs w:val="18"/>
              </w:rPr>
            </w:pPr>
            <w:r w:rsidRPr="00F92C11">
              <w:rPr>
                <w:caps/>
                <w:noProof/>
                <w:sz w:val="18"/>
                <w:szCs w:val="18"/>
              </w:rPr>
              <w:t>0</w:t>
            </w:r>
          </w:p>
        </w:tc>
        <w:tc>
          <w:tcPr>
            <w:tcW w:w="426" w:type="dxa"/>
            <w:tcBorders>
              <w:left w:val="single" w:sz="4" w:space="0" w:color="auto"/>
              <w:bottom w:val="single" w:sz="4" w:space="0" w:color="auto"/>
              <w:right w:val="dotted" w:sz="4" w:space="0" w:color="auto"/>
            </w:tcBorders>
            <w:shd w:val="clear" w:color="auto" w:fill="FFF4CC"/>
          </w:tcPr>
          <w:p w14:paraId="1C353F35" w14:textId="77777777" w:rsidR="000A7D9D" w:rsidRDefault="000A7D9D" w:rsidP="00F31937">
            <w:pPr>
              <w:jc w:val="right"/>
              <w:rPr>
                <w:caps/>
                <w:noProof/>
                <w:sz w:val="18"/>
                <w:szCs w:val="18"/>
              </w:rPr>
            </w:pPr>
            <w:r w:rsidRPr="00F92C11">
              <w:rPr>
                <w:caps/>
                <w:noProof/>
                <w:sz w:val="18"/>
                <w:szCs w:val="18"/>
              </w:rPr>
              <w:t>1</w:t>
            </w:r>
          </w:p>
        </w:tc>
        <w:tc>
          <w:tcPr>
            <w:tcW w:w="425" w:type="dxa"/>
            <w:tcBorders>
              <w:left w:val="dotted" w:sz="4" w:space="0" w:color="auto"/>
              <w:bottom w:val="single" w:sz="4" w:space="0" w:color="auto"/>
              <w:right w:val="single" w:sz="4" w:space="0" w:color="auto"/>
            </w:tcBorders>
            <w:shd w:val="clear" w:color="auto" w:fill="FFF4CC"/>
          </w:tcPr>
          <w:p w14:paraId="41C68ED9" w14:textId="77777777" w:rsidR="000A7D9D" w:rsidRDefault="000A7D9D" w:rsidP="00F31937">
            <w:pPr>
              <w:jc w:val="right"/>
              <w:rPr>
                <w:caps/>
                <w:noProof/>
                <w:sz w:val="18"/>
                <w:szCs w:val="18"/>
              </w:rPr>
            </w:pPr>
            <w:r w:rsidRPr="00F92C11">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7962F651" w14:textId="77777777" w:rsidR="000A7D9D" w:rsidRPr="00EC1412" w:rsidRDefault="000A7D9D" w:rsidP="00F31937">
            <w:pPr>
              <w:jc w:val="right"/>
              <w:rPr>
                <w:caps/>
                <w:noProof/>
                <w:sz w:val="18"/>
                <w:szCs w:val="18"/>
              </w:rPr>
            </w:pPr>
            <w:r w:rsidRPr="00F92C11">
              <w:rPr>
                <w:caps/>
                <w:noProof/>
                <w:sz w:val="18"/>
                <w:szCs w:val="18"/>
              </w:rPr>
              <w:t>1</w:t>
            </w:r>
          </w:p>
        </w:tc>
        <w:tc>
          <w:tcPr>
            <w:tcW w:w="425" w:type="dxa"/>
            <w:tcBorders>
              <w:left w:val="dotted" w:sz="4" w:space="0" w:color="auto"/>
              <w:bottom w:val="single" w:sz="4" w:space="0" w:color="auto"/>
              <w:right w:val="single" w:sz="4" w:space="0" w:color="auto"/>
            </w:tcBorders>
            <w:shd w:val="clear" w:color="auto" w:fill="FFF4CC"/>
          </w:tcPr>
          <w:p w14:paraId="6490794F" w14:textId="77777777" w:rsidR="000A7D9D" w:rsidRPr="00EC1412" w:rsidRDefault="000A7D9D" w:rsidP="00F31937">
            <w:pPr>
              <w:jc w:val="right"/>
              <w:rPr>
                <w:caps/>
                <w:noProof/>
                <w:sz w:val="18"/>
                <w:szCs w:val="18"/>
              </w:rPr>
            </w:pPr>
            <w:r w:rsidRPr="00F92C11">
              <w:rPr>
                <w:caps/>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158ABD85" w14:textId="77777777" w:rsidR="000A7D9D" w:rsidRPr="00EC1412" w:rsidRDefault="000A7D9D" w:rsidP="00F31937">
            <w:pPr>
              <w:jc w:val="right"/>
              <w:rPr>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0695476D" w14:textId="77777777" w:rsidR="000A7D9D" w:rsidRPr="00EC1412" w:rsidRDefault="000A7D9D" w:rsidP="00F31937">
            <w:pPr>
              <w:jc w:val="right"/>
              <w:rPr>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27E1C53D" w14:textId="77777777" w:rsidR="000A7D9D" w:rsidRPr="00EC1412" w:rsidRDefault="000A7D9D" w:rsidP="00F31937">
            <w:pPr>
              <w:jc w:val="right"/>
              <w:rPr>
                <w:noProof/>
                <w:sz w:val="18"/>
                <w:szCs w:val="18"/>
              </w:rPr>
            </w:pPr>
            <w:r>
              <w:rPr>
                <w:caps/>
                <w:noProof/>
                <w:sz w:val="18"/>
                <w:szCs w:val="18"/>
              </w:rPr>
              <w:t>0</w:t>
            </w:r>
          </w:p>
        </w:tc>
        <w:tc>
          <w:tcPr>
            <w:tcW w:w="567" w:type="dxa"/>
            <w:tcBorders>
              <w:left w:val="single" w:sz="4" w:space="0" w:color="auto"/>
              <w:bottom w:val="single" w:sz="4" w:space="0" w:color="auto"/>
            </w:tcBorders>
            <w:shd w:val="clear" w:color="auto" w:fill="FFF4CC"/>
          </w:tcPr>
          <w:p w14:paraId="1B58882F" w14:textId="77777777" w:rsidR="000A7D9D" w:rsidRPr="00EC1412" w:rsidRDefault="000A7D9D" w:rsidP="00F31937">
            <w:pPr>
              <w:jc w:val="right"/>
              <w:rPr>
                <w:noProof/>
                <w:sz w:val="18"/>
                <w:szCs w:val="18"/>
              </w:rPr>
            </w:pPr>
            <w:r>
              <w:rPr>
                <w:caps/>
                <w:noProof/>
                <w:sz w:val="18"/>
                <w:szCs w:val="18"/>
              </w:rPr>
              <w:t>0</w:t>
            </w:r>
          </w:p>
        </w:tc>
      </w:tr>
      <w:tr w:rsidR="000A7D9D" w:rsidRPr="00EC1412" w14:paraId="2E483BFB" w14:textId="77777777" w:rsidTr="00F31937">
        <w:tc>
          <w:tcPr>
            <w:tcW w:w="3964" w:type="dxa"/>
            <w:tcBorders>
              <w:bottom w:val="dotted" w:sz="4" w:space="0" w:color="auto"/>
              <w:right w:val="single" w:sz="4" w:space="0" w:color="auto"/>
            </w:tcBorders>
            <w:shd w:val="clear" w:color="auto" w:fill="C1ECFF"/>
          </w:tcPr>
          <w:p w14:paraId="2DE82FD3" w14:textId="77777777" w:rsidR="000A7D9D" w:rsidRDefault="000A7D9D" w:rsidP="00F31937">
            <w:pPr>
              <w:jc w:val="both"/>
              <w:rPr>
                <w:noProof/>
                <w:sz w:val="18"/>
                <w:szCs w:val="18"/>
              </w:rPr>
            </w:pPr>
            <w:r w:rsidRPr="00EC1412">
              <w:rPr>
                <w:noProof/>
                <w:sz w:val="18"/>
                <w:szCs w:val="18"/>
              </w:rPr>
              <w:t>Toy</w:t>
            </w:r>
            <w:r>
              <w:rPr>
                <w:noProof/>
                <w:sz w:val="18"/>
                <w:szCs w:val="18"/>
              </w:rPr>
              <w:t>s</w:t>
            </w:r>
            <w:r w:rsidRPr="00EC1412">
              <w:rPr>
                <w:noProof/>
                <w:sz w:val="18"/>
                <w:szCs w:val="18"/>
              </w:rPr>
              <w:t xml:space="preserve"> safety directive</w:t>
            </w:r>
          </w:p>
        </w:tc>
        <w:tc>
          <w:tcPr>
            <w:tcW w:w="426" w:type="dxa"/>
            <w:tcBorders>
              <w:left w:val="single" w:sz="4" w:space="0" w:color="auto"/>
              <w:bottom w:val="dotted" w:sz="4" w:space="0" w:color="auto"/>
              <w:right w:val="dotted" w:sz="4" w:space="0" w:color="auto"/>
            </w:tcBorders>
            <w:shd w:val="clear" w:color="auto" w:fill="C1ECFF"/>
          </w:tcPr>
          <w:p w14:paraId="3F7F8426" w14:textId="77777777" w:rsidR="000A7D9D"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dotted" w:sz="4" w:space="0" w:color="auto"/>
              <w:right w:val="single" w:sz="4" w:space="0" w:color="auto"/>
            </w:tcBorders>
            <w:shd w:val="clear" w:color="auto" w:fill="C1ECFF"/>
          </w:tcPr>
          <w:p w14:paraId="19FD7F1F" w14:textId="77777777" w:rsidR="000A7D9D" w:rsidRDefault="000A7D9D" w:rsidP="00F31937">
            <w:pPr>
              <w:jc w:val="right"/>
              <w:rPr>
                <w:caps/>
                <w:noProof/>
                <w:sz w:val="18"/>
                <w:szCs w:val="18"/>
              </w:rPr>
            </w:pPr>
            <w:r>
              <w:rPr>
                <w:caps/>
                <w:noProof/>
                <w:sz w:val="18"/>
                <w:szCs w:val="18"/>
              </w:rPr>
              <w:t>0</w:t>
            </w:r>
          </w:p>
        </w:tc>
        <w:tc>
          <w:tcPr>
            <w:tcW w:w="425" w:type="dxa"/>
            <w:tcBorders>
              <w:left w:val="single" w:sz="4" w:space="0" w:color="auto"/>
              <w:bottom w:val="dotted" w:sz="4" w:space="0" w:color="auto"/>
              <w:right w:val="dotted" w:sz="4" w:space="0" w:color="auto"/>
            </w:tcBorders>
            <w:shd w:val="clear" w:color="auto" w:fill="C1ECFF"/>
          </w:tcPr>
          <w:p w14:paraId="2D028F85" w14:textId="77777777" w:rsidR="000A7D9D"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dotted" w:sz="4" w:space="0" w:color="auto"/>
              <w:right w:val="single" w:sz="4" w:space="0" w:color="auto"/>
            </w:tcBorders>
            <w:shd w:val="clear" w:color="auto" w:fill="C1ECFF"/>
          </w:tcPr>
          <w:p w14:paraId="5648B130" w14:textId="77777777" w:rsidR="000A7D9D" w:rsidRDefault="000A7D9D" w:rsidP="00F31937">
            <w:pPr>
              <w:jc w:val="right"/>
              <w:rPr>
                <w:caps/>
                <w:noProof/>
                <w:sz w:val="18"/>
                <w:szCs w:val="18"/>
              </w:rPr>
            </w:pPr>
            <w:r>
              <w:rPr>
                <w:caps/>
                <w:noProof/>
                <w:sz w:val="18"/>
                <w:szCs w:val="18"/>
              </w:rPr>
              <w:t>0</w:t>
            </w:r>
          </w:p>
        </w:tc>
        <w:tc>
          <w:tcPr>
            <w:tcW w:w="426" w:type="dxa"/>
            <w:tcBorders>
              <w:left w:val="single" w:sz="4" w:space="0" w:color="auto"/>
              <w:bottom w:val="dotted" w:sz="4" w:space="0" w:color="auto"/>
              <w:right w:val="dotted" w:sz="4" w:space="0" w:color="auto"/>
            </w:tcBorders>
            <w:shd w:val="clear" w:color="auto" w:fill="C1ECFF"/>
          </w:tcPr>
          <w:p w14:paraId="3DC27067" w14:textId="77777777" w:rsidR="000A7D9D"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dotted" w:sz="4" w:space="0" w:color="auto"/>
              <w:right w:val="single" w:sz="4" w:space="0" w:color="auto"/>
            </w:tcBorders>
            <w:shd w:val="clear" w:color="auto" w:fill="C1ECFF"/>
          </w:tcPr>
          <w:p w14:paraId="675F03D2" w14:textId="77777777" w:rsidR="000A7D9D" w:rsidRDefault="000A7D9D" w:rsidP="00F31937">
            <w:pPr>
              <w:jc w:val="right"/>
              <w:rPr>
                <w:caps/>
                <w:noProof/>
                <w:sz w:val="18"/>
                <w:szCs w:val="18"/>
              </w:rPr>
            </w:pPr>
            <w:r>
              <w:rPr>
                <w:caps/>
                <w:noProof/>
                <w:sz w:val="18"/>
                <w:szCs w:val="18"/>
              </w:rPr>
              <w:t>0</w:t>
            </w:r>
          </w:p>
        </w:tc>
        <w:tc>
          <w:tcPr>
            <w:tcW w:w="425" w:type="dxa"/>
            <w:tcBorders>
              <w:left w:val="single" w:sz="4" w:space="0" w:color="auto"/>
              <w:bottom w:val="dotted" w:sz="4" w:space="0" w:color="auto"/>
              <w:right w:val="dotted" w:sz="4" w:space="0" w:color="auto"/>
            </w:tcBorders>
            <w:shd w:val="clear" w:color="auto" w:fill="C1ECFF"/>
          </w:tcPr>
          <w:p w14:paraId="4322786A"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dotted" w:sz="4" w:space="0" w:color="auto"/>
              <w:right w:val="single" w:sz="4" w:space="0" w:color="auto"/>
            </w:tcBorders>
            <w:shd w:val="clear" w:color="auto" w:fill="C1ECFF"/>
          </w:tcPr>
          <w:p w14:paraId="1C724E48"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dotted" w:sz="4" w:space="0" w:color="auto"/>
              <w:right w:val="single" w:sz="4" w:space="0" w:color="auto"/>
            </w:tcBorders>
            <w:shd w:val="clear" w:color="auto" w:fill="C1ECFF"/>
          </w:tcPr>
          <w:p w14:paraId="6831D67A"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dotted" w:sz="4" w:space="0" w:color="auto"/>
              <w:right w:val="single" w:sz="4" w:space="0" w:color="auto"/>
            </w:tcBorders>
            <w:shd w:val="clear" w:color="auto" w:fill="C1ECFF"/>
          </w:tcPr>
          <w:p w14:paraId="5AFDFA9C"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dotted" w:sz="4" w:space="0" w:color="auto"/>
              <w:right w:val="single" w:sz="4" w:space="0" w:color="auto"/>
            </w:tcBorders>
            <w:shd w:val="clear" w:color="auto" w:fill="C1ECFF"/>
          </w:tcPr>
          <w:p w14:paraId="5C8408EA"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dotted" w:sz="4" w:space="0" w:color="auto"/>
            </w:tcBorders>
            <w:shd w:val="clear" w:color="auto" w:fill="C1ECFF"/>
          </w:tcPr>
          <w:p w14:paraId="5056D578" w14:textId="77777777" w:rsidR="000A7D9D" w:rsidRPr="00EC1412" w:rsidRDefault="000A7D9D" w:rsidP="00F31937">
            <w:pPr>
              <w:jc w:val="right"/>
              <w:rPr>
                <w:noProof/>
                <w:sz w:val="18"/>
                <w:szCs w:val="18"/>
              </w:rPr>
            </w:pPr>
            <w:r>
              <w:rPr>
                <w:noProof/>
                <w:sz w:val="18"/>
                <w:szCs w:val="18"/>
              </w:rPr>
              <w:t>0</w:t>
            </w:r>
          </w:p>
        </w:tc>
      </w:tr>
      <w:tr w:rsidR="000A7D9D" w:rsidRPr="00EC1412" w14:paraId="24E2D8F0" w14:textId="77777777" w:rsidTr="00F31937">
        <w:trPr>
          <w:trHeight w:val="300"/>
        </w:trPr>
        <w:tc>
          <w:tcPr>
            <w:tcW w:w="9634" w:type="dxa"/>
            <w:gridSpan w:val="13"/>
            <w:tcBorders>
              <w:top w:val="dotted" w:sz="4" w:space="0" w:color="auto"/>
              <w:bottom w:val="single" w:sz="4" w:space="0" w:color="auto"/>
              <w:right w:val="single" w:sz="4" w:space="0" w:color="auto"/>
            </w:tcBorders>
            <w:shd w:val="clear" w:color="auto" w:fill="BFBFBF" w:themeFill="background1" w:themeFillShade="BF"/>
          </w:tcPr>
          <w:p w14:paraId="2431C86E" w14:textId="77777777" w:rsidR="000A7D9D" w:rsidRPr="00EC1412" w:rsidRDefault="000A7D9D" w:rsidP="00F31937">
            <w:pPr>
              <w:ind w:right="-110"/>
              <w:rPr>
                <w:b/>
                <w:caps/>
                <w:noProof/>
                <w:sz w:val="18"/>
                <w:szCs w:val="18"/>
              </w:rPr>
            </w:pPr>
            <w:r>
              <w:rPr>
                <w:b/>
                <w:noProof/>
                <w:sz w:val="18"/>
                <w:szCs w:val="18"/>
              </w:rPr>
              <w:t>Proposed by the Commission as part of the package on one substance, one assessment</w:t>
            </w:r>
          </w:p>
        </w:tc>
      </w:tr>
      <w:tr w:rsidR="000A7D9D" w:rsidRPr="00EC1412" w14:paraId="31B30BCE" w14:textId="77777777" w:rsidTr="00F31937">
        <w:tc>
          <w:tcPr>
            <w:tcW w:w="3964" w:type="dxa"/>
            <w:tcBorders>
              <w:bottom w:val="dotted" w:sz="4" w:space="0" w:color="auto"/>
              <w:right w:val="single" w:sz="4" w:space="0" w:color="auto"/>
            </w:tcBorders>
            <w:shd w:val="clear" w:color="auto" w:fill="FFF4CC"/>
          </w:tcPr>
          <w:p w14:paraId="2DA932C6" w14:textId="77777777" w:rsidR="000A7D9D" w:rsidRPr="00EC1412" w:rsidRDefault="000A7D9D" w:rsidP="00F31937">
            <w:pPr>
              <w:jc w:val="both"/>
              <w:rPr>
                <w:noProof/>
                <w:sz w:val="18"/>
                <w:szCs w:val="18"/>
              </w:rPr>
            </w:pPr>
            <w:r>
              <w:rPr>
                <w:rStyle w:val="normaltextrun"/>
                <w:noProof/>
                <w:sz w:val="18"/>
                <w:szCs w:val="18"/>
              </w:rPr>
              <w:t xml:space="preserve">Directive </w:t>
            </w:r>
            <w:r w:rsidRPr="00EC1412">
              <w:rPr>
                <w:rStyle w:val="normaltextrun"/>
                <w:noProof/>
                <w:sz w:val="18"/>
                <w:szCs w:val="18"/>
              </w:rPr>
              <w:t>on reattribution</w:t>
            </w:r>
            <w:r>
              <w:rPr>
                <w:rStyle w:val="normaltextrun"/>
                <w:noProof/>
                <w:sz w:val="18"/>
                <w:szCs w:val="18"/>
              </w:rPr>
              <w:t xml:space="preserve"> of tasks</w:t>
            </w:r>
          </w:p>
        </w:tc>
        <w:tc>
          <w:tcPr>
            <w:tcW w:w="426" w:type="dxa"/>
            <w:tcBorders>
              <w:left w:val="single" w:sz="4" w:space="0" w:color="auto"/>
              <w:bottom w:val="dotted" w:sz="4" w:space="0" w:color="auto"/>
              <w:right w:val="dotted" w:sz="4" w:space="0" w:color="auto"/>
            </w:tcBorders>
            <w:shd w:val="clear" w:color="auto" w:fill="FFF4CC"/>
          </w:tcPr>
          <w:p w14:paraId="4F0DA9A0" w14:textId="77777777" w:rsidR="000A7D9D" w:rsidRPr="00A7766D" w:rsidRDefault="000A7D9D" w:rsidP="00F31937">
            <w:pPr>
              <w:jc w:val="right"/>
              <w:rPr>
                <w:b/>
                <w:caps/>
                <w:noProof/>
                <w:sz w:val="18"/>
                <w:szCs w:val="18"/>
              </w:rPr>
            </w:pPr>
            <w:r>
              <w:rPr>
                <w:b/>
                <w:caps/>
                <w:noProof/>
                <w:sz w:val="18"/>
                <w:szCs w:val="18"/>
              </w:rPr>
              <w:t>3</w:t>
            </w:r>
          </w:p>
        </w:tc>
        <w:tc>
          <w:tcPr>
            <w:tcW w:w="425" w:type="dxa"/>
            <w:tcBorders>
              <w:left w:val="dotted" w:sz="4" w:space="0" w:color="auto"/>
              <w:bottom w:val="dotted" w:sz="4" w:space="0" w:color="auto"/>
              <w:right w:val="single" w:sz="4" w:space="0" w:color="auto"/>
            </w:tcBorders>
            <w:shd w:val="clear" w:color="auto" w:fill="FFF4CC"/>
          </w:tcPr>
          <w:p w14:paraId="5A3134D7" w14:textId="77777777" w:rsidR="000A7D9D" w:rsidRPr="00A7766D" w:rsidRDefault="000A7D9D" w:rsidP="00F31937">
            <w:pPr>
              <w:jc w:val="right"/>
              <w:rPr>
                <w:b/>
                <w:caps/>
                <w:noProof/>
                <w:sz w:val="18"/>
                <w:szCs w:val="18"/>
              </w:rPr>
            </w:pPr>
            <w:r>
              <w:rPr>
                <w:b/>
                <w:caps/>
                <w:noProof/>
                <w:sz w:val="18"/>
                <w:szCs w:val="18"/>
              </w:rPr>
              <w:t>0</w:t>
            </w:r>
          </w:p>
        </w:tc>
        <w:tc>
          <w:tcPr>
            <w:tcW w:w="425" w:type="dxa"/>
            <w:tcBorders>
              <w:left w:val="single" w:sz="4" w:space="0" w:color="auto"/>
              <w:bottom w:val="dotted" w:sz="4" w:space="0" w:color="auto"/>
              <w:right w:val="dotted" w:sz="4" w:space="0" w:color="auto"/>
            </w:tcBorders>
            <w:shd w:val="clear" w:color="auto" w:fill="FFF4CC"/>
          </w:tcPr>
          <w:p w14:paraId="2CC51484" w14:textId="77777777" w:rsidR="000A7D9D" w:rsidRPr="00A7766D" w:rsidRDefault="000A7D9D" w:rsidP="00F31937">
            <w:pPr>
              <w:jc w:val="right"/>
              <w:rPr>
                <w:b/>
                <w:caps/>
                <w:noProof/>
                <w:sz w:val="18"/>
                <w:szCs w:val="18"/>
              </w:rPr>
            </w:pPr>
            <w:r>
              <w:rPr>
                <w:b/>
                <w:caps/>
                <w:noProof/>
                <w:sz w:val="18"/>
                <w:szCs w:val="18"/>
              </w:rPr>
              <w:t>4</w:t>
            </w:r>
          </w:p>
        </w:tc>
        <w:tc>
          <w:tcPr>
            <w:tcW w:w="425" w:type="dxa"/>
            <w:tcBorders>
              <w:left w:val="dotted" w:sz="4" w:space="0" w:color="auto"/>
              <w:bottom w:val="dotted" w:sz="4" w:space="0" w:color="auto"/>
              <w:right w:val="single" w:sz="4" w:space="0" w:color="auto"/>
            </w:tcBorders>
            <w:shd w:val="clear" w:color="auto" w:fill="FFF4CC"/>
          </w:tcPr>
          <w:p w14:paraId="1FB0E1D3" w14:textId="77777777" w:rsidR="000A7D9D" w:rsidRPr="00A7766D" w:rsidRDefault="000A7D9D" w:rsidP="00F31937">
            <w:pPr>
              <w:jc w:val="right"/>
              <w:rPr>
                <w:b/>
                <w:caps/>
                <w:noProof/>
                <w:sz w:val="18"/>
                <w:szCs w:val="18"/>
              </w:rPr>
            </w:pPr>
            <w:r>
              <w:rPr>
                <w:b/>
                <w:caps/>
                <w:noProof/>
                <w:sz w:val="18"/>
                <w:szCs w:val="18"/>
              </w:rPr>
              <w:t>3</w:t>
            </w:r>
          </w:p>
        </w:tc>
        <w:tc>
          <w:tcPr>
            <w:tcW w:w="426" w:type="dxa"/>
            <w:tcBorders>
              <w:left w:val="single" w:sz="4" w:space="0" w:color="auto"/>
              <w:bottom w:val="dotted" w:sz="4" w:space="0" w:color="auto"/>
              <w:right w:val="dotted" w:sz="4" w:space="0" w:color="auto"/>
            </w:tcBorders>
            <w:shd w:val="clear" w:color="auto" w:fill="FFF4CC"/>
          </w:tcPr>
          <w:p w14:paraId="5FD41545" w14:textId="77777777" w:rsidR="000A7D9D" w:rsidRPr="00A7766D" w:rsidRDefault="000A7D9D" w:rsidP="00F31937">
            <w:pPr>
              <w:jc w:val="right"/>
              <w:rPr>
                <w:b/>
                <w:caps/>
                <w:noProof/>
                <w:sz w:val="18"/>
                <w:szCs w:val="18"/>
              </w:rPr>
            </w:pPr>
            <w:r>
              <w:rPr>
                <w:b/>
                <w:caps/>
                <w:noProof/>
                <w:sz w:val="18"/>
                <w:szCs w:val="18"/>
              </w:rPr>
              <w:t>4</w:t>
            </w:r>
          </w:p>
        </w:tc>
        <w:tc>
          <w:tcPr>
            <w:tcW w:w="425" w:type="dxa"/>
            <w:tcBorders>
              <w:left w:val="dotted" w:sz="4" w:space="0" w:color="auto"/>
              <w:bottom w:val="dotted" w:sz="4" w:space="0" w:color="auto"/>
              <w:right w:val="single" w:sz="4" w:space="0" w:color="auto"/>
            </w:tcBorders>
            <w:shd w:val="clear" w:color="auto" w:fill="FFF4CC"/>
          </w:tcPr>
          <w:p w14:paraId="6640EC0E" w14:textId="77777777" w:rsidR="000A7D9D" w:rsidRPr="00A7766D" w:rsidRDefault="000A7D9D" w:rsidP="00F31937">
            <w:pPr>
              <w:jc w:val="right"/>
              <w:rPr>
                <w:b/>
                <w:caps/>
                <w:noProof/>
                <w:sz w:val="18"/>
                <w:szCs w:val="18"/>
              </w:rPr>
            </w:pPr>
            <w:r>
              <w:rPr>
                <w:b/>
                <w:caps/>
                <w:noProof/>
                <w:sz w:val="18"/>
                <w:szCs w:val="18"/>
              </w:rPr>
              <w:t>3</w:t>
            </w:r>
          </w:p>
        </w:tc>
        <w:tc>
          <w:tcPr>
            <w:tcW w:w="425" w:type="dxa"/>
            <w:tcBorders>
              <w:left w:val="single" w:sz="4" w:space="0" w:color="auto"/>
              <w:bottom w:val="dotted" w:sz="4" w:space="0" w:color="auto"/>
              <w:right w:val="dotted" w:sz="4" w:space="0" w:color="auto"/>
            </w:tcBorders>
            <w:shd w:val="clear" w:color="auto" w:fill="FFF4CC"/>
          </w:tcPr>
          <w:p w14:paraId="63ACB5D1" w14:textId="77777777" w:rsidR="000A7D9D" w:rsidRPr="00A7766D" w:rsidRDefault="000A7D9D" w:rsidP="00F31937">
            <w:pPr>
              <w:jc w:val="right"/>
              <w:rPr>
                <w:b/>
                <w:caps/>
                <w:noProof/>
                <w:sz w:val="18"/>
                <w:szCs w:val="18"/>
              </w:rPr>
            </w:pPr>
            <w:r>
              <w:rPr>
                <w:b/>
                <w:caps/>
                <w:noProof/>
                <w:sz w:val="18"/>
                <w:szCs w:val="18"/>
              </w:rPr>
              <w:t>4</w:t>
            </w:r>
          </w:p>
        </w:tc>
        <w:tc>
          <w:tcPr>
            <w:tcW w:w="425" w:type="dxa"/>
            <w:tcBorders>
              <w:left w:val="dotted" w:sz="4" w:space="0" w:color="auto"/>
              <w:bottom w:val="dotted" w:sz="4" w:space="0" w:color="auto"/>
              <w:right w:val="single" w:sz="4" w:space="0" w:color="auto"/>
            </w:tcBorders>
            <w:shd w:val="clear" w:color="auto" w:fill="FFF4CC"/>
          </w:tcPr>
          <w:p w14:paraId="73C7FFDE" w14:textId="77777777" w:rsidR="000A7D9D" w:rsidRPr="00A7766D" w:rsidRDefault="000A7D9D" w:rsidP="00F31937">
            <w:pPr>
              <w:jc w:val="right"/>
              <w:rPr>
                <w:b/>
                <w:caps/>
                <w:noProof/>
                <w:sz w:val="18"/>
                <w:szCs w:val="18"/>
              </w:rPr>
            </w:pPr>
            <w:r>
              <w:rPr>
                <w:b/>
                <w:caps/>
                <w:noProof/>
                <w:sz w:val="18"/>
                <w:szCs w:val="18"/>
              </w:rPr>
              <w:t>3</w:t>
            </w:r>
          </w:p>
        </w:tc>
        <w:tc>
          <w:tcPr>
            <w:tcW w:w="567" w:type="dxa"/>
            <w:tcBorders>
              <w:left w:val="single" w:sz="4" w:space="0" w:color="auto"/>
              <w:bottom w:val="dotted" w:sz="4" w:space="0" w:color="auto"/>
              <w:right w:val="single" w:sz="4" w:space="0" w:color="auto"/>
            </w:tcBorders>
            <w:shd w:val="clear" w:color="auto" w:fill="FFF4CC"/>
          </w:tcPr>
          <w:p w14:paraId="5AAFEBE5" w14:textId="77777777" w:rsidR="000A7D9D" w:rsidRPr="00A7766D" w:rsidRDefault="000A7D9D" w:rsidP="00F31937">
            <w:pPr>
              <w:jc w:val="right"/>
              <w:rPr>
                <w:b/>
                <w:noProof/>
                <w:sz w:val="18"/>
                <w:szCs w:val="18"/>
              </w:rPr>
            </w:pPr>
            <w:r>
              <w:rPr>
                <w:b/>
                <w:noProof/>
                <w:sz w:val="18"/>
                <w:szCs w:val="18"/>
              </w:rPr>
              <w:t>66</w:t>
            </w:r>
          </w:p>
        </w:tc>
        <w:tc>
          <w:tcPr>
            <w:tcW w:w="567" w:type="dxa"/>
            <w:tcBorders>
              <w:left w:val="single" w:sz="4" w:space="0" w:color="auto"/>
              <w:bottom w:val="dotted" w:sz="4" w:space="0" w:color="auto"/>
              <w:right w:val="single" w:sz="4" w:space="0" w:color="auto"/>
            </w:tcBorders>
            <w:shd w:val="clear" w:color="auto" w:fill="FFF4CC"/>
          </w:tcPr>
          <w:p w14:paraId="29F9A0F6" w14:textId="77777777" w:rsidR="000A7D9D" w:rsidRPr="00A7766D" w:rsidRDefault="000A7D9D" w:rsidP="00F31937">
            <w:pPr>
              <w:jc w:val="right"/>
              <w:rPr>
                <w:b/>
                <w:noProof/>
                <w:sz w:val="18"/>
                <w:szCs w:val="18"/>
              </w:rPr>
            </w:pPr>
            <w:r>
              <w:rPr>
                <w:b/>
                <w:noProof/>
                <w:sz w:val="18"/>
                <w:szCs w:val="18"/>
              </w:rPr>
              <w:t>33</w:t>
            </w:r>
          </w:p>
        </w:tc>
        <w:tc>
          <w:tcPr>
            <w:tcW w:w="567" w:type="dxa"/>
            <w:tcBorders>
              <w:left w:val="single" w:sz="4" w:space="0" w:color="auto"/>
              <w:bottom w:val="dotted" w:sz="4" w:space="0" w:color="auto"/>
              <w:right w:val="single" w:sz="4" w:space="0" w:color="auto"/>
            </w:tcBorders>
            <w:shd w:val="clear" w:color="auto" w:fill="FFF4CC"/>
          </w:tcPr>
          <w:p w14:paraId="68A0BF01" w14:textId="77777777" w:rsidR="000A7D9D" w:rsidRPr="00A7766D" w:rsidRDefault="000A7D9D" w:rsidP="00F31937">
            <w:pPr>
              <w:jc w:val="right"/>
              <w:rPr>
                <w:b/>
                <w:noProof/>
                <w:sz w:val="18"/>
                <w:szCs w:val="18"/>
              </w:rPr>
            </w:pPr>
            <w:r>
              <w:rPr>
                <w:b/>
                <w:noProof/>
                <w:sz w:val="18"/>
                <w:szCs w:val="18"/>
              </w:rPr>
              <w:t>33</w:t>
            </w:r>
          </w:p>
        </w:tc>
        <w:tc>
          <w:tcPr>
            <w:tcW w:w="567" w:type="dxa"/>
            <w:tcBorders>
              <w:left w:val="single" w:sz="4" w:space="0" w:color="auto"/>
              <w:bottom w:val="dotted" w:sz="4" w:space="0" w:color="auto"/>
            </w:tcBorders>
            <w:shd w:val="clear" w:color="auto" w:fill="FFF4CC"/>
          </w:tcPr>
          <w:p w14:paraId="79CC67B2" w14:textId="77777777" w:rsidR="000A7D9D" w:rsidRPr="00A7766D" w:rsidRDefault="000A7D9D" w:rsidP="00F31937">
            <w:pPr>
              <w:jc w:val="right"/>
              <w:rPr>
                <w:b/>
                <w:noProof/>
                <w:sz w:val="18"/>
                <w:szCs w:val="18"/>
              </w:rPr>
            </w:pPr>
            <w:r>
              <w:rPr>
                <w:b/>
                <w:noProof/>
                <w:sz w:val="18"/>
                <w:szCs w:val="18"/>
              </w:rPr>
              <w:t>33</w:t>
            </w:r>
          </w:p>
        </w:tc>
      </w:tr>
      <w:tr w:rsidR="000A7D9D" w:rsidRPr="00EC1412" w14:paraId="303F85C6" w14:textId="77777777" w:rsidTr="00F31937">
        <w:tc>
          <w:tcPr>
            <w:tcW w:w="3964" w:type="dxa"/>
            <w:tcBorders>
              <w:top w:val="dotted" w:sz="4" w:space="0" w:color="auto"/>
              <w:bottom w:val="single" w:sz="4" w:space="0" w:color="auto"/>
              <w:right w:val="single" w:sz="4" w:space="0" w:color="auto"/>
            </w:tcBorders>
            <w:shd w:val="clear" w:color="auto" w:fill="FFF4CC"/>
          </w:tcPr>
          <w:p w14:paraId="3CD8A64B" w14:textId="77777777" w:rsidR="000A7D9D" w:rsidRPr="00EC1412" w:rsidRDefault="000A7D9D" w:rsidP="00F31937">
            <w:pPr>
              <w:jc w:val="both"/>
              <w:rPr>
                <w:caps/>
                <w:noProof/>
                <w:sz w:val="18"/>
                <w:szCs w:val="18"/>
              </w:rPr>
            </w:pPr>
            <w:r w:rsidRPr="00EC1412">
              <w:rPr>
                <w:noProof/>
                <w:sz w:val="18"/>
                <w:szCs w:val="18"/>
              </w:rPr>
              <w:t xml:space="preserve">   RoHS Directive </w:t>
            </w:r>
          </w:p>
        </w:tc>
        <w:tc>
          <w:tcPr>
            <w:tcW w:w="426" w:type="dxa"/>
            <w:tcBorders>
              <w:top w:val="dotted" w:sz="4" w:space="0" w:color="auto"/>
              <w:left w:val="single" w:sz="4" w:space="0" w:color="auto"/>
              <w:bottom w:val="single" w:sz="4" w:space="0" w:color="auto"/>
              <w:right w:val="dotted" w:sz="4" w:space="0" w:color="auto"/>
            </w:tcBorders>
            <w:shd w:val="clear" w:color="auto" w:fill="FFF4CC"/>
          </w:tcPr>
          <w:p w14:paraId="5E705786" w14:textId="77777777" w:rsidR="000A7D9D" w:rsidRPr="00EC1412" w:rsidRDefault="000A7D9D" w:rsidP="00F31937">
            <w:pPr>
              <w:jc w:val="right"/>
              <w:rPr>
                <w:caps/>
                <w:noProof/>
                <w:sz w:val="18"/>
                <w:szCs w:val="18"/>
              </w:rPr>
            </w:pPr>
            <w:r w:rsidRPr="00EC1412">
              <w:rPr>
                <w:caps/>
                <w:noProof/>
                <w:sz w:val="18"/>
                <w:szCs w:val="18"/>
              </w:rPr>
              <w:t>3</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16DA861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58564AF0" w14:textId="77777777" w:rsidR="000A7D9D" w:rsidRPr="00EC1412" w:rsidRDefault="000A7D9D" w:rsidP="00F31937">
            <w:pPr>
              <w:jc w:val="right"/>
              <w:rPr>
                <w:caps/>
                <w:noProof/>
                <w:sz w:val="18"/>
                <w:szCs w:val="18"/>
              </w:rPr>
            </w:pPr>
            <w:r>
              <w:rPr>
                <w:caps/>
                <w:noProof/>
                <w:sz w:val="18"/>
                <w:szCs w:val="18"/>
              </w:rPr>
              <w:t>4</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0185B055" w14:textId="77777777" w:rsidR="000A7D9D" w:rsidRPr="00EC1412" w:rsidRDefault="000A7D9D" w:rsidP="00F31937">
            <w:pPr>
              <w:jc w:val="right"/>
              <w:rPr>
                <w:caps/>
                <w:noProof/>
                <w:sz w:val="18"/>
                <w:szCs w:val="18"/>
              </w:rPr>
            </w:pPr>
            <w:r>
              <w:rPr>
                <w:caps/>
                <w:noProof/>
                <w:sz w:val="18"/>
                <w:szCs w:val="18"/>
              </w:rPr>
              <w:t>3</w:t>
            </w:r>
          </w:p>
        </w:tc>
        <w:tc>
          <w:tcPr>
            <w:tcW w:w="426" w:type="dxa"/>
            <w:tcBorders>
              <w:top w:val="dotted" w:sz="4" w:space="0" w:color="auto"/>
              <w:left w:val="single" w:sz="4" w:space="0" w:color="auto"/>
              <w:bottom w:val="single" w:sz="4" w:space="0" w:color="auto"/>
              <w:right w:val="dotted" w:sz="4" w:space="0" w:color="auto"/>
            </w:tcBorders>
            <w:shd w:val="clear" w:color="auto" w:fill="FFF4CC"/>
          </w:tcPr>
          <w:p w14:paraId="00CA69E0" w14:textId="77777777" w:rsidR="000A7D9D" w:rsidRPr="00EC1412" w:rsidRDefault="000A7D9D" w:rsidP="00F31937">
            <w:pPr>
              <w:jc w:val="right"/>
              <w:rPr>
                <w:caps/>
                <w:noProof/>
                <w:sz w:val="18"/>
                <w:szCs w:val="18"/>
              </w:rPr>
            </w:pPr>
            <w:r>
              <w:rPr>
                <w:caps/>
                <w:noProof/>
                <w:sz w:val="18"/>
                <w:szCs w:val="18"/>
              </w:rPr>
              <w:t>4</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704C644E"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3DB0F6F0" w14:textId="77777777" w:rsidR="000A7D9D" w:rsidRPr="00EC1412" w:rsidRDefault="000A7D9D" w:rsidP="00F31937">
            <w:pPr>
              <w:jc w:val="right"/>
              <w:rPr>
                <w:caps/>
                <w:noProof/>
                <w:sz w:val="18"/>
                <w:szCs w:val="18"/>
              </w:rPr>
            </w:pPr>
            <w:r>
              <w:rPr>
                <w:caps/>
                <w:noProof/>
                <w:sz w:val="18"/>
                <w:szCs w:val="18"/>
              </w:rPr>
              <w:t>4</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48FE2463" w14:textId="77777777" w:rsidR="000A7D9D" w:rsidRPr="00EC1412" w:rsidRDefault="000A7D9D" w:rsidP="00F31937">
            <w:pPr>
              <w:jc w:val="right"/>
              <w:rPr>
                <w:caps/>
                <w:noProof/>
                <w:sz w:val="18"/>
                <w:szCs w:val="18"/>
              </w:rPr>
            </w:pPr>
            <w:r>
              <w:rPr>
                <w:caps/>
                <w:noProof/>
                <w:sz w:val="18"/>
                <w:szCs w:val="18"/>
              </w:rPr>
              <w:t>3</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58C6C394" w14:textId="77777777" w:rsidR="000A7D9D" w:rsidRPr="00EC1412" w:rsidRDefault="000A7D9D" w:rsidP="00F31937">
            <w:pPr>
              <w:jc w:val="right"/>
              <w:rPr>
                <w:caps/>
                <w:noProof/>
                <w:sz w:val="18"/>
                <w:szCs w:val="18"/>
              </w:rPr>
            </w:pPr>
            <w:r>
              <w:rPr>
                <w:noProof/>
                <w:sz w:val="18"/>
                <w:szCs w:val="18"/>
              </w:rPr>
              <w:t>66</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5C49E7E5" w14:textId="77777777" w:rsidR="000A7D9D" w:rsidRPr="00EC1412" w:rsidRDefault="000A7D9D" w:rsidP="00F31937">
            <w:pPr>
              <w:jc w:val="right"/>
              <w:rPr>
                <w:caps/>
                <w:noProof/>
                <w:sz w:val="18"/>
                <w:szCs w:val="18"/>
              </w:rPr>
            </w:pPr>
            <w:r>
              <w:rPr>
                <w:noProof/>
                <w:sz w:val="18"/>
                <w:szCs w:val="18"/>
              </w:rPr>
              <w:t>33</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1A5221F2" w14:textId="77777777" w:rsidR="000A7D9D" w:rsidRPr="00EC1412" w:rsidRDefault="000A7D9D" w:rsidP="00F31937">
            <w:pPr>
              <w:jc w:val="right"/>
              <w:rPr>
                <w:caps/>
                <w:noProof/>
                <w:sz w:val="18"/>
                <w:szCs w:val="18"/>
              </w:rPr>
            </w:pPr>
            <w:r>
              <w:rPr>
                <w:noProof/>
                <w:sz w:val="18"/>
                <w:szCs w:val="18"/>
              </w:rPr>
              <w:t>33</w:t>
            </w:r>
          </w:p>
        </w:tc>
        <w:tc>
          <w:tcPr>
            <w:tcW w:w="567" w:type="dxa"/>
            <w:tcBorders>
              <w:top w:val="dotted" w:sz="4" w:space="0" w:color="auto"/>
              <w:left w:val="single" w:sz="4" w:space="0" w:color="auto"/>
              <w:bottom w:val="single" w:sz="4" w:space="0" w:color="auto"/>
            </w:tcBorders>
            <w:shd w:val="clear" w:color="auto" w:fill="FFF4CC"/>
          </w:tcPr>
          <w:p w14:paraId="5BED0E04" w14:textId="77777777" w:rsidR="000A7D9D" w:rsidRPr="00EC1412" w:rsidRDefault="000A7D9D" w:rsidP="00F31937">
            <w:pPr>
              <w:jc w:val="right"/>
              <w:rPr>
                <w:caps/>
                <w:noProof/>
                <w:sz w:val="18"/>
                <w:szCs w:val="18"/>
              </w:rPr>
            </w:pPr>
            <w:r>
              <w:rPr>
                <w:noProof/>
                <w:sz w:val="18"/>
                <w:szCs w:val="18"/>
              </w:rPr>
              <w:t>33</w:t>
            </w:r>
          </w:p>
        </w:tc>
      </w:tr>
      <w:tr w:rsidR="000A7D9D" w:rsidRPr="00EC1412" w14:paraId="4CDCF949" w14:textId="77777777" w:rsidTr="00F31937">
        <w:tc>
          <w:tcPr>
            <w:tcW w:w="3964" w:type="dxa"/>
            <w:tcBorders>
              <w:top w:val="single" w:sz="4" w:space="0" w:color="auto"/>
              <w:bottom w:val="dotted" w:sz="4" w:space="0" w:color="auto"/>
              <w:right w:val="single" w:sz="4" w:space="0" w:color="auto"/>
            </w:tcBorders>
            <w:shd w:val="clear" w:color="auto" w:fill="C1ECFF"/>
          </w:tcPr>
          <w:p w14:paraId="0FFBBA00" w14:textId="77777777" w:rsidR="000A7D9D" w:rsidRPr="00FD1EBF" w:rsidRDefault="000A7D9D" w:rsidP="00F31937">
            <w:pPr>
              <w:jc w:val="both"/>
              <w:rPr>
                <w:b/>
                <w:noProof/>
                <w:sz w:val="18"/>
                <w:szCs w:val="18"/>
              </w:rPr>
            </w:pPr>
            <w:r w:rsidRPr="00FD1EBF">
              <w:rPr>
                <w:b/>
                <w:noProof/>
                <w:sz w:val="18"/>
                <w:szCs w:val="18"/>
              </w:rPr>
              <w:t>Regulation on reattribution</w:t>
            </w:r>
            <w:r>
              <w:rPr>
                <w:b/>
                <w:noProof/>
                <w:sz w:val="18"/>
                <w:szCs w:val="18"/>
              </w:rPr>
              <w:t xml:space="preserve"> of tasks</w:t>
            </w:r>
          </w:p>
        </w:tc>
        <w:tc>
          <w:tcPr>
            <w:tcW w:w="426" w:type="dxa"/>
            <w:tcBorders>
              <w:top w:val="single" w:sz="4" w:space="0" w:color="auto"/>
              <w:left w:val="single" w:sz="4" w:space="0" w:color="auto"/>
              <w:bottom w:val="dotted" w:sz="4" w:space="0" w:color="auto"/>
              <w:right w:val="dotted" w:sz="4" w:space="0" w:color="auto"/>
            </w:tcBorders>
            <w:shd w:val="clear" w:color="auto" w:fill="C1ECFF"/>
          </w:tcPr>
          <w:p w14:paraId="471B46E6" w14:textId="77777777" w:rsidR="000A7D9D" w:rsidRPr="00FD1EBF" w:rsidRDefault="000A7D9D" w:rsidP="00F31937">
            <w:pPr>
              <w:jc w:val="right"/>
              <w:rPr>
                <w:b/>
                <w:caps/>
                <w:noProof/>
                <w:sz w:val="18"/>
                <w:szCs w:val="18"/>
              </w:rPr>
            </w:pPr>
            <w:r w:rsidRPr="00FD1EBF">
              <w:rPr>
                <w:b/>
                <w:caps/>
                <w:noProof/>
                <w:sz w:val="18"/>
                <w:szCs w:val="18"/>
              </w:rPr>
              <w:t>1</w:t>
            </w:r>
          </w:p>
        </w:tc>
        <w:tc>
          <w:tcPr>
            <w:tcW w:w="425" w:type="dxa"/>
            <w:tcBorders>
              <w:top w:val="single" w:sz="4" w:space="0" w:color="auto"/>
              <w:left w:val="dotted" w:sz="4" w:space="0" w:color="auto"/>
              <w:bottom w:val="dotted" w:sz="4" w:space="0" w:color="auto"/>
              <w:right w:val="single" w:sz="4" w:space="0" w:color="auto"/>
            </w:tcBorders>
            <w:shd w:val="clear" w:color="auto" w:fill="C1ECFF"/>
          </w:tcPr>
          <w:p w14:paraId="7C7BC888" w14:textId="77777777" w:rsidR="000A7D9D" w:rsidRPr="00FD1EBF" w:rsidRDefault="000A7D9D" w:rsidP="00F31937">
            <w:pPr>
              <w:jc w:val="right"/>
              <w:rPr>
                <w:b/>
                <w:caps/>
                <w:noProof/>
                <w:sz w:val="18"/>
                <w:szCs w:val="18"/>
              </w:rPr>
            </w:pPr>
            <w:r w:rsidRPr="00FD1EBF">
              <w:rPr>
                <w:b/>
                <w:caps/>
                <w:noProof/>
                <w:sz w:val="18"/>
                <w:szCs w:val="18"/>
              </w:rPr>
              <w:t>0</w:t>
            </w:r>
          </w:p>
        </w:tc>
        <w:tc>
          <w:tcPr>
            <w:tcW w:w="425" w:type="dxa"/>
            <w:tcBorders>
              <w:top w:val="single" w:sz="4" w:space="0" w:color="auto"/>
              <w:left w:val="single" w:sz="4" w:space="0" w:color="auto"/>
              <w:bottom w:val="dotted" w:sz="4" w:space="0" w:color="auto"/>
              <w:right w:val="dotted" w:sz="4" w:space="0" w:color="auto"/>
            </w:tcBorders>
            <w:shd w:val="clear" w:color="auto" w:fill="C1ECFF"/>
          </w:tcPr>
          <w:p w14:paraId="33C90796" w14:textId="77777777" w:rsidR="000A7D9D" w:rsidRPr="00FD1EBF" w:rsidRDefault="000A7D9D" w:rsidP="00F31937">
            <w:pPr>
              <w:jc w:val="right"/>
              <w:rPr>
                <w:b/>
                <w:caps/>
                <w:noProof/>
                <w:sz w:val="18"/>
                <w:szCs w:val="18"/>
              </w:rPr>
            </w:pPr>
            <w:r w:rsidRPr="00FD1EBF">
              <w:rPr>
                <w:b/>
                <w:caps/>
                <w:noProof/>
                <w:sz w:val="18"/>
                <w:szCs w:val="18"/>
              </w:rPr>
              <w:t>2</w:t>
            </w:r>
          </w:p>
        </w:tc>
        <w:tc>
          <w:tcPr>
            <w:tcW w:w="425" w:type="dxa"/>
            <w:tcBorders>
              <w:top w:val="single" w:sz="4" w:space="0" w:color="auto"/>
              <w:left w:val="dotted" w:sz="4" w:space="0" w:color="auto"/>
              <w:bottom w:val="dotted" w:sz="4" w:space="0" w:color="auto"/>
              <w:right w:val="single" w:sz="4" w:space="0" w:color="auto"/>
            </w:tcBorders>
            <w:shd w:val="clear" w:color="auto" w:fill="C1ECFF"/>
          </w:tcPr>
          <w:p w14:paraId="4234DAD6" w14:textId="77777777" w:rsidR="000A7D9D" w:rsidRPr="00FD1EBF" w:rsidRDefault="000A7D9D" w:rsidP="00F31937">
            <w:pPr>
              <w:jc w:val="right"/>
              <w:rPr>
                <w:b/>
                <w:caps/>
                <w:noProof/>
                <w:sz w:val="18"/>
                <w:szCs w:val="18"/>
              </w:rPr>
            </w:pPr>
            <w:r w:rsidRPr="00FD1EBF">
              <w:rPr>
                <w:b/>
                <w:caps/>
                <w:noProof/>
                <w:sz w:val="18"/>
                <w:szCs w:val="18"/>
              </w:rPr>
              <w:t>0</w:t>
            </w:r>
          </w:p>
        </w:tc>
        <w:tc>
          <w:tcPr>
            <w:tcW w:w="426" w:type="dxa"/>
            <w:tcBorders>
              <w:top w:val="single" w:sz="4" w:space="0" w:color="auto"/>
              <w:left w:val="single" w:sz="4" w:space="0" w:color="auto"/>
              <w:bottom w:val="dotted" w:sz="4" w:space="0" w:color="auto"/>
              <w:right w:val="dotted" w:sz="4" w:space="0" w:color="auto"/>
            </w:tcBorders>
            <w:shd w:val="clear" w:color="auto" w:fill="C1ECFF"/>
          </w:tcPr>
          <w:p w14:paraId="00BC1951" w14:textId="77777777" w:rsidR="000A7D9D" w:rsidRPr="00FD1EBF" w:rsidRDefault="000A7D9D" w:rsidP="00F31937">
            <w:pPr>
              <w:jc w:val="right"/>
              <w:rPr>
                <w:b/>
                <w:caps/>
                <w:noProof/>
                <w:sz w:val="18"/>
                <w:szCs w:val="18"/>
              </w:rPr>
            </w:pPr>
            <w:r w:rsidRPr="00FD1EBF">
              <w:rPr>
                <w:b/>
                <w:caps/>
                <w:noProof/>
                <w:sz w:val="18"/>
                <w:szCs w:val="18"/>
              </w:rPr>
              <w:t>2</w:t>
            </w:r>
          </w:p>
        </w:tc>
        <w:tc>
          <w:tcPr>
            <w:tcW w:w="425" w:type="dxa"/>
            <w:tcBorders>
              <w:top w:val="single" w:sz="4" w:space="0" w:color="auto"/>
              <w:left w:val="dotted" w:sz="4" w:space="0" w:color="auto"/>
              <w:bottom w:val="dotted" w:sz="4" w:space="0" w:color="auto"/>
              <w:right w:val="single" w:sz="4" w:space="0" w:color="auto"/>
            </w:tcBorders>
            <w:shd w:val="clear" w:color="auto" w:fill="C1ECFF"/>
          </w:tcPr>
          <w:p w14:paraId="4B23D62C" w14:textId="77777777" w:rsidR="000A7D9D" w:rsidRPr="00FD1EBF" w:rsidRDefault="000A7D9D" w:rsidP="00F31937">
            <w:pPr>
              <w:jc w:val="right"/>
              <w:rPr>
                <w:b/>
                <w:caps/>
                <w:noProof/>
                <w:sz w:val="18"/>
                <w:szCs w:val="18"/>
              </w:rPr>
            </w:pPr>
            <w:r w:rsidRPr="00FD1EBF">
              <w:rPr>
                <w:b/>
                <w:caps/>
                <w:noProof/>
                <w:sz w:val="18"/>
                <w:szCs w:val="18"/>
              </w:rPr>
              <w:t>0</w:t>
            </w:r>
          </w:p>
        </w:tc>
        <w:tc>
          <w:tcPr>
            <w:tcW w:w="425" w:type="dxa"/>
            <w:tcBorders>
              <w:top w:val="single" w:sz="4" w:space="0" w:color="auto"/>
              <w:left w:val="single" w:sz="4" w:space="0" w:color="auto"/>
              <w:bottom w:val="dotted" w:sz="4" w:space="0" w:color="auto"/>
              <w:right w:val="dotted" w:sz="4" w:space="0" w:color="auto"/>
            </w:tcBorders>
            <w:shd w:val="clear" w:color="auto" w:fill="C1ECFF"/>
          </w:tcPr>
          <w:p w14:paraId="38DC3419" w14:textId="77777777" w:rsidR="000A7D9D" w:rsidRPr="00FD1EBF" w:rsidRDefault="000A7D9D" w:rsidP="00F31937">
            <w:pPr>
              <w:jc w:val="right"/>
              <w:rPr>
                <w:b/>
                <w:caps/>
                <w:noProof/>
                <w:sz w:val="18"/>
                <w:szCs w:val="18"/>
              </w:rPr>
            </w:pPr>
            <w:r w:rsidRPr="00FD1EBF">
              <w:rPr>
                <w:b/>
                <w:caps/>
                <w:noProof/>
                <w:sz w:val="18"/>
                <w:szCs w:val="18"/>
              </w:rPr>
              <w:t>2</w:t>
            </w:r>
          </w:p>
        </w:tc>
        <w:tc>
          <w:tcPr>
            <w:tcW w:w="425" w:type="dxa"/>
            <w:tcBorders>
              <w:top w:val="single" w:sz="4" w:space="0" w:color="auto"/>
              <w:left w:val="dotted" w:sz="4" w:space="0" w:color="auto"/>
              <w:bottom w:val="dotted" w:sz="4" w:space="0" w:color="auto"/>
              <w:right w:val="single" w:sz="4" w:space="0" w:color="auto"/>
            </w:tcBorders>
            <w:shd w:val="clear" w:color="auto" w:fill="C1ECFF"/>
          </w:tcPr>
          <w:p w14:paraId="72C7676A" w14:textId="77777777" w:rsidR="000A7D9D" w:rsidRPr="00FD1EBF" w:rsidRDefault="000A7D9D" w:rsidP="00F31937">
            <w:pPr>
              <w:jc w:val="right"/>
              <w:rPr>
                <w:b/>
                <w:caps/>
                <w:noProof/>
                <w:sz w:val="18"/>
                <w:szCs w:val="18"/>
              </w:rPr>
            </w:pPr>
            <w:r w:rsidRPr="00FD1EBF">
              <w:rPr>
                <w:b/>
                <w:caps/>
                <w:noProof/>
                <w:sz w:val="18"/>
                <w:szCs w:val="18"/>
              </w:rPr>
              <w:t>0</w:t>
            </w:r>
          </w:p>
        </w:tc>
        <w:tc>
          <w:tcPr>
            <w:tcW w:w="567" w:type="dxa"/>
            <w:tcBorders>
              <w:top w:val="single" w:sz="4" w:space="0" w:color="auto"/>
              <w:left w:val="single" w:sz="4" w:space="0" w:color="auto"/>
              <w:bottom w:val="dotted" w:sz="4" w:space="0" w:color="auto"/>
              <w:right w:val="single" w:sz="4" w:space="0" w:color="auto"/>
            </w:tcBorders>
            <w:shd w:val="clear" w:color="auto" w:fill="C1ECFF"/>
          </w:tcPr>
          <w:p w14:paraId="66D74085" w14:textId="77777777" w:rsidR="000A7D9D" w:rsidRPr="00FD1EBF" w:rsidRDefault="000A7D9D" w:rsidP="00F31937">
            <w:pPr>
              <w:jc w:val="right"/>
              <w:rPr>
                <w:b/>
                <w:noProof/>
                <w:sz w:val="18"/>
                <w:szCs w:val="18"/>
              </w:rPr>
            </w:pPr>
            <w:r w:rsidRPr="00FD1EBF">
              <w:rPr>
                <w:b/>
                <w:noProof/>
                <w:sz w:val="18"/>
                <w:szCs w:val="18"/>
              </w:rPr>
              <w:t>35</w:t>
            </w:r>
          </w:p>
        </w:tc>
        <w:tc>
          <w:tcPr>
            <w:tcW w:w="567" w:type="dxa"/>
            <w:tcBorders>
              <w:top w:val="single" w:sz="4" w:space="0" w:color="auto"/>
              <w:left w:val="single" w:sz="4" w:space="0" w:color="auto"/>
              <w:bottom w:val="dotted" w:sz="4" w:space="0" w:color="auto"/>
              <w:right w:val="single" w:sz="4" w:space="0" w:color="auto"/>
            </w:tcBorders>
            <w:shd w:val="clear" w:color="auto" w:fill="C1ECFF"/>
          </w:tcPr>
          <w:p w14:paraId="6AD3279F" w14:textId="77777777" w:rsidR="000A7D9D" w:rsidRPr="00FD1EBF" w:rsidRDefault="000A7D9D" w:rsidP="00F31937">
            <w:pPr>
              <w:jc w:val="right"/>
              <w:rPr>
                <w:b/>
                <w:noProof/>
                <w:sz w:val="18"/>
                <w:szCs w:val="18"/>
              </w:rPr>
            </w:pPr>
            <w:r w:rsidRPr="00FD1EBF">
              <w:rPr>
                <w:b/>
                <w:noProof/>
                <w:sz w:val="18"/>
                <w:szCs w:val="18"/>
              </w:rPr>
              <w:t>50</w:t>
            </w:r>
          </w:p>
        </w:tc>
        <w:tc>
          <w:tcPr>
            <w:tcW w:w="567" w:type="dxa"/>
            <w:tcBorders>
              <w:top w:val="single" w:sz="4" w:space="0" w:color="auto"/>
              <w:left w:val="single" w:sz="4" w:space="0" w:color="auto"/>
              <w:bottom w:val="dotted" w:sz="4" w:space="0" w:color="auto"/>
              <w:right w:val="single" w:sz="4" w:space="0" w:color="auto"/>
            </w:tcBorders>
            <w:shd w:val="clear" w:color="auto" w:fill="C1ECFF"/>
          </w:tcPr>
          <w:p w14:paraId="41A401E3" w14:textId="77777777" w:rsidR="000A7D9D" w:rsidRPr="00FD1EBF" w:rsidRDefault="000A7D9D" w:rsidP="00F31937">
            <w:pPr>
              <w:jc w:val="right"/>
              <w:rPr>
                <w:b/>
                <w:noProof/>
                <w:sz w:val="18"/>
                <w:szCs w:val="18"/>
              </w:rPr>
            </w:pPr>
            <w:r w:rsidRPr="00FD1EBF">
              <w:rPr>
                <w:b/>
                <w:noProof/>
                <w:sz w:val="18"/>
                <w:szCs w:val="18"/>
              </w:rPr>
              <w:t>50</w:t>
            </w:r>
          </w:p>
        </w:tc>
        <w:tc>
          <w:tcPr>
            <w:tcW w:w="567" w:type="dxa"/>
            <w:tcBorders>
              <w:top w:val="single" w:sz="4" w:space="0" w:color="auto"/>
              <w:left w:val="single" w:sz="4" w:space="0" w:color="auto"/>
              <w:bottom w:val="dotted" w:sz="4" w:space="0" w:color="auto"/>
            </w:tcBorders>
            <w:shd w:val="clear" w:color="auto" w:fill="C1ECFF"/>
          </w:tcPr>
          <w:p w14:paraId="4BE93682" w14:textId="77777777" w:rsidR="000A7D9D" w:rsidRPr="00FD1EBF" w:rsidRDefault="000A7D9D" w:rsidP="00F31937">
            <w:pPr>
              <w:jc w:val="right"/>
              <w:rPr>
                <w:b/>
                <w:noProof/>
                <w:sz w:val="18"/>
                <w:szCs w:val="18"/>
              </w:rPr>
            </w:pPr>
            <w:r w:rsidRPr="00FD1EBF">
              <w:rPr>
                <w:b/>
                <w:noProof/>
                <w:sz w:val="18"/>
                <w:szCs w:val="18"/>
              </w:rPr>
              <w:t>50</w:t>
            </w:r>
          </w:p>
        </w:tc>
      </w:tr>
      <w:tr w:rsidR="000A7D9D" w:rsidRPr="00EC1412" w14:paraId="52216506" w14:textId="77777777" w:rsidTr="00F31937">
        <w:tc>
          <w:tcPr>
            <w:tcW w:w="3964" w:type="dxa"/>
            <w:tcBorders>
              <w:top w:val="dotted" w:sz="4" w:space="0" w:color="auto"/>
              <w:bottom w:val="dotted" w:sz="4" w:space="0" w:color="auto"/>
              <w:right w:val="single" w:sz="4" w:space="0" w:color="auto"/>
            </w:tcBorders>
            <w:shd w:val="clear" w:color="auto" w:fill="C1ECFF"/>
          </w:tcPr>
          <w:p w14:paraId="54543A1D" w14:textId="77777777" w:rsidR="000A7D9D" w:rsidRPr="00EC1412" w:rsidRDefault="000A7D9D" w:rsidP="00F31937">
            <w:pPr>
              <w:jc w:val="both"/>
              <w:rPr>
                <w:caps/>
                <w:noProof/>
                <w:sz w:val="18"/>
                <w:szCs w:val="18"/>
              </w:rPr>
            </w:pPr>
            <w:r w:rsidRPr="00EC1412">
              <w:rPr>
                <w:noProof/>
                <w:sz w:val="18"/>
                <w:szCs w:val="18"/>
              </w:rPr>
              <w:t xml:space="preserve">   POPs regulation</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3E464726"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292443C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6F486A33"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481F28FA"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6E73E1CC"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6EAA4D4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1663E53B"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115DB7B7"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535DB28F" w14:textId="77777777" w:rsidR="000A7D9D" w:rsidRPr="00EC1412" w:rsidRDefault="000A7D9D" w:rsidP="00F31937">
            <w:pPr>
              <w:jc w:val="right"/>
              <w:rPr>
                <w:caps/>
                <w:noProof/>
                <w:sz w:val="18"/>
                <w:szCs w:val="18"/>
              </w:rPr>
            </w:pPr>
            <w:r>
              <w:rPr>
                <w:noProof/>
                <w:sz w:val="18"/>
                <w:szCs w:val="18"/>
              </w:rPr>
              <w:t>35</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4C97F1F0" w14:textId="77777777" w:rsidR="000A7D9D" w:rsidRPr="00EC1412" w:rsidRDefault="000A7D9D" w:rsidP="00F31937">
            <w:pPr>
              <w:jc w:val="right"/>
              <w:rPr>
                <w:caps/>
                <w:noProof/>
                <w:sz w:val="18"/>
                <w:szCs w:val="18"/>
              </w:rPr>
            </w:pPr>
            <w:r>
              <w:rPr>
                <w:noProof/>
                <w:sz w:val="18"/>
                <w:szCs w:val="18"/>
              </w:rPr>
              <w:t>50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7C2963CB" w14:textId="77777777" w:rsidR="000A7D9D" w:rsidRPr="00EC1412" w:rsidRDefault="000A7D9D" w:rsidP="00F31937">
            <w:pPr>
              <w:jc w:val="right"/>
              <w:rPr>
                <w:caps/>
                <w:noProof/>
                <w:sz w:val="18"/>
                <w:szCs w:val="18"/>
              </w:rPr>
            </w:pPr>
            <w:r>
              <w:rPr>
                <w:noProof/>
                <w:sz w:val="18"/>
                <w:szCs w:val="18"/>
              </w:rPr>
              <w:t>50</w:t>
            </w:r>
          </w:p>
        </w:tc>
        <w:tc>
          <w:tcPr>
            <w:tcW w:w="567" w:type="dxa"/>
            <w:tcBorders>
              <w:top w:val="dotted" w:sz="4" w:space="0" w:color="auto"/>
              <w:left w:val="single" w:sz="4" w:space="0" w:color="auto"/>
              <w:bottom w:val="dotted" w:sz="4" w:space="0" w:color="auto"/>
            </w:tcBorders>
            <w:shd w:val="clear" w:color="auto" w:fill="C1ECFF"/>
          </w:tcPr>
          <w:p w14:paraId="5AE65A41" w14:textId="77777777" w:rsidR="000A7D9D" w:rsidRPr="00EC1412" w:rsidRDefault="000A7D9D" w:rsidP="00F31937">
            <w:pPr>
              <w:jc w:val="right"/>
              <w:rPr>
                <w:caps/>
                <w:noProof/>
                <w:sz w:val="18"/>
                <w:szCs w:val="18"/>
              </w:rPr>
            </w:pPr>
            <w:r>
              <w:rPr>
                <w:noProof/>
                <w:sz w:val="18"/>
                <w:szCs w:val="18"/>
              </w:rPr>
              <w:t>50</w:t>
            </w:r>
          </w:p>
        </w:tc>
      </w:tr>
      <w:tr w:rsidR="000A7D9D" w:rsidRPr="00EC1412" w14:paraId="1B605B7A" w14:textId="77777777" w:rsidTr="00F31937">
        <w:tc>
          <w:tcPr>
            <w:tcW w:w="3964" w:type="dxa"/>
            <w:tcBorders>
              <w:top w:val="dotted" w:sz="4" w:space="0" w:color="auto"/>
              <w:bottom w:val="single" w:sz="4" w:space="0" w:color="auto"/>
              <w:right w:val="single" w:sz="4" w:space="0" w:color="auto"/>
            </w:tcBorders>
            <w:shd w:val="clear" w:color="auto" w:fill="C1ECFF"/>
          </w:tcPr>
          <w:p w14:paraId="662D8938" w14:textId="77777777" w:rsidR="000A7D9D" w:rsidRPr="00EC1412" w:rsidRDefault="000A7D9D" w:rsidP="00F31937">
            <w:pPr>
              <w:jc w:val="both"/>
              <w:rPr>
                <w:caps/>
                <w:noProof/>
                <w:sz w:val="18"/>
                <w:szCs w:val="18"/>
              </w:rPr>
            </w:pPr>
            <w:r w:rsidRPr="00EC1412">
              <w:rPr>
                <w:noProof/>
                <w:sz w:val="18"/>
                <w:szCs w:val="18"/>
              </w:rPr>
              <w:t xml:space="preserve">   Medical devices regulation</w:t>
            </w:r>
          </w:p>
        </w:tc>
        <w:tc>
          <w:tcPr>
            <w:tcW w:w="426" w:type="dxa"/>
            <w:tcBorders>
              <w:top w:val="dotted" w:sz="4" w:space="0" w:color="auto"/>
              <w:left w:val="single" w:sz="4" w:space="0" w:color="auto"/>
              <w:bottom w:val="single" w:sz="4" w:space="0" w:color="auto"/>
              <w:right w:val="dotted" w:sz="4" w:space="0" w:color="auto"/>
            </w:tcBorders>
            <w:shd w:val="clear" w:color="auto" w:fill="C1ECFF"/>
          </w:tcPr>
          <w:p w14:paraId="7BF614B6"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2A85957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61C48A31"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4BF652F7"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single" w:sz="4" w:space="0" w:color="auto"/>
              <w:right w:val="dotted" w:sz="4" w:space="0" w:color="auto"/>
            </w:tcBorders>
            <w:shd w:val="clear" w:color="auto" w:fill="C1ECFF"/>
          </w:tcPr>
          <w:p w14:paraId="43D9AD6A"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10DE93A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45D22BFA"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2AEE0145"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07B379AE"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0B4FB1E0"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0B67918E"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tcBorders>
            <w:shd w:val="clear" w:color="auto" w:fill="C1ECFF"/>
          </w:tcPr>
          <w:p w14:paraId="1F47AA63" w14:textId="77777777" w:rsidR="000A7D9D" w:rsidRPr="00EC1412" w:rsidRDefault="000A7D9D" w:rsidP="00F31937">
            <w:pPr>
              <w:jc w:val="right"/>
              <w:rPr>
                <w:caps/>
                <w:noProof/>
                <w:sz w:val="18"/>
                <w:szCs w:val="18"/>
              </w:rPr>
            </w:pPr>
            <w:r>
              <w:rPr>
                <w:noProof/>
                <w:sz w:val="18"/>
                <w:szCs w:val="18"/>
              </w:rPr>
              <w:t>0</w:t>
            </w:r>
          </w:p>
        </w:tc>
      </w:tr>
      <w:tr w:rsidR="000A7D9D" w:rsidRPr="00EC1412" w14:paraId="5952C497" w14:textId="77777777" w:rsidTr="00F31937">
        <w:tc>
          <w:tcPr>
            <w:tcW w:w="3964" w:type="dxa"/>
            <w:tcBorders>
              <w:bottom w:val="dotted" w:sz="4" w:space="0" w:color="auto"/>
              <w:right w:val="single" w:sz="4" w:space="0" w:color="auto"/>
            </w:tcBorders>
            <w:shd w:val="clear" w:color="auto" w:fill="FFF4CC"/>
          </w:tcPr>
          <w:p w14:paraId="5AA2240C" w14:textId="77777777" w:rsidR="000A7D9D" w:rsidRPr="00EC1412" w:rsidRDefault="000A7D9D" w:rsidP="00F31937">
            <w:pPr>
              <w:jc w:val="both"/>
              <w:rPr>
                <w:b/>
                <w:caps/>
                <w:noProof/>
                <w:sz w:val="18"/>
                <w:szCs w:val="18"/>
              </w:rPr>
            </w:pPr>
            <w:r w:rsidRPr="00EC1412">
              <w:rPr>
                <w:b/>
                <w:noProof/>
                <w:sz w:val="18"/>
                <w:szCs w:val="18"/>
              </w:rPr>
              <w:t>Regulation on chemical</w:t>
            </w:r>
            <w:r>
              <w:rPr>
                <w:b/>
                <w:noProof/>
                <w:sz w:val="18"/>
                <w:szCs w:val="18"/>
              </w:rPr>
              <w:t>s</w:t>
            </w:r>
            <w:r w:rsidRPr="00EC1412">
              <w:rPr>
                <w:b/>
                <w:noProof/>
                <w:sz w:val="18"/>
                <w:szCs w:val="18"/>
              </w:rPr>
              <w:t xml:space="preserve"> </w:t>
            </w:r>
            <w:r>
              <w:rPr>
                <w:b/>
                <w:noProof/>
                <w:sz w:val="18"/>
                <w:szCs w:val="18"/>
              </w:rPr>
              <w:t>data</w:t>
            </w:r>
          </w:p>
        </w:tc>
        <w:tc>
          <w:tcPr>
            <w:tcW w:w="426" w:type="dxa"/>
            <w:tcBorders>
              <w:left w:val="single" w:sz="4" w:space="0" w:color="auto"/>
              <w:bottom w:val="dotted" w:sz="4" w:space="0" w:color="auto"/>
              <w:right w:val="dotted" w:sz="4" w:space="0" w:color="auto"/>
            </w:tcBorders>
            <w:shd w:val="clear" w:color="auto" w:fill="FFF4CC"/>
          </w:tcPr>
          <w:p w14:paraId="194DBA33" w14:textId="77777777" w:rsidR="000A7D9D" w:rsidRPr="00EC1412" w:rsidRDefault="000A7D9D" w:rsidP="00F31937">
            <w:pPr>
              <w:jc w:val="right"/>
              <w:rPr>
                <w:b/>
                <w:caps/>
                <w:noProof/>
                <w:sz w:val="18"/>
                <w:szCs w:val="18"/>
              </w:rPr>
            </w:pPr>
            <w:r>
              <w:rPr>
                <w:b/>
                <w:caps/>
                <w:noProof/>
                <w:sz w:val="18"/>
                <w:szCs w:val="18"/>
              </w:rPr>
              <w:t>7</w:t>
            </w:r>
          </w:p>
        </w:tc>
        <w:tc>
          <w:tcPr>
            <w:tcW w:w="425" w:type="dxa"/>
            <w:tcBorders>
              <w:left w:val="dotted" w:sz="4" w:space="0" w:color="auto"/>
              <w:bottom w:val="dotted" w:sz="4" w:space="0" w:color="auto"/>
              <w:right w:val="single" w:sz="4" w:space="0" w:color="auto"/>
            </w:tcBorders>
            <w:shd w:val="clear" w:color="auto" w:fill="FFF4CC"/>
          </w:tcPr>
          <w:p w14:paraId="55ED0833" w14:textId="77777777" w:rsidR="000A7D9D" w:rsidRPr="00EC1412" w:rsidRDefault="000A7D9D" w:rsidP="00F31937">
            <w:pPr>
              <w:jc w:val="right"/>
              <w:rPr>
                <w:b/>
                <w:caps/>
                <w:noProof/>
                <w:sz w:val="18"/>
                <w:szCs w:val="18"/>
              </w:rPr>
            </w:pPr>
            <w:r>
              <w:rPr>
                <w:b/>
                <w:caps/>
                <w:noProof/>
                <w:sz w:val="18"/>
                <w:szCs w:val="18"/>
              </w:rPr>
              <w:t>8</w:t>
            </w:r>
          </w:p>
        </w:tc>
        <w:tc>
          <w:tcPr>
            <w:tcW w:w="425" w:type="dxa"/>
            <w:tcBorders>
              <w:left w:val="single" w:sz="4" w:space="0" w:color="auto"/>
              <w:bottom w:val="dotted" w:sz="4" w:space="0" w:color="auto"/>
              <w:right w:val="dotted" w:sz="4" w:space="0" w:color="auto"/>
            </w:tcBorders>
            <w:shd w:val="clear" w:color="auto" w:fill="FFF4CC"/>
          </w:tcPr>
          <w:p w14:paraId="016065EC" w14:textId="77777777" w:rsidR="000A7D9D" w:rsidRPr="00EC1412" w:rsidRDefault="000A7D9D" w:rsidP="00F31937">
            <w:pPr>
              <w:jc w:val="right"/>
              <w:rPr>
                <w:b/>
                <w:caps/>
                <w:noProof/>
                <w:sz w:val="18"/>
                <w:szCs w:val="18"/>
              </w:rPr>
            </w:pPr>
            <w:r>
              <w:rPr>
                <w:b/>
                <w:caps/>
                <w:noProof/>
                <w:sz w:val="18"/>
                <w:szCs w:val="18"/>
              </w:rPr>
              <w:t>9</w:t>
            </w:r>
          </w:p>
        </w:tc>
        <w:tc>
          <w:tcPr>
            <w:tcW w:w="425" w:type="dxa"/>
            <w:tcBorders>
              <w:left w:val="dotted" w:sz="4" w:space="0" w:color="auto"/>
              <w:bottom w:val="dotted" w:sz="4" w:space="0" w:color="auto"/>
              <w:right w:val="single" w:sz="4" w:space="0" w:color="auto"/>
            </w:tcBorders>
            <w:shd w:val="clear" w:color="auto" w:fill="FFF4CC"/>
          </w:tcPr>
          <w:p w14:paraId="6A32B698" w14:textId="77777777" w:rsidR="000A7D9D" w:rsidRPr="00EC1412" w:rsidRDefault="000A7D9D" w:rsidP="00F31937">
            <w:pPr>
              <w:jc w:val="right"/>
              <w:rPr>
                <w:b/>
                <w:caps/>
                <w:noProof/>
                <w:sz w:val="18"/>
                <w:szCs w:val="18"/>
              </w:rPr>
            </w:pPr>
            <w:r>
              <w:rPr>
                <w:b/>
                <w:caps/>
                <w:noProof/>
                <w:sz w:val="18"/>
                <w:szCs w:val="18"/>
              </w:rPr>
              <w:t>10</w:t>
            </w:r>
          </w:p>
        </w:tc>
        <w:tc>
          <w:tcPr>
            <w:tcW w:w="426" w:type="dxa"/>
            <w:tcBorders>
              <w:left w:val="single" w:sz="4" w:space="0" w:color="auto"/>
              <w:bottom w:val="dotted" w:sz="4" w:space="0" w:color="auto"/>
              <w:right w:val="dotted" w:sz="4" w:space="0" w:color="auto"/>
            </w:tcBorders>
            <w:shd w:val="clear" w:color="auto" w:fill="FFF4CC"/>
          </w:tcPr>
          <w:p w14:paraId="3693D756" w14:textId="77777777" w:rsidR="000A7D9D" w:rsidRPr="00EC1412" w:rsidRDefault="000A7D9D" w:rsidP="00F31937">
            <w:pPr>
              <w:jc w:val="right"/>
              <w:rPr>
                <w:b/>
                <w:caps/>
                <w:noProof/>
                <w:sz w:val="18"/>
                <w:szCs w:val="18"/>
              </w:rPr>
            </w:pPr>
            <w:r>
              <w:rPr>
                <w:b/>
                <w:caps/>
                <w:noProof/>
                <w:sz w:val="18"/>
                <w:szCs w:val="18"/>
              </w:rPr>
              <w:t>9</w:t>
            </w:r>
          </w:p>
        </w:tc>
        <w:tc>
          <w:tcPr>
            <w:tcW w:w="425" w:type="dxa"/>
            <w:tcBorders>
              <w:left w:val="dotted" w:sz="4" w:space="0" w:color="auto"/>
              <w:bottom w:val="dotted" w:sz="4" w:space="0" w:color="auto"/>
              <w:right w:val="single" w:sz="4" w:space="0" w:color="auto"/>
            </w:tcBorders>
            <w:shd w:val="clear" w:color="auto" w:fill="FFF4CC"/>
          </w:tcPr>
          <w:p w14:paraId="60B8D5AF" w14:textId="77777777" w:rsidR="000A7D9D" w:rsidRPr="00EC1412" w:rsidRDefault="000A7D9D" w:rsidP="00F31937">
            <w:pPr>
              <w:jc w:val="right"/>
              <w:rPr>
                <w:b/>
                <w:caps/>
                <w:noProof/>
                <w:sz w:val="18"/>
                <w:szCs w:val="18"/>
              </w:rPr>
            </w:pPr>
            <w:r>
              <w:rPr>
                <w:b/>
                <w:caps/>
                <w:noProof/>
                <w:sz w:val="18"/>
                <w:szCs w:val="18"/>
              </w:rPr>
              <w:t>10</w:t>
            </w:r>
          </w:p>
        </w:tc>
        <w:tc>
          <w:tcPr>
            <w:tcW w:w="425" w:type="dxa"/>
            <w:tcBorders>
              <w:left w:val="single" w:sz="4" w:space="0" w:color="auto"/>
              <w:bottom w:val="dotted" w:sz="4" w:space="0" w:color="auto"/>
              <w:right w:val="dotted" w:sz="4" w:space="0" w:color="auto"/>
            </w:tcBorders>
            <w:shd w:val="clear" w:color="auto" w:fill="FFF4CC"/>
          </w:tcPr>
          <w:p w14:paraId="2DEA7371" w14:textId="77777777" w:rsidR="000A7D9D" w:rsidRPr="00EC1412" w:rsidRDefault="000A7D9D" w:rsidP="00F31937">
            <w:pPr>
              <w:jc w:val="right"/>
              <w:rPr>
                <w:b/>
                <w:caps/>
                <w:noProof/>
                <w:sz w:val="18"/>
                <w:szCs w:val="18"/>
              </w:rPr>
            </w:pPr>
            <w:r>
              <w:rPr>
                <w:b/>
                <w:caps/>
                <w:noProof/>
                <w:sz w:val="18"/>
                <w:szCs w:val="18"/>
              </w:rPr>
              <w:t>9</w:t>
            </w:r>
          </w:p>
        </w:tc>
        <w:tc>
          <w:tcPr>
            <w:tcW w:w="425" w:type="dxa"/>
            <w:tcBorders>
              <w:left w:val="dotted" w:sz="4" w:space="0" w:color="auto"/>
              <w:bottom w:val="dotted" w:sz="4" w:space="0" w:color="auto"/>
              <w:right w:val="single" w:sz="4" w:space="0" w:color="auto"/>
            </w:tcBorders>
            <w:shd w:val="clear" w:color="auto" w:fill="FFF4CC"/>
          </w:tcPr>
          <w:p w14:paraId="165B79DD" w14:textId="77777777" w:rsidR="000A7D9D" w:rsidRPr="00EC1412" w:rsidRDefault="000A7D9D" w:rsidP="00F31937">
            <w:pPr>
              <w:jc w:val="right"/>
              <w:rPr>
                <w:b/>
                <w:caps/>
                <w:noProof/>
                <w:sz w:val="18"/>
                <w:szCs w:val="18"/>
              </w:rPr>
            </w:pPr>
            <w:r>
              <w:rPr>
                <w:b/>
                <w:caps/>
                <w:noProof/>
                <w:sz w:val="18"/>
                <w:szCs w:val="18"/>
              </w:rPr>
              <w:t>4</w:t>
            </w:r>
          </w:p>
        </w:tc>
        <w:tc>
          <w:tcPr>
            <w:tcW w:w="567" w:type="dxa"/>
            <w:tcBorders>
              <w:left w:val="single" w:sz="4" w:space="0" w:color="auto"/>
              <w:bottom w:val="dotted" w:sz="4" w:space="0" w:color="auto"/>
              <w:right w:val="single" w:sz="4" w:space="0" w:color="auto"/>
            </w:tcBorders>
            <w:shd w:val="clear" w:color="auto" w:fill="FFF4CC"/>
          </w:tcPr>
          <w:p w14:paraId="4E5ED585" w14:textId="77777777" w:rsidR="000A7D9D" w:rsidRPr="00EC1412" w:rsidRDefault="000A7D9D" w:rsidP="00F31937">
            <w:pPr>
              <w:ind w:left="-107"/>
              <w:jc w:val="right"/>
              <w:rPr>
                <w:b/>
                <w:caps/>
                <w:noProof/>
                <w:sz w:val="18"/>
                <w:szCs w:val="18"/>
              </w:rPr>
            </w:pPr>
            <w:r>
              <w:rPr>
                <w:b/>
                <w:noProof/>
                <w:sz w:val="18"/>
                <w:szCs w:val="18"/>
              </w:rPr>
              <w:t>0</w:t>
            </w:r>
          </w:p>
        </w:tc>
        <w:tc>
          <w:tcPr>
            <w:tcW w:w="567" w:type="dxa"/>
            <w:tcBorders>
              <w:left w:val="single" w:sz="4" w:space="0" w:color="auto"/>
              <w:bottom w:val="dotted" w:sz="4" w:space="0" w:color="auto"/>
              <w:right w:val="single" w:sz="4" w:space="0" w:color="auto"/>
            </w:tcBorders>
            <w:shd w:val="clear" w:color="auto" w:fill="FFF4CC"/>
            <w:vAlign w:val="bottom"/>
          </w:tcPr>
          <w:p w14:paraId="27323F09" w14:textId="77777777" w:rsidR="000A7D9D" w:rsidRPr="00EC1412" w:rsidRDefault="000A7D9D" w:rsidP="00F31937">
            <w:pPr>
              <w:ind w:left="-110"/>
              <w:jc w:val="right"/>
              <w:rPr>
                <w:b/>
                <w:caps/>
                <w:noProof/>
                <w:sz w:val="18"/>
                <w:szCs w:val="18"/>
              </w:rPr>
            </w:pPr>
            <w:r>
              <w:rPr>
                <w:b/>
                <w:caps/>
                <w:noProof/>
                <w:sz w:val="18"/>
                <w:szCs w:val="18"/>
              </w:rPr>
              <w:t>5 076</w:t>
            </w:r>
          </w:p>
        </w:tc>
        <w:tc>
          <w:tcPr>
            <w:tcW w:w="567" w:type="dxa"/>
            <w:tcBorders>
              <w:left w:val="single" w:sz="4" w:space="0" w:color="auto"/>
              <w:bottom w:val="dotted" w:sz="4" w:space="0" w:color="auto"/>
              <w:right w:val="single" w:sz="4" w:space="0" w:color="auto"/>
            </w:tcBorders>
            <w:shd w:val="clear" w:color="auto" w:fill="FFF4CC"/>
            <w:vAlign w:val="bottom"/>
          </w:tcPr>
          <w:p w14:paraId="4DA90F70" w14:textId="77777777" w:rsidR="000A7D9D" w:rsidRPr="00EC1412" w:rsidRDefault="000A7D9D" w:rsidP="00F31937">
            <w:pPr>
              <w:ind w:left="-103"/>
              <w:jc w:val="right"/>
              <w:rPr>
                <w:b/>
                <w:caps/>
                <w:noProof/>
                <w:sz w:val="18"/>
                <w:szCs w:val="18"/>
              </w:rPr>
            </w:pPr>
            <w:r>
              <w:rPr>
                <w:b/>
                <w:noProof/>
                <w:sz w:val="18"/>
                <w:szCs w:val="18"/>
              </w:rPr>
              <w:t>7 023</w:t>
            </w:r>
          </w:p>
        </w:tc>
        <w:tc>
          <w:tcPr>
            <w:tcW w:w="567" w:type="dxa"/>
            <w:tcBorders>
              <w:left w:val="single" w:sz="4" w:space="0" w:color="auto"/>
              <w:bottom w:val="dotted" w:sz="4" w:space="0" w:color="auto"/>
            </w:tcBorders>
            <w:shd w:val="clear" w:color="auto" w:fill="FFF4CC"/>
            <w:vAlign w:val="bottom"/>
          </w:tcPr>
          <w:p w14:paraId="69C22D5A" w14:textId="77777777" w:rsidR="000A7D9D" w:rsidRPr="00EC1412" w:rsidRDefault="000A7D9D" w:rsidP="00F31937">
            <w:pPr>
              <w:ind w:left="-119"/>
              <w:jc w:val="right"/>
              <w:rPr>
                <w:b/>
                <w:caps/>
                <w:noProof/>
                <w:sz w:val="18"/>
                <w:szCs w:val="18"/>
              </w:rPr>
            </w:pPr>
            <w:r>
              <w:rPr>
                <w:b/>
                <w:noProof/>
                <w:sz w:val="18"/>
                <w:szCs w:val="18"/>
              </w:rPr>
              <w:t>6 180</w:t>
            </w:r>
          </w:p>
        </w:tc>
      </w:tr>
      <w:tr w:rsidR="000A7D9D" w:rsidRPr="00EC1412" w14:paraId="1357EC21" w14:textId="77777777" w:rsidTr="00F31937">
        <w:tc>
          <w:tcPr>
            <w:tcW w:w="3964" w:type="dxa"/>
            <w:tcBorders>
              <w:top w:val="dotted" w:sz="4" w:space="0" w:color="auto"/>
              <w:bottom w:val="dotted" w:sz="4" w:space="0" w:color="auto"/>
              <w:right w:val="single" w:sz="4" w:space="0" w:color="auto"/>
            </w:tcBorders>
            <w:shd w:val="clear" w:color="auto" w:fill="FFF4CC"/>
          </w:tcPr>
          <w:p w14:paraId="574CA81A" w14:textId="77777777" w:rsidR="000A7D9D" w:rsidRPr="00EC1412" w:rsidRDefault="000A7D9D" w:rsidP="00F31937">
            <w:pPr>
              <w:jc w:val="both"/>
              <w:rPr>
                <w:noProof/>
                <w:sz w:val="18"/>
                <w:szCs w:val="18"/>
              </w:rPr>
            </w:pPr>
            <w:r w:rsidRPr="00EC1412">
              <w:rPr>
                <w:noProof/>
                <w:sz w:val="18"/>
                <w:szCs w:val="18"/>
              </w:rPr>
              <w:t xml:space="preserve">   Common data platform </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32D9BFB8" w14:textId="77777777" w:rsidR="000A7D9D" w:rsidRPr="00EC1412" w:rsidRDefault="000A7D9D" w:rsidP="00F31937">
            <w:pPr>
              <w:jc w:val="right"/>
              <w:rPr>
                <w:caps/>
                <w:noProof/>
                <w:sz w:val="18"/>
                <w:szCs w:val="18"/>
              </w:rPr>
            </w:pPr>
            <w:r>
              <w:rPr>
                <w:caps/>
                <w:noProof/>
                <w:sz w:val="18"/>
                <w:szCs w:val="18"/>
              </w:rPr>
              <w:t>4</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69CBA40" w14:textId="77777777" w:rsidR="000A7D9D" w:rsidRPr="00EC1412" w:rsidRDefault="000A7D9D" w:rsidP="00F31937">
            <w:pPr>
              <w:jc w:val="right"/>
              <w:rPr>
                <w:caps/>
                <w:noProof/>
                <w:sz w:val="18"/>
                <w:szCs w:val="18"/>
              </w:rPr>
            </w:pPr>
            <w:r>
              <w:rPr>
                <w:caps/>
                <w:noProof/>
                <w:sz w:val="18"/>
                <w:szCs w:val="18"/>
              </w:rPr>
              <w:t>6</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5A2233C" w14:textId="77777777" w:rsidR="000A7D9D" w:rsidRPr="00EC1412" w:rsidRDefault="000A7D9D" w:rsidP="00F31937">
            <w:pPr>
              <w:jc w:val="right"/>
              <w:rPr>
                <w:caps/>
                <w:noProof/>
                <w:sz w:val="18"/>
                <w:szCs w:val="18"/>
              </w:rPr>
            </w:pPr>
            <w:r>
              <w:rPr>
                <w:caps/>
                <w:noProof/>
                <w:sz w:val="18"/>
                <w:szCs w:val="18"/>
              </w:rPr>
              <w:t>4</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82E838C" w14:textId="77777777" w:rsidR="000A7D9D" w:rsidRPr="00EC1412" w:rsidRDefault="000A7D9D" w:rsidP="00F31937">
            <w:pPr>
              <w:jc w:val="right"/>
              <w:rPr>
                <w:caps/>
                <w:noProof/>
                <w:sz w:val="18"/>
                <w:szCs w:val="18"/>
              </w:rPr>
            </w:pPr>
            <w:r>
              <w:rPr>
                <w:caps/>
                <w:noProof/>
                <w:sz w:val="18"/>
                <w:szCs w:val="18"/>
              </w:rPr>
              <w:t>6</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0B796808" w14:textId="77777777" w:rsidR="000A7D9D" w:rsidRPr="00EC1412" w:rsidRDefault="000A7D9D" w:rsidP="00F31937">
            <w:pPr>
              <w:jc w:val="right"/>
              <w:rPr>
                <w:caps/>
                <w:noProof/>
                <w:sz w:val="18"/>
                <w:szCs w:val="18"/>
              </w:rPr>
            </w:pPr>
            <w:r>
              <w:rPr>
                <w:caps/>
                <w:noProof/>
                <w:sz w:val="18"/>
                <w:szCs w:val="18"/>
              </w:rPr>
              <w:t>4</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B98AA09" w14:textId="77777777" w:rsidR="000A7D9D" w:rsidRPr="00EC1412" w:rsidRDefault="000A7D9D" w:rsidP="00F31937">
            <w:pPr>
              <w:jc w:val="right"/>
              <w:rPr>
                <w:caps/>
                <w:noProof/>
                <w:sz w:val="18"/>
                <w:szCs w:val="18"/>
              </w:rPr>
            </w:pPr>
            <w:r>
              <w:rPr>
                <w:caps/>
                <w:noProof/>
                <w:sz w:val="18"/>
                <w:szCs w:val="18"/>
              </w:rPr>
              <w:t>6</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ABFFEC6" w14:textId="77777777" w:rsidR="000A7D9D" w:rsidRPr="00EC1412" w:rsidRDefault="000A7D9D" w:rsidP="00F31937">
            <w:pPr>
              <w:jc w:val="right"/>
              <w:rPr>
                <w:caps/>
                <w:noProof/>
                <w:sz w:val="18"/>
                <w:szCs w:val="18"/>
              </w:rPr>
            </w:pPr>
            <w:r w:rsidRPr="00EC1412">
              <w:rPr>
                <w:caps/>
                <w:noProof/>
                <w:sz w:val="18"/>
                <w:szCs w:val="18"/>
              </w:rPr>
              <w:t>4</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29DD428"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2BE107C1" w14:textId="77777777" w:rsidR="000A7D9D" w:rsidRPr="00EC1412" w:rsidRDefault="000A7D9D" w:rsidP="00F31937">
            <w:pPr>
              <w:ind w:left="-107"/>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72F34F73" w14:textId="77777777" w:rsidR="000A7D9D" w:rsidRPr="00EC1412" w:rsidRDefault="000A7D9D" w:rsidP="00F31937">
            <w:pPr>
              <w:ind w:left="-110"/>
              <w:jc w:val="right"/>
              <w:rPr>
                <w:noProof/>
                <w:sz w:val="18"/>
                <w:szCs w:val="18"/>
              </w:rPr>
            </w:pPr>
            <w:r>
              <w:rPr>
                <w:noProof/>
                <w:sz w:val="18"/>
                <w:szCs w:val="18"/>
              </w:rPr>
              <w:t>2 226</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7B3BF4E5" w14:textId="77777777" w:rsidR="000A7D9D" w:rsidRPr="00EC1412" w:rsidRDefault="000A7D9D" w:rsidP="00F31937">
            <w:pPr>
              <w:ind w:left="-103"/>
              <w:jc w:val="right"/>
              <w:rPr>
                <w:noProof/>
                <w:sz w:val="18"/>
                <w:szCs w:val="18"/>
              </w:rPr>
            </w:pPr>
            <w:r>
              <w:rPr>
                <w:noProof/>
                <w:sz w:val="18"/>
                <w:szCs w:val="18"/>
              </w:rPr>
              <w:t>2 793</w:t>
            </w:r>
          </w:p>
        </w:tc>
        <w:tc>
          <w:tcPr>
            <w:tcW w:w="567" w:type="dxa"/>
            <w:tcBorders>
              <w:top w:val="dotted" w:sz="4" w:space="0" w:color="auto"/>
              <w:left w:val="single" w:sz="4" w:space="0" w:color="auto"/>
              <w:bottom w:val="dotted" w:sz="4" w:space="0" w:color="auto"/>
            </w:tcBorders>
            <w:shd w:val="clear" w:color="auto" w:fill="FFF4CC"/>
            <w:vAlign w:val="bottom"/>
          </w:tcPr>
          <w:p w14:paraId="462EFACA" w14:textId="77777777" w:rsidR="000A7D9D" w:rsidRPr="00EC1412" w:rsidRDefault="000A7D9D" w:rsidP="00F31937">
            <w:pPr>
              <w:ind w:left="-119"/>
              <w:jc w:val="right"/>
              <w:rPr>
                <w:noProof/>
                <w:sz w:val="18"/>
                <w:szCs w:val="18"/>
              </w:rPr>
            </w:pPr>
            <w:r w:rsidRPr="00EC1412">
              <w:rPr>
                <w:noProof/>
                <w:sz w:val="18"/>
                <w:szCs w:val="18"/>
              </w:rPr>
              <w:t>600</w:t>
            </w:r>
          </w:p>
        </w:tc>
      </w:tr>
      <w:tr w:rsidR="000A7D9D" w:rsidRPr="00EC1412" w14:paraId="59009908" w14:textId="77777777" w:rsidTr="00F31937">
        <w:tc>
          <w:tcPr>
            <w:tcW w:w="3964" w:type="dxa"/>
            <w:tcBorders>
              <w:top w:val="dotted" w:sz="4" w:space="0" w:color="auto"/>
              <w:bottom w:val="dotted" w:sz="4" w:space="0" w:color="auto"/>
              <w:right w:val="single" w:sz="4" w:space="0" w:color="auto"/>
            </w:tcBorders>
            <w:shd w:val="clear" w:color="auto" w:fill="FFF4CC"/>
          </w:tcPr>
          <w:p w14:paraId="2F0A722D" w14:textId="77777777" w:rsidR="000A7D9D" w:rsidRPr="00EC1412" w:rsidRDefault="000A7D9D" w:rsidP="00F31937">
            <w:pPr>
              <w:rPr>
                <w:noProof/>
                <w:sz w:val="18"/>
                <w:szCs w:val="18"/>
              </w:rPr>
            </w:pPr>
            <w:r w:rsidRPr="2D69C30E">
              <w:rPr>
                <w:noProof/>
                <w:sz w:val="18"/>
                <w:szCs w:val="18"/>
              </w:rPr>
              <w:t xml:space="preserve">   Inform</w:t>
            </w:r>
            <w:r>
              <w:rPr>
                <w:noProof/>
                <w:sz w:val="18"/>
                <w:szCs w:val="18"/>
              </w:rPr>
              <w:t>ation Platform for Chemical Moni</w:t>
            </w:r>
            <w:r w:rsidRPr="2D69C30E">
              <w:rPr>
                <w:noProof/>
                <w:sz w:val="18"/>
                <w:szCs w:val="18"/>
              </w:rPr>
              <w:t>toring</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3ECAE710"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90F2BEE"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614F825"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D805D24"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1081DC50"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0ED9F4F"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7058706"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A19A52E" w14:textId="77777777" w:rsidR="000A7D9D" w:rsidRPr="00EC1412" w:rsidRDefault="000A7D9D" w:rsidP="00F31937">
            <w:pPr>
              <w:jc w:val="right"/>
              <w:rPr>
                <w:caps/>
                <w:noProof/>
                <w:sz w:val="18"/>
                <w:szCs w:val="18"/>
              </w:rPr>
            </w:pPr>
            <w:r>
              <w:rPr>
                <w:caps/>
                <w:noProof/>
                <w:sz w:val="18"/>
                <w:szCs w:val="18"/>
              </w:rPr>
              <w:t>1</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54E2B1CC"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17CBC204"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7EDEE44C" w14:textId="77777777" w:rsidR="000A7D9D" w:rsidRPr="00EC1412" w:rsidRDefault="000A7D9D" w:rsidP="00F31937">
            <w:pPr>
              <w:jc w:val="right"/>
              <w:rPr>
                <w:noProof/>
                <w:sz w:val="18"/>
                <w:szCs w:val="18"/>
              </w:rPr>
            </w:pPr>
            <w:r w:rsidRPr="00EC1412">
              <w:rPr>
                <w:noProof/>
                <w:sz w:val="18"/>
                <w:szCs w:val="18"/>
              </w:rPr>
              <w:t>180</w:t>
            </w:r>
          </w:p>
        </w:tc>
        <w:tc>
          <w:tcPr>
            <w:tcW w:w="567" w:type="dxa"/>
            <w:tcBorders>
              <w:top w:val="dotted" w:sz="4" w:space="0" w:color="auto"/>
              <w:left w:val="single" w:sz="4" w:space="0" w:color="auto"/>
              <w:bottom w:val="dotted" w:sz="4" w:space="0" w:color="auto"/>
            </w:tcBorders>
            <w:shd w:val="clear" w:color="auto" w:fill="FFF4CC"/>
            <w:vAlign w:val="bottom"/>
          </w:tcPr>
          <w:p w14:paraId="47E93770" w14:textId="77777777" w:rsidR="000A7D9D" w:rsidRPr="00EC1412" w:rsidRDefault="000A7D9D" w:rsidP="00F31937">
            <w:pPr>
              <w:ind w:left="-119"/>
              <w:jc w:val="right"/>
              <w:rPr>
                <w:noProof/>
                <w:sz w:val="18"/>
                <w:szCs w:val="18"/>
              </w:rPr>
            </w:pPr>
            <w:r>
              <w:rPr>
                <w:noProof/>
                <w:sz w:val="18"/>
                <w:szCs w:val="18"/>
              </w:rPr>
              <w:t>180</w:t>
            </w:r>
          </w:p>
        </w:tc>
      </w:tr>
      <w:tr w:rsidR="000A7D9D" w:rsidRPr="00EC1412" w14:paraId="155445FE" w14:textId="77777777" w:rsidTr="00F31937">
        <w:tc>
          <w:tcPr>
            <w:tcW w:w="3964" w:type="dxa"/>
            <w:tcBorders>
              <w:top w:val="dotted" w:sz="4" w:space="0" w:color="auto"/>
              <w:bottom w:val="dotted" w:sz="4" w:space="0" w:color="auto"/>
              <w:right w:val="single" w:sz="4" w:space="0" w:color="auto"/>
            </w:tcBorders>
            <w:shd w:val="clear" w:color="auto" w:fill="FFF4CC"/>
          </w:tcPr>
          <w:p w14:paraId="06FB9D7A" w14:textId="77777777" w:rsidR="000A7D9D" w:rsidRPr="00EC1412" w:rsidRDefault="000A7D9D" w:rsidP="00F31937">
            <w:pPr>
              <w:rPr>
                <w:noProof/>
                <w:sz w:val="18"/>
                <w:szCs w:val="18"/>
              </w:rPr>
            </w:pPr>
            <w:r w:rsidRPr="2D69C30E">
              <w:rPr>
                <w:caps/>
                <w:noProof/>
                <w:sz w:val="18"/>
                <w:szCs w:val="18"/>
              </w:rPr>
              <w:t xml:space="preserve">   </w:t>
            </w:r>
            <w:r w:rsidRPr="2D69C30E">
              <w:rPr>
                <w:noProof/>
                <w:sz w:val="18"/>
                <w:szCs w:val="18"/>
              </w:rPr>
              <w:t>Information on regulatory processes on chemicals</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7DD5156D"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2A3FB11"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7E3C0C7"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76740AD"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6F28F108"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0B3A4F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6CD32BC"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9203250"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0336DCA4"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6ABB2E2E"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29E79A2B"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vAlign w:val="bottom"/>
          </w:tcPr>
          <w:p w14:paraId="35122CFA"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5C3547F7" w14:textId="77777777" w:rsidTr="00F31937">
        <w:tc>
          <w:tcPr>
            <w:tcW w:w="3964" w:type="dxa"/>
            <w:tcBorders>
              <w:top w:val="dotted" w:sz="4" w:space="0" w:color="auto"/>
              <w:bottom w:val="dotted" w:sz="4" w:space="0" w:color="auto"/>
              <w:right w:val="single" w:sz="4" w:space="0" w:color="auto"/>
            </w:tcBorders>
            <w:shd w:val="clear" w:color="auto" w:fill="FFF4CC"/>
          </w:tcPr>
          <w:p w14:paraId="5D0DEC93" w14:textId="77777777" w:rsidR="000A7D9D" w:rsidRPr="00EC1412" w:rsidRDefault="000A7D9D" w:rsidP="00F31937">
            <w:pPr>
              <w:rPr>
                <w:noProof/>
                <w:sz w:val="18"/>
                <w:szCs w:val="18"/>
              </w:rPr>
            </w:pPr>
            <w:r w:rsidRPr="2D69C30E">
              <w:rPr>
                <w:noProof/>
                <w:sz w:val="18"/>
                <w:szCs w:val="18"/>
              </w:rPr>
              <w:t xml:space="preserve">   Repository of reference values </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7A39B24B"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279E0D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8B403E7"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D06A6A8"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633470E4"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DDBD05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4D38613"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1CB47DD"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4E90D5A2"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2560745B" w14:textId="77777777" w:rsidR="000A7D9D" w:rsidRPr="00EC1412" w:rsidRDefault="000A7D9D" w:rsidP="00F31937">
            <w:pPr>
              <w:jc w:val="right"/>
              <w:rPr>
                <w:noProof/>
                <w:sz w:val="18"/>
                <w:szCs w:val="18"/>
              </w:rPr>
            </w:pPr>
            <w:r>
              <w:rPr>
                <w:noProof/>
                <w:sz w:val="18"/>
                <w:szCs w:val="18"/>
              </w:rPr>
              <w:t>650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005C8BFF" w14:textId="77777777" w:rsidR="000A7D9D" w:rsidRPr="00EC1412" w:rsidRDefault="000A7D9D" w:rsidP="00F31937">
            <w:pPr>
              <w:jc w:val="right"/>
              <w:rPr>
                <w:noProof/>
                <w:sz w:val="18"/>
                <w:szCs w:val="18"/>
              </w:rPr>
            </w:pPr>
            <w:r>
              <w:rPr>
                <w:noProof/>
                <w:sz w:val="18"/>
                <w:szCs w:val="18"/>
              </w:rPr>
              <w:t>650</w:t>
            </w:r>
          </w:p>
        </w:tc>
        <w:tc>
          <w:tcPr>
            <w:tcW w:w="567" w:type="dxa"/>
            <w:tcBorders>
              <w:top w:val="dotted" w:sz="4" w:space="0" w:color="auto"/>
              <w:left w:val="single" w:sz="4" w:space="0" w:color="auto"/>
              <w:bottom w:val="dotted" w:sz="4" w:space="0" w:color="auto"/>
            </w:tcBorders>
            <w:shd w:val="clear" w:color="auto" w:fill="FFF4CC"/>
            <w:vAlign w:val="bottom"/>
          </w:tcPr>
          <w:p w14:paraId="79736D4E" w14:textId="77777777" w:rsidR="000A7D9D" w:rsidRPr="00EC1412" w:rsidRDefault="000A7D9D" w:rsidP="00F31937">
            <w:pPr>
              <w:ind w:left="-119"/>
              <w:jc w:val="right"/>
              <w:rPr>
                <w:noProof/>
                <w:sz w:val="18"/>
                <w:szCs w:val="18"/>
              </w:rPr>
            </w:pPr>
            <w:r>
              <w:rPr>
                <w:noProof/>
                <w:sz w:val="18"/>
                <w:szCs w:val="18"/>
              </w:rPr>
              <w:t>200</w:t>
            </w:r>
          </w:p>
        </w:tc>
      </w:tr>
      <w:tr w:rsidR="000A7D9D" w:rsidRPr="00EC1412" w14:paraId="7FEBA7C9" w14:textId="77777777" w:rsidTr="00F31937">
        <w:tc>
          <w:tcPr>
            <w:tcW w:w="3964" w:type="dxa"/>
            <w:tcBorders>
              <w:top w:val="dotted" w:sz="4" w:space="0" w:color="auto"/>
              <w:bottom w:val="dotted" w:sz="4" w:space="0" w:color="auto"/>
              <w:right w:val="single" w:sz="4" w:space="0" w:color="auto"/>
            </w:tcBorders>
            <w:shd w:val="clear" w:color="auto" w:fill="FFF4CC"/>
          </w:tcPr>
          <w:p w14:paraId="0316B5E9" w14:textId="77777777" w:rsidR="000A7D9D" w:rsidRPr="00EC1412" w:rsidRDefault="000A7D9D" w:rsidP="00F31937">
            <w:pPr>
              <w:ind w:left="142"/>
              <w:rPr>
                <w:noProof/>
                <w:sz w:val="18"/>
                <w:szCs w:val="18"/>
              </w:rPr>
            </w:pPr>
            <w:r w:rsidRPr="2D69C30E">
              <w:rPr>
                <w:noProof/>
                <w:sz w:val="18"/>
                <w:szCs w:val="18"/>
              </w:rPr>
              <w:t>Information on the obligations under Union acts on chemicals</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194D63B2"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8F6520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CB6718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E2EE3DE"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17E8BDF4"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6CBE852"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79C71D8"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7C8666C"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E0E4035" w14:textId="77777777" w:rsidR="000A7D9D" w:rsidRPr="004E0E6F" w:rsidRDefault="000A7D9D" w:rsidP="00F31937">
            <w:pPr>
              <w:jc w:val="right"/>
              <w:rPr>
                <w:caps/>
                <w:noProof/>
                <w:sz w:val="18"/>
                <w:szCs w:val="18"/>
              </w:rPr>
            </w:pPr>
            <w:r w:rsidRPr="004E0E6F">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63C21E93" w14:textId="77777777" w:rsidR="000A7D9D" w:rsidRPr="004E0E6F" w:rsidRDefault="000A7D9D" w:rsidP="00F31937">
            <w:pPr>
              <w:jc w:val="right"/>
              <w:rPr>
                <w:caps/>
                <w:noProof/>
                <w:sz w:val="18"/>
                <w:szCs w:val="18"/>
              </w:rPr>
            </w:pPr>
            <w:r w:rsidRPr="004E0E6F">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291BC7C5" w14:textId="77777777" w:rsidR="000A7D9D" w:rsidRPr="004E0E6F" w:rsidRDefault="000A7D9D" w:rsidP="00F31937">
            <w:pPr>
              <w:jc w:val="right"/>
              <w:rPr>
                <w:caps/>
                <w:noProof/>
                <w:sz w:val="18"/>
                <w:szCs w:val="18"/>
              </w:rPr>
            </w:pPr>
            <w:r w:rsidRPr="004E0E6F">
              <w:rPr>
                <w:caps/>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29CB864B" w14:textId="77777777" w:rsidR="000A7D9D" w:rsidRPr="004E0E6F" w:rsidRDefault="000A7D9D" w:rsidP="00F31937">
            <w:pPr>
              <w:ind w:left="-119"/>
              <w:jc w:val="right"/>
              <w:rPr>
                <w:caps/>
                <w:noProof/>
                <w:sz w:val="18"/>
                <w:szCs w:val="18"/>
              </w:rPr>
            </w:pPr>
            <w:r w:rsidRPr="004E0E6F">
              <w:rPr>
                <w:caps/>
                <w:noProof/>
                <w:sz w:val="18"/>
                <w:szCs w:val="18"/>
              </w:rPr>
              <w:t>0</w:t>
            </w:r>
          </w:p>
        </w:tc>
      </w:tr>
      <w:tr w:rsidR="000A7D9D" w:rsidRPr="00EC1412" w14:paraId="13F49C72" w14:textId="77777777" w:rsidTr="00F31937">
        <w:tc>
          <w:tcPr>
            <w:tcW w:w="3964" w:type="dxa"/>
            <w:tcBorders>
              <w:top w:val="dotted" w:sz="4" w:space="0" w:color="auto"/>
              <w:bottom w:val="dotted" w:sz="4" w:space="0" w:color="auto"/>
              <w:right w:val="single" w:sz="4" w:space="0" w:color="auto"/>
            </w:tcBorders>
            <w:shd w:val="clear" w:color="auto" w:fill="FFF4CC"/>
          </w:tcPr>
          <w:p w14:paraId="0E90C13C" w14:textId="77777777" w:rsidR="000A7D9D" w:rsidRPr="00EC1412" w:rsidRDefault="000A7D9D" w:rsidP="00F31937">
            <w:pPr>
              <w:ind w:left="142"/>
              <w:rPr>
                <w:noProof/>
                <w:sz w:val="18"/>
                <w:szCs w:val="18"/>
              </w:rPr>
            </w:pPr>
            <w:r w:rsidRPr="2D69C30E">
              <w:rPr>
                <w:noProof/>
                <w:sz w:val="18"/>
                <w:szCs w:val="18"/>
              </w:rPr>
              <w:t>Environmental sustainability related data</w:t>
            </w:r>
            <w:r>
              <w:rPr>
                <w:noProof/>
                <w:sz w:val="18"/>
                <w:szCs w:val="18"/>
              </w:rPr>
              <w:t xml:space="preserve"> on chemicals</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6251CDF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757A59E"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8798845"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96DB23B"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305B6251"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CD791F2"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506C68F"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FFC2707"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67721188"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1E176E04"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3E4609B"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6B5AC2EB"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6CF87EA6" w14:textId="77777777" w:rsidTr="00F31937">
        <w:tc>
          <w:tcPr>
            <w:tcW w:w="3964" w:type="dxa"/>
            <w:tcBorders>
              <w:top w:val="dotted" w:sz="4" w:space="0" w:color="auto"/>
              <w:bottom w:val="dotted" w:sz="4" w:space="0" w:color="auto"/>
              <w:right w:val="single" w:sz="4" w:space="0" w:color="auto"/>
            </w:tcBorders>
            <w:shd w:val="clear" w:color="auto" w:fill="FFF4CC"/>
          </w:tcPr>
          <w:p w14:paraId="2A228A9F" w14:textId="77777777" w:rsidR="000A7D9D" w:rsidRPr="00EC1412" w:rsidRDefault="000A7D9D" w:rsidP="00F31937">
            <w:pPr>
              <w:rPr>
                <w:noProof/>
                <w:sz w:val="18"/>
                <w:szCs w:val="18"/>
              </w:rPr>
            </w:pPr>
            <w:r w:rsidRPr="2D69C30E">
              <w:rPr>
                <w:noProof/>
                <w:sz w:val="18"/>
                <w:szCs w:val="18"/>
              </w:rPr>
              <w:t xml:space="preserve">   Data generation mechanism </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0A2CBB00"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10E9C2E"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88A7EDB"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43171FF"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07EF26B2"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CAC3315"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530A436"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618A7EC" w14:textId="77777777" w:rsidR="000A7D9D" w:rsidRPr="00EC1412" w:rsidRDefault="000A7D9D" w:rsidP="00F31937">
            <w:pPr>
              <w:jc w:val="right"/>
              <w:rPr>
                <w:caps/>
                <w:noProof/>
                <w:sz w:val="18"/>
                <w:szCs w:val="18"/>
              </w:rPr>
            </w:pPr>
            <w:r>
              <w:rPr>
                <w:caps/>
                <w:noProof/>
                <w:sz w:val="18"/>
                <w:szCs w:val="18"/>
              </w:rPr>
              <w:t>1</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5AEEEFC2"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1B70DC51" w14:textId="77777777" w:rsidR="000A7D9D" w:rsidRPr="00EC1412" w:rsidRDefault="000A7D9D" w:rsidP="00F31937">
            <w:pPr>
              <w:ind w:left="-110"/>
              <w:jc w:val="right"/>
              <w:rPr>
                <w:noProof/>
                <w:sz w:val="18"/>
                <w:szCs w:val="18"/>
              </w:rPr>
            </w:pPr>
            <w:r w:rsidRPr="00EC1412">
              <w:rPr>
                <w:noProof/>
                <w:sz w:val="18"/>
                <w:szCs w:val="18"/>
              </w:rPr>
              <w:t>1</w:t>
            </w:r>
            <w:r>
              <w:rPr>
                <w:noProof/>
                <w:sz w:val="18"/>
                <w:szCs w:val="18"/>
              </w:rPr>
              <w:t xml:space="preserve"> 000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53C0C60C" w14:textId="77777777" w:rsidR="000A7D9D" w:rsidRPr="00EC1412" w:rsidRDefault="000A7D9D" w:rsidP="00F31937">
            <w:pPr>
              <w:ind w:left="-103"/>
              <w:jc w:val="right"/>
              <w:rPr>
                <w:noProof/>
                <w:sz w:val="18"/>
                <w:szCs w:val="18"/>
              </w:rPr>
            </w:pPr>
            <w:r>
              <w:rPr>
                <w:noProof/>
                <w:sz w:val="18"/>
                <w:szCs w:val="18"/>
              </w:rPr>
              <w:t>3 000</w:t>
            </w:r>
          </w:p>
        </w:tc>
        <w:tc>
          <w:tcPr>
            <w:tcW w:w="567" w:type="dxa"/>
            <w:tcBorders>
              <w:top w:val="dotted" w:sz="4" w:space="0" w:color="auto"/>
              <w:left w:val="single" w:sz="4" w:space="0" w:color="auto"/>
              <w:bottom w:val="dotted" w:sz="4" w:space="0" w:color="auto"/>
            </w:tcBorders>
            <w:shd w:val="clear" w:color="auto" w:fill="FFF4CC"/>
            <w:vAlign w:val="bottom"/>
          </w:tcPr>
          <w:p w14:paraId="257AA429" w14:textId="77777777" w:rsidR="000A7D9D" w:rsidRPr="00EC1412" w:rsidRDefault="000A7D9D" w:rsidP="00F31937">
            <w:pPr>
              <w:ind w:left="-119"/>
              <w:jc w:val="right"/>
              <w:rPr>
                <w:noProof/>
                <w:sz w:val="18"/>
                <w:szCs w:val="18"/>
              </w:rPr>
            </w:pPr>
            <w:r w:rsidRPr="00EC1412">
              <w:rPr>
                <w:noProof/>
                <w:sz w:val="18"/>
                <w:szCs w:val="18"/>
              </w:rPr>
              <w:t>5</w:t>
            </w:r>
            <w:r>
              <w:rPr>
                <w:noProof/>
                <w:sz w:val="18"/>
                <w:szCs w:val="18"/>
              </w:rPr>
              <w:t xml:space="preserve"> 000</w:t>
            </w:r>
          </w:p>
        </w:tc>
      </w:tr>
      <w:tr w:rsidR="000A7D9D" w:rsidRPr="00EC1412" w14:paraId="3291FDC9" w14:textId="77777777" w:rsidTr="00F31937">
        <w:tc>
          <w:tcPr>
            <w:tcW w:w="3964" w:type="dxa"/>
            <w:tcBorders>
              <w:top w:val="dotted" w:sz="4" w:space="0" w:color="auto"/>
              <w:bottom w:val="dotted" w:sz="4" w:space="0" w:color="auto"/>
              <w:right w:val="single" w:sz="4" w:space="0" w:color="auto"/>
            </w:tcBorders>
            <w:shd w:val="clear" w:color="auto" w:fill="FFF4CC"/>
          </w:tcPr>
          <w:p w14:paraId="141FAAA2" w14:textId="77777777" w:rsidR="000A7D9D" w:rsidRPr="00EC1412" w:rsidRDefault="000A7D9D" w:rsidP="00F31937">
            <w:pPr>
              <w:ind w:left="142"/>
              <w:rPr>
                <w:noProof/>
                <w:sz w:val="18"/>
                <w:szCs w:val="18"/>
              </w:rPr>
            </w:pPr>
            <w:r w:rsidRPr="2D69C30E">
              <w:rPr>
                <w:noProof/>
                <w:sz w:val="18"/>
                <w:szCs w:val="18"/>
              </w:rPr>
              <w:t>Mechanism for notification of studies &amp; database for study notifications</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1DE1B3F0"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6C0C2AB"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BF91B12"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E90729A" w14:textId="77777777" w:rsidR="000A7D9D" w:rsidRPr="00EC1412" w:rsidRDefault="000A7D9D" w:rsidP="00F31937">
            <w:pPr>
              <w:jc w:val="right"/>
              <w:rPr>
                <w:caps/>
                <w:noProof/>
                <w:sz w:val="18"/>
                <w:szCs w:val="18"/>
              </w:rPr>
            </w:pPr>
            <w:r>
              <w:rPr>
                <w:caps/>
                <w:noProof/>
                <w:sz w:val="18"/>
                <w:szCs w:val="18"/>
              </w:rPr>
              <w:t>2</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068981D3"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4462323"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1BEEB59"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457BC47" w14:textId="77777777" w:rsidR="000A7D9D" w:rsidRPr="00EC1412" w:rsidRDefault="000A7D9D" w:rsidP="00F31937">
            <w:pPr>
              <w:jc w:val="right"/>
              <w:rPr>
                <w:caps/>
                <w:noProof/>
                <w:sz w:val="18"/>
                <w:szCs w:val="18"/>
              </w:rPr>
            </w:pPr>
            <w:r>
              <w:rPr>
                <w:caps/>
                <w:noProof/>
                <w:sz w:val="18"/>
                <w:szCs w:val="18"/>
              </w:rPr>
              <w:t>2</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74DECEE0"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22B35479" w14:textId="77777777" w:rsidR="000A7D9D" w:rsidRPr="00EC1412" w:rsidRDefault="000A7D9D" w:rsidP="00F31937">
            <w:pPr>
              <w:ind w:left="-110"/>
              <w:jc w:val="right"/>
              <w:rPr>
                <w:noProof/>
                <w:sz w:val="18"/>
                <w:szCs w:val="18"/>
              </w:rPr>
            </w:pPr>
            <w:r>
              <w:rPr>
                <w:noProof/>
                <w:sz w:val="18"/>
                <w:szCs w:val="18"/>
              </w:rPr>
              <w:t>1 200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4BC6B6A" w14:textId="77777777" w:rsidR="000A7D9D" w:rsidRPr="00EC1412" w:rsidRDefault="000A7D9D" w:rsidP="00F31937">
            <w:pPr>
              <w:jc w:val="right"/>
              <w:rPr>
                <w:noProof/>
                <w:sz w:val="18"/>
                <w:szCs w:val="18"/>
              </w:rPr>
            </w:pPr>
            <w:r>
              <w:rPr>
                <w:noProof/>
                <w:sz w:val="18"/>
                <w:szCs w:val="18"/>
              </w:rPr>
              <w:t>400</w:t>
            </w:r>
          </w:p>
        </w:tc>
        <w:tc>
          <w:tcPr>
            <w:tcW w:w="567" w:type="dxa"/>
            <w:tcBorders>
              <w:top w:val="dotted" w:sz="4" w:space="0" w:color="auto"/>
              <w:left w:val="single" w:sz="4" w:space="0" w:color="auto"/>
              <w:bottom w:val="dotted" w:sz="4" w:space="0" w:color="auto"/>
            </w:tcBorders>
            <w:shd w:val="clear" w:color="auto" w:fill="FFF4CC"/>
          </w:tcPr>
          <w:p w14:paraId="5B71A9F5" w14:textId="77777777" w:rsidR="000A7D9D" w:rsidRPr="00EC1412" w:rsidRDefault="000A7D9D" w:rsidP="00F31937">
            <w:pPr>
              <w:ind w:left="-119"/>
              <w:jc w:val="right"/>
              <w:rPr>
                <w:noProof/>
                <w:sz w:val="18"/>
                <w:szCs w:val="18"/>
              </w:rPr>
            </w:pPr>
            <w:r>
              <w:rPr>
                <w:noProof/>
                <w:sz w:val="18"/>
                <w:szCs w:val="18"/>
              </w:rPr>
              <w:t>200</w:t>
            </w:r>
          </w:p>
        </w:tc>
      </w:tr>
      <w:tr w:rsidR="000A7D9D" w:rsidRPr="00EC1412" w14:paraId="2289947F" w14:textId="77777777" w:rsidTr="00F31937">
        <w:tc>
          <w:tcPr>
            <w:tcW w:w="3964" w:type="dxa"/>
            <w:tcBorders>
              <w:top w:val="dotted" w:sz="4" w:space="0" w:color="auto"/>
              <w:bottom w:val="dotted" w:sz="4" w:space="0" w:color="auto"/>
              <w:right w:val="single" w:sz="4" w:space="0" w:color="auto"/>
            </w:tcBorders>
            <w:shd w:val="clear" w:color="auto" w:fill="FFF4CC"/>
          </w:tcPr>
          <w:p w14:paraId="25C1E36F" w14:textId="77777777" w:rsidR="000A7D9D" w:rsidRPr="00EC1412" w:rsidRDefault="000A7D9D" w:rsidP="00F31937">
            <w:pPr>
              <w:ind w:left="142"/>
              <w:rPr>
                <w:noProof/>
                <w:sz w:val="18"/>
                <w:szCs w:val="18"/>
              </w:rPr>
            </w:pPr>
            <w:r w:rsidRPr="2D69C30E">
              <w:rPr>
                <w:noProof/>
                <w:sz w:val="18"/>
                <w:szCs w:val="18"/>
              </w:rPr>
              <w:t>Early warning and action system for emerging chemical risks and framework of indicators</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1A3EE3E1"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9B8FE4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49011928"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A2EE221"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03A5FA96"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18B03DE"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D20180B"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34720E7"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AC645FE"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7377CF5A"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65AA4BB"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6E6E8FA5"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4FE3A190" w14:textId="77777777" w:rsidTr="00F31937">
        <w:tc>
          <w:tcPr>
            <w:tcW w:w="3964" w:type="dxa"/>
            <w:tcBorders>
              <w:top w:val="dotted" w:sz="4" w:space="0" w:color="auto"/>
              <w:bottom w:val="single" w:sz="4" w:space="0" w:color="auto"/>
              <w:right w:val="single" w:sz="4" w:space="0" w:color="auto"/>
            </w:tcBorders>
            <w:shd w:val="clear" w:color="auto" w:fill="FFF4CC"/>
          </w:tcPr>
          <w:p w14:paraId="131280D0" w14:textId="77777777" w:rsidR="000A7D9D" w:rsidRPr="00EC1412" w:rsidRDefault="000A7D9D" w:rsidP="00F31937">
            <w:pPr>
              <w:ind w:left="142"/>
              <w:rPr>
                <w:caps/>
                <w:noProof/>
                <w:sz w:val="18"/>
                <w:szCs w:val="18"/>
              </w:rPr>
            </w:pPr>
            <w:r w:rsidRPr="2D69C30E">
              <w:rPr>
                <w:noProof/>
                <w:sz w:val="18"/>
                <w:szCs w:val="18"/>
              </w:rPr>
              <w:t xml:space="preserve">Observatory for </w:t>
            </w:r>
            <w:r w:rsidRPr="00A07BFF">
              <w:rPr>
                <w:noProof/>
                <w:sz w:val="18"/>
                <w:szCs w:val="18"/>
              </w:rPr>
              <w:t>specific chemicals with potential contribution to emerging chemical risks</w:t>
            </w:r>
          </w:p>
        </w:tc>
        <w:tc>
          <w:tcPr>
            <w:tcW w:w="426" w:type="dxa"/>
            <w:tcBorders>
              <w:top w:val="dotted" w:sz="4" w:space="0" w:color="auto"/>
              <w:left w:val="single" w:sz="4" w:space="0" w:color="auto"/>
              <w:bottom w:val="single" w:sz="4" w:space="0" w:color="auto"/>
              <w:right w:val="dotted" w:sz="4" w:space="0" w:color="auto"/>
            </w:tcBorders>
            <w:shd w:val="clear" w:color="auto" w:fill="FFF4CC"/>
          </w:tcPr>
          <w:p w14:paraId="47E479A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231B4665"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686864E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07F41EC8"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single" w:sz="4" w:space="0" w:color="auto"/>
              <w:right w:val="dotted" w:sz="4" w:space="0" w:color="auto"/>
            </w:tcBorders>
            <w:shd w:val="clear" w:color="auto" w:fill="FFF4CC"/>
          </w:tcPr>
          <w:p w14:paraId="3B4D93DB"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2A2E110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4450E70E"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6EBCDAED"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5E27A3F1"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31C9397B"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0FAEF0DD" w14:textId="77777777" w:rsidR="000A7D9D" w:rsidRPr="00EC1412" w:rsidRDefault="000A7D9D" w:rsidP="00F31937">
            <w:pPr>
              <w:jc w:val="right"/>
              <w:rPr>
                <w:noProof/>
                <w:sz w:val="18"/>
                <w:szCs w:val="18"/>
              </w:rPr>
            </w:pPr>
            <w:r w:rsidRPr="00EC1412">
              <w:rPr>
                <w:noProof/>
                <w:sz w:val="18"/>
                <w:szCs w:val="18"/>
              </w:rPr>
              <w:t>0</w:t>
            </w:r>
          </w:p>
        </w:tc>
        <w:tc>
          <w:tcPr>
            <w:tcW w:w="567" w:type="dxa"/>
            <w:tcBorders>
              <w:top w:val="dotted" w:sz="4" w:space="0" w:color="auto"/>
              <w:left w:val="single" w:sz="4" w:space="0" w:color="auto"/>
              <w:bottom w:val="single" w:sz="4" w:space="0" w:color="auto"/>
            </w:tcBorders>
            <w:shd w:val="clear" w:color="auto" w:fill="FFF4CC"/>
          </w:tcPr>
          <w:p w14:paraId="455B0535"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79C405BC" w14:textId="77777777" w:rsidTr="00F31937">
        <w:trPr>
          <w:trHeight w:val="300"/>
        </w:trPr>
        <w:tc>
          <w:tcPr>
            <w:tcW w:w="9634" w:type="dxa"/>
            <w:gridSpan w:val="13"/>
            <w:tcBorders>
              <w:top w:val="dotted" w:sz="4" w:space="0" w:color="auto"/>
              <w:bottom w:val="single" w:sz="4" w:space="0" w:color="auto"/>
              <w:right w:val="single" w:sz="4" w:space="0" w:color="auto"/>
            </w:tcBorders>
            <w:shd w:val="clear" w:color="auto" w:fill="BFBFBF" w:themeFill="background1" w:themeFillShade="BF"/>
          </w:tcPr>
          <w:p w14:paraId="6AB9ECF3" w14:textId="77777777" w:rsidR="000A7D9D" w:rsidRPr="00EC1412" w:rsidRDefault="000A7D9D" w:rsidP="00F31937">
            <w:pPr>
              <w:ind w:right="-110"/>
              <w:rPr>
                <w:b/>
                <w:caps/>
                <w:noProof/>
                <w:sz w:val="18"/>
                <w:szCs w:val="18"/>
              </w:rPr>
            </w:pPr>
            <w:r>
              <w:rPr>
                <w:b/>
                <w:noProof/>
                <w:sz w:val="18"/>
                <w:szCs w:val="18"/>
              </w:rPr>
              <w:t xml:space="preserve">Planned to be proposed by the Commission </w:t>
            </w:r>
          </w:p>
        </w:tc>
      </w:tr>
      <w:tr w:rsidR="000A7D9D" w:rsidRPr="00EC1412" w14:paraId="596E9567" w14:textId="77777777" w:rsidTr="00F31937">
        <w:tc>
          <w:tcPr>
            <w:tcW w:w="3964" w:type="dxa"/>
            <w:tcBorders>
              <w:bottom w:val="dotted" w:sz="4" w:space="0" w:color="auto"/>
              <w:right w:val="single" w:sz="4" w:space="0" w:color="auto"/>
            </w:tcBorders>
            <w:shd w:val="clear" w:color="auto" w:fill="C1ECFF"/>
          </w:tcPr>
          <w:p w14:paraId="701CE6DE" w14:textId="77777777" w:rsidR="000A7D9D" w:rsidRPr="00EC1412" w:rsidRDefault="000A7D9D" w:rsidP="00F31937">
            <w:pPr>
              <w:jc w:val="both"/>
              <w:rPr>
                <w:b/>
                <w:bCs/>
                <w:noProof/>
                <w:sz w:val="18"/>
                <w:szCs w:val="18"/>
              </w:rPr>
            </w:pPr>
            <w:r>
              <w:rPr>
                <w:b/>
                <w:bCs/>
                <w:noProof/>
                <w:sz w:val="18"/>
                <w:szCs w:val="18"/>
              </w:rPr>
              <w:t xml:space="preserve">Proposal for regulation on </w:t>
            </w:r>
            <w:r w:rsidRPr="2D69C30E">
              <w:rPr>
                <w:b/>
                <w:bCs/>
                <w:noProof/>
                <w:sz w:val="18"/>
                <w:szCs w:val="18"/>
              </w:rPr>
              <w:t>ECHA</w:t>
            </w:r>
          </w:p>
        </w:tc>
        <w:tc>
          <w:tcPr>
            <w:tcW w:w="426" w:type="dxa"/>
            <w:tcBorders>
              <w:left w:val="single" w:sz="4" w:space="0" w:color="auto"/>
              <w:bottom w:val="dotted" w:sz="4" w:space="0" w:color="auto"/>
              <w:right w:val="dotted" w:sz="4" w:space="0" w:color="auto"/>
            </w:tcBorders>
            <w:shd w:val="clear" w:color="auto" w:fill="C1ECFF"/>
          </w:tcPr>
          <w:p w14:paraId="1FD1D04E" w14:textId="77777777" w:rsidR="000A7D9D" w:rsidRPr="00EC1412" w:rsidRDefault="000A7D9D" w:rsidP="00F31937">
            <w:pPr>
              <w:jc w:val="right"/>
              <w:rPr>
                <w:b/>
                <w:caps/>
                <w:noProof/>
                <w:sz w:val="18"/>
                <w:szCs w:val="18"/>
              </w:rPr>
            </w:pPr>
            <w:r>
              <w:rPr>
                <w:b/>
                <w:caps/>
                <w:noProof/>
                <w:sz w:val="18"/>
                <w:szCs w:val="18"/>
              </w:rPr>
              <w:t>5</w:t>
            </w:r>
          </w:p>
        </w:tc>
        <w:tc>
          <w:tcPr>
            <w:tcW w:w="425" w:type="dxa"/>
            <w:tcBorders>
              <w:left w:val="dotted" w:sz="4" w:space="0" w:color="auto"/>
              <w:bottom w:val="dotted" w:sz="4" w:space="0" w:color="auto"/>
              <w:right w:val="single" w:sz="4" w:space="0" w:color="auto"/>
            </w:tcBorders>
            <w:shd w:val="clear" w:color="auto" w:fill="C1ECFF"/>
          </w:tcPr>
          <w:p w14:paraId="4F310B57" w14:textId="77777777" w:rsidR="000A7D9D" w:rsidRPr="00EC1412" w:rsidRDefault="000A7D9D" w:rsidP="00F31937">
            <w:pPr>
              <w:jc w:val="right"/>
              <w:rPr>
                <w:b/>
                <w:caps/>
                <w:noProof/>
                <w:sz w:val="18"/>
                <w:szCs w:val="18"/>
              </w:rPr>
            </w:pPr>
            <w:r>
              <w:rPr>
                <w:b/>
                <w:caps/>
                <w:noProof/>
                <w:sz w:val="18"/>
                <w:szCs w:val="18"/>
              </w:rPr>
              <w:t>6</w:t>
            </w:r>
          </w:p>
        </w:tc>
        <w:tc>
          <w:tcPr>
            <w:tcW w:w="425" w:type="dxa"/>
            <w:tcBorders>
              <w:left w:val="single" w:sz="4" w:space="0" w:color="auto"/>
              <w:bottom w:val="dotted" w:sz="4" w:space="0" w:color="auto"/>
              <w:right w:val="dotted" w:sz="4" w:space="0" w:color="auto"/>
            </w:tcBorders>
            <w:shd w:val="clear" w:color="auto" w:fill="C1ECFF"/>
          </w:tcPr>
          <w:p w14:paraId="278CDBA1" w14:textId="77777777" w:rsidR="000A7D9D" w:rsidRPr="00EC1412" w:rsidRDefault="000A7D9D" w:rsidP="00F31937">
            <w:pPr>
              <w:jc w:val="right"/>
              <w:rPr>
                <w:b/>
                <w:caps/>
                <w:noProof/>
                <w:sz w:val="18"/>
                <w:szCs w:val="18"/>
              </w:rPr>
            </w:pPr>
            <w:r>
              <w:rPr>
                <w:b/>
                <w:caps/>
                <w:noProof/>
                <w:sz w:val="18"/>
                <w:szCs w:val="18"/>
              </w:rPr>
              <w:t>5</w:t>
            </w:r>
          </w:p>
        </w:tc>
        <w:tc>
          <w:tcPr>
            <w:tcW w:w="425" w:type="dxa"/>
            <w:tcBorders>
              <w:left w:val="dotted" w:sz="4" w:space="0" w:color="auto"/>
              <w:bottom w:val="dotted" w:sz="4" w:space="0" w:color="auto"/>
              <w:right w:val="single" w:sz="4" w:space="0" w:color="auto"/>
            </w:tcBorders>
            <w:shd w:val="clear" w:color="auto" w:fill="C1ECFF"/>
          </w:tcPr>
          <w:p w14:paraId="61D26CDA" w14:textId="77777777" w:rsidR="000A7D9D" w:rsidRPr="00EC1412" w:rsidRDefault="000A7D9D" w:rsidP="00F31937">
            <w:pPr>
              <w:jc w:val="right"/>
              <w:rPr>
                <w:b/>
                <w:caps/>
                <w:noProof/>
                <w:sz w:val="18"/>
                <w:szCs w:val="18"/>
              </w:rPr>
            </w:pPr>
            <w:r>
              <w:rPr>
                <w:b/>
                <w:caps/>
                <w:noProof/>
                <w:sz w:val="18"/>
                <w:szCs w:val="18"/>
              </w:rPr>
              <w:t>6</w:t>
            </w:r>
          </w:p>
        </w:tc>
        <w:tc>
          <w:tcPr>
            <w:tcW w:w="426" w:type="dxa"/>
            <w:tcBorders>
              <w:left w:val="single" w:sz="4" w:space="0" w:color="auto"/>
              <w:bottom w:val="dotted" w:sz="4" w:space="0" w:color="auto"/>
              <w:right w:val="dotted" w:sz="4" w:space="0" w:color="auto"/>
            </w:tcBorders>
            <w:shd w:val="clear" w:color="auto" w:fill="C1ECFF"/>
          </w:tcPr>
          <w:p w14:paraId="60A6DE54" w14:textId="77777777" w:rsidR="000A7D9D" w:rsidRPr="00EC1412" w:rsidRDefault="000A7D9D" w:rsidP="00F31937">
            <w:pPr>
              <w:jc w:val="right"/>
              <w:rPr>
                <w:b/>
                <w:caps/>
                <w:noProof/>
                <w:sz w:val="18"/>
                <w:szCs w:val="18"/>
              </w:rPr>
            </w:pPr>
            <w:r>
              <w:rPr>
                <w:b/>
                <w:caps/>
                <w:noProof/>
                <w:sz w:val="18"/>
                <w:szCs w:val="18"/>
              </w:rPr>
              <w:t>5</w:t>
            </w:r>
          </w:p>
        </w:tc>
        <w:tc>
          <w:tcPr>
            <w:tcW w:w="425" w:type="dxa"/>
            <w:tcBorders>
              <w:left w:val="dotted" w:sz="4" w:space="0" w:color="auto"/>
              <w:bottom w:val="dotted" w:sz="4" w:space="0" w:color="auto"/>
              <w:right w:val="single" w:sz="4" w:space="0" w:color="auto"/>
            </w:tcBorders>
            <w:shd w:val="clear" w:color="auto" w:fill="C1ECFF"/>
          </w:tcPr>
          <w:p w14:paraId="7CAC355F" w14:textId="77777777" w:rsidR="000A7D9D" w:rsidRPr="00EC1412" w:rsidRDefault="000A7D9D" w:rsidP="00F31937">
            <w:pPr>
              <w:jc w:val="right"/>
              <w:rPr>
                <w:b/>
                <w:caps/>
                <w:noProof/>
                <w:sz w:val="18"/>
                <w:szCs w:val="18"/>
              </w:rPr>
            </w:pPr>
            <w:r>
              <w:rPr>
                <w:b/>
                <w:caps/>
                <w:noProof/>
                <w:sz w:val="18"/>
                <w:szCs w:val="18"/>
              </w:rPr>
              <w:t>6</w:t>
            </w:r>
          </w:p>
        </w:tc>
        <w:tc>
          <w:tcPr>
            <w:tcW w:w="425" w:type="dxa"/>
            <w:tcBorders>
              <w:left w:val="single" w:sz="4" w:space="0" w:color="auto"/>
              <w:bottom w:val="dotted" w:sz="4" w:space="0" w:color="auto"/>
              <w:right w:val="dotted" w:sz="4" w:space="0" w:color="auto"/>
            </w:tcBorders>
            <w:shd w:val="clear" w:color="auto" w:fill="C1ECFF"/>
          </w:tcPr>
          <w:p w14:paraId="75887D30" w14:textId="77777777" w:rsidR="000A7D9D" w:rsidRPr="00EC1412" w:rsidRDefault="000A7D9D" w:rsidP="00F31937">
            <w:pPr>
              <w:jc w:val="right"/>
              <w:rPr>
                <w:b/>
                <w:caps/>
                <w:noProof/>
                <w:sz w:val="18"/>
                <w:szCs w:val="18"/>
              </w:rPr>
            </w:pPr>
            <w:r>
              <w:rPr>
                <w:b/>
                <w:caps/>
                <w:noProof/>
                <w:sz w:val="18"/>
                <w:szCs w:val="18"/>
              </w:rPr>
              <w:t>5</w:t>
            </w:r>
          </w:p>
        </w:tc>
        <w:tc>
          <w:tcPr>
            <w:tcW w:w="425" w:type="dxa"/>
            <w:tcBorders>
              <w:left w:val="dotted" w:sz="4" w:space="0" w:color="auto"/>
              <w:bottom w:val="dotted" w:sz="4" w:space="0" w:color="auto"/>
              <w:right w:val="single" w:sz="4" w:space="0" w:color="auto"/>
            </w:tcBorders>
            <w:shd w:val="clear" w:color="auto" w:fill="C1ECFF"/>
          </w:tcPr>
          <w:p w14:paraId="10378810" w14:textId="77777777" w:rsidR="000A7D9D" w:rsidRPr="00EC1412" w:rsidRDefault="000A7D9D" w:rsidP="00F31937">
            <w:pPr>
              <w:jc w:val="right"/>
              <w:rPr>
                <w:b/>
                <w:caps/>
                <w:noProof/>
                <w:sz w:val="18"/>
                <w:szCs w:val="18"/>
              </w:rPr>
            </w:pPr>
            <w:r>
              <w:rPr>
                <w:b/>
                <w:caps/>
                <w:noProof/>
                <w:sz w:val="18"/>
                <w:szCs w:val="18"/>
              </w:rPr>
              <w:t>6</w:t>
            </w:r>
          </w:p>
        </w:tc>
        <w:tc>
          <w:tcPr>
            <w:tcW w:w="567" w:type="dxa"/>
            <w:tcBorders>
              <w:left w:val="single" w:sz="4" w:space="0" w:color="auto"/>
              <w:bottom w:val="dotted" w:sz="4" w:space="0" w:color="auto"/>
              <w:right w:val="single" w:sz="4" w:space="0" w:color="auto"/>
            </w:tcBorders>
            <w:shd w:val="clear" w:color="auto" w:fill="C1ECFF"/>
          </w:tcPr>
          <w:p w14:paraId="3D6B7766" w14:textId="77777777" w:rsidR="000A7D9D" w:rsidRPr="00EC1412" w:rsidRDefault="000A7D9D" w:rsidP="00F31937">
            <w:pPr>
              <w:jc w:val="right"/>
              <w:rPr>
                <w:b/>
                <w:noProof/>
                <w:sz w:val="18"/>
                <w:szCs w:val="18"/>
              </w:rPr>
            </w:pPr>
            <w:r>
              <w:rPr>
                <w:b/>
                <w:caps/>
                <w:noProof/>
                <w:sz w:val="18"/>
                <w:szCs w:val="18"/>
              </w:rPr>
              <w:t>0</w:t>
            </w:r>
          </w:p>
        </w:tc>
        <w:tc>
          <w:tcPr>
            <w:tcW w:w="567" w:type="dxa"/>
            <w:tcBorders>
              <w:left w:val="single" w:sz="4" w:space="0" w:color="auto"/>
              <w:bottom w:val="dotted" w:sz="4" w:space="0" w:color="auto"/>
              <w:right w:val="single" w:sz="4" w:space="0" w:color="auto"/>
            </w:tcBorders>
            <w:shd w:val="clear" w:color="auto" w:fill="C1ECFF"/>
          </w:tcPr>
          <w:p w14:paraId="5ED056A0" w14:textId="77777777" w:rsidR="000A7D9D" w:rsidRPr="00EC1412" w:rsidRDefault="000A7D9D" w:rsidP="00F31937">
            <w:pPr>
              <w:ind w:left="-110"/>
              <w:jc w:val="right"/>
              <w:rPr>
                <w:b/>
                <w:caps/>
                <w:noProof/>
                <w:sz w:val="18"/>
                <w:szCs w:val="18"/>
              </w:rPr>
            </w:pPr>
            <w:r>
              <w:rPr>
                <w:b/>
                <w:caps/>
                <w:noProof/>
                <w:sz w:val="18"/>
                <w:szCs w:val="18"/>
              </w:rPr>
              <w:t>1 260</w:t>
            </w:r>
          </w:p>
        </w:tc>
        <w:tc>
          <w:tcPr>
            <w:tcW w:w="567" w:type="dxa"/>
            <w:tcBorders>
              <w:left w:val="single" w:sz="4" w:space="0" w:color="auto"/>
              <w:bottom w:val="dotted" w:sz="4" w:space="0" w:color="auto"/>
              <w:right w:val="single" w:sz="4" w:space="0" w:color="auto"/>
            </w:tcBorders>
            <w:shd w:val="clear" w:color="auto" w:fill="C1ECFF"/>
          </w:tcPr>
          <w:p w14:paraId="79981868" w14:textId="77777777" w:rsidR="000A7D9D" w:rsidRPr="00EC1412" w:rsidRDefault="000A7D9D" w:rsidP="00F31937">
            <w:pPr>
              <w:ind w:left="-102"/>
              <w:jc w:val="right"/>
              <w:rPr>
                <w:b/>
                <w:noProof/>
                <w:sz w:val="18"/>
                <w:szCs w:val="18"/>
              </w:rPr>
            </w:pPr>
            <w:r>
              <w:rPr>
                <w:b/>
                <w:caps/>
                <w:noProof/>
                <w:sz w:val="18"/>
                <w:szCs w:val="18"/>
              </w:rPr>
              <w:t>1 260</w:t>
            </w:r>
          </w:p>
        </w:tc>
        <w:tc>
          <w:tcPr>
            <w:tcW w:w="567" w:type="dxa"/>
            <w:tcBorders>
              <w:left w:val="single" w:sz="4" w:space="0" w:color="auto"/>
              <w:bottom w:val="dotted" w:sz="4" w:space="0" w:color="auto"/>
            </w:tcBorders>
            <w:shd w:val="clear" w:color="auto" w:fill="C1ECFF"/>
          </w:tcPr>
          <w:p w14:paraId="5AED3747" w14:textId="77777777" w:rsidR="000A7D9D" w:rsidRPr="00EC1412" w:rsidRDefault="000A7D9D" w:rsidP="00F31937">
            <w:pPr>
              <w:ind w:left="-119"/>
              <w:jc w:val="right"/>
              <w:rPr>
                <w:b/>
                <w:noProof/>
                <w:sz w:val="18"/>
                <w:szCs w:val="18"/>
              </w:rPr>
            </w:pPr>
            <w:r>
              <w:rPr>
                <w:b/>
                <w:caps/>
                <w:noProof/>
                <w:sz w:val="18"/>
                <w:szCs w:val="18"/>
              </w:rPr>
              <w:t>1 260</w:t>
            </w:r>
          </w:p>
        </w:tc>
      </w:tr>
      <w:tr w:rsidR="000A7D9D" w:rsidRPr="00EC1412" w14:paraId="07A80D7A" w14:textId="77777777" w:rsidTr="00F31937">
        <w:tc>
          <w:tcPr>
            <w:tcW w:w="3964" w:type="dxa"/>
            <w:tcBorders>
              <w:top w:val="dotted" w:sz="4" w:space="0" w:color="auto"/>
              <w:bottom w:val="dotted" w:sz="4" w:space="0" w:color="auto"/>
              <w:right w:val="single" w:sz="4" w:space="0" w:color="auto"/>
            </w:tcBorders>
            <w:shd w:val="clear" w:color="auto" w:fill="C1ECFF"/>
          </w:tcPr>
          <w:p w14:paraId="02667EDE" w14:textId="77777777" w:rsidR="000A7D9D" w:rsidRPr="00EC1412" w:rsidRDefault="000A7D9D" w:rsidP="00F31937">
            <w:pPr>
              <w:jc w:val="both"/>
              <w:rPr>
                <w:noProof/>
                <w:sz w:val="18"/>
                <w:szCs w:val="18"/>
              </w:rPr>
            </w:pPr>
            <w:r w:rsidRPr="00EC1412">
              <w:rPr>
                <w:noProof/>
                <w:sz w:val="18"/>
                <w:szCs w:val="18"/>
              </w:rPr>
              <w:t xml:space="preserve">   </w:t>
            </w:r>
            <w:r>
              <w:rPr>
                <w:noProof/>
                <w:sz w:val="18"/>
                <w:szCs w:val="18"/>
              </w:rPr>
              <w:t>ECHA’s c</w:t>
            </w:r>
            <w:r w:rsidRPr="00EC1412">
              <w:rPr>
                <w:noProof/>
                <w:sz w:val="18"/>
                <w:szCs w:val="18"/>
              </w:rPr>
              <w:t>ooperation with other agencies</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311DB416"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5B9274A1"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1C911DA8"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062B6F5B"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4B5BA7D0"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1641A16B"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6EDA4AF4"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477A5E9D"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3C8C7D22"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74A961DB" w14:textId="77777777" w:rsidR="000A7D9D" w:rsidRPr="00EC1412" w:rsidRDefault="000A7D9D" w:rsidP="00F31937">
            <w:pPr>
              <w:jc w:val="right"/>
              <w:rPr>
                <w:noProof/>
                <w:sz w:val="18"/>
                <w:szCs w:val="18"/>
              </w:rPr>
            </w:pPr>
            <w:r w:rsidRPr="00EC1412">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211C0CF7" w14:textId="77777777" w:rsidR="000A7D9D" w:rsidRPr="00EC1412" w:rsidRDefault="000A7D9D" w:rsidP="00F31937">
            <w:pPr>
              <w:jc w:val="right"/>
              <w:rPr>
                <w:noProof/>
                <w:sz w:val="18"/>
                <w:szCs w:val="18"/>
              </w:rPr>
            </w:pPr>
            <w:r w:rsidRPr="00EC1412">
              <w:rPr>
                <w:noProof/>
                <w:sz w:val="18"/>
                <w:szCs w:val="18"/>
              </w:rPr>
              <w:t>0</w:t>
            </w:r>
          </w:p>
        </w:tc>
        <w:tc>
          <w:tcPr>
            <w:tcW w:w="567" w:type="dxa"/>
            <w:tcBorders>
              <w:top w:val="dotted" w:sz="4" w:space="0" w:color="auto"/>
              <w:left w:val="single" w:sz="4" w:space="0" w:color="auto"/>
              <w:bottom w:val="dotted" w:sz="4" w:space="0" w:color="auto"/>
            </w:tcBorders>
            <w:shd w:val="clear" w:color="auto" w:fill="C1ECFF"/>
          </w:tcPr>
          <w:p w14:paraId="4C2A23B1"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1A9CEC4D" w14:textId="77777777" w:rsidTr="00F31937">
        <w:tc>
          <w:tcPr>
            <w:tcW w:w="3964" w:type="dxa"/>
            <w:tcBorders>
              <w:top w:val="dotted" w:sz="4" w:space="0" w:color="auto"/>
              <w:bottom w:val="dotted" w:sz="4" w:space="0" w:color="auto"/>
              <w:right w:val="single" w:sz="4" w:space="0" w:color="auto"/>
            </w:tcBorders>
            <w:shd w:val="clear" w:color="auto" w:fill="C1ECFF"/>
          </w:tcPr>
          <w:p w14:paraId="5519C26F" w14:textId="77777777" w:rsidR="000A7D9D" w:rsidRPr="00EC1412" w:rsidRDefault="000A7D9D" w:rsidP="00F31937">
            <w:pPr>
              <w:jc w:val="both"/>
              <w:rPr>
                <w:noProof/>
                <w:sz w:val="18"/>
                <w:szCs w:val="18"/>
              </w:rPr>
            </w:pPr>
            <w:r>
              <w:rPr>
                <w:noProof/>
                <w:sz w:val="18"/>
                <w:szCs w:val="18"/>
              </w:rPr>
              <w:t xml:space="preserve">   </w:t>
            </w:r>
            <w:r w:rsidRPr="00EC1412">
              <w:rPr>
                <w:noProof/>
                <w:sz w:val="18"/>
                <w:szCs w:val="18"/>
              </w:rPr>
              <w:t>Scientific opinions on OELs</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5844F03E"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67C16525"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0152287E"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47E81A67" w14:textId="77777777" w:rsidR="000A7D9D" w:rsidRPr="00EC1412" w:rsidRDefault="000A7D9D" w:rsidP="00F31937">
            <w:pPr>
              <w:jc w:val="right"/>
              <w:rPr>
                <w:caps/>
                <w:noProof/>
                <w:sz w:val="18"/>
                <w:szCs w:val="18"/>
              </w:rPr>
            </w:pPr>
            <w:r>
              <w:rPr>
                <w:caps/>
                <w:noProof/>
                <w:sz w:val="18"/>
                <w:szCs w:val="18"/>
              </w:rPr>
              <w:t>2</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2E49B6D7"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5CF817BE"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34B3B25C"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6CCE4132" w14:textId="77777777" w:rsidR="000A7D9D" w:rsidRPr="00EC1412" w:rsidRDefault="000A7D9D" w:rsidP="00F31937">
            <w:pPr>
              <w:jc w:val="right"/>
              <w:rPr>
                <w:caps/>
                <w:noProof/>
                <w:sz w:val="18"/>
                <w:szCs w:val="18"/>
              </w:rPr>
            </w:pPr>
            <w:r>
              <w:rPr>
                <w:caps/>
                <w:noProof/>
                <w:sz w:val="18"/>
                <w:szCs w:val="18"/>
              </w:rPr>
              <w:t>2</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3FA809D5" w14:textId="77777777" w:rsidR="000A7D9D" w:rsidRPr="00EC1412" w:rsidRDefault="000A7D9D" w:rsidP="00F31937">
            <w:pPr>
              <w:jc w:val="right"/>
              <w:rPr>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2C8E1529" w14:textId="77777777" w:rsidR="000A7D9D" w:rsidRPr="00EC1412" w:rsidRDefault="000A7D9D" w:rsidP="00F31937">
            <w:pPr>
              <w:jc w:val="right"/>
              <w:rPr>
                <w:noProof/>
                <w:sz w:val="18"/>
                <w:szCs w:val="18"/>
              </w:rPr>
            </w:pPr>
            <w:r>
              <w:rPr>
                <w:caps/>
                <w:noProof/>
                <w:sz w:val="18"/>
                <w:szCs w:val="18"/>
              </w:rPr>
              <w:t>200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61CE8522" w14:textId="77777777" w:rsidR="000A7D9D" w:rsidRPr="00EC1412" w:rsidRDefault="000A7D9D" w:rsidP="00F31937">
            <w:pPr>
              <w:jc w:val="right"/>
              <w:rPr>
                <w:noProof/>
                <w:sz w:val="18"/>
                <w:szCs w:val="18"/>
              </w:rPr>
            </w:pPr>
            <w:r>
              <w:rPr>
                <w:caps/>
                <w:noProof/>
                <w:sz w:val="18"/>
                <w:szCs w:val="18"/>
              </w:rPr>
              <w:t>200</w:t>
            </w:r>
          </w:p>
        </w:tc>
        <w:tc>
          <w:tcPr>
            <w:tcW w:w="567" w:type="dxa"/>
            <w:tcBorders>
              <w:top w:val="dotted" w:sz="4" w:space="0" w:color="auto"/>
              <w:left w:val="single" w:sz="4" w:space="0" w:color="auto"/>
              <w:bottom w:val="dotted" w:sz="4" w:space="0" w:color="auto"/>
            </w:tcBorders>
            <w:shd w:val="clear" w:color="auto" w:fill="C1ECFF"/>
          </w:tcPr>
          <w:p w14:paraId="4AD64EE1" w14:textId="77777777" w:rsidR="000A7D9D" w:rsidRPr="00EC1412" w:rsidRDefault="000A7D9D" w:rsidP="00F31937">
            <w:pPr>
              <w:ind w:left="-119"/>
              <w:jc w:val="right"/>
              <w:rPr>
                <w:noProof/>
                <w:sz w:val="18"/>
                <w:szCs w:val="18"/>
              </w:rPr>
            </w:pPr>
            <w:r>
              <w:rPr>
                <w:caps/>
                <w:noProof/>
                <w:sz w:val="18"/>
                <w:szCs w:val="18"/>
              </w:rPr>
              <w:t>200</w:t>
            </w:r>
          </w:p>
        </w:tc>
      </w:tr>
      <w:tr w:rsidR="000A7D9D" w:rsidRPr="00EC1412" w14:paraId="103B7C8F" w14:textId="77777777" w:rsidTr="00F31937">
        <w:tc>
          <w:tcPr>
            <w:tcW w:w="3964" w:type="dxa"/>
            <w:tcBorders>
              <w:top w:val="dotted" w:sz="4" w:space="0" w:color="auto"/>
              <w:bottom w:val="dotted" w:sz="4" w:space="0" w:color="auto"/>
              <w:right w:val="single" w:sz="4" w:space="0" w:color="auto"/>
            </w:tcBorders>
            <w:shd w:val="clear" w:color="auto" w:fill="C1ECFF"/>
          </w:tcPr>
          <w:p w14:paraId="1122024B" w14:textId="77777777" w:rsidR="000A7D9D" w:rsidRPr="00EC1412" w:rsidRDefault="000A7D9D" w:rsidP="00F31937">
            <w:pPr>
              <w:jc w:val="both"/>
              <w:rPr>
                <w:noProof/>
                <w:sz w:val="18"/>
                <w:szCs w:val="18"/>
              </w:rPr>
            </w:pPr>
            <w:r w:rsidRPr="00EC1412">
              <w:rPr>
                <w:noProof/>
                <w:sz w:val="18"/>
                <w:szCs w:val="18"/>
              </w:rPr>
              <w:t xml:space="preserve">   EUCLEF </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60BEB330"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0EED1E45"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39AEEAC6"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06718021" w14:textId="77777777" w:rsidR="000A7D9D" w:rsidRPr="00EC1412" w:rsidRDefault="000A7D9D" w:rsidP="00F31937">
            <w:pPr>
              <w:jc w:val="right"/>
              <w:rPr>
                <w:caps/>
                <w:noProof/>
                <w:sz w:val="18"/>
                <w:szCs w:val="18"/>
              </w:rPr>
            </w:pPr>
            <w:r>
              <w:rPr>
                <w:caps/>
                <w:noProof/>
                <w:sz w:val="18"/>
                <w:szCs w:val="18"/>
              </w:rPr>
              <w:t>1</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4B4D2F6E"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6B2166B3"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7B6DD5C3"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3FAE9A0B" w14:textId="77777777" w:rsidR="000A7D9D" w:rsidRPr="00EC1412" w:rsidRDefault="000A7D9D" w:rsidP="00F31937">
            <w:pPr>
              <w:jc w:val="right"/>
              <w:rPr>
                <w:caps/>
                <w:noProof/>
                <w:sz w:val="18"/>
                <w:szCs w:val="18"/>
              </w:rPr>
            </w:pPr>
            <w:r>
              <w:rPr>
                <w:caps/>
                <w:noProof/>
                <w:sz w:val="18"/>
                <w:szCs w:val="18"/>
              </w:rPr>
              <w:t>1</w:t>
            </w:r>
          </w:p>
        </w:tc>
        <w:tc>
          <w:tcPr>
            <w:tcW w:w="567" w:type="dxa"/>
            <w:tcBorders>
              <w:top w:val="dotted" w:sz="4" w:space="0" w:color="auto"/>
              <w:left w:val="single" w:sz="4" w:space="0" w:color="auto"/>
              <w:bottom w:val="dotted" w:sz="4" w:space="0" w:color="auto"/>
              <w:right w:val="single" w:sz="4" w:space="0" w:color="auto"/>
            </w:tcBorders>
            <w:shd w:val="clear" w:color="auto" w:fill="C1ECFF"/>
            <w:vAlign w:val="bottom"/>
          </w:tcPr>
          <w:p w14:paraId="285869BF"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vAlign w:val="bottom"/>
          </w:tcPr>
          <w:p w14:paraId="62DD7E61" w14:textId="77777777" w:rsidR="000A7D9D" w:rsidRPr="00EC1412" w:rsidRDefault="000A7D9D" w:rsidP="00F31937">
            <w:pPr>
              <w:jc w:val="right"/>
              <w:rPr>
                <w:noProof/>
                <w:sz w:val="18"/>
                <w:szCs w:val="18"/>
              </w:rPr>
            </w:pPr>
            <w:r>
              <w:rPr>
                <w:noProof/>
                <w:sz w:val="18"/>
                <w:szCs w:val="18"/>
              </w:rPr>
              <w:t>630</w:t>
            </w:r>
          </w:p>
        </w:tc>
        <w:tc>
          <w:tcPr>
            <w:tcW w:w="567" w:type="dxa"/>
            <w:tcBorders>
              <w:top w:val="dotted" w:sz="4" w:space="0" w:color="auto"/>
              <w:left w:val="single" w:sz="4" w:space="0" w:color="auto"/>
              <w:bottom w:val="dotted" w:sz="4" w:space="0" w:color="auto"/>
              <w:right w:val="single" w:sz="4" w:space="0" w:color="auto"/>
            </w:tcBorders>
            <w:shd w:val="clear" w:color="auto" w:fill="C1ECFF"/>
            <w:vAlign w:val="bottom"/>
          </w:tcPr>
          <w:p w14:paraId="66463FB4" w14:textId="77777777" w:rsidR="000A7D9D" w:rsidRPr="00EC1412" w:rsidRDefault="000A7D9D" w:rsidP="00F31937">
            <w:pPr>
              <w:jc w:val="right"/>
              <w:rPr>
                <w:noProof/>
                <w:sz w:val="18"/>
                <w:szCs w:val="18"/>
              </w:rPr>
            </w:pPr>
            <w:r>
              <w:rPr>
                <w:noProof/>
                <w:sz w:val="18"/>
                <w:szCs w:val="18"/>
              </w:rPr>
              <w:t>630</w:t>
            </w:r>
          </w:p>
        </w:tc>
        <w:tc>
          <w:tcPr>
            <w:tcW w:w="567" w:type="dxa"/>
            <w:tcBorders>
              <w:top w:val="dotted" w:sz="4" w:space="0" w:color="auto"/>
              <w:left w:val="single" w:sz="4" w:space="0" w:color="auto"/>
              <w:bottom w:val="dotted" w:sz="4" w:space="0" w:color="auto"/>
            </w:tcBorders>
            <w:shd w:val="clear" w:color="auto" w:fill="C1ECFF"/>
            <w:vAlign w:val="bottom"/>
          </w:tcPr>
          <w:p w14:paraId="3006CEE2" w14:textId="77777777" w:rsidR="000A7D9D" w:rsidRPr="00EC1412" w:rsidRDefault="000A7D9D" w:rsidP="00F31937">
            <w:pPr>
              <w:ind w:left="-119"/>
              <w:jc w:val="right"/>
              <w:rPr>
                <w:noProof/>
                <w:sz w:val="18"/>
                <w:szCs w:val="18"/>
              </w:rPr>
            </w:pPr>
            <w:r>
              <w:rPr>
                <w:noProof/>
                <w:sz w:val="18"/>
                <w:szCs w:val="18"/>
              </w:rPr>
              <w:t>630</w:t>
            </w:r>
          </w:p>
        </w:tc>
      </w:tr>
      <w:tr w:rsidR="000A7D9D" w:rsidRPr="00EC1412" w14:paraId="0951191B" w14:textId="77777777" w:rsidTr="00F31937">
        <w:tc>
          <w:tcPr>
            <w:tcW w:w="3964" w:type="dxa"/>
            <w:tcBorders>
              <w:top w:val="dotted" w:sz="4" w:space="0" w:color="auto"/>
              <w:bottom w:val="single" w:sz="4" w:space="0" w:color="auto"/>
              <w:right w:val="single" w:sz="4" w:space="0" w:color="auto"/>
            </w:tcBorders>
            <w:shd w:val="clear" w:color="auto" w:fill="C1ECFF"/>
          </w:tcPr>
          <w:p w14:paraId="5526463A" w14:textId="77777777" w:rsidR="000A7D9D" w:rsidRPr="00EC1412" w:rsidRDefault="000A7D9D" w:rsidP="00F31937">
            <w:pPr>
              <w:jc w:val="both"/>
              <w:rPr>
                <w:caps/>
                <w:noProof/>
                <w:sz w:val="18"/>
                <w:szCs w:val="18"/>
              </w:rPr>
            </w:pPr>
            <w:r w:rsidRPr="00EC1412">
              <w:rPr>
                <w:noProof/>
                <w:sz w:val="18"/>
                <w:szCs w:val="18"/>
              </w:rPr>
              <w:t xml:space="preserve">   </w:t>
            </w:r>
            <w:r>
              <w:rPr>
                <w:noProof/>
                <w:sz w:val="18"/>
                <w:szCs w:val="18"/>
              </w:rPr>
              <w:t xml:space="preserve">EU </w:t>
            </w:r>
            <w:r w:rsidRPr="00EC1412">
              <w:rPr>
                <w:noProof/>
                <w:sz w:val="18"/>
                <w:szCs w:val="18"/>
              </w:rPr>
              <w:t xml:space="preserve">Observatory for </w:t>
            </w:r>
            <w:r>
              <w:rPr>
                <w:noProof/>
                <w:sz w:val="18"/>
                <w:szCs w:val="18"/>
              </w:rPr>
              <w:t>N</w:t>
            </w:r>
            <w:r w:rsidRPr="00EC1412">
              <w:rPr>
                <w:noProof/>
                <w:sz w:val="18"/>
                <w:szCs w:val="18"/>
              </w:rPr>
              <w:t>anomaterials</w:t>
            </w:r>
          </w:p>
        </w:tc>
        <w:tc>
          <w:tcPr>
            <w:tcW w:w="426" w:type="dxa"/>
            <w:tcBorders>
              <w:top w:val="dotted" w:sz="4" w:space="0" w:color="auto"/>
              <w:left w:val="single" w:sz="4" w:space="0" w:color="auto"/>
              <w:bottom w:val="single" w:sz="4" w:space="0" w:color="auto"/>
              <w:right w:val="dotted" w:sz="4" w:space="0" w:color="auto"/>
            </w:tcBorders>
            <w:shd w:val="clear" w:color="auto" w:fill="C1ECFF"/>
          </w:tcPr>
          <w:p w14:paraId="3860F577" w14:textId="77777777" w:rsidR="000A7D9D" w:rsidRPr="00EC1412" w:rsidRDefault="000A7D9D" w:rsidP="00F31937">
            <w:pPr>
              <w:tabs>
                <w:tab w:val="left" w:pos="403"/>
              </w:tabs>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7AB59A43" w14:textId="77777777" w:rsidR="000A7D9D" w:rsidRPr="00EC1412" w:rsidRDefault="000A7D9D" w:rsidP="00F31937">
            <w:pPr>
              <w:tabs>
                <w:tab w:val="left" w:pos="403"/>
              </w:tabs>
              <w:jc w:val="right"/>
              <w:rPr>
                <w:caps/>
                <w:noProof/>
                <w:sz w:val="18"/>
                <w:szCs w:val="18"/>
              </w:rPr>
            </w:pPr>
            <w:r>
              <w:rPr>
                <w:caps/>
                <w:noProof/>
                <w:sz w:val="18"/>
                <w:szCs w:val="18"/>
              </w:rPr>
              <w:t>3</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23EBF9D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2EDCB6E6" w14:textId="77777777" w:rsidR="000A7D9D" w:rsidRPr="00EC1412" w:rsidRDefault="000A7D9D" w:rsidP="00F31937">
            <w:pPr>
              <w:jc w:val="right"/>
              <w:rPr>
                <w:caps/>
                <w:noProof/>
                <w:sz w:val="18"/>
                <w:szCs w:val="18"/>
              </w:rPr>
            </w:pPr>
            <w:r>
              <w:rPr>
                <w:caps/>
                <w:noProof/>
                <w:sz w:val="18"/>
                <w:szCs w:val="18"/>
              </w:rPr>
              <w:t>3</w:t>
            </w:r>
          </w:p>
        </w:tc>
        <w:tc>
          <w:tcPr>
            <w:tcW w:w="426" w:type="dxa"/>
            <w:tcBorders>
              <w:top w:val="dotted" w:sz="4" w:space="0" w:color="auto"/>
              <w:left w:val="single" w:sz="4" w:space="0" w:color="auto"/>
              <w:bottom w:val="single" w:sz="4" w:space="0" w:color="auto"/>
              <w:right w:val="dotted" w:sz="4" w:space="0" w:color="auto"/>
            </w:tcBorders>
            <w:shd w:val="clear" w:color="auto" w:fill="C1ECFF"/>
          </w:tcPr>
          <w:p w14:paraId="646170D1"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0931E4E9"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5A27701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3604446D" w14:textId="77777777" w:rsidR="000A7D9D" w:rsidRPr="00EC1412" w:rsidRDefault="000A7D9D" w:rsidP="00F31937">
            <w:pPr>
              <w:jc w:val="right"/>
              <w:rPr>
                <w:caps/>
                <w:noProof/>
                <w:sz w:val="18"/>
                <w:szCs w:val="18"/>
              </w:rPr>
            </w:pPr>
            <w:r>
              <w:rPr>
                <w:caps/>
                <w:noProof/>
                <w:sz w:val="18"/>
                <w:szCs w:val="18"/>
              </w:rPr>
              <w:t>3</w:t>
            </w:r>
          </w:p>
        </w:tc>
        <w:tc>
          <w:tcPr>
            <w:tcW w:w="567" w:type="dxa"/>
            <w:tcBorders>
              <w:top w:val="dotted" w:sz="4" w:space="0" w:color="auto"/>
              <w:left w:val="single" w:sz="4" w:space="0" w:color="auto"/>
              <w:bottom w:val="single" w:sz="4" w:space="0" w:color="auto"/>
              <w:right w:val="single" w:sz="4" w:space="0" w:color="auto"/>
            </w:tcBorders>
            <w:shd w:val="clear" w:color="auto" w:fill="C1ECFF"/>
            <w:vAlign w:val="bottom"/>
          </w:tcPr>
          <w:p w14:paraId="5CC1DF2A"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vAlign w:val="bottom"/>
          </w:tcPr>
          <w:p w14:paraId="149B38BC" w14:textId="77777777" w:rsidR="000A7D9D" w:rsidRPr="00EC1412" w:rsidRDefault="000A7D9D" w:rsidP="00F31937">
            <w:pPr>
              <w:jc w:val="right"/>
              <w:rPr>
                <w:caps/>
                <w:noProof/>
                <w:sz w:val="18"/>
                <w:szCs w:val="18"/>
              </w:rPr>
            </w:pPr>
            <w:r>
              <w:rPr>
                <w:noProof/>
                <w:sz w:val="18"/>
                <w:szCs w:val="18"/>
              </w:rPr>
              <w:t>430</w:t>
            </w:r>
          </w:p>
        </w:tc>
        <w:tc>
          <w:tcPr>
            <w:tcW w:w="567" w:type="dxa"/>
            <w:tcBorders>
              <w:top w:val="dotted" w:sz="4" w:space="0" w:color="auto"/>
              <w:left w:val="single" w:sz="4" w:space="0" w:color="auto"/>
              <w:bottom w:val="single" w:sz="4" w:space="0" w:color="auto"/>
              <w:right w:val="single" w:sz="4" w:space="0" w:color="auto"/>
            </w:tcBorders>
            <w:shd w:val="clear" w:color="auto" w:fill="C1ECFF"/>
            <w:vAlign w:val="bottom"/>
          </w:tcPr>
          <w:p w14:paraId="21DC3C0C" w14:textId="77777777" w:rsidR="000A7D9D" w:rsidRPr="00EC1412" w:rsidRDefault="000A7D9D" w:rsidP="00F31937">
            <w:pPr>
              <w:jc w:val="right"/>
              <w:rPr>
                <w:caps/>
                <w:noProof/>
                <w:sz w:val="18"/>
                <w:szCs w:val="18"/>
              </w:rPr>
            </w:pPr>
            <w:r>
              <w:rPr>
                <w:noProof/>
                <w:sz w:val="18"/>
                <w:szCs w:val="18"/>
              </w:rPr>
              <w:t>430</w:t>
            </w:r>
          </w:p>
        </w:tc>
        <w:tc>
          <w:tcPr>
            <w:tcW w:w="567" w:type="dxa"/>
            <w:tcBorders>
              <w:top w:val="dotted" w:sz="4" w:space="0" w:color="auto"/>
              <w:left w:val="single" w:sz="4" w:space="0" w:color="auto"/>
              <w:bottom w:val="single" w:sz="4" w:space="0" w:color="auto"/>
            </w:tcBorders>
            <w:shd w:val="clear" w:color="auto" w:fill="C1ECFF"/>
            <w:vAlign w:val="bottom"/>
          </w:tcPr>
          <w:p w14:paraId="18F8513C" w14:textId="77777777" w:rsidR="000A7D9D" w:rsidRPr="00EC1412" w:rsidRDefault="000A7D9D" w:rsidP="00F31937">
            <w:pPr>
              <w:jc w:val="right"/>
              <w:rPr>
                <w:caps/>
                <w:noProof/>
                <w:sz w:val="18"/>
                <w:szCs w:val="18"/>
              </w:rPr>
            </w:pPr>
            <w:r>
              <w:rPr>
                <w:noProof/>
                <w:sz w:val="18"/>
                <w:szCs w:val="18"/>
              </w:rPr>
              <w:t>430</w:t>
            </w:r>
          </w:p>
        </w:tc>
      </w:tr>
      <w:tr w:rsidR="000A7D9D" w:rsidRPr="00EC1412" w14:paraId="455FD60C" w14:textId="77777777" w:rsidTr="00F31937">
        <w:tc>
          <w:tcPr>
            <w:tcW w:w="3964" w:type="dxa"/>
            <w:tcBorders>
              <w:bottom w:val="single" w:sz="4" w:space="0" w:color="auto"/>
              <w:right w:val="single" w:sz="4" w:space="0" w:color="auto"/>
            </w:tcBorders>
            <w:shd w:val="clear" w:color="auto" w:fill="FFF4CC"/>
          </w:tcPr>
          <w:p w14:paraId="073CDE07" w14:textId="77777777" w:rsidR="000A7D9D" w:rsidRPr="00EC1412" w:rsidRDefault="000A7D9D" w:rsidP="00F31937">
            <w:pPr>
              <w:jc w:val="both"/>
              <w:rPr>
                <w:noProof/>
                <w:sz w:val="18"/>
                <w:szCs w:val="18"/>
              </w:rPr>
            </w:pPr>
            <w:r w:rsidRPr="00EC1412">
              <w:rPr>
                <w:noProof/>
                <w:sz w:val="18"/>
                <w:szCs w:val="18"/>
              </w:rPr>
              <w:t>REACH regulation</w:t>
            </w:r>
          </w:p>
        </w:tc>
        <w:tc>
          <w:tcPr>
            <w:tcW w:w="426" w:type="dxa"/>
            <w:tcBorders>
              <w:left w:val="single" w:sz="4" w:space="0" w:color="auto"/>
              <w:bottom w:val="single" w:sz="4" w:space="0" w:color="auto"/>
              <w:right w:val="dotted" w:sz="4" w:space="0" w:color="auto"/>
            </w:tcBorders>
            <w:shd w:val="clear" w:color="auto" w:fill="FFF4CC"/>
          </w:tcPr>
          <w:p w14:paraId="451E7561" w14:textId="77777777" w:rsidR="000A7D9D" w:rsidRPr="00EC1412" w:rsidRDefault="000A7D9D" w:rsidP="00F31937">
            <w:pPr>
              <w:ind w:left="-81"/>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3C89E4FA" w14:textId="77777777" w:rsidR="000A7D9D" w:rsidRPr="00EC1412" w:rsidRDefault="000A7D9D" w:rsidP="00F31937">
            <w:pPr>
              <w:ind w:left="-81"/>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11222364" w14:textId="77777777" w:rsidR="000A7D9D" w:rsidRPr="00EC1412" w:rsidRDefault="000A7D9D" w:rsidP="00F31937">
            <w:pPr>
              <w:ind w:left="-110"/>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65B45B43" w14:textId="77777777" w:rsidR="000A7D9D" w:rsidRPr="00EC1412" w:rsidRDefault="000A7D9D" w:rsidP="00F31937">
            <w:pPr>
              <w:ind w:left="-110"/>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FFF4CC"/>
          </w:tcPr>
          <w:p w14:paraId="531E126C" w14:textId="77777777" w:rsidR="000A7D9D" w:rsidRPr="00EC1412" w:rsidRDefault="000A7D9D" w:rsidP="00F31937">
            <w:pPr>
              <w:ind w:left="-104"/>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43B5A774" w14:textId="77777777" w:rsidR="000A7D9D" w:rsidRPr="00EC1412" w:rsidRDefault="000A7D9D" w:rsidP="00F31937">
            <w:pPr>
              <w:ind w:left="-104"/>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2AE5EE66" w14:textId="77777777" w:rsidR="000A7D9D" w:rsidRPr="00EC1412" w:rsidRDefault="000A7D9D" w:rsidP="00F31937">
            <w:pPr>
              <w:ind w:left="-24"/>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51F7900D" w14:textId="77777777" w:rsidR="000A7D9D" w:rsidRPr="00EC1412" w:rsidRDefault="000A7D9D" w:rsidP="00F31937">
            <w:pPr>
              <w:ind w:left="-24"/>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215E2A20"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3482DA94"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1B082826"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tcBorders>
            <w:shd w:val="clear" w:color="auto" w:fill="FFF4CC"/>
          </w:tcPr>
          <w:p w14:paraId="22F8FF1E" w14:textId="77777777" w:rsidR="000A7D9D" w:rsidRPr="00EC1412" w:rsidRDefault="000A7D9D" w:rsidP="00F31937">
            <w:pPr>
              <w:jc w:val="right"/>
              <w:rPr>
                <w:caps/>
                <w:noProof/>
                <w:sz w:val="18"/>
                <w:szCs w:val="18"/>
              </w:rPr>
            </w:pPr>
            <w:r w:rsidRPr="00EC1412">
              <w:rPr>
                <w:noProof/>
                <w:sz w:val="18"/>
                <w:szCs w:val="18"/>
              </w:rPr>
              <w:t>0</w:t>
            </w:r>
          </w:p>
        </w:tc>
      </w:tr>
      <w:tr w:rsidR="000A7D9D" w:rsidRPr="00EC1412" w14:paraId="0FBF95E3" w14:textId="77777777" w:rsidTr="00F31937">
        <w:tc>
          <w:tcPr>
            <w:tcW w:w="3964" w:type="dxa"/>
            <w:tcBorders>
              <w:bottom w:val="single" w:sz="4" w:space="0" w:color="auto"/>
              <w:right w:val="single" w:sz="4" w:space="0" w:color="auto"/>
            </w:tcBorders>
            <w:shd w:val="clear" w:color="auto" w:fill="C1ECFF"/>
          </w:tcPr>
          <w:p w14:paraId="08A37463" w14:textId="77777777" w:rsidR="000A7D9D" w:rsidRPr="00EC1412" w:rsidRDefault="000A7D9D" w:rsidP="00F31937">
            <w:pPr>
              <w:jc w:val="both"/>
              <w:rPr>
                <w:noProof/>
                <w:sz w:val="18"/>
                <w:szCs w:val="18"/>
              </w:rPr>
            </w:pPr>
            <w:r w:rsidRPr="00EC1412">
              <w:rPr>
                <w:noProof/>
                <w:sz w:val="18"/>
                <w:szCs w:val="18"/>
              </w:rPr>
              <w:t>Cosmetic products regulation</w:t>
            </w:r>
          </w:p>
        </w:tc>
        <w:tc>
          <w:tcPr>
            <w:tcW w:w="426" w:type="dxa"/>
            <w:tcBorders>
              <w:left w:val="single" w:sz="4" w:space="0" w:color="auto"/>
              <w:bottom w:val="single" w:sz="4" w:space="0" w:color="auto"/>
              <w:right w:val="dotted" w:sz="4" w:space="0" w:color="auto"/>
            </w:tcBorders>
            <w:shd w:val="clear" w:color="auto" w:fill="C1ECFF"/>
          </w:tcPr>
          <w:p w14:paraId="01B4AE45" w14:textId="77777777" w:rsidR="000A7D9D" w:rsidRPr="00EC1412" w:rsidRDefault="000A7D9D" w:rsidP="00F31937">
            <w:pPr>
              <w:jc w:val="right"/>
              <w:rPr>
                <w:caps/>
                <w:noProof/>
                <w:sz w:val="18"/>
                <w:szCs w:val="18"/>
              </w:rPr>
            </w:pPr>
            <w:r w:rsidRPr="00EC1412">
              <w:rPr>
                <w:caps/>
                <w:noProof/>
                <w:sz w:val="18"/>
                <w:szCs w:val="18"/>
              </w:rPr>
              <w:t>7</w:t>
            </w:r>
          </w:p>
        </w:tc>
        <w:tc>
          <w:tcPr>
            <w:tcW w:w="425" w:type="dxa"/>
            <w:tcBorders>
              <w:left w:val="dotted" w:sz="4" w:space="0" w:color="auto"/>
              <w:bottom w:val="single" w:sz="4" w:space="0" w:color="auto"/>
              <w:right w:val="single" w:sz="4" w:space="0" w:color="auto"/>
            </w:tcBorders>
            <w:shd w:val="clear" w:color="auto" w:fill="C1ECFF"/>
          </w:tcPr>
          <w:p w14:paraId="0B8E384E"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6A12B465" w14:textId="77777777" w:rsidR="000A7D9D" w:rsidRPr="00EC1412" w:rsidRDefault="000A7D9D" w:rsidP="00F31937">
            <w:pPr>
              <w:jc w:val="right"/>
              <w:rPr>
                <w:caps/>
                <w:noProof/>
                <w:sz w:val="18"/>
                <w:szCs w:val="18"/>
              </w:rPr>
            </w:pPr>
            <w:r w:rsidRPr="00EC1412">
              <w:rPr>
                <w:caps/>
                <w:noProof/>
                <w:sz w:val="18"/>
                <w:szCs w:val="18"/>
              </w:rPr>
              <w:t>7</w:t>
            </w:r>
          </w:p>
        </w:tc>
        <w:tc>
          <w:tcPr>
            <w:tcW w:w="425" w:type="dxa"/>
            <w:tcBorders>
              <w:left w:val="dotted" w:sz="4" w:space="0" w:color="auto"/>
              <w:bottom w:val="single" w:sz="4" w:space="0" w:color="auto"/>
              <w:right w:val="single" w:sz="4" w:space="0" w:color="auto"/>
            </w:tcBorders>
            <w:shd w:val="clear" w:color="auto" w:fill="C1ECFF"/>
          </w:tcPr>
          <w:p w14:paraId="6A9F7007"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C1ECFF"/>
          </w:tcPr>
          <w:p w14:paraId="0199BC4D" w14:textId="77777777" w:rsidR="000A7D9D" w:rsidRPr="00EC1412" w:rsidRDefault="000A7D9D" w:rsidP="00F31937">
            <w:pPr>
              <w:jc w:val="right"/>
              <w:rPr>
                <w:caps/>
                <w:noProof/>
                <w:sz w:val="18"/>
                <w:szCs w:val="18"/>
              </w:rPr>
            </w:pPr>
            <w:r w:rsidRPr="00EC1412">
              <w:rPr>
                <w:caps/>
                <w:noProof/>
                <w:sz w:val="18"/>
                <w:szCs w:val="18"/>
              </w:rPr>
              <w:t>7</w:t>
            </w:r>
          </w:p>
        </w:tc>
        <w:tc>
          <w:tcPr>
            <w:tcW w:w="425" w:type="dxa"/>
            <w:tcBorders>
              <w:left w:val="dotted" w:sz="4" w:space="0" w:color="auto"/>
              <w:bottom w:val="single" w:sz="4" w:space="0" w:color="auto"/>
              <w:right w:val="single" w:sz="4" w:space="0" w:color="auto"/>
            </w:tcBorders>
            <w:shd w:val="clear" w:color="auto" w:fill="C1ECFF"/>
          </w:tcPr>
          <w:p w14:paraId="01D97DD7"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0FBD4680" w14:textId="77777777" w:rsidR="000A7D9D" w:rsidRPr="00EC1412" w:rsidRDefault="000A7D9D" w:rsidP="00F31937">
            <w:pPr>
              <w:jc w:val="right"/>
              <w:rPr>
                <w:caps/>
                <w:noProof/>
                <w:sz w:val="18"/>
                <w:szCs w:val="18"/>
              </w:rPr>
            </w:pPr>
            <w:r w:rsidRPr="00EC1412">
              <w:rPr>
                <w:caps/>
                <w:noProof/>
                <w:sz w:val="18"/>
                <w:szCs w:val="18"/>
              </w:rPr>
              <w:t>7</w:t>
            </w:r>
          </w:p>
        </w:tc>
        <w:tc>
          <w:tcPr>
            <w:tcW w:w="425" w:type="dxa"/>
            <w:tcBorders>
              <w:left w:val="dotted" w:sz="4" w:space="0" w:color="auto"/>
              <w:bottom w:val="single" w:sz="4" w:space="0" w:color="auto"/>
              <w:right w:val="single" w:sz="4" w:space="0" w:color="auto"/>
            </w:tcBorders>
            <w:shd w:val="clear" w:color="auto" w:fill="C1ECFF"/>
          </w:tcPr>
          <w:p w14:paraId="6B464D9C"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031C5891"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717E6A58" w14:textId="77777777" w:rsidR="000A7D9D" w:rsidRPr="00EC1412" w:rsidRDefault="000A7D9D" w:rsidP="00F31937">
            <w:pPr>
              <w:jc w:val="right"/>
              <w:rPr>
                <w:caps/>
                <w:noProof/>
                <w:sz w:val="18"/>
                <w:szCs w:val="18"/>
              </w:rPr>
            </w:pPr>
            <w:r>
              <w:rPr>
                <w:caps/>
                <w:noProof/>
                <w:sz w:val="18"/>
                <w:szCs w:val="18"/>
              </w:rPr>
              <w:t>300</w:t>
            </w:r>
          </w:p>
        </w:tc>
        <w:tc>
          <w:tcPr>
            <w:tcW w:w="567" w:type="dxa"/>
            <w:tcBorders>
              <w:left w:val="single" w:sz="4" w:space="0" w:color="auto"/>
              <w:bottom w:val="single" w:sz="4" w:space="0" w:color="auto"/>
              <w:right w:val="single" w:sz="4" w:space="0" w:color="auto"/>
            </w:tcBorders>
            <w:shd w:val="clear" w:color="auto" w:fill="C1ECFF"/>
          </w:tcPr>
          <w:p w14:paraId="19C2B09A" w14:textId="77777777" w:rsidR="000A7D9D" w:rsidRPr="00EC1412" w:rsidRDefault="000A7D9D" w:rsidP="00F31937">
            <w:pPr>
              <w:jc w:val="right"/>
              <w:rPr>
                <w:caps/>
                <w:noProof/>
                <w:sz w:val="18"/>
                <w:szCs w:val="18"/>
              </w:rPr>
            </w:pPr>
            <w:r>
              <w:rPr>
                <w:caps/>
                <w:noProof/>
                <w:sz w:val="18"/>
                <w:szCs w:val="18"/>
              </w:rPr>
              <w:t>300</w:t>
            </w:r>
          </w:p>
        </w:tc>
        <w:tc>
          <w:tcPr>
            <w:tcW w:w="567" w:type="dxa"/>
            <w:tcBorders>
              <w:left w:val="single" w:sz="4" w:space="0" w:color="auto"/>
              <w:bottom w:val="single" w:sz="4" w:space="0" w:color="auto"/>
            </w:tcBorders>
            <w:shd w:val="clear" w:color="auto" w:fill="C1ECFF"/>
          </w:tcPr>
          <w:p w14:paraId="5CFDCD73" w14:textId="77777777" w:rsidR="000A7D9D" w:rsidRPr="00EC1412" w:rsidRDefault="000A7D9D" w:rsidP="00F31937">
            <w:pPr>
              <w:jc w:val="right"/>
              <w:rPr>
                <w:caps/>
                <w:noProof/>
                <w:sz w:val="18"/>
                <w:szCs w:val="18"/>
              </w:rPr>
            </w:pPr>
            <w:r>
              <w:rPr>
                <w:caps/>
                <w:noProof/>
                <w:sz w:val="18"/>
                <w:szCs w:val="18"/>
              </w:rPr>
              <w:t>300</w:t>
            </w:r>
          </w:p>
        </w:tc>
      </w:tr>
      <w:tr w:rsidR="000A7D9D" w:rsidRPr="00EC1412" w14:paraId="39E708B4" w14:textId="77777777" w:rsidTr="00F31937">
        <w:tc>
          <w:tcPr>
            <w:tcW w:w="3964" w:type="dxa"/>
            <w:tcBorders>
              <w:right w:val="single" w:sz="4" w:space="0" w:color="auto"/>
            </w:tcBorders>
            <w:shd w:val="clear" w:color="auto" w:fill="BFBFBF" w:themeFill="background1" w:themeFillShade="BF"/>
          </w:tcPr>
          <w:p w14:paraId="43E5E887" w14:textId="77777777" w:rsidR="000A7D9D" w:rsidRPr="00EC1412" w:rsidRDefault="000A7D9D" w:rsidP="00F31937">
            <w:pPr>
              <w:jc w:val="both"/>
              <w:rPr>
                <w:b/>
                <w:caps/>
                <w:noProof/>
                <w:sz w:val="18"/>
                <w:szCs w:val="18"/>
              </w:rPr>
            </w:pPr>
            <w:r w:rsidRPr="00EC1412">
              <w:rPr>
                <w:b/>
                <w:caps/>
                <w:noProof/>
                <w:sz w:val="18"/>
                <w:szCs w:val="18"/>
              </w:rPr>
              <w:t>SUm</w:t>
            </w:r>
          </w:p>
        </w:tc>
        <w:tc>
          <w:tcPr>
            <w:tcW w:w="426" w:type="dxa"/>
            <w:tcBorders>
              <w:left w:val="single" w:sz="4" w:space="0" w:color="auto"/>
              <w:right w:val="dotted" w:sz="4" w:space="0" w:color="auto"/>
            </w:tcBorders>
            <w:shd w:val="clear" w:color="auto" w:fill="BFBFBF" w:themeFill="background1" w:themeFillShade="BF"/>
          </w:tcPr>
          <w:p w14:paraId="66164C52" w14:textId="77777777" w:rsidR="000A7D9D" w:rsidRPr="00EC1412" w:rsidRDefault="000A7D9D" w:rsidP="00F31937">
            <w:pPr>
              <w:jc w:val="right"/>
              <w:rPr>
                <w:b/>
                <w:caps/>
                <w:noProof/>
                <w:sz w:val="18"/>
                <w:szCs w:val="18"/>
              </w:rPr>
            </w:pPr>
            <w:r>
              <w:rPr>
                <w:b/>
                <w:caps/>
                <w:noProof/>
                <w:sz w:val="18"/>
                <w:szCs w:val="18"/>
              </w:rPr>
              <w:t>30</w:t>
            </w:r>
          </w:p>
        </w:tc>
        <w:tc>
          <w:tcPr>
            <w:tcW w:w="425" w:type="dxa"/>
            <w:tcBorders>
              <w:left w:val="dotted" w:sz="4" w:space="0" w:color="auto"/>
              <w:right w:val="single" w:sz="4" w:space="0" w:color="auto"/>
            </w:tcBorders>
            <w:shd w:val="clear" w:color="auto" w:fill="BFBFBF" w:themeFill="background1" w:themeFillShade="BF"/>
          </w:tcPr>
          <w:p w14:paraId="007AD85C" w14:textId="77777777" w:rsidR="000A7D9D" w:rsidRPr="00EC1412" w:rsidRDefault="000A7D9D" w:rsidP="00F31937">
            <w:pPr>
              <w:jc w:val="right"/>
              <w:rPr>
                <w:b/>
                <w:caps/>
                <w:noProof/>
                <w:sz w:val="18"/>
                <w:szCs w:val="18"/>
              </w:rPr>
            </w:pPr>
            <w:r>
              <w:rPr>
                <w:b/>
                <w:caps/>
                <w:noProof/>
                <w:sz w:val="18"/>
                <w:szCs w:val="18"/>
              </w:rPr>
              <w:t>16</w:t>
            </w:r>
          </w:p>
        </w:tc>
        <w:tc>
          <w:tcPr>
            <w:tcW w:w="425" w:type="dxa"/>
            <w:tcBorders>
              <w:left w:val="single" w:sz="4" w:space="0" w:color="auto"/>
              <w:right w:val="dotted" w:sz="4" w:space="0" w:color="auto"/>
            </w:tcBorders>
            <w:shd w:val="clear" w:color="auto" w:fill="BFBFBF" w:themeFill="background1" w:themeFillShade="BF"/>
          </w:tcPr>
          <w:p w14:paraId="03CAEA7D" w14:textId="77777777" w:rsidR="000A7D9D" w:rsidRPr="00EC1412" w:rsidRDefault="000A7D9D" w:rsidP="00F31937">
            <w:pPr>
              <w:jc w:val="right"/>
              <w:rPr>
                <w:b/>
                <w:caps/>
                <w:noProof/>
                <w:sz w:val="18"/>
                <w:szCs w:val="18"/>
              </w:rPr>
            </w:pPr>
            <w:r>
              <w:rPr>
                <w:b/>
                <w:caps/>
                <w:noProof/>
                <w:sz w:val="18"/>
                <w:szCs w:val="18"/>
              </w:rPr>
              <w:t>34</w:t>
            </w:r>
          </w:p>
        </w:tc>
        <w:tc>
          <w:tcPr>
            <w:tcW w:w="425" w:type="dxa"/>
            <w:tcBorders>
              <w:left w:val="dotted" w:sz="4" w:space="0" w:color="auto"/>
              <w:right w:val="single" w:sz="4" w:space="0" w:color="auto"/>
            </w:tcBorders>
            <w:shd w:val="clear" w:color="auto" w:fill="BFBFBF" w:themeFill="background1" w:themeFillShade="BF"/>
          </w:tcPr>
          <w:p w14:paraId="1A925F35" w14:textId="77777777" w:rsidR="000A7D9D" w:rsidRPr="00EC1412" w:rsidRDefault="000A7D9D" w:rsidP="00F31937">
            <w:pPr>
              <w:jc w:val="right"/>
              <w:rPr>
                <w:b/>
                <w:caps/>
                <w:noProof/>
                <w:sz w:val="18"/>
                <w:szCs w:val="18"/>
              </w:rPr>
            </w:pPr>
            <w:r>
              <w:rPr>
                <w:b/>
                <w:caps/>
                <w:noProof/>
                <w:sz w:val="18"/>
                <w:szCs w:val="18"/>
              </w:rPr>
              <w:t>21</w:t>
            </w:r>
          </w:p>
        </w:tc>
        <w:tc>
          <w:tcPr>
            <w:tcW w:w="426" w:type="dxa"/>
            <w:tcBorders>
              <w:left w:val="single" w:sz="4" w:space="0" w:color="auto"/>
              <w:right w:val="dotted" w:sz="4" w:space="0" w:color="auto"/>
            </w:tcBorders>
            <w:shd w:val="clear" w:color="auto" w:fill="BFBFBF" w:themeFill="background1" w:themeFillShade="BF"/>
          </w:tcPr>
          <w:p w14:paraId="7C5B3027" w14:textId="77777777" w:rsidR="000A7D9D" w:rsidRPr="00EC1412" w:rsidRDefault="000A7D9D" w:rsidP="00F31937">
            <w:pPr>
              <w:jc w:val="right"/>
              <w:rPr>
                <w:b/>
                <w:caps/>
                <w:noProof/>
                <w:sz w:val="18"/>
                <w:szCs w:val="18"/>
              </w:rPr>
            </w:pPr>
            <w:r>
              <w:rPr>
                <w:b/>
                <w:caps/>
                <w:noProof/>
                <w:sz w:val="18"/>
                <w:szCs w:val="18"/>
              </w:rPr>
              <w:t>34</w:t>
            </w:r>
          </w:p>
        </w:tc>
        <w:tc>
          <w:tcPr>
            <w:tcW w:w="425" w:type="dxa"/>
            <w:tcBorders>
              <w:left w:val="dotted" w:sz="4" w:space="0" w:color="auto"/>
              <w:right w:val="single" w:sz="4" w:space="0" w:color="auto"/>
            </w:tcBorders>
            <w:shd w:val="clear" w:color="auto" w:fill="BFBFBF" w:themeFill="background1" w:themeFillShade="BF"/>
          </w:tcPr>
          <w:p w14:paraId="51533611" w14:textId="77777777" w:rsidR="000A7D9D" w:rsidRPr="00EC1412" w:rsidRDefault="000A7D9D" w:rsidP="00F31937">
            <w:pPr>
              <w:jc w:val="right"/>
              <w:rPr>
                <w:b/>
                <w:caps/>
                <w:noProof/>
                <w:sz w:val="18"/>
                <w:szCs w:val="18"/>
              </w:rPr>
            </w:pPr>
            <w:r>
              <w:rPr>
                <w:b/>
                <w:caps/>
                <w:noProof/>
                <w:sz w:val="18"/>
                <w:szCs w:val="18"/>
              </w:rPr>
              <w:t>21</w:t>
            </w:r>
          </w:p>
        </w:tc>
        <w:tc>
          <w:tcPr>
            <w:tcW w:w="425" w:type="dxa"/>
            <w:tcBorders>
              <w:left w:val="single" w:sz="4" w:space="0" w:color="auto"/>
              <w:right w:val="dotted" w:sz="4" w:space="0" w:color="auto"/>
            </w:tcBorders>
            <w:shd w:val="clear" w:color="auto" w:fill="BFBFBF" w:themeFill="background1" w:themeFillShade="BF"/>
          </w:tcPr>
          <w:p w14:paraId="004E1DCB" w14:textId="77777777" w:rsidR="000A7D9D" w:rsidRPr="00EC1412" w:rsidRDefault="000A7D9D" w:rsidP="00F31937">
            <w:pPr>
              <w:jc w:val="right"/>
              <w:rPr>
                <w:b/>
                <w:caps/>
                <w:noProof/>
                <w:sz w:val="18"/>
                <w:szCs w:val="18"/>
              </w:rPr>
            </w:pPr>
            <w:r>
              <w:rPr>
                <w:b/>
                <w:caps/>
                <w:noProof/>
                <w:sz w:val="18"/>
                <w:szCs w:val="18"/>
              </w:rPr>
              <w:t>33</w:t>
            </w:r>
          </w:p>
        </w:tc>
        <w:tc>
          <w:tcPr>
            <w:tcW w:w="425" w:type="dxa"/>
            <w:tcBorders>
              <w:left w:val="dotted" w:sz="4" w:space="0" w:color="auto"/>
              <w:right w:val="single" w:sz="4" w:space="0" w:color="auto"/>
            </w:tcBorders>
            <w:shd w:val="clear" w:color="auto" w:fill="BFBFBF" w:themeFill="background1" w:themeFillShade="BF"/>
          </w:tcPr>
          <w:p w14:paraId="4FD9B2A3" w14:textId="77777777" w:rsidR="000A7D9D" w:rsidRPr="00EC1412" w:rsidRDefault="000A7D9D" w:rsidP="00F31937">
            <w:pPr>
              <w:jc w:val="right"/>
              <w:rPr>
                <w:b/>
                <w:caps/>
                <w:noProof/>
                <w:sz w:val="18"/>
                <w:szCs w:val="18"/>
              </w:rPr>
            </w:pPr>
            <w:r>
              <w:rPr>
                <w:b/>
                <w:caps/>
                <w:noProof/>
                <w:sz w:val="18"/>
                <w:szCs w:val="18"/>
              </w:rPr>
              <w:t>15</w:t>
            </w:r>
          </w:p>
        </w:tc>
        <w:tc>
          <w:tcPr>
            <w:tcW w:w="567" w:type="dxa"/>
            <w:tcBorders>
              <w:left w:val="single" w:sz="4" w:space="0" w:color="auto"/>
              <w:right w:val="single" w:sz="4" w:space="0" w:color="auto"/>
            </w:tcBorders>
            <w:shd w:val="clear" w:color="auto" w:fill="BFBFBF" w:themeFill="background1" w:themeFillShade="BF"/>
          </w:tcPr>
          <w:p w14:paraId="6DA6F267" w14:textId="77777777" w:rsidR="000A7D9D" w:rsidRPr="00EC1412" w:rsidRDefault="000A7D9D" w:rsidP="00F31937">
            <w:pPr>
              <w:jc w:val="right"/>
              <w:rPr>
                <w:b/>
                <w:caps/>
                <w:noProof/>
                <w:sz w:val="18"/>
                <w:szCs w:val="18"/>
              </w:rPr>
            </w:pPr>
            <w:r>
              <w:rPr>
                <w:b/>
                <w:caps/>
                <w:noProof/>
                <w:sz w:val="18"/>
                <w:szCs w:val="18"/>
              </w:rPr>
              <w:t>101</w:t>
            </w:r>
          </w:p>
        </w:tc>
        <w:tc>
          <w:tcPr>
            <w:tcW w:w="567" w:type="dxa"/>
            <w:tcBorders>
              <w:left w:val="single" w:sz="4" w:space="0" w:color="auto"/>
              <w:right w:val="single" w:sz="4" w:space="0" w:color="auto"/>
            </w:tcBorders>
            <w:shd w:val="clear" w:color="auto" w:fill="BFBFBF" w:themeFill="background1" w:themeFillShade="BF"/>
            <w:vAlign w:val="bottom"/>
          </w:tcPr>
          <w:p w14:paraId="38AE43D1" w14:textId="77777777" w:rsidR="000A7D9D" w:rsidRPr="00EC1412" w:rsidRDefault="000A7D9D" w:rsidP="00F31937">
            <w:pPr>
              <w:ind w:left="-105"/>
              <w:jc w:val="right"/>
              <w:rPr>
                <w:b/>
                <w:caps/>
                <w:noProof/>
                <w:sz w:val="18"/>
                <w:szCs w:val="18"/>
              </w:rPr>
            </w:pPr>
            <w:r>
              <w:rPr>
                <w:b/>
                <w:caps/>
                <w:noProof/>
                <w:sz w:val="18"/>
                <w:szCs w:val="18"/>
              </w:rPr>
              <w:t>6 719</w:t>
            </w:r>
          </w:p>
        </w:tc>
        <w:tc>
          <w:tcPr>
            <w:tcW w:w="567" w:type="dxa"/>
            <w:tcBorders>
              <w:left w:val="single" w:sz="4" w:space="0" w:color="auto"/>
              <w:right w:val="single" w:sz="4" w:space="0" w:color="auto"/>
            </w:tcBorders>
            <w:shd w:val="clear" w:color="auto" w:fill="BFBFBF" w:themeFill="background1" w:themeFillShade="BF"/>
            <w:vAlign w:val="bottom"/>
          </w:tcPr>
          <w:p w14:paraId="106C8012" w14:textId="77777777" w:rsidR="000A7D9D" w:rsidRPr="00EC1412" w:rsidRDefault="000A7D9D" w:rsidP="00F31937">
            <w:pPr>
              <w:ind w:left="-105"/>
              <w:jc w:val="right"/>
              <w:rPr>
                <w:b/>
                <w:caps/>
                <w:noProof/>
                <w:sz w:val="18"/>
                <w:szCs w:val="18"/>
              </w:rPr>
            </w:pPr>
            <w:r>
              <w:rPr>
                <w:b/>
                <w:caps/>
                <w:noProof/>
                <w:sz w:val="18"/>
                <w:szCs w:val="18"/>
              </w:rPr>
              <w:t>8 666</w:t>
            </w:r>
          </w:p>
        </w:tc>
        <w:tc>
          <w:tcPr>
            <w:tcW w:w="567" w:type="dxa"/>
            <w:tcBorders>
              <w:left w:val="single" w:sz="4" w:space="0" w:color="auto"/>
            </w:tcBorders>
            <w:shd w:val="clear" w:color="auto" w:fill="BFBFBF" w:themeFill="background1" w:themeFillShade="BF"/>
            <w:vAlign w:val="bottom"/>
          </w:tcPr>
          <w:p w14:paraId="2D79EF88" w14:textId="77777777" w:rsidR="000A7D9D" w:rsidRPr="00EC1412" w:rsidRDefault="000A7D9D" w:rsidP="00F31937">
            <w:pPr>
              <w:ind w:left="-104"/>
              <w:jc w:val="right"/>
              <w:rPr>
                <w:b/>
                <w:caps/>
                <w:noProof/>
                <w:sz w:val="18"/>
                <w:szCs w:val="18"/>
              </w:rPr>
            </w:pPr>
            <w:r>
              <w:rPr>
                <w:b/>
                <w:caps/>
                <w:noProof/>
                <w:sz w:val="18"/>
                <w:szCs w:val="18"/>
              </w:rPr>
              <w:t>7 823</w:t>
            </w:r>
          </w:p>
        </w:tc>
      </w:tr>
    </w:tbl>
    <w:p w14:paraId="6F45A220" w14:textId="77777777" w:rsidR="000A7D9D" w:rsidRDefault="000A7D9D" w:rsidP="000A7D9D">
      <w:pPr>
        <w:jc w:val="both"/>
        <w:rPr>
          <w:rFonts w:ascii="Times New Roman" w:hAnsi="Times New Roman" w:cs="Times New Roman"/>
          <w:caps/>
          <w:noProof/>
        </w:rPr>
      </w:pPr>
    </w:p>
    <w:p w14:paraId="5D69A36E" w14:textId="77777777" w:rsidR="000A7D9D" w:rsidRPr="00EC1412" w:rsidRDefault="000A7D9D" w:rsidP="000A7D9D">
      <w:pPr>
        <w:spacing w:before="240" w:after="120" w:line="240" w:lineRule="auto"/>
        <w:rPr>
          <w:rFonts w:ascii="Times New Roman" w:hAnsi="Times New Roman" w:cs="Times New Roman"/>
          <w:i/>
          <w:noProof/>
        </w:rPr>
      </w:pPr>
      <w:r w:rsidRPr="00EC1412">
        <w:rPr>
          <w:rFonts w:ascii="Times New Roman" w:hAnsi="Times New Roman" w:cs="Times New Roman"/>
          <w:i/>
          <w:noProof/>
        </w:rPr>
        <w:t xml:space="preserve">Impact on ECHA’s </w:t>
      </w:r>
      <w:r>
        <w:rPr>
          <w:rFonts w:ascii="Times New Roman" w:hAnsi="Times New Roman" w:cs="Times New Roman"/>
          <w:i/>
          <w:noProof/>
        </w:rPr>
        <w:t>expertise</w:t>
      </w:r>
    </w:p>
    <w:p w14:paraId="38AF8BE7" w14:textId="77777777" w:rsidR="000A7D9D" w:rsidRPr="00EC1412" w:rsidRDefault="000A7D9D" w:rsidP="000A7D9D">
      <w:pPr>
        <w:spacing w:after="120"/>
        <w:jc w:val="both"/>
        <w:rPr>
          <w:rFonts w:ascii="Times New Roman" w:hAnsi="Times New Roman" w:cs="Times New Roman"/>
          <w:caps/>
          <w:noProof/>
        </w:rPr>
      </w:pPr>
      <w:r w:rsidRPr="2D69C30E">
        <w:rPr>
          <w:rFonts w:ascii="Times New Roman" w:hAnsi="Times New Roman" w:cs="Times New Roman"/>
          <w:noProof/>
        </w:rPr>
        <w:t xml:space="preserve">As regards the expertise, ECHA has adequate expertise to address the majority of the new tasks. One exception is the extension of the scope of assessments for waste stage under the batteries regulation, RoHS directive, directive on end-of-life vehicles, packaging and packaging waste directive and POPs regulation, for which ECHA will need to build or recruit additional expertise. ECHA will also need to acquire a new expertise as regards water monitoring and derivation of water quality standards. ECHA will further need to build expertise on the assessment of chemicals in materials coming in contract with drinking water, where assessment is similar to food contact materials managed by EFSA. </w:t>
      </w:r>
    </w:p>
    <w:p w14:paraId="4196E7B2" w14:textId="77777777" w:rsidR="000A7D9D" w:rsidRPr="00EC1412" w:rsidRDefault="000A7D9D" w:rsidP="000A7D9D">
      <w:pPr>
        <w:spacing w:before="240" w:after="120" w:line="240" w:lineRule="auto"/>
        <w:rPr>
          <w:rFonts w:ascii="Times New Roman" w:hAnsi="Times New Roman" w:cs="Times New Roman"/>
          <w:i/>
          <w:noProof/>
        </w:rPr>
      </w:pPr>
      <w:r w:rsidRPr="00EC1412">
        <w:rPr>
          <w:rFonts w:ascii="Times New Roman" w:hAnsi="Times New Roman" w:cs="Times New Roman"/>
          <w:i/>
          <w:noProof/>
        </w:rPr>
        <w:t>Impact on ECHA’s committees</w:t>
      </w:r>
    </w:p>
    <w:p w14:paraId="55437C24"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estimated number of opinions per year from (re-)attribution of tasks is provided in the table below. It is expected that </w:t>
      </w:r>
      <w:r w:rsidRPr="00EC1412">
        <w:rPr>
          <w:rFonts w:ascii="Times New Roman" w:hAnsi="Times New Roman" w:cs="Times New Roman"/>
          <w:b/>
          <w:noProof/>
        </w:rPr>
        <w:t>RAC</w:t>
      </w:r>
      <w:r w:rsidRPr="00EC1412">
        <w:rPr>
          <w:rFonts w:ascii="Times New Roman" w:hAnsi="Times New Roman" w:cs="Times New Roman"/>
          <w:noProof/>
        </w:rPr>
        <w:t xml:space="preserve"> will have to deliver additional </w:t>
      </w:r>
      <w:r w:rsidRPr="00EC1412">
        <w:rPr>
          <w:rFonts w:ascii="Times New Roman" w:hAnsi="Times New Roman" w:cs="Times New Roman"/>
          <w:b/>
          <w:noProof/>
        </w:rPr>
        <w:t>80 opinions</w:t>
      </w:r>
      <w:r w:rsidRPr="00EC1412">
        <w:rPr>
          <w:rFonts w:ascii="Times New Roman" w:hAnsi="Times New Roman" w:cs="Times New Roman"/>
          <w:noProof/>
        </w:rPr>
        <w:t xml:space="preserve"> per year as compared to today, while </w:t>
      </w:r>
      <w:r w:rsidRPr="00EC1412">
        <w:rPr>
          <w:rFonts w:ascii="Times New Roman" w:hAnsi="Times New Roman" w:cs="Times New Roman"/>
          <w:b/>
          <w:noProof/>
        </w:rPr>
        <w:t>SEAC</w:t>
      </w:r>
      <w:r w:rsidRPr="00EC1412">
        <w:rPr>
          <w:rFonts w:ascii="Times New Roman" w:hAnsi="Times New Roman" w:cs="Times New Roman"/>
          <w:noProof/>
        </w:rPr>
        <w:t xml:space="preserve"> additional </w:t>
      </w:r>
      <w:r w:rsidRPr="00EC1412">
        <w:rPr>
          <w:rFonts w:ascii="Times New Roman" w:hAnsi="Times New Roman" w:cs="Times New Roman"/>
          <w:b/>
          <w:noProof/>
        </w:rPr>
        <w:t>50 opinions</w:t>
      </w:r>
      <w:r w:rsidRPr="00EC1412">
        <w:rPr>
          <w:rFonts w:ascii="Times New Roman" w:hAnsi="Times New Roman" w:cs="Times New Roman"/>
          <w:noProof/>
        </w:rPr>
        <w:t xml:space="preserve"> per year. The increase in number of RAC opinions represents 72% increases as compared today. It should be noted that the biggest increase comes from drinking water directive (50 opinions) and from CLP regulation (13.5 opinions). The rest of legislations accounts for just 16.5 opinions. In order to cope with increased workload, the RAC will require some adaptation aiming on increasing the number of committee members (currently RAC</w:t>
      </w:r>
      <w:r>
        <w:rPr>
          <w:rFonts w:ascii="Times New Roman" w:hAnsi="Times New Roman" w:cs="Times New Roman"/>
          <w:noProof/>
        </w:rPr>
        <w:t xml:space="preserve"> membership</w:t>
      </w:r>
      <w:r w:rsidRPr="00EC1412">
        <w:rPr>
          <w:rFonts w:ascii="Times New Roman" w:hAnsi="Times New Roman" w:cs="Times New Roman"/>
          <w:noProof/>
        </w:rPr>
        <w:t xml:space="preserve"> is at 50% capacity), attractiveness of rapporteurship and flexibility in structuring the work of the committee. This is envisaged to be tackled under the legislative proposal for </w:t>
      </w:r>
      <w:r>
        <w:rPr>
          <w:rFonts w:ascii="Times New Roman" w:hAnsi="Times New Roman" w:cs="Times New Roman"/>
          <w:noProof/>
        </w:rPr>
        <w:t xml:space="preserve">regulation on </w:t>
      </w:r>
      <w:r w:rsidRPr="00EC1412">
        <w:rPr>
          <w:rFonts w:ascii="Times New Roman" w:hAnsi="Times New Roman" w:cs="Times New Roman"/>
          <w:noProof/>
        </w:rPr>
        <w:t xml:space="preserve">ECHA that is in preparation. The increase in number of SEAC opinion is moderate. The SEAC in its current set up should be able to absorb the additional tasks, after some adaptations in similar direction as for the RAC. </w:t>
      </w:r>
    </w:p>
    <w:p w14:paraId="18FE612C"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As regards the expertise, RAC has adequate expertise to address the majority of new tasks. The only exception is the extension of scope of assessments for waste stage under the batteries regulation, RoHS directive, directive on end-of-life vehicles and packaging and packaging waste directive, for which RAC will need to build or recruit additional expertise. The SEAC expertise might need to be extended to cover the waste stage of products and chemicals as well. </w:t>
      </w:r>
    </w:p>
    <w:tbl>
      <w:tblPr>
        <w:tblStyle w:val="TableGrid"/>
        <w:tblW w:w="9072" w:type="dxa"/>
        <w:tblInd w:w="-5" w:type="dxa"/>
        <w:tblLook w:val="04A0" w:firstRow="1" w:lastRow="0" w:firstColumn="1" w:lastColumn="0" w:noHBand="0" w:noVBand="1"/>
      </w:tblPr>
      <w:tblGrid>
        <w:gridCol w:w="3544"/>
        <w:gridCol w:w="1418"/>
        <w:gridCol w:w="1984"/>
        <w:gridCol w:w="2126"/>
      </w:tblGrid>
      <w:tr w:rsidR="000A7D9D" w:rsidRPr="00EC1412" w14:paraId="1ED2B7EA" w14:textId="77777777" w:rsidTr="00F31937">
        <w:tc>
          <w:tcPr>
            <w:tcW w:w="9072" w:type="dxa"/>
            <w:gridSpan w:val="4"/>
            <w:tcBorders>
              <w:bottom w:val="single" w:sz="4" w:space="0" w:color="auto"/>
            </w:tcBorders>
            <w:shd w:val="clear" w:color="auto" w:fill="A6A6A6" w:themeFill="background1" w:themeFillShade="A6"/>
          </w:tcPr>
          <w:p w14:paraId="71E2A4A1" w14:textId="77777777" w:rsidR="000A7D9D" w:rsidRPr="00EC1412" w:rsidRDefault="000A7D9D" w:rsidP="00F31937">
            <w:pPr>
              <w:spacing w:before="60" w:after="60"/>
              <w:rPr>
                <w:noProof/>
                <w:sz w:val="18"/>
                <w:szCs w:val="18"/>
              </w:rPr>
            </w:pPr>
            <w:r w:rsidRPr="00EC1412">
              <w:rPr>
                <w:b/>
                <w:noProof/>
                <w:sz w:val="18"/>
                <w:szCs w:val="18"/>
              </w:rPr>
              <w:t>Table 16. Expected number of opinions from ECHA’s committees per year</w:t>
            </w:r>
          </w:p>
        </w:tc>
      </w:tr>
      <w:tr w:rsidR="000A7D9D" w:rsidRPr="00EC1412" w14:paraId="1ADC2496" w14:textId="77777777" w:rsidTr="00F31937">
        <w:tc>
          <w:tcPr>
            <w:tcW w:w="3544" w:type="dxa"/>
            <w:tcBorders>
              <w:bottom w:val="single" w:sz="4" w:space="0" w:color="auto"/>
              <w:right w:val="dotted" w:sz="4" w:space="0" w:color="auto"/>
            </w:tcBorders>
            <w:shd w:val="clear" w:color="auto" w:fill="BFBFBF" w:themeFill="background1" w:themeFillShade="BF"/>
          </w:tcPr>
          <w:p w14:paraId="14E65690" w14:textId="77777777" w:rsidR="000A7D9D" w:rsidRPr="00EC1412" w:rsidRDefault="000A7D9D" w:rsidP="00F31937">
            <w:pPr>
              <w:jc w:val="both"/>
              <w:rPr>
                <w:b/>
                <w:noProof/>
                <w:sz w:val="18"/>
                <w:szCs w:val="18"/>
              </w:rPr>
            </w:pPr>
            <w:r w:rsidRPr="00EC1412">
              <w:rPr>
                <w:b/>
                <w:noProof/>
                <w:sz w:val="18"/>
                <w:szCs w:val="18"/>
              </w:rPr>
              <w:t>Legislation / process</w:t>
            </w:r>
          </w:p>
        </w:tc>
        <w:tc>
          <w:tcPr>
            <w:tcW w:w="1418" w:type="dxa"/>
            <w:tcBorders>
              <w:left w:val="dotted" w:sz="4" w:space="0" w:color="auto"/>
              <w:bottom w:val="single" w:sz="4" w:space="0" w:color="auto"/>
              <w:right w:val="dotted" w:sz="4" w:space="0" w:color="auto"/>
            </w:tcBorders>
            <w:shd w:val="clear" w:color="auto" w:fill="BFBFBF" w:themeFill="background1" w:themeFillShade="BF"/>
          </w:tcPr>
          <w:p w14:paraId="6393A1E2" w14:textId="77777777" w:rsidR="000A7D9D" w:rsidRPr="00EC1412" w:rsidRDefault="000A7D9D" w:rsidP="00F31937">
            <w:pPr>
              <w:ind w:left="-107"/>
              <w:jc w:val="right"/>
              <w:rPr>
                <w:b/>
                <w:caps/>
                <w:noProof/>
                <w:sz w:val="18"/>
                <w:szCs w:val="18"/>
              </w:rPr>
            </w:pPr>
            <w:r w:rsidRPr="00EC1412">
              <w:rPr>
                <w:b/>
                <w:caps/>
                <w:noProof/>
                <w:sz w:val="18"/>
                <w:szCs w:val="18"/>
              </w:rPr>
              <w:t>RAC</w:t>
            </w:r>
          </w:p>
        </w:tc>
        <w:tc>
          <w:tcPr>
            <w:tcW w:w="1984" w:type="dxa"/>
            <w:tcBorders>
              <w:left w:val="dotted" w:sz="4" w:space="0" w:color="auto"/>
              <w:bottom w:val="single" w:sz="4" w:space="0" w:color="auto"/>
              <w:right w:val="dotted" w:sz="4" w:space="0" w:color="auto"/>
            </w:tcBorders>
            <w:shd w:val="clear" w:color="auto" w:fill="BFBFBF" w:themeFill="background1" w:themeFillShade="BF"/>
          </w:tcPr>
          <w:p w14:paraId="31B6578F" w14:textId="77777777" w:rsidR="000A7D9D" w:rsidRPr="00EC1412" w:rsidRDefault="000A7D9D" w:rsidP="00F31937">
            <w:pPr>
              <w:ind w:left="-108"/>
              <w:jc w:val="right"/>
              <w:rPr>
                <w:b/>
                <w:caps/>
                <w:noProof/>
                <w:sz w:val="18"/>
                <w:szCs w:val="18"/>
              </w:rPr>
            </w:pPr>
            <w:r w:rsidRPr="00EC1412">
              <w:rPr>
                <w:b/>
                <w:caps/>
                <w:noProof/>
                <w:sz w:val="18"/>
                <w:szCs w:val="18"/>
              </w:rPr>
              <w:t>SEAC</w:t>
            </w:r>
          </w:p>
        </w:tc>
        <w:tc>
          <w:tcPr>
            <w:tcW w:w="2126" w:type="dxa"/>
            <w:tcBorders>
              <w:left w:val="dotted" w:sz="4" w:space="0" w:color="auto"/>
              <w:bottom w:val="single" w:sz="4" w:space="0" w:color="auto"/>
            </w:tcBorders>
            <w:shd w:val="clear" w:color="auto" w:fill="BFBFBF" w:themeFill="background1" w:themeFillShade="BF"/>
          </w:tcPr>
          <w:p w14:paraId="3B49D77A" w14:textId="77777777" w:rsidR="000A7D9D" w:rsidRPr="00EC1412" w:rsidRDefault="000A7D9D" w:rsidP="00F31937">
            <w:pPr>
              <w:ind w:left="-113"/>
              <w:jc w:val="right"/>
              <w:rPr>
                <w:b/>
                <w:caps/>
                <w:noProof/>
                <w:sz w:val="18"/>
                <w:szCs w:val="18"/>
              </w:rPr>
            </w:pPr>
            <w:r w:rsidRPr="00EC1412">
              <w:rPr>
                <w:b/>
                <w:caps/>
                <w:noProof/>
                <w:sz w:val="18"/>
                <w:szCs w:val="18"/>
              </w:rPr>
              <w:t>SCCS</w:t>
            </w:r>
          </w:p>
        </w:tc>
      </w:tr>
      <w:tr w:rsidR="000A7D9D" w:rsidRPr="00EC1412" w14:paraId="3002F6A7" w14:textId="77777777" w:rsidTr="00F31937">
        <w:tc>
          <w:tcPr>
            <w:tcW w:w="3544" w:type="dxa"/>
            <w:tcBorders>
              <w:top w:val="single" w:sz="4" w:space="0" w:color="auto"/>
              <w:bottom w:val="dotted" w:sz="4" w:space="0" w:color="auto"/>
              <w:right w:val="dotted" w:sz="4" w:space="0" w:color="auto"/>
            </w:tcBorders>
            <w:shd w:val="clear" w:color="auto" w:fill="FFF4CC"/>
          </w:tcPr>
          <w:p w14:paraId="0A7449FD" w14:textId="77777777" w:rsidR="000A7D9D" w:rsidRPr="00EC1412" w:rsidRDefault="000A7D9D" w:rsidP="00F31937">
            <w:pPr>
              <w:jc w:val="both"/>
              <w:rPr>
                <w:caps/>
                <w:noProof/>
                <w:sz w:val="18"/>
                <w:szCs w:val="18"/>
              </w:rPr>
            </w:pPr>
            <w:r w:rsidRPr="00EC1412">
              <w:rPr>
                <w:noProof/>
                <w:sz w:val="18"/>
                <w:szCs w:val="18"/>
              </w:rPr>
              <w:t>Drinking water directive</w:t>
            </w:r>
          </w:p>
        </w:tc>
        <w:tc>
          <w:tcPr>
            <w:tcW w:w="1418" w:type="dxa"/>
            <w:tcBorders>
              <w:top w:val="single" w:sz="4" w:space="0" w:color="auto"/>
              <w:left w:val="dotted" w:sz="4" w:space="0" w:color="auto"/>
              <w:bottom w:val="dotted" w:sz="4" w:space="0" w:color="auto"/>
              <w:right w:val="dotted" w:sz="4" w:space="0" w:color="auto"/>
            </w:tcBorders>
            <w:shd w:val="clear" w:color="auto" w:fill="FFF4CC"/>
          </w:tcPr>
          <w:p w14:paraId="2A472AEE" w14:textId="77777777" w:rsidR="000A7D9D" w:rsidRPr="00EC1412" w:rsidRDefault="000A7D9D" w:rsidP="00F31937">
            <w:pPr>
              <w:jc w:val="right"/>
              <w:rPr>
                <w:caps/>
                <w:noProof/>
                <w:sz w:val="18"/>
                <w:szCs w:val="18"/>
              </w:rPr>
            </w:pPr>
          </w:p>
        </w:tc>
        <w:tc>
          <w:tcPr>
            <w:tcW w:w="1984" w:type="dxa"/>
            <w:tcBorders>
              <w:top w:val="single" w:sz="4" w:space="0" w:color="auto"/>
              <w:left w:val="dotted" w:sz="4" w:space="0" w:color="auto"/>
              <w:bottom w:val="dotted" w:sz="4" w:space="0" w:color="auto"/>
              <w:right w:val="dotted" w:sz="4" w:space="0" w:color="auto"/>
            </w:tcBorders>
            <w:shd w:val="clear" w:color="auto" w:fill="FFF4CC"/>
          </w:tcPr>
          <w:p w14:paraId="0746B2E6" w14:textId="77777777" w:rsidR="000A7D9D" w:rsidRPr="00EC1412" w:rsidRDefault="000A7D9D" w:rsidP="00F31937">
            <w:pPr>
              <w:jc w:val="right"/>
              <w:rPr>
                <w:caps/>
                <w:noProof/>
                <w:sz w:val="18"/>
                <w:szCs w:val="18"/>
              </w:rPr>
            </w:pPr>
          </w:p>
        </w:tc>
        <w:tc>
          <w:tcPr>
            <w:tcW w:w="2126" w:type="dxa"/>
            <w:tcBorders>
              <w:top w:val="single" w:sz="4" w:space="0" w:color="auto"/>
              <w:left w:val="dotted" w:sz="4" w:space="0" w:color="auto"/>
              <w:bottom w:val="dotted" w:sz="4" w:space="0" w:color="auto"/>
            </w:tcBorders>
            <w:shd w:val="clear" w:color="auto" w:fill="FFF4CC"/>
          </w:tcPr>
          <w:p w14:paraId="3E49CB24" w14:textId="77777777" w:rsidR="000A7D9D" w:rsidRPr="00EC1412" w:rsidRDefault="000A7D9D" w:rsidP="00F31937">
            <w:pPr>
              <w:jc w:val="right"/>
              <w:rPr>
                <w:noProof/>
                <w:sz w:val="18"/>
                <w:szCs w:val="18"/>
              </w:rPr>
            </w:pPr>
          </w:p>
        </w:tc>
      </w:tr>
      <w:tr w:rsidR="000A7D9D" w:rsidRPr="00EC1412" w14:paraId="54972182" w14:textId="77777777" w:rsidTr="00F31937">
        <w:tc>
          <w:tcPr>
            <w:tcW w:w="3544" w:type="dxa"/>
            <w:tcBorders>
              <w:top w:val="dotted" w:sz="4" w:space="0" w:color="auto"/>
              <w:bottom w:val="single" w:sz="4" w:space="0" w:color="auto"/>
              <w:right w:val="dotted" w:sz="4" w:space="0" w:color="auto"/>
            </w:tcBorders>
            <w:shd w:val="clear" w:color="auto" w:fill="FFF4CC"/>
          </w:tcPr>
          <w:p w14:paraId="7CBD1E96" w14:textId="77777777" w:rsidR="000A7D9D" w:rsidRPr="00EC1412" w:rsidRDefault="000A7D9D" w:rsidP="000A7D9D">
            <w:pPr>
              <w:pStyle w:val="ListParagraph"/>
              <w:numPr>
                <w:ilvl w:val="0"/>
                <w:numId w:val="15"/>
              </w:numPr>
              <w:ind w:left="284" w:hanging="142"/>
              <w:jc w:val="both"/>
              <w:rPr>
                <w:caps/>
                <w:noProof/>
                <w:sz w:val="18"/>
                <w:szCs w:val="18"/>
              </w:rPr>
            </w:pPr>
            <w:r w:rsidRPr="00EC1412">
              <w:rPr>
                <w:noProof/>
                <w:sz w:val="18"/>
                <w:szCs w:val="18"/>
              </w:rPr>
              <w:t>Positive lists of substances</w:t>
            </w:r>
          </w:p>
        </w:tc>
        <w:tc>
          <w:tcPr>
            <w:tcW w:w="1418" w:type="dxa"/>
            <w:tcBorders>
              <w:top w:val="dotted" w:sz="4" w:space="0" w:color="auto"/>
              <w:left w:val="dotted" w:sz="4" w:space="0" w:color="auto"/>
              <w:bottom w:val="single" w:sz="4" w:space="0" w:color="auto"/>
              <w:right w:val="dotted" w:sz="4" w:space="0" w:color="auto"/>
            </w:tcBorders>
            <w:shd w:val="clear" w:color="auto" w:fill="FFF4CC"/>
          </w:tcPr>
          <w:p w14:paraId="7E4B49FD" w14:textId="77777777" w:rsidR="000A7D9D" w:rsidRPr="00EC1412" w:rsidRDefault="000A7D9D" w:rsidP="00F31937">
            <w:pPr>
              <w:jc w:val="right"/>
              <w:rPr>
                <w:caps/>
                <w:noProof/>
                <w:sz w:val="18"/>
                <w:szCs w:val="18"/>
              </w:rPr>
            </w:pPr>
            <w:r w:rsidRPr="00EC1412">
              <w:rPr>
                <w:caps/>
                <w:noProof/>
                <w:sz w:val="18"/>
                <w:szCs w:val="18"/>
              </w:rPr>
              <w:t>50</w:t>
            </w:r>
          </w:p>
        </w:tc>
        <w:tc>
          <w:tcPr>
            <w:tcW w:w="1984" w:type="dxa"/>
            <w:tcBorders>
              <w:top w:val="dotted" w:sz="4" w:space="0" w:color="auto"/>
              <w:left w:val="dotted" w:sz="4" w:space="0" w:color="auto"/>
              <w:bottom w:val="single" w:sz="4" w:space="0" w:color="auto"/>
              <w:right w:val="dotted" w:sz="4" w:space="0" w:color="auto"/>
            </w:tcBorders>
            <w:shd w:val="clear" w:color="auto" w:fill="FFF4CC"/>
          </w:tcPr>
          <w:p w14:paraId="29626586" w14:textId="77777777" w:rsidR="000A7D9D" w:rsidRPr="00EC1412" w:rsidRDefault="000A7D9D" w:rsidP="00F31937">
            <w:pPr>
              <w:jc w:val="right"/>
              <w:rPr>
                <w:caps/>
                <w:noProof/>
                <w:sz w:val="18"/>
                <w:szCs w:val="18"/>
              </w:rPr>
            </w:pPr>
            <w:r w:rsidRPr="00EC1412">
              <w:rPr>
                <w:caps/>
                <w:noProof/>
                <w:sz w:val="18"/>
                <w:szCs w:val="18"/>
              </w:rPr>
              <w:t>-</w:t>
            </w:r>
          </w:p>
        </w:tc>
        <w:tc>
          <w:tcPr>
            <w:tcW w:w="2126" w:type="dxa"/>
            <w:tcBorders>
              <w:top w:val="dotted" w:sz="4" w:space="0" w:color="auto"/>
              <w:left w:val="dotted" w:sz="4" w:space="0" w:color="auto"/>
              <w:bottom w:val="single" w:sz="4" w:space="0" w:color="auto"/>
            </w:tcBorders>
            <w:shd w:val="clear" w:color="auto" w:fill="FFF4CC"/>
          </w:tcPr>
          <w:p w14:paraId="3EDD8DD6" w14:textId="77777777" w:rsidR="000A7D9D" w:rsidRPr="00EC1412" w:rsidRDefault="000A7D9D" w:rsidP="00F31937">
            <w:pPr>
              <w:jc w:val="right"/>
              <w:rPr>
                <w:noProof/>
                <w:sz w:val="18"/>
                <w:szCs w:val="18"/>
              </w:rPr>
            </w:pPr>
            <w:r w:rsidRPr="00EC1412">
              <w:rPr>
                <w:noProof/>
                <w:sz w:val="18"/>
                <w:szCs w:val="18"/>
              </w:rPr>
              <w:t>-</w:t>
            </w:r>
          </w:p>
        </w:tc>
      </w:tr>
      <w:tr w:rsidR="000A7D9D" w:rsidRPr="00EC1412" w14:paraId="460B87C8" w14:textId="77777777" w:rsidTr="00F31937">
        <w:tc>
          <w:tcPr>
            <w:tcW w:w="3544" w:type="dxa"/>
            <w:tcBorders>
              <w:top w:val="single" w:sz="4" w:space="0" w:color="auto"/>
              <w:bottom w:val="dotted" w:sz="4" w:space="0" w:color="auto"/>
              <w:right w:val="dotted" w:sz="4" w:space="0" w:color="auto"/>
            </w:tcBorders>
            <w:shd w:val="clear" w:color="auto" w:fill="C1ECFF"/>
          </w:tcPr>
          <w:p w14:paraId="44ED5F1A" w14:textId="77777777" w:rsidR="000A7D9D" w:rsidRPr="00EC1412" w:rsidRDefault="000A7D9D" w:rsidP="00F31937">
            <w:pPr>
              <w:jc w:val="both"/>
              <w:rPr>
                <w:caps/>
                <w:noProof/>
                <w:sz w:val="18"/>
                <w:szCs w:val="18"/>
              </w:rPr>
            </w:pPr>
            <w:r w:rsidRPr="00EC1412">
              <w:rPr>
                <w:noProof/>
                <w:sz w:val="18"/>
                <w:szCs w:val="18"/>
              </w:rPr>
              <w:t xml:space="preserve">Batteries regulation </w:t>
            </w:r>
          </w:p>
        </w:tc>
        <w:tc>
          <w:tcPr>
            <w:tcW w:w="1418" w:type="dxa"/>
            <w:tcBorders>
              <w:top w:val="single" w:sz="4" w:space="0" w:color="auto"/>
              <w:left w:val="dotted" w:sz="4" w:space="0" w:color="auto"/>
              <w:bottom w:val="dotted" w:sz="4" w:space="0" w:color="auto"/>
              <w:right w:val="dotted" w:sz="4" w:space="0" w:color="auto"/>
            </w:tcBorders>
            <w:shd w:val="clear" w:color="auto" w:fill="C1ECFF"/>
          </w:tcPr>
          <w:p w14:paraId="61665158" w14:textId="77777777" w:rsidR="000A7D9D" w:rsidRPr="00EC1412" w:rsidRDefault="000A7D9D" w:rsidP="00F31937">
            <w:pPr>
              <w:jc w:val="right"/>
              <w:rPr>
                <w:caps/>
                <w:noProof/>
                <w:sz w:val="18"/>
                <w:szCs w:val="18"/>
              </w:rPr>
            </w:pPr>
          </w:p>
        </w:tc>
        <w:tc>
          <w:tcPr>
            <w:tcW w:w="1984" w:type="dxa"/>
            <w:tcBorders>
              <w:top w:val="single" w:sz="4" w:space="0" w:color="auto"/>
              <w:left w:val="dotted" w:sz="4" w:space="0" w:color="auto"/>
              <w:bottom w:val="dotted" w:sz="4" w:space="0" w:color="auto"/>
              <w:right w:val="dotted" w:sz="4" w:space="0" w:color="auto"/>
            </w:tcBorders>
            <w:shd w:val="clear" w:color="auto" w:fill="C1ECFF"/>
          </w:tcPr>
          <w:p w14:paraId="2D4B8233" w14:textId="77777777" w:rsidR="000A7D9D" w:rsidRPr="00EC1412" w:rsidRDefault="000A7D9D" w:rsidP="00F31937">
            <w:pPr>
              <w:jc w:val="right"/>
              <w:rPr>
                <w:caps/>
                <w:noProof/>
                <w:sz w:val="18"/>
                <w:szCs w:val="18"/>
              </w:rPr>
            </w:pPr>
          </w:p>
        </w:tc>
        <w:tc>
          <w:tcPr>
            <w:tcW w:w="2126" w:type="dxa"/>
            <w:tcBorders>
              <w:top w:val="single" w:sz="4" w:space="0" w:color="auto"/>
              <w:left w:val="dotted" w:sz="4" w:space="0" w:color="auto"/>
              <w:bottom w:val="dotted" w:sz="4" w:space="0" w:color="auto"/>
            </w:tcBorders>
            <w:shd w:val="clear" w:color="auto" w:fill="C1ECFF"/>
          </w:tcPr>
          <w:p w14:paraId="44CEA137" w14:textId="77777777" w:rsidR="000A7D9D" w:rsidRPr="00EC1412" w:rsidRDefault="000A7D9D" w:rsidP="00F31937">
            <w:pPr>
              <w:jc w:val="right"/>
              <w:rPr>
                <w:noProof/>
                <w:sz w:val="18"/>
                <w:szCs w:val="18"/>
              </w:rPr>
            </w:pPr>
          </w:p>
        </w:tc>
      </w:tr>
      <w:tr w:rsidR="000A7D9D" w:rsidRPr="00EC1412" w14:paraId="7A9979B2" w14:textId="77777777" w:rsidTr="00F31937">
        <w:tc>
          <w:tcPr>
            <w:tcW w:w="3544" w:type="dxa"/>
            <w:tcBorders>
              <w:top w:val="dotted" w:sz="4" w:space="0" w:color="auto"/>
              <w:bottom w:val="single" w:sz="4" w:space="0" w:color="auto"/>
              <w:right w:val="dotted" w:sz="4" w:space="0" w:color="auto"/>
            </w:tcBorders>
            <w:shd w:val="clear" w:color="auto" w:fill="C1ECFF"/>
          </w:tcPr>
          <w:p w14:paraId="4364E477" w14:textId="77777777" w:rsidR="000A7D9D" w:rsidRPr="00EC1412" w:rsidRDefault="000A7D9D" w:rsidP="000A7D9D">
            <w:pPr>
              <w:pStyle w:val="ListParagraph"/>
              <w:numPr>
                <w:ilvl w:val="0"/>
                <w:numId w:val="15"/>
              </w:numPr>
              <w:ind w:left="284" w:hanging="142"/>
              <w:jc w:val="both"/>
              <w:rPr>
                <w:caps/>
                <w:noProof/>
                <w:sz w:val="18"/>
                <w:szCs w:val="18"/>
              </w:rPr>
            </w:pPr>
            <w:r w:rsidRPr="00EC1412">
              <w:rPr>
                <w:noProof/>
                <w:sz w:val="18"/>
                <w:szCs w:val="18"/>
              </w:rPr>
              <w:t>Restriction</w:t>
            </w:r>
          </w:p>
        </w:tc>
        <w:tc>
          <w:tcPr>
            <w:tcW w:w="1418" w:type="dxa"/>
            <w:tcBorders>
              <w:top w:val="dotted" w:sz="4" w:space="0" w:color="auto"/>
              <w:left w:val="dotted" w:sz="4" w:space="0" w:color="auto"/>
              <w:bottom w:val="single" w:sz="4" w:space="0" w:color="auto"/>
              <w:right w:val="dotted" w:sz="4" w:space="0" w:color="auto"/>
            </w:tcBorders>
            <w:shd w:val="clear" w:color="auto" w:fill="C1ECFF"/>
          </w:tcPr>
          <w:p w14:paraId="109D76C9" w14:textId="77777777" w:rsidR="000A7D9D" w:rsidRPr="00EC1412" w:rsidRDefault="000A7D9D" w:rsidP="00F31937">
            <w:pPr>
              <w:jc w:val="right"/>
              <w:rPr>
                <w:caps/>
                <w:noProof/>
                <w:sz w:val="18"/>
                <w:szCs w:val="18"/>
              </w:rPr>
            </w:pPr>
            <w:r w:rsidRPr="00EC1412">
              <w:rPr>
                <w:caps/>
                <w:noProof/>
                <w:sz w:val="18"/>
                <w:szCs w:val="18"/>
              </w:rPr>
              <w:t>1</w:t>
            </w:r>
          </w:p>
        </w:tc>
        <w:tc>
          <w:tcPr>
            <w:tcW w:w="1984" w:type="dxa"/>
            <w:tcBorders>
              <w:top w:val="dotted" w:sz="4" w:space="0" w:color="auto"/>
              <w:left w:val="dotted" w:sz="4" w:space="0" w:color="auto"/>
              <w:bottom w:val="single" w:sz="4" w:space="0" w:color="auto"/>
              <w:right w:val="dotted" w:sz="4" w:space="0" w:color="auto"/>
            </w:tcBorders>
            <w:shd w:val="clear" w:color="auto" w:fill="C1ECFF"/>
          </w:tcPr>
          <w:p w14:paraId="03E2B06D" w14:textId="77777777" w:rsidR="000A7D9D" w:rsidRPr="00EC1412" w:rsidRDefault="000A7D9D" w:rsidP="00F31937">
            <w:pPr>
              <w:jc w:val="right"/>
              <w:rPr>
                <w:caps/>
                <w:noProof/>
                <w:sz w:val="18"/>
                <w:szCs w:val="18"/>
              </w:rPr>
            </w:pPr>
            <w:r w:rsidRPr="00EC1412">
              <w:rPr>
                <w:caps/>
                <w:noProof/>
                <w:sz w:val="18"/>
                <w:szCs w:val="18"/>
              </w:rPr>
              <w:t>1</w:t>
            </w:r>
          </w:p>
        </w:tc>
        <w:tc>
          <w:tcPr>
            <w:tcW w:w="2126" w:type="dxa"/>
            <w:tcBorders>
              <w:top w:val="dotted" w:sz="4" w:space="0" w:color="auto"/>
              <w:left w:val="dotted" w:sz="4" w:space="0" w:color="auto"/>
              <w:bottom w:val="single" w:sz="4" w:space="0" w:color="auto"/>
            </w:tcBorders>
            <w:shd w:val="clear" w:color="auto" w:fill="C1ECFF"/>
          </w:tcPr>
          <w:p w14:paraId="2A96E9F1" w14:textId="77777777" w:rsidR="000A7D9D" w:rsidRPr="00EC1412" w:rsidRDefault="000A7D9D" w:rsidP="00F31937">
            <w:pPr>
              <w:jc w:val="right"/>
              <w:rPr>
                <w:noProof/>
                <w:sz w:val="18"/>
                <w:szCs w:val="18"/>
              </w:rPr>
            </w:pPr>
            <w:r w:rsidRPr="00EC1412">
              <w:rPr>
                <w:noProof/>
                <w:sz w:val="18"/>
                <w:szCs w:val="18"/>
              </w:rPr>
              <w:t>-</w:t>
            </w:r>
          </w:p>
        </w:tc>
      </w:tr>
      <w:tr w:rsidR="000A7D9D" w:rsidRPr="00EC1412" w14:paraId="5D02E5FE" w14:textId="77777777" w:rsidTr="00F31937">
        <w:tc>
          <w:tcPr>
            <w:tcW w:w="3544" w:type="dxa"/>
            <w:tcBorders>
              <w:top w:val="single" w:sz="4" w:space="0" w:color="auto"/>
              <w:bottom w:val="dotted" w:sz="4" w:space="0" w:color="auto"/>
              <w:right w:val="dotted" w:sz="4" w:space="0" w:color="auto"/>
            </w:tcBorders>
            <w:shd w:val="clear" w:color="auto" w:fill="FFF4CC"/>
          </w:tcPr>
          <w:p w14:paraId="6CDE95E0" w14:textId="77777777" w:rsidR="000A7D9D" w:rsidRPr="00EC1412" w:rsidRDefault="000A7D9D" w:rsidP="00F31937">
            <w:pPr>
              <w:jc w:val="both"/>
              <w:rPr>
                <w:noProof/>
                <w:sz w:val="18"/>
                <w:szCs w:val="18"/>
              </w:rPr>
            </w:pPr>
            <w:r w:rsidRPr="00EC1412">
              <w:rPr>
                <w:noProof/>
                <w:sz w:val="18"/>
                <w:szCs w:val="18"/>
              </w:rPr>
              <w:t>Water legislation</w:t>
            </w:r>
          </w:p>
        </w:tc>
        <w:tc>
          <w:tcPr>
            <w:tcW w:w="1418" w:type="dxa"/>
            <w:tcBorders>
              <w:top w:val="single" w:sz="4" w:space="0" w:color="auto"/>
              <w:left w:val="dotted" w:sz="4" w:space="0" w:color="auto"/>
              <w:bottom w:val="dotted" w:sz="4" w:space="0" w:color="auto"/>
              <w:right w:val="dotted" w:sz="4" w:space="0" w:color="auto"/>
            </w:tcBorders>
            <w:shd w:val="clear" w:color="auto" w:fill="FFF4CC"/>
          </w:tcPr>
          <w:p w14:paraId="3228A817" w14:textId="77777777" w:rsidR="000A7D9D" w:rsidRPr="00EC1412" w:rsidRDefault="000A7D9D" w:rsidP="00F31937">
            <w:pPr>
              <w:jc w:val="right"/>
              <w:rPr>
                <w:caps/>
                <w:noProof/>
                <w:sz w:val="18"/>
                <w:szCs w:val="18"/>
              </w:rPr>
            </w:pPr>
          </w:p>
        </w:tc>
        <w:tc>
          <w:tcPr>
            <w:tcW w:w="1984" w:type="dxa"/>
            <w:tcBorders>
              <w:top w:val="single" w:sz="4" w:space="0" w:color="auto"/>
              <w:left w:val="dotted" w:sz="4" w:space="0" w:color="auto"/>
              <w:bottom w:val="dotted" w:sz="4" w:space="0" w:color="auto"/>
              <w:right w:val="dotted" w:sz="4" w:space="0" w:color="auto"/>
            </w:tcBorders>
            <w:shd w:val="clear" w:color="auto" w:fill="FFF4CC"/>
          </w:tcPr>
          <w:p w14:paraId="5CC53B9E" w14:textId="77777777" w:rsidR="000A7D9D" w:rsidRPr="00EC1412" w:rsidRDefault="000A7D9D" w:rsidP="00F31937">
            <w:pPr>
              <w:jc w:val="right"/>
              <w:rPr>
                <w:caps/>
                <w:noProof/>
                <w:sz w:val="18"/>
                <w:szCs w:val="18"/>
              </w:rPr>
            </w:pPr>
          </w:p>
        </w:tc>
        <w:tc>
          <w:tcPr>
            <w:tcW w:w="2126" w:type="dxa"/>
            <w:tcBorders>
              <w:top w:val="single" w:sz="4" w:space="0" w:color="auto"/>
              <w:left w:val="dotted" w:sz="4" w:space="0" w:color="auto"/>
              <w:bottom w:val="dotted" w:sz="4" w:space="0" w:color="auto"/>
            </w:tcBorders>
            <w:shd w:val="clear" w:color="auto" w:fill="FFF4CC"/>
          </w:tcPr>
          <w:p w14:paraId="158CFE42" w14:textId="77777777" w:rsidR="000A7D9D" w:rsidRPr="00EC1412" w:rsidRDefault="000A7D9D" w:rsidP="00F31937">
            <w:pPr>
              <w:jc w:val="right"/>
              <w:rPr>
                <w:noProof/>
                <w:sz w:val="18"/>
                <w:szCs w:val="18"/>
              </w:rPr>
            </w:pPr>
          </w:p>
        </w:tc>
      </w:tr>
      <w:tr w:rsidR="000A7D9D" w:rsidRPr="00EC1412" w14:paraId="4A05F4BB" w14:textId="77777777" w:rsidTr="00F31937">
        <w:tc>
          <w:tcPr>
            <w:tcW w:w="3544" w:type="dxa"/>
            <w:tcBorders>
              <w:top w:val="dotted" w:sz="4" w:space="0" w:color="auto"/>
              <w:bottom w:val="dotted" w:sz="4" w:space="0" w:color="auto"/>
              <w:right w:val="dotted" w:sz="4" w:space="0" w:color="auto"/>
            </w:tcBorders>
            <w:shd w:val="clear" w:color="auto" w:fill="FFF4CC"/>
          </w:tcPr>
          <w:p w14:paraId="533E2E12" w14:textId="77777777" w:rsidR="000A7D9D" w:rsidRPr="00EC1412" w:rsidRDefault="000A7D9D" w:rsidP="000A7D9D">
            <w:pPr>
              <w:pStyle w:val="ListParagraph"/>
              <w:numPr>
                <w:ilvl w:val="0"/>
                <w:numId w:val="15"/>
              </w:numPr>
              <w:ind w:left="284" w:hanging="142"/>
              <w:jc w:val="both"/>
              <w:rPr>
                <w:noProof/>
                <w:sz w:val="18"/>
                <w:szCs w:val="18"/>
              </w:rPr>
            </w:pPr>
            <w:r w:rsidRPr="00EC1412">
              <w:rPr>
                <w:noProof/>
                <w:sz w:val="18"/>
                <w:szCs w:val="18"/>
              </w:rPr>
              <w:t>Annex I Ground Water Directive</w:t>
            </w:r>
          </w:p>
        </w:tc>
        <w:tc>
          <w:tcPr>
            <w:tcW w:w="1418" w:type="dxa"/>
            <w:tcBorders>
              <w:top w:val="dotted" w:sz="4" w:space="0" w:color="auto"/>
              <w:left w:val="dotted" w:sz="4" w:space="0" w:color="auto"/>
              <w:bottom w:val="dotted" w:sz="4" w:space="0" w:color="auto"/>
              <w:right w:val="dotted" w:sz="4" w:space="0" w:color="auto"/>
            </w:tcBorders>
            <w:shd w:val="clear" w:color="auto" w:fill="FFF4CC"/>
          </w:tcPr>
          <w:p w14:paraId="137A387E" w14:textId="77777777" w:rsidR="000A7D9D" w:rsidRPr="00EC1412" w:rsidRDefault="000A7D9D" w:rsidP="00F31937">
            <w:pPr>
              <w:jc w:val="right"/>
              <w:rPr>
                <w:caps/>
                <w:noProof/>
                <w:sz w:val="18"/>
                <w:szCs w:val="18"/>
              </w:rPr>
            </w:pPr>
            <w:r w:rsidRPr="00EC1412">
              <w:rPr>
                <w:caps/>
                <w:noProof/>
                <w:sz w:val="18"/>
                <w:szCs w:val="18"/>
              </w:rPr>
              <w:t>1</w:t>
            </w:r>
          </w:p>
        </w:tc>
        <w:tc>
          <w:tcPr>
            <w:tcW w:w="1984" w:type="dxa"/>
            <w:tcBorders>
              <w:top w:val="dotted" w:sz="4" w:space="0" w:color="auto"/>
              <w:left w:val="dotted" w:sz="4" w:space="0" w:color="auto"/>
              <w:bottom w:val="dotted" w:sz="4" w:space="0" w:color="auto"/>
              <w:right w:val="dotted" w:sz="4" w:space="0" w:color="auto"/>
            </w:tcBorders>
            <w:shd w:val="clear" w:color="auto" w:fill="FFF4CC"/>
          </w:tcPr>
          <w:p w14:paraId="52D5E5FB" w14:textId="77777777" w:rsidR="000A7D9D" w:rsidRPr="00EC1412" w:rsidRDefault="000A7D9D" w:rsidP="00F31937">
            <w:pPr>
              <w:jc w:val="right"/>
              <w:rPr>
                <w:caps/>
                <w:noProof/>
                <w:sz w:val="18"/>
                <w:szCs w:val="18"/>
              </w:rPr>
            </w:pPr>
            <w:r w:rsidRPr="00EC1412">
              <w:rPr>
                <w:caps/>
                <w:noProof/>
                <w:sz w:val="18"/>
                <w:szCs w:val="18"/>
              </w:rPr>
              <w:t>1</w:t>
            </w:r>
          </w:p>
        </w:tc>
        <w:tc>
          <w:tcPr>
            <w:tcW w:w="2126" w:type="dxa"/>
            <w:tcBorders>
              <w:top w:val="dotted" w:sz="4" w:space="0" w:color="auto"/>
              <w:left w:val="dotted" w:sz="4" w:space="0" w:color="auto"/>
              <w:bottom w:val="dotted" w:sz="4" w:space="0" w:color="auto"/>
            </w:tcBorders>
            <w:shd w:val="clear" w:color="auto" w:fill="FFF4CC"/>
          </w:tcPr>
          <w:p w14:paraId="72E4AE77" w14:textId="77777777" w:rsidR="000A7D9D" w:rsidRPr="00EC1412" w:rsidRDefault="000A7D9D" w:rsidP="00F31937">
            <w:pPr>
              <w:jc w:val="right"/>
              <w:rPr>
                <w:noProof/>
                <w:sz w:val="18"/>
                <w:szCs w:val="18"/>
              </w:rPr>
            </w:pPr>
            <w:r w:rsidRPr="00EC1412">
              <w:rPr>
                <w:noProof/>
                <w:sz w:val="18"/>
                <w:szCs w:val="18"/>
              </w:rPr>
              <w:t>-</w:t>
            </w:r>
          </w:p>
        </w:tc>
      </w:tr>
      <w:tr w:rsidR="000A7D9D" w:rsidRPr="00EC1412" w14:paraId="18C2DE1E" w14:textId="77777777" w:rsidTr="00F31937">
        <w:tc>
          <w:tcPr>
            <w:tcW w:w="3544" w:type="dxa"/>
            <w:tcBorders>
              <w:top w:val="dotted" w:sz="4" w:space="0" w:color="auto"/>
              <w:bottom w:val="dotted" w:sz="4" w:space="0" w:color="auto"/>
              <w:right w:val="dotted" w:sz="4" w:space="0" w:color="auto"/>
            </w:tcBorders>
            <w:shd w:val="clear" w:color="auto" w:fill="FFF4CC"/>
          </w:tcPr>
          <w:p w14:paraId="618A7A2E" w14:textId="77777777" w:rsidR="000A7D9D" w:rsidRPr="00EC1412" w:rsidRDefault="000A7D9D" w:rsidP="000A7D9D">
            <w:pPr>
              <w:pStyle w:val="ListParagraph"/>
              <w:numPr>
                <w:ilvl w:val="0"/>
                <w:numId w:val="15"/>
              </w:numPr>
              <w:ind w:left="284" w:hanging="142"/>
              <w:jc w:val="both"/>
              <w:rPr>
                <w:noProof/>
                <w:sz w:val="18"/>
                <w:szCs w:val="18"/>
              </w:rPr>
            </w:pPr>
            <w:r w:rsidRPr="00EC1412">
              <w:rPr>
                <w:noProof/>
                <w:sz w:val="18"/>
                <w:szCs w:val="18"/>
              </w:rPr>
              <w:t xml:space="preserve">Annex II Ground Water Directive </w:t>
            </w:r>
          </w:p>
        </w:tc>
        <w:tc>
          <w:tcPr>
            <w:tcW w:w="1418" w:type="dxa"/>
            <w:tcBorders>
              <w:top w:val="dotted" w:sz="4" w:space="0" w:color="auto"/>
              <w:left w:val="dotted" w:sz="4" w:space="0" w:color="auto"/>
              <w:bottom w:val="dotted" w:sz="4" w:space="0" w:color="auto"/>
              <w:right w:val="dotted" w:sz="4" w:space="0" w:color="auto"/>
            </w:tcBorders>
            <w:shd w:val="clear" w:color="auto" w:fill="FFF4CC"/>
          </w:tcPr>
          <w:p w14:paraId="187E2528" w14:textId="77777777" w:rsidR="000A7D9D" w:rsidRPr="00EC1412" w:rsidRDefault="000A7D9D" w:rsidP="00F31937">
            <w:pPr>
              <w:jc w:val="right"/>
              <w:rPr>
                <w:caps/>
                <w:noProof/>
                <w:sz w:val="18"/>
                <w:szCs w:val="18"/>
              </w:rPr>
            </w:pPr>
            <w:r w:rsidRPr="00EC1412">
              <w:rPr>
                <w:caps/>
                <w:noProof/>
                <w:sz w:val="18"/>
                <w:szCs w:val="18"/>
              </w:rPr>
              <w:t>1</w:t>
            </w:r>
          </w:p>
        </w:tc>
        <w:tc>
          <w:tcPr>
            <w:tcW w:w="1984" w:type="dxa"/>
            <w:tcBorders>
              <w:top w:val="dotted" w:sz="4" w:space="0" w:color="auto"/>
              <w:left w:val="dotted" w:sz="4" w:space="0" w:color="auto"/>
              <w:bottom w:val="dotted" w:sz="4" w:space="0" w:color="auto"/>
              <w:right w:val="dotted" w:sz="4" w:space="0" w:color="auto"/>
            </w:tcBorders>
            <w:shd w:val="clear" w:color="auto" w:fill="FFF4CC"/>
          </w:tcPr>
          <w:p w14:paraId="3A643F55" w14:textId="77777777" w:rsidR="000A7D9D" w:rsidRPr="00EC1412" w:rsidRDefault="000A7D9D" w:rsidP="00F31937">
            <w:pPr>
              <w:jc w:val="right"/>
              <w:rPr>
                <w:caps/>
                <w:noProof/>
                <w:sz w:val="18"/>
                <w:szCs w:val="18"/>
              </w:rPr>
            </w:pPr>
            <w:r w:rsidRPr="00EC1412">
              <w:rPr>
                <w:caps/>
                <w:noProof/>
                <w:sz w:val="18"/>
                <w:szCs w:val="18"/>
              </w:rPr>
              <w:t>1</w:t>
            </w:r>
          </w:p>
        </w:tc>
        <w:tc>
          <w:tcPr>
            <w:tcW w:w="2126" w:type="dxa"/>
            <w:tcBorders>
              <w:top w:val="dotted" w:sz="4" w:space="0" w:color="auto"/>
              <w:left w:val="dotted" w:sz="4" w:space="0" w:color="auto"/>
              <w:bottom w:val="dotted" w:sz="4" w:space="0" w:color="auto"/>
            </w:tcBorders>
            <w:shd w:val="clear" w:color="auto" w:fill="FFF4CC"/>
          </w:tcPr>
          <w:p w14:paraId="32DE6484" w14:textId="77777777" w:rsidR="000A7D9D" w:rsidRPr="00EC1412" w:rsidRDefault="000A7D9D" w:rsidP="00F31937">
            <w:pPr>
              <w:jc w:val="right"/>
              <w:rPr>
                <w:noProof/>
                <w:sz w:val="18"/>
                <w:szCs w:val="18"/>
              </w:rPr>
            </w:pPr>
            <w:r w:rsidRPr="00EC1412">
              <w:rPr>
                <w:noProof/>
                <w:sz w:val="18"/>
                <w:szCs w:val="18"/>
              </w:rPr>
              <w:t>-</w:t>
            </w:r>
          </w:p>
        </w:tc>
      </w:tr>
      <w:tr w:rsidR="000A7D9D" w:rsidRPr="00EC1412" w14:paraId="3319FF81" w14:textId="77777777" w:rsidTr="00F31937">
        <w:tc>
          <w:tcPr>
            <w:tcW w:w="3544" w:type="dxa"/>
            <w:tcBorders>
              <w:top w:val="dotted" w:sz="4" w:space="0" w:color="auto"/>
              <w:bottom w:val="dotted" w:sz="4" w:space="0" w:color="auto"/>
              <w:right w:val="dotted" w:sz="4" w:space="0" w:color="auto"/>
            </w:tcBorders>
            <w:shd w:val="clear" w:color="auto" w:fill="FFF4CC"/>
          </w:tcPr>
          <w:p w14:paraId="06CFE74A" w14:textId="77777777" w:rsidR="000A7D9D" w:rsidRPr="00EC1412" w:rsidRDefault="000A7D9D" w:rsidP="000A7D9D">
            <w:pPr>
              <w:pStyle w:val="ListParagraph"/>
              <w:numPr>
                <w:ilvl w:val="0"/>
                <w:numId w:val="15"/>
              </w:numPr>
              <w:ind w:left="284" w:hanging="142"/>
              <w:jc w:val="both"/>
              <w:rPr>
                <w:noProof/>
                <w:sz w:val="18"/>
                <w:szCs w:val="18"/>
              </w:rPr>
            </w:pPr>
            <w:r w:rsidRPr="00EC1412">
              <w:rPr>
                <w:noProof/>
                <w:sz w:val="18"/>
                <w:szCs w:val="18"/>
              </w:rPr>
              <w:t>Annex I EQS Directive</w:t>
            </w:r>
          </w:p>
        </w:tc>
        <w:tc>
          <w:tcPr>
            <w:tcW w:w="1418" w:type="dxa"/>
            <w:tcBorders>
              <w:top w:val="dotted" w:sz="4" w:space="0" w:color="auto"/>
              <w:left w:val="dotted" w:sz="4" w:space="0" w:color="auto"/>
              <w:bottom w:val="dotted" w:sz="4" w:space="0" w:color="auto"/>
              <w:right w:val="dotted" w:sz="4" w:space="0" w:color="auto"/>
            </w:tcBorders>
            <w:shd w:val="clear" w:color="auto" w:fill="FFF4CC"/>
          </w:tcPr>
          <w:p w14:paraId="70E8B2CF" w14:textId="77777777" w:rsidR="000A7D9D" w:rsidRPr="00EC1412" w:rsidRDefault="000A7D9D" w:rsidP="00F31937">
            <w:pPr>
              <w:jc w:val="right"/>
              <w:rPr>
                <w:caps/>
                <w:noProof/>
                <w:sz w:val="18"/>
                <w:szCs w:val="18"/>
              </w:rPr>
            </w:pPr>
            <w:r w:rsidRPr="00EC1412">
              <w:rPr>
                <w:caps/>
                <w:noProof/>
                <w:sz w:val="18"/>
                <w:szCs w:val="18"/>
              </w:rPr>
              <w:t>4</w:t>
            </w:r>
          </w:p>
        </w:tc>
        <w:tc>
          <w:tcPr>
            <w:tcW w:w="1984" w:type="dxa"/>
            <w:tcBorders>
              <w:top w:val="dotted" w:sz="4" w:space="0" w:color="auto"/>
              <w:left w:val="dotted" w:sz="4" w:space="0" w:color="auto"/>
              <w:bottom w:val="dotted" w:sz="4" w:space="0" w:color="auto"/>
              <w:right w:val="dotted" w:sz="4" w:space="0" w:color="auto"/>
            </w:tcBorders>
            <w:shd w:val="clear" w:color="auto" w:fill="FFF4CC"/>
          </w:tcPr>
          <w:p w14:paraId="2A20A07E" w14:textId="77777777" w:rsidR="000A7D9D" w:rsidRPr="00EC1412" w:rsidRDefault="000A7D9D" w:rsidP="00F31937">
            <w:pPr>
              <w:jc w:val="right"/>
              <w:rPr>
                <w:caps/>
                <w:noProof/>
                <w:sz w:val="18"/>
                <w:szCs w:val="18"/>
              </w:rPr>
            </w:pPr>
            <w:r w:rsidRPr="00EC1412">
              <w:rPr>
                <w:caps/>
                <w:noProof/>
                <w:sz w:val="18"/>
                <w:szCs w:val="18"/>
              </w:rPr>
              <w:t>4</w:t>
            </w:r>
          </w:p>
        </w:tc>
        <w:tc>
          <w:tcPr>
            <w:tcW w:w="2126" w:type="dxa"/>
            <w:tcBorders>
              <w:top w:val="dotted" w:sz="4" w:space="0" w:color="auto"/>
              <w:left w:val="dotted" w:sz="4" w:space="0" w:color="auto"/>
              <w:bottom w:val="dotted" w:sz="4" w:space="0" w:color="auto"/>
            </w:tcBorders>
            <w:shd w:val="clear" w:color="auto" w:fill="FFF4CC"/>
          </w:tcPr>
          <w:p w14:paraId="40B9CDD3" w14:textId="77777777" w:rsidR="000A7D9D" w:rsidRPr="00EC1412" w:rsidRDefault="000A7D9D" w:rsidP="00F31937">
            <w:pPr>
              <w:jc w:val="right"/>
              <w:rPr>
                <w:noProof/>
                <w:sz w:val="18"/>
                <w:szCs w:val="18"/>
              </w:rPr>
            </w:pPr>
            <w:r w:rsidRPr="00EC1412">
              <w:rPr>
                <w:noProof/>
                <w:sz w:val="18"/>
                <w:szCs w:val="18"/>
              </w:rPr>
              <w:t>-</w:t>
            </w:r>
          </w:p>
        </w:tc>
      </w:tr>
      <w:tr w:rsidR="000A7D9D" w:rsidRPr="00EC1412" w14:paraId="3E0FEE4F" w14:textId="77777777" w:rsidTr="00F31937">
        <w:tc>
          <w:tcPr>
            <w:tcW w:w="3544" w:type="dxa"/>
            <w:tcBorders>
              <w:top w:val="dotted" w:sz="4" w:space="0" w:color="auto"/>
              <w:bottom w:val="single" w:sz="4" w:space="0" w:color="auto"/>
              <w:right w:val="dotted" w:sz="4" w:space="0" w:color="auto"/>
            </w:tcBorders>
            <w:shd w:val="clear" w:color="auto" w:fill="FFF4CC"/>
          </w:tcPr>
          <w:p w14:paraId="076BC844" w14:textId="77777777" w:rsidR="000A7D9D" w:rsidRPr="00EC1412" w:rsidRDefault="000A7D9D" w:rsidP="000A7D9D">
            <w:pPr>
              <w:pStyle w:val="ListParagraph"/>
              <w:numPr>
                <w:ilvl w:val="0"/>
                <w:numId w:val="15"/>
              </w:numPr>
              <w:ind w:left="284" w:hanging="142"/>
              <w:jc w:val="both"/>
              <w:rPr>
                <w:noProof/>
                <w:sz w:val="18"/>
                <w:szCs w:val="18"/>
              </w:rPr>
            </w:pPr>
            <w:r w:rsidRPr="00EC1412">
              <w:rPr>
                <w:noProof/>
                <w:sz w:val="18"/>
                <w:szCs w:val="18"/>
              </w:rPr>
              <w:t xml:space="preserve">Annex II EQS Directive </w:t>
            </w:r>
          </w:p>
        </w:tc>
        <w:tc>
          <w:tcPr>
            <w:tcW w:w="1418" w:type="dxa"/>
            <w:tcBorders>
              <w:top w:val="dotted" w:sz="4" w:space="0" w:color="auto"/>
              <w:left w:val="dotted" w:sz="4" w:space="0" w:color="auto"/>
              <w:bottom w:val="single" w:sz="4" w:space="0" w:color="auto"/>
              <w:right w:val="dotted" w:sz="4" w:space="0" w:color="auto"/>
            </w:tcBorders>
            <w:shd w:val="clear" w:color="auto" w:fill="FFF4CC"/>
          </w:tcPr>
          <w:p w14:paraId="4CEE885B" w14:textId="77777777" w:rsidR="000A7D9D" w:rsidRPr="00EC1412" w:rsidRDefault="000A7D9D" w:rsidP="00F31937">
            <w:pPr>
              <w:jc w:val="right"/>
              <w:rPr>
                <w:caps/>
                <w:noProof/>
                <w:sz w:val="18"/>
                <w:szCs w:val="18"/>
              </w:rPr>
            </w:pPr>
            <w:r w:rsidRPr="00EC1412">
              <w:rPr>
                <w:caps/>
                <w:noProof/>
                <w:sz w:val="18"/>
                <w:szCs w:val="18"/>
              </w:rPr>
              <w:t>1</w:t>
            </w:r>
          </w:p>
        </w:tc>
        <w:tc>
          <w:tcPr>
            <w:tcW w:w="1984" w:type="dxa"/>
            <w:tcBorders>
              <w:top w:val="dotted" w:sz="4" w:space="0" w:color="auto"/>
              <w:left w:val="dotted" w:sz="4" w:space="0" w:color="auto"/>
              <w:bottom w:val="single" w:sz="4" w:space="0" w:color="auto"/>
              <w:right w:val="dotted" w:sz="4" w:space="0" w:color="auto"/>
            </w:tcBorders>
            <w:shd w:val="clear" w:color="auto" w:fill="FFF4CC"/>
          </w:tcPr>
          <w:p w14:paraId="75F1F8FA" w14:textId="77777777" w:rsidR="000A7D9D" w:rsidRPr="00EC1412" w:rsidRDefault="000A7D9D" w:rsidP="00F31937">
            <w:pPr>
              <w:jc w:val="right"/>
              <w:rPr>
                <w:caps/>
                <w:noProof/>
                <w:sz w:val="18"/>
                <w:szCs w:val="18"/>
              </w:rPr>
            </w:pPr>
            <w:r w:rsidRPr="00EC1412">
              <w:rPr>
                <w:caps/>
                <w:noProof/>
                <w:sz w:val="18"/>
                <w:szCs w:val="18"/>
              </w:rPr>
              <w:t>1</w:t>
            </w:r>
          </w:p>
        </w:tc>
        <w:tc>
          <w:tcPr>
            <w:tcW w:w="2126" w:type="dxa"/>
            <w:tcBorders>
              <w:top w:val="dotted" w:sz="4" w:space="0" w:color="auto"/>
              <w:left w:val="dotted" w:sz="4" w:space="0" w:color="auto"/>
              <w:bottom w:val="single" w:sz="4" w:space="0" w:color="auto"/>
            </w:tcBorders>
            <w:shd w:val="clear" w:color="auto" w:fill="FFF4CC"/>
          </w:tcPr>
          <w:p w14:paraId="5EE97A91" w14:textId="77777777" w:rsidR="000A7D9D" w:rsidRPr="00EC1412" w:rsidRDefault="000A7D9D" w:rsidP="00F31937">
            <w:pPr>
              <w:jc w:val="right"/>
              <w:rPr>
                <w:noProof/>
                <w:sz w:val="18"/>
                <w:szCs w:val="18"/>
              </w:rPr>
            </w:pPr>
            <w:r w:rsidRPr="00EC1412">
              <w:rPr>
                <w:noProof/>
                <w:sz w:val="18"/>
                <w:szCs w:val="18"/>
              </w:rPr>
              <w:t>-</w:t>
            </w:r>
          </w:p>
        </w:tc>
      </w:tr>
      <w:tr w:rsidR="000A7D9D" w:rsidRPr="00EC1412" w14:paraId="1AA07B8E" w14:textId="77777777" w:rsidTr="00F31937">
        <w:tc>
          <w:tcPr>
            <w:tcW w:w="3544" w:type="dxa"/>
            <w:tcBorders>
              <w:top w:val="single" w:sz="4" w:space="0" w:color="auto"/>
              <w:bottom w:val="dotted" w:sz="4" w:space="0" w:color="auto"/>
              <w:right w:val="dotted" w:sz="4" w:space="0" w:color="auto"/>
            </w:tcBorders>
            <w:shd w:val="clear" w:color="auto" w:fill="C1ECFF"/>
          </w:tcPr>
          <w:p w14:paraId="04361A2E" w14:textId="77777777" w:rsidR="000A7D9D" w:rsidRPr="00EC1412" w:rsidRDefault="000A7D9D" w:rsidP="00F31937">
            <w:pPr>
              <w:jc w:val="both"/>
              <w:rPr>
                <w:noProof/>
                <w:sz w:val="18"/>
                <w:szCs w:val="18"/>
              </w:rPr>
            </w:pPr>
            <w:r w:rsidRPr="00EC1412">
              <w:rPr>
                <w:noProof/>
                <w:sz w:val="18"/>
                <w:szCs w:val="18"/>
              </w:rPr>
              <w:t>CLP Regulation</w:t>
            </w:r>
          </w:p>
        </w:tc>
        <w:tc>
          <w:tcPr>
            <w:tcW w:w="1418" w:type="dxa"/>
            <w:tcBorders>
              <w:top w:val="single" w:sz="4" w:space="0" w:color="auto"/>
              <w:left w:val="dotted" w:sz="4" w:space="0" w:color="auto"/>
              <w:bottom w:val="dotted" w:sz="4" w:space="0" w:color="auto"/>
              <w:right w:val="dotted" w:sz="4" w:space="0" w:color="auto"/>
            </w:tcBorders>
            <w:shd w:val="clear" w:color="auto" w:fill="C1ECFF"/>
          </w:tcPr>
          <w:p w14:paraId="2A970325" w14:textId="77777777" w:rsidR="000A7D9D" w:rsidRPr="00EC1412" w:rsidRDefault="000A7D9D" w:rsidP="00F31937">
            <w:pPr>
              <w:jc w:val="right"/>
              <w:rPr>
                <w:caps/>
                <w:noProof/>
                <w:sz w:val="18"/>
                <w:szCs w:val="18"/>
              </w:rPr>
            </w:pPr>
          </w:p>
        </w:tc>
        <w:tc>
          <w:tcPr>
            <w:tcW w:w="1984" w:type="dxa"/>
            <w:tcBorders>
              <w:top w:val="single" w:sz="4" w:space="0" w:color="auto"/>
              <w:left w:val="dotted" w:sz="4" w:space="0" w:color="auto"/>
              <w:bottom w:val="dotted" w:sz="4" w:space="0" w:color="auto"/>
              <w:right w:val="dotted" w:sz="4" w:space="0" w:color="auto"/>
            </w:tcBorders>
            <w:shd w:val="clear" w:color="auto" w:fill="C1ECFF"/>
          </w:tcPr>
          <w:p w14:paraId="7E607143" w14:textId="77777777" w:rsidR="000A7D9D" w:rsidRPr="00EC1412" w:rsidRDefault="000A7D9D" w:rsidP="00F31937">
            <w:pPr>
              <w:jc w:val="right"/>
              <w:rPr>
                <w:caps/>
                <w:noProof/>
                <w:sz w:val="18"/>
                <w:szCs w:val="18"/>
              </w:rPr>
            </w:pPr>
          </w:p>
        </w:tc>
        <w:tc>
          <w:tcPr>
            <w:tcW w:w="2126" w:type="dxa"/>
            <w:tcBorders>
              <w:top w:val="single" w:sz="4" w:space="0" w:color="auto"/>
              <w:left w:val="dotted" w:sz="4" w:space="0" w:color="auto"/>
              <w:bottom w:val="dotted" w:sz="4" w:space="0" w:color="auto"/>
            </w:tcBorders>
            <w:shd w:val="clear" w:color="auto" w:fill="C1ECFF"/>
          </w:tcPr>
          <w:p w14:paraId="54E61AD7" w14:textId="77777777" w:rsidR="000A7D9D" w:rsidRPr="00EC1412" w:rsidRDefault="000A7D9D" w:rsidP="00F31937">
            <w:pPr>
              <w:jc w:val="right"/>
              <w:rPr>
                <w:noProof/>
                <w:sz w:val="18"/>
                <w:szCs w:val="18"/>
              </w:rPr>
            </w:pPr>
          </w:p>
        </w:tc>
      </w:tr>
      <w:tr w:rsidR="000A7D9D" w:rsidRPr="00EC1412" w14:paraId="589A8E85" w14:textId="77777777" w:rsidTr="00F31937">
        <w:tc>
          <w:tcPr>
            <w:tcW w:w="3544" w:type="dxa"/>
            <w:tcBorders>
              <w:top w:val="dotted" w:sz="4" w:space="0" w:color="auto"/>
              <w:bottom w:val="single" w:sz="4" w:space="0" w:color="auto"/>
              <w:right w:val="dotted" w:sz="4" w:space="0" w:color="auto"/>
            </w:tcBorders>
            <w:shd w:val="clear" w:color="auto" w:fill="C1ECFF"/>
          </w:tcPr>
          <w:p w14:paraId="19B0BB13" w14:textId="77777777" w:rsidR="000A7D9D" w:rsidRPr="00EC1412" w:rsidRDefault="000A7D9D" w:rsidP="000A7D9D">
            <w:pPr>
              <w:pStyle w:val="ListParagraph"/>
              <w:numPr>
                <w:ilvl w:val="0"/>
                <w:numId w:val="15"/>
              </w:numPr>
              <w:ind w:left="284" w:hanging="142"/>
              <w:rPr>
                <w:noProof/>
                <w:sz w:val="18"/>
                <w:szCs w:val="18"/>
              </w:rPr>
            </w:pPr>
            <w:r w:rsidRPr="00EC1412">
              <w:rPr>
                <w:noProof/>
                <w:sz w:val="18"/>
                <w:szCs w:val="18"/>
              </w:rPr>
              <w:t xml:space="preserve">COM request for new hazard classes </w:t>
            </w:r>
          </w:p>
        </w:tc>
        <w:tc>
          <w:tcPr>
            <w:tcW w:w="1418" w:type="dxa"/>
            <w:tcBorders>
              <w:top w:val="dotted" w:sz="4" w:space="0" w:color="auto"/>
              <w:left w:val="dotted" w:sz="4" w:space="0" w:color="auto"/>
              <w:bottom w:val="single" w:sz="4" w:space="0" w:color="auto"/>
              <w:right w:val="dotted" w:sz="4" w:space="0" w:color="auto"/>
            </w:tcBorders>
            <w:shd w:val="clear" w:color="auto" w:fill="C1ECFF"/>
          </w:tcPr>
          <w:p w14:paraId="2C057C21" w14:textId="77777777" w:rsidR="000A7D9D" w:rsidRPr="00EC1412" w:rsidRDefault="000A7D9D" w:rsidP="00F31937">
            <w:pPr>
              <w:jc w:val="right"/>
              <w:rPr>
                <w:caps/>
                <w:noProof/>
                <w:sz w:val="18"/>
                <w:szCs w:val="18"/>
              </w:rPr>
            </w:pPr>
            <w:r>
              <w:rPr>
                <w:caps/>
                <w:noProof/>
                <w:sz w:val="18"/>
                <w:szCs w:val="18"/>
              </w:rPr>
              <w:t>13.</w:t>
            </w:r>
            <w:r w:rsidRPr="00EC1412">
              <w:rPr>
                <w:caps/>
                <w:noProof/>
                <w:sz w:val="18"/>
                <w:szCs w:val="18"/>
              </w:rPr>
              <w:t>5</w:t>
            </w:r>
          </w:p>
        </w:tc>
        <w:tc>
          <w:tcPr>
            <w:tcW w:w="1984" w:type="dxa"/>
            <w:tcBorders>
              <w:top w:val="dotted" w:sz="4" w:space="0" w:color="auto"/>
              <w:left w:val="dotted" w:sz="4" w:space="0" w:color="auto"/>
              <w:bottom w:val="single" w:sz="4" w:space="0" w:color="auto"/>
              <w:right w:val="dotted" w:sz="4" w:space="0" w:color="auto"/>
            </w:tcBorders>
            <w:shd w:val="clear" w:color="auto" w:fill="C1ECFF"/>
          </w:tcPr>
          <w:p w14:paraId="6977C89D" w14:textId="77777777" w:rsidR="000A7D9D" w:rsidRPr="00EC1412" w:rsidRDefault="000A7D9D" w:rsidP="00F31937">
            <w:pPr>
              <w:jc w:val="right"/>
              <w:rPr>
                <w:caps/>
                <w:noProof/>
                <w:sz w:val="18"/>
                <w:szCs w:val="18"/>
              </w:rPr>
            </w:pPr>
            <w:r w:rsidRPr="00EC1412">
              <w:rPr>
                <w:caps/>
                <w:noProof/>
                <w:sz w:val="18"/>
                <w:szCs w:val="18"/>
              </w:rPr>
              <w:t>-</w:t>
            </w:r>
          </w:p>
        </w:tc>
        <w:tc>
          <w:tcPr>
            <w:tcW w:w="2126" w:type="dxa"/>
            <w:tcBorders>
              <w:top w:val="dotted" w:sz="4" w:space="0" w:color="auto"/>
              <w:left w:val="dotted" w:sz="4" w:space="0" w:color="auto"/>
              <w:bottom w:val="single" w:sz="4" w:space="0" w:color="auto"/>
            </w:tcBorders>
            <w:shd w:val="clear" w:color="auto" w:fill="C1ECFF"/>
          </w:tcPr>
          <w:p w14:paraId="33582BF1" w14:textId="77777777" w:rsidR="000A7D9D" w:rsidRPr="00EC1412" w:rsidRDefault="000A7D9D" w:rsidP="00F31937">
            <w:pPr>
              <w:jc w:val="right"/>
              <w:rPr>
                <w:noProof/>
                <w:sz w:val="18"/>
                <w:szCs w:val="18"/>
              </w:rPr>
            </w:pPr>
            <w:r w:rsidRPr="00EC1412">
              <w:rPr>
                <w:noProof/>
                <w:sz w:val="18"/>
                <w:szCs w:val="18"/>
              </w:rPr>
              <w:t>-</w:t>
            </w:r>
          </w:p>
        </w:tc>
      </w:tr>
      <w:tr w:rsidR="000A7D9D" w:rsidRPr="00EC1412" w14:paraId="54F40E47" w14:textId="77777777" w:rsidTr="00F31937">
        <w:tc>
          <w:tcPr>
            <w:tcW w:w="3544" w:type="dxa"/>
            <w:tcBorders>
              <w:top w:val="single" w:sz="4" w:space="0" w:color="auto"/>
              <w:bottom w:val="dotted" w:sz="4" w:space="0" w:color="auto"/>
              <w:right w:val="dotted" w:sz="4" w:space="0" w:color="auto"/>
            </w:tcBorders>
            <w:shd w:val="clear" w:color="auto" w:fill="FFF4CC"/>
          </w:tcPr>
          <w:p w14:paraId="3C5A7994" w14:textId="77777777" w:rsidR="000A7D9D" w:rsidRPr="00EC1412" w:rsidRDefault="000A7D9D" w:rsidP="00F31937">
            <w:pPr>
              <w:jc w:val="both"/>
              <w:rPr>
                <w:noProof/>
                <w:sz w:val="18"/>
                <w:szCs w:val="18"/>
              </w:rPr>
            </w:pPr>
            <w:r w:rsidRPr="00EC1412">
              <w:rPr>
                <w:noProof/>
                <w:sz w:val="18"/>
                <w:szCs w:val="18"/>
              </w:rPr>
              <w:t>RoHS directive</w:t>
            </w:r>
          </w:p>
        </w:tc>
        <w:tc>
          <w:tcPr>
            <w:tcW w:w="1418" w:type="dxa"/>
            <w:tcBorders>
              <w:top w:val="single" w:sz="4" w:space="0" w:color="auto"/>
              <w:left w:val="dotted" w:sz="4" w:space="0" w:color="auto"/>
              <w:bottom w:val="dotted" w:sz="4" w:space="0" w:color="auto"/>
              <w:right w:val="dotted" w:sz="4" w:space="0" w:color="auto"/>
            </w:tcBorders>
            <w:shd w:val="clear" w:color="auto" w:fill="FFF4CC"/>
          </w:tcPr>
          <w:p w14:paraId="75F706DE" w14:textId="77777777" w:rsidR="000A7D9D" w:rsidRPr="00EC1412" w:rsidRDefault="000A7D9D" w:rsidP="00F31937">
            <w:pPr>
              <w:jc w:val="right"/>
              <w:rPr>
                <w:caps/>
                <w:noProof/>
                <w:sz w:val="18"/>
                <w:szCs w:val="18"/>
              </w:rPr>
            </w:pPr>
          </w:p>
        </w:tc>
        <w:tc>
          <w:tcPr>
            <w:tcW w:w="1984" w:type="dxa"/>
            <w:tcBorders>
              <w:top w:val="single" w:sz="4" w:space="0" w:color="auto"/>
              <w:left w:val="dotted" w:sz="4" w:space="0" w:color="auto"/>
              <w:bottom w:val="dotted" w:sz="4" w:space="0" w:color="auto"/>
              <w:right w:val="dotted" w:sz="4" w:space="0" w:color="auto"/>
            </w:tcBorders>
            <w:shd w:val="clear" w:color="auto" w:fill="FFF4CC"/>
          </w:tcPr>
          <w:p w14:paraId="20CF6644" w14:textId="77777777" w:rsidR="000A7D9D" w:rsidRPr="00EC1412" w:rsidRDefault="000A7D9D" w:rsidP="00F31937">
            <w:pPr>
              <w:jc w:val="right"/>
              <w:rPr>
                <w:caps/>
                <w:noProof/>
                <w:sz w:val="18"/>
                <w:szCs w:val="18"/>
              </w:rPr>
            </w:pPr>
          </w:p>
        </w:tc>
        <w:tc>
          <w:tcPr>
            <w:tcW w:w="2126" w:type="dxa"/>
            <w:tcBorders>
              <w:top w:val="single" w:sz="4" w:space="0" w:color="auto"/>
              <w:left w:val="dotted" w:sz="4" w:space="0" w:color="auto"/>
              <w:bottom w:val="dotted" w:sz="4" w:space="0" w:color="auto"/>
            </w:tcBorders>
            <w:shd w:val="clear" w:color="auto" w:fill="FFF4CC"/>
          </w:tcPr>
          <w:p w14:paraId="4F92FCAB" w14:textId="77777777" w:rsidR="000A7D9D" w:rsidRPr="00EC1412" w:rsidRDefault="000A7D9D" w:rsidP="00F31937">
            <w:pPr>
              <w:jc w:val="right"/>
              <w:rPr>
                <w:noProof/>
                <w:sz w:val="18"/>
                <w:szCs w:val="18"/>
              </w:rPr>
            </w:pPr>
          </w:p>
        </w:tc>
      </w:tr>
      <w:tr w:rsidR="000A7D9D" w:rsidRPr="00EC1412" w14:paraId="1F31245D" w14:textId="77777777" w:rsidTr="00F31937">
        <w:tc>
          <w:tcPr>
            <w:tcW w:w="3544" w:type="dxa"/>
            <w:tcBorders>
              <w:top w:val="dotted" w:sz="4" w:space="0" w:color="auto"/>
              <w:bottom w:val="dotted" w:sz="4" w:space="0" w:color="auto"/>
              <w:right w:val="dotted" w:sz="4" w:space="0" w:color="auto"/>
            </w:tcBorders>
            <w:shd w:val="clear" w:color="auto" w:fill="FFF4CC"/>
          </w:tcPr>
          <w:p w14:paraId="31D491AF" w14:textId="77777777" w:rsidR="000A7D9D" w:rsidRPr="00EC1412" w:rsidRDefault="000A7D9D" w:rsidP="000A7D9D">
            <w:pPr>
              <w:pStyle w:val="ListParagraph"/>
              <w:numPr>
                <w:ilvl w:val="0"/>
                <w:numId w:val="15"/>
              </w:numPr>
              <w:ind w:left="284" w:hanging="142"/>
              <w:jc w:val="both"/>
              <w:rPr>
                <w:noProof/>
                <w:sz w:val="18"/>
                <w:szCs w:val="18"/>
              </w:rPr>
            </w:pPr>
            <w:r w:rsidRPr="00EC1412">
              <w:rPr>
                <w:noProof/>
                <w:sz w:val="18"/>
                <w:szCs w:val="18"/>
              </w:rPr>
              <w:t xml:space="preserve">Restriction </w:t>
            </w:r>
          </w:p>
        </w:tc>
        <w:tc>
          <w:tcPr>
            <w:tcW w:w="1418" w:type="dxa"/>
            <w:tcBorders>
              <w:top w:val="dotted" w:sz="4" w:space="0" w:color="auto"/>
              <w:left w:val="dotted" w:sz="4" w:space="0" w:color="auto"/>
              <w:bottom w:val="dotted" w:sz="4" w:space="0" w:color="auto"/>
              <w:right w:val="dotted" w:sz="4" w:space="0" w:color="auto"/>
            </w:tcBorders>
            <w:shd w:val="clear" w:color="auto" w:fill="FFF4CC"/>
          </w:tcPr>
          <w:p w14:paraId="42E5C2E3" w14:textId="77777777" w:rsidR="000A7D9D" w:rsidRPr="00EC1412" w:rsidRDefault="000A7D9D" w:rsidP="00F31937">
            <w:pPr>
              <w:jc w:val="right"/>
              <w:rPr>
                <w:caps/>
                <w:noProof/>
                <w:sz w:val="18"/>
                <w:szCs w:val="18"/>
              </w:rPr>
            </w:pPr>
            <w:r w:rsidRPr="00EC1412">
              <w:rPr>
                <w:caps/>
                <w:noProof/>
                <w:sz w:val="18"/>
                <w:szCs w:val="18"/>
              </w:rPr>
              <w:t>1</w:t>
            </w:r>
          </w:p>
        </w:tc>
        <w:tc>
          <w:tcPr>
            <w:tcW w:w="1984" w:type="dxa"/>
            <w:tcBorders>
              <w:top w:val="dotted" w:sz="4" w:space="0" w:color="auto"/>
              <w:left w:val="dotted" w:sz="4" w:space="0" w:color="auto"/>
              <w:bottom w:val="dotted" w:sz="4" w:space="0" w:color="auto"/>
              <w:right w:val="dotted" w:sz="4" w:space="0" w:color="auto"/>
            </w:tcBorders>
            <w:shd w:val="clear" w:color="auto" w:fill="FFF4CC"/>
          </w:tcPr>
          <w:p w14:paraId="03724FEA" w14:textId="77777777" w:rsidR="000A7D9D" w:rsidRPr="00EC1412" w:rsidRDefault="000A7D9D" w:rsidP="00F31937">
            <w:pPr>
              <w:jc w:val="right"/>
              <w:rPr>
                <w:caps/>
                <w:noProof/>
                <w:sz w:val="18"/>
                <w:szCs w:val="18"/>
              </w:rPr>
            </w:pPr>
            <w:r w:rsidRPr="00EC1412">
              <w:rPr>
                <w:caps/>
                <w:noProof/>
                <w:sz w:val="18"/>
                <w:szCs w:val="18"/>
              </w:rPr>
              <w:t>1</w:t>
            </w:r>
          </w:p>
        </w:tc>
        <w:tc>
          <w:tcPr>
            <w:tcW w:w="2126" w:type="dxa"/>
            <w:tcBorders>
              <w:top w:val="dotted" w:sz="4" w:space="0" w:color="auto"/>
              <w:left w:val="dotted" w:sz="4" w:space="0" w:color="auto"/>
              <w:bottom w:val="dotted" w:sz="4" w:space="0" w:color="auto"/>
            </w:tcBorders>
            <w:shd w:val="clear" w:color="auto" w:fill="FFF4CC"/>
          </w:tcPr>
          <w:p w14:paraId="5370887E" w14:textId="77777777" w:rsidR="000A7D9D" w:rsidRPr="00EC1412" w:rsidRDefault="000A7D9D" w:rsidP="00F31937">
            <w:pPr>
              <w:jc w:val="right"/>
              <w:rPr>
                <w:noProof/>
                <w:sz w:val="18"/>
                <w:szCs w:val="18"/>
              </w:rPr>
            </w:pPr>
            <w:r w:rsidRPr="00EC1412">
              <w:rPr>
                <w:noProof/>
                <w:sz w:val="18"/>
                <w:szCs w:val="18"/>
              </w:rPr>
              <w:t>-</w:t>
            </w:r>
          </w:p>
        </w:tc>
      </w:tr>
      <w:tr w:rsidR="000A7D9D" w:rsidRPr="00EC1412" w14:paraId="39B5D66B" w14:textId="77777777" w:rsidTr="00F31937">
        <w:tc>
          <w:tcPr>
            <w:tcW w:w="3544" w:type="dxa"/>
            <w:tcBorders>
              <w:top w:val="dotted" w:sz="4" w:space="0" w:color="auto"/>
              <w:bottom w:val="single" w:sz="4" w:space="0" w:color="auto"/>
              <w:right w:val="dotted" w:sz="4" w:space="0" w:color="auto"/>
            </w:tcBorders>
            <w:shd w:val="clear" w:color="auto" w:fill="FFF4CC"/>
          </w:tcPr>
          <w:p w14:paraId="3B4CCE6A" w14:textId="77777777" w:rsidR="000A7D9D" w:rsidRPr="00EC1412" w:rsidRDefault="000A7D9D" w:rsidP="000A7D9D">
            <w:pPr>
              <w:pStyle w:val="ListParagraph"/>
              <w:numPr>
                <w:ilvl w:val="0"/>
                <w:numId w:val="15"/>
              </w:numPr>
              <w:ind w:left="284" w:hanging="142"/>
              <w:jc w:val="both"/>
              <w:rPr>
                <w:caps/>
                <w:noProof/>
                <w:sz w:val="18"/>
                <w:szCs w:val="18"/>
              </w:rPr>
            </w:pPr>
            <w:r w:rsidRPr="00EC1412">
              <w:rPr>
                <w:noProof/>
                <w:sz w:val="18"/>
                <w:szCs w:val="18"/>
              </w:rPr>
              <w:t xml:space="preserve">Request for exemption </w:t>
            </w:r>
          </w:p>
        </w:tc>
        <w:tc>
          <w:tcPr>
            <w:tcW w:w="1418" w:type="dxa"/>
            <w:tcBorders>
              <w:top w:val="dotted" w:sz="4" w:space="0" w:color="auto"/>
              <w:left w:val="dotted" w:sz="4" w:space="0" w:color="auto"/>
              <w:bottom w:val="single" w:sz="4" w:space="0" w:color="auto"/>
              <w:right w:val="dotted" w:sz="4" w:space="0" w:color="auto"/>
            </w:tcBorders>
            <w:shd w:val="clear" w:color="auto" w:fill="FFF4CC"/>
          </w:tcPr>
          <w:p w14:paraId="0C978F0E" w14:textId="77777777" w:rsidR="000A7D9D" w:rsidRPr="00EC1412" w:rsidRDefault="000A7D9D" w:rsidP="00F31937">
            <w:pPr>
              <w:jc w:val="right"/>
              <w:rPr>
                <w:caps/>
                <w:noProof/>
                <w:sz w:val="18"/>
                <w:szCs w:val="18"/>
              </w:rPr>
            </w:pPr>
            <w:r w:rsidRPr="00EC1412">
              <w:rPr>
                <w:caps/>
                <w:noProof/>
                <w:sz w:val="18"/>
                <w:szCs w:val="18"/>
              </w:rPr>
              <w:t>3</w:t>
            </w:r>
          </w:p>
        </w:tc>
        <w:tc>
          <w:tcPr>
            <w:tcW w:w="1984" w:type="dxa"/>
            <w:tcBorders>
              <w:top w:val="dotted" w:sz="4" w:space="0" w:color="auto"/>
              <w:left w:val="dotted" w:sz="4" w:space="0" w:color="auto"/>
              <w:bottom w:val="single" w:sz="4" w:space="0" w:color="auto"/>
              <w:right w:val="dotted" w:sz="4" w:space="0" w:color="auto"/>
            </w:tcBorders>
            <w:shd w:val="clear" w:color="auto" w:fill="FFF4CC"/>
          </w:tcPr>
          <w:p w14:paraId="2D57B7B2" w14:textId="77777777" w:rsidR="000A7D9D" w:rsidRPr="00EC1412" w:rsidRDefault="000A7D9D" w:rsidP="00F31937">
            <w:pPr>
              <w:jc w:val="right"/>
              <w:rPr>
                <w:caps/>
                <w:noProof/>
                <w:sz w:val="18"/>
                <w:szCs w:val="18"/>
              </w:rPr>
            </w:pPr>
            <w:r w:rsidRPr="00EC1412">
              <w:rPr>
                <w:noProof/>
                <w:sz w:val="18"/>
                <w:szCs w:val="18"/>
              </w:rPr>
              <w:t>30</w:t>
            </w:r>
          </w:p>
        </w:tc>
        <w:tc>
          <w:tcPr>
            <w:tcW w:w="2126" w:type="dxa"/>
            <w:tcBorders>
              <w:top w:val="dotted" w:sz="4" w:space="0" w:color="auto"/>
              <w:left w:val="dotted" w:sz="4" w:space="0" w:color="auto"/>
              <w:bottom w:val="single" w:sz="4" w:space="0" w:color="auto"/>
            </w:tcBorders>
            <w:shd w:val="clear" w:color="auto" w:fill="FFF4CC"/>
          </w:tcPr>
          <w:p w14:paraId="192EF691" w14:textId="77777777" w:rsidR="000A7D9D" w:rsidRPr="00EC1412" w:rsidRDefault="000A7D9D" w:rsidP="00F31937">
            <w:pPr>
              <w:jc w:val="right"/>
              <w:rPr>
                <w:noProof/>
                <w:sz w:val="18"/>
                <w:szCs w:val="18"/>
              </w:rPr>
            </w:pPr>
            <w:r w:rsidRPr="00EC1412">
              <w:rPr>
                <w:noProof/>
                <w:sz w:val="18"/>
                <w:szCs w:val="18"/>
              </w:rPr>
              <w:t>-</w:t>
            </w:r>
          </w:p>
        </w:tc>
      </w:tr>
      <w:tr w:rsidR="000A7D9D" w:rsidRPr="00EC1412" w14:paraId="34D5472A" w14:textId="77777777" w:rsidTr="00F31937">
        <w:tc>
          <w:tcPr>
            <w:tcW w:w="3544" w:type="dxa"/>
            <w:tcBorders>
              <w:top w:val="single" w:sz="4" w:space="0" w:color="auto"/>
              <w:bottom w:val="dotted" w:sz="4" w:space="0" w:color="auto"/>
              <w:right w:val="dotted" w:sz="4" w:space="0" w:color="auto"/>
            </w:tcBorders>
            <w:shd w:val="clear" w:color="auto" w:fill="C1ECFF"/>
          </w:tcPr>
          <w:p w14:paraId="0FEF9420" w14:textId="77777777" w:rsidR="000A7D9D" w:rsidRPr="00EC1412" w:rsidRDefault="000A7D9D" w:rsidP="00F31937">
            <w:pPr>
              <w:jc w:val="both"/>
              <w:rPr>
                <w:noProof/>
                <w:sz w:val="18"/>
                <w:szCs w:val="18"/>
              </w:rPr>
            </w:pPr>
            <w:r w:rsidRPr="00EC1412">
              <w:rPr>
                <w:noProof/>
                <w:sz w:val="18"/>
                <w:szCs w:val="18"/>
              </w:rPr>
              <w:t xml:space="preserve">POPs regulation </w:t>
            </w:r>
          </w:p>
        </w:tc>
        <w:tc>
          <w:tcPr>
            <w:tcW w:w="1418" w:type="dxa"/>
            <w:tcBorders>
              <w:top w:val="single" w:sz="4" w:space="0" w:color="auto"/>
              <w:left w:val="dotted" w:sz="4" w:space="0" w:color="auto"/>
              <w:bottom w:val="dotted" w:sz="4" w:space="0" w:color="auto"/>
              <w:right w:val="dotted" w:sz="4" w:space="0" w:color="auto"/>
            </w:tcBorders>
            <w:shd w:val="clear" w:color="auto" w:fill="C1ECFF"/>
          </w:tcPr>
          <w:p w14:paraId="75124D83" w14:textId="77777777" w:rsidR="000A7D9D" w:rsidRPr="00EC1412" w:rsidRDefault="000A7D9D" w:rsidP="00F31937">
            <w:pPr>
              <w:jc w:val="right"/>
              <w:rPr>
                <w:caps/>
                <w:noProof/>
                <w:sz w:val="18"/>
                <w:szCs w:val="18"/>
              </w:rPr>
            </w:pPr>
          </w:p>
        </w:tc>
        <w:tc>
          <w:tcPr>
            <w:tcW w:w="1984" w:type="dxa"/>
            <w:tcBorders>
              <w:top w:val="single" w:sz="4" w:space="0" w:color="auto"/>
              <w:left w:val="dotted" w:sz="4" w:space="0" w:color="auto"/>
              <w:bottom w:val="dotted" w:sz="4" w:space="0" w:color="auto"/>
              <w:right w:val="dotted" w:sz="4" w:space="0" w:color="auto"/>
            </w:tcBorders>
            <w:shd w:val="clear" w:color="auto" w:fill="C1ECFF"/>
          </w:tcPr>
          <w:p w14:paraId="5A349C24" w14:textId="77777777" w:rsidR="000A7D9D" w:rsidRPr="00EC1412" w:rsidRDefault="000A7D9D" w:rsidP="00F31937">
            <w:pPr>
              <w:jc w:val="right"/>
              <w:rPr>
                <w:caps/>
                <w:noProof/>
                <w:sz w:val="18"/>
                <w:szCs w:val="18"/>
              </w:rPr>
            </w:pPr>
          </w:p>
        </w:tc>
        <w:tc>
          <w:tcPr>
            <w:tcW w:w="2126" w:type="dxa"/>
            <w:tcBorders>
              <w:top w:val="single" w:sz="4" w:space="0" w:color="auto"/>
              <w:left w:val="dotted" w:sz="4" w:space="0" w:color="auto"/>
              <w:bottom w:val="dotted" w:sz="4" w:space="0" w:color="auto"/>
            </w:tcBorders>
            <w:shd w:val="clear" w:color="auto" w:fill="C1ECFF"/>
          </w:tcPr>
          <w:p w14:paraId="2F56ED2B" w14:textId="77777777" w:rsidR="000A7D9D" w:rsidRPr="00EC1412" w:rsidRDefault="000A7D9D" w:rsidP="00F31937">
            <w:pPr>
              <w:jc w:val="right"/>
              <w:rPr>
                <w:caps/>
                <w:noProof/>
                <w:sz w:val="18"/>
                <w:szCs w:val="18"/>
              </w:rPr>
            </w:pPr>
          </w:p>
        </w:tc>
      </w:tr>
      <w:tr w:rsidR="000A7D9D" w:rsidRPr="00EC1412" w14:paraId="0341419D" w14:textId="77777777" w:rsidTr="00F31937">
        <w:tc>
          <w:tcPr>
            <w:tcW w:w="3544" w:type="dxa"/>
            <w:tcBorders>
              <w:top w:val="dotted" w:sz="4" w:space="0" w:color="auto"/>
              <w:bottom w:val="single" w:sz="4" w:space="0" w:color="auto"/>
              <w:right w:val="dotted" w:sz="4" w:space="0" w:color="auto"/>
            </w:tcBorders>
            <w:shd w:val="clear" w:color="auto" w:fill="C1ECFF"/>
          </w:tcPr>
          <w:p w14:paraId="7517E71A" w14:textId="77777777" w:rsidR="000A7D9D" w:rsidRPr="00EC1412" w:rsidRDefault="000A7D9D" w:rsidP="000A7D9D">
            <w:pPr>
              <w:pStyle w:val="ListParagraph"/>
              <w:numPr>
                <w:ilvl w:val="0"/>
                <w:numId w:val="15"/>
              </w:numPr>
              <w:ind w:left="284" w:hanging="142"/>
              <w:jc w:val="both"/>
              <w:rPr>
                <w:caps/>
                <w:noProof/>
                <w:sz w:val="18"/>
                <w:szCs w:val="18"/>
              </w:rPr>
            </w:pPr>
            <w:r w:rsidRPr="00EC1412">
              <w:rPr>
                <w:noProof/>
                <w:sz w:val="18"/>
                <w:szCs w:val="18"/>
              </w:rPr>
              <w:t xml:space="preserve">Review of Annexes IV and V </w:t>
            </w:r>
          </w:p>
        </w:tc>
        <w:tc>
          <w:tcPr>
            <w:tcW w:w="1418" w:type="dxa"/>
            <w:tcBorders>
              <w:top w:val="dotted" w:sz="4" w:space="0" w:color="auto"/>
              <w:left w:val="dotted" w:sz="4" w:space="0" w:color="auto"/>
              <w:bottom w:val="single" w:sz="4" w:space="0" w:color="auto"/>
              <w:right w:val="dotted" w:sz="4" w:space="0" w:color="auto"/>
            </w:tcBorders>
            <w:shd w:val="clear" w:color="auto" w:fill="C1ECFF"/>
          </w:tcPr>
          <w:p w14:paraId="3109D046" w14:textId="77777777" w:rsidR="000A7D9D" w:rsidRPr="00EC1412" w:rsidRDefault="000A7D9D" w:rsidP="00F31937">
            <w:pPr>
              <w:jc w:val="right"/>
              <w:rPr>
                <w:caps/>
                <w:noProof/>
                <w:sz w:val="18"/>
                <w:szCs w:val="18"/>
              </w:rPr>
            </w:pPr>
            <w:r w:rsidRPr="00EC1412">
              <w:rPr>
                <w:caps/>
                <w:noProof/>
                <w:sz w:val="18"/>
                <w:szCs w:val="18"/>
              </w:rPr>
              <w:t>-</w:t>
            </w:r>
          </w:p>
        </w:tc>
        <w:tc>
          <w:tcPr>
            <w:tcW w:w="1984" w:type="dxa"/>
            <w:tcBorders>
              <w:top w:val="dotted" w:sz="4" w:space="0" w:color="auto"/>
              <w:left w:val="dotted" w:sz="4" w:space="0" w:color="auto"/>
              <w:bottom w:val="single" w:sz="4" w:space="0" w:color="auto"/>
              <w:right w:val="dotted" w:sz="4" w:space="0" w:color="auto"/>
            </w:tcBorders>
            <w:shd w:val="clear" w:color="auto" w:fill="C1ECFF"/>
          </w:tcPr>
          <w:p w14:paraId="6087E2C5" w14:textId="77777777" w:rsidR="000A7D9D" w:rsidRPr="00EC1412" w:rsidRDefault="000A7D9D" w:rsidP="00F31937">
            <w:pPr>
              <w:jc w:val="right"/>
              <w:rPr>
                <w:caps/>
                <w:noProof/>
                <w:sz w:val="18"/>
                <w:szCs w:val="18"/>
              </w:rPr>
            </w:pPr>
            <w:r w:rsidRPr="00EC1412">
              <w:rPr>
                <w:caps/>
                <w:noProof/>
                <w:sz w:val="18"/>
                <w:szCs w:val="18"/>
              </w:rPr>
              <w:t>2</w:t>
            </w:r>
          </w:p>
        </w:tc>
        <w:tc>
          <w:tcPr>
            <w:tcW w:w="2126" w:type="dxa"/>
            <w:tcBorders>
              <w:top w:val="dotted" w:sz="4" w:space="0" w:color="auto"/>
              <w:left w:val="dotted" w:sz="4" w:space="0" w:color="auto"/>
              <w:bottom w:val="single" w:sz="4" w:space="0" w:color="auto"/>
            </w:tcBorders>
            <w:shd w:val="clear" w:color="auto" w:fill="C1ECFF"/>
          </w:tcPr>
          <w:p w14:paraId="58139B7F" w14:textId="77777777" w:rsidR="000A7D9D" w:rsidRPr="00EC1412" w:rsidRDefault="000A7D9D" w:rsidP="00F31937">
            <w:pPr>
              <w:jc w:val="right"/>
              <w:rPr>
                <w:caps/>
                <w:noProof/>
                <w:sz w:val="18"/>
                <w:szCs w:val="18"/>
              </w:rPr>
            </w:pPr>
            <w:r w:rsidRPr="00EC1412">
              <w:rPr>
                <w:caps/>
                <w:noProof/>
                <w:sz w:val="18"/>
                <w:szCs w:val="18"/>
              </w:rPr>
              <w:t>-</w:t>
            </w:r>
          </w:p>
        </w:tc>
      </w:tr>
      <w:tr w:rsidR="000A7D9D" w:rsidRPr="00EC1412" w14:paraId="0BB8E61E" w14:textId="77777777" w:rsidTr="00F31937">
        <w:tc>
          <w:tcPr>
            <w:tcW w:w="3544" w:type="dxa"/>
            <w:tcBorders>
              <w:top w:val="single" w:sz="4" w:space="0" w:color="auto"/>
              <w:bottom w:val="dotted" w:sz="4" w:space="0" w:color="auto"/>
              <w:right w:val="dotted" w:sz="4" w:space="0" w:color="auto"/>
            </w:tcBorders>
            <w:shd w:val="clear" w:color="auto" w:fill="FFF4CC"/>
          </w:tcPr>
          <w:p w14:paraId="797EDBC7" w14:textId="77777777" w:rsidR="000A7D9D" w:rsidRPr="00EC1412" w:rsidRDefault="000A7D9D" w:rsidP="00F31937">
            <w:pPr>
              <w:jc w:val="both"/>
              <w:rPr>
                <w:noProof/>
                <w:sz w:val="18"/>
                <w:szCs w:val="18"/>
              </w:rPr>
            </w:pPr>
            <w:r w:rsidRPr="00EC1412">
              <w:rPr>
                <w:noProof/>
                <w:sz w:val="18"/>
                <w:szCs w:val="18"/>
              </w:rPr>
              <w:t xml:space="preserve">Directive on end-of-life vehicle </w:t>
            </w:r>
          </w:p>
        </w:tc>
        <w:tc>
          <w:tcPr>
            <w:tcW w:w="1418" w:type="dxa"/>
            <w:tcBorders>
              <w:top w:val="single" w:sz="4" w:space="0" w:color="auto"/>
              <w:left w:val="dotted" w:sz="4" w:space="0" w:color="auto"/>
              <w:bottom w:val="dotted" w:sz="4" w:space="0" w:color="auto"/>
              <w:right w:val="dotted" w:sz="4" w:space="0" w:color="auto"/>
            </w:tcBorders>
            <w:shd w:val="clear" w:color="auto" w:fill="FFF4CC"/>
          </w:tcPr>
          <w:p w14:paraId="12C266E5" w14:textId="77777777" w:rsidR="000A7D9D" w:rsidRPr="00EC1412" w:rsidRDefault="000A7D9D" w:rsidP="00F31937">
            <w:pPr>
              <w:jc w:val="right"/>
              <w:rPr>
                <w:caps/>
                <w:noProof/>
                <w:sz w:val="18"/>
                <w:szCs w:val="18"/>
              </w:rPr>
            </w:pPr>
          </w:p>
        </w:tc>
        <w:tc>
          <w:tcPr>
            <w:tcW w:w="1984" w:type="dxa"/>
            <w:tcBorders>
              <w:top w:val="single" w:sz="4" w:space="0" w:color="auto"/>
              <w:left w:val="dotted" w:sz="4" w:space="0" w:color="auto"/>
              <w:bottom w:val="dotted" w:sz="4" w:space="0" w:color="auto"/>
              <w:right w:val="dotted" w:sz="4" w:space="0" w:color="auto"/>
            </w:tcBorders>
            <w:shd w:val="clear" w:color="auto" w:fill="FFF4CC"/>
          </w:tcPr>
          <w:p w14:paraId="46F22480" w14:textId="77777777" w:rsidR="000A7D9D" w:rsidRPr="00EC1412" w:rsidRDefault="000A7D9D" w:rsidP="00F31937">
            <w:pPr>
              <w:jc w:val="right"/>
              <w:rPr>
                <w:caps/>
                <w:noProof/>
                <w:sz w:val="18"/>
                <w:szCs w:val="18"/>
              </w:rPr>
            </w:pPr>
          </w:p>
        </w:tc>
        <w:tc>
          <w:tcPr>
            <w:tcW w:w="2126" w:type="dxa"/>
            <w:tcBorders>
              <w:top w:val="single" w:sz="4" w:space="0" w:color="auto"/>
              <w:left w:val="dotted" w:sz="4" w:space="0" w:color="auto"/>
              <w:bottom w:val="dotted" w:sz="4" w:space="0" w:color="auto"/>
            </w:tcBorders>
            <w:shd w:val="clear" w:color="auto" w:fill="FFF4CC"/>
          </w:tcPr>
          <w:p w14:paraId="526F1D03" w14:textId="77777777" w:rsidR="000A7D9D" w:rsidRPr="00EC1412" w:rsidRDefault="000A7D9D" w:rsidP="00F31937">
            <w:pPr>
              <w:jc w:val="right"/>
              <w:rPr>
                <w:caps/>
                <w:noProof/>
                <w:sz w:val="18"/>
                <w:szCs w:val="18"/>
              </w:rPr>
            </w:pPr>
          </w:p>
        </w:tc>
      </w:tr>
      <w:tr w:rsidR="000A7D9D" w:rsidRPr="00EC1412" w14:paraId="60A13E21" w14:textId="77777777" w:rsidTr="00F31937">
        <w:tc>
          <w:tcPr>
            <w:tcW w:w="3544" w:type="dxa"/>
            <w:tcBorders>
              <w:top w:val="dotted" w:sz="4" w:space="0" w:color="auto"/>
              <w:bottom w:val="single" w:sz="4" w:space="0" w:color="auto"/>
              <w:right w:val="dotted" w:sz="4" w:space="0" w:color="auto"/>
            </w:tcBorders>
            <w:shd w:val="clear" w:color="auto" w:fill="FFF4CC"/>
          </w:tcPr>
          <w:p w14:paraId="4F60C133" w14:textId="77777777" w:rsidR="000A7D9D" w:rsidRPr="00EC1412" w:rsidRDefault="000A7D9D" w:rsidP="000A7D9D">
            <w:pPr>
              <w:pStyle w:val="ListParagraph"/>
              <w:numPr>
                <w:ilvl w:val="0"/>
                <w:numId w:val="15"/>
              </w:numPr>
              <w:ind w:left="284" w:hanging="142"/>
              <w:jc w:val="both"/>
              <w:rPr>
                <w:noProof/>
                <w:sz w:val="18"/>
                <w:szCs w:val="18"/>
              </w:rPr>
            </w:pPr>
            <w:r w:rsidRPr="00EC1412">
              <w:rPr>
                <w:noProof/>
                <w:sz w:val="18"/>
                <w:szCs w:val="18"/>
              </w:rPr>
              <w:t>Review of existing exemptions</w:t>
            </w:r>
          </w:p>
        </w:tc>
        <w:tc>
          <w:tcPr>
            <w:tcW w:w="1418" w:type="dxa"/>
            <w:tcBorders>
              <w:top w:val="dotted" w:sz="4" w:space="0" w:color="auto"/>
              <w:left w:val="dotted" w:sz="4" w:space="0" w:color="auto"/>
              <w:bottom w:val="single" w:sz="4" w:space="0" w:color="auto"/>
              <w:right w:val="dotted" w:sz="4" w:space="0" w:color="auto"/>
            </w:tcBorders>
            <w:shd w:val="clear" w:color="auto" w:fill="FFF4CC"/>
          </w:tcPr>
          <w:p w14:paraId="4DE09320" w14:textId="77777777" w:rsidR="000A7D9D" w:rsidRPr="00EC1412" w:rsidRDefault="000A7D9D" w:rsidP="00F31937">
            <w:pPr>
              <w:jc w:val="right"/>
              <w:rPr>
                <w:caps/>
                <w:noProof/>
                <w:sz w:val="18"/>
                <w:szCs w:val="18"/>
              </w:rPr>
            </w:pPr>
            <w:r w:rsidRPr="00EC1412">
              <w:rPr>
                <w:caps/>
                <w:noProof/>
                <w:sz w:val="18"/>
                <w:szCs w:val="18"/>
              </w:rPr>
              <w:t>-</w:t>
            </w:r>
          </w:p>
        </w:tc>
        <w:tc>
          <w:tcPr>
            <w:tcW w:w="1984" w:type="dxa"/>
            <w:tcBorders>
              <w:top w:val="dotted" w:sz="4" w:space="0" w:color="auto"/>
              <w:left w:val="dotted" w:sz="4" w:space="0" w:color="auto"/>
              <w:bottom w:val="single" w:sz="4" w:space="0" w:color="auto"/>
              <w:right w:val="dotted" w:sz="4" w:space="0" w:color="auto"/>
            </w:tcBorders>
            <w:shd w:val="clear" w:color="auto" w:fill="FFF4CC"/>
          </w:tcPr>
          <w:p w14:paraId="3B79050C" w14:textId="77777777" w:rsidR="000A7D9D" w:rsidRPr="00EC1412" w:rsidRDefault="000A7D9D" w:rsidP="00F31937">
            <w:pPr>
              <w:jc w:val="right"/>
              <w:rPr>
                <w:caps/>
                <w:noProof/>
                <w:sz w:val="18"/>
                <w:szCs w:val="18"/>
              </w:rPr>
            </w:pPr>
            <w:r w:rsidRPr="00EC1412">
              <w:rPr>
                <w:caps/>
                <w:noProof/>
                <w:sz w:val="18"/>
                <w:szCs w:val="18"/>
              </w:rPr>
              <w:t>5</w:t>
            </w:r>
          </w:p>
        </w:tc>
        <w:tc>
          <w:tcPr>
            <w:tcW w:w="2126" w:type="dxa"/>
            <w:tcBorders>
              <w:top w:val="dotted" w:sz="4" w:space="0" w:color="auto"/>
              <w:left w:val="dotted" w:sz="4" w:space="0" w:color="auto"/>
              <w:bottom w:val="single" w:sz="4" w:space="0" w:color="auto"/>
            </w:tcBorders>
            <w:shd w:val="clear" w:color="auto" w:fill="FFF4CC"/>
          </w:tcPr>
          <w:p w14:paraId="2CC36FB5" w14:textId="77777777" w:rsidR="000A7D9D" w:rsidRPr="00EC1412" w:rsidRDefault="000A7D9D" w:rsidP="00F31937">
            <w:pPr>
              <w:jc w:val="right"/>
              <w:rPr>
                <w:caps/>
                <w:noProof/>
                <w:sz w:val="18"/>
                <w:szCs w:val="18"/>
              </w:rPr>
            </w:pPr>
            <w:r w:rsidRPr="00EC1412">
              <w:rPr>
                <w:caps/>
                <w:noProof/>
                <w:sz w:val="18"/>
                <w:szCs w:val="18"/>
              </w:rPr>
              <w:t>-</w:t>
            </w:r>
          </w:p>
        </w:tc>
      </w:tr>
      <w:tr w:rsidR="000A7D9D" w:rsidRPr="00EC1412" w14:paraId="59270CC8" w14:textId="77777777" w:rsidTr="00F31937">
        <w:tc>
          <w:tcPr>
            <w:tcW w:w="3544" w:type="dxa"/>
            <w:tcBorders>
              <w:top w:val="single" w:sz="4" w:space="0" w:color="auto"/>
              <w:bottom w:val="dotted" w:sz="4" w:space="0" w:color="auto"/>
              <w:right w:val="dotted" w:sz="4" w:space="0" w:color="auto"/>
            </w:tcBorders>
            <w:shd w:val="clear" w:color="auto" w:fill="C1ECFF"/>
          </w:tcPr>
          <w:p w14:paraId="24D96DDA" w14:textId="77777777" w:rsidR="000A7D9D" w:rsidRPr="00EC1412" w:rsidRDefault="000A7D9D" w:rsidP="00F31937">
            <w:pPr>
              <w:jc w:val="both"/>
              <w:rPr>
                <w:noProof/>
                <w:sz w:val="18"/>
                <w:szCs w:val="18"/>
              </w:rPr>
            </w:pPr>
            <w:r w:rsidRPr="00EC1412">
              <w:rPr>
                <w:noProof/>
                <w:sz w:val="18"/>
                <w:szCs w:val="18"/>
              </w:rPr>
              <w:t xml:space="preserve">Cosmetic products regulation </w:t>
            </w:r>
          </w:p>
        </w:tc>
        <w:tc>
          <w:tcPr>
            <w:tcW w:w="1418" w:type="dxa"/>
            <w:tcBorders>
              <w:top w:val="single" w:sz="4" w:space="0" w:color="auto"/>
              <w:left w:val="dotted" w:sz="4" w:space="0" w:color="auto"/>
              <w:bottom w:val="dotted" w:sz="4" w:space="0" w:color="auto"/>
              <w:right w:val="dotted" w:sz="4" w:space="0" w:color="auto"/>
            </w:tcBorders>
            <w:shd w:val="clear" w:color="auto" w:fill="C1ECFF"/>
          </w:tcPr>
          <w:p w14:paraId="44581352" w14:textId="77777777" w:rsidR="000A7D9D" w:rsidRPr="00EC1412" w:rsidRDefault="000A7D9D" w:rsidP="00F31937">
            <w:pPr>
              <w:jc w:val="right"/>
              <w:rPr>
                <w:caps/>
                <w:noProof/>
                <w:sz w:val="18"/>
                <w:szCs w:val="18"/>
              </w:rPr>
            </w:pPr>
          </w:p>
        </w:tc>
        <w:tc>
          <w:tcPr>
            <w:tcW w:w="1984" w:type="dxa"/>
            <w:tcBorders>
              <w:top w:val="single" w:sz="4" w:space="0" w:color="auto"/>
              <w:left w:val="dotted" w:sz="4" w:space="0" w:color="auto"/>
              <w:bottom w:val="dotted" w:sz="4" w:space="0" w:color="auto"/>
              <w:right w:val="dotted" w:sz="4" w:space="0" w:color="auto"/>
            </w:tcBorders>
            <w:shd w:val="clear" w:color="auto" w:fill="C1ECFF"/>
          </w:tcPr>
          <w:p w14:paraId="01EA0370" w14:textId="77777777" w:rsidR="000A7D9D" w:rsidRPr="00EC1412" w:rsidRDefault="000A7D9D" w:rsidP="00F31937">
            <w:pPr>
              <w:jc w:val="right"/>
              <w:rPr>
                <w:caps/>
                <w:noProof/>
                <w:sz w:val="18"/>
                <w:szCs w:val="18"/>
              </w:rPr>
            </w:pPr>
          </w:p>
        </w:tc>
        <w:tc>
          <w:tcPr>
            <w:tcW w:w="2126" w:type="dxa"/>
            <w:tcBorders>
              <w:top w:val="single" w:sz="4" w:space="0" w:color="auto"/>
              <w:left w:val="dotted" w:sz="4" w:space="0" w:color="auto"/>
              <w:bottom w:val="dotted" w:sz="4" w:space="0" w:color="auto"/>
            </w:tcBorders>
            <w:shd w:val="clear" w:color="auto" w:fill="C1ECFF"/>
          </w:tcPr>
          <w:p w14:paraId="0992A094" w14:textId="77777777" w:rsidR="000A7D9D" w:rsidRPr="00EC1412" w:rsidRDefault="000A7D9D" w:rsidP="00F31937">
            <w:pPr>
              <w:jc w:val="right"/>
              <w:rPr>
                <w:caps/>
                <w:noProof/>
                <w:sz w:val="18"/>
                <w:szCs w:val="18"/>
              </w:rPr>
            </w:pPr>
          </w:p>
        </w:tc>
      </w:tr>
      <w:tr w:rsidR="000A7D9D" w:rsidRPr="00EC1412" w14:paraId="4FDB7047" w14:textId="77777777" w:rsidTr="00F31937">
        <w:tc>
          <w:tcPr>
            <w:tcW w:w="3544" w:type="dxa"/>
            <w:tcBorders>
              <w:top w:val="dotted" w:sz="4" w:space="0" w:color="auto"/>
              <w:bottom w:val="dotted" w:sz="4" w:space="0" w:color="auto"/>
              <w:right w:val="dotted" w:sz="4" w:space="0" w:color="auto"/>
            </w:tcBorders>
            <w:shd w:val="clear" w:color="auto" w:fill="C1ECFF"/>
          </w:tcPr>
          <w:p w14:paraId="4A223C46" w14:textId="77777777" w:rsidR="000A7D9D" w:rsidRPr="00EC1412" w:rsidRDefault="000A7D9D" w:rsidP="000A7D9D">
            <w:pPr>
              <w:pStyle w:val="ListParagraph"/>
              <w:numPr>
                <w:ilvl w:val="0"/>
                <w:numId w:val="15"/>
              </w:numPr>
              <w:ind w:left="284" w:hanging="142"/>
              <w:jc w:val="both"/>
              <w:rPr>
                <w:noProof/>
                <w:sz w:val="18"/>
                <w:szCs w:val="18"/>
              </w:rPr>
            </w:pPr>
            <w:r w:rsidRPr="00EC1412">
              <w:rPr>
                <w:noProof/>
                <w:sz w:val="18"/>
                <w:szCs w:val="18"/>
              </w:rPr>
              <w:t>Opinions on substances</w:t>
            </w:r>
          </w:p>
        </w:tc>
        <w:tc>
          <w:tcPr>
            <w:tcW w:w="1418" w:type="dxa"/>
            <w:tcBorders>
              <w:top w:val="dotted" w:sz="4" w:space="0" w:color="auto"/>
              <w:left w:val="dotted" w:sz="4" w:space="0" w:color="auto"/>
              <w:bottom w:val="dotted" w:sz="4" w:space="0" w:color="auto"/>
              <w:right w:val="dotted" w:sz="4" w:space="0" w:color="auto"/>
            </w:tcBorders>
            <w:shd w:val="clear" w:color="auto" w:fill="C1ECFF"/>
          </w:tcPr>
          <w:p w14:paraId="1E6F1C01" w14:textId="77777777" w:rsidR="000A7D9D" w:rsidRPr="00EC1412" w:rsidRDefault="000A7D9D" w:rsidP="00F31937">
            <w:pPr>
              <w:jc w:val="right"/>
              <w:rPr>
                <w:caps/>
                <w:noProof/>
                <w:sz w:val="18"/>
                <w:szCs w:val="18"/>
              </w:rPr>
            </w:pPr>
            <w:r w:rsidRPr="00EC1412">
              <w:rPr>
                <w:caps/>
                <w:noProof/>
                <w:sz w:val="18"/>
                <w:szCs w:val="18"/>
              </w:rPr>
              <w:t>-</w:t>
            </w:r>
          </w:p>
        </w:tc>
        <w:tc>
          <w:tcPr>
            <w:tcW w:w="1984" w:type="dxa"/>
            <w:tcBorders>
              <w:top w:val="dotted" w:sz="4" w:space="0" w:color="auto"/>
              <w:left w:val="dotted" w:sz="4" w:space="0" w:color="auto"/>
              <w:bottom w:val="dotted" w:sz="4" w:space="0" w:color="auto"/>
              <w:right w:val="dotted" w:sz="4" w:space="0" w:color="auto"/>
            </w:tcBorders>
            <w:shd w:val="clear" w:color="auto" w:fill="C1ECFF"/>
          </w:tcPr>
          <w:p w14:paraId="27920C49" w14:textId="77777777" w:rsidR="000A7D9D" w:rsidRPr="00EC1412" w:rsidRDefault="000A7D9D" w:rsidP="00F31937">
            <w:pPr>
              <w:jc w:val="right"/>
              <w:rPr>
                <w:caps/>
                <w:noProof/>
                <w:sz w:val="18"/>
                <w:szCs w:val="18"/>
              </w:rPr>
            </w:pPr>
            <w:r w:rsidRPr="00EC1412">
              <w:rPr>
                <w:caps/>
                <w:noProof/>
                <w:sz w:val="18"/>
                <w:szCs w:val="18"/>
              </w:rPr>
              <w:t>-</w:t>
            </w:r>
          </w:p>
        </w:tc>
        <w:tc>
          <w:tcPr>
            <w:tcW w:w="2126" w:type="dxa"/>
            <w:tcBorders>
              <w:top w:val="dotted" w:sz="4" w:space="0" w:color="auto"/>
              <w:left w:val="dotted" w:sz="4" w:space="0" w:color="auto"/>
              <w:bottom w:val="dotted" w:sz="4" w:space="0" w:color="auto"/>
            </w:tcBorders>
            <w:shd w:val="clear" w:color="auto" w:fill="C1ECFF"/>
          </w:tcPr>
          <w:p w14:paraId="28EE0FA8" w14:textId="77777777" w:rsidR="000A7D9D" w:rsidRPr="00EC1412" w:rsidRDefault="000A7D9D" w:rsidP="00F31937">
            <w:pPr>
              <w:jc w:val="right"/>
              <w:rPr>
                <w:caps/>
                <w:noProof/>
                <w:sz w:val="18"/>
                <w:szCs w:val="18"/>
              </w:rPr>
            </w:pPr>
            <w:r w:rsidRPr="00EC1412">
              <w:rPr>
                <w:caps/>
                <w:noProof/>
                <w:sz w:val="18"/>
                <w:szCs w:val="18"/>
              </w:rPr>
              <w:t>1</w:t>
            </w:r>
            <w:r>
              <w:rPr>
                <w:caps/>
                <w:noProof/>
                <w:sz w:val="18"/>
                <w:szCs w:val="18"/>
              </w:rPr>
              <w:t>1</w:t>
            </w:r>
          </w:p>
        </w:tc>
      </w:tr>
      <w:tr w:rsidR="000A7D9D" w:rsidRPr="00EC1412" w14:paraId="3A7C186E" w14:textId="77777777" w:rsidTr="00F31937">
        <w:tc>
          <w:tcPr>
            <w:tcW w:w="3544" w:type="dxa"/>
            <w:tcBorders>
              <w:top w:val="dotted" w:sz="4" w:space="0" w:color="auto"/>
              <w:bottom w:val="single" w:sz="4" w:space="0" w:color="auto"/>
              <w:right w:val="dotted" w:sz="4" w:space="0" w:color="auto"/>
            </w:tcBorders>
            <w:shd w:val="clear" w:color="auto" w:fill="C1ECFF"/>
          </w:tcPr>
          <w:p w14:paraId="306F423D" w14:textId="77777777" w:rsidR="000A7D9D" w:rsidRPr="00EC1412" w:rsidRDefault="000A7D9D" w:rsidP="000A7D9D">
            <w:pPr>
              <w:pStyle w:val="ListParagraph"/>
              <w:numPr>
                <w:ilvl w:val="0"/>
                <w:numId w:val="15"/>
              </w:numPr>
              <w:ind w:left="284" w:hanging="142"/>
              <w:jc w:val="both"/>
              <w:rPr>
                <w:noProof/>
                <w:sz w:val="18"/>
                <w:szCs w:val="18"/>
              </w:rPr>
            </w:pPr>
            <w:r w:rsidRPr="00EC1412">
              <w:rPr>
                <w:noProof/>
                <w:sz w:val="18"/>
                <w:szCs w:val="18"/>
              </w:rPr>
              <w:t>Notes of guidance</w:t>
            </w:r>
          </w:p>
        </w:tc>
        <w:tc>
          <w:tcPr>
            <w:tcW w:w="1418" w:type="dxa"/>
            <w:tcBorders>
              <w:top w:val="dotted" w:sz="4" w:space="0" w:color="auto"/>
              <w:left w:val="dotted" w:sz="4" w:space="0" w:color="auto"/>
              <w:bottom w:val="single" w:sz="4" w:space="0" w:color="auto"/>
              <w:right w:val="dotted" w:sz="4" w:space="0" w:color="auto"/>
            </w:tcBorders>
            <w:shd w:val="clear" w:color="auto" w:fill="C1ECFF"/>
          </w:tcPr>
          <w:p w14:paraId="374CEDF6" w14:textId="77777777" w:rsidR="000A7D9D" w:rsidRPr="00EC1412" w:rsidRDefault="000A7D9D" w:rsidP="00F31937">
            <w:pPr>
              <w:jc w:val="right"/>
              <w:rPr>
                <w:caps/>
                <w:noProof/>
                <w:sz w:val="18"/>
                <w:szCs w:val="18"/>
              </w:rPr>
            </w:pPr>
            <w:r w:rsidRPr="00EC1412">
              <w:rPr>
                <w:caps/>
                <w:noProof/>
                <w:sz w:val="18"/>
                <w:szCs w:val="18"/>
              </w:rPr>
              <w:t>-</w:t>
            </w:r>
          </w:p>
        </w:tc>
        <w:tc>
          <w:tcPr>
            <w:tcW w:w="1984" w:type="dxa"/>
            <w:tcBorders>
              <w:top w:val="dotted" w:sz="4" w:space="0" w:color="auto"/>
              <w:left w:val="dotted" w:sz="4" w:space="0" w:color="auto"/>
              <w:bottom w:val="single" w:sz="4" w:space="0" w:color="auto"/>
              <w:right w:val="dotted" w:sz="4" w:space="0" w:color="auto"/>
            </w:tcBorders>
            <w:shd w:val="clear" w:color="auto" w:fill="C1ECFF"/>
          </w:tcPr>
          <w:p w14:paraId="1D51BB01" w14:textId="77777777" w:rsidR="000A7D9D" w:rsidRPr="00EC1412" w:rsidRDefault="000A7D9D" w:rsidP="00F31937">
            <w:pPr>
              <w:jc w:val="right"/>
              <w:rPr>
                <w:caps/>
                <w:noProof/>
                <w:sz w:val="18"/>
                <w:szCs w:val="18"/>
              </w:rPr>
            </w:pPr>
            <w:r w:rsidRPr="00EC1412">
              <w:rPr>
                <w:caps/>
                <w:noProof/>
                <w:sz w:val="18"/>
                <w:szCs w:val="18"/>
              </w:rPr>
              <w:t>-</w:t>
            </w:r>
          </w:p>
        </w:tc>
        <w:tc>
          <w:tcPr>
            <w:tcW w:w="2126" w:type="dxa"/>
            <w:tcBorders>
              <w:top w:val="dotted" w:sz="4" w:space="0" w:color="auto"/>
              <w:left w:val="dotted" w:sz="4" w:space="0" w:color="auto"/>
              <w:bottom w:val="single" w:sz="4" w:space="0" w:color="auto"/>
            </w:tcBorders>
            <w:shd w:val="clear" w:color="auto" w:fill="C1ECFF"/>
          </w:tcPr>
          <w:p w14:paraId="637FD786" w14:textId="77777777" w:rsidR="000A7D9D" w:rsidRPr="00EC1412" w:rsidRDefault="000A7D9D" w:rsidP="00F31937">
            <w:pPr>
              <w:jc w:val="right"/>
              <w:rPr>
                <w:caps/>
                <w:noProof/>
                <w:sz w:val="18"/>
                <w:szCs w:val="18"/>
              </w:rPr>
            </w:pPr>
            <w:r w:rsidRPr="00EC1412">
              <w:rPr>
                <w:caps/>
                <w:noProof/>
                <w:sz w:val="18"/>
                <w:szCs w:val="18"/>
              </w:rPr>
              <w:t>1</w:t>
            </w:r>
          </w:p>
        </w:tc>
      </w:tr>
      <w:tr w:rsidR="000A7D9D" w:rsidRPr="00EC1412" w14:paraId="1E127385" w14:textId="77777777" w:rsidTr="00F31937">
        <w:tc>
          <w:tcPr>
            <w:tcW w:w="3544" w:type="dxa"/>
            <w:tcBorders>
              <w:top w:val="single" w:sz="4" w:space="0" w:color="auto"/>
              <w:bottom w:val="dotted" w:sz="4" w:space="0" w:color="auto"/>
              <w:right w:val="dotted" w:sz="4" w:space="0" w:color="auto"/>
            </w:tcBorders>
            <w:shd w:val="clear" w:color="auto" w:fill="FFF4CC"/>
          </w:tcPr>
          <w:p w14:paraId="45C20B41" w14:textId="77777777" w:rsidR="000A7D9D" w:rsidRPr="00EC1412" w:rsidRDefault="000A7D9D" w:rsidP="00F31937">
            <w:pPr>
              <w:jc w:val="both"/>
              <w:rPr>
                <w:noProof/>
                <w:sz w:val="18"/>
                <w:szCs w:val="18"/>
              </w:rPr>
            </w:pPr>
            <w:r w:rsidRPr="00EC1412">
              <w:rPr>
                <w:noProof/>
                <w:sz w:val="18"/>
                <w:szCs w:val="18"/>
              </w:rPr>
              <w:t>Toy safety directive</w:t>
            </w:r>
          </w:p>
        </w:tc>
        <w:tc>
          <w:tcPr>
            <w:tcW w:w="1418" w:type="dxa"/>
            <w:tcBorders>
              <w:top w:val="single" w:sz="4" w:space="0" w:color="auto"/>
              <w:left w:val="dotted" w:sz="4" w:space="0" w:color="auto"/>
              <w:bottom w:val="dotted" w:sz="4" w:space="0" w:color="auto"/>
              <w:right w:val="dotted" w:sz="4" w:space="0" w:color="auto"/>
            </w:tcBorders>
            <w:shd w:val="clear" w:color="auto" w:fill="FFF4CC"/>
          </w:tcPr>
          <w:p w14:paraId="4036878B" w14:textId="77777777" w:rsidR="000A7D9D" w:rsidRPr="00EC1412" w:rsidRDefault="000A7D9D" w:rsidP="00F31937">
            <w:pPr>
              <w:jc w:val="right"/>
              <w:rPr>
                <w:caps/>
                <w:noProof/>
                <w:sz w:val="18"/>
                <w:szCs w:val="18"/>
              </w:rPr>
            </w:pPr>
          </w:p>
        </w:tc>
        <w:tc>
          <w:tcPr>
            <w:tcW w:w="1984" w:type="dxa"/>
            <w:tcBorders>
              <w:top w:val="single" w:sz="4" w:space="0" w:color="auto"/>
              <w:left w:val="dotted" w:sz="4" w:space="0" w:color="auto"/>
              <w:bottom w:val="dotted" w:sz="4" w:space="0" w:color="auto"/>
              <w:right w:val="dotted" w:sz="4" w:space="0" w:color="auto"/>
            </w:tcBorders>
            <w:shd w:val="clear" w:color="auto" w:fill="FFF4CC"/>
          </w:tcPr>
          <w:p w14:paraId="06FAAB8D" w14:textId="77777777" w:rsidR="000A7D9D" w:rsidRPr="00EC1412" w:rsidRDefault="000A7D9D" w:rsidP="00F31937">
            <w:pPr>
              <w:jc w:val="right"/>
              <w:rPr>
                <w:caps/>
                <w:noProof/>
                <w:sz w:val="18"/>
                <w:szCs w:val="18"/>
              </w:rPr>
            </w:pPr>
          </w:p>
        </w:tc>
        <w:tc>
          <w:tcPr>
            <w:tcW w:w="2126" w:type="dxa"/>
            <w:tcBorders>
              <w:top w:val="single" w:sz="4" w:space="0" w:color="auto"/>
              <w:left w:val="dotted" w:sz="4" w:space="0" w:color="auto"/>
              <w:bottom w:val="dotted" w:sz="4" w:space="0" w:color="auto"/>
            </w:tcBorders>
            <w:shd w:val="clear" w:color="auto" w:fill="FFF4CC"/>
          </w:tcPr>
          <w:p w14:paraId="599401B5" w14:textId="77777777" w:rsidR="000A7D9D" w:rsidRPr="00EC1412" w:rsidRDefault="000A7D9D" w:rsidP="00F31937">
            <w:pPr>
              <w:jc w:val="right"/>
              <w:rPr>
                <w:caps/>
                <w:noProof/>
                <w:sz w:val="18"/>
                <w:szCs w:val="18"/>
              </w:rPr>
            </w:pPr>
          </w:p>
        </w:tc>
      </w:tr>
      <w:tr w:rsidR="000A7D9D" w:rsidRPr="00EC1412" w14:paraId="496EA19C" w14:textId="77777777" w:rsidTr="00F31937">
        <w:tc>
          <w:tcPr>
            <w:tcW w:w="3544" w:type="dxa"/>
            <w:tcBorders>
              <w:top w:val="dotted" w:sz="4" w:space="0" w:color="auto"/>
              <w:bottom w:val="single" w:sz="4" w:space="0" w:color="auto"/>
              <w:right w:val="dotted" w:sz="4" w:space="0" w:color="auto"/>
            </w:tcBorders>
            <w:shd w:val="clear" w:color="auto" w:fill="FFF4CC"/>
          </w:tcPr>
          <w:p w14:paraId="44E664F9" w14:textId="77777777" w:rsidR="000A7D9D" w:rsidRPr="00EC1412" w:rsidRDefault="000A7D9D" w:rsidP="000A7D9D">
            <w:pPr>
              <w:pStyle w:val="ListParagraph"/>
              <w:numPr>
                <w:ilvl w:val="0"/>
                <w:numId w:val="15"/>
              </w:numPr>
              <w:ind w:left="284" w:hanging="142"/>
              <w:jc w:val="both"/>
              <w:rPr>
                <w:noProof/>
                <w:sz w:val="18"/>
                <w:szCs w:val="18"/>
              </w:rPr>
            </w:pPr>
            <w:r w:rsidRPr="00EC1412">
              <w:rPr>
                <w:noProof/>
                <w:sz w:val="18"/>
                <w:szCs w:val="18"/>
              </w:rPr>
              <w:t>Assessments</w:t>
            </w:r>
          </w:p>
        </w:tc>
        <w:tc>
          <w:tcPr>
            <w:tcW w:w="1418" w:type="dxa"/>
            <w:tcBorders>
              <w:top w:val="dotted" w:sz="4" w:space="0" w:color="auto"/>
              <w:left w:val="dotted" w:sz="4" w:space="0" w:color="auto"/>
              <w:bottom w:val="single" w:sz="4" w:space="0" w:color="auto"/>
              <w:right w:val="dotted" w:sz="4" w:space="0" w:color="auto"/>
            </w:tcBorders>
            <w:shd w:val="clear" w:color="auto" w:fill="FFF4CC"/>
          </w:tcPr>
          <w:p w14:paraId="55BC6C03" w14:textId="77777777" w:rsidR="000A7D9D" w:rsidRPr="00EC1412" w:rsidRDefault="000A7D9D" w:rsidP="00F31937">
            <w:pPr>
              <w:jc w:val="right"/>
              <w:rPr>
                <w:caps/>
                <w:noProof/>
                <w:sz w:val="18"/>
                <w:szCs w:val="18"/>
              </w:rPr>
            </w:pPr>
            <w:r>
              <w:rPr>
                <w:caps/>
                <w:noProof/>
                <w:sz w:val="18"/>
                <w:szCs w:val="18"/>
              </w:rPr>
              <w:t>4.</w:t>
            </w:r>
            <w:r w:rsidRPr="00EC1412">
              <w:rPr>
                <w:caps/>
                <w:noProof/>
                <w:sz w:val="18"/>
                <w:szCs w:val="18"/>
              </w:rPr>
              <w:t>2</w:t>
            </w:r>
          </w:p>
        </w:tc>
        <w:tc>
          <w:tcPr>
            <w:tcW w:w="1984" w:type="dxa"/>
            <w:tcBorders>
              <w:top w:val="dotted" w:sz="4" w:space="0" w:color="auto"/>
              <w:left w:val="dotted" w:sz="4" w:space="0" w:color="auto"/>
              <w:bottom w:val="single" w:sz="4" w:space="0" w:color="auto"/>
              <w:right w:val="dotted" w:sz="4" w:space="0" w:color="auto"/>
            </w:tcBorders>
            <w:shd w:val="clear" w:color="auto" w:fill="FFF4CC"/>
          </w:tcPr>
          <w:p w14:paraId="38889AD6" w14:textId="77777777" w:rsidR="000A7D9D" w:rsidRPr="00EC1412" w:rsidRDefault="000A7D9D" w:rsidP="00F31937">
            <w:pPr>
              <w:jc w:val="right"/>
              <w:rPr>
                <w:caps/>
                <w:noProof/>
                <w:sz w:val="18"/>
                <w:szCs w:val="18"/>
              </w:rPr>
            </w:pPr>
            <w:r>
              <w:rPr>
                <w:caps/>
                <w:noProof/>
                <w:sz w:val="18"/>
                <w:szCs w:val="18"/>
              </w:rPr>
              <w:t>4.</w:t>
            </w:r>
            <w:r w:rsidRPr="00EC1412">
              <w:rPr>
                <w:caps/>
                <w:noProof/>
                <w:sz w:val="18"/>
                <w:szCs w:val="18"/>
              </w:rPr>
              <w:t>2</w:t>
            </w:r>
          </w:p>
        </w:tc>
        <w:tc>
          <w:tcPr>
            <w:tcW w:w="2126" w:type="dxa"/>
            <w:tcBorders>
              <w:top w:val="dotted" w:sz="4" w:space="0" w:color="auto"/>
              <w:left w:val="dotted" w:sz="4" w:space="0" w:color="auto"/>
              <w:bottom w:val="single" w:sz="4" w:space="0" w:color="auto"/>
            </w:tcBorders>
            <w:shd w:val="clear" w:color="auto" w:fill="FFF4CC"/>
          </w:tcPr>
          <w:p w14:paraId="6BA8E539" w14:textId="77777777" w:rsidR="000A7D9D" w:rsidRPr="00EC1412" w:rsidRDefault="000A7D9D" w:rsidP="00F31937">
            <w:pPr>
              <w:jc w:val="right"/>
              <w:rPr>
                <w:caps/>
                <w:noProof/>
                <w:sz w:val="18"/>
                <w:szCs w:val="18"/>
              </w:rPr>
            </w:pPr>
            <w:r w:rsidRPr="00EC1412">
              <w:rPr>
                <w:caps/>
                <w:noProof/>
                <w:sz w:val="18"/>
                <w:szCs w:val="18"/>
              </w:rPr>
              <w:t>-</w:t>
            </w:r>
          </w:p>
        </w:tc>
      </w:tr>
      <w:tr w:rsidR="000A7D9D" w:rsidRPr="00EC1412" w14:paraId="48074B8D" w14:textId="77777777" w:rsidTr="00F31937">
        <w:tc>
          <w:tcPr>
            <w:tcW w:w="3544" w:type="dxa"/>
            <w:tcBorders>
              <w:top w:val="single" w:sz="4" w:space="0" w:color="auto"/>
              <w:right w:val="dotted" w:sz="4" w:space="0" w:color="auto"/>
            </w:tcBorders>
            <w:shd w:val="clear" w:color="auto" w:fill="BFBFBF" w:themeFill="background1" w:themeFillShade="BF"/>
          </w:tcPr>
          <w:p w14:paraId="343AB8B6" w14:textId="77777777" w:rsidR="000A7D9D" w:rsidRPr="00EC1412" w:rsidRDefault="000A7D9D" w:rsidP="00F31937">
            <w:pPr>
              <w:jc w:val="both"/>
              <w:rPr>
                <w:b/>
                <w:noProof/>
                <w:sz w:val="18"/>
                <w:szCs w:val="18"/>
              </w:rPr>
            </w:pPr>
            <w:r w:rsidRPr="00EC1412">
              <w:rPr>
                <w:b/>
                <w:noProof/>
                <w:sz w:val="18"/>
                <w:szCs w:val="18"/>
              </w:rPr>
              <w:t>SUM</w:t>
            </w:r>
          </w:p>
        </w:tc>
        <w:tc>
          <w:tcPr>
            <w:tcW w:w="1418" w:type="dxa"/>
            <w:tcBorders>
              <w:top w:val="single" w:sz="4" w:space="0" w:color="auto"/>
              <w:left w:val="dotted" w:sz="4" w:space="0" w:color="auto"/>
              <w:right w:val="dotted" w:sz="4" w:space="0" w:color="auto"/>
            </w:tcBorders>
            <w:shd w:val="clear" w:color="auto" w:fill="BFBFBF" w:themeFill="background1" w:themeFillShade="BF"/>
          </w:tcPr>
          <w:p w14:paraId="4BCCEC31" w14:textId="77777777" w:rsidR="000A7D9D" w:rsidRPr="00EC1412" w:rsidRDefault="000A7D9D" w:rsidP="00F31937">
            <w:pPr>
              <w:jc w:val="right"/>
              <w:rPr>
                <w:b/>
                <w:caps/>
                <w:noProof/>
                <w:sz w:val="18"/>
                <w:szCs w:val="18"/>
              </w:rPr>
            </w:pPr>
            <w:r>
              <w:rPr>
                <w:b/>
                <w:caps/>
                <w:noProof/>
                <w:sz w:val="18"/>
                <w:szCs w:val="18"/>
              </w:rPr>
              <w:t>79.</w:t>
            </w:r>
            <w:r w:rsidRPr="00EC1412">
              <w:rPr>
                <w:b/>
                <w:caps/>
                <w:noProof/>
                <w:sz w:val="18"/>
                <w:szCs w:val="18"/>
              </w:rPr>
              <w:t>7</w:t>
            </w:r>
          </w:p>
        </w:tc>
        <w:tc>
          <w:tcPr>
            <w:tcW w:w="1984" w:type="dxa"/>
            <w:tcBorders>
              <w:top w:val="single" w:sz="4" w:space="0" w:color="auto"/>
              <w:left w:val="dotted" w:sz="4" w:space="0" w:color="auto"/>
              <w:right w:val="dotted" w:sz="4" w:space="0" w:color="auto"/>
            </w:tcBorders>
            <w:shd w:val="clear" w:color="auto" w:fill="BFBFBF" w:themeFill="background1" w:themeFillShade="BF"/>
          </w:tcPr>
          <w:p w14:paraId="0F8DF7FC" w14:textId="77777777" w:rsidR="000A7D9D" w:rsidRPr="00EC1412" w:rsidRDefault="000A7D9D" w:rsidP="00F31937">
            <w:pPr>
              <w:jc w:val="right"/>
              <w:rPr>
                <w:b/>
                <w:caps/>
                <w:noProof/>
                <w:sz w:val="18"/>
                <w:szCs w:val="18"/>
              </w:rPr>
            </w:pPr>
            <w:r w:rsidRPr="00EC1412">
              <w:rPr>
                <w:b/>
                <w:caps/>
                <w:noProof/>
                <w:sz w:val="18"/>
                <w:szCs w:val="18"/>
              </w:rPr>
              <w:t>50</w:t>
            </w:r>
            <w:r>
              <w:rPr>
                <w:b/>
                <w:caps/>
                <w:noProof/>
                <w:sz w:val="18"/>
                <w:szCs w:val="18"/>
              </w:rPr>
              <w:t>.</w:t>
            </w:r>
            <w:r w:rsidRPr="00EC1412">
              <w:rPr>
                <w:b/>
                <w:caps/>
                <w:noProof/>
                <w:sz w:val="18"/>
                <w:szCs w:val="18"/>
              </w:rPr>
              <w:t>2</w:t>
            </w:r>
          </w:p>
        </w:tc>
        <w:tc>
          <w:tcPr>
            <w:tcW w:w="2126" w:type="dxa"/>
            <w:tcBorders>
              <w:top w:val="single" w:sz="4" w:space="0" w:color="auto"/>
              <w:left w:val="dotted" w:sz="4" w:space="0" w:color="auto"/>
            </w:tcBorders>
            <w:shd w:val="clear" w:color="auto" w:fill="BFBFBF" w:themeFill="background1" w:themeFillShade="BF"/>
          </w:tcPr>
          <w:p w14:paraId="546F2C67" w14:textId="77777777" w:rsidR="000A7D9D" w:rsidRPr="00EC1412" w:rsidRDefault="000A7D9D" w:rsidP="00F31937">
            <w:pPr>
              <w:jc w:val="right"/>
              <w:rPr>
                <w:b/>
                <w:caps/>
                <w:noProof/>
                <w:sz w:val="18"/>
                <w:szCs w:val="18"/>
              </w:rPr>
            </w:pPr>
            <w:r w:rsidRPr="00EC1412">
              <w:rPr>
                <w:b/>
                <w:caps/>
                <w:noProof/>
                <w:sz w:val="18"/>
                <w:szCs w:val="18"/>
              </w:rPr>
              <w:t>1</w:t>
            </w:r>
            <w:r>
              <w:rPr>
                <w:b/>
                <w:caps/>
                <w:noProof/>
                <w:sz w:val="18"/>
                <w:szCs w:val="18"/>
              </w:rPr>
              <w:t>2</w:t>
            </w:r>
          </w:p>
        </w:tc>
      </w:tr>
    </w:tbl>
    <w:p w14:paraId="5AEA3BC9" w14:textId="77777777" w:rsidR="000A7D9D" w:rsidRPr="00EC1412" w:rsidRDefault="000A7D9D" w:rsidP="000A7D9D">
      <w:pPr>
        <w:rPr>
          <w:rFonts w:ascii="Times New Roman" w:hAnsi="Times New Roman" w:cs="Times New Roman"/>
          <w:noProof/>
        </w:rPr>
      </w:pPr>
    </w:p>
    <w:p w14:paraId="67046682" w14:textId="77777777" w:rsidR="000A7D9D" w:rsidRPr="00CB3F79" w:rsidRDefault="000A7D9D" w:rsidP="000A7D9D">
      <w:pPr>
        <w:pStyle w:val="Heading2"/>
        <w:keepLines w:val="0"/>
        <w:numPr>
          <w:ilvl w:val="1"/>
          <w:numId w:val="7"/>
        </w:numPr>
        <w:tabs>
          <w:tab w:val="num" w:pos="1200"/>
        </w:tabs>
        <w:spacing w:before="0" w:after="240"/>
        <w:ind w:left="1200" w:hanging="720"/>
        <w:jc w:val="both"/>
        <w:rPr>
          <w:rFonts w:ascii="Times New Roman" w:eastAsia="Times New Roman" w:hAnsi="Times New Roman" w:cs="Times New Roman"/>
          <w:b/>
          <w:noProof/>
          <w:color w:val="auto"/>
          <w:sz w:val="24"/>
          <w:szCs w:val="20"/>
        </w:rPr>
      </w:pPr>
      <w:bookmarkStart w:id="17" w:name="_Toc150499903"/>
      <w:r w:rsidRPr="00CB3F79">
        <w:rPr>
          <w:rFonts w:ascii="Times New Roman" w:eastAsia="Times New Roman" w:hAnsi="Times New Roman" w:cs="Times New Roman"/>
          <w:b/>
          <w:noProof/>
          <w:color w:val="auto"/>
          <w:sz w:val="24"/>
          <w:szCs w:val="20"/>
        </w:rPr>
        <w:t xml:space="preserve">Overall </w:t>
      </w:r>
      <w:r>
        <w:rPr>
          <w:rFonts w:ascii="Times New Roman" w:eastAsia="Times New Roman" w:hAnsi="Times New Roman" w:cs="Times New Roman"/>
          <w:b/>
          <w:noProof/>
          <w:color w:val="auto"/>
          <w:sz w:val="24"/>
          <w:szCs w:val="20"/>
        </w:rPr>
        <w:t>i</w:t>
      </w:r>
      <w:r w:rsidRPr="00CB3F79">
        <w:rPr>
          <w:rFonts w:ascii="Times New Roman" w:eastAsia="Times New Roman" w:hAnsi="Times New Roman" w:cs="Times New Roman"/>
          <w:b/>
          <w:noProof/>
          <w:color w:val="auto"/>
          <w:sz w:val="24"/>
          <w:szCs w:val="20"/>
        </w:rPr>
        <w:t>mpacts on EEA</w:t>
      </w:r>
      <w:bookmarkEnd w:id="17"/>
    </w:p>
    <w:p w14:paraId="2EDD76EC"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Impact on EEA’s resources</w:t>
      </w:r>
    </w:p>
    <w:p w14:paraId="01281295" w14:textId="77777777" w:rsidR="000A7D9D" w:rsidRDefault="000A7D9D" w:rsidP="000A7D9D">
      <w:pPr>
        <w:spacing w:after="120"/>
        <w:jc w:val="both"/>
        <w:rPr>
          <w:rFonts w:ascii="Times New Roman" w:hAnsi="Times New Roman" w:cs="Times New Roman"/>
          <w:noProof/>
        </w:rPr>
      </w:pPr>
      <w:r>
        <w:rPr>
          <w:rFonts w:ascii="Times New Roman" w:hAnsi="Times New Roman" w:cs="Times New Roman"/>
          <w:noProof/>
        </w:rPr>
        <w:t xml:space="preserve">The proposals made by the Commission so far have already proposed to reinforce </w:t>
      </w:r>
      <w:r w:rsidRPr="2D69C30E">
        <w:rPr>
          <w:rFonts w:ascii="Times New Roman" w:hAnsi="Times New Roman" w:cs="Times New Roman"/>
          <w:noProof/>
        </w:rPr>
        <w:t xml:space="preserve">EEA </w:t>
      </w:r>
      <w:r>
        <w:rPr>
          <w:rFonts w:ascii="Times New Roman" w:hAnsi="Times New Roman" w:cs="Times New Roman"/>
          <w:noProof/>
        </w:rPr>
        <w:t xml:space="preserve">in the long term by </w:t>
      </w:r>
      <w:r w:rsidRPr="2D69C30E">
        <w:rPr>
          <w:rFonts w:ascii="Times New Roman" w:hAnsi="Times New Roman" w:cs="Times New Roman"/>
          <w:noProof/>
        </w:rPr>
        <w:t>11 FTEs</w:t>
      </w:r>
      <w:r>
        <w:rPr>
          <w:rFonts w:ascii="Times New Roman" w:hAnsi="Times New Roman" w:cs="Times New Roman"/>
          <w:noProof/>
        </w:rPr>
        <w:t xml:space="preserve"> (see Table 17)</w:t>
      </w:r>
      <w:r w:rsidRPr="2D69C30E">
        <w:rPr>
          <w:rFonts w:ascii="Times New Roman" w:hAnsi="Times New Roman" w:cs="Times New Roman"/>
          <w:noProof/>
        </w:rPr>
        <w:t>.  An additional 3 FTEs are necessary in the long term, topped up with 2 FTEs for short term, to deal with the new envisaged tasks under the Regulation on chemicals data</w:t>
      </w:r>
      <w:r>
        <w:rPr>
          <w:rFonts w:ascii="Times New Roman" w:hAnsi="Times New Roman" w:cs="Times New Roman"/>
          <w:noProof/>
        </w:rPr>
        <w:t xml:space="preserve"> (see Table 18)</w:t>
      </w:r>
      <w:r w:rsidRPr="2D69C30E">
        <w:rPr>
          <w:rFonts w:ascii="Times New Roman" w:hAnsi="Times New Roman" w:cs="Times New Roman"/>
          <w:noProof/>
        </w:rPr>
        <w:t xml:space="preserve">. The first three years there will be a need of </w:t>
      </w:r>
      <w:r w:rsidRPr="2D69C30E">
        <w:rPr>
          <w:rFonts w:ascii="Times New Roman" w:hAnsi="Times New Roman" w:cs="Times New Roman"/>
          <w:b/>
          <w:bCs/>
          <w:noProof/>
        </w:rPr>
        <w:t>5 FTEs (3 TA + 2 CA)</w:t>
      </w:r>
      <w:r w:rsidRPr="2D69C30E">
        <w:rPr>
          <w:rFonts w:ascii="Times New Roman" w:hAnsi="Times New Roman" w:cs="Times New Roman"/>
          <w:noProof/>
        </w:rPr>
        <w:t xml:space="preserve"> and operational budget of up to </w:t>
      </w:r>
      <w:r w:rsidRPr="00337D48">
        <w:rPr>
          <w:rFonts w:ascii="Times New Roman" w:hAnsi="Times New Roman" w:cs="Times New Roman"/>
          <w:b/>
          <w:noProof/>
        </w:rPr>
        <w:t>EUR</w:t>
      </w:r>
      <w:r>
        <w:rPr>
          <w:rFonts w:ascii="Times New Roman" w:hAnsi="Times New Roman" w:cs="Times New Roman"/>
          <w:noProof/>
        </w:rPr>
        <w:t xml:space="preserve"> </w:t>
      </w:r>
      <w:r>
        <w:rPr>
          <w:rFonts w:ascii="Times New Roman" w:hAnsi="Times New Roman" w:cs="Times New Roman"/>
          <w:b/>
          <w:bCs/>
          <w:noProof/>
        </w:rPr>
        <w:t>766 000</w:t>
      </w:r>
      <w:r w:rsidRPr="2D69C30E">
        <w:rPr>
          <w:rFonts w:ascii="Times New Roman" w:hAnsi="Times New Roman" w:cs="Times New Roman"/>
          <w:noProof/>
        </w:rPr>
        <w:t xml:space="preserve">. In the fourth year and beyond, there will be a need of </w:t>
      </w:r>
      <w:r w:rsidRPr="2D69C30E">
        <w:rPr>
          <w:rFonts w:ascii="Times New Roman" w:hAnsi="Times New Roman" w:cs="Times New Roman"/>
          <w:b/>
          <w:bCs/>
          <w:noProof/>
        </w:rPr>
        <w:t>3 FTEs (3 TA)</w:t>
      </w:r>
      <w:r w:rsidRPr="2D69C30E">
        <w:rPr>
          <w:rFonts w:ascii="Times New Roman" w:hAnsi="Times New Roman" w:cs="Times New Roman"/>
          <w:noProof/>
        </w:rPr>
        <w:t xml:space="preserve"> per year and </w:t>
      </w:r>
      <w:r>
        <w:rPr>
          <w:rFonts w:ascii="Times New Roman" w:hAnsi="Times New Roman" w:cs="Times New Roman"/>
          <w:noProof/>
        </w:rPr>
        <w:t xml:space="preserve">an operational budget of </w:t>
      </w:r>
      <w:r w:rsidRPr="00337D48">
        <w:rPr>
          <w:rFonts w:ascii="Times New Roman" w:hAnsi="Times New Roman" w:cs="Times New Roman"/>
          <w:b/>
          <w:noProof/>
        </w:rPr>
        <w:t>EUR</w:t>
      </w:r>
      <w:r>
        <w:rPr>
          <w:rFonts w:ascii="Times New Roman" w:hAnsi="Times New Roman" w:cs="Times New Roman"/>
          <w:noProof/>
        </w:rPr>
        <w:t xml:space="preserve"> </w:t>
      </w:r>
      <w:r w:rsidRPr="2D69C30E">
        <w:rPr>
          <w:rFonts w:ascii="Times New Roman" w:hAnsi="Times New Roman" w:cs="Times New Roman"/>
          <w:b/>
          <w:bCs/>
          <w:noProof/>
        </w:rPr>
        <w:t xml:space="preserve">400 </w:t>
      </w:r>
      <w:r>
        <w:rPr>
          <w:rFonts w:ascii="Times New Roman" w:hAnsi="Times New Roman" w:cs="Times New Roman"/>
          <w:b/>
          <w:bCs/>
          <w:noProof/>
        </w:rPr>
        <w:t xml:space="preserve">000 </w:t>
      </w:r>
      <w:r w:rsidRPr="2D69C30E">
        <w:rPr>
          <w:rFonts w:ascii="Times New Roman" w:hAnsi="Times New Roman" w:cs="Times New Roman"/>
          <w:noProof/>
        </w:rPr>
        <w:t>per year.</w:t>
      </w:r>
      <w:r w:rsidRPr="00C934C5">
        <w:rPr>
          <w:rFonts w:ascii="Times New Roman" w:hAnsi="Times New Roman" w:cs="Times New Roman"/>
          <w:noProof/>
        </w:rPr>
        <w:t xml:space="preserve"> </w:t>
      </w:r>
      <w:r>
        <w:rPr>
          <w:rFonts w:ascii="Times New Roman" w:hAnsi="Times New Roman" w:cs="Times New Roman"/>
          <w:noProof/>
        </w:rPr>
        <w:t xml:space="preserve">It should be noted that </w:t>
      </w:r>
      <w:r w:rsidRPr="2D69C30E">
        <w:rPr>
          <w:rFonts w:ascii="Times New Roman" w:hAnsi="Times New Roman" w:cs="Times New Roman"/>
          <w:noProof/>
        </w:rPr>
        <w:t xml:space="preserve">the allocation of </w:t>
      </w:r>
      <w:r>
        <w:rPr>
          <w:rFonts w:ascii="Times New Roman" w:hAnsi="Times New Roman" w:cs="Times New Roman"/>
          <w:noProof/>
        </w:rPr>
        <w:t>1</w:t>
      </w:r>
      <w:r w:rsidRPr="2D69C30E">
        <w:rPr>
          <w:rFonts w:ascii="Times New Roman" w:hAnsi="Times New Roman" w:cs="Times New Roman"/>
          <w:noProof/>
        </w:rPr>
        <w:t xml:space="preserve"> </w:t>
      </w:r>
      <w:r>
        <w:rPr>
          <w:rFonts w:ascii="Times New Roman" w:hAnsi="Times New Roman" w:cs="Times New Roman"/>
          <w:noProof/>
        </w:rPr>
        <w:t xml:space="preserve">FTE out of those required by EEA </w:t>
      </w:r>
      <w:r w:rsidRPr="2D69C30E">
        <w:rPr>
          <w:rFonts w:ascii="Times New Roman" w:hAnsi="Times New Roman" w:cs="Times New Roman"/>
          <w:noProof/>
        </w:rPr>
        <w:t xml:space="preserve">is a reattribution </w:t>
      </w:r>
      <w:r>
        <w:rPr>
          <w:rFonts w:ascii="Times New Roman" w:hAnsi="Times New Roman" w:cs="Times New Roman"/>
          <w:noProof/>
        </w:rPr>
        <w:t xml:space="preserve">of the existing resources used for operation of IPCHEM. </w:t>
      </w:r>
    </w:p>
    <w:tbl>
      <w:tblPr>
        <w:tblStyle w:val="TableGrid"/>
        <w:tblW w:w="9634" w:type="dxa"/>
        <w:tblLayout w:type="fixed"/>
        <w:tblLook w:val="04A0" w:firstRow="1" w:lastRow="0" w:firstColumn="1" w:lastColumn="0" w:noHBand="0" w:noVBand="1"/>
      </w:tblPr>
      <w:tblGrid>
        <w:gridCol w:w="3964"/>
        <w:gridCol w:w="426"/>
        <w:gridCol w:w="425"/>
        <w:gridCol w:w="425"/>
        <w:gridCol w:w="425"/>
        <w:gridCol w:w="426"/>
        <w:gridCol w:w="425"/>
        <w:gridCol w:w="425"/>
        <w:gridCol w:w="425"/>
        <w:gridCol w:w="567"/>
        <w:gridCol w:w="567"/>
        <w:gridCol w:w="567"/>
        <w:gridCol w:w="567"/>
      </w:tblGrid>
      <w:tr w:rsidR="000A7D9D" w:rsidRPr="00EC1412" w14:paraId="12E778AB" w14:textId="77777777" w:rsidTr="00F31937">
        <w:tc>
          <w:tcPr>
            <w:tcW w:w="9634" w:type="dxa"/>
            <w:gridSpan w:val="13"/>
            <w:tcBorders>
              <w:bottom w:val="single" w:sz="4" w:space="0" w:color="auto"/>
            </w:tcBorders>
            <w:shd w:val="clear" w:color="auto" w:fill="A6A6A6" w:themeFill="background1" w:themeFillShade="A6"/>
          </w:tcPr>
          <w:p w14:paraId="795D7F3E" w14:textId="77777777" w:rsidR="000A7D9D" w:rsidRPr="00EC1412" w:rsidRDefault="000A7D9D" w:rsidP="00F31937">
            <w:pPr>
              <w:spacing w:before="60" w:after="60"/>
              <w:jc w:val="both"/>
              <w:rPr>
                <w:b/>
                <w:caps/>
                <w:noProof/>
                <w:sz w:val="18"/>
                <w:szCs w:val="18"/>
              </w:rPr>
            </w:pPr>
            <w:r w:rsidRPr="00EC1412">
              <w:rPr>
                <w:b/>
                <w:noProof/>
                <w:sz w:val="18"/>
                <w:szCs w:val="18"/>
              </w:rPr>
              <w:t xml:space="preserve">Table 17. Resource already allocated or proposed to EEA per legislative proposal (operational costs in </w:t>
            </w:r>
            <w:r>
              <w:rPr>
                <w:b/>
                <w:noProof/>
                <w:sz w:val="18"/>
                <w:szCs w:val="18"/>
              </w:rPr>
              <w:t xml:space="preserve">EUR </w:t>
            </w:r>
            <w:r w:rsidRPr="00EC1412">
              <w:rPr>
                <w:b/>
                <w:noProof/>
                <w:sz w:val="18"/>
                <w:szCs w:val="18"/>
              </w:rPr>
              <w:t>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779A1CEC" w14:textId="77777777" w:rsidTr="00F31937">
        <w:tc>
          <w:tcPr>
            <w:tcW w:w="3964" w:type="dxa"/>
            <w:tcBorders>
              <w:bottom w:val="single" w:sz="4" w:space="0" w:color="auto"/>
              <w:right w:val="single" w:sz="4" w:space="0" w:color="auto"/>
            </w:tcBorders>
            <w:shd w:val="clear" w:color="auto" w:fill="BFBFBF" w:themeFill="background1" w:themeFillShade="BF"/>
          </w:tcPr>
          <w:p w14:paraId="550D02F9" w14:textId="77777777" w:rsidR="000A7D9D" w:rsidRPr="00EC1412" w:rsidRDefault="000A7D9D" w:rsidP="00F31937">
            <w:pPr>
              <w:jc w:val="both"/>
              <w:rPr>
                <w:caps/>
                <w:noProof/>
                <w:sz w:val="18"/>
                <w:szCs w:val="18"/>
              </w:rPr>
            </w:pPr>
          </w:p>
        </w:tc>
        <w:tc>
          <w:tcPr>
            <w:tcW w:w="3402" w:type="dxa"/>
            <w:gridSpan w:val="8"/>
            <w:tcBorders>
              <w:left w:val="single" w:sz="4" w:space="0" w:color="auto"/>
              <w:bottom w:val="single" w:sz="4" w:space="0" w:color="auto"/>
              <w:right w:val="single" w:sz="4" w:space="0" w:color="auto"/>
            </w:tcBorders>
            <w:shd w:val="clear" w:color="auto" w:fill="BFBFBF" w:themeFill="background1" w:themeFillShade="BF"/>
          </w:tcPr>
          <w:p w14:paraId="6F37F5E7" w14:textId="77777777" w:rsidR="000A7D9D" w:rsidRPr="00EC1412" w:rsidRDefault="000A7D9D" w:rsidP="00F31937">
            <w:pPr>
              <w:jc w:val="center"/>
              <w:rPr>
                <w:b/>
                <w:caps/>
                <w:noProof/>
                <w:sz w:val="18"/>
                <w:szCs w:val="18"/>
              </w:rPr>
            </w:pPr>
            <w:r w:rsidRPr="00EC1412">
              <w:rPr>
                <w:b/>
                <w:noProof/>
                <w:sz w:val="18"/>
                <w:szCs w:val="18"/>
              </w:rPr>
              <w:t>FTEs</w:t>
            </w:r>
          </w:p>
        </w:tc>
        <w:tc>
          <w:tcPr>
            <w:tcW w:w="2268" w:type="dxa"/>
            <w:gridSpan w:val="4"/>
            <w:tcBorders>
              <w:left w:val="single" w:sz="4" w:space="0" w:color="auto"/>
              <w:bottom w:val="single" w:sz="4" w:space="0" w:color="auto"/>
            </w:tcBorders>
            <w:shd w:val="clear" w:color="auto" w:fill="BFBFBF" w:themeFill="background1" w:themeFillShade="BF"/>
          </w:tcPr>
          <w:p w14:paraId="50E18AE4"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415C5BFD" w14:textId="77777777" w:rsidTr="00F31937">
        <w:tc>
          <w:tcPr>
            <w:tcW w:w="3964" w:type="dxa"/>
            <w:tcBorders>
              <w:bottom w:val="single" w:sz="4" w:space="0" w:color="auto"/>
              <w:right w:val="single" w:sz="4" w:space="0" w:color="auto"/>
            </w:tcBorders>
            <w:shd w:val="clear" w:color="auto" w:fill="BFBFBF" w:themeFill="background1" w:themeFillShade="BF"/>
          </w:tcPr>
          <w:p w14:paraId="6E54909A"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3D3C625A" w14:textId="77777777" w:rsidR="000A7D9D" w:rsidRPr="00EC1412" w:rsidRDefault="000A7D9D" w:rsidP="00F31937">
            <w:pPr>
              <w:ind w:left="-112"/>
              <w:jc w:val="center"/>
              <w:rPr>
                <w:b/>
                <w:caps/>
                <w:noProof/>
                <w:sz w:val="18"/>
                <w:szCs w:val="18"/>
              </w:rPr>
            </w:pPr>
            <w:r w:rsidRPr="00EC1412">
              <w:rPr>
                <w:b/>
                <w:caps/>
                <w:noProof/>
                <w:sz w:val="18"/>
                <w:szCs w:val="18"/>
              </w:rPr>
              <w:t>2024</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5095DAA8" w14:textId="77777777" w:rsidR="000A7D9D" w:rsidRPr="00EC1412" w:rsidRDefault="000A7D9D" w:rsidP="00F31937">
            <w:pPr>
              <w:jc w:val="center"/>
              <w:rPr>
                <w:b/>
                <w:caps/>
                <w:noProof/>
                <w:sz w:val="18"/>
                <w:szCs w:val="18"/>
              </w:rPr>
            </w:pPr>
            <w:r w:rsidRPr="00EC1412">
              <w:rPr>
                <w:b/>
                <w:caps/>
                <w:noProof/>
                <w:sz w:val="18"/>
                <w:szCs w:val="18"/>
              </w:rPr>
              <w:t>2025</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1FF22F35" w14:textId="77777777" w:rsidR="000A7D9D" w:rsidRPr="00EC1412" w:rsidRDefault="000A7D9D" w:rsidP="00F31937">
            <w:pPr>
              <w:ind w:left="-107"/>
              <w:jc w:val="center"/>
              <w:rPr>
                <w:b/>
                <w:caps/>
                <w:noProof/>
                <w:sz w:val="18"/>
                <w:szCs w:val="18"/>
              </w:rPr>
            </w:pPr>
            <w:r w:rsidRPr="00EC1412">
              <w:rPr>
                <w:b/>
                <w:caps/>
                <w:noProof/>
                <w:sz w:val="18"/>
                <w:szCs w:val="18"/>
              </w:rPr>
              <w:t>2026</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2909C55E" w14:textId="77777777" w:rsidR="000A7D9D" w:rsidRPr="00EC1412" w:rsidRDefault="000A7D9D" w:rsidP="00F31937">
            <w:pPr>
              <w:ind w:left="-105"/>
              <w:jc w:val="center"/>
              <w:rPr>
                <w:b/>
                <w:caps/>
                <w:noProof/>
                <w:sz w:val="18"/>
                <w:szCs w:val="18"/>
              </w:rPr>
            </w:pPr>
            <w:r w:rsidRPr="00EC1412">
              <w:rPr>
                <w:b/>
                <w:caps/>
                <w:noProof/>
                <w:sz w:val="18"/>
                <w:szCs w:val="18"/>
              </w:rPr>
              <w:t>2027</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76E57B11" w14:textId="77777777" w:rsidR="000A7D9D" w:rsidRPr="00EC1412" w:rsidRDefault="000A7D9D" w:rsidP="00F31937">
            <w:pPr>
              <w:ind w:left="-111"/>
              <w:jc w:val="right"/>
              <w:rPr>
                <w:b/>
                <w:caps/>
                <w:noProof/>
                <w:sz w:val="18"/>
                <w:szCs w:val="18"/>
              </w:rPr>
            </w:pPr>
            <w:r w:rsidRPr="00EC1412">
              <w:rPr>
                <w:b/>
                <w:caps/>
                <w:noProof/>
                <w:sz w:val="18"/>
                <w:szCs w:val="18"/>
              </w:rPr>
              <w:t>2024</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5CAF25CC" w14:textId="77777777" w:rsidR="000A7D9D" w:rsidRPr="00EC1412" w:rsidRDefault="000A7D9D" w:rsidP="00F31937">
            <w:pPr>
              <w:ind w:left="-109"/>
              <w:jc w:val="right"/>
              <w:rPr>
                <w:b/>
                <w:caps/>
                <w:noProof/>
                <w:sz w:val="18"/>
                <w:szCs w:val="18"/>
              </w:rPr>
            </w:pPr>
            <w:r w:rsidRPr="00EC1412">
              <w:rPr>
                <w:b/>
                <w:caps/>
                <w:noProof/>
                <w:sz w:val="18"/>
                <w:szCs w:val="18"/>
              </w:rPr>
              <w:t>2025</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4649EF3B" w14:textId="77777777" w:rsidR="000A7D9D" w:rsidRPr="00EC1412" w:rsidRDefault="000A7D9D" w:rsidP="00F31937">
            <w:pPr>
              <w:ind w:left="-106"/>
              <w:jc w:val="right"/>
              <w:rPr>
                <w:b/>
                <w:caps/>
                <w:noProof/>
                <w:sz w:val="18"/>
                <w:szCs w:val="18"/>
              </w:rPr>
            </w:pPr>
            <w:r w:rsidRPr="00EC1412">
              <w:rPr>
                <w:b/>
                <w:caps/>
                <w:noProof/>
                <w:sz w:val="18"/>
                <w:szCs w:val="18"/>
              </w:rPr>
              <w:t>2026</w:t>
            </w:r>
          </w:p>
        </w:tc>
        <w:tc>
          <w:tcPr>
            <w:tcW w:w="567" w:type="dxa"/>
            <w:tcBorders>
              <w:left w:val="single" w:sz="4" w:space="0" w:color="auto"/>
              <w:bottom w:val="single" w:sz="4" w:space="0" w:color="auto"/>
            </w:tcBorders>
            <w:shd w:val="clear" w:color="auto" w:fill="BFBFBF" w:themeFill="background1" w:themeFillShade="BF"/>
          </w:tcPr>
          <w:p w14:paraId="1D6B8865" w14:textId="77777777" w:rsidR="000A7D9D" w:rsidRPr="00EC1412" w:rsidRDefault="000A7D9D" w:rsidP="00F31937">
            <w:pPr>
              <w:ind w:left="-104"/>
              <w:jc w:val="right"/>
              <w:rPr>
                <w:b/>
                <w:caps/>
                <w:noProof/>
                <w:sz w:val="18"/>
                <w:szCs w:val="18"/>
              </w:rPr>
            </w:pPr>
            <w:r w:rsidRPr="00EC1412">
              <w:rPr>
                <w:b/>
                <w:caps/>
                <w:noProof/>
                <w:sz w:val="18"/>
                <w:szCs w:val="18"/>
              </w:rPr>
              <w:t>2027</w:t>
            </w:r>
          </w:p>
        </w:tc>
      </w:tr>
      <w:tr w:rsidR="000A7D9D" w:rsidRPr="00EC1412" w14:paraId="455F458B" w14:textId="77777777" w:rsidTr="00F31937">
        <w:tc>
          <w:tcPr>
            <w:tcW w:w="3964" w:type="dxa"/>
            <w:tcBorders>
              <w:bottom w:val="single" w:sz="4" w:space="0" w:color="auto"/>
              <w:right w:val="single" w:sz="4" w:space="0" w:color="auto"/>
            </w:tcBorders>
            <w:shd w:val="clear" w:color="auto" w:fill="BFBFBF" w:themeFill="background1" w:themeFillShade="BF"/>
          </w:tcPr>
          <w:p w14:paraId="0F41D5D3" w14:textId="77777777" w:rsidR="000A7D9D" w:rsidRPr="00EC1412" w:rsidRDefault="000A7D9D" w:rsidP="00F31937">
            <w:pPr>
              <w:jc w:val="both"/>
              <w:rPr>
                <w:b/>
                <w:noProof/>
                <w:sz w:val="18"/>
                <w:szCs w:val="18"/>
              </w:rPr>
            </w:pP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6BB4BC1E" w14:textId="77777777" w:rsidR="000A7D9D" w:rsidRPr="00EC1412" w:rsidRDefault="000A7D9D" w:rsidP="00F31937">
            <w:pPr>
              <w:ind w:left="-112"/>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0FA1BB25" w14:textId="77777777" w:rsidR="000A7D9D" w:rsidRPr="00EC1412" w:rsidRDefault="000A7D9D" w:rsidP="00F31937">
            <w:pPr>
              <w:ind w:left="-112"/>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4A9531D0" w14:textId="77777777" w:rsidR="000A7D9D" w:rsidRPr="00EC1412" w:rsidRDefault="000A7D9D" w:rsidP="00F31937">
            <w:pPr>
              <w:ind w:left="-106"/>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58A4DB51" w14:textId="77777777" w:rsidR="000A7D9D" w:rsidRPr="00EC1412" w:rsidRDefault="000A7D9D" w:rsidP="00F31937">
            <w:pPr>
              <w:ind w:left="-176" w:right="-114"/>
              <w:jc w:val="center"/>
              <w:rPr>
                <w:b/>
                <w:caps/>
                <w:noProof/>
                <w:sz w:val="18"/>
                <w:szCs w:val="18"/>
              </w:rPr>
            </w:pPr>
            <w:r>
              <w:rPr>
                <w:b/>
                <w:caps/>
                <w:noProof/>
                <w:sz w:val="18"/>
                <w:szCs w:val="18"/>
              </w:rPr>
              <w:t>CA</w:t>
            </w: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477E9BB3" w14:textId="77777777" w:rsidR="000A7D9D" w:rsidRPr="00EC1412" w:rsidRDefault="000A7D9D" w:rsidP="00F31937">
            <w:pPr>
              <w:ind w:left="-107"/>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5F2803BB" w14:textId="77777777" w:rsidR="000A7D9D" w:rsidRPr="00EC1412" w:rsidRDefault="000A7D9D" w:rsidP="00F31937">
            <w:pPr>
              <w:ind w:left="-107"/>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1D2417BE"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0CAFA2B4" w14:textId="77777777" w:rsidR="000A7D9D" w:rsidRPr="00EC1412" w:rsidRDefault="000A7D9D" w:rsidP="00F31937">
            <w:pPr>
              <w:ind w:left="-105"/>
              <w:jc w:val="right"/>
              <w:rPr>
                <w:b/>
                <w:caps/>
                <w:noProof/>
                <w:sz w:val="18"/>
                <w:szCs w:val="18"/>
              </w:rPr>
            </w:pPr>
            <w:r>
              <w:rPr>
                <w:b/>
                <w:caps/>
                <w:noProof/>
                <w:sz w:val="18"/>
                <w:szCs w:val="18"/>
              </w:rPr>
              <w:t>CA</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49017C3A" w14:textId="77777777" w:rsidR="000A7D9D" w:rsidRPr="00EC1412" w:rsidRDefault="000A7D9D" w:rsidP="00F31937">
            <w:pPr>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590796AF" w14:textId="77777777" w:rsidR="000A7D9D" w:rsidRPr="00EC1412" w:rsidRDefault="000A7D9D" w:rsidP="00F31937">
            <w:pPr>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132C9AB5" w14:textId="77777777" w:rsidR="000A7D9D" w:rsidRPr="00EC1412" w:rsidRDefault="000A7D9D" w:rsidP="00F31937">
            <w:pPr>
              <w:jc w:val="right"/>
              <w:rPr>
                <w:b/>
                <w:caps/>
                <w:noProof/>
                <w:sz w:val="18"/>
                <w:szCs w:val="18"/>
              </w:rPr>
            </w:pPr>
          </w:p>
        </w:tc>
        <w:tc>
          <w:tcPr>
            <w:tcW w:w="567" w:type="dxa"/>
            <w:tcBorders>
              <w:left w:val="single" w:sz="4" w:space="0" w:color="auto"/>
              <w:bottom w:val="single" w:sz="4" w:space="0" w:color="auto"/>
            </w:tcBorders>
            <w:shd w:val="clear" w:color="auto" w:fill="BFBFBF" w:themeFill="background1" w:themeFillShade="BF"/>
          </w:tcPr>
          <w:p w14:paraId="3137D125" w14:textId="77777777" w:rsidR="000A7D9D" w:rsidRPr="00EC1412" w:rsidRDefault="000A7D9D" w:rsidP="00F31937">
            <w:pPr>
              <w:jc w:val="right"/>
              <w:rPr>
                <w:b/>
                <w:caps/>
                <w:noProof/>
                <w:sz w:val="18"/>
                <w:szCs w:val="18"/>
              </w:rPr>
            </w:pPr>
          </w:p>
        </w:tc>
      </w:tr>
      <w:tr w:rsidR="000A7D9D" w:rsidRPr="00EC1412" w14:paraId="20FDC7B5" w14:textId="77777777" w:rsidTr="00F31937">
        <w:tc>
          <w:tcPr>
            <w:tcW w:w="3964" w:type="dxa"/>
            <w:tcBorders>
              <w:bottom w:val="single" w:sz="4" w:space="0" w:color="auto"/>
              <w:right w:val="single" w:sz="4" w:space="0" w:color="auto"/>
            </w:tcBorders>
            <w:shd w:val="clear" w:color="auto" w:fill="FFF4CC"/>
          </w:tcPr>
          <w:p w14:paraId="72FBBBD0" w14:textId="77777777" w:rsidR="000A7D9D" w:rsidRPr="00EC1412" w:rsidRDefault="000A7D9D" w:rsidP="00F31937">
            <w:pPr>
              <w:jc w:val="both"/>
              <w:rPr>
                <w:caps/>
                <w:noProof/>
                <w:sz w:val="18"/>
                <w:szCs w:val="18"/>
              </w:rPr>
            </w:pPr>
            <w:r>
              <w:rPr>
                <w:noProof/>
                <w:sz w:val="18"/>
                <w:szCs w:val="18"/>
              </w:rPr>
              <w:t>Regulation on s</w:t>
            </w:r>
            <w:r w:rsidRPr="00EC1412">
              <w:rPr>
                <w:noProof/>
                <w:sz w:val="18"/>
                <w:szCs w:val="18"/>
              </w:rPr>
              <w:t xml:space="preserve">erious cross-border threat </w:t>
            </w:r>
            <w:r>
              <w:rPr>
                <w:noProof/>
                <w:sz w:val="18"/>
                <w:szCs w:val="18"/>
              </w:rPr>
              <w:t>to health</w:t>
            </w:r>
          </w:p>
        </w:tc>
        <w:tc>
          <w:tcPr>
            <w:tcW w:w="426" w:type="dxa"/>
            <w:tcBorders>
              <w:left w:val="single" w:sz="4" w:space="0" w:color="auto"/>
              <w:bottom w:val="single" w:sz="4" w:space="0" w:color="auto"/>
              <w:right w:val="dotted" w:sz="4" w:space="0" w:color="auto"/>
            </w:tcBorders>
            <w:shd w:val="clear" w:color="auto" w:fill="FFF4CC"/>
          </w:tcPr>
          <w:p w14:paraId="3E60FDFE"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29FCD49D"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63754E9E"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2655FD75"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FFF4CC"/>
          </w:tcPr>
          <w:p w14:paraId="4BE94739"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4F5E27C1"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6A27ECFB"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18BB392B"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618CF43F"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7782F59E"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76159B57" w14:textId="77777777" w:rsidR="000A7D9D" w:rsidRPr="00EC1412" w:rsidRDefault="000A7D9D" w:rsidP="00F31937">
            <w:pPr>
              <w:jc w:val="right"/>
              <w:rPr>
                <w:caps/>
                <w:noProof/>
                <w:sz w:val="18"/>
                <w:szCs w:val="18"/>
              </w:rPr>
            </w:pPr>
            <w:r w:rsidRPr="00EC1412">
              <w:rPr>
                <w:noProof/>
                <w:sz w:val="18"/>
                <w:szCs w:val="18"/>
              </w:rPr>
              <w:t>0</w:t>
            </w:r>
          </w:p>
        </w:tc>
        <w:tc>
          <w:tcPr>
            <w:tcW w:w="567" w:type="dxa"/>
            <w:tcBorders>
              <w:left w:val="single" w:sz="4" w:space="0" w:color="auto"/>
              <w:bottom w:val="single" w:sz="4" w:space="0" w:color="auto"/>
            </w:tcBorders>
            <w:shd w:val="clear" w:color="auto" w:fill="FFF4CC"/>
          </w:tcPr>
          <w:p w14:paraId="35F55D01" w14:textId="77777777" w:rsidR="000A7D9D" w:rsidRPr="00EC1412" w:rsidRDefault="000A7D9D" w:rsidP="00F31937">
            <w:pPr>
              <w:jc w:val="right"/>
              <w:rPr>
                <w:caps/>
                <w:noProof/>
                <w:sz w:val="18"/>
                <w:szCs w:val="18"/>
              </w:rPr>
            </w:pPr>
            <w:r>
              <w:rPr>
                <w:noProof/>
                <w:sz w:val="18"/>
                <w:szCs w:val="18"/>
              </w:rPr>
              <w:t>0</w:t>
            </w:r>
          </w:p>
        </w:tc>
      </w:tr>
      <w:tr w:rsidR="000A7D9D" w:rsidRPr="00EC1412" w14:paraId="160B6812" w14:textId="77777777" w:rsidTr="00F31937">
        <w:tc>
          <w:tcPr>
            <w:tcW w:w="3964" w:type="dxa"/>
            <w:tcBorders>
              <w:bottom w:val="single" w:sz="4" w:space="0" w:color="auto"/>
              <w:right w:val="single" w:sz="4" w:space="0" w:color="auto"/>
            </w:tcBorders>
            <w:shd w:val="clear" w:color="auto" w:fill="C1ECFF"/>
          </w:tcPr>
          <w:p w14:paraId="42E32426" w14:textId="77777777" w:rsidR="000A7D9D" w:rsidRPr="00EC1412" w:rsidRDefault="000A7D9D" w:rsidP="00F31937">
            <w:pPr>
              <w:jc w:val="both"/>
              <w:rPr>
                <w:caps/>
                <w:noProof/>
                <w:sz w:val="18"/>
                <w:szCs w:val="18"/>
              </w:rPr>
            </w:pPr>
            <w:r>
              <w:rPr>
                <w:noProof/>
                <w:sz w:val="18"/>
                <w:szCs w:val="18"/>
              </w:rPr>
              <w:t>European Partnership for the Assessment of Risks from Chemicals</w:t>
            </w:r>
          </w:p>
        </w:tc>
        <w:tc>
          <w:tcPr>
            <w:tcW w:w="426" w:type="dxa"/>
            <w:tcBorders>
              <w:left w:val="single" w:sz="4" w:space="0" w:color="auto"/>
              <w:bottom w:val="single" w:sz="4" w:space="0" w:color="auto"/>
              <w:right w:val="dotted" w:sz="4" w:space="0" w:color="auto"/>
            </w:tcBorders>
            <w:shd w:val="clear" w:color="auto" w:fill="C1ECFF"/>
          </w:tcPr>
          <w:p w14:paraId="1EEEA4E4"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4438858F"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single" w:sz="4" w:space="0" w:color="auto"/>
              <w:bottom w:val="single" w:sz="4" w:space="0" w:color="auto"/>
              <w:right w:val="dotted" w:sz="4" w:space="0" w:color="auto"/>
            </w:tcBorders>
            <w:shd w:val="clear" w:color="auto" w:fill="C1ECFF"/>
          </w:tcPr>
          <w:p w14:paraId="4768AAC5"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156C3005" w14:textId="77777777" w:rsidR="000A7D9D" w:rsidRPr="00EC1412" w:rsidRDefault="000A7D9D" w:rsidP="00F31937">
            <w:pPr>
              <w:jc w:val="right"/>
              <w:rPr>
                <w:caps/>
                <w:noProof/>
                <w:sz w:val="18"/>
                <w:szCs w:val="18"/>
              </w:rPr>
            </w:pPr>
            <w:r>
              <w:rPr>
                <w:caps/>
                <w:noProof/>
                <w:sz w:val="18"/>
                <w:szCs w:val="18"/>
              </w:rPr>
              <w:t>2</w:t>
            </w:r>
          </w:p>
        </w:tc>
        <w:tc>
          <w:tcPr>
            <w:tcW w:w="426" w:type="dxa"/>
            <w:tcBorders>
              <w:left w:val="single" w:sz="4" w:space="0" w:color="auto"/>
              <w:bottom w:val="single" w:sz="4" w:space="0" w:color="auto"/>
              <w:right w:val="dotted" w:sz="4" w:space="0" w:color="auto"/>
            </w:tcBorders>
            <w:shd w:val="clear" w:color="auto" w:fill="C1ECFF"/>
          </w:tcPr>
          <w:p w14:paraId="727AEB3B"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709F3835" w14:textId="77777777" w:rsidR="000A7D9D" w:rsidRPr="00EC1412" w:rsidRDefault="000A7D9D" w:rsidP="00F31937">
            <w:pPr>
              <w:jc w:val="right"/>
              <w:rPr>
                <w:caps/>
                <w:noProof/>
                <w:sz w:val="18"/>
                <w:szCs w:val="18"/>
              </w:rPr>
            </w:pPr>
            <w:r>
              <w:rPr>
                <w:caps/>
                <w:noProof/>
                <w:sz w:val="18"/>
                <w:szCs w:val="18"/>
              </w:rPr>
              <w:t>2</w:t>
            </w:r>
          </w:p>
        </w:tc>
        <w:tc>
          <w:tcPr>
            <w:tcW w:w="425" w:type="dxa"/>
            <w:tcBorders>
              <w:left w:val="single" w:sz="4" w:space="0" w:color="auto"/>
              <w:bottom w:val="single" w:sz="4" w:space="0" w:color="auto"/>
              <w:right w:val="dotted" w:sz="4" w:space="0" w:color="auto"/>
            </w:tcBorders>
            <w:shd w:val="clear" w:color="auto" w:fill="C1ECFF"/>
          </w:tcPr>
          <w:p w14:paraId="273C3A2C"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4C9079A2"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5D9718E9" w14:textId="77777777" w:rsidR="000A7D9D" w:rsidRPr="00EC1412" w:rsidRDefault="000A7D9D" w:rsidP="00F31937">
            <w:pPr>
              <w:jc w:val="right"/>
              <w:rPr>
                <w:caps/>
                <w:noProof/>
                <w:sz w:val="18"/>
                <w:szCs w:val="18"/>
              </w:rPr>
            </w:pPr>
            <w:r>
              <w:rPr>
                <w:noProof/>
                <w:sz w:val="18"/>
                <w:szCs w:val="18"/>
              </w:rPr>
              <w:t>289</w:t>
            </w:r>
          </w:p>
        </w:tc>
        <w:tc>
          <w:tcPr>
            <w:tcW w:w="567" w:type="dxa"/>
            <w:tcBorders>
              <w:left w:val="single" w:sz="4" w:space="0" w:color="auto"/>
              <w:bottom w:val="single" w:sz="4" w:space="0" w:color="auto"/>
              <w:right w:val="single" w:sz="4" w:space="0" w:color="auto"/>
            </w:tcBorders>
            <w:shd w:val="clear" w:color="auto" w:fill="C1ECFF"/>
          </w:tcPr>
          <w:p w14:paraId="08A3936A" w14:textId="77777777" w:rsidR="000A7D9D" w:rsidRPr="00EC1412" w:rsidRDefault="000A7D9D" w:rsidP="00F31937">
            <w:pPr>
              <w:jc w:val="right"/>
              <w:rPr>
                <w:caps/>
                <w:noProof/>
                <w:sz w:val="18"/>
                <w:szCs w:val="18"/>
              </w:rPr>
            </w:pPr>
            <w:r>
              <w:rPr>
                <w:noProof/>
                <w:sz w:val="18"/>
                <w:szCs w:val="18"/>
              </w:rPr>
              <w:t>289</w:t>
            </w:r>
          </w:p>
        </w:tc>
        <w:tc>
          <w:tcPr>
            <w:tcW w:w="567" w:type="dxa"/>
            <w:tcBorders>
              <w:left w:val="single" w:sz="4" w:space="0" w:color="auto"/>
              <w:bottom w:val="single" w:sz="4" w:space="0" w:color="auto"/>
              <w:right w:val="single" w:sz="4" w:space="0" w:color="auto"/>
            </w:tcBorders>
            <w:shd w:val="clear" w:color="auto" w:fill="C1ECFF"/>
          </w:tcPr>
          <w:p w14:paraId="065B0B26" w14:textId="77777777" w:rsidR="000A7D9D" w:rsidRPr="00EC1412" w:rsidRDefault="000A7D9D" w:rsidP="00F31937">
            <w:pPr>
              <w:jc w:val="right"/>
              <w:rPr>
                <w:caps/>
                <w:noProof/>
                <w:sz w:val="18"/>
                <w:szCs w:val="18"/>
              </w:rPr>
            </w:pPr>
            <w:r>
              <w:rPr>
                <w:noProof/>
                <w:sz w:val="18"/>
                <w:szCs w:val="18"/>
              </w:rPr>
              <w:t>289</w:t>
            </w:r>
          </w:p>
        </w:tc>
        <w:tc>
          <w:tcPr>
            <w:tcW w:w="567" w:type="dxa"/>
            <w:tcBorders>
              <w:left w:val="single" w:sz="4" w:space="0" w:color="auto"/>
              <w:bottom w:val="single" w:sz="4" w:space="0" w:color="auto"/>
            </w:tcBorders>
            <w:shd w:val="clear" w:color="auto" w:fill="C1ECFF"/>
          </w:tcPr>
          <w:p w14:paraId="6DC768C6" w14:textId="77777777" w:rsidR="000A7D9D" w:rsidRPr="00EC1412" w:rsidRDefault="000A7D9D" w:rsidP="00F31937">
            <w:pPr>
              <w:jc w:val="right"/>
              <w:rPr>
                <w:caps/>
                <w:noProof/>
                <w:sz w:val="18"/>
                <w:szCs w:val="18"/>
              </w:rPr>
            </w:pPr>
            <w:r>
              <w:rPr>
                <w:noProof/>
                <w:sz w:val="18"/>
                <w:szCs w:val="18"/>
              </w:rPr>
              <w:t>0</w:t>
            </w:r>
          </w:p>
        </w:tc>
      </w:tr>
      <w:tr w:rsidR="000A7D9D" w:rsidRPr="00EC1412" w14:paraId="332B6F32" w14:textId="77777777" w:rsidTr="00F31937">
        <w:tc>
          <w:tcPr>
            <w:tcW w:w="3964" w:type="dxa"/>
            <w:tcBorders>
              <w:bottom w:val="single" w:sz="4" w:space="0" w:color="auto"/>
              <w:right w:val="single" w:sz="4" w:space="0" w:color="auto"/>
            </w:tcBorders>
            <w:shd w:val="clear" w:color="auto" w:fill="FFF4CC"/>
          </w:tcPr>
          <w:p w14:paraId="4EA442FF" w14:textId="77777777" w:rsidR="000A7D9D" w:rsidRPr="00EC1412" w:rsidRDefault="000A7D9D" w:rsidP="00F31937">
            <w:pPr>
              <w:rPr>
                <w:caps/>
                <w:noProof/>
                <w:sz w:val="18"/>
                <w:szCs w:val="18"/>
              </w:rPr>
            </w:pPr>
            <w:r>
              <w:rPr>
                <w:noProof/>
                <w:sz w:val="18"/>
                <w:szCs w:val="18"/>
              </w:rPr>
              <w:t xml:space="preserve">Commission implementing decision 2022/1979 under </w:t>
            </w:r>
            <w:r w:rsidRPr="00EC1412">
              <w:rPr>
                <w:noProof/>
                <w:sz w:val="18"/>
                <w:szCs w:val="18"/>
              </w:rPr>
              <w:t xml:space="preserve">SEVESO </w:t>
            </w:r>
            <w:r>
              <w:rPr>
                <w:noProof/>
                <w:sz w:val="18"/>
                <w:szCs w:val="18"/>
              </w:rPr>
              <w:t>directive</w:t>
            </w:r>
          </w:p>
        </w:tc>
        <w:tc>
          <w:tcPr>
            <w:tcW w:w="426" w:type="dxa"/>
            <w:tcBorders>
              <w:left w:val="single" w:sz="4" w:space="0" w:color="auto"/>
              <w:bottom w:val="single" w:sz="4" w:space="0" w:color="auto"/>
              <w:right w:val="dotted" w:sz="4" w:space="0" w:color="auto"/>
            </w:tcBorders>
            <w:shd w:val="clear" w:color="auto" w:fill="FFF4CC"/>
          </w:tcPr>
          <w:p w14:paraId="0EAAFCEB"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50B57366"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FFF4CC"/>
          </w:tcPr>
          <w:p w14:paraId="5C18FA74"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454D0B48" w14:textId="77777777" w:rsidR="000A7D9D" w:rsidRPr="00EC1412" w:rsidRDefault="000A7D9D" w:rsidP="00F31937">
            <w:pPr>
              <w:jc w:val="right"/>
              <w:rPr>
                <w:caps/>
                <w:noProof/>
                <w:sz w:val="18"/>
                <w:szCs w:val="18"/>
              </w:rPr>
            </w:pPr>
            <w:r>
              <w:rPr>
                <w:caps/>
                <w:noProof/>
                <w:sz w:val="18"/>
                <w:szCs w:val="18"/>
              </w:rPr>
              <w:t>1</w:t>
            </w:r>
          </w:p>
        </w:tc>
        <w:tc>
          <w:tcPr>
            <w:tcW w:w="426" w:type="dxa"/>
            <w:tcBorders>
              <w:left w:val="single" w:sz="4" w:space="0" w:color="auto"/>
              <w:bottom w:val="single" w:sz="4" w:space="0" w:color="auto"/>
              <w:right w:val="dotted" w:sz="4" w:space="0" w:color="auto"/>
            </w:tcBorders>
            <w:shd w:val="clear" w:color="auto" w:fill="FFF4CC"/>
          </w:tcPr>
          <w:p w14:paraId="37B6AC83"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7604F1E2" w14:textId="77777777" w:rsidR="000A7D9D" w:rsidRPr="00EC1412" w:rsidRDefault="000A7D9D" w:rsidP="00F31937">
            <w:pPr>
              <w:jc w:val="right"/>
              <w:rPr>
                <w:caps/>
                <w:noProof/>
                <w:sz w:val="18"/>
                <w:szCs w:val="18"/>
              </w:rPr>
            </w:pPr>
            <w:r>
              <w:rPr>
                <w:caps/>
                <w:noProof/>
                <w:sz w:val="18"/>
                <w:szCs w:val="18"/>
              </w:rPr>
              <w:t>1</w:t>
            </w:r>
          </w:p>
        </w:tc>
        <w:tc>
          <w:tcPr>
            <w:tcW w:w="425" w:type="dxa"/>
            <w:tcBorders>
              <w:left w:val="single" w:sz="4" w:space="0" w:color="auto"/>
              <w:bottom w:val="single" w:sz="4" w:space="0" w:color="auto"/>
              <w:right w:val="dotted" w:sz="4" w:space="0" w:color="auto"/>
            </w:tcBorders>
            <w:shd w:val="clear" w:color="auto" w:fill="FFF4CC"/>
          </w:tcPr>
          <w:p w14:paraId="36C05234" w14:textId="77777777" w:rsidR="000A7D9D" w:rsidRPr="00EC1412" w:rsidRDefault="000A7D9D" w:rsidP="00F31937">
            <w:pPr>
              <w:jc w:val="right"/>
              <w:rPr>
                <w:caps/>
                <w:noProof/>
                <w:sz w:val="18"/>
                <w:szCs w:val="18"/>
              </w:rPr>
            </w:pPr>
            <w:r>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0B1E6C56" w14:textId="77777777" w:rsidR="000A7D9D" w:rsidRPr="00EC1412" w:rsidRDefault="000A7D9D" w:rsidP="00F31937">
            <w:pPr>
              <w:jc w:val="right"/>
              <w:rPr>
                <w:caps/>
                <w:noProof/>
                <w:sz w:val="18"/>
                <w:szCs w:val="18"/>
              </w:rPr>
            </w:pPr>
            <w:r>
              <w:rPr>
                <w:caps/>
                <w:noProof/>
                <w:sz w:val="18"/>
                <w:szCs w:val="18"/>
              </w:rPr>
              <w:t>1</w:t>
            </w:r>
          </w:p>
        </w:tc>
        <w:tc>
          <w:tcPr>
            <w:tcW w:w="567" w:type="dxa"/>
            <w:tcBorders>
              <w:left w:val="single" w:sz="4" w:space="0" w:color="auto"/>
              <w:bottom w:val="single" w:sz="4" w:space="0" w:color="auto"/>
              <w:right w:val="single" w:sz="4" w:space="0" w:color="auto"/>
            </w:tcBorders>
            <w:shd w:val="clear" w:color="auto" w:fill="FFF4CC"/>
          </w:tcPr>
          <w:p w14:paraId="292ED1BF" w14:textId="77777777" w:rsidR="000A7D9D" w:rsidRPr="00EC1412" w:rsidRDefault="000A7D9D" w:rsidP="00F31937">
            <w:pPr>
              <w:jc w:val="right"/>
              <w:rPr>
                <w:caps/>
                <w:noProof/>
                <w:sz w:val="18"/>
                <w:szCs w:val="18"/>
              </w:rPr>
            </w:pPr>
            <w:r>
              <w:rPr>
                <w:noProof/>
                <w:sz w:val="18"/>
                <w:szCs w:val="18"/>
              </w:rPr>
              <w:t>330</w:t>
            </w:r>
          </w:p>
        </w:tc>
        <w:tc>
          <w:tcPr>
            <w:tcW w:w="567" w:type="dxa"/>
            <w:tcBorders>
              <w:left w:val="single" w:sz="4" w:space="0" w:color="auto"/>
              <w:bottom w:val="single" w:sz="4" w:space="0" w:color="auto"/>
              <w:right w:val="single" w:sz="4" w:space="0" w:color="auto"/>
            </w:tcBorders>
            <w:shd w:val="clear" w:color="auto" w:fill="FFF4CC"/>
          </w:tcPr>
          <w:p w14:paraId="04315033" w14:textId="77777777" w:rsidR="000A7D9D" w:rsidRPr="00EC1412" w:rsidRDefault="000A7D9D" w:rsidP="00F31937">
            <w:pPr>
              <w:jc w:val="right"/>
              <w:rPr>
                <w:caps/>
                <w:noProof/>
                <w:sz w:val="18"/>
                <w:szCs w:val="18"/>
              </w:rPr>
            </w:pPr>
            <w:r>
              <w:rPr>
                <w:noProof/>
                <w:sz w:val="18"/>
                <w:szCs w:val="18"/>
              </w:rPr>
              <w:t>70</w:t>
            </w:r>
          </w:p>
        </w:tc>
        <w:tc>
          <w:tcPr>
            <w:tcW w:w="567" w:type="dxa"/>
            <w:tcBorders>
              <w:left w:val="single" w:sz="4" w:space="0" w:color="auto"/>
              <w:bottom w:val="single" w:sz="4" w:space="0" w:color="auto"/>
              <w:right w:val="single" w:sz="4" w:space="0" w:color="auto"/>
            </w:tcBorders>
            <w:shd w:val="clear" w:color="auto" w:fill="FFF4CC"/>
          </w:tcPr>
          <w:p w14:paraId="72DE76C3" w14:textId="77777777" w:rsidR="000A7D9D" w:rsidRPr="00EC1412" w:rsidRDefault="000A7D9D" w:rsidP="00F31937">
            <w:pPr>
              <w:jc w:val="right"/>
              <w:rPr>
                <w:caps/>
                <w:noProof/>
                <w:sz w:val="18"/>
                <w:szCs w:val="18"/>
              </w:rPr>
            </w:pPr>
            <w:r>
              <w:rPr>
                <w:noProof/>
                <w:sz w:val="18"/>
                <w:szCs w:val="18"/>
              </w:rPr>
              <w:t>70</w:t>
            </w:r>
          </w:p>
        </w:tc>
        <w:tc>
          <w:tcPr>
            <w:tcW w:w="567" w:type="dxa"/>
            <w:tcBorders>
              <w:left w:val="single" w:sz="4" w:space="0" w:color="auto"/>
              <w:bottom w:val="single" w:sz="4" w:space="0" w:color="auto"/>
            </w:tcBorders>
            <w:shd w:val="clear" w:color="auto" w:fill="FFF4CC"/>
          </w:tcPr>
          <w:p w14:paraId="5B7F068E" w14:textId="77777777" w:rsidR="000A7D9D" w:rsidRPr="00EC1412" w:rsidRDefault="000A7D9D" w:rsidP="00F31937">
            <w:pPr>
              <w:jc w:val="right"/>
              <w:rPr>
                <w:caps/>
                <w:noProof/>
                <w:sz w:val="18"/>
                <w:szCs w:val="18"/>
              </w:rPr>
            </w:pPr>
            <w:r>
              <w:rPr>
                <w:noProof/>
                <w:sz w:val="18"/>
                <w:szCs w:val="18"/>
              </w:rPr>
              <w:t>70</w:t>
            </w:r>
          </w:p>
        </w:tc>
      </w:tr>
      <w:tr w:rsidR="000A7D9D" w:rsidRPr="00EC1412" w14:paraId="08871821" w14:textId="77777777" w:rsidTr="00F31937">
        <w:tc>
          <w:tcPr>
            <w:tcW w:w="3964" w:type="dxa"/>
            <w:tcBorders>
              <w:bottom w:val="single" w:sz="4" w:space="0" w:color="auto"/>
              <w:right w:val="single" w:sz="4" w:space="0" w:color="auto"/>
            </w:tcBorders>
            <w:shd w:val="clear" w:color="auto" w:fill="C1ECFF"/>
          </w:tcPr>
          <w:p w14:paraId="2455A370" w14:textId="77777777" w:rsidR="000A7D9D" w:rsidRPr="00EC1412" w:rsidRDefault="000A7D9D" w:rsidP="00F31937">
            <w:pPr>
              <w:jc w:val="both"/>
              <w:rPr>
                <w:caps/>
                <w:noProof/>
                <w:sz w:val="18"/>
                <w:szCs w:val="18"/>
              </w:rPr>
            </w:pPr>
            <w:r w:rsidRPr="00EC1412">
              <w:rPr>
                <w:noProof/>
                <w:sz w:val="18"/>
                <w:szCs w:val="18"/>
              </w:rPr>
              <w:t xml:space="preserve">E-PRTR regulation </w:t>
            </w:r>
          </w:p>
        </w:tc>
        <w:tc>
          <w:tcPr>
            <w:tcW w:w="426" w:type="dxa"/>
            <w:tcBorders>
              <w:left w:val="single" w:sz="4" w:space="0" w:color="auto"/>
              <w:bottom w:val="single" w:sz="4" w:space="0" w:color="auto"/>
              <w:right w:val="dotted" w:sz="4" w:space="0" w:color="auto"/>
            </w:tcBorders>
            <w:shd w:val="clear" w:color="auto" w:fill="C1ECFF"/>
          </w:tcPr>
          <w:p w14:paraId="046BC41A"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354EC6B4"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2A29B624"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1D3D5940"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C1ECFF"/>
          </w:tcPr>
          <w:p w14:paraId="55959B61"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6776BBBE"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510D4A41" w14:textId="77777777" w:rsidR="000A7D9D" w:rsidRPr="00EC1412" w:rsidRDefault="000A7D9D" w:rsidP="00F31937">
            <w:pPr>
              <w:jc w:val="right"/>
              <w:rPr>
                <w:caps/>
                <w:noProof/>
                <w:sz w:val="18"/>
                <w:szCs w:val="18"/>
              </w:rPr>
            </w:pPr>
            <w:r w:rsidRPr="00EC1412">
              <w:rPr>
                <w:caps/>
                <w:noProof/>
                <w:sz w:val="18"/>
                <w:szCs w:val="18"/>
              </w:rPr>
              <w:t>2</w:t>
            </w:r>
          </w:p>
        </w:tc>
        <w:tc>
          <w:tcPr>
            <w:tcW w:w="425" w:type="dxa"/>
            <w:tcBorders>
              <w:left w:val="dotted" w:sz="4" w:space="0" w:color="auto"/>
              <w:bottom w:val="single" w:sz="4" w:space="0" w:color="auto"/>
              <w:right w:val="single" w:sz="4" w:space="0" w:color="auto"/>
            </w:tcBorders>
            <w:shd w:val="clear" w:color="auto" w:fill="C1ECFF"/>
          </w:tcPr>
          <w:p w14:paraId="05E67E7A"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768EC025" w14:textId="77777777" w:rsidR="000A7D9D" w:rsidRPr="00EC1412" w:rsidRDefault="000A7D9D" w:rsidP="00F31937">
            <w:pPr>
              <w:jc w:val="right"/>
              <w:rPr>
                <w:caps/>
                <w:noProof/>
                <w:sz w:val="18"/>
                <w:szCs w:val="18"/>
              </w:rPr>
            </w:pPr>
            <w:r>
              <w:rPr>
                <w:noProof/>
                <w:sz w:val="18"/>
                <w:szCs w:val="18"/>
              </w:rPr>
              <w:t>170</w:t>
            </w:r>
          </w:p>
        </w:tc>
        <w:tc>
          <w:tcPr>
            <w:tcW w:w="567" w:type="dxa"/>
            <w:tcBorders>
              <w:left w:val="single" w:sz="4" w:space="0" w:color="auto"/>
              <w:bottom w:val="single" w:sz="4" w:space="0" w:color="auto"/>
              <w:right w:val="single" w:sz="4" w:space="0" w:color="auto"/>
            </w:tcBorders>
            <w:shd w:val="clear" w:color="auto" w:fill="C1ECFF"/>
          </w:tcPr>
          <w:p w14:paraId="5D6E43A0" w14:textId="77777777" w:rsidR="000A7D9D" w:rsidRPr="00EC1412" w:rsidRDefault="000A7D9D" w:rsidP="00F31937">
            <w:pPr>
              <w:jc w:val="right"/>
              <w:rPr>
                <w:caps/>
                <w:noProof/>
                <w:sz w:val="18"/>
                <w:szCs w:val="18"/>
              </w:rPr>
            </w:pPr>
            <w:r>
              <w:rPr>
                <w:noProof/>
                <w:sz w:val="18"/>
                <w:szCs w:val="18"/>
              </w:rPr>
              <w:t>70</w:t>
            </w:r>
          </w:p>
        </w:tc>
        <w:tc>
          <w:tcPr>
            <w:tcW w:w="567" w:type="dxa"/>
            <w:tcBorders>
              <w:left w:val="single" w:sz="4" w:space="0" w:color="auto"/>
              <w:bottom w:val="single" w:sz="4" w:space="0" w:color="auto"/>
              <w:right w:val="single" w:sz="4" w:space="0" w:color="auto"/>
            </w:tcBorders>
            <w:shd w:val="clear" w:color="auto" w:fill="C1ECFF"/>
          </w:tcPr>
          <w:p w14:paraId="6A253873" w14:textId="77777777" w:rsidR="000A7D9D" w:rsidRPr="00EC1412" w:rsidRDefault="000A7D9D" w:rsidP="00F31937">
            <w:pPr>
              <w:jc w:val="right"/>
              <w:rPr>
                <w:caps/>
                <w:noProof/>
                <w:sz w:val="18"/>
                <w:szCs w:val="18"/>
              </w:rPr>
            </w:pPr>
            <w:r>
              <w:rPr>
                <w:noProof/>
                <w:sz w:val="18"/>
                <w:szCs w:val="18"/>
              </w:rPr>
              <w:t>30</w:t>
            </w:r>
          </w:p>
        </w:tc>
        <w:tc>
          <w:tcPr>
            <w:tcW w:w="567" w:type="dxa"/>
            <w:tcBorders>
              <w:left w:val="single" w:sz="4" w:space="0" w:color="auto"/>
              <w:bottom w:val="single" w:sz="4" w:space="0" w:color="auto"/>
            </w:tcBorders>
            <w:shd w:val="clear" w:color="auto" w:fill="C1ECFF"/>
          </w:tcPr>
          <w:p w14:paraId="30F38020" w14:textId="77777777" w:rsidR="000A7D9D" w:rsidRPr="00EC1412" w:rsidRDefault="000A7D9D" w:rsidP="00F31937">
            <w:pPr>
              <w:jc w:val="right"/>
              <w:rPr>
                <w:caps/>
                <w:noProof/>
                <w:sz w:val="18"/>
                <w:szCs w:val="18"/>
              </w:rPr>
            </w:pPr>
            <w:r>
              <w:rPr>
                <w:noProof/>
                <w:sz w:val="18"/>
                <w:szCs w:val="18"/>
              </w:rPr>
              <w:t>30</w:t>
            </w:r>
          </w:p>
        </w:tc>
      </w:tr>
      <w:tr w:rsidR="000A7D9D" w:rsidRPr="00EC1412" w14:paraId="47108AB8" w14:textId="77777777" w:rsidTr="00F31937">
        <w:tc>
          <w:tcPr>
            <w:tcW w:w="3964" w:type="dxa"/>
            <w:tcBorders>
              <w:bottom w:val="single" w:sz="4" w:space="0" w:color="auto"/>
              <w:right w:val="single" w:sz="4" w:space="0" w:color="auto"/>
            </w:tcBorders>
            <w:shd w:val="clear" w:color="auto" w:fill="FFF4CC"/>
          </w:tcPr>
          <w:p w14:paraId="41B56EEC" w14:textId="77777777" w:rsidR="000A7D9D" w:rsidRPr="00EC1412" w:rsidRDefault="000A7D9D" w:rsidP="00F31937">
            <w:pPr>
              <w:jc w:val="both"/>
              <w:rPr>
                <w:caps/>
                <w:noProof/>
                <w:sz w:val="18"/>
                <w:szCs w:val="18"/>
              </w:rPr>
            </w:pPr>
            <w:r w:rsidRPr="00EC1412">
              <w:rPr>
                <w:noProof/>
                <w:sz w:val="18"/>
                <w:szCs w:val="18"/>
              </w:rPr>
              <w:t>Water legislation (chemicals related tasks)</w:t>
            </w:r>
          </w:p>
        </w:tc>
        <w:tc>
          <w:tcPr>
            <w:tcW w:w="426" w:type="dxa"/>
            <w:tcBorders>
              <w:left w:val="single" w:sz="4" w:space="0" w:color="auto"/>
              <w:bottom w:val="single" w:sz="4" w:space="0" w:color="auto"/>
              <w:right w:val="dotted" w:sz="4" w:space="0" w:color="auto"/>
            </w:tcBorders>
            <w:shd w:val="clear" w:color="auto" w:fill="FFF4CC"/>
          </w:tcPr>
          <w:p w14:paraId="686D31C4" w14:textId="77777777" w:rsidR="000A7D9D" w:rsidRPr="00EC1412" w:rsidRDefault="000A7D9D" w:rsidP="00F31937">
            <w:pPr>
              <w:jc w:val="right"/>
              <w:rPr>
                <w:caps/>
                <w:noProof/>
                <w:sz w:val="18"/>
                <w:szCs w:val="18"/>
              </w:rPr>
            </w:pPr>
            <w:r w:rsidRPr="00EC1412">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401B2AD5"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6D47062B" w14:textId="77777777" w:rsidR="000A7D9D" w:rsidRPr="00EC1412" w:rsidRDefault="000A7D9D" w:rsidP="00F31937">
            <w:pPr>
              <w:jc w:val="right"/>
              <w:rPr>
                <w:caps/>
                <w:noProof/>
                <w:sz w:val="18"/>
                <w:szCs w:val="18"/>
              </w:rPr>
            </w:pPr>
            <w:r w:rsidRPr="00EC1412">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58C482D3"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FFF4CC"/>
          </w:tcPr>
          <w:p w14:paraId="05DBC561" w14:textId="77777777" w:rsidR="000A7D9D" w:rsidRPr="00EC1412" w:rsidRDefault="000A7D9D" w:rsidP="00F31937">
            <w:pPr>
              <w:jc w:val="right"/>
              <w:rPr>
                <w:caps/>
                <w:noProof/>
                <w:sz w:val="18"/>
                <w:szCs w:val="18"/>
              </w:rPr>
            </w:pPr>
            <w:r w:rsidRPr="00EC1412">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5B2FBCDB"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516CF440" w14:textId="77777777" w:rsidR="000A7D9D" w:rsidRPr="00EC1412" w:rsidRDefault="000A7D9D" w:rsidP="00F31937">
            <w:pPr>
              <w:jc w:val="right"/>
              <w:rPr>
                <w:caps/>
                <w:noProof/>
                <w:sz w:val="18"/>
                <w:szCs w:val="18"/>
              </w:rPr>
            </w:pPr>
            <w:r w:rsidRPr="00EC1412">
              <w:rPr>
                <w:caps/>
                <w:noProof/>
                <w:sz w:val="18"/>
                <w:szCs w:val="18"/>
              </w:rPr>
              <w:t>3</w:t>
            </w:r>
          </w:p>
        </w:tc>
        <w:tc>
          <w:tcPr>
            <w:tcW w:w="425" w:type="dxa"/>
            <w:tcBorders>
              <w:left w:val="dotted" w:sz="4" w:space="0" w:color="auto"/>
              <w:bottom w:val="single" w:sz="4" w:space="0" w:color="auto"/>
              <w:right w:val="single" w:sz="4" w:space="0" w:color="auto"/>
            </w:tcBorders>
            <w:shd w:val="clear" w:color="auto" w:fill="FFF4CC"/>
          </w:tcPr>
          <w:p w14:paraId="5BE31B28"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3295BA8E" w14:textId="77777777" w:rsidR="000A7D9D" w:rsidRPr="00EC1412" w:rsidRDefault="000A7D9D" w:rsidP="00F31937">
            <w:pPr>
              <w:jc w:val="right"/>
              <w:rPr>
                <w:caps/>
                <w:noProof/>
                <w:sz w:val="18"/>
                <w:szCs w:val="18"/>
              </w:rPr>
            </w:pPr>
            <w:r>
              <w:rPr>
                <w:caps/>
                <w:noProof/>
                <w:sz w:val="18"/>
                <w:szCs w:val="18"/>
              </w:rPr>
              <w:t>130</w:t>
            </w:r>
          </w:p>
        </w:tc>
        <w:tc>
          <w:tcPr>
            <w:tcW w:w="567" w:type="dxa"/>
            <w:tcBorders>
              <w:left w:val="single" w:sz="4" w:space="0" w:color="auto"/>
              <w:bottom w:val="single" w:sz="4" w:space="0" w:color="auto"/>
              <w:right w:val="single" w:sz="4" w:space="0" w:color="auto"/>
            </w:tcBorders>
            <w:shd w:val="clear" w:color="auto" w:fill="FFF4CC"/>
          </w:tcPr>
          <w:p w14:paraId="35229814" w14:textId="77777777" w:rsidR="000A7D9D" w:rsidRPr="00EC1412" w:rsidRDefault="000A7D9D" w:rsidP="00F31937">
            <w:pPr>
              <w:jc w:val="right"/>
              <w:rPr>
                <w:caps/>
                <w:noProof/>
                <w:sz w:val="18"/>
                <w:szCs w:val="18"/>
              </w:rPr>
            </w:pPr>
            <w:r>
              <w:rPr>
                <w:caps/>
                <w:noProof/>
                <w:sz w:val="18"/>
                <w:szCs w:val="18"/>
              </w:rPr>
              <w:t>80</w:t>
            </w:r>
          </w:p>
        </w:tc>
        <w:tc>
          <w:tcPr>
            <w:tcW w:w="567" w:type="dxa"/>
            <w:tcBorders>
              <w:left w:val="single" w:sz="4" w:space="0" w:color="auto"/>
              <w:bottom w:val="single" w:sz="4" w:space="0" w:color="auto"/>
              <w:right w:val="single" w:sz="4" w:space="0" w:color="auto"/>
            </w:tcBorders>
            <w:shd w:val="clear" w:color="auto" w:fill="FFF4CC"/>
          </w:tcPr>
          <w:p w14:paraId="0B30FD7A" w14:textId="77777777" w:rsidR="000A7D9D" w:rsidRPr="00EC1412" w:rsidRDefault="000A7D9D" w:rsidP="00F31937">
            <w:pPr>
              <w:jc w:val="right"/>
              <w:rPr>
                <w:caps/>
                <w:noProof/>
                <w:sz w:val="18"/>
                <w:szCs w:val="18"/>
              </w:rPr>
            </w:pPr>
            <w:r>
              <w:rPr>
                <w:caps/>
                <w:noProof/>
                <w:sz w:val="18"/>
                <w:szCs w:val="18"/>
              </w:rPr>
              <w:t>80</w:t>
            </w:r>
          </w:p>
        </w:tc>
        <w:tc>
          <w:tcPr>
            <w:tcW w:w="567" w:type="dxa"/>
            <w:tcBorders>
              <w:left w:val="single" w:sz="4" w:space="0" w:color="auto"/>
              <w:bottom w:val="single" w:sz="4" w:space="0" w:color="auto"/>
            </w:tcBorders>
            <w:shd w:val="clear" w:color="auto" w:fill="FFF4CC"/>
          </w:tcPr>
          <w:p w14:paraId="7178EC5C" w14:textId="77777777" w:rsidR="000A7D9D" w:rsidRPr="00EC1412" w:rsidRDefault="000A7D9D" w:rsidP="00F31937">
            <w:pPr>
              <w:ind w:left="-119"/>
              <w:jc w:val="right"/>
              <w:rPr>
                <w:caps/>
                <w:noProof/>
                <w:sz w:val="18"/>
                <w:szCs w:val="18"/>
              </w:rPr>
            </w:pPr>
            <w:r>
              <w:rPr>
                <w:caps/>
                <w:noProof/>
                <w:sz w:val="18"/>
                <w:szCs w:val="18"/>
              </w:rPr>
              <w:t>80</w:t>
            </w:r>
          </w:p>
        </w:tc>
      </w:tr>
      <w:tr w:rsidR="000A7D9D" w:rsidRPr="00EC1412" w14:paraId="70F05DFC" w14:textId="77777777" w:rsidTr="00F31937">
        <w:tc>
          <w:tcPr>
            <w:tcW w:w="3964" w:type="dxa"/>
            <w:tcBorders>
              <w:right w:val="single" w:sz="4" w:space="0" w:color="auto"/>
            </w:tcBorders>
            <w:shd w:val="clear" w:color="auto" w:fill="BFBFBF" w:themeFill="background1" w:themeFillShade="BF"/>
          </w:tcPr>
          <w:p w14:paraId="60A69413" w14:textId="77777777" w:rsidR="000A7D9D" w:rsidRPr="00EC1412" w:rsidRDefault="000A7D9D" w:rsidP="00F31937">
            <w:pPr>
              <w:jc w:val="both"/>
              <w:rPr>
                <w:b/>
                <w:caps/>
                <w:noProof/>
                <w:sz w:val="18"/>
                <w:szCs w:val="18"/>
              </w:rPr>
            </w:pPr>
            <w:r w:rsidRPr="00EC1412">
              <w:rPr>
                <w:b/>
                <w:caps/>
                <w:noProof/>
                <w:sz w:val="18"/>
                <w:szCs w:val="18"/>
              </w:rPr>
              <w:t>SUm</w:t>
            </w:r>
          </w:p>
        </w:tc>
        <w:tc>
          <w:tcPr>
            <w:tcW w:w="426" w:type="dxa"/>
            <w:tcBorders>
              <w:left w:val="single" w:sz="4" w:space="0" w:color="auto"/>
              <w:right w:val="dotted" w:sz="4" w:space="0" w:color="auto"/>
            </w:tcBorders>
            <w:shd w:val="clear" w:color="auto" w:fill="BFBFBF" w:themeFill="background1" w:themeFillShade="BF"/>
          </w:tcPr>
          <w:p w14:paraId="718B97EF" w14:textId="77777777" w:rsidR="000A7D9D" w:rsidRPr="00EC1412" w:rsidRDefault="000A7D9D" w:rsidP="00F31937">
            <w:pPr>
              <w:jc w:val="right"/>
              <w:rPr>
                <w:b/>
                <w:caps/>
                <w:noProof/>
                <w:sz w:val="18"/>
                <w:szCs w:val="18"/>
              </w:rPr>
            </w:pPr>
            <w:r>
              <w:rPr>
                <w:b/>
                <w:caps/>
                <w:noProof/>
                <w:sz w:val="18"/>
                <w:szCs w:val="18"/>
              </w:rPr>
              <w:t>8</w:t>
            </w:r>
          </w:p>
        </w:tc>
        <w:tc>
          <w:tcPr>
            <w:tcW w:w="425" w:type="dxa"/>
            <w:tcBorders>
              <w:left w:val="dotted" w:sz="4" w:space="0" w:color="auto"/>
              <w:right w:val="single" w:sz="4" w:space="0" w:color="auto"/>
            </w:tcBorders>
            <w:shd w:val="clear" w:color="auto" w:fill="BFBFBF" w:themeFill="background1" w:themeFillShade="BF"/>
          </w:tcPr>
          <w:p w14:paraId="13508F68"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single" w:sz="4" w:space="0" w:color="auto"/>
              <w:right w:val="dotted" w:sz="4" w:space="0" w:color="auto"/>
            </w:tcBorders>
            <w:shd w:val="clear" w:color="auto" w:fill="BFBFBF" w:themeFill="background1" w:themeFillShade="BF"/>
          </w:tcPr>
          <w:p w14:paraId="149A4BB2" w14:textId="77777777" w:rsidR="000A7D9D" w:rsidRPr="00EC1412" w:rsidRDefault="000A7D9D" w:rsidP="00F31937">
            <w:pPr>
              <w:jc w:val="right"/>
              <w:rPr>
                <w:b/>
                <w:caps/>
                <w:noProof/>
                <w:sz w:val="18"/>
                <w:szCs w:val="18"/>
              </w:rPr>
            </w:pPr>
            <w:r>
              <w:rPr>
                <w:b/>
                <w:caps/>
                <w:noProof/>
                <w:sz w:val="18"/>
                <w:szCs w:val="18"/>
              </w:rPr>
              <w:t>8</w:t>
            </w:r>
          </w:p>
        </w:tc>
        <w:tc>
          <w:tcPr>
            <w:tcW w:w="425" w:type="dxa"/>
            <w:tcBorders>
              <w:left w:val="dotted" w:sz="4" w:space="0" w:color="auto"/>
              <w:right w:val="single" w:sz="4" w:space="0" w:color="auto"/>
            </w:tcBorders>
            <w:shd w:val="clear" w:color="auto" w:fill="BFBFBF" w:themeFill="background1" w:themeFillShade="BF"/>
          </w:tcPr>
          <w:p w14:paraId="7E56A701" w14:textId="77777777" w:rsidR="000A7D9D" w:rsidRPr="00EC1412" w:rsidRDefault="000A7D9D" w:rsidP="00F31937">
            <w:pPr>
              <w:jc w:val="right"/>
              <w:rPr>
                <w:b/>
                <w:caps/>
                <w:noProof/>
                <w:sz w:val="18"/>
                <w:szCs w:val="18"/>
              </w:rPr>
            </w:pPr>
            <w:r>
              <w:rPr>
                <w:b/>
                <w:caps/>
                <w:noProof/>
                <w:sz w:val="18"/>
                <w:szCs w:val="18"/>
              </w:rPr>
              <w:t>3</w:t>
            </w:r>
          </w:p>
        </w:tc>
        <w:tc>
          <w:tcPr>
            <w:tcW w:w="426" w:type="dxa"/>
            <w:tcBorders>
              <w:left w:val="single" w:sz="4" w:space="0" w:color="auto"/>
              <w:right w:val="dotted" w:sz="4" w:space="0" w:color="auto"/>
            </w:tcBorders>
            <w:shd w:val="clear" w:color="auto" w:fill="BFBFBF" w:themeFill="background1" w:themeFillShade="BF"/>
          </w:tcPr>
          <w:p w14:paraId="5D51CC2B" w14:textId="77777777" w:rsidR="000A7D9D" w:rsidRPr="00EC1412" w:rsidRDefault="000A7D9D" w:rsidP="00F31937">
            <w:pPr>
              <w:jc w:val="right"/>
              <w:rPr>
                <w:b/>
                <w:caps/>
                <w:noProof/>
                <w:sz w:val="18"/>
                <w:szCs w:val="18"/>
              </w:rPr>
            </w:pPr>
            <w:r>
              <w:rPr>
                <w:b/>
                <w:caps/>
                <w:noProof/>
                <w:sz w:val="18"/>
                <w:szCs w:val="18"/>
              </w:rPr>
              <w:t>8</w:t>
            </w:r>
          </w:p>
        </w:tc>
        <w:tc>
          <w:tcPr>
            <w:tcW w:w="425" w:type="dxa"/>
            <w:tcBorders>
              <w:left w:val="dotted" w:sz="4" w:space="0" w:color="auto"/>
              <w:right w:val="single" w:sz="4" w:space="0" w:color="auto"/>
            </w:tcBorders>
            <w:shd w:val="clear" w:color="auto" w:fill="BFBFBF" w:themeFill="background1" w:themeFillShade="BF"/>
          </w:tcPr>
          <w:p w14:paraId="261282BC"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single" w:sz="4" w:space="0" w:color="auto"/>
              <w:right w:val="dotted" w:sz="4" w:space="0" w:color="auto"/>
            </w:tcBorders>
            <w:shd w:val="clear" w:color="auto" w:fill="BFBFBF" w:themeFill="background1" w:themeFillShade="BF"/>
          </w:tcPr>
          <w:p w14:paraId="2F2E3C77" w14:textId="77777777" w:rsidR="000A7D9D" w:rsidRPr="00EC1412" w:rsidRDefault="000A7D9D" w:rsidP="00F31937">
            <w:pPr>
              <w:jc w:val="right"/>
              <w:rPr>
                <w:b/>
                <w:caps/>
                <w:noProof/>
                <w:sz w:val="18"/>
                <w:szCs w:val="18"/>
              </w:rPr>
            </w:pPr>
            <w:r>
              <w:rPr>
                <w:b/>
                <w:caps/>
                <w:noProof/>
                <w:sz w:val="18"/>
                <w:szCs w:val="18"/>
              </w:rPr>
              <w:t>8</w:t>
            </w:r>
          </w:p>
        </w:tc>
        <w:tc>
          <w:tcPr>
            <w:tcW w:w="425" w:type="dxa"/>
            <w:tcBorders>
              <w:left w:val="dotted" w:sz="4" w:space="0" w:color="auto"/>
              <w:right w:val="single" w:sz="4" w:space="0" w:color="auto"/>
            </w:tcBorders>
            <w:shd w:val="clear" w:color="auto" w:fill="BFBFBF" w:themeFill="background1" w:themeFillShade="BF"/>
          </w:tcPr>
          <w:p w14:paraId="1BD276BA" w14:textId="77777777" w:rsidR="000A7D9D" w:rsidRPr="00EC1412" w:rsidRDefault="000A7D9D" w:rsidP="00F31937">
            <w:pPr>
              <w:jc w:val="right"/>
              <w:rPr>
                <w:b/>
                <w:caps/>
                <w:noProof/>
                <w:sz w:val="18"/>
                <w:szCs w:val="18"/>
              </w:rPr>
            </w:pPr>
            <w:r>
              <w:rPr>
                <w:b/>
                <w:caps/>
                <w:noProof/>
                <w:sz w:val="18"/>
                <w:szCs w:val="18"/>
              </w:rPr>
              <w:t>1</w:t>
            </w:r>
          </w:p>
        </w:tc>
        <w:tc>
          <w:tcPr>
            <w:tcW w:w="567" w:type="dxa"/>
            <w:tcBorders>
              <w:left w:val="single" w:sz="4" w:space="0" w:color="auto"/>
              <w:right w:val="single" w:sz="4" w:space="0" w:color="auto"/>
            </w:tcBorders>
            <w:shd w:val="clear" w:color="auto" w:fill="BFBFBF" w:themeFill="background1" w:themeFillShade="BF"/>
          </w:tcPr>
          <w:p w14:paraId="74217AB5" w14:textId="77777777" w:rsidR="000A7D9D" w:rsidRPr="00EC1412" w:rsidRDefault="000A7D9D" w:rsidP="00F31937">
            <w:pPr>
              <w:jc w:val="right"/>
              <w:rPr>
                <w:b/>
                <w:caps/>
                <w:noProof/>
                <w:sz w:val="18"/>
                <w:szCs w:val="18"/>
              </w:rPr>
            </w:pPr>
            <w:r>
              <w:rPr>
                <w:b/>
                <w:caps/>
                <w:noProof/>
                <w:sz w:val="18"/>
                <w:szCs w:val="18"/>
              </w:rPr>
              <w:t>919</w:t>
            </w:r>
          </w:p>
        </w:tc>
        <w:tc>
          <w:tcPr>
            <w:tcW w:w="567" w:type="dxa"/>
            <w:tcBorders>
              <w:left w:val="single" w:sz="4" w:space="0" w:color="auto"/>
              <w:right w:val="single" w:sz="4" w:space="0" w:color="auto"/>
            </w:tcBorders>
            <w:shd w:val="clear" w:color="auto" w:fill="BFBFBF" w:themeFill="background1" w:themeFillShade="BF"/>
          </w:tcPr>
          <w:p w14:paraId="436D7A59" w14:textId="77777777" w:rsidR="000A7D9D" w:rsidRPr="00EC1412" w:rsidRDefault="000A7D9D" w:rsidP="00F31937">
            <w:pPr>
              <w:jc w:val="right"/>
              <w:rPr>
                <w:b/>
                <w:caps/>
                <w:noProof/>
                <w:sz w:val="18"/>
                <w:szCs w:val="18"/>
              </w:rPr>
            </w:pPr>
            <w:r>
              <w:rPr>
                <w:b/>
                <w:caps/>
                <w:noProof/>
                <w:sz w:val="18"/>
                <w:szCs w:val="18"/>
              </w:rPr>
              <w:t>509</w:t>
            </w:r>
          </w:p>
        </w:tc>
        <w:tc>
          <w:tcPr>
            <w:tcW w:w="567" w:type="dxa"/>
            <w:tcBorders>
              <w:left w:val="single" w:sz="4" w:space="0" w:color="auto"/>
              <w:right w:val="single" w:sz="4" w:space="0" w:color="auto"/>
            </w:tcBorders>
            <w:shd w:val="clear" w:color="auto" w:fill="BFBFBF" w:themeFill="background1" w:themeFillShade="BF"/>
          </w:tcPr>
          <w:p w14:paraId="59FB8744" w14:textId="77777777" w:rsidR="000A7D9D" w:rsidRPr="00EC1412" w:rsidRDefault="000A7D9D" w:rsidP="00F31937">
            <w:pPr>
              <w:jc w:val="right"/>
              <w:rPr>
                <w:b/>
                <w:caps/>
                <w:noProof/>
                <w:sz w:val="18"/>
                <w:szCs w:val="18"/>
              </w:rPr>
            </w:pPr>
            <w:r>
              <w:rPr>
                <w:b/>
                <w:caps/>
                <w:noProof/>
                <w:sz w:val="18"/>
                <w:szCs w:val="18"/>
              </w:rPr>
              <w:t>469</w:t>
            </w:r>
          </w:p>
        </w:tc>
        <w:tc>
          <w:tcPr>
            <w:tcW w:w="567" w:type="dxa"/>
            <w:tcBorders>
              <w:left w:val="single" w:sz="4" w:space="0" w:color="auto"/>
            </w:tcBorders>
            <w:shd w:val="clear" w:color="auto" w:fill="BFBFBF" w:themeFill="background1" w:themeFillShade="BF"/>
          </w:tcPr>
          <w:p w14:paraId="21811ADD" w14:textId="77777777" w:rsidR="000A7D9D" w:rsidRPr="00EC1412" w:rsidRDefault="000A7D9D" w:rsidP="00F31937">
            <w:pPr>
              <w:ind w:left="-104"/>
              <w:jc w:val="right"/>
              <w:rPr>
                <w:b/>
                <w:caps/>
                <w:noProof/>
                <w:sz w:val="18"/>
                <w:szCs w:val="18"/>
              </w:rPr>
            </w:pPr>
            <w:r>
              <w:rPr>
                <w:b/>
                <w:caps/>
                <w:noProof/>
                <w:sz w:val="18"/>
                <w:szCs w:val="18"/>
              </w:rPr>
              <w:t>180</w:t>
            </w:r>
          </w:p>
        </w:tc>
      </w:tr>
    </w:tbl>
    <w:p w14:paraId="5052743F" w14:textId="77777777" w:rsidR="000A7D9D" w:rsidRPr="00EC1412" w:rsidRDefault="000A7D9D" w:rsidP="000A7D9D">
      <w:pPr>
        <w:spacing w:after="120"/>
        <w:jc w:val="both"/>
        <w:rPr>
          <w:rFonts w:ascii="Times New Roman" w:hAnsi="Times New Roman" w:cs="Times New Roman"/>
          <w:noProof/>
        </w:rPr>
      </w:pPr>
    </w:p>
    <w:tbl>
      <w:tblPr>
        <w:tblStyle w:val="TableGrid"/>
        <w:tblW w:w="9634" w:type="dxa"/>
        <w:tblLayout w:type="fixed"/>
        <w:tblLook w:val="04A0" w:firstRow="1" w:lastRow="0" w:firstColumn="1" w:lastColumn="0" w:noHBand="0" w:noVBand="1"/>
      </w:tblPr>
      <w:tblGrid>
        <w:gridCol w:w="3964"/>
        <w:gridCol w:w="426"/>
        <w:gridCol w:w="425"/>
        <w:gridCol w:w="425"/>
        <w:gridCol w:w="425"/>
        <w:gridCol w:w="426"/>
        <w:gridCol w:w="425"/>
        <w:gridCol w:w="425"/>
        <w:gridCol w:w="425"/>
        <w:gridCol w:w="567"/>
        <w:gridCol w:w="567"/>
        <w:gridCol w:w="567"/>
        <w:gridCol w:w="567"/>
      </w:tblGrid>
      <w:tr w:rsidR="000A7D9D" w:rsidRPr="00EC1412" w14:paraId="3FDD8D61" w14:textId="77777777" w:rsidTr="00F31937">
        <w:tc>
          <w:tcPr>
            <w:tcW w:w="9634" w:type="dxa"/>
            <w:gridSpan w:val="13"/>
            <w:tcBorders>
              <w:bottom w:val="single" w:sz="4" w:space="0" w:color="auto"/>
            </w:tcBorders>
            <w:shd w:val="clear" w:color="auto" w:fill="A6A6A6" w:themeFill="background1" w:themeFillShade="A6"/>
          </w:tcPr>
          <w:p w14:paraId="06427DB7" w14:textId="77777777" w:rsidR="000A7D9D" w:rsidRPr="00EC1412" w:rsidRDefault="000A7D9D" w:rsidP="00F31937">
            <w:pPr>
              <w:spacing w:before="60" w:after="60"/>
              <w:jc w:val="both"/>
              <w:rPr>
                <w:b/>
                <w:caps/>
                <w:noProof/>
                <w:sz w:val="18"/>
                <w:szCs w:val="18"/>
              </w:rPr>
            </w:pPr>
            <w:r w:rsidRPr="00EC1412">
              <w:rPr>
                <w:b/>
                <w:noProof/>
                <w:sz w:val="18"/>
                <w:szCs w:val="18"/>
              </w:rPr>
              <w:t>Table 18. EEA pending resource needs per legislative proposal (operational costs in</w:t>
            </w:r>
            <w:r>
              <w:rPr>
                <w:b/>
                <w:noProof/>
                <w:sz w:val="18"/>
                <w:szCs w:val="18"/>
              </w:rPr>
              <w:t xml:space="preserve"> EUR</w:t>
            </w:r>
            <w:r w:rsidRPr="00EC1412">
              <w:rPr>
                <w:b/>
                <w:noProof/>
                <w:sz w:val="18"/>
                <w:szCs w:val="18"/>
              </w:rPr>
              <w:t xml:space="preserve"> 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7E7D548F" w14:textId="77777777" w:rsidTr="00F31937">
        <w:tc>
          <w:tcPr>
            <w:tcW w:w="3964" w:type="dxa"/>
            <w:tcBorders>
              <w:bottom w:val="single" w:sz="4" w:space="0" w:color="auto"/>
              <w:right w:val="single" w:sz="4" w:space="0" w:color="auto"/>
            </w:tcBorders>
            <w:shd w:val="clear" w:color="auto" w:fill="BFBFBF" w:themeFill="background1" w:themeFillShade="BF"/>
          </w:tcPr>
          <w:p w14:paraId="3185890C" w14:textId="77777777" w:rsidR="000A7D9D" w:rsidRPr="00EC1412" w:rsidRDefault="000A7D9D" w:rsidP="00F31937">
            <w:pPr>
              <w:jc w:val="both"/>
              <w:rPr>
                <w:caps/>
                <w:noProof/>
                <w:sz w:val="18"/>
                <w:szCs w:val="18"/>
              </w:rPr>
            </w:pPr>
          </w:p>
        </w:tc>
        <w:tc>
          <w:tcPr>
            <w:tcW w:w="3402" w:type="dxa"/>
            <w:gridSpan w:val="8"/>
            <w:tcBorders>
              <w:left w:val="single" w:sz="4" w:space="0" w:color="auto"/>
              <w:bottom w:val="single" w:sz="4" w:space="0" w:color="auto"/>
              <w:right w:val="single" w:sz="4" w:space="0" w:color="auto"/>
            </w:tcBorders>
            <w:shd w:val="clear" w:color="auto" w:fill="BFBFBF" w:themeFill="background1" w:themeFillShade="BF"/>
          </w:tcPr>
          <w:p w14:paraId="6AE75DC9" w14:textId="77777777" w:rsidR="000A7D9D" w:rsidRPr="00EC1412" w:rsidRDefault="000A7D9D" w:rsidP="00F31937">
            <w:pPr>
              <w:jc w:val="center"/>
              <w:rPr>
                <w:b/>
                <w:caps/>
                <w:noProof/>
                <w:sz w:val="18"/>
                <w:szCs w:val="18"/>
              </w:rPr>
            </w:pPr>
            <w:r w:rsidRPr="00EC1412">
              <w:rPr>
                <w:b/>
                <w:noProof/>
                <w:sz w:val="18"/>
                <w:szCs w:val="18"/>
              </w:rPr>
              <w:t>FTEs</w:t>
            </w:r>
          </w:p>
        </w:tc>
        <w:tc>
          <w:tcPr>
            <w:tcW w:w="2268" w:type="dxa"/>
            <w:gridSpan w:val="4"/>
            <w:tcBorders>
              <w:left w:val="single" w:sz="4" w:space="0" w:color="auto"/>
              <w:bottom w:val="single" w:sz="4" w:space="0" w:color="auto"/>
            </w:tcBorders>
            <w:shd w:val="clear" w:color="auto" w:fill="BFBFBF" w:themeFill="background1" w:themeFillShade="BF"/>
          </w:tcPr>
          <w:p w14:paraId="4905CC59"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7B0C4C12" w14:textId="77777777" w:rsidTr="00F31937">
        <w:tc>
          <w:tcPr>
            <w:tcW w:w="3964" w:type="dxa"/>
            <w:tcBorders>
              <w:bottom w:val="single" w:sz="4" w:space="0" w:color="auto"/>
              <w:right w:val="single" w:sz="4" w:space="0" w:color="auto"/>
            </w:tcBorders>
            <w:shd w:val="clear" w:color="auto" w:fill="BFBFBF" w:themeFill="background1" w:themeFillShade="BF"/>
          </w:tcPr>
          <w:p w14:paraId="2921F72C"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17142B54" w14:textId="77777777" w:rsidR="000A7D9D" w:rsidRPr="00EC1412" w:rsidRDefault="000A7D9D" w:rsidP="00F31937">
            <w:pPr>
              <w:ind w:left="-112"/>
              <w:jc w:val="center"/>
              <w:rPr>
                <w:b/>
                <w:caps/>
                <w:noProof/>
                <w:sz w:val="18"/>
                <w:szCs w:val="18"/>
              </w:rPr>
            </w:pPr>
            <w:r w:rsidRPr="00EC1412">
              <w:rPr>
                <w:b/>
                <w:caps/>
                <w:noProof/>
                <w:sz w:val="18"/>
                <w:szCs w:val="18"/>
              </w:rPr>
              <w:t>202</w:t>
            </w:r>
            <w:r>
              <w:rPr>
                <w:b/>
                <w:caps/>
                <w:noProof/>
                <w:sz w:val="18"/>
                <w:szCs w:val="18"/>
              </w:rPr>
              <w:t>5</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7BCEEEE8"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6</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4CB03FBA" w14:textId="77777777" w:rsidR="000A7D9D" w:rsidRPr="00EC1412" w:rsidRDefault="000A7D9D" w:rsidP="00F31937">
            <w:pPr>
              <w:ind w:left="-107"/>
              <w:jc w:val="center"/>
              <w:rPr>
                <w:b/>
                <w:caps/>
                <w:noProof/>
                <w:sz w:val="18"/>
                <w:szCs w:val="18"/>
              </w:rPr>
            </w:pPr>
            <w:r w:rsidRPr="00EC1412">
              <w:rPr>
                <w:b/>
                <w:caps/>
                <w:noProof/>
                <w:sz w:val="18"/>
                <w:szCs w:val="18"/>
              </w:rPr>
              <w:t>202</w:t>
            </w:r>
            <w:r>
              <w:rPr>
                <w:b/>
                <w:caps/>
                <w:noProof/>
                <w:sz w:val="18"/>
                <w:szCs w:val="18"/>
              </w:rPr>
              <w:t>7</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2089AFBE" w14:textId="77777777" w:rsidR="000A7D9D" w:rsidRPr="00EC1412" w:rsidRDefault="000A7D9D" w:rsidP="00F31937">
            <w:pPr>
              <w:ind w:left="-105"/>
              <w:jc w:val="center"/>
              <w:rPr>
                <w:b/>
                <w:caps/>
                <w:noProof/>
                <w:sz w:val="18"/>
                <w:szCs w:val="18"/>
              </w:rPr>
            </w:pPr>
            <w:r w:rsidRPr="00EC1412">
              <w:rPr>
                <w:b/>
                <w:caps/>
                <w:noProof/>
                <w:sz w:val="18"/>
                <w:szCs w:val="18"/>
              </w:rPr>
              <w:t>202</w:t>
            </w:r>
            <w:r>
              <w:rPr>
                <w:b/>
                <w:caps/>
                <w:noProof/>
                <w:sz w:val="18"/>
                <w:szCs w:val="18"/>
              </w:rPr>
              <w:t>8</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5D27D873" w14:textId="77777777" w:rsidR="000A7D9D" w:rsidRPr="00EC1412" w:rsidRDefault="000A7D9D" w:rsidP="00F31937">
            <w:pPr>
              <w:ind w:left="-78"/>
              <w:jc w:val="right"/>
              <w:rPr>
                <w:b/>
                <w:caps/>
                <w:noProof/>
                <w:sz w:val="18"/>
                <w:szCs w:val="18"/>
              </w:rPr>
            </w:pPr>
            <w:r w:rsidRPr="00EC1412">
              <w:rPr>
                <w:b/>
                <w:caps/>
                <w:noProof/>
                <w:sz w:val="18"/>
                <w:szCs w:val="18"/>
              </w:rPr>
              <w:t>202</w:t>
            </w:r>
            <w:r>
              <w:rPr>
                <w:b/>
                <w:caps/>
                <w:noProof/>
                <w:sz w:val="18"/>
                <w:szCs w:val="18"/>
              </w:rPr>
              <w:t>5</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5CA7981B" w14:textId="77777777" w:rsidR="000A7D9D" w:rsidRPr="00EC1412" w:rsidRDefault="000A7D9D" w:rsidP="00F31937">
            <w:pPr>
              <w:ind w:left="-84"/>
              <w:jc w:val="right"/>
              <w:rPr>
                <w:b/>
                <w:caps/>
                <w:noProof/>
                <w:sz w:val="18"/>
                <w:szCs w:val="18"/>
              </w:rPr>
            </w:pPr>
            <w:r w:rsidRPr="00EC1412">
              <w:rPr>
                <w:b/>
                <w:caps/>
                <w:noProof/>
                <w:sz w:val="18"/>
                <w:szCs w:val="18"/>
              </w:rPr>
              <w:t>202</w:t>
            </w:r>
            <w:r>
              <w:rPr>
                <w:b/>
                <w:caps/>
                <w:noProof/>
                <w:sz w:val="18"/>
                <w:szCs w:val="18"/>
              </w:rPr>
              <w:t>6</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248325F7" w14:textId="77777777" w:rsidR="000A7D9D" w:rsidRPr="00EC1412" w:rsidRDefault="000A7D9D" w:rsidP="00F31937">
            <w:pPr>
              <w:ind w:left="-76"/>
              <w:jc w:val="right"/>
              <w:rPr>
                <w:b/>
                <w:caps/>
                <w:noProof/>
                <w:sz w:val="18"/>
                <w:szCs w:val="18"/>
              </w:rPr>
            </w:pPr>
            <w:r w:rsidRPr="00EC1412">
              <w:rPr>
                <w:b/>
                <w:caps/>
                <w:noProof/>
                <w:sz w:val="18"/>
                <w:szCs w:val="18"/>
              </w:rPr>
              <w:t>202</w:t>
            </w:r>
            <w:r>
              <w:rPr>
                <w:b/>
                <w:caps/>
                <w:noProof/>
                <w:sz w:val="18"/>
                <w:szCs w:val="18"/>
              </w:rPr>
              <w:t>7</w:t>
            </w:r>
          </w:p>
        </w:tc>
        <w:tc>
          <w:tcPr>
            <w:tcW w:w="567" w:type="dxa"/>
            <w:tcBorders>
              <w:left w:val="single" w:sz="4" w:space="0" w:color="auto"/>
              <w:bottom w:val="single" w:sz="4" w:space="0" w:color="auto"/>
            </w:tcBorders>
            <w:shd w:val="clear" w:color="auto" w:fill="BFBFBF" w:themeFill="background1" w:themeFillShade="BF"/>
          </w:tcPr>
          <w:p w14:paraId="56544C9F" w14:textId="77777777" w:rsidR="000A7D9D" w:rsidRPr="00EC1412" w:rsidRDefault="000A7D9D" w:rsidP="00F31937">
            <w:pPr>
              <w:ind w:left="-110"/>
              <w:jc w:val="right"/>
              <w:rPr>
                <w:b/>
                <w:caps/>
                <w:noProof/>
                <w:sz w:val="18"/>
                <w:szCs w:val="18"/>
              </w:rPr>
            </w:pPr>
            <w:r w:rsidRPr="00EC1412">
              <w:rPr>
                <w:b/>
                <w:caps/>
                <w:noProof/>
                <w:sz w:val="18"/>
                <w:szCs w:val="18"/>
              </w:rPr>
              <w:t>202</w:t>
            </w:r>
            <w:r>
              <w:rPr>
                <w:b/>
                <w:caps/>
                <w:noProof/>
                <w:sz w:val="18"/>
                <w:szCs w:val="18"/>
              </w:rPr>
              <w:t>8</w:t>
            </w:r>
          </w:p>
        </w:tc>
      </w:tr>
      <w:tr w:rsidR="000A7D9D" w:rsidRPr="00EC1412" w14:paraId="7F149D93" w14:textId="77777777" w:rsidTr="00F31937">
        <w:tc>
          <w:tcPr>
            <w:tcW w:w="3964" w:type="dxa"/>
            <w:tcBorders>
              <w:bottom w:val="single" w:sz="4" w:space="0" w:color="auto"/>
              <w:right w:val="single" w:sz="4" w:space="0" w:color="auto"/>
            </w:tcBorders>
            <w:shd w:val="clear" w:color="auto" w:fill="BFBFBF" w:themeFill="background1" w:themeFillShade="BF"/>
          </w:tcPr>
          <w:p w14:paraId="21CF465A" w14:textId="77777777" w:rsidR="000A7D9D" w:rsidRPr="00EC1412" w:rsidRDefault="000A7D9D" w:rsidP="00F31937">
            <w:pPr>
              <w:jc w:val="both"/>
              <w:rPr>
                <w:b/>
                <w:noProof/>
                <w:sz w:val="18"/>
                <w:szCs w:val="18"/>
              </w:rPr>
            </w:pP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27CAAF42" w14:textId="77777777" w:rsidR="000A7D9D" w:rsidRPr="00EC1412" w:rsidRDefault="000A7D9D" w:rsidP="00F31937">
            <w:pPr>
              <w:ind w:left="-112"/>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25B2322C" w14:textId="77777777" w:rsidR="000A7D9D" w:rsidRPr="00EC1412" w:rsidRDefault="000A7D9D" w:rsidP="00F31937">
            <w:pPr>
              <w:ind w:left="-112"/>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403B887E" w14:textId="77777777" w:rsidR="000A7D9D" w:rsidRPr="00EC1412" w:rsidRDefault="000A7D9D" w:rsidP="00F31937">
            <w:pPr>
              <w:ind w:left="-108"/>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46F020B1" w14:textId="77777777" w:rsidR="000A7D9D" w:rsidRPr="00EC1412" w:rsidRDefault="000A7D9D" w:rsidP="00F31937">
            <w:pPr>
              <w:ind w:left="-105"/>
              <w:jc w:val="right"/>
              <w:rPr>
                <w:b/>
                <w:caps/>
                <w:noProof/>
                <w:sz w:val="18"/>
                <w:szCs w:val="18"/>
              </w:rPr>
            </w:pPr>
            <w:r>
              <w:rPr>
                <w:b/>
                <w:caps/>
                <w:noProof/>
                <w:sz w:val="18"/>
                <w:szCs w:val="18"/>
              </w:rPr>
              <w:t>CA</w:t>
            </w: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0522F4C1" w14:textId="77777777" w:rsidR="000A7D9D" w:rsidRPr="00EC1412" w:rsidRDefault="000A7D9D" w:rsidP="00F31937">
            <w:pPr>
              <w:ind w:left="-107"/>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29144A69" w14:textId="77777777" w:rsidR="000A7D9D" w:rsidRPr="00EC1412" w:rsidRDefault="000A7D9D" w:rsidP="00F31937">
            <w:pPr>
              <w:ind w:left="-107"/>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0A775DC3"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2054BD7C" w14:textId="77777777" w:rsidR="000A7D9D" w:rsidRPr="00EC1412" w:rsidRDefault="000A7D9D" w:rsidP="00F31937">
            <w:pPr>
              <w:ind w:left="-105"/>
              <w:jc w:val="right"/>
              <w:rPr>
                <w:b/>
                <w:caps/>
                <w:noProof/>
                <w:sz w:val="18"/>
                <w:szCs w:val="18"/>
              </w:rPr>
            </w:pPr>
            <w:r>
              <w:rPr>
                <w:b/>
                <w:caps/>
                <w:noProof/>
                <w:sz w:val="18"/>
                <w:szCs w:val="18"/>
              </w:rPr>
              <w:t>CA</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6DF60800" w14:textId="77777777" w:rsidR="000A7D9D" w:rsidRPr="00EC1412" w:rsidRDefault="000A7D9D" w:rsidP="00F31937">
            <w:pPr>
              <w:ind w:left="-78"/>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129DCC8F" w14:textId="77777777" w:rsidR="000A7D9D" w:rsidRPr="00EC1412" w:rsidRDefault="000A7D9D" w:rsidP="00F31937">
            <w:pPr>
              <w:ind w:left="-84"/>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4ABD346F" w14:textId="77777777" w:rsidR="000A7D9D" w:rsidRPr="00EC1412" w:rsidRDefault="000A7D9D" w:rsidP="00F31937">
            <w:pPr>
              <w:ind w:left="-76"/>
              <w:jc w:val="right"/>
              <w:rPr>
                <w:b/>
                <w:caps/>
                <w:noProof/>
                <w:sz w:val="18"/>
                <w:szCs w:val="18"/>
              </w:rPr>
            </w:pPr>
          </w:p>
        </w:tc>
        <w:tc>
          <w:tcPr>
            <w:tcW w:w="567" w:type="dxa"/>
            <w:tcBorders>
              <w:left w:val="single" w:sz="4" w:space="0" w:color="auto"/>
              <w:bottom w:val="single" w:sz="4" w:space="0" w:color="auto"/>
            </w:tcBorders>
            <w:shd w:val="clear" w:color="auto" w:fill="BFBFBF" w:themeFill="background1" w:themeFillShade="BF"/>
          </w:tcPr>
          <w:p w14:paraId="57915FCA" w14:textId="77777777" w:rsidR="000A7D9D" w:rsidRPr="00EC1412" w:rsidRDefault="000A7D9D" w:rsidP="00F31937">
            <w:pPr>
              <w:ind w:left="-110"/>
              <w:jc w:val="right"/>
              <w:rPr>
                <w:b/>
                <w:caps/>
                <w:noProof/>
                <w:sz w:val="18"/>
                <w:szCs w:val="18"/>
              </w:rPr>
            </w:pPr>
          </w:p>
        </w:tc>
      </w:tr>
      <w:tr w:rsidR="000A7D9D" w:rsidRPr="00EC1412" w14:paraId="1454AB3F" w14:textId="77777777" w:rsidTr="00F31937">
        <w:tc>
          <w:tcPr>
            <w:tcW w:w="3964" w:type="dxa"/>
            <w:tcBorders>
              <w:bottom w:val="dotted" w:sz="4" w:space="0" w:color="auto"/>
              <w:right w:val="single" w:sz="4" w:space="0" w:color="auto"/>
            </w:tcBorders>
            <w:shd w:val="clear" w:color="auto" w:fill="FFF4CC"/>
          </w:tcPr>
          <w:p w14:paraId="54EDFE65" w14:textId="77777777" w:rsidR="000A7D9D" w:rsidRPr="00EC1412" w:rsidRDefault="000A7D9D" w:rsidP="00F31937">
            <w:pPr>
              <w:jc w:val="both"/>
              <w:rPr>
                <w:b/>
                <w:noProof/>
                <w:sz w:val="18"/>
                <w:szCs w:val="18"/>
              </w:rPr>
            </w:pPr>
            <w:r w:rsidRPr="00EC1412">
              <w:rPr>
                <w:rStyle w:val="normaltextrun"/>
                <w:noProof/>
                <w:sz w:val="18"/>
                <w:szCs w:val="18"/>
              </w:rPr>
              <w:t>Regulation on reattribution</w:t>
            </w:r>
            <w:r>
              <w:rPr>
                <w:rStyle w:val="normaltextrun"/>
                <w:noProof/>
                <w:sz w:val="18"/>
                <w:szCs w:val="18"/>
              </w:rPr>
              <w:t xml:space="preserve"> of tasks</w:t>
            </w:r>
          </w:p>
        </w:tc>
        <w:tc>
          <w:tcPr>
            <w:tcW w:w="426" w:type="dxa"/>
            <w:tcBorders>
              <w:left w:val="single" w:sz="4" w:space="0" w:color="auto"/>
              <w:bottom w:val="dotted" w:sz="4" w:space="0" w:color="auto"/>
              <w:right w:val="dotted" w:sz="4" w:space="0" w:color="auto"/>
            </w:tcBorders>
            <w:shd w:val="clear" w:color="auto" w:fill="FFF4CC"/>
          </w:tcPr>
          <w:p w14:paraId="49455B68" w14:textId="77777777" w:rsidR="000A7D9D" w:rsidRPr="00EC1412" w:rsidRDefault="000A7D9D" w:rsidP="00F31937">
            <w:pPr>
              <w:ind w:left="-112"/>
              <w:jc w:val="right"/>
              <w:rPr>
                <w:b/>
                <w:caps/>
                <w:noProof/>
                <w:sz w:val="18"/>
                <w:szCs w:val="18"/>
              </w:rPr>
            </w:pPr>
            <w:r w:rsidRPr="00EC1412">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04D08225" w14:textId="77777777" w:rsidR="000A7D9D" w:rsidRPr="00EC1412" w:rsidRDefault="000A7D9D" w:rsidP="00F31937">
            <w:pPr>
              <w:ind w:left="-112"/>
              <w:jc w:val="right"/>
              <w:rPr>
                <w:b/>
                <w:caps/>
                <w:noProof/>
                <w:sz w:val="18"/>
                <w:szCs w:val="18"/>
              </w:rPr>
            </w:pPr>
            <w:r>
              <w:rPr>
                <w:b/>
                <w:caps/>
                <w:noProof/>
                <w:sz w:val="18"/>
                <w:szCs w:val="18"/>
              </w:rPr>
              <w:t>0</w:t>
            </w:r>
          </w:p>
        </w:tc>
        <w:tc>
          <w:tcPr>
            <w:tcW w:w="425" w:type="dxa"/>
            <w:tcBorders>
              <w:left w:val="single" w:sz="4" w:space="0" w:color="auto"/>
              <w:bottom w:val="dotted" w:sz="4" w:space="0" w:color="auto"/>
              <w:right w:val="dotted" w:sz="4" w:space="0" w:color="auto"/>
            </w:tcBorders>
            <w:shd w:val="clear" w:color="auto" w:fill="FFF4CC"/>
          </w:tcPr>
          <w:p w14:paraId="4E1D855B" w14:textId="77777777" w:rsidR="000A7D9D" w:rsidRPr="00EC1412" w:rsidRDefault="000A7D9D" w:rsidP="00F31937">
            <w:pPr>
              <w:jc w:val="right"/>
              <w:rPr>
                <w:b/>
                <w:caps/>
                <w:noProof/>
                <w:sz w:val="18"/>
                <w:szCs w:val="18"/>
              </w:rPr>
            </w:pPr>
            <w:r w:rsidRPr="00EC1412">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5D91CB93" w14:textId="77777777" w:rsidR="000A7D9D" w:rsidRPr="00EC1412" w:rsidRDefault="000A7D9D" w:rsidP="00F31937">
            <w:pPr>
              <w:jc w:val="right"/>
              <w:rPr>
                <w:b/>
                <w:caps/>
                <w:noProof/>
                <w:sz w:val="18"/>
                <w:szCs w:val="18"/>
              </w:rPr>
            </w:pPr>
            <w:r>
              <w:rPr>
                <w:b/>
                <w:caps/>
                <w:noProof/>
                <w:sz w:val="18"/>
                <w:szCs w:val="18"/>
              </w:rPr>
              <w:t>0</w:t>
            </w:r>
          </w:p>
        </w:tc>
        <w:tc>
          <w:tcPr>
            <w:tcW w:w="426" w:type="dxa"/>
            <w:tcBorders>
              <w:left w:val="single" w:sz="4" w:space="0" w:color="auto"/>
              <w:bottom w:val="dotted" w:sz="4" w:space="0" w:color="auto"/>
              <w:right w:val="dotted" w:sz="4" w:space="0" w:color="auto"/>
            </w:tcBorders>
            <w:shd w:val="clear" w:color="auto" w:fill="FFF4CC"/>
          </w:tcPr>
          <w:p w14:paraId="3D3BA63C" w14:textId="77777777" w:rsidR="000A7D9D" w:rsidRPr="00EC1412" w:rsidRDefault="000A7D9D" w:rsidP="00F31937">
            <w:pPr>
              <w:ind w:left="-107"/>
              <w:jc w:val="right"/>
              <w:rPr>
                <w:b/>
                <w:caps/>
                <w:noProof/>
                <w:sz w:val="18"/>
                <w:szCs w:val="18"/>
              </w:rPr>
            </w:pPr>
            <w:r w:rsidRPr="00EC1412">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346531DA" w14:textId="77777777" w:rsidR="000A7D9D" w:rsidRPr="00EC1412" w:rsidRDefault="000A7D9D" w:rsidP="00F31937">
            <w:pPr>
              <w:ind w:left="-107"/>
              <w:jc w:val="right"/>
              <w:rPr>
                <w:b/>
                <w:caps/>
                <w:noProof/>
                <w:sz w:val="18"/>
                <w:szCs w:val="18"/>
              </w:rPr>
            </w:pPr>
            <w:r>
              <w:rPr>
                <w:b/>
                <w:caps/>
                <w:noProof/>
                <w:sz w:val="18"/>
                <w:szCs w:val="18"/>
              </w:rPr>
              <w:t>0</w:t>
            </w:r>
          </w:p>
        </w:tc>
        <w:tc>
          <w:tcPr>
            <w:tcW w:w="425" w:type="dxa"/>
            <w:tcBorders>
              <w:left w:val="single" w:sz="4" w:space="0" w:color="auto"/>
              <w:bottom w:val="dotted" w:sz="4" w:space="0" w:color="auto"/>
              <w:right w:val="dotted" w:sz="4" w:space="0" w:color="auto"/>
            </w:tcBorders>
            <w:shd w:val="clear" w:color="auto" w:fill="FFF4CC"/>
          </w:tcPr>
          <w:p w14:paraId="29363ACF" w14:textId="77777777" w:rsidR="000A7D9D" w:rsidRPr="00EC1412" w:rsidRDefault="000A7D9D" w:rsidP="00F31937">
            <w:pPr>
              <w:ind w:left="-105"/>
              <w:jc w:val="right"/>
              <w:rPr>
                <w:b/>
                <w:caps/>
                <w:noProof/>
                <w:sz w:val="18"/>
                <w:szCs w:val="18"/>
              </w:rPr>
            </w:pPr>
            <w:r w:rsidRPr="00EC1412">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207ADD09" w14:textId="77777777" w:rsidR="000A7D9D" w:rsidRPr="00EC1412" w:rsidRDefault="000A7D9D" w:rsidP="00F31937">
            <w:pPr>
              <w:ind w:left="-105"/>
              <w:jc w:val="right"/>
              <w:rPr>
                <w:b/>
                <w:caps/>
                <w:noProof/>
                <w:sz w:val="18"/>
                <w:szCs w:val="18"/>
              </w:rPr>
            </w:pPr>
            <w:r>
              <w:rPr>
                <w:b/>
                <w:caps/>
                <w:noProof/>
                <w:sz w:val="18"/>
                <w:szCs w:val="18"/>
              </w:rPr>
              <w:t>0</w:t>
            </w:r>
          </w:p>
        </w:tc>
        <w:tc>
          <w:tcPr>
            <w:tcW w:w="567" w:type="dxa"/>
            <w:tcBorders>
              <w:left w:val="single" w:sz="4" w:space="0" w:color="auto"/>
              <w:bottom w:val="dotted" w:sz="4" w:space="0" w:color="auto"/>
              <w:right w:val="single" w:sz="4" w:space="0" w:color="auto"/>
            </w:tcBorders>
            <w:shd w:val="clear" w:color="auto" w:fill="FFF4CC"/>
          </w:tcPr>
          <w:p w14:paraId="247E60D6" w14:textId="77777777" w:rsidR="000A7D9D" w:rsidRPr="00EC1412" w:rsidRDefault="000A7D9D" w:rsidP="00F31937">
            <w:pPr>
              <w:jc w:val="right"/>
              <w:rPr>
                <w:b/>
                <w:caps/>
                <w:noProof/>
                <w:sz w:val="18"/>
                <w:szCs w:val="18"/>
              </w:rPr>
            </w:pPr>
            <w:r>
              <w:rPr>
                <w:b/>
                <w:noProof/>
                <w:sz w:val="18"/>
                <w:szCs w:val="18"/>
              </w:rPr>
              <w:t>0</w:t>
            </w:r>
          </w:p>
        </w:tc>
        <w:tc>
          <w:tcPr>
            <w:tcW w:w="567" w:type="dxa"/>
            <w:tcBorders>
              <w:left w:val="single" w:sz="4" w:space="0" w:color="auto"/>
              <w:bottom w:val="dotted" w:sz="4" w:space="0" w:color="auto"/>
              <w:right w:val="single" w:sz="4" w:space="0" w:color="auto"/>
            </w:tcBorders>
            <w:shd w:val="clear" w:color="auto" w:fill="FFF4CC"/>
          </w:tcPr>
          <w:p w14:paraId="1F55BEEC" w14:textId="77777777" w:rsidR="000A7D9D" w:rsidRPr="00EC1412" w:rsidRDefault="000A7D9D" w:rsidP="00F31937">
            <w:pPr>
              <w:jc w:val="right"/>
              <w:rPr>
                <w:b/>
                <w:caps/>
                <w:noProof/>
                <w:sz w:val="18"/>
                <w:szCs w:val="18"/>
              </w:rPr>
            </w:pPr>
            <w:r>
              <w:rPr>
                <w:b/>
                <w:noProof/>
                <w:sz w:val="18"/>
                <w:szCs w:val="18"/>
              </w:rPr>
              <w:t>0</w:t>
            </w:r>
          </w:p>
        </w:tc>
        <w:tc>
          <w:tcPr>
            <w:tcW w:w="567" w:type="dxa"/>
            <w:tcBorders>
              <w:left w:val="single" w:sz="4" w:space="0" w:color="auto"/>
              <w:bottom w:val="dotted" w:sz="4" w:space="0" w:color="auto"/>
              <w:right w:val="single" w:sz="4" w:space="0" w:color="auto"/>
            </w:tcBorders>
            <w:shd w:val="clear" w:color="auto" w:fill="FFF4CC"/>
          </w:tcPr>
          <w:p w14:paraId="378A1AA8" w14:textId="77777777" w:rsidR="000A7D9D" w:rsidRPr="00EC1412" w:rsidRDefault="000A7D9D" w:rsidP="00F31937">
            <w:pPr>
              <w:jc w:val="right"/>
              <w:rPr>
                <w:b/>
                <w:caps/>
                <w:noProof/>
                <w:sz w:val="18"/>
                <w:szCs w:val="18"/>
              </w:rPr>
            </w:pPr>
            <w:r>
              <w:rPr>
                <w:b/>
                <w:noProof/>
                <w:sz w:val="18"/>
                <w:szCs w:val="18"/>
              </w:rPr>
              <w:t>0</w:t>
            </w:r>
          </w:p>
        </w:tc>
        <w:tc>
          <w:tcPr>
            <w:tcW w:w="567" w:type="dxa"/>
            <w:tcBorders>
              <w:left w:val="single" w:sz="4" w:space="0" w:color="auto"/>
              <w:bottom w:val="dotted" w:sz="4" w:space="0" w:color="auto"/>
            </w:tcBorders>
            <w:shd w:val="clear" w:color="auto" w:fill="FFF4CC"/>
          </w:tcPr>
          <w:p w14:paraId="482D7E57" w14:textId="77777777" w:rsidR="000A7D9D" w:rsidRPr="00EC1412" w:rsidRDefault="000A7D9D" w:rsidP="00F31937">
            <w:pPr>
              <w:jc w:val="right"/>
              <w:rPr>
                <w:b/>
                <w:caps/>
                <w:noProof/>
                <w:sz w:val="18"/>
                <w:szCs w:val="18"/>
              </w:rPr>
            </w:pPr>
            <w:r>
              <w:rPr>
                <w:b/>
                <w:noProof/>
                <w:sz w:val="18"/>
                <w:szCs w:val="18"/>
              </w:rPr>
              <w:t>0</w:t>
            </w:r>
          </w:p>
        </w:tc>
      </w:tr>
      <w:tr w:rsidR="000A7D9D" w:rsidRPr="00EC1412" w14:paraId="0D4E9EC0" w14:textId="77777777" w:rsidTr="00F31937">
        <w:tc>
          <w:tcPr>
            <w:tcW w:w="3964" w:type="dxa"/>
            <w:tcBorders>
              <w:top w:val="dotted" w:sz="4" w:space="0" w:color="auto"/>
              <w:bottom w:val="dotted" w:sz="4" w:space="0" w:color="auto"/>
              <w:right w:val="single" w:sz="4" w:space="0" w:color="auto"/>
            </w:tcBorders>
            <w:shd w:val="clear" w:color="auto" w:fill="FFF4CC"/>
          </w:tcPr>
          <w:p w14:paraId="0F3A48FC" w14:textId="77777777" w:rsidR="000A7D9D" w:rsidRPr="00EC1412" w:rsidRDefault="000A7D9D" w:rsidP="00F31937">
            <w:pPr>
              <w:jc w:val="both"/>
              <w:rPr>
                <w:caps/>
                <w:noProof/>
                <w:sz w:val="18"/>
                <w:szCs w:val="18"/>
              </w:rPr>
            </w:pPr>
            <w:r w:rsidRPr="00EC1412">
              <w:rPr>
                <w:noProof/>
                <w:sz w:val="18"/>
                <w:szCs w:val="18"/>
              </w:rPr>
              <w:t xml:space="preserve">   POPs regulation</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4A0EAEC2"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0531FB2"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FF3B39F"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33ED14C"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5BF0383C"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29AA37A8"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225E40E"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2AA8D29"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63F6077B"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7089E340"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74E0042F"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510D7BAE" w14:textId="77777777" w:rsidR="000A7D9D" w:rsidRPr="00EC1412" w:rsidRDefault="000A7D9D" w:rsidP="00F31937">
            <w:pPr>
              <w:jc w:val="right"/>
              <w:rPr>
                <w:caps/>
                <w:noProof/>
                <w:sz w:val="18"/>
                <w:szCs w:val="18"/>
              </w:rPr>
            </w:pPr>
            <w:r>
              <w:rPr>
                <w:noProof/>
                <w:sz w:val="18"/>
                <w:szCs w:val="18"/>
              </w:rPr>
              <w:t>0</w:t>
            </w:r>
          </w:p>
        </w:tc>
      </w:tr>
      <w:tr w:rsidR="000A7D9D" w:rsidRPr="00EC1412" w14:paraId="0C9845A5" w14:textId="77777777" w:rsidTr="00F31937">
        <w:tc>
          <w:tcPr>
            <w:tcW w:w="3964" w:type="dxa"/>
            <w:tcBorders>
              <w:top w:val="dotted" w:sz="4" w:space="0" w:color="auto"/>
              <w:bottom w:val="single" w:sz="4" w:space="0" w:color="auto"/>
              <w:right w:val="single" w:sz="4" w:space="0" w:color="auto"/>
            </w:tcBorders>
            <w:shd w:val="clear" w:color="auto" w:fill="FFF4CC"/>
          </w:tcPr>
          <w:p w14:paraId="1C2CEBBE" w14:textId="77777777" w:rsidR="000A7D9D" w:rsidRPr="00EC1412" w:rsidRDefault="000A7D9D" w:rsidP="00F31937">
            <w:pPr>
              <w:jc w:val="both"/>
              <w:rPr>
                <w:caps/>
                <w:noProof/>
                <w:sz w:val="18"/>
                <w:szCs w:val="18"/>
              </w:rPr>
            </w:pPr>
            <w:r w:rsidRPr="00EC1412">
              <w:rPr>
                <w:noProof/>
                <w:sz w:val="18"/>
                <w:szCs w:val="18"/>
              </w:rPr>
              <w:t xml:space="preserve">   EEA founding regulation</w:t>
            </w:r>
          </w:p>
        </w:tc>
        <w:tc>
          <w:tcPr>
            <w:tcW w:w="426" w:type="dxa"/>
            <w:tcBorders>
              <w:top w:val="dotted" w:sz="4" w:space="0" w:color="auto"/>
              <w:left w:val="single" w:sz="4" w:space="0" w:color="auto"/>
              <w:bottom w:val="single" w:sz="4" w:space="0" w:color="auto"/>
              <w:right w:val="dotted" w:sz="4" w:space="0" w:color="auto"/>
            </w:tcBorders>
            <w:shd w:val="clear" w:color="auto" w:fill="FFF4CC"/>
          </w:tcPr>
          <w:p w14:paraId="025C9026"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3412B728"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4D093999"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75F378AC"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single" w:sz="4" w:space="0" w:color="auto"/>
              <w:right w:val="dotted" w:sz="4" w:space="0" w:color="auto"/>
            </w:tcBorders>
            <w:shd w:val="clear" w:color="auto" w:fill="FFF4CC"/>
          </w:tcPr>
          <w:p w14:paraId="18695360"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1BB04B24"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553F5F92"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7B42466B"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389463AB"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2FC06712"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033EF01D"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tcBorders>
            <w:shd w:val="clear" w:color="auto" w:fill="FFF4CC"/>
          </w:tcPr>
          <w:p w14:paraId="208E4275" w14:textId="77777777" w:rsidR="000A7D9D" w:rsidRPr="00EC1412" w:rsidRDefault="000A7D9D" w:rsidP="00F31937">
            <w:pPr>
              <w:jc w:val="right"/>
              <w:rPr>
                <w:caps/>
                <w:noProof/>
                <w:sz w:val="18"/>
                <w:szCs w:val="18"/>
              </w:rPr>
            </w:pPr>
            <w:r>
              <w:rPr>
                <w:noProof/>
                <w:sz w:val="18"/>
                <w:szCs w:val="18"/>
              </w:rPr>
              <w:t>0</w:t>
            </w:r>
          </w:p>
        </w:tc>
      </w:tr>
      <w:tr w:rsidR="000A7D9D" w:rsidRPr="00EC1412" w14:paraId="00DCDEC9" w14:textId="77777777" w:rsidTr="00F31937">
        <w:tc>
          <w:tcPr>
            <w:tcW w:w="3964" w:type="dxa"/>
            <w:tcBorders>
              <w:bottom w:val="dotted" w:sz="4" w:space="0" w:color="auto"/>
              <w:right w:val="single" w:sz="4" w:space="0" w:color="auto"/>
            </w:tcBorders>
            <w:shd w:val="clear" w:color="auto" w:fill="C1ECFF"/>
          </w:tcPr>
          <w:p w14:paraId="48B48BD4" w14:textId="77777777" w:rsidR="000A7D9D" w:rsidRPr="00880C59" w:rsidRDefault="000A7D9D" w:rsidP="00F31937">
            <w:pPr>
              <w:jc w:val="both"/>
              <w:rPr>
                <w:b/>
                <w:caps/>
                <w:noProof/>
                <w:sz w:val="18"/>
                <w:szCs w:val="18"/>
              </w:rPr>
            </w:pPr>
            <w:r w:rsidRPr="00EC1412">
              <w:rPr>
                <w:b/>
                <w:noProof/>
                <w:sz w:val="18"/>
                <w:szCs w:val="18"/>
              </w:rPr>
              <w:t xml:space="preserve">Regulation on chemicals </w:t>
            </w:r>
            <w:r>
              <w:rPr>
                <w:b/>
                <w:noProof/>
                <w:sz w:val="18"/>
                <w:szCs w:val="18"/>
              </w:rPr>
              <w:t>data</w:t>
            </w:r>
          </w:p>
        </w:tc>
        <w:tc>
          <w:tcPr>
            <w:tcW w:w="426" w:type="dxa"/>
            <w:tcBorders>
              <w:left w:val="single" w:sz="4" w:space="0" w:color="auto"/>
              <w:bottom w:val="dotted" w:sz="4" w:space="0" w:color="auto"/>
              <w:right w:val="dotted" w:sz="4" w:space="0" w:color="auto"/>
            </w:tcBorders>
            <w:shd w:val="clear" w:color="auto" w:fill="C1ECFF"/>
          </w:tcPr>
          <w:p w14:paraId="51652965"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dotted" w:sz="4" w:space="0" w:color="auto"/>
              <w:bottom w:val="dotted" w:sz="4" w:space="0" w:color="auto"/>
              <w:right w:val="single" w:sz="4" w:space="0" w:color="auto"/>
            </w:tcBorders>
            <w:shd w:val="clear" w:color="auto" w:fill="C1ECFF"/>
          </w:tcPr>
          <w:p w14:paraId="30F1D851" w14:textId="77777777" w:rsidR="000A7D9D" w:rsidRPr="00EC1412" w:rsidRDefault="000A7D9D" w:rsidP="00F31937">
            <w:pPr>
              <w:jc w:val="right"/>
              <w:rPr>
                <w:b/>
                <w:caps/>
                <w:noProof/>
                <w:sz w:val="18"/>
                <w:szCs w:val="18"/>
              </w:rPr>
            </w:pPr>
            <w:r>
              <w:rPr>
                <w:b/>
                <w:caps/>
                <w:noProof/>
                <w:sz w:val="18"/>
                <w:szCs w:val="18"/>
              </w:rPr>
              <w:t>2</w:t>
            </w:r>
          </w:p>
        </w:tc>
        <w:tc>
          <w:tcPr>
            <w:tcW w:w="425" w:type="dxa"/>
            <w:tcBorders>
              <w:left w:val="single" w:sz="4" w:space="0" w:color="auto"/>
              <w:bottom w:val="dotted" w:sz="4" w:space="0" w:color="auto"/>
              <w:right w:val="dotted" w:sz="4" w:space="0" w:color="auto"/>
            </w:tcBorders>
            <w:shd w:val="clear" w:color="auto" w:fill="C1ECFF"/>
          </w:tcPr>
          <w:p w14:paraId="49045FFC"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dotted" w:sz="4" w:space="0" w:color="auto"/>
              <w:bottom w:val="dotted" w:sz="4" w:space="0" w:color="auto"/>
              <w:right w:val="single" w:sz="4" w:space="0" w:color="auto"/>
            </w:tcBorders>
            <w:shd w:val="clear" w:color="auto" w:fill="C1ECFF"/>
          </w:tcPr>
          <w:p w14:paraId="47E3281A" w14:textId="77777777" w:rsidR="000A7D9D" w:rsidRPr="00EC1412" w:rsidRDefault="000A7D9D" w:rsidP="00F31937">
            <w:pPr>
              <w:jc w:val="right"/>
              <w:rPr>
                <w:b/>
                <w:caps/>
                <w:noProof/>
                <w:sz w:val="18"/>
                <w:szCs w:val="18"/>
              </w:rPr>
            </w:pPr>
            <w:r>
              <w:rPr>
                <w:b/>
                <w:caps/>
                <w:noProof/>
                <w:sz w:val="18"/>
                <w:szCs w:val="18"/>
              </w:rPr>
              <w:t>2</w:t>
            </w:r>
          </w:p>
        </w:tc>
        <w:tc>
          <w:tcPr>
            <w:tcW w:w="426" w:type="dxa"/>
            <w:tcBorders>
              <w:left w:val="single" w:sz="4" w:space="0" w:color="auto"/>
              <w:bottom w:val="dotted" w:sz="4" w:space="0" w:color="auto"/>
              <w:right w:val="dotted" w:sz="4" w:space="0" w:color="auto"/>
            </w:tcBorders>
            <w:shd w:val="clear" w:color="auto" w:fill="C1ECFF"/>
          </w:tcPr>
          <w:p w14:paraId="70865A50"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dotted" w:sz="4" w:space="0" w:color="auto"/>
              <w:bottom w:val="dotted" w:sz="4" w:space="0" w:color="auto"/>
              <w:right w:val="single" w:sz="4" w:space="0" w:color="auto"/>
            </w:tcBorders>
            <w:shd w:val="clear" w:color="auto" w:fill="C1ECFF"/>
          </w:tcPr>
          <w:p w14:paraId="6D43AC57" w14:textId="77777777" w:rsidR="000A7D9D" w:rsidRPr="00EC1412" w:rsidRDefault="000A7D9D" w:rsidP="00F31937">
            <w:pPr>
              <w:jc w:val="right"/>
              <w:rPr>
                <w:b/>
                <w:caps/>
                <w:noProof/>
                <w:sz w:val="18"/>
                <w:szCs w:val="18"/>
              </w:rPr>
            </w:pPr>
            <w:r>
              <w:rPr>
                <w:b/>
                <w:caps/>
                <w:noProof/>
                <w:sz w:val="18"/>
                <w:szCs w:val="18"/>
              </w:rPr>
              <w:t>2</w:t>
            </w:r>
          </w:p>
        </w:tc>
        <w:tc>
          <w:tcPr>
            <w:tcW w:w="425" w:type="dxa"/>
            <w:tcBorders>
              <w:left w:val="single" w:sz="4" w:space="0" w:color="auto"/>
              <w:bottom w:val="dotted" w:sz="4" w:space="0" w:color="auto"/>
              <w:right w:val="dotted" w:sz="4" w:space="0" w:color="auto"/>
            </w:tcBorders>
            <w:shd w:val="clear" w:color="auto" w:fill="C1ECFF"/>
          </w:tcPr>
          <w:p w14:paraId="58377A6B" w14:textId="77777777" w:rsidR="000A7D9D" w:rsidRPr="00EC1412" w:rsidRDefault="000A7D9D" w:rsidP="00F31937">
            <w:pPr>
              <w:jc w:val="right"/>
              <w:rPr>
                <w:b/>
                <w:caps/>
                <w:noProof/>
                <w:sz w:val="18"/>
                <w:szCs w:val="18"/>
              </w:rPr>
            </w:pPr>
            <w:r w:rsidRPr="00EC1412">
              <w:rPr>
                <w:b/>
                <w:caps/>
                <w:noProof/>
                <w:sz w:val="18"/>
                <w:szCs w:val="18"/>
              </w:rPr>
              <w:t>3</w:t>
            </w:r>
          </w:p>
        </w:tc>
        <w:tc>
          <w:tcPr>
            <w:tcW w:w="425" w:type="dxa"/>
            <w:tcBorders>
              <w:left w:val="dotted" w:sz="4" w:space="0" w:color="auto"/>
              <w:bottom w:val="dotted" w:sz="4" w:space="0" w:color="auto"/>
              <w:right w:val="single" w:sz="4" w:space="0" w:color="auto"/>
            </w:tcBorders>
            <w:shd w:val="clear" w:color="auto" w:fill="C1ECFF"/>
          </w:tcPr>
          <w:p w14:paraId="63603B9A"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bottom w:val="dotted" w:sz="4" w:space="0" w:color="auto"/>
              <w:right w:val="single" w:sz="4" w:space="0" w:color="auto"/>
            </w:tcBorders>
            <w:shd w:val="clear" w:color="auto" w:fill="C1ECFF"/>
          </w:tcPr>
          <w:p w14:paraId="7DDB6FE3" w14:textId="77777777" w:rsidR="000A7D9D" w:rsidRPr="00EC1412" w:rsidRDefault="000A7D9D" w:rsidP="00F31937">
            <w:pPr>
              <w:jc w:val="right"/>
              <w:rPr>
                <w:b/>
                <w:caps/>
                <w:noProof/>
                <w:sz w:val="18"/>
                <w:szCs w:val="18"/>
              </w:rPr>
            </w:pPr>
            <w:r>
              <w:rPr>
                <w:b/>
                <w:noProof/>
                <w:sz w:val="18"/>
                <w:szCs w:val="18"/>
              </w:rPr>
              <w:t>0</w:t>
            </w:r>
          </w:p>
        </w:tc>
        <w:tc>
          <w:tcPr>
            <w:tcW w:w="567" w:type="dxa"/>
            <w:tcBorders>
              <w:left w:val="single" w:sz="4" w:space="0" w:color="auto"/>
              <w:bottom w:val="dotted" w:sz="4" w:space="0" w:color="auto"/>
              <w:right w:val="single" w:sz="4" w:space="0" w:color="auto"/>
            </w:tcBorders>
            <w:shd w:val="clear" w:color="auto" w:fill="C1ECFF"/>
            <w:vAlign w:val="bottom"/>
          </w:tcPr>
          <w:p w14:paraId="66605BB6" w14:textId="77777777" w:rsidR="000A7D9D" w:rsidRPr="00EC1412" w:rsidRDefault="000A7D9D" w:rsidP="00F31937">
            <w:pPr>
              <w:jc w:val="right"/>
              <w:rPr>
                <w:b/>
                <w:caps/>
                <w:noProof/>
                <w:sz w:val="18"/>
                <w:szCs w:val="18"/>
              </w:rPr>
            </w:pPr>
            <w:r>
              <w:rPr>
                <w:b/>
                <w:caps/>
                <w:noProof/>
                <w:sz w:val="18"/>
                <w:szCs w:val="18"/>
              </w:rPr>
              <w:t>766</w:t>
            </w:r>
          </w:p>
        </w:tc>
        <w:tc>
          <w:tcPr>
            <w:tcW w:w="567" w:type="dxa"/>
            <w:tcBorders>
              <w:left w:val="single" w:sz="4" w:space="0" w:color="auto"/>
              <w:bottom w:val="dotted" w:sz="4" w:space="0" w:color="auto"/>
              <w:right w:val="single" w:sz="4" w:space="0" w:color="auto"/>
            </w:tcBorders>
            <w:shd w:val="clear" w:color="auto" w:fill="C1ECFF"/>
            <w:vAlign w:val="bottom"/>
          </w:tcPr>
          <w:p w14:paraId="19AB45E3" w14:textId="77777777" w:rsidR="000A7D9D" w:rsidRPr="00EC1412" w:rsidRDefault="000A7D9D" w:rsidP="00F31937">
            <w:pPr>
              <w:jc w:val="right"/>
              <w:rPr>
                <w:b/>
                <w:caps/>
                <w:noProof/>
                <w:sz w:val="18"/>
                <w:szCs w:val="18"/>
              </w:rPr>
            </w:pPr>
            <w:r>
              <w:rPr>
                <w:b/>
                <w:noProof/>
                <w:sz w:val="18"/>
                <w:szCs w:val="18"/>
              </w:rPr>
              <w:t>684</w:t>
            </w:r>
          </w:p>
        </w:tc>
        <w:tc>
          <w:tcPr>
            <w:tcW w:w="567" w:type="dxa"/>
            <w:tcBorders>
              <w:left w:val="single" w:sz="4" w:space="0" w:color="auto"/>
              <w:bottom w:val="dotted" w:sz="4" w:space="0" w:color="auto"/>
            </w:tcBorders>
            <w:shd w:val="clear" w:color="auto" w:fill="C1ECFF"/>
            <w:vAlign w:val="bottom"/>
          </w:tcPr>
          <w:p w14:paraId="5AA4D71A" w14:textId="77777777" w:rsidR="000A7D9D" w:rsidRPr="00EC1412" w:rsidRDefault="000A7D9D" w:rsidP="00F31937">
            <w:pPr>
              <w:ind w:left="-119"/>
              <w:jc w:val="right"/>
              <w:rPr>
                <w:b/>
                <w:caps/>
                <w:noProof/>
                <w:sz w:val="18"/>
                <w:szCs w:val="18"/>
              </w:rPr>
            </w:pPr>
            <w:r>
              <w:rPr>
                <w:b/>
                <w:noProof/>
                <w:sz w:val="18"/>
                <w:szCs w:val="18"/>
              </w:rPr>
              <w:t>400</w:t>
            </w:r>
          </w:p>
        </w:tc>
      </w:tr>
      <w:tr w:rsidR="000A7D9D" w:rsidRPr="00EC1412" w14:paraId="53EBC5B0" w14:textId="77777777" w:rsidTr="00F31937">
        <w:tc>
          <w:tcPr>
            <w:tcW w:w="3964" w:type="dxa"/>
            <w:tcBorders>
              <w:top w:val="dotted" w:sz="4" w:space="0" w:color="auto"/>
              <w:bottom w:val="dotted" w:sz="4" w:space="0" w:color="auto"/>
              <w:right w:val="single" w:sz="4" w:space="0" w:color="auto"/>
            </w:tcBorders>
            <w:shd w:val="clear" w:color="auto" w:fill="C1ECFF"/>
          </w:tcPr>
          <w:p w14:paraId="345B6C6F" w14:textId="77777777" w:rsidR="000A7D9D" w:rsidRPr="00EC1412" w:rsidRDefault="000A7D9D" w:rsidP="00F31937">
            <w:pPr>
              <w:jc w:val="both"/>
              <w:rPr>
                <w:noProof/>
                <w:sz w:val="18"/>
                <w:szCs w:val="18"/>
              </w:rPr>
            </w:pPr>
            <w:r w:rsidRPr="00EC1412">
              <w:rPr>
                <w:noProof/>
                <w:sz w:val="18"/>
                <w:szCs w:val="18"/>
              </w:rPr>
              <w:t xml:space="preserve">   Common data platform</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325BA6A2"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01145EB3"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05819996"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57EDD331" w14:textId="77777777" w:rsidR="000A7D9D" w:rsidRPr="00EC1412" w:rsidRDefault="000A7D9D" w:rsidP="00F31937">
            <w:pPr>
              <w:jc w:val="right"/>
              <w:rPr>
                <w:caps/>
                <w:noProof/>
                <w:sz w:val="18"/>
                <w:szCs w:val="18"/>
              </w:rPr>
            </w:pPr>
            <w:r>
              <w:rPr>
                <w:caps/>
                <w:noProof/>
                <w:sz w:val="18"/>
                <w:szCs w:val="18"/>
              </w:rPr>
              <w:t>2</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59CBD543" w14:textId="77777777" w:rsidR="000A7D9D" w:rsidRPr="00EC1412" w:rsidRDefault="000A7D9D" w:rsidP="00F31937">
            <w:pPr>
              <w:jc w:val="right"/>
              <w:rPr>
                <w:caps/>
                <w:noProof/>
                <w:sz w:val="18"/>
                <w:szCs w:val="18"/>
              </w:rPr>
            </w:pPr>
            <w:r>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7BC1550F" w14:textId="77777777" w:rsidR="000A7D9D" w:rsidRPr="00EC1412" w:rsidRDefault="000A7D9D" w:rsidP="00F31937">
            <w:pPr>
              <w:jc w:val="right"/>
              <w:rPr>
                <w:caps/>
                <w:noProof/>
                <w:sz w:val="18"/>
                <w:szCs w:val="18"/>
              </w:rPr>
            </w:pPr>
            <w:r>
              <w:rPr>
                <w:caps/>
                <w:noProof/>
                <w:sz w:val="18"/>
                <w:szCs w:val="18"/>
              </w:rPr>
              <w:t>2</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42E92BF7"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064884F7"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2721B03A"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vAlign w:val="bottom"/>
          </w:tcPr>
          <w:p w14:paraId="52727943" w14:textId="77777777" w:rsidR="000A7D9D" w:rsidRPr="00EC1412" w:rsidRDefault="000A7D9D" w:rsidP="00F31937">
            <w:pPr>
              <w:jc w:val="right"/>
              <w:rPr>
                <w:caps/>
                <w:noProof/>
                <w:sz w:val="18"/>
                <w:szCs w:val="18"/>
              </w:rPr>
            </w:pPr>
            <w:r>
              <w:rPr>
                <w:noProof/>
                <w:sz w:val="18"/>
                <w:szCs w:val="18"/>
              </w:rPr>
              <w:t>266</w:t>
            </w:r>
          </w:p>
        </w:tc>
        <w:tc>
          <w:tcPr>
            <w:tcW w:w="567" w:type="dxa"/>
            <w:tcBorders>
              <w:top w:val="dotted" w:sz="4" w:space="0" w:color="auto"/>
              <w:left w:val="single" w:sz="4" w:space="0" w:color="auto"/>
              <w:bottom w:val="dotted" w:sz="4" w:space="0" w:color="auto"/>
              <w:right w:val="single" w:sz="4" w:space="0" w:color="auto"/>
            </w:tcBorders>
            <w:shd w:val="clear" w:color="auto" w:fill="C1ECFF"/>
            <w:vAlign w:val="bottom"/>
          </w:tcPr>
          <w:p w14:paraId="0CA2D12A" w14:textId="77777777" w:rsidR="000A7D9D" w:rsidRPr="00EC1412" w:rsidRDefault="000A7D9D" w:rsidP="00F31937">
            <w:pPr>
              <w:jc w:val="right"/>
              <w:rPr>
                <w:noProof/>
                <w:sz w:val="18"/>
                <w:szCs w:val="18"/>
              </w:rPr>
            </w:pPr>
            <w:r>
              <w:rPr>
                <w:noProof/>
                <w:sz w:val="18"/>
                <w:szCs w:val="18"/>
              </w:rPr>
              <w:t>334</w:t>
            </w:r>
          </w:p>
        </w:tc>
        <w:tc>
          <w:tcPr>
            <w:tcW w:w="567" w:type="dxa"/>
            <w:tcBorders>
              <w:top w:val="dotted" w:sz="4" w:space="0" w:color="auto"/>
              <w:left w:val="single" w:sz="4" w:space="0" w:color="auto"/>
              <w:bottom w:val="dotted" w:sz="4" w:space="0" w:color="auto"/>
            </w:tcBorders>
            <w:shd w:val="clear" w:color="auto" w:fill="C1ECFF"/>
            <w:vAlign w:val="bottom"/>
          </w:tcPr>
          <w:p w14:paraId="5D3EF938" w14:textId="77777777" w:rsidR="000A7D9D" w:rsidRPr="00EC1412" w:rsidRDefault="000A7D9D" w:rsidP="00F31937">
            <w:pPr>
              <w:ind w:left="-119"/>
              <w:jc w:val="right"/>
              <w:rPr>
                <w:noProof/>
                <w:sz w:val="18"/>
                <w:szCs w:val="18"/>
              </w:rPr>
            </w:pPr>
            <w:r>
              <w:rPr>
                <w:noProof/>
                <w:sz w:val="18"/>
                <w:szCs w:val="18"/>
              </w:rPr>
              <w:t>200</w:t>
            </w:r>
          </w:p>
        </w:tc>
      </w:tr>
      <w:tr w:rsidR="000A7D9D" w:rsidRPr="00EC1412" w14:paraId="2AA15F6F" w14:textId="77777777" w:rsidTr="00F31937">
        <w:tc>
          <w:tcPr>
            <w:tcW w:w="3964" w:type="dxa"/>
            <w:tcBorders>
              <w:top w:val="dotted" w:sz="4" w:space="0" w:color="auto"/>
              <w:bottom w:val="dotted" w:sz="4" w:space="0" w:color="auto"/>
              <w:right w:val="single" w:sz="4" w:space="0" w:color="auto"/>
            </w:tcBorders>
            <w:shd w:val="clear" w:color="auto" w:fill="C1ECFF"/>
          </w:tcPr>
          <w:p w14:paraId="170BE3CE" w14:textId="77777777" w:rsidR="000A7D9D" w:rsidRPr="00EC1412" w:rsidRDefault="000A7D9D" w:rsidP="00F31937">
            <w:pPr>
              <w:rPr>
                <w:noProof/>
                <w:sz w:val="18"/>
                <w:szCs w:val="18"/>
              </w:rPr>
            </w:pPr>
            <w:r w:rsidRPr="2D69C30E">
              <w:rPr>
                <w:noProof/>
                <w:sz w:val="18"/>
                <w:szCs w:val="18"/>
              </w:rPr>
              <w:t xml:space="preserve">   Information Platform for Chemical Monitoring</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3E2F1AC5"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3022D59A"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43694D36"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39C3E968"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2BDE1DFD"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03313946"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126ED50D"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40F0040E"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52D85DA2"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518CF3CE" w14:textId="77777777" w:rsidR="000A7D9D" w:rsidRPr="00EC1412" w:rsidRDefault="000A7D9D" w:rsidP="00F31937">
            <w:pPr>
              <w:jc w:val="right"/>
              <w:rPr>
                <w:caps/>
                <w:noProof/>
                <w:sz w:val="18"/>
                <w:szCs w:val="18"/>
              </w:rPr>
            </w:pPr>
            <w:r>
              <w:rPr>
                <w:noProof/>
                <w:sz w:val="18"/>
                <w:szCs w:val="18"/>
              </w:rPr>
              <w:t>200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27720B84" w14:textId="77777777" w:rsidR="000A7D9D" w:rsidRPr="00EC1412" w:rsidRDefault="000A7D9D" w:rsidP="00F31937">
            <w:pPr>
              <w:jc w:val="right"/>
              <w:rPr>
                <w:noProof/>
                <w:sz w:val="18"/>
                <w:szCs w:val="18"/>
              </w:rPr>
            </w:pPr>
            <w:r>
              <w:rPr>
                <w:noProof/>
                <w:sz w:val="18"/>
                <w:szCs w:val="18"/>
              </w:rPr>
              <w:t>200</w:t>
            </w:r>
          </w:p>
        </w:tc>
        <w:tc>
          <w:tcPr>
            <w:tcW w:w="567" w:type="dxa"/>
            <w:tcBorders>
              <w:top w:val="dotted" w:sz="4" w:space="0" w:color="auto"/>
              <w:left w:val="single" w:sz="4" w:space="0" w:color="auto"/>
              <w:bottom w:val="dotted" w:sz="4" w:space="0" w:color="auto"/>
            </w:tcBorders>
            <w:shd w:val="clear" w:color="auto" w:fill="C1ECFF"/>
          </w:tcPr>
          <w:p w14:paraId="5D308D16" w14:textId="77777777" w:rsidR="000A7D9D" w:rsidRPr="00EC1412" w:rsidRDefault="000A7D9D" w:rsidP="00F31937">
            <w:pPr>
              <w:ind w:left="-119"/>
              <w:jc w:val="right"/>
              <w:rPr>
                <w:noProof/>
                <w:sz w:val="18"/>
                <w:szCs w:val="18"/>
              </w:rPr>
            </w:pPr>
            <w:r>
              <w:rPr>
                <w:noProof/>
                <w:sz w:val="18"/>
                <w:szCs w:val="18"/>
              </w:rPr>
              <w:t>50</w:t>
            </w:r>
          </w:p>
        </w:tc>
      </w:tr>
      <w:tr w:rsidR="000A7D9D" w:rsidRPr="00EC1412" w14:paraId="34D457B6" w14:textId="77777777" w:rsidTr="00F31937">
        <w:tc>
          <w:tcPr>
            <w:tcW w:w="3964" w:type="dxa"/>
            <w:tcBorders>
              <w:top w:val="dotted" w:sz="4" w:space="0" w:color="auto"/>
              <w:bottom w:val="dotted" w:sz="4" w:space="0" w:color="auto"/>
              <w:right w:val="single" w:sz="4" w:space="0" w:color="auto"/>
            </w:tcBorders>
            <w:shd w:val="clear" w:color="auto" w:fill="C1ECFF"/>
          </w:tcPr>
          <w:p w14:paraId="0BD6E205" w14:textId="77777777" w:rsidR="000A7D9D" w:rsidRPr="2D69C30E" w:rsidRDefault="000A7D9D" w:rsidP="00F31937">
            <w:pPr>
              <w:rPr>
                <w:noProof/>
                <w:sz w:val="18"/>
                <w:szCs w:val="18"/>
              </w:rPr>
            </w:pPr>
            <w:r>
              <w:rPr>
                <w:rStyle w:val="normaltextrun"/>
                <w:noProof/>
                <w:sz w:val="18"/>
                <w:szCs w:val="18"/>
              </w:rPr>
              <w:t xml:space="preserve">   </w:t>
            </w:r>
            <w:r w:rsidRPr="2E8599C7">
              <w:rPr>
                <w:rStyle w:val="normaltextrun"/>
                <w:noProof/>
                <w:sz w:val="18"/>
                <w:szCs w:val="18"/>
              </w:rPr>
              <w:t>Information on regulatory processes on chemicals</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4DA9923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7D5BFF61"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4D61288B"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235D4386" w14:textId="77777777" w:rsidR="000A7D9D"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4BF43C27"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73B48127"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6ECB9EF7"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149E55DB" w14:textId="77777777" w:rsidR="000A7D9D"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19506A3C"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3D0831B3"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7E6778D0"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C1ECFF"/>
          </w:tcPr>
          <w:p w14:paraId="6292CD21" w14:textId="77777777" w:rsidR="000A7D9D" w:rsidRDefault="000A7D9D" w:rsidP="00F31937">
            <w:pPr>
              <w:ind w:left="-119"/>
              <w:jc w:val="right"/>
              <w:rPr>
                <w:noProof/>
                <w:sz w:val="18"/>
                <w:szCs w:val="18"/>
              </w:rPr>
            </w:pPr>
            <w:r>
              <w:rPr>
                <w:noProof/>
                <w:sz w:val="18"/>
                <w:szCs w:val="18"/>
              </w:rPr>
              <w:t>0</w:t>
            </w:r>
          </w:p>
        </w:tc>
      </w:tr>
      <w:tr w:rsidR="000A7D9D" w:rsidRPr="00EC1412" w14:paraId="1E7C1C6E" w14:textId="77777777" w:rsidTr="00F31937">
        <w:tc>
          <w:tcPr>
            <w:tcW w:w="3964" w:type="dxa"/>
            <w:tcBorders>
              <w:top w:val="dotted" w:sz="4" w:space="0" w:color="auto"/>
              <w:bottom w:val="dotted" w:sz="4" w:space="0" w:color="auto"/>
              <w:right w:val="single" w:sz="4" w:space="0" w:color="auto"/>
            </w:tcBorders>
            <w:shd w:val="clear" w:color="auto" w:fill="C1ECFF"/>
          </w:tcPr>
          <w:p w14:paraId="5135AA19" w14:textId="77777777" w:rsidR="000A7D9D" w:rsidRDefault="000A7D9D" w:rsidP="00F31937">
            <w:pPr>
              <w:rPr>
                <w:rStyle w:val="normaltextrun"/>
                <w:noProof/>
                <w:sz w:val="18"/>
                <w:szCs w:val="18"/>
              </w:rPr>
            </w:pPr>
            <w:r>
              <w:rPr>
                <w:rStyle w:val="normaltextrun"/>
                <w:noProof/>
                <w:sz w:val="18"/>
                <w:szCs w:val="18"/>
              </w:rPr>
              <w:t xml:space="preserve">   Repository of reference values</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12CB57C7"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1DF326D7"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1425CCC4"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092D39B2" w14:textId="77777777" w:rsidR="000A7D9D"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270B27E0"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7205776A"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56C322CE"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171B1813" w14:textId="77777777" w:rsidR="000A7D9D"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05773F36"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4AC0B7D5"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5E594F94"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C1ECFF"/>
          </w:tcPr>
          <w:p w14:paraId="234EBB82" w14:textId="77777777" w:rsidR="000A7D9D" w:rsidRDefault="000A7D9D" w:rsidP="00F31937">
            <w:pPr>
              <w:ind w:left="-119"/>
              <w:jc w:val="right"/>
              <w:rPr>
                <w:noProof/>
                <w:sz w:val="18"/>
                <w:szCs w:val="18"/>
              </w:rPr>
            </w:pPr>
            <w:r>
              <w:rPr>
                <w:noProof/>
                <w:sz w:val="18"/>
                <w:szCs w:val="18"/>
              </w:rPr>
              <w:t>0</w:t>
            </w:r>
          </w:p>
        </w:tc>
      </w:tr>
      <w:tr w:rsidR="000A7D9D" w:rsidRPr="00EC1412" w14:paraId="6E6D304A" w14:textId="77777777" w:rsidTr="00F31937">
        <w:tc>
          <w:tcPr>
            <w:tcW w:w="3964" w:type="dxa"/>
            <w:tcBorders>
              <w:top w:val="dotted" w:sz="4" w:space="0" w:color="auto"/>
              <w:bottom w:val="dotted" w:sz="4" w:space="0" w:color="auto"/>
              <w:right w:val="single" w:sz="4" w:space="0" w:color="auto"/>
            </w:tcBorders>
            <w:shd w:val="clear" w:color="auto" w:fill="C1ECFF"/>
          </w:tcPr>
          <w:p w14:paraId="1A5B7643" w14:textId="77777777" w:rsidR="000A7D9D" w:rsidRDefault="000A7D9D" w:rsidP="00F31937">
            <w:pPr>
              <w:ind w:left="142"/>
              <w:rPr>
                <w:rStyle w:val="normaltextrun"/>
                <w:noProof/>
                <w:sz w:val="18"/>
                <w:szCs w:val="18"/>
              </w:rPr>
            </w:pPr>
            <w:r>
              <w:rPr>
                <w:rStyle w:val="normaltextrun"/>
                <w:noProof/>
                <w:sz w:val="18"/>
                <w:szCs w:val="18"/>
              </w:rPr>
              <w:t>Environmental sustainability related data on chemicals</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41D4BB10"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19191CAC"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736DAD60"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51A1333C" w14:textId="77777777" w:rsidR="000A7D9D"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C1ECFF"/>
          </w:tcPr>
          <w:p w14:paraId="30376C46"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59418D59"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C1ECFF"/>
          </w:tcPr>
          <w:p w14:paraId="42D879F5"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C1ECFF"/>
          </w:tcPr>
          <w:p w14:paraId="05CB71B1" w14:textId="77777777" w:rsidR="000A7D9D"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68D543ED"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589BD6E1"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C1ECFF"/>
          </w:tcPr>
          <w:p w14:paraId="6D8F5246"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C1ECFF"/>
          </w:tcPr>
          <w:p w14:paraId="2E542DC8" w14:textId="77777777" w:rsidR="000A7D9D" w:rsidRDefault="000A7D9D" w:rsidP="00F31937">
            <w:pPr>
              <w:ind w:left="-119"/>
              <w:jc w:val="right"/>
              <w:rPr>
                <w:noProof/>
                <w:sz w:val="18"/>
                <w:szCs w:val="18"/>
              </w:rPr>
            </w:pPr>
            <w:r>
              <w:rPr>
                <w:noProof/>
                <w:sz w:val="18"/>
                <w:szCs w:val="18"/>
              </w:rPr>
              <w:t>0</w:t>
            </w:r>
          </w:p>
        </w:tc>
      </w:tr>
      <w:tr w:rsidR="000A7D9D" w:rsidRPr="00EC1412" w14:paraId="3996109B" w14:textId="77777777" w:rsidTr="00F31937">
        <w:tc>
          <w:tcPr>
            <w:tcW w:w="3964" w:type="dxa"/>
            <w:tcBorders>
              <w:top w:val="dotted" w:sz="4" w:space="0" w:color="auto"/>
              <w:bottom w:val="single" w:sz="4" w:space="0" w:color="auto"/>
              <w:right w:val="single" w:sz="4" w:space="0" w:color="auto"/>
            </w:tcBorders>
            <w:shd w:val="clear" w:color="auto" w:fill="C1ECFF"/>
          </w:tcPr>
          <w:p w14:paraId="6DE27087" w14:textId="77777777" w:rsidR="000A7D9D" w:rsidRPr="00EC1412" w:rsidRDefault="000A7D9D" w:rsidP="00F31937">
            <w:pPr>
              <w:ind w:left="142"/>
              <w:rPr>
                <w:noProof/>
                <w:sz w:val="18"/>
                <w:szCs w:val="18"/>
              </w:rPr>
            </w:pPr>
            <w:r w:rsidRPr="2D69C30E">
              <w:rPr>
                <w:noProof/>
                <w:sz w:val="18"/>
                <w:szCs w:val="18"/>
              </w:rPr>
              <w:t>Early warning and action system for emerging chemical risks and framework of indicators</w:t>
            </w:r>
          </w:p>
        </w:tc>
        <w:tc>
          <w:tcPr>
            <w:tcW w:w="426" w:type="dxa"/>
            <w:tcBorders>
              <w:top w:val="dotted" w:sz="4" w:space="0" w:color="auto"/>
              <w:left w:val="single" w:sz="4" w:space="0" w:color="auto"/>
              <w:bottom w:val="single" w:sz="4" w:space="0" w:color="auto"/>
              <w:right w:val="dotted" w:sz="4" w:space="0" w:color="auto"/>
            </w:tcBorders>
            <w:shd w:val="clear" w:color="auto" w:fill="C1ECFF"/>
          </w:tcPr>
          <w:p w14:paraId="2303EFBE"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691119D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501A75A6"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222041E4"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single" w:sz="4" w:space="0" w:color="auto"/>
              <w:right w:val="dotted" w:sz="4" w:space="0" w:color="auto"/>
            </w:tcBorders>
            <w:shd w:val="clear" w:color="auto" w:fill="C1ECFF"/>
          </w:tcPr>
          <w:p w14:paraId="4A8C8079"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0B298816"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53567D92" w14:textId="77777777" w:rsidR="000A7D9D" w:rsidRPr="00EC1412" w:rsidRDefault="000A7D9D" w:rsidP="00F31937">
            <w:pPr>
              <w:jc w:val="right"/>
              <w:rPr>
                <w:caps/>
                <w:noProof/>
                <w:sz w:val="18"/>
                <w:szCs w:val="18"/>
              </w:rPr>
            </w:pPr>
            <w:r w:rsidRPr="00EC1412">
              <w:rPr>
                <w:caps/>
                <w:noProof/>
                <w:sz w:val="18"/>
                <w:szCs w:val="18"/>
              </w:rPr>
              <w:t>1</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381C321E"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2CBB67D7" w14:textId="77777777" w:rsidR="000A7D9D" w:rsidRPr="00EC1412" w:rsidRDefault="000A7D9D" w:rsidP="00F31937">
            <w:pPr>
              <w:tabs>
                <w:tab w:val="left" w:pos="390"/>
              </w:tabs>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2C8B6CC3" w14:textId="77777777" w:rsidR="000A7D9D" w:rsidRPr="00EC1412" w:rsidRDefault="000A7D9D" w:rsidP="00F31937">
            <w:pPr>
              <w:jc w:val="right"/>
              <w:rPr>
                <w:caps/>
                <w:noProof/>
                <w:sz w:val="18"/>
                <w:szCs w:val="18"/>
              </w:rPr>
            </w:pPr>
            <w:r>
              <w:rPr>
                <w:noProof/>
                <w:sz w:val="18"/>
                <w:szCs w:val="18"/>
              </w:rPr>
              <w:t>300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7BD83D84" w14:textId="77777777" w:rsidR="000A7D9D" w:rsidRPr="00EC1412" w:rsidRDefault="000A7D9D" w:rsidP="00F31937">
            <w:pPr>
              <w:jc w:val="right"/>
              <w:rPr>
                <w:noProof/>
                <w:sz w:val="18"/>
                <w:szCs w:val="18"/>
              </w:rPr>
            </w:pPr>
            <w:r>
              <w:rPr>
                <w:noProof/>
                <w:sz w:val="18"/>
                <w:szCs w:val="18"/>
              </w:rPr>
              <w:t>150</w:t>
            </w:r>
          </w:p>
        </w:tc>
        <w:tc>
          <w:tcPr>
            <w:tcW w:w="567" w:type="dxa"/>
            <w:tcBorders>
              <w:top w:val="dotted" w:sz="4" w:space="0" w:color="auto"/>
              <w:left w:val="single" w:sz="4" w:space="0" w:color="auto"/>
              <w:bottom w:val="single" w:sz="4" w:space="0" w:color="auto"/>
            </w:tcBorders>
            <w:shd w:val="clear" w:color="auto" w:fill="C1ECFF"/>
          </w:tcPr>
          <w:p w14:paraId="31BCF880" w14:textId="77777777" w:rsidR="000A7D9D" w:rsidRPr="00EC1412" w:rsidRDefault="000A7D9D" w:rsidP="00F31937">
            <w:pPr>
              <w:ind w:left="-119"/>
              <w:jc w:val="right"/>
              <w:rPr>
                <w:noProof/>
                <w:sz w:val="18"/>
                <w:szCs w:val="18"/>
              </w:rPr>
            </w:pPr>
            <w:r>
              <w:rPr>
                <w:noProof/>
                <w:sz w:val="18"/>
                <w:szCs w:val="18"/>
              </w:rPr>
              <w:t>150</w:t>
            </w:r>
          </w:p>
        </w:tc>
      </w:tr>
      <w:tr w:rsidR="000A7D9D" w:rsidRPr="00EC1412" w14:paraId="4886498D" w14:textId="77777777" w:rsidTr="00F31937">
        <w:tc>
          <w:tcPr>
            <w:tcW w:w="3964" w:type="dxa"/>
            <w:tcBorders>
              <w:right w:val="single" w:sz="4" w:space="0" w:color="auto"/>
            </w:tcBorders>
            <w:shd w:val="clear" w:color="auto" w:fill="BFBFBF" w:themeFill="background1" w:themeFillShade="BF"/>
          </w:tcPr>
          <w:p w14:paraId="4D07D66F" w14:textId="77777777" w:rsidR="000A7D9D" w:rsidRPr="00EC1412" w:rsidRDefault="000A7D9D" w:rsidP="00F31937">
            <w:pPr>
              <w:jc w:val="both"/>
              <w:rPr>
                <w:b/>
                <w:caps/>
                <w:noProof/>
                <w:sz w:val="18"/>
                <w:szCs w:val="18"/>
              </w:rPr>
            </w:pPr>
            <w:r w:rsidRPr="00EC1412">
              <w:rPr>
                <w:b/>
                <w:caps/>
                <w:noProof/>
                <w:sz w:val="18"/>
                <w:szCs w:val="18"/>
              </w:rPr>
              <w:t>SUm</w:t>
            </w:r>
          </w:p>
        </w:tc>
        <w:tc>
          <w:tcPr>
            <w:tcW w:w="426" w:type="dxa"/>
            <w:tcBorders>
              <w:left w:val="single" w:sz="4" w:space="0" w:color="auto"/>
              <w:right w:val="dotted" w:sz="4" w:space="0" w:color="auto"/>
            </w:tcBorders>
            <w:shd w:val="clear" w:color="auto" w:fill="BFBFBF" w:themeFill="background1" w:themeFillShade="BF"/>
          </w:tcPr>
          <w:p w14:paraId="40BA4F25"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dotted" w:sz="4" w:space="0" w:color="auto"/>
              <w:right w:val="single" w:sz="4" w:space="0" w:color="auto"/>
            </w:tcBorders>
            <w:shd w:val="clear" w:color="auto" w:fill="BFBFBF" w:themeFill="background1" w:themeFillShade="BF"/>
          </w:tcPr>
          <w:p w14:paraId="467B0AB8" w14:textId="77777777" w:rsidR="000A7D9D" w:rsidRPr="00EC1412" w:rsidRDefault="000A7D9D" w:rsidP="00F31937">
            <w:pPr>
              <w:jc w:val="right"/>
              <w:rPr>
                <w:b/>
                <w:caps/>
                <w:noProof/>
                <w:sz w:val="18"/>
                <w:szCs w:val="18"/>
              </w:rPr>
            </w:pPr>
            <w:r>
              <w:rPr>
                <w:b/>
                <w:caps/>
                <w:noProof/>
                <w:sz w:val="18"/>
                <w:szCs w:val="18"/>
              </w:rPr>
              <w:t>2</w:t>
            </w:r>
          </w:p>
        </w:tc>
        <w:tc>
          <w:tcPr>
            <w:tcW w:w="425" w:type="dxa"/>
            <w:tcBorders>
              <w:left w:val="single" w:sz="4" w:space="0" w:color="auto"/>
              <w:right w:val="dotted" w:sz="4" w:space="0" w:color="auto"/>
            </w:tcBorders>
            <w:shd w:val="clear" w:color="auto" w:fill="BFBFBF" w:themeFill="background1" w:themeFillShade="BF"/>
          </w:tcPr>
          <w:p w14:paraId="79570B3C"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dotted" w:sz="4" w:space="0" w:color="auto"/>
              <w:right w:val="single" w:sz="4" w:space="0" w:color="auto"/>
            </w:tcBorders>
            <w:shd w:val="clear" w:color="auto" w:fill="BFBFBF" w:themeFill="background1" w:themeFillShade="BF"/>
          </w:tcPr>
          <w:p w14:paraId="1B56E733" w14:textId="77777777" w:rsidR="000A7D9D" w:rsidRPr="00EC1412" w:rsidRDefault="000A7D9D" w:rsidP="00F31937">
            <w:pPr>
              <w:jc w:val="right"/>
              <w:rPr>
                <w:b/>
                <w:caps/>
                <w:noProof/>
                <w:sz w:val="18"/>
                <w:szCs w:val="18"/>
              </w:rPr>
            </w:pPr>
            <w:r>
              <w:rPr>
                <w:b/>
                <w:caps/>
                <w:noProof/>
                <w:sz w:val="18"/>
                <w:szCs w:val="18"/>
              </w:rPr>
              <w:t>2</w:t>
            </w:r>
          </w:p>
        </w:tc>
        <w:tc>
          <w:tcPr>
            <w:tcW w:w="426" w:type="dxa"/>
            <w:tcBorders>
              <w:left w:val="single" w:sz="4" w:space="0" w:color="auto"/>
              <w:right w:val="dotted" w:sz="4" w:space="0" w:color="auto"/>
            </w:tcBorders>
            <w:shd w:val="clear" w:color="auto" w:fill="BFBFBF" w:themeFill="background1" w:themeFillShade="BF"/>
          </w:tcPr>
          <w:p w14:paraId="6FF0404E"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dotted" w:sz="4" w:space="0" w:color="auto"/>
              <w:right w:val="single" w:sz="4" w:space="0" w:color="auto"/>
            </w:tcBorders>
            <w:shd w:val="clear" w:color="auto" w:fill="BFBFBF" w:themeFill="background1" w:themeFillShade="BF"/>
          </w:tcPr>
          <w:p w14:paraId="6EDFD3B0" w14:textId="77777777" w:rsidR="000A7D9D" w:rsidRPr="00EC1412" w:rsidRDefault="000A7D9D" w:rsidP="00F31937">
            <w:pPr>
              <w:jc w:val="right"/>
              <w:rPr>
                <w:b/>
                <w:caps/>
                <w:noProof/>
                <w:sz w:val="18"/>
                <w:szCs w:val="18"/>
              </w:rPr>
            </w:pPr>
            <w:r>
              <w:rPr>
                <w:b/>
                <w:caps/>
                <w:noProof/>
                <w:sz w:val="18"/>
                <w:szCs w:val="18"/>
              </w:rPr>
              <w:t>2</w:t>
            </w:r>
          </w:p>
        </w:tc>
        <w:tc>
          <w:tcPr>
            <w:tcW w:w="425" w:type="dxa"/>
            <w:tcBorders>
              <w:left w:val="single" w:sz="4" w:space="0" w:color="auto"/>
              <w:right w:val="dotted" w:sz="4" w:space="0" w:color="auto"/>
            </w:tcBorders>
            <w:shd w:val="clear" w:color="auto" w:fill="BFBFBF" w:themeFill="background1" w:themeFillShade="BF"/>
          </w:tcPr>
          <w:p w14:paraId="1BC901BF" w14:textId="77777777" w:rsidR="000A7D9D" w:rsidRPr="00EC1412" w:rsidRDefault="000A7D9D" w:rsidP="00F31937">
            <w:pPr>
              <w:jc w:val="right"/>
              <w:rPr>
                <w:b/>
                <w:caps/>
                <w:noProof/>
                <w:sz w:val="18"/>
                <w:szCs w:val="18"/>
              </w:rPr>
            </w:pPr>
            <w:r w:rsidRPr="00EC1412">
              <w:rPr>
                <w:b/>
                <w:caps/>
                <w:noProof/>
                <w:sz w:val="18"/>
                <w:szCs w:val="18"/>
              </w:rPr>
              <w:t>3</w:t>
            </w:r>
          </w:p>
        </w:tc>
        <w:tc>
          <w:tcPr>
            <w:tcW w:w="425" w:type="dxa"/>
            <w:tcBorders>
              <w:left w:val="dotted" w:sz="4" w:space="0" w:color="auto"/>
              <w:right w:val="single" w:sz="4" w:space="0" w:color="auto"/>
            </w:tcBorders>
            <w:shd w:val="clear" w:color="auto" w:fill="BFBFBF" w:themeFill="background1" w:themeFillShade="BF"/>
          </w:tcPr>
          <w:p w14:paraId="0954CB24"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1501D3E3"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022A5A99" w14:textId="77777777" w:rsidR="000A7D9D" w:rsidRPr="00EC1412" w:rsidRDefault="000A7D9D" w:rsidP="00F31937">
            <w:pPr>
              <w:jc w:val="right"/>
              <w:rPr>
                <w:b/>
                <w:caps/>
                <w:noProof/>
                <w:sz w:val="18"/>
                <w:szCs w:val="18"/>
              </w:rPr>
            </w:pPr>
            <w:r>
              <w:rPr>
                <w:b/>
                <w:caps/>
                <w:noProof/>
                <w:sz w:val="18"/>
                <w:szCs w:val="18"/>
              </w:rPr>
              <w:t>766</w:t>
            </w:r>
          </w:p>
        </w:tc>
        <w:tc>
          <w:tcPr>
            <w:tcW w:w="567" w:type="dxa"/>
            <w:tcBorders>
              <w:left w:val="single" w:sz="4" w:space="0" w:color="auto"/>
              <w:right w:val="single" w:sz="4" w:space="0" w:color="auto"/>
            </w:tcBorders>
            <w:shd w:val="clear" w:color="auto" w:fill="BFBFBF" w:themeFill="background1" w:themeFillShade="BF"/>
          </w:tcPr>
          <w:p w14:paraId="2DE25CBA" w14:textId="77777777" w:rsidR="000A7D9D" w:rsidRPr="00EC1412" w:rsidRDefault="000A7D9D" w:rsidP="00F31937">
            <w:pPr>
              <w:jc w:val="right"/>
              <w:rPr>
                <w:b/>
                <w:caps/>
                <w:noProof/>
                <w:sz w:val="18"/>
                <w:szCs w:val="18"/>
              </w:rPr>
            </w:pPr>
            <w:r>
              <w:rPr>
                <w:b/>
                <w:caps/>
                <w:noProof/>
                <w:sz w:val="18"/>
                <w:szCs w:val="18"/>
              </w:rPr>
              <w:t>684</w:t>
            </w:r>
          </w:p>
        </w:tc>
        <w:tc>
          <w:tcPr>
            <w:tcW w:w="567" w:type="dxa"/>
            <w:tcBorders>
              <w:left w:val="single" w:sz="4" w:space="0" w:color="auto"/>
            </w:tcBorders>
            <w:shd w:val="clear" w:color="auto" w:fill="BFBFBF" w:themeFill="background1" w:themeFillShade="BF"/>
          </w:tcPr>
          <w:p w14:paraId="600C0770" w14:textId="77777777" w:rsidR="000A7D9D" w:rsidRPr="00EC1412" w:rsidRDefault="000A7D9D" w:rsidP="00F31937">
            <w:pPr>
              <w:ind w:left="-104"/>
              <w:jc w:val="right"/>
              <w:rPr>
                <w:b/>
                <w:caps/>
                <w:noProof/>
                <w:sz w:val="18"/>
                <w:szCs w:val="18"/>
              </w:rPr>
            </w:pPr>
            <w:r>
              <w:rPr>
                <w:b/>
                <w:caps/>
                <w:noProof/>
                <w:sz w:val="18"/>
                <w:szCs w:val="18"/>
              </w:rPr>
              <w:t>400</w:t>
            </w:r>
          </w:p>
        </w:tc>
      </w:tr>
    </w:tbl>
    <w:p w14:paraId="62C07558" w14:textId="77777777" w:rsidR="000A7D9D" w:rsidRDefault="000A7D9D" w:rsidP="000A7D9D">
      <w:pPr>
        <w:spacing w:after="120"/>
        <w:jc w:val="both"/>
        <w:rPr>
          <w:rFonts w:ascii="Times New Roman" w:hAnsi="Times New Roman" w:cs="Times New Roman"/>
          <w:noProof/>
        </w:rPr>
      </w:pPr>
    </w:p>
    <w:p w14:paraId="0C62A9FB"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amendment of the POPs regulation via the regulation on (re-)attribution of tasks proposes to reattribute the existing task performed by the Commission to EEA. EEA is expected to host the chemical monitoring data in the environment of the POPs listed in Annex III, Part I and reported to ECHA under the POPs regulation. It is expected that this data stream will be very small or even zero. Member States are required to report those monitoring data only if they did not provide it to EEA under other reporting obligation. However, such data in air are already reported to EEA and the proposal for revision of water legislation proposed that such data in water will be reported to EEA as well.  As the potential hosting of data will be close to zero, this work, if any, can be absorbed by </w:t>
      </w:r>
      <w:r>
        <w:rPr>
          <w:rFonts w:ascii="Times New Roman" w:hAnsi="Times New Roman" w:cs="Times New Roman"/>
          <w:noProof/>
        </w:rPr>
        <w:t>EEA’s existing resources</w:t>
      </w:r>
      <w:r w:rsidRPr="00EC1412">
        <w:rPr>
          <w:rFonts w:ascii="Times New Roman" w:hAnsi="Times New Roman" w:cs="Times New Roman"/>
          <w:noProof/>
        </w:rPr>
        <w:t xml:space="preserve">. </w:t>
      </w:r>
    </w:p>
    <w:p w14:paraId="401FC312"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amendment of the EEA founding regulation via the regulation on (re-)attribution of tasks proposes to better specify existing tasks of EEA. EEA is given a mandate to develop assessment methodologies related to chemicals within the mission of the agency and EEA is required to actively cooperate with other EU Agencies as regards exchange of data and development of methodologies. There are no resource implications as part of this work as the provisions formalise the activities performed, they prescribe the procedural steps to follow and they enable the implementation of the legislative proposal on exchange of data. Any possible resource needs stemming from these provisions can be absorbed by the existing resources of </w:t>
      </w:r>
      <w:r>
        <w:rPr>
          <w:rFonts w:ascii="Times New Roman" w:hAnsi="Times New Roman" w:cs="Times New Roman"/>
          <w:noProof/>
        </w:rPr>
        <w:t xml:space="preserve">EEA </w:t>
      </w:r>
      <w:r w:rsidRPr="00EC1412">
        <w:rPr>
          <w:rFonts w:ascii="Times New Roman" w:hAnsi="Times New Roman" w:cs="Times New Roman"/>
          <w:noProof/>
        </w:rPr>
        <w:t>or the resources allocated for the common data platform.</w:t>
      </w:r>
    </w:p>
    <w:p w14:paraId="1D8B6EEB" w14:textId="77777777" w:rsidR="000A7D9D" w:rsidRPr="00EC1412" w:rsidRDefault="000A7D9D" w:rsidP="000A7D9D">
      <w:pPr>
        <w:spacing w:after="120"/>
        <w:jc w:val="both"/>
        <w:rPr>
          <w:rFonts w:ascii="Times New Roman" w:hAnsi="Times New Roman" w:cs="Times New Roman"/>
          <w:noProof/>
        </w:rPr>
      </w:pPr>
      <w:r w:rsidRPr="41576CD3">
        <w:rPr>
          <w:rFonts w:ascii="Times New Roman" w:hAnsi="Times New Roman" w:cs="Times New Roman"/>
          <w:noProof/>
        </w:rPr>
        <w:t xml:space="preserve">The proposal </w:t>
      </w:r>
      <w:r>
        <w:rPr>
          <w:rFonts w:ascii="Times New Roman" w:hAnsi="Times New Roman" w:cs="Times New Roman"/>
          <w:noProof/>
        </w:rPr>
        <w:t xml:space="preserve">for a regulation on chemicals data </w:t>
      </w:r>
      <w:r w:rsidRPr="41576CD3">
        <w:rPr>
          <w:rFonts w:ascii="Times New Roman" w:hAnsi="Times New Roman" w:cs="Times New Roman"/>
          <w:noProof/>
        </w:rPr>
        <w:t xml:space="preserve">proposes to reattribute </w:t>
      </w:r>
      <w:r>
        <w:rPr>
          <w:rFonts w:ascii="Times New Roman" w:hAnsi="Times New Roman" w:cs="Times New Roman"/>
          <w:noProof/>
        </w:rPr>
        <w:t xml:space="preserve">some of </w:t>
      </w:r>
      <w:r w:rsidRPr="41576CD3">
        <w:rPr>
          <w:rFonts w:ascii="Times New Roman" w:hAnsi="Times New Roman" w:cs="Times New Roman"/>
          <w:noProof/>
        </w:rPr>
        <w:t>the existing task</w:t>
      </w:r>
      <w:r>
        <w:rPr>
          <w:rFonts w:ascii="Times New Roman" w:hAnsi="Times New Roman" w:cs="Times New Roman"/>
          <w:noProof/>
        </w:rPr>
        <w:t>s</w:t>
      </w:r>
      <w:r w:rsidRPr="41576CD3">
        <w:rPr>
          <w:rFonts w:ascii="Times New Roman" w:hAnsi="Times New Roman" w:cs="Times New Roman"/>
          <w:noProof/>
        </w:rPr>
        <w:t xml:space="preserve"> related to IPCHEM from the Commission to EEA and to expand it. Under this task, the EEA will be requested to collect and host human biomonitoring data and host </w:t>
      </w:r>
      <w:r>
        <w:rPr>
          <w:rFonts w:ascii="Times New Roman" w:hAnsi="Times New Roman" w:cs="Times New Roman"/>
          <w:noProof/>
        </w:rPr>
        <w:t xml:space="preserve">all </w:t>
      </w:r>
      <w:r w:rsidRPr="41576CD3">
        <w:rPr>
          <w:rFonts w:ascii="Times New Roman" w:hAnsi="Times New Roman" w:cs="Times New Roman"/>
          <w:noProof/>
        </w:rPr>
        <w:t xml:space="preserve">environmental occurrence data and indoor air quality data currently held in IPCHEM. </w:t>
      </w:r>
      <w:r>
        <w:rPr>
          <w:rFonts w:ascii="Times New Roman" w:hAnsi="Times New Roman" w:cs="Times New Roman"/>
          <w:noProof/>
        </w:rPr>
        <w:t>Additional resources are needed for these tasks.</w:t>
      </w:r>
    </w:p>
    <w:p w14:paraId="092AFDFF" w14:textId="77777777" w:rsidR="000A7D9D" w:rsidRDefault="000A7D9D" w:rsidP="000A7D9D">
      <w:pPr>
        <w:spacing w:before="120" w:after="120"/>
        <w:jc w:val="both"/>
        <w:rPr>
          <w:rFonts w:ascii="Times New Roman" w:hAnsi="Times New Roman" w:cs="Times New Roman"/>
          <w:noProof/>
        </w:rPr>
      </w:pPr>
      <w:r w:rsidRPr="2D69C30E">
        <w:rPr>
          <w:rFonts w:ascii="Times New Roman" w:hAnsi="Times New Roman" w:cs="Times New Roman"/>
          <w:noProof/>
        </w:rPr>
        <w:t xml:space="preserve">The proposal for </w:t>
      </w:r>
      <w:r>
        <w:rPr>
          <w:rFonts w:ascii="Times New Roman" w:hAnsi="Times New Roman" w:cs="Times New Roman"/>
          <w:noProof/>
        </w:rPr>
        <w:t>the</w:t>
      </w:r>
      <w:r w:rsidRPr="2D69C30E">
        <w:rPr>
          <w:rFonts w:ascii="Times New Roman" w:hAnsi="Times New Roman" w:cs="Times New Roman"/>
          <w:noProof/>
        </w:rPr>
        <w:t xml:space="preserve"> regulation </w:t>
      </w:r>
      <w:r>
        <w:rPr>
          <w:rFonts w:ascii="Times New Roman" w:hAnsi="Times New Roman" w:cs="Times New Roman"/>
          <w:noProof/>
        </w:rPr>
        <w:t xml:space="preserve">on chemicals data </w:t>
      </w:r>
      <w:r w:rsidRPr="2D69C30E">
        <w:rPr>
          <w:rFonts w:ascii="Times New Roman" w:hAnsi="Times New Roman" w:cs="Times New Roman"/>
          <w:noProof/>
        </w:rPr>
        <w:t xml:space="preserve">will further attribute a new task to EEA related to the common data platform. EEA will be required to make the data it holds on chemicals available on a continuous basis to the common data platform in appropriate formats. Moreover, it will be required to set formats and controlled vocabularies in its area of competence so data can be easily shared, and it will be required to cooperate with ECHA and other agencies in developing and operating the common data platform. </w:t>
      </w:r>
      <w:r>
        <w:rPr>
          <w:rFonts w:ascii="Times New Roman" w:hAnsi="Times New Roman" w:cs="Times New Roman"/>
          <w:noProof/>
        </w:rPr>
        <w:t>Additional resources are needed for these tasks.</w:t>
      </w:r>
    </w:p>
    <w:p w14:paraId="515EE432" w14:textId="77777777" w:rsidR="000A7D9D" w:rsidRDefault="000A7D9D" w:rsidP="000A7D9D">
      <w:pPr>
        <w:spacing w:before="120" w:after="120"/>
        <w:jc w:val="both"/>
        <w:rPr>
          <w:rFonts w:ascii="Times New Roman" w:hAnsi="Times New Roman" w:cs="Times New Roman"/>
          <w:noProof/>
        </w:rPr>
      </w:pPr>
      <w:r>
        <w:rPr>
          <w:rFonts w:ascii="Times New Roman" w:hAnsi="Times New Roman" w:cs="Times New Roman"/>
          <w:noProof/>
        </w:rPr>
        <w:t>T</w:t>
      </w:r>
      <w:r w:rsidRPr="2D69C30E">
        <w:rPr>
          <w:rFonts w:ascii="Times New Roman" w:hAnsi="Times New Roman" w:cs="Times New Roman"/>
          <w:noProof/>
        </w:rPr>
        <w:t xml:space="preserve">he proposal will </w:t>
      </w:r>
      <w:r>
        <w:rPr>
          <w:rFonts w:ascii="Times New Roman" w:hAnsi="Times New Roman" w:cs="Times New Roman"/>
          <w:noProof/>
        </w:rPr>
        <w:t xml:space="preserve">also </w:t>
      </w:r>
      <w:r w:rsidRPr="2D69C30E">
        <w:rPr>
          <w:rFonts w:ascii="Times New Roman" w:hAnsi="Times New Roman" w:cs="Times New Roman"/>
          <w:noProof/>
        </w:rPr>
        <w:t>attribute to EEA a new task on the early warning and action system and formalise the existing task on the indicator framework which is already carried out by EEA. EEA</w:t>
      </w:r>
      <w:r w:rsidRPr="2D69C30E">
        <w:rPr>
          <w:rFonts w:ascii="Times New Roman" w:hAnsi="Times New Roman" w:cs="Times New Roman"/>
          <w:b/>
          <w:bCs/>
          <w:noProof/>
        </w:rPr>
        <w:t xml:space="preserve"> </w:t>
      </w:r>
      <w:r w:rsidRPr="2D69C30E">
        <w:rPr>
          <w:rFonts w:ascii="Times New Roman" w:hAnsi="Times New Roman" w:cs="Times New Roman"/>
          <w:noProof/>
        </w:rPr>
        <w:t>will be</w:t>
      </w:r>
      <w:r w:rsidRPr="2D69C30E">
        <w:rPr>
          <w:rFonts w:ascii="Times New Roman" w:hAnsi="Times New Roman" w:cs="Times New Roman"/>
          <w:b/>
          <w:bCs/>
          <w:noProof/>
        </w:rPr>
        <w:t xml:space="preserve"> </w:t>
      </w:r>
      <w:r w:rsidRPr="2D69C30E">
        <w:rPr>
          <w:rFonts w:ascii="Times New Roman" w:hAnsi="Times New Roman" w:cs="Times New Roman"/>
          <w:noProof/>
        </w:rPr>
        <w:t>required to compile and collect annually the early warning signals into a report to be presented to the Commission, relevant agencies and Member State authorities to consider whether any regulatory action is needed. EEA together with ECHA will be required to continue operating and populating the indicator framework for chemicals policy.</w:t>
      </w:r>
      <w:r>
        <w:rPr>
          <w:rFonts w:ascii="Times New Roman" w:hAnsi="Times New Roman" w:cs="Times New Roman"/>
          <w:noProof/>
        </w:rPr>
        <w:t xml:space="preserve"> Additional resources are needed for these tasks.</w:t>
      </w:r>
    </w:p>
    <w:p w14:paraId="406533B9" w14:textId="77777777" w:rsidR="000A7D9D" w:rsidRDefault="000A7D9D" w:rsidP="000A7D9D">
      <w:pPr>
        <w:spacing w:before="120" w:after="120"/>
        <w:jc w:val="both"/>
        <w:rPr>
          <w:rFonts w:ascii="Times New Roman" w:hAnsi="Times New Roman" w:cs="Times New Roman"/>
          <w:noProof/>
        </w:rPr>
      </w:pPr>
      <w:r>
        <w:rPr>
          <w:rFonts w:ascii="Times New Roman" w:hAnsi="Times New Roman" w:cs="Times New Roman"/>
          <w:noProof/>
        </w:rPr>
        <w:t xml:space="preserve">Finally, the proposal will require EEA to provide available data into the database on information on regulatory processes on chemicals, the repository of reference values and the database on environmental sustainability related data on chemicals and to cooperate with ECHA on the development of the databases and the repository. No additional resources are needed for these tasks. EEA currently does not hold any relevant data for those databases and the repository and the small contribution to the development of the tools is covered by the resources for the common data platform. </w:t>
      </w:r>
    </w:p>
    <w:p w14:paraId="057E06B8" w14:textId="77777777" w:rsidR="000A7D9D" w:rsidRDefault="000A7D9D" w:rsidP="000A7D9D">
      <w:pPr>
        <w:spacing w:before="120" w:after="120"/>
        <w:jc w:val="both"/>
        <w:rPr>
          <w:rFonts w:ascii="Times New Roman" w:hAnsi="Times New Roman" w:cs="Times New Roman"/>
          <w:noProof/>
        </w:rPr>
      </w:pPr>
      <w:r w:rsidRPr="00EC1412">
        <w:rPr>
          <w:rFonts w:ascii="Times New Roman" w:hAnsi="Times New Roman" w:cs="Times New Roman"/>
          <w:i/>
          <w:noProof/>
        </w:rPr>
        <w:t xml:space="preserve">Impact on EEA’s </w:t>
      </w:r>
      <w:r>
        <w:rPr>
          <w:rFonts w:ascii="Times New Roman" w:hAnsi="Times New Roman" w:cs="Times New Roman"/>
          <w:i/>
          <w:noProof/>
        </w:rPr>
        <w:t>expertise</w:t>
      </w:r>
    </w:p>
    <w:p w14:paraId="4ED47166" w14:textId="77777777" w:rsidR="000A7D9D" w:rsidRPr="00EC1412" w:rsidRDefault="000A7D9D" w:rsidP="000A7D9D">
      <w:pPr>
        <w:spacing w:before="120" w:after="120"/>
        <w:jc w:val="both"/>
        <w:rPr>
          <w:rFonts w:ascii="Times New Roman" w:hAnsi="Times New Roman" w:cs="Times New Roman"/>
          <w:caps/>
          <w:noProof/>
        </w:rPr>
      </w:pPr>
      <w:r w:rsidRPr="2D69C30E">
        <w:rPr>
          <w:rFonts w:ascii="Times New Roman" w:hAnsi="Times New Roman" w:cs="Times New Roman"/>
          <w:noProof/>
        </w:rPr>
        <w:t xml:space="preserve">As regards expertise, EEA has the necessary expertise, experience and the network to perform the allocated tasks. </w:t>
      </w:r>
    </w:p>
    <w:p w14:paraId="470F2481"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Impact on EEA’s network</w:t>
      </w:r>
    </w:p>
    <w:p w14:paraId="2AF84986" w14:textId="77777777" w:rsidR="000A7D9D"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No significant impact on EEA’s network. The network </w:t>
      </w:r>
      <w:r>
        <w:rPr>
          <w:rFonts w:ascii="Times New Roman" w:hAnsi="Times New Roman" w:cs="Times New Roman"/>
          <w:noProof/>
        </w:rPr>
        <w:t>might</w:t>
      </w:r>
      <w:r w:rsidRPr="2D69C30E">
        <w:rPr>
          <w:rFonts w:ascii="Times New Roman" w:hAnsi="Times New Roman" w:cs="Times New Roman"/>
          <w:noProof/>
        </w:rPr>
        <w:t xml:space="preserve"> however be required to assist in the collection of human biomonitoring data and early warning signals from </w:t>
      </w:r>
      <w:r>
        <w:rPr>
          <w:rFonts w:ascii="Times New Roman" w:hAnsi="Times New Roman" w:cs="Times New Roman"/>
          <w:noProof/>
        </w:rPr>
        <w:t>activities of EEA m</w:t>
      </w:r>
      <w:r w:rsidRPr="2D69C30E">
        <w:rPr>
          <w:rFonts w:ascii="Times New Roman" w:hAnsi="Times New Roman" w:cs="Times New Roman"/>
          <w:noProof/>
        </w:rPr>
        <w:t xml:space="preserve">ember </w:t>
      </w:r>
      <w:r>
        <w:rPr>
          <w:rFonts w:ascii="Times New Roman" w:hAnsi="Times New Roman" w:cs="Times New Roman"/>
          <w:noProof/>
        </w:rPr>
        <w:t>countries</w:t>
      </w:r>
      <w:r w:rsidRPr="2D69C30E">
        <w:rPr>
          <w:rFonts w:ascii="Times New Roman" w:hAnsi="Times New Roman" w:cs="Times New Roman"/>
          <w:noProof/>
        </w:rPr>
        <w:t>.</w:t>
      </w:r>
    </w:p>
    <w:p w14:paraId="1229594C" w14:textId="77777777" w:rsidR="000A7D9D" w:rsidRPr="00EC1412" w:rsidRDefault="000A7D9D" w:rsidP="000A7D9D">
      <w:pPr>
        <w:spacing w:after="120"/>
        <w:jc w:val="both"/>
        <w:rPr>
          <w:rFonts w:ascii="Times New Roman" w:hAnsi="Times New Roman" w:cs="Times New Roman"/>
          <w:noProof/>
        </w:rPr>
      </w:pPr>
    </w:p>
    <w:p w14:paraId="57537440" w14:textId="77777777" w:rsidR="000A7D9D" w:rsidRPr="00CB3F79" w:rsidRDefault="000A7D9D" w:rsidP="000A7D9D">
      <w:pPr>
        <w:pStyle w:val="Heading2"/>
        <w:keepLines w:val="0"/>
        <w:numPr>
          <w:ilvl w:val="1"/>
          <w:numId w:val="7"/>
        </w:numPr>
        <w:tabs>
          <w:tab w:val="num" w:pos="1200"/>
        </w:tabs>
        <w:spacing w:before="0" w:after="240"/>
        <w:ind w:left="1200" w:hanging="720"/>
        <w:jc w:val="both"/>
        <w:rPr>
          <w:rFonts w:ascii="Times New Roman" w:eastAsia="Times New Roman" w:hAnsi="Times New Roman" w:cs="Times New Roman"/>
          <w:b/>
          <w:noProof/>
          <w:color w:val="auto"/>
          <w:sz w:val="24"/>
          <w:szCs w:val="20"/>
        </w:rPr>
      </w:pPr>
      <w:bookmarkStart w:id="18" w:name="_Toc150499904"/>
      <w:r w:rsidRPr="00CB3F79">
        <w:rPr>
          <w:rFonts w:ascii="Times New Roman" w:eastAsia="Times New Roman" w:hAnsi="Times New Roman" w:cs="Times New Roman"/>
          <w:b/>
          <w:noProof/>
          <w:color w:val="auto"/>
          <w:sz w:val="24"/>
          <w:szCs w:val="20"/>
        </w:rPr>
        <w:t xml:space="preserve">Overall </w:t>
      </w:r>
      <w:r>
        <w:rPr>
          <w:rFonts w:ascii="Times New Roman" w:eastAsia="Times New Roman" w:hAnsi="Times New Roman" w:cs="Times New Roman"/>
          <w:b/>
          <w:noProof/>
          <w:color w:val="auto"/>
          <w:sz w:val="24"/>
          <w:szCs w:val="20"/>
        </w:rPr>
        <w:t>i</w:t>
      </w:r>
      <w:r w:rsidRPr="00CB3F79">
        <w:rPr>
          <w:rFonts w:ascii="Times New Roman" w:eastAsia="Times New Roman" w:hAnsi="Times New Roman" w:cs="Times New Roman"/>
          <w:b/>
          <w:noProof/>
          <w:color w:val="auto"/>
          <w:sz w:val="24"/>
          <w:szCs w:val="20"/>
        </w:rPr>
        <w:t>mpacts on EFSA</w:t>
      </w:r>
      <w:bookmarkEnd w:id="18"/>
    </w:p>
    <w:p w14:paraId="379FAB91" w14:textId="77777777" w:rsidR="000A7D9D" w:rsidRPr="00EC1412" w:rsidRDefault="000A7D9D" w:rsidP="000A7D9D">
      <w:pPr>
        <w:spacing w:before="240" w:after="120" w:line="240" w:lineRule="auto"/>
        <w:rPr>
          <w:rFonts w:ascii="Times New Roman" w:hAnsi="Times New Roman" w:cs="Times New Roman"/>
          <w:i/>
          <w:noProof/>
        </w:rPr>
      </w:pPr>
      <w:r w:rsidRPr="00EC1412">
        <w:rPr>
          <w:rFonts w:ascii="Times New Roman" w:hAnsi="Times New Roman" w:cs="Times New Roman"/>
          <w:i/>
          <w:noProof/>
        </w:rPr>
        <w:t>Impact on EFSA’s resources</w:t>
      </w:r>
    </w:p>
    <w:p w14:paraId="0385BE3C" w14:textId="77777777" w:rsidR="000A7D9D" w:rsidRPr="00EC1412" w:rsidRDefault="000A7D9D" w:rsidP="000A7D9D">
      <w:pPr>
        <w:spacing w:after="120"/>
        <w:jc w:val="both"/>
        <w:rPr>
          <w:rFonts w:ascii="Times New Roman" w:hAnsi="Times New Roman" w:cs="Times New Roman"/>
          <w:noProof/>
        </w:rPr>
      </w:pPr>
      <w:r>
        <w:rPr>
          <w:rFonts w:ascii="Times New Roman" w:hAnsi="Times New Roman" w:cs="Times New Roman"/>
          <w:noProof/>
        </w:rPr>
        <w:t>The proposals made by the Commission so far have not proposed additional resources for EFSA (see Table 19). EFSA was significantly reinforced in 2019 (by some 106 FTEs per year and operational budget of EUR 17 800 000 per year) as part of the Regulation (EU) 2019/1381 on the transparency and sustainability of the EU risk assessment in the food chain</w:t>
      </w:r>
      <w:r>
        <w:rPr>
          <w:rStyle w:val="FootnoteReference"/>
          <w:rFonts w:ascii="Times New Roman" w:hAnsi="Times New Roman" w:cs="Times New Roman"/>
          <w:noProof/>
        </w:rPr>
        <w:footnoteReference w:id="46"/>
      </w:r>
      <w:r>
        <w:rPr>
          <w:rFonts w:ascii="Times New Roman" w:hAnsi="Times New Roman" w:cs="Times New Roman"/>
          <w:noProof/>
        </w:rPr>
        <w:t xml:space="preserve"> and the tasks attributed were small, thus could be covered by the existing EFSA’s resources. A</w:t>
      </w:r>
      <w:r w:rsidRPr="00EC1412">
        <w:rPr>
          <w:rFonts w:ascii="Times New Roman" w:hAnsi="Times New Roman" w:cs="Times New Roman"/>
          <w:noProof/>
        </w:rPr>
        <w:t xml:space="preserve">dditional </w:t>
      </w:r>
      <w:r>
        <w:rPr>
          <w:rFonts w:ascii="Times New Roman" w:hAnsi="Times New Roman" w:cs="Times New Roman"/>
          <w:b/>
          <w:noProof/>
        </w:rPr>
        <w:t>2</w:t>
      </w:r>
      <w:r w:rsidRPr="00EC1412">
        <w:rPr>
          <w:rFonts w:ascii="Times New Roman" w:hAnsi="Times New Roman" w:cs="Times New Roman"/>
          <w:b/>
          <w:noProof/>
        </w:rPr>
        <w:t xml:space="preserve"> FTE</w:t>
      </w:r>
      <w:r>
        <w:rPr>
          <w:rFonts w:ascii="Times New Roman" w:hAnsi="Times New Roman" w:cs="Times New Roman"/>
          <w:b/>
          <w:noProof/>
        </w:rPr>
        <w:t>s</w:t>
      </w:r>
      <w:r w:rsidRPr="00EC1412">
        <w:rPr>
          <w:rFonts w:ascii="Times New Roman" w:hAnsi="Times New Roman" w:cs="Times New Roman"/>
          <w:noProof/>
        </w:rPr>
        <w:t xml:space="preserve"> </w:t>
      </w:r>
      <w:r>
        <w:rPr>
          <w:rFonts w:ascii="Times New Roman" w:hAnsi="Times New Roman" w:cs="Times New Roman"/>
          <w:noProof/>
        </w:rPr>
        <w:t>are</w:t>
      </w:r>
      <w:r w:rsidRPr="00EC1412">
        <w:rPr>
          <w:rFonts w:ascii="Times New Roman" w:hAnsi="Times New Roman" w:cs="Times New Roman"/>
          <w:noProof/>
        </w:rPr>
        <w:t xml:space="preserve"> necessary in the long term</w:t>
      </w:r>
      <w:r>
        <w:rPr>
          <w:rFonts w:ascii="Times New Roman" w:hAnsi="Times New Roman" w:cs="Times New Roman"/>
          <w:noProof/>
        </w:rPr>
        <w:t xml:space="preserve">, topped up with </w:t>
      </w:r>
      <w:r w:rsidRPr="00142420">
        <w:rPr>
          <w:rFonts w:ascii="Times New Roman" w:hAnsi="Times New Roman" w:cs="Times New Roman"/>
          <w:b/>
          <w:noProof/>
        </w:rPr>
        <w:t>3 FTEs</w:t>
      </w:r>
      <w:r>
        <w:rPr>
          <w:rFonts w:ascii="Times New Roman" w:hAnsi="Times New Roman" w:cs="Times New Roman"/>
          <w:noProof/>
        </w:rPr>
        <w:t xml:space="preserve"> for short term,</w:t>
      </w:r>
      <w:r w:rsidRPr="00EC1412">
        <w:rPr>
          <w:rFonts w:ascii="Times New Roman" w:hAnsi="Times New Roman" w:cs="Times New Roman"/>
          <w:noProof/>
        </w:rPr>
        <w:t xml:space="preserve"> to deal with the envisaged tasks for EFSA under the proposal for </w:t>
      </w:r>
      <w:r>
        <w:rPr>
          <w:rFonts w:ascii="Times New Roman" w:hAnsi="Times New Roman" w:cs="Times New Roman"/>
          <w:noProof/>
        </w:rPr>
        <w:t>r</w:t>
      </w:r>
      <w:r w:rsidRPr="00EC1412">
        <w:rPr>
          <w:rFonts w:ascii="Times New Roman" w:hAnsi="Times New Roman" w:cs="Times New Roman"/>
          <w:noProof/>
        </w:rPr>
        <w:t xml:space="preserve">egulation on chemicals </w:t>
      </w:r>
      <w:r>
        <w:rPr>
          <w:rFonts w:ascii="Times New Roman" w:hAnsi="Times New Roman" w:cs="Times New Roman"/>
          <w:noProof/>
        </w:rPr>
        <w:t xml:space="preserve"> data (see Table 20)</w:t>
      </w:r>
      <w:r w:rsidRPr="00EC1412">
        <w:rPr>
          <w:rFonts w:ascii="Times New Roman" w:hAnsi="Times New Roman" w:cs="Times New Roman"/>
          <w:noProof/>
        </w:rPr>
        <w:t xml:space="preserve">. In total, the first three years there will be a need of </w:t>
      </w:r>
      <w:r>
        <w:rPr>
          <w:rFonts w:ascii="Times New Roman" w:hAnsi="Times New Roman" w:cs="Times New Roman"/>
          <w:b/>
          <w:noProof/>
        </w:rPr>
        <w:t>5</w:t>
      </w:r>
      <w:r w:rsidRPr="00EC1412">
        <w:rPr>
          <w:rFonts w:ascii="Times New Roman" w:hAnsi="Times New Roman" w:cs="Times New Roman"/>
          <w:b/>
          <w:noProof/>
        </w:rPr>
        <w:t xml:space="preserve"> FTEs (</w:t>
      </w:r>
      <w:r>
        <w:rPr>
          <w:rFonts w:ascii="Times New Roman" w:hAnsi="Times New Roman" w:cs="Times New Roman"/>
          <w:b/>
          <w:noProof/>
        </w:rPr>
        <w:t>5</w:t>
      </w:r>
      <w:r w:rsidRPr="00EC1412">
        <w:rPr>
          <w:rFonts w:ascii="Times New Roman" w:hAnsi="Times New Roman" w:cs="Times New Roman"/>
          <w:b/>
          <w:noProof/>
        </w:rPr>
        <w:t xml:space="preserve"> CA)</w:t>
      </w:r>
      <w:r w:rsidRPr="00EC1412">
        <w:rPr>
          <w:rFonts w:ascii="Times New Roman" w:hAnsi="Times New Roman" w:cs="Times New Roman"/>
          <w:noProof/>
        </w:rPr>
        <w:t xml:space="preserve"> </w:t>
      </w:r>
      <w:r>
        <w:rPr>
          <w:rFonts w:ascii="Times New Roman" w:hAnsi="Times New Roman" w:cs="Times New Roman"/>
          <w:noProof/>
        </w:rPr>
        <w:t xml:space="preserve">per year </w:t>
      </w:r>
      <w:r w:rsidRPr="00EC1412">
        <w:rPr>
          <w:rFonts w:ascii="Times New Roman" w:hAnsi="Times New Roman" w:cs="Times New Roman"/>
          <w:noProof/>
        </w:rPr>
        <w:t xml:space="preserve">and operational budget of up to </w:t>
      </w:r>
      <w:r w:rsidRPr="00443D1E">
        <w:rPr>
          <w:rFonts w:ascii="Times New Roman" w:hAnsi="Times New Roman" w:cs="Times New Roman"/>
          <w:b/>
          <w:noProof/>
        </w:rPr>
        <w:t>EUR</w:t>
      </w:r>
      <w:r>
        <w:rPr>
          <w:rFonts w:ascii="Times New Roman" w:hAnsi="Times New Roman" w:cs="Times New Roman"/>
          <w:noProof/>
        </w:rPr>
        <w:t xml:space="preserve"> </w:t>
      </w:r>
      <w:r>
        <w:rPr>
          <w:rFonts w:ascii="Times New Roman" w:hAnsi="Times New Roman" w:cs="Times New Roman"/>
          <w:b/>
          <w:noProof/>
        </w:rPr>
        <w:t>6</w:t>
      </w:r>
      <w:r w:rsidRPr="00EC1412">
        <w:rPr>
          <w:rFonts w:ascii="Times New Roman" w:hAnsi="Times New Roman" w:cs="Times New Roman"/>
          <w:b/>
          <w:noProof/>
        </w:rPr>
        <w:t>70</w:t>
      </w:r>
      <w:r>
        <w:rPr>
          <w:rFonts w:ascii="Times New Roman" w:hAnsi="Times New Roman" w:cs="Times New Roman"/>
          <w:b/>
          <w:noProof/>
        </w:rPr>
        <w:t xml:space="preserve"> 000 </w:t>
      </w:r>
      <w:r w:rsidRPr="00443D1E">
        <w:rPr>
          <w:rFonts w:ascii="Times New Roman" w:hAnsi="Times New Roman" w:cs="Times New Roman"/>
          <w:noProof/>
        </w:rPr>
        <w:t>per year</w:t>
      </w:r>
      <w:r w:rsidRPr="00EC1412">
        <w:rPr>
          <w:rFonts w:ascii="Times New Roman" w:hAnsi="Times New Roman" w:cs="Times New Roman"/>
          <w:noProof/>
        </w:rPr>
        <w:t xml:space="preserve">. In the fourth year and beyond, there will be a need of </w:t>
      </w:r>
      <w:r>
        <w:rPr>
          <w:rFonts w:ascii="Times New Roman" w:hAnsi="Times New Roman" w:cs="Times New Roman"/>
          <w:b/>
          <w:noProof/>
        </w:rPr>
        <w:t>2</w:t>
      </w:r>
      <w:r w:rsidRPr="00EC1412">
        <w:rPr>
          <w:rFonts w:ascii="Times New Roman" w:hAnsi="Times New Roman" w:cs="Times New Roman"/>
          <w:b/>
          <w:noProof/>
        </w:rPr>
        <w:t xml:space="preserve"> FTE (</w:t>
      </w:r>
      <w:r>
        <w:rPr>
          <w:rFonts w:ascii="Times New Roman" w:hAnsi="Times New Roman" w:cs="Times New Roman"/>
          <w:b/>
          <w:noProof/>
        </w:rPr>
        <w:t>1</w:t>
      </w:r>
      <w:r w:rsidRPr="00EC1412">
        <w:rPr>
          <w:rFonts w:ascii="Times New Roman" w:hAnsi="Times New Roman" w:cs="Times New Roman"/>
          <w:b/>
          <w:noProof/>
        </w:rPr>
        <w:t xml:space="preserve"> </w:t>
      </w:r>
      <w:r>
        <w:rPr>
          <w:rFonts w:ascii="Times New Roman" w:hAnsi="Times New Roman" w:cs="Times New Roman"/>
          <w:b/>
          <w:noProof/>
        </w:rPr>
        <w:t>CA</w:t>
      </w:r>
      <w:r w:rsidRPr="00EC1412">
        <w:rPr>
          <w:rFonts w:ascii="Times New Roman" w:hAnsi="Times New Roman" w:cs="Times New Roman"/>
          <w:b/>
          <w:noProof/>
        </w:rPr>
        <w:t>)</w:t>
      </w:r>
      <w:r w:rsidRPr="00EC1412">
        <w:rPr>
          <w:rFonts w:ascii="Times New Roman" w:hAnsi="Times New Roman" w:cs="Times New Roman"/>
          <w:noProof/>
        </w:rPr>
        <w:t xml:space="preserve"> per year and </w:t>
      </w:r>
      <w:r>
        <w:rPr>
          <w:rFonts w:ascii="Times New Roman" w:hAnsi="Times New Roman" w:cs="Times New Roman"/>
          <w:noProof/>
        </w:rPr>
        <w:t xml:space="preserve">operational budget of </w:t>
      </w:r>
      <w:r w:rsidRPr="00443D1E">
        <w:rPr>
          <w:rFonts w:ascii="Times New Roman" w:hAnsi="Times New Roman" w:cs="Times New Roman"/>
          <w:b/>
          <w:noProof/>
        </w:rPr>
        <w:t>EUR</w:t>
      </w:r>
      <w:r>
        <w:rPr>
          <w:rFonts w:ascii="Times New Roman" w:hAnsi="Times New Roman" w:cs="Times New Roman"/>
          <w:noProof/>
        </w:rPr>
        <w:t xml:space="preserve"> </w:t>
      </w:r>
      <w:r w:rsidRPr="00EC1412">
        <w:rPr>
          <w:rFonts w:ascii="Times New Roman" w:hAnsi="Times New Roman" w:cs="Times New Roman"/>
          <w:b/>
          <w:noProof/>
        </w:rPr>
        <w:t>500</w:t>
      </w:r>
      <w:r>
        <w:rPr>
          <w:rFonts w:ascii="Times New Roman" w:hAnsi="Times New Roman" w:cs="Times New Roman"/>
          <w:b/>
          <w:noProof/>
        </w:rPr>
        <w:t xml:space="preserve"> 000</w:t>
      </w:r>
      <w:r w:rsidRPr="00EC1412">
        <w:rPr>
          <w:rFonts w:ascii="Times New Roman" w:hAnsi="Times New Roman" w:cs="Times New Roman"/>
          <w:noProof/>
        </w:rPr>
        <w:t xml:space="preserve"> per year.</w:t>
      </w:r>
    </w:p>
    <w:tbl>
      <w:tblPr>
        <w:tblStyle w:val="TableGrid"/>
        <w:tblW w:w="9634" w:type="dxa"/>
        <w:tblLayout w:type="fixed"/>
        <w:tblLook w:val="04A0" w:firstRow="1" w:lastRow="0" w:firstColumn="1" w:lastColumn="0" w:noHBand="0" w:noVBand="1"/>
      </w:tblPr>
      <w:tblGrid>
        <w:gridCol w:w="3964"/>
        <w:gridCol w:w="426"/>
        <w:gridCol w:w="425"/>
        <w:gridCol w:w="425"/>
        <w:gridCol w:w="425"/>
        <w:gridCol w:w="426"/>
        <w:gridCol w:w="425"/>
        <w:gridCol w:w="425"/>
        <w:gridCol w:w="425"/>
        <w:gridCol w:w="567"/>
        <w:gridCol w:w="567"/>
        <w:gridCol w:w="567"/>
        <w:gridCol w:w="567"/>
      </w:tblGrid>
      <w:tr w:rsidR="000A7D9D" w:rsidRPr="00EC1412" w14:paraId="6C2819E0" w14:textId="77777777" w:rsidTr="00F31937">
        <w:tc>
          <w:tcPr>
            <w:tcW w:w="9634" w:type="dxa"/>
            <w:gridSpan w:val="13"/>
            <w:tcBorders>
              <w:bottom w:val="single" w:sz="4" w:space="0" w:color="auto"/>
            </w:tcBorders>
            <w:shd w:val="clear" w:color="auto" w:fill="A6A6A6" w:themeFill="background1" w:themeFillShade="A6"/>
          </w:tcPr>
          <w:p w14:paraId="3CDFAE22" w14:textId="77777777" w:rsidR="000A7D9D" w:rsidRPr="00EC1412" w:rsidRDefault="000A7D9D" w:rsidP="00F31937">
            <w:pPr>
              <w:spacing w:before="60" w:after="60"/>
              <w:jc w:val="both"/>
              <w:rPr>
                <w:b/>
                <w:caps/>
                <w:noProof/>
                <w:sz w:val="18"/>
                <w:szCs w:val="18"/>
              </w:rPr>
            </w:pPr>
            <w:r w:rsidRPr="00EC1412">
              <w:rPr>
                <w:b/>
                <w:noProof/>
                <w:sz w:val="18"/>
                <w:szCs w:val="18"/>
              </w:rPr>
              <w:t xml:space="preserve">Table 19. Resource already allocated or proposed to EFSA per legislative proposal (operational costs in </w:t>
            </w:r>
            <w:r>
              <w:rPr>
                <w:b/>
                <w:noProof/>
                <w:sz w:val="18"/>
                <w:szCs w:val="18"/>
              </w:rPr>
              <w:t xml:space="preserve">EUR </w:t>
            </w:r>
            <w:r w:rsidRPr="00EC1412">
              <w:rPr>
                <w:b/>
                <w:noProof/>
                <w:sz w:val="18"/>
                <w:szCs w:val="18"/>
              </w:rPr>
              <w:t>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482E901D" w14:textId="77777777" w:rsidTr="00F31937">
        <w:tc>
          <w:tcPr>
            <w:tcW w:w="3964" w:type="dxa"/>
            <w:tcBorders>
              <w:bottom w:val="single" w:sz="4" w:space="0" w:color="auto"/>
              <w:right w:val="single" w:sz="4" w:space="0" w:color="auto"/>
            </w:tcBorders>
            <w:shd w:val="clear" w:color="auto" w:fill="BFBFBF" w:themeFill="background1" w:themeFillShade="BF"/>
          </w:tcPr>
          <w:p w14:paraId="5975AA2C" w14:textId="77777777" w:rsidR="000A7D9D" w:rsidRPr="00EC1412" w:rsidRDefault="000A7D9D" w:rsidP="00F31937">
            <w:pPr>
              <w:jc w:val="both"/>
              <w:rPr>
                <w:caps/>
                <w:noProof/>
                <w:sz w:val="18"/>
                <w:szCs w:val="18"/>
              </w:rPr>
            </w:pPr>
          </w:p>
        </w:tc>
        <w:tc>
          <w:tcPr>
            <w:tcW w:w="3402" w:type="dxa"/>
            <w:gridSpan w:val="8"/>
            <w:tcBorders>
              <w:left w:val="single" w:sz="4" w:space="0" w:color="auto"/>
              <w:bottom w:val="single" w:sz="4" w:space="0" w:color="auto"/>
              <w:right w:val="single" w:sz="4" w:space="0" w:color="auto"/>
            </w:tcBorders>
            <w:shd w:val="clear" w:color="auto" w:fill="BFBFBF" w:themeFill="background1" w:themeFillShade="BF"/>
          </w:tcPr>
          <w:p w14:paraId="120E474F" w14:textId="77777777" w:rsidR="000A7D9D" w:rsidRPr="00EC1412" w:rsidRDefault="000A7D9D" w:rsidP="00F31937">
            <w:pPr>
              <w:jc w:val="center"/>
              <w:rPr>
                <w:b/>
                <w:caps/>
                <w:noProof/>
                <w:sz w:val="18"/>
                <w:szCs w:val="18"/>
              </w:rPr>
            </w:pPr>
            <w:r>
              <w:rPr>
                <w:b/>
                <w:noProof/>
                <w:sz w:val="18"/>
                <w:szCs w:val="18"/>
              </w:rPr>
              <w:t>201</w:t>
            </w:r>
            <w:r w:rsidRPr="00EC1412">
              <w:rPr>
                <w:b/>
                <w:noProof/>
                <w:sz w:val="18"/>
                <w:szCs w:val="18"/>
              </w:rPr>
              <w:t>FTEs</w:t>
            </w:r>
          </w:p>
        </w:tc>
        <w:tc>
          <w:tcPr>
            <w:tcW w:w="2268" w:type="dxa"/>
            <w:gridSpan w:val="4"/>
            <w:tcBorders>
              <w:left w:val="single" w:sz="4" w:space="0" w:color="auto"/>
              <w:bottom w:val="single" w:sz="4" w:space="0" w:color="auto"/>
            </w:tcBorders>
            <w:shd w:val="clear" w:color="auto" w:fill="BFBFBF" w:themeFill="background1" w:themeFillShade="BF"/>
          </w:tcPr>
          <w:p w14:paraId="48D255B3"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24660342" w14:textId="77777777" w:rsidTr="00F31937">
        <w:tc>
          <w:tcPr>
            <w:tcW w:w="3964" w:type="dxa"/>
            <w:tcBorders>
              <w:bottom w:val="single" w:sz="4" w:space="0" w:color="auto"/>
              <w:right w:val="single" w:sz="4" w:space="0" w:color="auto"/>
            </w:tcBorders>
            <w:shd w:val="clear" w:color="auto" w:fill="BFBFBF" w:themeFill="background1" w:themeFillShade="BF"/>
          </w:tcPr>
          <w:p w14:paraId="3D5B8B71"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7C013EE5" w14:textId="77777777" w:rsidR="000A7D9D" w:rsidRPr="00EC1412" w:rsidRDefault="000A7D9D" w:rsidP="00F31937">
            <w:pPr>
              <w:ind w:left="-112"/>
              <w:jc w:val="center"/>
              <w:rPr>
                <w:b/>
                <w:caps/>
                <w:noProof/>
                <w:sz w:val="18"/>
                <w:szCs w:val="18"/>
              </w:rPr>
            </w:pPr>
            <w:r w:rsidRPr="00EC1412">
              <w:rPr>
                <w:b/>
                <w:caps/>
                <w:noProof/>
                <w:sz w:val="18"/>
                <w:szCs w:val="18"/>
              </w:rPr>
              <w:t>2024</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56D6D705" w14:textId="77777777" w:rsidR="000A7D9D" w:rsidRPr="00EC1412" w:rsidRDefault="000A7D9D" w:rsidP="00F31937">
            <w:pPr>
              <w:jc w:val="center"/>
              <w:rPr>
                <w:b/>
                <w:caps/>
                <w:noProof/>
                <w:sz w:val="18"/>
                <w:szCs w:val="18"/>
              </w:rPr>
            </w:pPr>
            <w:r w:rsidRPr="00EC1412">
              <w:rPr>
                <w:b/>
                <w:caps/>
                <w:noProof/>
                <w:sz w:val="18"/>
                <w:szCs w:val="18"/>
              </w:rPr>
              <w:t>2025</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0B03B02A" w14:textId="77777777" w:rsidR="000A7D9D" w:rsidRPr="00EC1412" w:rsidRDefault="000A7D9D" w:rsidP="00F31937">
            <w:pPr>
              <w:ind w:left="-107"/>
              <w:jc w:val="center"/>
              <w:rPr>
                <w:b/>
                <w:caps/>
                <w:noProof/>
                <w:sz w:val="18"/>
                <w:szCs w:val="18"/>
              </w:rPr>
            </w:pPr>
            <w:r w:rsidRPr="00EC1412">
              <w:rPr>
                <w:b/>
                <w:caps/>
                <w:noProof/>
                <w:sz w:val="18"/>
                <w:szCs w:val="18"/>
              </w:rPr>
              <w:t>2026</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2789EA77" w14:textId="77777777" w:rsidR="000A7D9D" w:rsidRPr="00EC1412" w:rsidRDefault="000A7D9D" w:rsidP="00F31937">
            <w:pPr>
              <w:ind w:left="-105"/>
              <w:jc w:val="center"/>
              <w:rPr>
                <w:b/>
                <w:caps/>
                <w:noProof/>
                <w:sz w:val="18"/>
                <w:szCs w:val="18"/>
              </w:rPr>
            </w:pPr>
            <w:r w:rsidRPr="00EC1412">
              <w:rPr>
                <w:b/>
                <w:caps/>
                <w:noProof/>
                <w:sz w:val="18"/>
                <w:szCs w:val="18"/>
              </w:rPr>
              <w:t>2027</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70F49B56" w14:textId="77777777" w:rsidR="000A7D9D" w:rsidRPr="00EC1412" w:rsidRDefault="000A7D9D" w:rsidP="00F31937">
            <w:pPr>
              <w:ind w:left="-78"/>
              <w:jc w:val="right"/>
              <w:rPr>
                <w:b/>
                <w:caps/>
                <w:noProof/>
                <w:sz w:val="18"/>
                <w:szCs w:val="18"/>
              </w:rPr>
            </w:pPr>
            <w:r w:rsidRPr="00EC1412">
              <w:rPr>
                <w:b/>
                <w:caps/>
                <w:noProof/>
                <w:sz w:val="18"/>
                <w:szCs w:val="18"/>
              </w:rPr>
              <w:t>2024</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72F836B6" w14:textId="77777777" w:rsidR="000A7D9D" w:rsidRPr="00EC1412" w:rsidRDefault="000A7D9D" w:rsidP="00F31937">
            <w:pPr>
              <w:ind w:left="-84"/>
              <w:jc w:val="right"/>
              <w:rPr>
                <w:b/>
                <w:caps/>
                <w:noProof/>
                <w:sz w:val="18"/>
                <w:szCs w:val="18"/>
              </w:rPr>
            </w:pPr>
            <w:r w:rsidRPr="00EC1412">
              <w:rPr>
                <w:b/>
                <w:caps/>
                <w:noProof/>
                <w:sz w:val="18"/>
                <w:szCs w:val="18"/>
              </w:rPr>
              <w:t>2025</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3757E9B7" w14:textId="77777777" w:rsidR="000A7D9D" w:rsidRPr="00EC1412" w:rsidRDefault="000A7D9D" w:rsidP="00F31937">
            <w:pPr>
              <w:ind w:left="-109"/>
              <w:jc w:val="right"/>
              <w:rPr>
                <w:b/>
                <w:caps/>
                <w:noProof/>
                <w:sz w:val="18"/>
                <w:szCs w:val="18"/>
              </w:rPr>
            </w:pPr>
            <w:r w:rsidRPr="00EC1412">
              <w:rPr>
                <w:b/>
                <w:caps/>
                <w:noProof/>
                <w:sz w:val="18"/>
                <w:szCs w:val="18"/>
              </w:rPr>
              <w:t>2026</w:t>
            </w:r>
          </w:p>
        </w:tc>
        <w:tc>
          <w:tcPr>
            <w:tcW w:w="567" w:type="dxa"/>
            <w:tcBorders>
              <w:left w:val="single" w:sz="4" w:space="0" w:color="auto"/>
              <w:bottom w:val="single" w:sz="4" w:space="0" w:color="auto"/>
            </w:tcBorders>
            <w:shd w:val="clear" w:color="auto" w:fill="BFBFBF" w:themeFill="background1" w:themeFillShade="BF"/>
          </w:tcPr>
          <w:p w14:paraId="42ADE639" w14:textId="77777777" w:rsidR="000A7D9D" w:rsidRPr="00EC1412" w:rsidRDefault="000A7D9D" w:rsidP="00F31937">
            <w:pPr>
              <w:ind w:left="-114"/>
              <w:jc w:val="right"/>
              <w:rPr>
                <w:b/>
                <w:caps/>
                <w:noProof/>
                <w:sz w:val="18"/>
                <w:szCs w:val="18"/>
              </w:rPr>
            </w:pPr>
            <w:r w:rsidRPr="00EC1412">
              <w:rPr>
                <w:b/>
                <w:caps/>
                <w:noProof/>
                <w:sz w:val="18"/>
                <w:szCs w:val="18"/>
              </w:rPr>
              <w:t>2027</w:t>
            </w:r>
          </w:p>
        </w:tc>
      </w:tr>
      <w:tr w:rsidR="000A7D9D" w:rsidRPr="00EC1412" w14:paraId="4DB24E59" w14:textId="77777777" w:rsidTr="00F31937">
        <w:tc>
          <w:tcPr>
            <w:tcW w:w="3964" w:type="dxa"/>
            <w:tcBorders>
              <w:bottom w:val="single" w:sz="4" w:space="0" w:color="auto"/>
              <w:right w:val="single" w:sz="4" w:space="0" w:color="auto"/>
            </w:tcBorders>
            <w:shd w:val="clear" w:color="auto" w:fill="BFBFBF" w:themeFill="background1" w:themeFillShade="BF"/>
          </w:tcPr>
          <w:p w14:paraId="7897B9B0" w14:textId="77777777" w:rsidR="000A7D9D" w:rsidRPr="00EC1412" w:rsidRDefault="000A7D9D" w:rsidP="00F31937">
            <w:pPr>
              <w:jc w:val="both"/>
              <w:rPr>
                <w:b/>
                <w:noProof/>
                <w:sz w:val="18"/>
                <w:szCs w:val="18"/>
              </w:rPr>
            </w:pP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6FBB9669" w14:textId="77777777" w:rsidR="000A7D9D" w:rsidRPr="00EC1412" w:rsidRDefault="000A7D9D" w:rsidP="00F31937">
            <w:pPr>
              <w:ind w:left="-112"/>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0A86358E" w14:textId="77777777" w:rsidR="000A7D9D" w:rsidRPr="00EC1412" w:rsidRDefault="000A7D9D" w:rsidP="00F31937">
            <w:pPr>
              <w:ind w:left="-112"/>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59C1425B" w14:textId="77777777" w:rsidR="000A7D9D" w:rsidRPr="00EC1412" w:rsidRDefault="000A7D9D" w:rsidP="00F31937">
            <w:pPr>
              <w:ind w:left="-108"/>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661B789E" w14:textId="77777777" w:rsidR="000A7D9D" w:rsidRPr="00EC1412" w:rsidRDefault="000A7D9D" w:rsidP="00F31937">
            <w:pPr>
              <w:ind w:left="-186"/>
              <w:jc w:val="right"/>
              <w:rPr>
                <w:b/>
                <w:caps/>
                <w:noProof/>
                <w:sz w:val="18"/>
                <w:szCs w:val="18"/>
              </w:rPr>
            </w:pPr>
            <w:r>
              <w:rPr>
                <w:b/>
                <w:caps/>
                <w:noProof/>
                <w:sz w:val="18"/>
                <w:szCs w:val="18"/>
              </w:rPr>
              <w:t>CA</w:t>
            </w: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46EF4440" w14:textId="77777777" w:rsidR="000A7D9D" w:rsidRPr="00EC1412" w:rsidRDefault="000A7D9D" w:rsidP="00F31937">
            <w:pPr>
              <w:ind w:left="-107"/>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641A38F1" w14:textId="77777777" w:rsidR="000A7D9D" w:rsidRPr="00EC1412" w:rsidRDefault="000A7D9D" w:rsidP="00F31937">
            <w:pPr>
              <w:ind w:left="-107"/>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5D0772C1"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01CA43F6" w14:textId="77777777" w:rsidR="000A7D9D" w:rsidRPr="00EC1412" w:rsidRDefault="000A7D9D" w:rsidP="00F31937">
            <w:pPr>
              <w:ind w:left="-105"/>
              <w:jc w:val="right"/>
              <w:rPr>
                <w:b/>
                <w:caps/>
                <w:noProof/>
                <w:sz w:val="18"/>
                <w:szCs w:val="18"/>
              </w:rPr>
            </w:pPr>
            <w:r>
              <w:rPr>
                <w:b/>
                <w:caps/>
                <w:noProof/>
                <w:sz w:val="18"/>
                <w:szCs w:val="18"/>
              </w:rPr>
              <w:t>CA</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479DF2C8" w14:textId="77777777" w:rsidR="000A7D9D" w:rsidRPr="00EC1412" w:rsidRDefault="000A7D9D" w:rsidP="00F31937">
            <w:pPr>
              <w:ind w:left="-78"/>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1177C844" w14:textId="77777777" w:rsidR="000A7D9D" w:rsidRPr="00EC1412" w:rsidRDefault="000A7D9D" w:rsidP="00F31937">
            <w:pPr>
              <w:ind w:left="-84"/>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3B4A8882" w14:textId="77777777" w:rsidR="000A7D9D" w:rsidRPr="00EC1412" w:rsidRDefault="000A7D9D" w:rsidP="00F31937">
            <w:pPr>
              <w:ind w:left="-109"/>
              <w:jc w:val="right"/>
              <w:rPr>
                <w:b/>
                <w:caps/>
                <w:noProof/>
                <w:sz w:val="18"/>
                <w:szCs w:val="18"/>
              </w:rPr>
            </w:pPr>
          </w:p>
        </w:tc>
        <w:tc>
          <w:tcPr>
            <w:tcW w:w="567" w:type="dxa"/>
            <w:tcBorders>
              <w:left w:val="single" w:sz="4" w:space="0" w:color="auto"/>
              <w:bottom w:val="single" w:sz="4" w:space="0" w:color="auto"/>
            </w:tcBorders>
            <w:shd w:val="clear" w:color="auto" w:fill="BFBFBF" w:themeFill="background1" w:themeFillShade="BF"/>
          </w:tcPr>
          <w:p w14:paraId="3563B8B9" w14:textId="77777777" w:rsidR="000A7D9D" w:rsidRPr="00EC1412" w:rsidRDefault="000A7D9D" w:rsidP="00F31937">
            <w:pPr>
              <w:ind w:left="-114"/>
              <w:jc w:val="right"/>
              <w:rPr>
                <w:b/>
                <w:caps/>
                <w:noProof/>
                <w:sz w:val="18"/>
                <w:szCs w:val="18"/>
              </w:rPr>
            </w:pPr>
          </w:p>
        </w:tc>
      </w:tr>
      <w:tr w:rsidR="000A7D9D" w:rsidRPr="00EC1412" w14:paraId="6A5F8C24" w14:textId="77777777" w:rsidTr="00F31937">
        <w:tc>
          <w:tcPr>
            <w:tcW w:w="3964" w:type="dxa"/>
            <w:tcBorders>
              <w:bottom w:val="single" w:sz="4" w:space="0" w:color="auto"/>
              <w:right w:val="single" w:sz="4" w:space="0" w:color="auto"/>
            </w:tcBorders>
            <w:shd w:val="clear" w:color="auto" w:fill="FFF4CC"/>
          </w:tcPr>
          <w:p w14:paraId="4C748E90" w14:textId="77777777" w:rsidR="000A7D9D" w:rsidRPr="00EC1412" w:rsidRDefault="000A7D9D" w:rsidP="00F31937">
            <w:pPr>
              <w:jc w:val="both"/>
              <w:rPr>
                <w:caps/>
                <w:noProof/>
                <w:sz w:val="18"/>
                <w:szCs w:val="18"/>
              </w:rPr>
            </w:pPr>
            <w:r>
              <w:rPr>
                <w:noProof/>
                <w:sz w:val="18"/>
                <w:szCs w:val="18"/>
              </w:rPr>
              <w:t>Regulation on s</w:t>
            </w:r>
            <w:r w:rsidRPr="00EC1412">
              <w:rPr>
                <w:noProof/>
                <w:sz w:val="18"/>
                <w:szCs w:val="18"/>
              </w:rPr>
              <w:t xml:space="preserve">erious cross-border threat </w:t>
            </w:r>
            <w:r>
              <w:rPr>
                <w:noProof/>
                <w:sz w:val="18"/>
                <w:szCs w:val="18"/>
              </w:rPr>
              <w:t>to health</w:t>
            </w:r>
          </w:p>
        </w:tc>
        <w:tc>
          <w:tcPr>
            <w:tcW w:w="426" w:type="dxa"/>
            <w:tcBorders>
              <w:left w:val="single" w:sz="4" w:space="0" w:color="auto"/>
              <w:bottom w:val="single" w:sz="4" w:space="0" w:color="auto"/>
              <w:right w:val="dotted" w:sz="4" w:space="0" w:color="auto"/>
            </w:tcBorders>
            <w:shd w:val="clear" w:color="auto" w:fill="FFF4CC"/>
          </w:tcPr>
          <w:p w14:paraId="2E8E092C"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1A02B52D"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74ED512B"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4F4FC5F2"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FFF4CC"/>
          </w:tcPr>
          <w:p w14:paraId="4269C156"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6E2AD3B6"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7C08D44A"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79C51FBA"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1A5F24B9"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4F109450"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4A16A95D"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tcBorders>
            <w:shd w:val="clear" w:color="auto" w:fill="FFF4CC"/>
          </w:tcPr>
          <w:p w14:paraId="626C28A1" w14:textId="77777777" w:rsidR="000A7D9D" w:rsidRPr="00EC1412" w:rsidRDefault="000A7D9D" w:rsidP="00F31937">
            <w:pPr>
              <w:jc w:val="right"/>
              <w:rPr>
                <w:caps/>
                <w:noProof/>
                <w:sz w:val="18"/>
                <w:szCs w:val="18"/>
              </w:rPr>
            </w:pPr>
            <w:r>
              <w:rPr>
                <w:noProof/>
                <w:sz w:val="18"/>
                <w:szCs w:val="18"/>
              </w:rPr>
              <w:t>0</w:t>
            </w:r>
          </w:p>
        </w:tc>
      </w:tr>
      <w:tr w:rsidR="000A7D9D" w:rsidRPr="00EC1412" w14:paraId="5301B38F" w14:textId="77777777" w:rsidTr="00F31937">
        <w:tc>
          <w:tcPr>
            <w:tcW w:w="3964" w:type="dxa"/>
            <w:tcBorders>
              <w:bottom w:val="single" w:sz="4" w:space="0" w:color="auto"/>
              <w:right w:val="single" w:sz="4" w:space="0" w:color="auto"/>
            </w:tcBorders>
            <w:shd w:val="clear" w:color="auto" w:fill="C1ECFF"/>
          </w:tcPr>
          <w:p w14:paraId="6E90313E" w14:textId="77777777" w:rsidR="000A7D9D" w:rsidRPr="00EC1412" w:rsidRDefault="000A7D9D" w:rsidP="00F31937">
            <w:pPr>
              <w:jc w:val="both"/>
              <w:rPr>
                <w:noProof/>
                <w:sz w:val="18"/>
                <w:szCs w:val="18"/>
              </w:rPr>
            </w:pPr>
            <w:r>
              <w:rPr>
                <w:noProof/>
                <w:sz w:val="18"/>
                <w:szCs w:val="18"/>
              </w:rPr>
              <w:t>European Partnership for the Assessment of Risks from Chemicals</w:t>
            </w:r>
          </w:p>
        </w:tc>
        <w:tc>
          <w:tcPr>
            <w:tcW w:w="426" w:type="dxa"/>
            <w:tcBorders>
              <w:left w:val="single" w:sz="4" w:space="0" w:color="auto"/>
              <w:bottom w:val="single" w:sz="4" w:space="0" w:color="auto"/>
              <w:right w:val="dotted" w:sz="4" w:space="0" w:color="auto"/>
            </w:tcBorders>
            <w:shd w:val="clear" w:color="auto" w:fill="C1ECFF"/>
          </w:tcPr>
          <w:p w14:paraId="2CBE1481"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132571CE"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1E8BB69E"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70E98983"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C1ECFF"/>
          </w:tcPr>
          <w:p w14:paraId="4A4D56AF"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1403473A"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5CD032C4"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3A3879F9"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23AC0719"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1999020E"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1DF0A0DD"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tcBorders>
            <w:shd w:val="clear" w:color="auto" w:fill="C1ECFF"/>
          </w:tcPr>
          <w:p w14:paraId="33580698" w14:textId="77777777" w:rsidR="000A7D9D" w:rsidRPr="00EC1412" w:rsidRDefault="000A7D9D" w:rsidP="00F31937">
            <w:pPr>
              <w:jc w:val="right"/>
              <w:rPr>
                <w:noProof/>
                <w:sz w:val="18"/>
                <w:szCs w:val="18"/>
              </w:rPr>
            </w:pPr>
            <w:r>
              <w:rPr>
                <w:noProof/>
                <w:sz w:val="18"/>
                <w:szCs w:val="18"/>
              </w:rPr>
              <w:t>0</w:t>
            </w:r>
          </w:p>
        </w:tc>
      </w:tr>
      <w:tr w:rsidR="000A7D9D" w:rsidRPr="00EC1412" w14:paraId="7D22AD15" w14:textId="77777777" w:rsidTr="00F31937">
        <w:tc>
          <w:tcPr>
            <w:tcW w:w="3964" w:type="dxa"/>
            <w:tcBorders>
              <w:right w:val="single" w:sz="4" w:space="0" w:color="auto"/>
            </w:tcBorders>
            <w:shd w:val="clear" w:color="auto" w:fill="BFBFBF" w:themeFill="background1" w:themeFillShade="BF"/>
          </w:tcPr>
          <w:p w14:paraId="03525396" w14:textId="77777777" w:rsidR="000A7D9D" w:rsidRPr="00EC1412" w:rsidRDefault="000A7D9D" w:rsidP="00F31937">
            <w:pPr>
              <w:jc w:val="both"/>
              <w:rPr>
                <w:b/>
                <w:caps/>
                <w:noProof/>
                <w:sz w:val="18"/>
                <w:szCs w:val="18"/>
              </w:rPr>
            </w:pPr>
            <w:r w:rsidRPr="00EC1412">
              <w:rPr>
                <w:b/>
                <w:caps/>
                <w:noProof/>
                <w:sz w:val="18"/>
                <w:szCs w:val="18"/>
              </w:rPr>
              <w:t>SUm</w:t>
            </w:r>
          </w:p>
        </w:tc>
        <w:tc>
          <w:tcPr>
            <w:tcW w:w="426" w:type="dxa"/>
            <w:tcBorders>
              <w:left w:val="single" w:sz="4" w:space="0" w:color="auto"/>
              <w:right w:val="dotted" w:sz="4" w:space="0" w:color="auto"/>
            </w:tcBorders>
            <w:shd w:val="clear" w:color="auto" w:fill="BFBFBF" w:themeFill="background1" w:themeFillShade="BF"/>
          </w:tcPr>
          <w:p w14:paraId="085D64C8" w14:textId="77777777" w:rsidR="000A7D9D" w:rsidRPr="00EC1412" w:rsidRDefault="000A7D9D" w:rsidP="00F31937">
            <w:pPr>
              <w:jc w:val="right"/>
              <w:rPr>
                <w:b/>
                <w:caps/>
                <w:noProof/>
                <w:sz w:val="18"/>
                <w:szCs w:val="18"/>
              </w:rPr>
            </w:pPr>
            <w:r w:rsidRPr="00EC1412">
              <w:rPr>
                <w:b/>
                <w:caps/>
                <w:noProof/>
                <w:sz w:val="18"/>
                <w:szCs w:val="18"/>
              </w:rPr>
              <w:t xml:space="preserve">0 </w:t>
            </w:r>
          </w:p>
        </w:tc>
        <w:tc>
          <w:tcPr>
            <w:tcW w:w="425" w:type="dxa"/>
            <w:tcBorders>
              <w:left w:val="dotted" w:sz="4" w:space="0" w:color="auto"/>
              <w:right w:val="single" w:sz="4" w:space="0" w:color="auto"/>
            </w:tcBorders>
            <w:shd w:val="clear" w:color="auto" w:fill="BFBFBF" w:themeFill="background1" w:themeFillShade="BF"/>
          </w:tcPr>
          <w:p w14:paraId="01F0047C"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single" w:sz="4" w:space="0" w:color="auto"/>
              <w:right w:val="dotted" w:sz="4" w:space="0" w:color="auto"/>
            </w:tcBorders>
            <w:shd w:val="clear" w:color="auto" w:fill="BFBFBF" w:themeFill="background1" w:themeFillShade="BF"/>
          </w:tcPr>
          <w:p w14:paraId="6FE8B983" w14:textId="77777777" w:rsidR="000A7D9D" w:rsidRPr="00EC1412" w:rsidRDefault="000A7D9D" w:rsidP="00F31937">
            <w:pPr>
              <w:jc w:val="right"/>
              <w:rPr>
                <w:b/>
                <w:caps/>
                <w:noProof/>
                <w:sz w:val="18"/>
                <w:szCs w:val="18"/>
              </w:rPr>
            </w:pPr>
            <w:r w:rsidRPr="00EC1412">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4E21DB8B" w14:textId="77777777" w:rsidR="000A7D9D" w:rsidRPr="00EC1412" w:rsidRDefault="000A7D9D" w:rsidP="00F31937">
            <w:pPr>
              <w:jc w:val="right"/>
              <w:rPr>
                <w:b/>
                <w:caps/>
                <w:noProof/>
                <w:sz w:val="18"/>
                <w:szCs w:val="18"/>
              </w:rPr>
            </w:pPr>
            <w:r>
              <w:rPr>
                <w:b/>
                <w:caps/>
                <w:noProof/>
                <w:sz w:val="18"/>
                <w:szCs w:val="18"/>
              </w:rPr>
              <w:t>0</w:t>
            </w:r>
          </w:p>
        </w:tc>
        <w:tc>
          <w:tcPr>
            <w:tcW w:w="426" w:type="dxa"/>
            <w:tcBorders>
              <w:left w:val="single" w:sz="4" w:space="0" w:color="auto"/>
              <w:right w:val="dotted" w:sz="4" w:space="0" w:color="auto"/>
            </w:tcBorders>
            <w:shd w:val="clear" w:color="auto" w:fill="BFBFBF" w:themeFill="background1" w:themeFillShade="BF"/>
          </w:tcPr>
          <w:p w14:paraId="03F03E3D" w14:textId="77777777" w:rsidR="000A7D9D" w:rsidRPr="00EC1412" w:rsidRDefault="000A7D9D" w:rsidP="00F31937">
            <w:pPr>
              <w:jc w:val="right"/>
              <w:rPr>
                <w:b/>
                <w:caps/>
                <w:noProof/>
                <w:sz w:val="18"/>
                <w:szCs w:val="18"/>
              </w:rPr>
            </w:pPr>
            <w:r w:rsidRPr="00EC1412">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32905C5D"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single" w:sz="4" w:space="0" w:color="auto"/>
              <w:right w:val="dotted" w:sz="4" w:space="0" w:color="auto"/>
            </w:tcBorders>
            <w:shd w:val="clear" w:color="auto" w:fill="BFBFBF" w:themeFill="background1" w:themeFillShade="BF"/>
          </w:tcPr>
          <w:p w14:paraId="67342A15" w14:textId="77777777" w:rsidR="000A7D9D" w:rsidRPr="00EC1412" w:rsidRDefault="000A7D9D" w:rsidP="00F31937">
            <w:pPr>
              <w:jc w:val="right"/>
              <w:rPr>
                <w:b/>
                <w:caps/>
                <w:noProof/>
                <w:sz w:val="18"/>
                <w:szCs w:val="18"/>
              </w:rPr>
            </w:pPr>
            <w:r w:rsidRPr="00EC1412">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573F60B6"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356E1456"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5B0F087F"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6AC5E77F"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tcBorders>
            <w:shd w:val="clear" w:color="auto" w:fill="BFBFBF" w:themeFill="background1" w:themeFillShade="BF"/>
          </w:tcPr>
          <w:p w14:paraId="454EDA8A" w14:textId="77777777" w:rsidR="000A7D9D" w:rsidRPr="00EC1412" w:rsidRDefault="000A7D9D" w:rsidP="00F31937">
            <w:pPr>
              <w:ind w:left="-104"/>
              <w:jc w:val="right"/>
              <w:rPr>
                <w:b/>
                <w:caps/>
                <w:noProof/>
                <w:sz w:val="18"/>
                <w:szCs w:val="18"/>
              </w:rPr>
            </w:pPr>
            <w:r>
              <w:rPr>
                <w:b/>
                <w:caps/>
                <w:noProof/>
                <w:sz w:val="18"/>
                <w:szCs w:val="18"/>
              </w:rPr>
              <w:t>0</w:t>
            </w:r>
          </w:p>
        </w:tc>
      </w:tr>
    </w:tbl>
    <w:p w14:paraId="3656ED60" w14:textId="77777777" w:rsidR="000A7D9D" w:rsidRPr="00EC1412" w:rsidRDefault="000A7D9D" w:rsidP="000A7D9D">
      <w:pPr>
        <w:spacing w:after="120"/>
        <w:jc w:val="both"/>
        <w:rPr>
          <w:rFonts w:ascii="Times New Roman" w:hAnsi="Times New Roman" w:cs="Times New Roman"/>
          <w:noProof/>
        </w:rPr>
      </w:pPr>
    </w:p>
    <w:tbl>
      <w:tblPr>
        <w:tblStyle w:val="TableGrid"/>
        <w:tblW w:w="9634" w:type="dxa"/>
        <w:tblLayout w:type="fixed"/>
        <w:tblLook w:val="04A0" w:firstRow="1" w:lastRow="0" w:firstColumn="1" w:lastColumn="0" w:noHBand="0" w:noVBand="1"/>
      </w:tblPr>
      <w:tblGrid>
        <w:gridCol w:w="3964"/>
        <w:gridCol w:w="426"/>
        <w:gridCol w:w="425"/>
        <w:gridCol w:w="425"/>
        <w:gridCol w:w="425"/>
        <w:gridCol w:w="426"/>
        <w:gridCol w:w="425"/>
        <w:gridCol w:w="425"/>
        <w:gridCol w:w="425"/>
        <w:gridCol w:w="567"/>
        <w:gridCol w:w="567"/>
        <w:gridCol w:w="567"/>
        <w:gridCol w:w="567"/>
      </w:tblGrid>
      <w:tr w:rsidR="000A7D9D" w:rsidRPr="00EC1412" w14:paraId="26204255" w14:textId="77777777" w:rsidTr="00F31937">
        <w:tc>
          <w:tcPr>
            <w:tcW w:w="9634" w:type="dxa"/>
            <w:gridSpan w:val="13"/>
            <w:tcBorders>
              <w:bottom w:val="single" w:sz="4" w:space="0" w:color="auto"/>
            </w:tcBorders>
            <w:shd w:val="clear" w:color="auto" w:fill="A6A6A6" w:themeFill="background1" w:themeFillShade="A6"/>
          </w:tcPr>
          <w:p w14:paraId="3FDD4155" w14:textId="77777777" w:rsidR="000A7D9D" w:rsidRPr="00EC1412" w:rsidRDefault="000A7D9D" w:rsidP="00F31937">
            <w:pPr>
              <w:spacing w:before="60" w:after="60"/>
              <w:jc w:val="both"/>
              <w:rPr>
                <w:b/>
                <w:caps/>
                <w:noProof/>
                <w:sz w:val="18"/>
                <w:szCs w:val="18"/>
              </w:rPr>
            </w:pPr>
            <w:r w:rsidRPr="00EC1412">
              <w:rPr>
                <w:b/>
                <w:noProof/>
                <w:sz w:val="18"/>
                <w:szCs w:val="18"/>
              </w:rPr>
              <w:t xml:space="preserve">Table 20. EFSA pending resource needs per legislative proposal (operational costs in </w:t>
            </w:r>
            <w:r>
              <w:rPr>
                <w:b/>
                <w:noProof/>
                <w:sz w:val="18"/>
                <w:szCs w:val="18"/>
              </w:rPr>
              <w:t xml:space="preserve">EUR </w:t>
            </w:r>
            <w:r w:rsidRPr="00EC1412">
              <w:rPr>
                <w:b/>
                <w:noProof/>
                <w:sz w:val="18"/>
                <w:szCs w:val="18"/>
              </w:rPr>
              <w:t>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54F19CDF" w14:textId="77777777" w:rsidTr="00F31937">
        <w:tc>
          <w:tcPr>
            <w:tcW w:w="3964" w:type="dxa"/>
            <w:tcBorders>
              <w:bottom w:val="single" w:sz="4" w:space="0" w:color="auto"/>
              <w:right w:val="single" w:sz="4" w:space="0" w:color="auto"/>
            </w:tcBorders>
            <w:shd w:val="clear" w:color="auto" w:fill="BFBFBF" w:themeFill="background1" w:themeFillShade="BF"/>
          </w:tcPr>
          <w:p w14:paraId="3E9D724C" w14:textId="77777777" w:rsidR="000A7D9D" w:rsidRPr="00EC1412" w:rsidRDefault="000A7D9D" w:rsidP="00F31937">
            <w:pPr>
              <w:jc w:val="both"/>
              <w:rPr>
                <w:caps/>
                <w:noProof/>
                <w:sz w:val="18"/>
                <w:szCs w:val="18"/>
              </w:rPr>
            </w:pPr>
          </w:p>
        </w:tc>
        <w:tc>
          <w:tcPr>
            <w:tcW w:w="3402" w:type="dxa"/>
            <w:gridSpan w:val="8"/>
            <w:tcBorders>
              <w:left w:val="single" w:sz="4" w:space="0" w:color="auto"/>
              <w:bottom w:val="single" w:sz="4" w:space="0" w:color="auto"/>
              <w:right w:val="single" w:sz="4" w:space="0" w:color="auto"/>
            </w:tcBorders>
            <w:shd w:val="clear" w:color="auto" w:fill="BFBFBF" w:themeFill="background1" w:themeFillShade="BF"/>
          </w:tcPr>
          <w:p w14:paraId="3936A906" w14:textId="77777777" w:rsidR="000A7D9D" w:rsidRPr="00EC1412" w:rsidRDefault="000A7D9D" w:rsidP="00F31937">
            <w:pPr>
              <w:jc w:val="center"/>
              <w:rPr>
                <w:b/>
                <w:caps/>
                <w:noProof/>
                <w:sz w:val="18"/>
                <w:szCs w:val="18"/>
              </w:rPr>
            </w:pPr>
            <w:r w:rsidRPr="00EC1412">
              <w:rPr>
                <w:b/>
                <w:noProof/>
                <w:sz w:val="18"/>
                <w:szCs w:val="18"/>
              </w:rPr>
              <w:t>FTEs</w:t>
            </w:r>
          </w:p>
        </w:tc>
        <w:tc>
          <w:tcPr>
            <w:tcW w:w="2268" w:type="dxa"/>
            <w:gridSpan w:val="4"/>
            <w:tcBorders>
              <w:left w:val="single" w:sz="4" w:space="0" w:color="auto"/>
              <w:bottom w:val="single" w:sz="4" w:space="0" w:color="auto"/>
            </w:tcBorders>
            <w:shd w:val="clear" w:color="auto" w:fill="BFBFBF" w:themeFill="background1" w:themeFillShade="BF"/>
          </w:tcPr>
          <w:p w14:paraId="00FF15BD"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34A00953" w14:textId="77777777" w:rsidTr="00F31937">
        <w:tc>
          <w:tcPr>
            <w:tcW w:w="3964" w:type="dxa"/>
            <w:tcBorders>
              <w:bottom w:val="single" w:sz="4" w:space="0" w:color="auto"/>
              <w:right w:val="single" w:sz="4" w:space="0" w:color="auto"/>
            </w:tcBorders>
            <w:shd w:val="clear" w:color="auto" w:fill="BFBFBF" w:themeFill="background1" w:themeFillShade="BF"/>
          </w:tcPr>
          <w:p w14:paraId="541BED1B"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4E63FECC" w14:textId="77777777" w:rsidR="000A7D9D" w:rsidRPr="00EC1412" w:rsidRDefault="000A7D9D" w:rsidP="00F31937">
            <w:pPr>
              <w:ind w:left="-112"/>
              <w:jc w:val="right"/>
              <w:rPr>
                <w:b/>
                <w:caps/>
                <w:noProof/>
                <w:sz w:val="18"/>
                <w:szCs w:val="18"/>
              </w:rPr>
            </w:pPr>
            <w:r w:rsidRPr="00EC1412">
              <w:rPr>
                <w:b/>
                <w:caps/>
                <w:noProof/>
                <w:sz w:val="18"/>
                <w:szCs w:val="18"/>
              </w:rPr>
              <w:t>202</w:t>
            </w:r>
            <w:r>
              <w:rPr>
                <w:b/>
                <w:caps/>
                <w:noProof/>
                <w:sz w:val="18"/>
                <w:szCs w:val="18"/>
              </w:rPr>
              <w:t>5</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6D32B7B7"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6</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4DBEDEFE" w14:textId="77777777" w:rsidR="000A7D9D" w:rsidRPr="00EC1412" w:rsidRDefault="000A7D9D" w:rsidP="00F31937">
            <w:pPr>
              <w:ind w:left="-107"/>
              <w:jc w:val="right"/>
              <w:rPr>
                <w:b/>
                <w:caps/>
                <w:noProof/>
                <w:sz w:val="18"/>
                <w:szCs w:val="18"/>
              </w:rPr>
            </w:pPr>
            <w:r w:rsidRPr="00EC1412">
              <w:rPr>
                <w:b/>
                <w:caps/>
                <w:noProof/>
                <w:sz w:val="18"/>
                <w:szCs w:val="18"/>
              </w:rPr>
              <w:t>202</w:t>
            </w:r>
            <w:r>
              <w:rPr>
                <w:b/>
                <w:caps/>
                <w:noProof/>
                <w:sz w:val="18"/>
                <w:szCs w:val="18"/>
              </w:rPr>
              <w:t>7</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2E7D8553" w14:textId="77777777" w:rsidR="000A7D9D" w:rsidRPr="00EC1412" w:rsidRDefault="000A7D9D" w:rsidP="00F31937">
            <w:pPr>
              <w:ind w:left="-105"/>
              <w:jc w:val="right"/>
              <w:rPr>
                <w:b/>
                <w:caps/>
                <w:noProof/>
                <w:sz w:val="18"/>
                <w:szCs w:val="18"/>
              </w:rPr>
            </w:pPr>
            <w:r w:rsidRPr="00EC1412">
              <w:rPr>
                <w:b/>
                <w:caps/>
                <w:noProof/>
                <w:sz w:val="18"/>
                <w:szCs w:val="18"/>
              </w:rPr>
              <w:t>202</w:t>
            </w:r>
            <w:r>
              <w:rPr>
                <w:b/>
                <w:caps/>
                <w:noProof/>
                <w:sz w:val="18"/>
                <w:szCs w:val="18"/>
              </w:rPr>
              <w:t>8</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20708CD5" w14:textId="77777777" w:rsidR="000A7D9D" w:rsidRPr="00EC1412" w:rsidRDefault="000A7D9D" w:rsidP="00F31937">
            <w:pPr>
              <w:ind w:left="-78"/>
              <w:jc w:val="right"/>
              <w:rPr>
                <w:b/>
                <w:caps/>
                <w:noProof/>
                <w:sz w:val="18"/>
                <w:szCs w:val="18"/>
              </w:rPr>
            </w:pPr>
            <w:r w:rsidRPr="00EC1412">
              <w:rPr>
                <w:b/>
                <w:caps/>
                <w:noProof/>
                <w:sz w:val="18"/>
                <w:szCs w:val="18"/>
              </w:rPr>
              <w:t>202</w:t>
            </w:r>
            <w:r>
              <w:rPr>
                <w:b/>
                <w:caps/>
                <w:noProof/>
                <w:sz w:val="18"/>
                <w:szCs w:val="18"/>
              </w:rPr>
              <w:t>5</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18D78C64" w14:textId="77777777" w:rsidR="000A7D9D" w:rsidRPr="00EC1412" w:rsidRDefault="000A7D9D" w:rsidP="00F31937">
            <w:pPr>
              <w:ind w:left="-84"/>
              <w:jc w:val="right"/>
              <w:rPr>
                <w:b/>
                <w:caps/>
                <w:noProof/>
                <w:sz w:val="18"/>
                <w:szCs w:val="18"/>
              </w:rPr>
            </w:pPr>
            <w:r w:rsidRPr="00EC1412">
              <w:rPr>
                <w:b/>
                <w:caps/>
                <w:noProof/>
                <w:sz w:val="18"/>
                <w:szCs w:val="18"/>
              </w:rPr>
              <w:t>202</w:t>
            </w:r>
            <w:r>
              <w:rPr>
                <w:b/>
                <w:caps/>
                <w:noProof/>
                <w:sz w:val="18"/>
                <w:szCs w:val="18"/>
              </w:rPr>
              <w:t>6</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203196F8" w14:textId="77777777" w:rsidR="000A7D9D" w:rsidRPr="00EC1412" w:rsidRDefault="000A7D9D" w:rsidP="00F31937">
            <w:pPr>
              <w:ind w:left="-76"/>
              <w:jc w:val="right"/>
              <w:rPr>
                <w:b/>
                <w:caps/>
                <w:noProof/>
                <w:sz w:val="18"/>
                <w:szCs w:val="18"/>
              </w:rPr>
            </w:pPr>
            <w:r w:rsidRPr="00EC1412">
              <w:rPr>
                <w:b/>
                <w:caps/>
                <w:noProof/>
                <w:sz w:val="18"/>
                <w:szCs w:val="18"/>
              </w:rPr>
              <w:t>202</w:t>
            </w:r>
            <w:r>
              <w:rPr>
                <w:b/>
                <w:caps/>
                <w:noProof/>
                <w:sz w:val="18"/>
                <w:szCs w:val="18"/>
              </w:rPr>
              <w:t>7</w:t>
            </w:r>
          </w:p>
        </w:tc>
        <w:tc>
          <w:tcPr>
            <w:tcW w:w="567" w:type="dxa"/>
            <w:tcBorders>
              <w:left w:val="single" w:sz="4" w:space="0" w:color="auto"/>
              <w:bottom w:val="single" w:sz="4" w:space="0" w:color="auto"/>
            </w:tcBorders>
            <w:shd w:val="clear" w:color="auto" w:fill="BFBFBF" w:themeFill="background1" w:themeFillShade="BF"/>
          </w:tcPr>
          <w:p w14:paraId="29797C3D" w14:textId="77777777" w:rsidR="000A7D9D" w:rsidRPr="00EC1412" w:rsidRDefault="000A7D9D" w:rsidP="00F31937">
            <w:pPr>
              <w:ind w:left="-81"/>
              <w:jc w:val="right"/>
              <w:rPr>
                <w:b/>
                <w:caps/>
                <w:noProof/>
                <w:sz w:val="18"/>
                <w:szCs w:val="18"/>
              </w:rPr>
            </w:pPr>
            <w:r w:rsidRPr="00EC1412">
              <w:rPr>
                <w:b/>
                <w:caps/>
                <w:noProof/>
                <w:sz w:val="18"/>
                <w:szCs w:val="18"/>
              </w:rPr>
              <w:t>202</w:t>
            </w:r>
            <w:r>
              <w:rPr>
                <w:b/>
                <w:caps/>
                <w:noProof/>
                <w:sz w:val="18"/>
                <w:szCs w:val="18"/>
              </w:rPr>
              <w:t>8</w:t>
            </w:r>
          </w:p>
        </w:tc>
      </w:tr>
      <w:tr w:rsidR="000A7D9D" w:rsidRPr="00EC1412" w14:paraId="0D5608C1" w14:textId="77777777" w:rsidTr="00F31937">
        <w:tc>
          <w:tcPr>
            <w:tcW w:w="3964" w:type="dxa"/>
            <w:tcBorders>
              <w:bottom w:val="single" w:sz="4" w:space="0" w:color="auto"/>
              <w:right w:val="single" w:sz="4" w:space="0" w:color="auto"/>
            </w:tcBorders>
            <w:shd w:val="clear" w:color="auto" w:fill="BFBFBF" w:themeFill="background1" w:themeFillShade="BF"/>
          </w:tcPr>
          <w:p w14:paraId="7A9294D5" w14:textId="77777777" w:rsidR="000A7D9D" w:rsidRPr="00EC1412" w:rsidRDefault="000A7D9D" w:rsidP="00F31937">
            <w:pPr>
              <w:jc w:val="both"/>
              <w:rPr>
                <w:b/>
                <w:noProof/>
                <w:sz w:val="18"/>
                <w:szCs w:val="18"/>
              </w:rPr>
            </w:pP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6464ADDB" w14:textId="77777777" w:rsidR="000A7D9D" w:rsidRPr="00EC1412" w:rsidRDefault="000A7D9D" w:rsidP="00F31937">
            <w:pPr>
              <w:ind w:left="-112"/>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056E9BC7" w14:textId="77777777" w:rsidR="000A7D9D" w:rsidRPr="00EC1412" w:rsidRDefault="000A7D9D" w:rsidP="00F31937">
            <w:pPr>
              <w:ind w:left="-112"/>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7F5AE660"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5D44DCD8" w14:textId="77777777" w:rsidR="000A7D9D" w:rsidRPr="00EC1412" w:rsidRDefault="000A7D9D" w:rsidP="00F31937">
            <w:pPr>
              <w:ind w:left="-91"/>
              <w:jc w:val="right"/>
              <w:rPr>
                <w:b/>
                <w:caps/>
                <w:noProof/>
                <w:sz w:val="18"/>
                <w:szCs w:val="18"/>
              </w:rPr>
            </w:pPr>
            <w:r>
              <w:rPr>
                <w:b/>
                <w:caps/>
                <w:noProof/>
                <w:sz w:val="18"/>
                <w:szCs w:val="18"/>
              </w:rPr>
              <w:t>CA</w:t>
            </w: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35D940EE" w14:textId="77777777" w:rsidR="000A7D9D" w:rsidRPr="00EC1412" w:rsidRDefault="000A7D9D" w:rsidP="00F31937">
            <w:pPr>
              <w:ind w:left="-107"/>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6A9CCAF7" w14:textId="77777777" w:rsidR="000A7D9D" w:rsidRPr="00EC1412" w:rsidRDefault="000A7D9D" w:rsidP="00F31937">
            <w:pPr>
              <w:ind w:left="-107"/>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1C236423"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14C5569A" w14:textId="77777777" w:rsidR="000A7D9D" w:rsidRPr="00EC1412" w:rsidRDefault="000A7D9D" w:rsidP="00F31937">
            <w:pPr>
              <w:ind w:left="-105"/>
              <w:jc w:val="right"/>
              <w:rPr>
                <w:b/>
                <w:caps/>
                <w:noProof/>
                <w:sz w:val="18"/>
                <w:szCs w:val="18"/>
              </w:rPr>
            </w:pPr>
            <w:r>
              <w:rPr>
                <w:b/>
                <w:caps/>
                <w:noProof/>
                <w:sz w:val="18"/>
                <w:szCs w:val="18"/>
              </w:rPr>
              <w:t>CA</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71981B26" w14:textId="77777777" w:rsidR="000A7D9D" w:rsidRPr="00EC1412" w:rsidRDefault="000A7D9D" w:rsidP="00F31937">
            <w:pPr>
              <w:ind w:left="-78"/>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73566C66" w14:textId="77777777" w:rsidR="000A7D9D" w:rsidRPr="00EC1412" w:rsidRDefault="000A7D9D" w:rsidP="00F31937">
            <w:pPr>
              <w:ind w:left="-84"/>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55897EF6" w14:textId="77777777" w:rsidR="000A7D9D" w:rsidRPr="00EC1412" w:rsidRDefault="000A7D9D" w:rsidP="00F31937">
            <w:pPr>
              <w:ind w:left="-76"/>
              <w:jc w:val="right"/>
              <w:rPr>
                <w:b/>
                <w:caps/>
                <w:noProof/>
                <w:sz w:val="18"/>
                <w:szCs w:val="18"/>
              </w:rPr>
            </w:pPr>
          </w:p>
        </w:tc>
        <w:tc>
          <w:tcPr>
            <w:tcW w:w="567" w:type="dxa"/>
            <w:tcBorders>
              <w:left w:val="single" w:sz="4" w:space="0" w:color="auto"/>
              <w:bottom w:val="single" w:sz="4" w:space="0" w:color="auto"/>
            </w:tcBorders>
            <w:shd w:val="clear" w:color="auto" w:fill="BFBFBF" w:themeFill="background1" w:themeFillShade="BF"/>
          </w:tcPr>
          <w:p w14:paraId="16D89197" w14:textId="77777777" w:rsidR="000A7D9D" w:rsidRPr="00EC1412" w:rsidRDefault="000A7D9D" w:rsidP="00F31937">
            <w:pPr>
              <w:ind w:left="-81"/>
              <w:jc w:val="right"/>
              <w:rPr>
                <w:b/>
                <w:caps/>
                <w:noProof/>
                <w:sz w:val="18"/>
                <w:szCs w:val="18"/>
              </w:rPr>
            </w:pPr>
          </w:p>
        </w:tc>
      </w:tr>
      <w:tr w:rsidR="000A7D9D" w:rsidRPr="00EC1412" w14:paraId="75605F7F" w14:textId="77777777" w:rsidTr="00F31937">
        <w:tc>
          <w:tcPr>
            <w:tcW w:w="3964" w:type="dxa"/>
            <w:tcBorders>
              <w:bottom w:val="single" w:sz="4" w:space="0" w:color="auto"/>
              <w:right w:val="single" w:sz="4" w:space="0" w:color="auto"/>
            </w:tcBorders>
            <w:shd w:val="clear" w:color="auto" w:fill="FFF4CC"/>
          </w:tcPr>
          <w:p w14:paraId="389A7EC0" w14:textId="77777777" w:rsidR="000A7D9D" w:rsidRPr="00EC1412" w:rsidRDefault="000A7D9D" w:rsidP="00F31937">
            <w:pPr>
              <w:jc w:val="both"/>
              <w:rPr>
                <w:caps/>
                <w:noProof/>
                <w:sz w:val="18"/>
                <w:szCs w:val="18"/>
              </w:rPr>
            </w:pPr>
            <w:r w:rsidRPr="00EC1412">
              <w:rPr>
                <w:noProof/>
                <w:sz w:val="18"/>
                <w:szCs w:val="18"/>
              </w:rPr>
              <w:t xml:space="preserve">CLP Regulation </w:t>
            </w:r>
          </w:p>
        </w:tc>
        <w:tc>
          <w:tcPr>
            <w:tcW w:w="426" w:type="dxa"/>
            <w:tcBorders>
              <w:left w:val="single" w:sz="4" w:space="0" w:color="auto"/>
              <w:bottom w:val="single" w:sz="4" w:space="0" w:color="auto"/>
              <w:right w:val="dotted" w:sz="4" w:space="0" w:color="auto"/>
            </w:tcBorders>
            <w:shd w:val="clear" w:color="auto" w:fill="FFF4CC"/>
          </w:tcPr>
          <w:p w14:paraId="19FD4CCA"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2577AE56"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7B67E19F"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5B477C6F"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FFF4CC"/>
          </w:tcPr>
          <w:p w14:paraId="607D88E9"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4AFA43A3"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7E019AC1"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1E9AD673"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3521C8D4"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6C2238B1"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77E5C9AC"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tcBorders>
            <w:shd w:val="clear" w:color="auto" w:fill="FFF4CC"/>
          </w:tcPr>
          <w:p w14:paraId="4576B090" w14:textId="77777777" w:rsidR="000A7D9D" w:rsidRPr="00EC1412" w:rsidRDefault="000A7D9D" w:rsidP="00F31937">
            <w:pPr>
              <w:ind w:left="-119"/>
              <w:jc w:val="right"/>
              <w:rPr>
                <w:caps/>
                <w:noProof/>
                <w:sz w:val="18"/>
                <w:szCs w:val="18"/>
              </w:rPr>
            </w:pPr>
            <w:r>
              <w:rPr>
                <w:noProof/>
                <w:sz w:val="18"/>
                <w:szCs w:val="18"/>
              </w:rPr>
              <w:t>0</w:t>
            </w:r>
          </w:p>
        </w:tc>
      </w:tr>
      <w:tr w:rsidR="000A7D9D" w:rsidRPr="00EC1412" w14:paraId="219CEE65" w14:textId="77777777" w:rsidTr="00F31937">
        <w:tc>
          <w:tcPr>
            <w:tcW w:w="3964" w:type="dxa"/>
            <w:tcBorders>
              <w:bottom w:val="dotted" w:sz="4" w:space="0" w:color="auto"/>
              <w:right w:val="single" w:sz="4" w:space="0" w:color="auto"/>
            </w:tcBorders>
            <w:shd w:val="clear" w:color="auto" w:fill="C1ECFF"/>
          </w:tcPr>
          <w:p w14:paraId="0D3C8D84" w14:textId="77777777" w:rsidR="000A7D9D" w:rsidRPr="00EC1412" w:rsidRDefault="000A7D9D" w:rsidP="00F31937">
            <w:pPr>
              <w:jc w:val="both"/>
              <w:rPr>
                <w:caps/>
                <w:noProof/>
                <w:sz w:val="18"/>
                <w:szCs w:val="18"/>
              </w:rPr>
            </w:pPr>
            <w:r w:rsidRPr="00EC1412">
              <w:rPr>
                <w:rStyle w:val="normaltextrun"/>
                <w:noProof/>
                <w:sz w:val="18"/>
                <w:szCs w:val="18"/>
              </w:rPr>
              <w:t>Regulation on reattribution</w:t>
            </w:r>
            <w:r>
              <w:rPr>
                <w:rStyle w:val="normaltextrun"/>
                <w:noProof/>
                <w:sz w:val="18"/>
                <w:szCs w:val="18"/>
              </w:rPr>
              <w:t xml:space="preserve"> of tasks</w:t>
            </w:r>
          </w:p>
        </w:tc>
        <w:tc>
          <w:tcPr>
            <w:tcW w:w="426" w:type="dxa"/>
            <w:tcBorders>
              <w:left w:val="single" w:sz="4" w:space="0" w:color="auto"/>
              <w:bottom w:val="dotted" w:sz="4" w:space="0" w:color="auto"/>
              <w:right w:val="dotted" w:sz="4" w:space="0" w:color="auto"/>
            </w:tcBorders>
            <w:shd w:val="clear" w:color="auto" w:fill="C1ECFF"/>
          </w:tcPr>
          <w:p w14:paraId="670DB686" w14:textId="77777777" w:rsidR="000A7D9D" w:rsidRPr="005B7CEC" w:rsidRDefault="000A7D9D" w:rsidP="00F31937">
            <w:pPr>
              <w:jc w:val="right"/>
              <w:rPr>
                <w:b/>
                <w:caps/>
                <w:noProof/>
                <w:sz w:val="18"/>
                <w:szCs w:val="18"/>
              </w:rPr>
            </w:pPr>
            <w:r w:rsidRPr="005B7CEC">
              <w:rPr>
                <w:b/>
                <w:caps/>
                <w:noProof/>
                <w:sz w:val="18"/>
                <w:szCs w:val="18"/>
              </w:rPr>
              <w:t>0</w:t>
            </w:r>
          </w:p>
        </w:tc>
        <w:tc>
          <w:tcPr>
            <w:tcW w:w="425" w:type="dxa"/>
            <w:tcBorders>
              <w:left w:val="dotted" w:sz="4" w:space="0" w:color="auto"/>
              <w:bottom w:val="dotted" w:sz="4" w:space="0" w:color="auto"/>
              <w:right w:val="single" w:sz="4" w:space="0" w:color="auto"/>
            </w:tcBorders>
            <w:shd w:val="clear" w:color="auto" w:fill="C1ECFF"/>
          </w:tcPr>
          <w:p w14:paraId="14202E04" w14:textId="77777777" w:rsidR="000A7D9D" w:rsidRPr="005B7CEC" w:rsidRDefault="000A7D9D" w:rsidP="00F31937">
            <w:pPr>
              <w:jc w:val="right"/>
              <w:rPr>
                <w:b/>
                <w:caps/>
                <w:noProof/>
                <w:sz w:val="18"/>
                <w:szCs w:val="18"/>
              </w:rPr>
            </w:pPr>
            <w:r w:rsidRPr="005B7CEC">
              <w:rPr>
                <w:b/>
                <w:caps/>
                <w:noProof/>
                <w:sz w:val="18"/>
                <w:szCs w:val="18"/>
              </w:rPr>
              <w:t>0</w:t>
            </w:r>
          </w:p>
        </w:tc>
        <w:tc>
          <w:tcPr>
            <w:tcW w:w="425" w:type="dxa"/>
            <w:tcBorders>
              <w:left w:val="single" w:sz="4" w:space="0" w:color="auto"/>
              <w:bottom w:val="dotted" w:sz="4" w:space="0" w:color="auto"/>
              <w:right w:val="dotted" w:sz="4" w:space="0" w:color="auto"/>
            </w:tcBorders>
            <w:shd w:val="clear" w:color="auto" w:fill="C1ECFF"/>
          </w:tcPr>
          <w:p w14:paraId="3192022E" w14:textId="77777777" w:rsidR="000A7D9D" w:rsidRPr="005B7CEC" w:rsidRDefault="000A7D9D" w:rsidP="00F31937">
            <w:pPr>
              <w:jc w:val="right"/>
              <w:rPr>
                <w:b/>
                <w:caps/>
                <w:noProof/>
                <w:sz w:val="18"/>
                <w:szCs w:val="18"/>
              </w:rPr>
            </w:pPr>
            <w:r w:rsidRPr="005B7CEC">
              <w:rPr>
                <w:b/>
                <w:caps/>
                <w:noProof/>
                <w:sz w:val="18"/>
                <w:szCs w:val="18"/>
              </w:rPr>
              <w:t>0</w:t>
            </w:r>
          </w:p>
        </w:tc>
        <w:tc>
          <w:tcPr>
            <w:tcW w:w="425" w:type="dxa"/>
            <w:tcBorders>
              <w:left w:val="dotted" w:sz="4" w:space="0" w:color="auto"/>
              <w:bottom w:val="dotted" w:sz="4" w:space="0" w:color="auto"/>
              <w:right w:val="single" w:sz="4" w:space="0" w:color="auto"/>
            </w:tcBorders>
            <w:shd w:val="clear" w:color="auto" w:fill="C1ECFF"/>
          </w:tcPr>
          <w:p w14:paraId="496A776D" w14:textId="77777777" w:rsidR="000A7D9D" w:rsidRPr="005B7CEC" w:rsidRDefault="000A7D9D" w:rsidP="00F31937">
            <w:pPr>
              <w:jc w:val="right"/>
              <w:rPr>
                <w:b/>
                <w:caps/>
                <w:noProof/>
                <w:sz w:val="18"/>
                <w:szCs w:val="18"/>
              </w:rPr>
            </w:pPr>
            <w:r w:rsidRPr="005B7CEC">
              <w:rPr>
                <w:b/>
                <w:caps/>
                <w:noProof/>
                <w:sz w:val="18"/>
                <w:szCs w:val="18"/>
              </w:rPr>
              <w:t>0</w:t>
            </w:r>
          </w:p>
        </w:tc>
        <w:tc>
          <w:tcPr>
            <w:tcW w:w="426" w:type="dxa"/>
            <w:tcBorders>
              <w:left w:val="single" w:sz="4" w:space="0" w:color="auto"/>
              <w:bottom w:val="dotted" w:sz="4" w:space="0" w:color="auto"/>
              <w:right w:val="dotted" w:sz="4" w:space="0" w:color="auto"/>
            </w:tcBorders>
            <w:shd w:val="clear" w:color="auto" w:fill="C1ECFF"/>
          </w:tcPr>
          <w:p w14:paraId="14746CD6" w14:textId="77777777" w:rsidR="000A7D9D" w:rsidRPr="005B7CEC" w:rsidRDefault="000A7D9D" w:rsidP="00F31937">
            <w:pPr>
              <w:jc w:val="right"/>
              <w:rPr>
                <w:b/>
                <w:caps/>
                <w:noProof/>
                <w:sz w:val="18"/>
                <w:szCs w:val="18"/>
              </w:rPr>
            </w:pPr>
            <w:r w:rsidRPr="005B7CEC">
              <w:rPr>
                <w:b/>
                <w:caps/>
                <w:noProof/>
                <w:sz w:val="18"/>
                <w:szCs w:val="18"/>
              </w:rPr>
              <w:t>0</w:t>
            </w:r>
          </w:p>
        </w:tc>
        <w:tc>
          <w:tcPr>
            <w:tcW w:w="425" w:type="dxa"/>
            <w:tcBorders>
              <w:left w:val="dotted" w:sz="4" w:space="0" w:color="auto"/>
              <w:bottom w:val="dotted" w:sz="4" w:space="0" w:color="auto"/>
              <w:right w:val="single" w:sz="4" w:space="0" w:color="auto"/>
            </w:tcBorders>
            <w:shd w:val="clear" w:color="auto" w:fill="C1ECFF"/>
          </w:tcPr>
          <w:p w14:paraId="51801838" w14:textId="77777777" w:rsidR="000A7D9D" w:rsidRPr="005B7CEC" w:rsidRDefault="000A7D9D" w:rsidP="00F31937">
            <w:pPr>
              <w:jc w:val="right"/>
              <w:rPr>
                <w:b/>
                <w:caps/>
                <w:noProof/>
                <w:sz w:val="18"/>
                <w:szCs w:val="18"/>
              </w:rPr>
            </w:pPr>
            <w:r w:rsidRPr="005B7CEC">
              <w:rPr>
                <w:b/>
                <w:caps/>
                <w:noProof/>
                <w:sz w:val="18"/>
                <w:szCs w:val="18"/>
              </w:rPr>
              <w:t>0</w:t>
            </w:r>
          </w:p>
        </w:tc>
        <w:tc>
          <w:tcPr>
            <w:tcW w:w="425" w:type="dxa"/>
            <w:tcBorders>
              <w:left w:val="single" w:sz="4" w:space="0" w:color="auto"/>
              <w:bottom w:val="dotted" w:sz="4" w:space="0" w:color="auto"/>
              <w:right w:val="dotted" w:sz="4" w:space="0" w:color="auto"/>
            </w:tcBorders>
            <w:shd w:val="clear" w:color="auto" w:fill="C1ECFF"/>
          </w:tcPr>
          <w:p w14:paraId="3A2E0B50" w14:textId="77777777" w:rsidR="000A7D9D" w:rsidRPr="005B7CEC" w:rsidRDefault="000A7D9D" w:rsidP="00F31937">
            <w:pPr>
              <w:jc w:val="right"/>
              <w:rPr>
                <w:b/>
                <w:caps/>
                <w:noProof/>
                <w:sz w:val="18"/>
                <w:szCs w:val="18"/>
              </w:rPr>
            </w:pPr>
            <w:r w:rsidRPr="005B7CEC">
              <w:rPr>
                <w:b/>
                <w:caps/>
                <w:noProof/>
                <w:sz w:val="18"/>
                <w:szCs w:val="18"/>
              </w:rPr>
              <w:t>0</w:t>
            </w:r>
          </w:p>
        </w:tc>
        <w:tc>
          <w:tcPr>
            <w:tcW w:w="425" w:type="dxa"/>
            <w:tcBorders>
              <w:left w:val="dotted" w:sz="4" w:space="0" w:color="auto"/>
              <w:bottom w:val="dotted" w:sz="4" w:space="0" w:color="auto"/>
              <w:right w:val="single" w:sz="4" w:space="0" w:color="auto"/>
            </w:tcBorders>
            <w:shd w:val="clear" w:color="auto" w:fill="C1ECFF"/>
          </w:tcPr>
          <w:p w14:paraId="1374D647" w14:textId="77777777" w:rsidR="000A7D9D" w:rsidRPr="005B7CEC" w:rsidRDefault="000A7D9D" w:rsidP="00F31937">
            <w:pPr>
              <w:jc w:val="right"/>
              <w:rPr>
                <w:b/>
                <w:caps/>
                <w:noProof/>
                <w:sz w:val="18"/>
                <w:szCs w:val="18"/>
              </w:rPr>
            </w:pPr>
            <w:r w:rsidRPr="005B7CEC">
              <w:rPr>
                <w:b/>
                <w:caps/>
                <w:noProof/>
                <w:sz w:val="18"/>
                <w:szCs w:val="18"/>
              </w:rPr>
              <w:t>0</w:t>
            </w:r>
          </w:p>
        </w:tc>
        <w:tc>
          <w:tcPr>
            <w:tcW w:w="567" w:type="dxa"/>
            <w:tcBorders>
              <w:left w:val="single" w:sz="4" w:space="0" w:color="auto"/>
              <w:bottom w:val="dotted" w:sz="4" w:space="0" w:color="auto"/>
              <w:right w:val="single" w:sz="4" w:space="0" w:color="auto"/>
            </w:tcBorders>
            <w:shd w:val="clear" w:color="auto" w:fill="C1ECFF"/>
          </w:tcPr>
          <w:p w14:paraId="044D2FF2" w14:textId="77777777" w:rsidR="000A7D9D" w:rsidRPr="005B7CEC" w:rsidRDefault="000A7D9D" w:rsidP="00F31937">
            <w:pPr>
              <w:jc w:val="right"/>
              <w:rPr>
                <w:b/>
                <w:caps/>
                <w:noProof/>
                <w:sz w:val="18"/>
                <w:szCs w:val="18"/>
              </w:rPr>
            </w:pPr>
            <w:r w:rsidRPr="005B7CEC">
              <w:rPr>
                <w:b/>
                <w:noProof/>
                <w:sz w:val="18"/>
                <w:szCs w:val="18"/>
              </w:rPr>
              <w:t>0</w:t>
            </w:r>
          </w:p>
        </w:tc>
        <w:tc>
          <w:tcPr>
            <w:tcW w:w="567" w:type="dxa"/>
            <w:tcBorders>
              <w:left w:val="single" w:sz="4" w:space="0" w:color="auto"/>
              <w:bottom w:val="dotted" w:sz="4" w:space="0" w:color="auto"/>
              <w:right w:val="single" w:sz="4" w:space="0" w:color="auto"/>
            </w:tcBorders>
            <w:shd w:val="clear" w:color="auto" w:fill="C1ECFF"/>
          </w:tcPr>
          <w:p w14:paraId="20351BB3" w14:textId="77777777" w:rsidR="000A7D9D" w:rsidRPr="005B7CEC" w:rsidRDefault="000A7D9D" w:rsidP="00F31937">
            <w:pPr>
              <w:jc w:val="right"/>
              <w:rPr>
                <w:b/>
                <w:caps/>
                <w:noProof/>
                <w:sz w:val="18"/>
                <w:szCs w:val="18"/>
              </w:rPr>
            </w:pPr>
            <w:r w:rsidRPr="005B7CEC">
              <w:rPr>
                <w:b/>
                <w:noProof/>
                <w:sz w:val="18"/>
                <w:szCs w:val="18"/>
              </w:rPr>
              <w:t>0</w:t>
            </w:r>
          </w:p>
        </w:tc>
        <w:tc>
          <w:tcPr>
            <w:tcW w:w="567" w:type="dxa"/>
            <w:tcBorders>
              <w:left w:val="single" w:sz="4" w:space="0" w:color="auto"/>
              <w:bottom w:val="dotted" w:sz="4" w:space="0" w:color="auto"/>
              <w:right w:val="single" w:sz="4" w:space="0" w:color="auto"/>
            </w:tcBorders>
            <w:shd w:val="clear" w:color="auto" w:fill="C1ECFF"/>
          </w:tcPr>
          <w:p w14:paraId="30747221" w14:textId="77777777" w:rsidR="000A7D9D" w:rsidRPr="005B7CEC" w:rsidRDefault="000A7D9D" w:rsidP="00F31937">
            <w:pPr>
              <w:jc w:val="right"/>
              <w:rPr>
                <w:b/>
                <w:caps/>
                <w:noProof/>
                <w:sz w:val="18"/>
                <w:szCs w:val="18"/>
              </w:rPr>
            </w:pPr>
            <w:r w:rsidRPr="005B7CEC">
              <w:rPr>
                <w:b/>
                <w:noProof/>
                <w:sz w:val="18"/>
                <w:szCs w:val="18"/>
              </w:rPr>
              <w:t>0</w:t>
            </w:r>
          </w:p>
        </w:tc>
        <w:tc>
          <w:tcPr>
            <w:tcW w:w="567" w:type="dxa"/>
            <w:tcBorders>
              <w:left w:val="single" w:sz="4" w:space="0" w:color="auto"/>
              <w:bottom w:val="dotted" w:sz="4" w:space="0" w:color="auto"/>
            </w:tcBorders>
            <w:shd w:val="clear" w:color="auto" w:fill="C1ECFF"/>
          </w:tcPr>
          <w:p w14:paraId="7E4B1621" w14:textId="77777777" w:rsidR="000A7D9D" w:rsidRPr="005B7CEC" w:rsidRDefault="000A7D9D" w:rsidP="00F31937">
            <w:pPr>
              <w:ind w:left="-119"/>
              <w:jc w:val="right"/>
              <w:rPr>
                <w:b/>
                <w:caps/>
                <w:noProof/>
                <w:sz w:val="18"/>
                <w:szCs w:val="18"/>
              </w:rPr>
            </w:pPr>
            <w:r w:rsidRPr="005B7CEC">
              <w:rPr>
                <w:b/>
                <w:noProof/>
                <w:sz w:val="18"/>
                <w:szCs w:val="18"/>
              </w:rPr>
              <w:t>0</w:t>
            </w:r>
          </w:p>
        </w:tc>
      </w:tr>
      <w:tr w:rsidR="000A7D9D" w:rsidRPr="00EC1412" w14:paraId="17C88A71" w14:textId="77777777" w:rsidTr="00F31937">
        <w:tc>
          <w:tcPr>
            <w:tcW w:w="3964" w:type="dxa"/>
            <w:tcBorders>
              <w:top w:val="dotted" w:sz="4" w:space="0" w:color="auto"/>
              <w:bottom w:val="single" w:sz="4" w:space="0" w:color="auto"/>
              <w:right w:val="single" w:sz="4" w:space="0" w:color="auto"/>
            </w:tcBorders>
            <w:shd w:val="clear" w:color="auto" w:fill="C1ECFF"/>
          </w:tcPr>
          <w:p w14:paraId="1C725CA7" w14:textId="77777777" w:rsidR="000A7D9D" w:rsidRPr="00EC1412" w:rsidRDefault="000A7D9D" w:rsidP="00F31937">
            <w:pPr>
              <w:jc w:val="both"/>
              <w:rPr>
                <w:noProof/>
                <w:sz w:val="18"/>
                <w:szCs w:val="18"/>
              </w:rPr>
            </w:pPr>
            <w:r w:rsidRPr="00EC1412">
              <w:rPr>
                <w:noProof/>
                <w:sz w:val="18"/>
                <w:szCs w:val="18"/>
              </w:rPr>
              <w:t xml:space="preserve">   General Food Law</w:t>
            </w:r>
          </w:p>
        </w:tc>
        <w:tc>
          <w:tcPr>
            <w:tcW w:w="426" w:type="dxa"/>
            <w:tcBorders>
              <w:top w:val="dotted" w:sz="4" w:space="0" w:color="auto"/>
              <w:left w:val="single" w:sz="4" w:space="0" w:color="auto"/>
              <w:bottom w:val="single" w:sz="4" w:space="0" w:color="auto"/>
              <w:right w:val="dotted" w:sz="4" w:space="0" w:color="auto"/>
            </w:tcBorders>
            <w:shd w:val="clear" w:color="auto" w:fill="C1ECFF"/>
          </w:tcPr>
          <w:p w14:paraId="6A5942D7"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7D661994"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50F03D0C"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2B62DFFC"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single" w:sz="4" w:space="0" w:color="auto"/>
              <w:right w:val="dotted" w:sz="4" w:space="0" w:color="auto"/>
            </w:tcBorders>
            <w:shd w:val="clear" w:color="auto" w:fill="C1ECFF"/>
          </w:tcPr>
          <w:p w14:paraId="0B378C3C"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6D0B8A6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C1ECFF"/>
          </w:tcPr>
          <w:p w14:paraId="6ECA4D03"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C1ECFF"/>
          </w:tcPr>
          <w:p w14:paraId="61F96EFD"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3923C656"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2C7CB6B2"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C1ECFF"/>
          </w:tcPr>
          <w:p w14:paraId="4779A241"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tcBorders>
            <w:shd w:val="clear" w:color="auto" w:fill="C1ECFF"/>
          </w:tcPr>
          <w:p w14:paraId="20527E6B"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6EE74D94" w14:textId="77777777" w:rsidTr="00F31937">
        <w:tc>
          <w:tcPr>
            <w:tcW w:w="3964" w:type="dxa"/>
            <w:tcBorders>
              <w:bottom w:val="dotted" w:sz="4" w:space="0" w:color="auto"/>
              <w:right w:val="single" w:sz="4" w:space="0" w:color="auto"/>
            </w:tcBorders>
            <w:shd w:val="clear" w:color="auto" w:fill="FFF4CC"/>
          </w:tcPr>
          <w:p w14:paraId="0373D40A" w14:textId="77777777" w:rsidR="000A7D9D" w:rsidRPr="00EC1412" w:rsidRDefault="000A7D9D" w:rsidP="00F31937">
            <w:pPr>
              <w:jc w:val="both"/>
              <w:rPr>
                <w:b/>
                <w:noProof/>
                <w:sz w:val="18"/>
                <w:szCs w:val="18"/>
              </w:rPr>
            </w:pPr>
            <w:r w:rsidRPr="00EC1412">
              <w:rPr>
                <w:b/>
                <w:noProof/>
                <w:sz w:val="18"/>
                <w:szCs w:val="18"/>
              </w:rPr>
              <w:t>Regulation on chemical</w:t>
            </w:r>
            <w:r>
              <w:rPr>
                <w:b/>
                <w:noProof/>
                <w:sz w:val="18"/>
                <w:szCs w:val="18"/>
              </w:rPr>
              <w:t>s</w:t>
            </w:r>
            <w:r w:rsidRPr="00EC1412">
              <w:rPr>
                <w:b/>
                <w:noProof/>
                <w:sz w:val="18"/>
                <w:szCs w:val="18"/>
              </w:rPr>
              <w:t xml:space="preserve"> </w:t>
            </w:r>
            <w:r>
              <w:rPr>
                <w:b/>
                <w:noProof/>
                <w:sz w:val="18"/>
                <w:szCs w:val="18"/>
              </w:rPr>
              <w:t>data</w:t>
            </w:r>
          </w:p>
        </w:tc>
        <w:tc>
          <w:tcPr>
            <w:tcW w:w="426" w:type="dxa"/>
            <w:tcBorders>
              <w:left w:val="single" w:sz="4" w:space="0" w:color="auto"/>
              <w:bottom w:val="dotted" w:sz="4" w:space="0" w:color="auto"/>
              <w:right w:val="dotted" w:sz="4" w:space="0" w:color="auto"/>
            </w:tcBorders>
            <w:shd w:val="clear" w:color="auto" w:fill="FFF4CC"/>
          </w:tcPr>
          <w:p w14:paraId="0D9A45F3"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727A253C" w14:textId="77777777" w:rsidR="000A7D9D" w:rsidRPr="00EC1412" w:rsidRDefault="000A7D9D" w:rsidP="00F31937">
            <w:pPr>
              <w:jc w:val="right"/>
              <w:rPr>
                <w:b/>
                <w:caps/>
                <w:noProof/>
                <w:sz w:val="18"/>
                <w:szCs w:val="18"/>
              </w:rPr>
            </w:pPr>
            <w:r>
              <w:rPr>
                <w:b/>
                <w:caps/>
                <w:noProof/>
                <w:sz w:val="18"/>
                <w:szCs w:val="18"/>
              </w:rPr>
              <w:t>5</w:t>
            </w:r>
          </w:p>
        </w:tc>
        <w:tc>
          <w:tcPr>
            <w:tcW w:w="425" w:type="dxa"/>
            <w:tcBorders>
              <w:left w:val="single" w:sz="4" w:space="0" w:color="auto"/>
              <w:bottom w:val="dotted" w:sz="4" w:space="0" w:color="auto"/>
              <w:right w:val="dotted" w:sz="4" w:space="0" w:color="auto"/>
            </w:tcBorders>
            <w:shd w:val="clear" w:color="auto" w:fill="FFF4CC"/>
          </w:tcPr>
          <w:p w14:paraId="52F36435"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5E58375E" w14:textId="77777777" w:rsidR="000A7D9D" w:rsidRPr="00EC1412" w:rsidRDefault="000A7D9D" w:rsidP="00F31937">
            <w:pPr>
              <w:jc w:val="right"/>
              <w:rPr>
                <w:b/>
                <w:caps/>
                <w:noProof/>
                <w:sz w:val="18"/>
                <w:szCs w:val="18"/>
              </w:rPr>
            </w:pPr>
            <w:r>
              <w:rPr>
                <w:b/>
                <w:caps/>
                <w:noProof/>
                <w:sz w:val="18"/>
                <w:szCs w:val="18"/>
              </w:rPr>
              <w:t>5</w:t>
            </w:r>
          </w:p>
        </w:tc>
        <w:tc>
          <w:tcPr>
            <w:tcW w:w="426" w:type="dxa"/>
            <w:tcBorders>
              <w:left w:val="single" w:sz="4" w:space="0" w:color="auto"/>
              <w:bottom w:val="dotted" w:sz="4" w:space="0" w:color="auto"/>
              <w:right w:val="dotted" w:sz="4" w:space="0" w:color="auto"/>
            </w:tcBorders>
            <w:shd w:val="clear" w:color="auto" w:fill="FFF4CC"/>
          </w:tcPr>
          <w:p w14:paraId="7951037C"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33FFB34B" w14:textId="77777777" w:rsidR="000A7D9D" w:rsidRPr="00EC1412" w:rsidRDefault="000A7D9D" w:rsidP="00F31937">
            <w:pPr>
              <w:jc w:val="right"/>
              <w:rPr>
                <w:b/>
                <w:caps/>
                <w:noProof/>
                <w:sz w:val="18"/>
                <w:szCs w:val="18"/>
              </w:rPr>
            </w:pPr>
            <w:r>
              <w:rPr>
                <w:b/>
                <w:caps/>
                <w:noProof/>
                <w:sz w:val="18"/>
                <w:szCs w:val="18"/>
              </w:rPr>
              <w:t>5</w:t>
            </w:r>
          </w:p>
        </w:tc>
        <w:tc>
          <w:tcPr>
            <w:tcW w:w="425" w:type="dxa"/>
            <w:tcBorders>
              <w:left w:val="single" w:sz="4" w:space="0" w:color="auto"/>
              <w:bottom w:val="dotted" w:sz="4" w:space="0" w:color="auto"/>
              <w:right w:val="dotted" w:sz="4" w:space="0" w:color="auto"/>
            </w:tcBorders>
            <w:shd w:val="clear" w:color="auto" w:fill="FFF4CC"/>
          </w:tcPr>
          <w:p w14:paraId="738E18D6" w14:textId="77777777" w:rsidR="000A7D9D" w:rsidRPr="00EC1412" w:rsidRDefault="000A7D9D" w:rsidP="00F31937">
            <w:pPr>
              <w:jc w:val="right"/>
              <w:rPr>
                <w:b/>
                <w:bCs/>
                <w:caps/>
                <w:noProof/>
                <w:sz w:val="18"/>
                <w:szCs w:val="18"/>
              </w:rPr>
            </w:pPr>
            <w:r>
              <w:rPr>
                <w:b/>
                <w:bCs/>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2D5BCCB8" w14:textId="77777777" w:rsidR="000A7D9D" w:rsidRPr="00EC1412" w:rsidRDefault="000A7D9D" w:rsidP="00F31937">
            <w:pPr>
              <w:jc w:val="right"/>
              <w:rPr>
                <w:b/>
                <w:bCs/>
                <w:caps/>
                <w:noProof/>
                <w:sz w:val="18"/>
                <w:szCs w:val="18"/>
              </w:rPr>
            </w:pPr>
            <w:r>
              <w:rPr>
                <w:b/>
                <w:bCs/>
                <w:caps/>
                <w:noProof/>
                <w:sz w:val="18"/>
                <w:szCs w:val="18"/>
              </w:rPr>
              <w:t>2</w:t>
            </w:r>
          </w:p>
        </w:tc>
        <w:tc>
          <w:tcPr>
            <w:tcW w:w="567" w:type="dxa"/>
            <w:tcBorders>
              <w:left w:val="single" w:sz="4" w:space="0" w:color="auto"/>
              <w:bottom w:val="dotted" w:sz="4" w:space="0" w:color="auto"/>
              <w:right w:val="single" w:sz="4" w:space="0" w:color="auto"/>
            </w:tcBorders>
            <w:shd w:val="clear" w:color="auto" w:fill="FFF4CC"/>
          </w:tcPr>
          <w:p w14:paraId="35C975CD" w14:textId="77777777" w:rsidR="000A7D9D" w:rsidRPr="00EC1412" w:rsidRDefault="000A7D9D" w:rsidP="00F31937">
            <w:pPr>
              <w:jc w:val="right"/>
              <w:rPr>
                <w:b/>
                <w:noProof/>
                <w:sz w:val="18"/>
                <w:szCs w:val="18"/>
              </w:rPr>
            </w:pPr>
            <w:r>
              <w:rPr>
                <w:b/>
                <w:noProof/>
                <w:sz w:val="18"/>
                <w:szCs w:val="18"/>
              </w:rPr>
              <w:t>670</w:t>
            </w:r>
          </w:p>
        </w:tc>
        <w:tc>
          <w:tcPr>
            <w:tcW w:w="567" w:type="dxa"/>
            <w:tcBorders>
              <w:left w:val="single" w:sz="4" w:space="0" w:color="auto"/>
              <w:bottom w:val="dotted" w:sz="4" w:space="0" w:color="auto"/>
              <w:right w:val="single" w:sz="4" w:space="0" w:color="auto"/>
            </w:tcBorders>
            <w:shd w:val="clear" w:color="auto" w:fill="FFF4CC"/>
            <w:vAlign w:val="bottom"/>
          </w:tcPr>
          <w:p w14:paraId="0CB913D7" w14:textId="77777777" w:rsidR="000A7D9D" w:rsidRPr="00EC1412" w:rsidRDefault="000A7D9D" w:rsidP="00F31937">
            <w:pPr>
              <w:jc w:val="right"/>
              <w:rPr>
                <w:b/>
                <w:caps/>
                <w:noProof/>
                <w:sz w:val="18"/>
                <w:szCs w:val="18"/>
              </w:rPr>
            </w:pPr>
            <w:r>
              <w:rPr>
                <w:b/>
                <w:caps/>
                <w:noProof/>
                <w:sz w:val="18"/>
                <w:szCs w:val="18"/>
              </w:rPr>
              <w:t>6</w:t>
            </w:r>
            <w:r w:rsidRPr="00EC1412">
              <w:rPr>
                <w:b/>
                <w:caps/>
                <w:noProof/>
                <w:sz w:val="18"/>
                <w:szCs w:val="18"/>
              </w:rPr>
              <w:t>70</w:t>
            </w:r>
          </w:p>
        </w:tc>
        <w:tc>
          <w:tcPr>
            <w:tcW w:w="567" w:type="dxa"/>
            <w:tcBorders>
              <w:left w:val="single" w:sz="4" w:space="0" w:color="auto"/>
              <w:bottom w:val="dotted" w:sz="4" w:space="0" w:color="auto"/>
              <w:right w:val="single" w:sz="4" w:space="0" w:color="auto"/>
            </w:tcBorders>
            <w:shd w:val="clear" w:color="auto" w:fill="FFF4CC"/>
            <w:vAlign w:val="bottom"/>
          </w:tcPr>
          <w:p w14:paraId="333AD4D5" w14:textId="77777777" w:rsidR="000A7D9D" w:rsidRPr="00EC1412" w:rsidRDefault="000A7D9D" w:rsidP="00F31937">
            <w:pPr>
              <w:jc w:val="right"/>
              <w:rPr>
                <w:b/>
                <w:noProof/>
                <w:sz w:val="18"/>
                <w:szCs w:val="18"/>
              </w:rPr>
            </w:pPr>
            <w:r>
              <w:rPr>
                <w:b/>
                <w:noProof/>
                <w:sz w:val="18"/>
                <w:szCs w:val="18"/>
              </w:rPr>
              <w:t>670</w:t>
            </w:r>
          </w:p>
        </w:tc>
        <w:tc>
          <w:tcPr>
            <w:tcW w:w="567" w:type="dxa"/>
            <w:tcBorders>
              <w:left w:val="single" w:sz="4" w:space="0" w:color="auto"/>
              <w:bottom w:val="dotted" w:sz="4" w:space="0" w:color="auto"/>
            </w:tcBorders>
            <w:shd w:val="clear" w:color="auto" w:fill="FFF4CC"/>
            <w:vAlign w:val="bottom"/>
          </w:tcPr>
          <w:p w14:paraId="7303ABEB" w14:textId="77777777" w:rsidR="000A7D9D" w:rsidRPr="00EC1412" w:rsidRDefault="000A7D9D" w:rsidP="00F31937">
            <w:pPr>
              <w:ind w:left="-119"/>
              <w:jc w:val="right"/>
              <w:rPr>
                <w:b/>
                <w:noProof/>
                <w:sz w:val="18"/>
                <w:szCs w:val="18"/>
              </w:rPr>
            </w:pPr>
            <w:r>
              <w:rPr>
                <w:b/>
                <w:noProof/>
                <w:sz w:val="18"/>
                <w:szCs w:val="18"/>
              </w:rPr>
              <w:t>500</w:t>
            </w:r>
          </w:p>
        </w:tc>
      </w:tr>
      <w:tr w:rsidR="000A7D9D" w:rsidRPr="00EC1412" w14:paraId="168EDE7A" w14:textId="77777777" w:rsidTr="00F31937">
        <w:tc>
          <w:tcPr>
            <w:tcW w:w="3964" w:type="dxa"/>
            <w:tcBorders>
              <w:top w:val="dotted" w:sz="4" w:space="0" w:color="auto"/>
              <w:bottom w:val="dotted" w:sz="4" w:space="0" w:color="auto"/>
              <w:right w:val="single" w:sz="4" w:space="0" w:color="auto"/>
            </w:tcBorders>
            <w:shd w:val="clear" w:color="auto" w:fill="FFF4CC"/>
          </w:tcPr>
          <w:p w14:paraId="3A9826AB" w14:textId="77777777" w:rsidR="000A7D9D" w:rsidRPr="00EC1412" w:rsidRDefault="000A7D9D" w:rsidP="00F31937">
            <w:pPr>
              <w:rPr>
                <w:noProof/>
                <w:sz w:val="18"/>
                <w:szCs w:val="18"/>
              </w:rPr>
            </w:pPr>
            <w:r w:rsidRPr="2D69C30E">
              <w:rPr>
                <w:noProof/>
                <w:sz w:val="18"/>
                <w:szCs w:val="18"/>
              </w:rPr>
              <w:t xml:space="preserve">   Common data platform </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7A104A5B"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E0175E6" w14:textId="77777777" w:rsidR="000A7D9D" w:rsidRPr="00EC1412" w:rsidRDefault="000A7D9D" w:rsidP="00F31937">
            <w:pPr>
              <w:jc w:val="right"/>
              <w:rPr>
                <w:caps/>
                <w:noProof/>
                <w:sz w:val="18"/>
                <w:szCs w:val="18"/>
              </w:rPr>
            </w:pPr>
            <w:r>
              <w:rPr>
                <w:caps/>
                <w:noProof/>
                <w:sz w:val="18"/>
                <w:szCs w:val="18"/>
              </w:rPr>
              <w:t>5</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914E7A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20899A3" w14:textId="77777777" w:rsidR="000A7D9D" w:rsidRPr="00EC1412" w:rsidRDefault="000A7D9D" w:rsidP="00F31937">
            <w:pPr>
              <w:jc w:val="right"/>
              <w:rPr>
                <w:caps/>
                <w:noProof/>
                <w:sz w:val="18"/>
                <w:szCs w:val="18"/>
              </w:rPr>
            </w:pPr>
            <w:r>
              <w:rPr>
                <w:caps/>
                <w:noProof/>
                <w:sz w:val="18"/>
                <w:szCs w:val="18"/>
              </w:rPr>
              <w:t>5</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0EFAC847"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5E1F8E6" w14:textId="77777777" w:rsidR="000A7D9D" w:rsidRPr="00EC1412" w:rsidRDefault="000A7D9D" w:rsidP="00F31937">
            <w:pPr>
              <w:jc w:val="right"/>
              <w:rPr>
                <w:caps/>
                <w:noProof/>
                <w:sz w:val="18"/>
                <w:szCs w:val="18"/>
              </w:rPr>
            </w:pPr>
            <w:r>
              <w:rPr>
                <w:caps/>
                <w:noProof/>
                <w:sz w:val="18"/>
                <w:szCs w:val="18"/>
              </w:rPr>
              <w:t>5</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91676B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DD5C258" w14:textId="77777777" w:rsidR="000A7D9D" w:rsidRPr="00EC1412" w:rsidRDefault="000A7D9D" w:rsidP="00F31937">
            <w:pPr>
              <w:jc w:val="right"/>
              <w:rPr>
                <w:caps/>
                <w:noProof/>
                <w:sz w:val="18"/>
                <w:szCs w:val="18"/>
              </w:rPr>
            </w:pPr>
            <w:r>
              <w:rPr>
                <w:caps/>
                <w:noProof/>
                <w:sz w:val="18"/>
                <w:szCs w:val="18"/>
              </w:rPr>
              <w:t>2</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C8D7EB6" w14:textId="77777777" w:rsidR="000A7D9D" w:rsidRPr="00EC1412" w:rsidRDefault="000A7D9D" w:rsidP="00F31937">
            <w:pPr>
              <w:jc w:val="right"/>
              <w:rPr>
                <w:noProof/>
                <w:sz w:val="18"/>
                <w:szCs w:val="18"/>
              </w:rPr>
            </w:pPr>
            <w:r>
              <w:rPr>
                <w:noProof/>
                <w:sz w:val="18"/>
                <w:szCs w:val="18"/>
              </w:rPr>
              <w:t>670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6B42F6AA" w14:textId="77777777" w:rsidR="000A7D9D" w:rsidRPr="00EC1412" w:rsidRDefault="000A7D9D" w:rsidP="00F31937">
            <w:pPr>
              <w:jc w:val="right"/>
              <w:rPr>
                <w:caps/>
                <w:noProof/>
                <w:sz w:val="18"/>
                <w:szCs w:val="18"/>
              </w:rPr>
            </w:pPr>
            <w:r>
              <w:rPr>
                <w:noProof/>
                <w:sz w:val="18"/>
                <w:szCs w:val="18"/>
              </w:rPr>
              <w:t>670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02FDBCD7" w14:textId="77777777" w:rsidR="000A7D9D" w:rsidRPr="00EC1412" w:rsidRDefault="000A7D9D" w:rsidP="00F31937">
            <w:pPr>
              <w:jc w:val="right"/>
              <w:rPr>
                <w:noProof/>
                <w:sz w:val="18"/>
                <w:szCs w:val="18"/>
              </w:rPr>
            </w:pPr>
            <w:r>
              <w:rPr>
                <w:noProof/>
                <w:sz w:val="18"/>
                <w:szCs w:val="18"/>
              </w:rPr>
              <w:t>670</w:t>
            </w:r>
          </w:p>
        </w:tc>
        <w:tc>
          <w:tcPr>
            <w:tcW w:w="567" w:type="dxa"/>
            <w:tcBorders>
              <w:top w:val="dotted" w:sz="4" w:space="0" w:color="auto"/>
              <w:left w:val="single" w:sz="4" w:space="0" w:color="auto"/>
              <w:bottom w:val="dotted" w:sz="4" w:space="0" w:color="auto"/>
            </w:tcBorders>
            <w:shd w:val="clear" w:color="auto" w:fill="FFF4CC"/>
            <w:vAlign w:val="bottom"/>
          </w:tcPr>
          <w:p w14:paraId="5B4238EE" w14:textId="77777777" w:rsidR="000A7D9D" w:rsidRPr="00EC1412" w:rsidRDefault="000A7D9D" w:rsidP="00F31937">
            <w:pPr>
              <w:ind w:left="-119"/>
              <w:jc w:val="right"/>
              <w:rPr>
                <w:noProof/>
                <w:sz w:val="18"/>
                <w:szCs w:val="18"/>
              </w:rPr>
            </w:pPr>
            <w:r>
              <w:rPr>
                <w:noProof/>
                <w:sz w:val="18"/>
                <w:szCs w:val="18"/>
              </w:rPr>
              <w:t>500</w:t>
            </w:r>
          </w:p>
        </w:tc>
      </w:tr>
      <w:tr w:rsidR="000A7D9D" w:rsidRPr="00EC1412" w14:paraId="2BA26546" w14:textId="77777777" w:rsidTr="00F31937">
        <w:tc>
          <w:tcPr>
            <w:tcW w:w="3964" w:type="dxa"/>
            <w:tcBorders>
              <w:top w:val="dotted" w:sz="4" w:space="0" w:color="auto"/>
              <w:bottom w:val="dotted" w:sz="4" w:space="0" w:color="auto"/>
              <w:right w:val="single" w:sz="4" w:space="0" w:color="auto"/>
            </w:tcBorders>
            <w:shd w:val="clear" w:color="auto" w:fill="FFF4CC"/>
          </w:tcPr>
          <w:p w14:paraId="01F9BAE7" w14:textId="77777777" w:rsidR="000A7D9D" w:rsidRPr="00EC1412" w:rsidRDefault="000A7D9D" w:rsidP="00F31937">
            <w:pPr>
              <w:rPr>
                <w:noProof/>
                <w:sz w:val="18"/>
                <w:szCs w:val="18"/>
              </w:rPr>
            </w:pPr>
            <w:r w:rsidRPr="2D69C30E">
              <w:rPr>
                <w:noProof/>
                <w:sz w:val="18"/>
                <w:szCs w:val="18"/>
              </w:rPr>
              <w:t xml:space="preserve">   Information Platform for Chemical Monitoring</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6483D575"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0A0C36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275CF84"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CA6C728"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453318F5"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451372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4ABDF6A9"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4AC9845"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1C5A77F8"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5B923F5"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3AA5570E"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740980E2"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3A1707F8" w14:textId="77777777" w:rsidTr="00F31937">
        <w:tc>
          <w:tcPr>
            <w:tcW w:w="3964" w:type="dxa"/>
            <w:tcBorders>
              <w:top w:val="dotted" w:sz="4" w:space="0" w:color="auto"/>
              <w:bottom w:val="dotted" w:sz="4" w:space="0" w:color="auto"/>
              <w:right w:val="single" w:sz="4" w:space="0" w:color="auto"/>
            </w:tcBorders>
            <w:shd w:val="clear" w:color="auto" w:fill="FFF4CC"/>
          </w:tcPr>
          <w:p w14:paraId="1013FBFC" w14:textId="77777777" w:rsidR="000A7D9D" w:rsidRPr="00EC1412" w:rsidRDefault="000A7D9D" w:rsidP="00F31937">
            <w:pPr>
              <w:spacing w:line="259" w:lineRule="auto"/>
              <w:ind w:left="142"/>
              <w:rPr>
                <w:caps/>
                <w:noProof/>
                <w:sz w:val="18"/>
                <w:szCs w:val="18"/>
              </w:rPr>
            </w:pPr>
            <w:r w:rsidRPr="005B7CEC">
              <w:rPr>
                <w:noProof/>
                <w:sz w:val="18"/>
                <w:szCs w:val="18"/>
              </w:rPr>
              <w:t>Information on regulatory processes</w:t>
            </w:r>
            <w:r w:rsidRPr="2D69C30E">
              <w:rPr>
                <w:noProof/>
                <w:sz w:val="18"/>
                <w:szCs w:val="18"/>
              </w:rPr>
              <w:t xml:space="preserve"> on chemicals</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69B6A5F2"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F0925F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D02EBB2"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418D984"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385D6C3A"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30DCDA6"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3975EAD"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117F8FA"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FB75879"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17CA0901"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3CC8262F"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656DA31A"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13233672" w14:textId="77777777" w:rsidTr="00F31937">
        <w:tc>
          <w:tcPr>
            <w:tcW w:w="3964" w:type="dxa"/>
            <w:tcBorders>
              <w:top w:val="dotted" w:sz="4" w:space="0" w:color="auto"/>
              <w:bottom w:val="dotted" w:sz="4" w:space="0" w:color="auto"/>
              <w:right w:val="single" w:sz="4" w:space="0" w:color="auto"/>
            </w:tcBorders>
            <w:shd w:val="clear" w:color="auto" w:fill="FFF4CC"/>
          </w:tcPr>
          <w:p w14:paraId="209981AC" w14:textId="77777777" w:rsidR="000A7D9D" w:rsidRPr="00EC1412" w:rsidRDefault="000A7D9D" w:rsidP="00F31937">
            <w:pPr>
              <w:rPr>
                <w:noProof/>
                <w:sz w:val="18"/>
                <w:szCs w:val="18"/>
              </w:rPr>
            </w:pPr>
            <w:r w:rsidRPr="2D69C30E">
              <w:rPr>
                <w:noProof/>
                <w:sz w:val="18"/>
                <w:szCs w:val="18"/>
              </w:rPr>
              <w:t xml:space="preserve">   Repository of reference values </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3C106F63"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D8E02E1"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C114A61"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2E5F4082"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173A89D4"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BC6523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424E189F"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9136E84"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983A73B"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1AB33DC8"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6955CFBC"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1C0F5456"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141C6A62" w14:textId="77777777" w:rsidTr="00F31937">
        <w:tc>
          <w:tcPr>
            <w:tcW w:w="3964" w:type="dxa"/>
            <w:tcBorders>
              <w:top w:val="dotted" w:sz="4" w:space="0" w:color="auto"/>
              <w:bottom w:val="dotted" w:sz="4" w:space="0" w:color="auto"/>
              <w:right w:val="single" w:sz="4" w:space="0" w:color="auto"/>
            </w:tcBorders>
            <w:shd w:val="clear" w:color="auto" w:fill="FFF4CC"/>
          </w:tcPr>
          <w:p w14:paraId="48EC66AA" w14:textId="77777777" w:rsidR="000A7D9D" w:rsidRPr="2D69C30E" w:rsidRDefault="000A7D9D" w:rsidP="00F31937">
            <w:pPr>
              <w:ind w:left="142"/>
              <w:rPr>
                <w:noProof/>
                <w:sz w:val="18"/>
                <w:szCs w:val="18"/>
              </w:rPr>
            </w:pPr>
            <w:r>
              <w:rPr>
                <w:noProof/>
                <w:sz w:val="18"/>
                <w:szCs w:val="18"/>
              </w:rPr>
              <w:t>Environmental sustainability related data on chemicals</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302B6AE4"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CB06C39"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7346D71"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15784BB" w14:textId="77777777" w:rsidR="000A7D9D"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758BDD5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1B8140D"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DE5F37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9BAE829" w14:textId="77777777" w:rsidR="000A7D9D"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7269605B"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FA27FBD"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280B5917"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5665A29E" w14:textId="77777777" w:rsidR="000A7D9D" w:rsidRDefault="000A7D9D" w:rsidP="00F31937">
            <w:pPr>
              <w:ind w:left="-119"/>
              <w:jc w:val="right"/>
              <w:rPr>
                <w:noProof/>
                <w:sz w:val="18"/>
                <w:szCs w:val="18"/>
              </w:rPr>
            </w:pPr>
            <w:r>
              <w:rPr>
                <w:noProof/>
                <w:sz w:val="18"/>
                <w:szCs w:val="18"/>
              </w:rPr>
              <w:t>0</w:t>
            </w:r>
          </w:p>
        </w:tc>
      </w:tr>
      <w:tr w:rsidR="000A7D9D" w:rsidRPr="00EC1412" w14:paraId="106D6787" w14:textId="77777777" w:rsidTr="00F31937">
        <w:tc>
          <w:tcPr>
            <w:tcW w:w="3964" w:type="dxa"/>
            <w:tcBorders>
              <w:top w:val="dotted" w:sz="4" w:space="0" w:color="auto"/>
              <w:bottom w:val="dotted" w:sz="4" w:space="0" w:color="auto"/>
              <w:right w:val="single" w:sz="4" w:space="0" w:color="auto"/>
            </w:tcBorders>
            <w:shd w:val="clear" w:color="auto" w:fill="FFF4CC"/>
          </w:tcPr>
          <w:p w14:paraId="2129E30E" w14:textId="77777777" w:rsidR="000A7D9D" w:rsidRPr="00EC1412" w:rsidRDefault="000A7D9D" w:rsidP="00F31937">
            <w:pPr>
              <w:rPr>
                <w:noProof/>
                <w:sz w:val="18"/>
                <w:szCs w:val="18"/>
              </w:rPr>
            </w:pPr>
            <w:r w:rsidRPr="2D69C30E">
              <w:rPr>
                <w:noProof/>
                <w:sz w:val="18"/>
                <w:szCs w:val="18"/>
              </w:rPr>
              <w:t xml:space="preserve">   Data generation mechanism </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5EF8656D"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A580287"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D65DF85"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83CA923"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7A3189EA"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984CCEB"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6B63766"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277830B4"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8F12B67"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671AE93B"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E725BF8"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543F0346"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592331A7" w14:textId="77777777" w:rsidTr="00F31937">
        <w:tc>
          <w:tcPr>
            <w:tcW w:w="3964" w:type="dxa"/>
            <w:tcBorders>
              <w:top w:val="dotted" w:sz="4" w:space="0" w:color="auto"/>
              <w:bottom w:val="dotted" w:sz="4" w:space="0" w:color="auto"/>
              <w:right w:val="single" w:sz="4" w:space="0" w:color="auto"/>
            </w:tcBorders>
            <w:shd w:val="clear" w:color="auto" w:fill="FFF4CC"/>
          </w:tcPr>
          <w:p w14:paraId="50296A60" w14:textId="77777777" w:rsidR="000A7D9D" w:rsidRPr="00EC1412" w:rsidRDefault="000A7D9D" w:rsidP="00F31937">
            <w:pPr>
              <w:rPr>
                <w:noProof/>
                <w:sz w:val="18"/>
                <w:szCs w:val="18"/>
              </w:rPr>
            </w:pPr>
            <w:r w:rsidRPr="2D69C30E">
              <w:rPr>
                <w:noProof/>
                <w:sz w:val="18"/>
                <w:szCs w:val="18"/>
              </w:rPr>
              <w:t xml:space="preserve">   Mechanism for notification of studies </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5FE2D7E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C8118B4"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F9D60D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398314D"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30A84F15"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3EEB91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83E6BE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DBDAB78"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06809CB" w14:textId="77777777" w:rsidR="000A7D9D" w:rsidRPr="00EC1412" w:rsidRDefault="000A7D9D" w:rsidP="00F31937">
            <w:pPr>
              <w:jc w:val="right"/>
              <w:rPr>
                <w:noProof/>
                <w:sz w:val="18"/>
                <w:szCs w:val="18"/>
              </w:rPr>
            </w:pPr>
            <w:r>
              <w:rPr>
                <w:noProof/>
                <w:sz w:val="18"/>
                <w:szCs w:val="18"/>
              </w:rPr>
              <w:t>0</w:t>
            </w:r>
            <w:r w:rsidRPr="00EC1412">
              <w:rPr>
                <w:noProof/>
                <w:sz w:val="18"/>
                <w:szCs w:val="18"/>
              </w:rPr>
              <w:t xml:space="preserve"> </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324C5324"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351E4DDE"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vAlign w:val="bottom"/>
          </w:tcPr>
          <w:p w14:paraId="669E11F1"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5591DDDB" w14:textId="77777777" w:rsidTr="00F31937">
        <w:tc>
          <w:tcPr>
            <w:tcW w:w="3964" w:type="dxa"/>
            <w:tcBorders>
              <w:top w:val="dotted" w:sz="4" w:space="0" w:color="auto"/>
              <w:bottom w:val="single" w:sz="4" w:space="0" w:color="auto"/>
              <w:right w:val="single" w:sz="4" w:space="0" w:color="auto"/>
            </w:tcBorders>
            <w:shd w:val="clear" w:color="auto" w:fill="FFF4CC"/>
          </w:tcPr>
          <w:p w14:paraId="3634AB1C" w14:textId="77777777" w:rsidR="000A7D9D" w:rsidRPr="00EC1412" w:rsidRDefault="000A7D9D" w:rsidP="00F31937">
            <w:pPr>
              <w:ind w:left="142"/>
              <w:rPr>
                <w:noProof/>
                <w:sz w:val="18"/>
                <w:szCs w:val="18"/>
              </w:rPr>
            </w:pPr>
            <w:r w:rsidRPr="2D69C30E">
              <w:rPr>
                <w:noProof/>
                <w:sz w:val="18"/>
                <w:szCs w:val="18"/>
              </w:rPr>
              <w:t>Early warning and action system and framework of indicators for chemicals</w:t>
            </w:r>
          </w:p>
        </w:tc>
        <w:tc>
          <w:tcPr>
            <w:tcW w:w="426" w:type="dxa"/>
            <w:tcBorders>
              <w:top w:val="dotted" w:sz="4" w:space="0" w:color="auto"/>
              <w:left w:val="single" w:sz="4" w:space="0" w:color="auto"/>
              <w:bottom w:val="single" w:sz="4" w:space="0" w:color="auto"/>
              <w:right w:val="dotted" w:sz="4" w:space="0" w:color="auto"/>
            </w:tcBorders>
            <w:shd w:val="clear" w:color="auto" w:fill="FFF4CC"/>
          </w:tcPr>
          <w:p w14:paraId="1D952A0A"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7E7A857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3D5E28A7"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604A5805"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single" w:sz="4" w:space="0" w:color="auto"/>
              <w:bottom w:val="single" w:sz="4" w:space="0" w:color="auto"/>
              <w:right w:val="dotted" w:sz="4" w:space="0" w:color="auto"/>
            </w:tcBorders>
            <w:shd w:val="clear" w:color="auto" w:fill="FFF4CC"/>
          </w:tcPr>
          <w:p w14:paraId="1F1FB15A"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1DE3950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3ED7E988"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7C26D9A6"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7978ADF0"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25B5BB1D"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47D802CE"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tcBorders>
            <w:shd w:val="clear" w:color="auto" w:fill="FFF4CC"/>
          </w:tcPr>
          <w:p w14:paraId="44F06650"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3FEA35B9" w14:textId="77777777" w:rsidTr="00F31937">
        <w:tc>
          <w:tcPr>
            <w:tcW w:w="3964" w:type="dxa"/>
            <w:tcBorders>
              <w:right w:val="single" w:sz="4" w:space="0" w:color="auto"/>
            </w:tcBorders>
            <w:shd w:val="clear" w:color="auto" w:fill="BFBFBF" w:themeFill="background1" w:themeFillShade="BF"/>
          </w:tcPr>
          <w:p w14:paraId="57F90FBF" w14:textId="77777777" w:rsidR="000A7D9D" w:rsidRPr="00EC1412" w:rsidRDefault="000A7D9D" w:rsidP="00F31937">
            <w:pPr>
              <w:jc w:val="both"/>
              <w:rPr>
                <w:b/>
                <w:caps/>
                <w:noProof/>
                <w:sz w:val="18"/>
                <w:szCs w:val="18"/>
              </w:rPr>
            </w:pPr>
            <w:r w:rsidRPr="00EC1412">
              <w:rPr>
                <w:b/>
                <w:caps/>
                <w:noProof/>
                <w:sz w:val="18"/>
                <w:szCs w:val="18"/>
              </w:rPr>
              <w:t>SUm</w:t>
            </w:r>
          </w:p>
        </w:tc>
        <w:tc>
          <w:tcPr>
            <w:tcW w:w="426" w:type="dxa"/>
            <w:tcBorders>
              <w:left w:val="single" w:sz="4" w:space="0" w:color="auto"/>
              <w:right w:val="dotted" w:sz="4" w:space="0" w:color="auto"/>
            </w:tcBorders>
            <w:shd w:val="clear" w:color="auto" w:fill="BFBFBF" w:themeFill="background1" w:themeFillShade="BF"/>
          </w:tcPr>
          <w:p w14:paraId="08DDEF87"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453AB90D" w14:textId="77777777" w:rsidR="000A7D9D" w:rsidRPr="00EC1412" w:rsidRDefault="000A7D9D" w:rsidP="00F31937">
            <w:pPr>
              <w:jc w:val="right"/>
              <w:rPr>
                <w:b/>
                <w:caps/>
                <w:noProof/>
                <w:sz w:val="18"/>
                <w:szCs w:val="18"/>
              </w:rPr>
            </w:pPr>
            <w:r>
              <w:rPr>
                <w:b/>
                <w:caps/>
                <w:noProof/>
                <w:sz w:val="18"/>
                <w:szCs w:val="18"/>
              </w:rPr>
              <w:t>5</w:t>
            </w:r>
          </w:p>
        </w:tc>
        <w:tc>
          <w:tcPr>
            <w:tcW w:w="425" w:type="dxa"/>
            <w:tcBorders>
              <w:left w:val="single" w:sz="4" w:space="0" w:color="auto"/>
              <w:right w:val="dotted" w:sz="4" w:space="0" w:color="auto"/>
            </w:tcBorders>
            <w:shd w:val="clear" w:color="auto" w:fill="BFBFBF" w:themeFill="background1" w:themeFillShade="BF"/>
          </w:tcPr>
          <w:p w14:paraId="78DA0B99"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5FFBF1A7" w14:textId="77777777" w:rsidR="000A7D9D" w:rsidRPr="00EC1412" w:rsidRDefault="000A7D9D" w:rsidP="00F31937">
            <w:pPr>
              <w:jc w:val="right"/>
              <w:rPr>
                <w:b/>
                <w:caps/>
                <w:noProof/>
                <w:sz w:val="18"/>
                <w:szCs w:val="18"/>
              </w:rPr>
            </w:pPr>
            <w:r>
              <w:rPr>
                <w:b/>
                <w:caps/>
                <w:noProof/>
                <w:sz w:val="18"/>
                <w:szCs w:val="18"/>
              </w:rPr>
              <w:t>5</w:t>
            </w:r>
          </w:p>
        </w:tc>
        <w:tc>
          <w:tcPr>
            <w:tcW w:w="426" w:type="dxa"/>
            <w:tcBorders>
              <w:left w:val="single" w:sz="4" w:space="0" w:color="auto"/>
              <w:right w:val="dotted" w:sz="4" w:space="0" w:color="auto"/>
            </w:tcBorders>
            <w:shd w:val="clear" w:color="auto" w:fill="BFBFBF" w:themeFill="background1" w:themeFillShade="BF"/>
          </w:tcPr>
          <w:p w14:paraId="5F728449"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4749BE95" w14:textId="77777777" w:rsidR="000A7D9D" w:rsidRPr="00EC1412" w:rsidRDefault="000A7D9D" w:rsidP="00F31937">
            <w:pPr>
              <w:jc w:val="right"/>
              <w:rPr>
                <w:b/>
                <w:caps/>
                <w:noProof/>
                <w:sz w:val="18"/>
                <w:szCs w:val="18"/>
              </w:rPr>
            </w:pPr>
            <w:r>
              <w:rPr>
                <w:b/>
                <w:caps/>
                <w:noProof/>
                <w:sz w:val="18"/>
                <w:szCs w:val="18"/>
              </w:rPr>
              <w:t>5</w:t>
            </w:r>
          </w:p>
        </w:tc>
        <w:tc>
          <w:tcPr>
            <w:tcW w:w="425" w:type="dxa"/>
            <w:tcBorders>
              <w:left w:val="single" w:sz="4" w:space="0" w:color="auto"/>
              <w:right w:val="dotted" w:sz="4" w:space="0" w:color="auto"/>
            </w:tcBorders>
            <w:shd w:val="clear" w:color="auto" w:fill="BFBFBF" w:themeFill="background1" w:themeFillShade="BF"/>
          </w:tcPr>
          <w:p w14:paraId="732140B4"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5DBC2CC7" w14:textId="77777777" w:rsidR="000A7D9D" w:rsidRPr="00EC1412" w:rsidRDefault="000A7D9D" w:rsidP="00F31937">
            <w:pPr>
              <w:jc w:val="right"/>
              <w:rPr>
                <w:b/>
                <w:caps/>
                <w:noProof/>
                <w:sz w:val="18"/>
                <w:szCs w:val="18"/>
              </w:rPr>
            </w:pPr>
            <w:r>
              <w:rPr>
                <w:b/>
                <w:caps/>
                <w:noProof/>
                <w:sz w:val="18"/>
                <w:szCs w:val="18"/>
              </w:rPr>
              <w:t>2</w:t>
            </w:r>
          </w:p>
        </w:tc>
        <w:tc>
          <w:tcPr>
            <w:tcW w:w="567" w:type="dxa"/>
            <w:tcBorders>
              <w:left w:val="single" w:sz="4" w:space="0" w:color="auto"/>
              <w:right w:val="single" w:sz="4" w:space="0" w:color="auto"/>
            </w:tcBorders>
            <w:shd w:val="clear" w:color="auto" w:fill="BFBFBF" w:themeFill="background1" w:themeFillShade="BF"/>
          </w:tcPr>
          <w:p w14:paraId="170EC402" w14:textId="77777777" w:rsidR="000A7D9D" w:rsidRPr="00EC1412" w:rsidRDefault="000A7D9D" w:rsidP="00F31937">
            <w:pPr>
              <w:jc w:val="right"/>
              <w:rPr>
                <w:b/>
                <w:caps/>
                <w:noProof/>
                <w:sz w:val="18"/>
                <w:szCs w:val="18"/>
              </w:rPr>
            </w:pPr>
            <w:r>
              <w:rPr>
                <w:b/>
                <w:caps/>
                <w:noProof/>
                <w:sz w:val="18"/>
                <w:szCs w:val="18"/>
              </w:rPr>
              <w:t>6</w:t>
            </w:r>
            <w:r w:rsidRPr="00EC1412">
              <w:rPr>
                <w:b/>
                <w:caps/>
                <w:noProof/>
                <w:sz w:val="18"/>
                <w:szCs w:val="18"/>
              </w:rPr>
              <w:t xml:space="preserve">70 </w:t>
            </w:r>
          </w:p>
        </w:tc>
        <w:tc>
          <w:tcPr>
            <w:tcW w:w="567" w:type="dxa"/>
            <w:tcBorders>
              <w:left w:val="single" w:sz="4" w:space="0" w:color="auto"/>
              <w:right w:val="single" w:sz="4" w:space="0" w:color="auto"/>
            </w:tcBorders>
            <w:shd w:val="clear" w:color="auto" w:fill="BFBFBF" w:themeFill="background1" w:themeFillShade="BF"/>
          </w:tcPr>
          <w:p w14:paraId="2C8241EA" w14:textId="77777777" w:rsidR="000A7D9D" w:rsidRPr="00EC1412" w:rsidRDefault="000A7D9D" w:rsidP="00F31937">
            <w:pPr>
              <w:jc w:val="right"/>
              <w:rPr>
                <w:b/>
                <w:caps/>
                <w:noProof/>
                <w:sz w:val="18"/>
                <w:szCs w:val="18"/>
              </w:rPr>
            </w:pPr>
            <w:r>
              <w:rPr>
                <w:b/>
                <w:caps/>
                <w:noProof/>
                <w:sz w:val="18"/>
                <w:szCs w:val="18"/>
              </w:rPr>
              <w:t>670</w:t>
            </w:r>
          </w:p>
        </w:tc>
        <w:tc>
          <w:tcPr>
            <w:tcW w:w="567" w:type="dxa"/>
            <w:tcBorders>
              <w:left w:val="single" w:sz="4" w:space="0" w:color="auto"/>
              <w:right w:val="single" w:sz="4" w:space="0" w:color="auto"/>
            </w:tcBorders>
            <w:shd w:val="clear" w:color="auto" w:fill="BFBFBF" w:themeFill="background1" w:themeFillShade="BF"/>
          </w:tcPr>
          <w:p w14:paraId="1C2788E6" w14:textId="77777777" w:rsidR="000A7D9D" w:rsidRPr="00EC1412" w:rsidRDefault="000A7D9D" w:rsidP="00F31937">
            <w:pPr>
              <w:jc w:val="right"/>
              <w:rPr>
                <w:b/>
                <w:caps/>
                <w:noProof/>
                <w:sz w:val="18"/>
                <w:szCs w:val="18"/>
              </w:rPr>
            </w:pPr>
            <w:r>
              <w:rPr>
                <w:b/>
                <w:caps/>
                <w:noProof/>
                <w:sz w:val="18"/>
                <w:szCs w:val="18"/>
              </w:rPr>
              <w:t>670</w:t>
            </w:r>
          </w:p>
        </w:tc>
        <w:tc>
          <w:tcPr>
            <w:tcW w:w="567" w:type="dxa"/>
            <w:tcBorders>
              <w:left w:val="single" w:sz="4" w:space="0" w:color="auto"/>
            </w:tcBorders>
            <w:shd w:val="clear" w:color="auto" w:fill="BFBFBF" w:themeFill="background1" w:themeFillShade="BF"/>
          </w:tcPr>
          <w:p w14:paraId="33BB9FB2" w14:textId="77777777" w:rsidR="000A7D9D" w:rsidRPr="00EC1412" w:rsidRDefault="000A7D9D" w:rsidP="00F31937">
            <w:pPr>
              <w:ind w:left="-104"/>
              <w:jc w:val="right"/>
              <w:rPr>
                <w:b/>
                <w:caps/>
                <w:noProof/>
                <w:sz w:val="18"/>
                <w:szCs w:val="18"/>
              </w:rPr>
            </w:pPr>
            <w:r>
              <w:rPr>
                <w:b/>
                <w:caps/>
                <w:noProof/>
                <w:sz w:val="18"/>
                <w:szCs w:val="18"/>
              </w:rPr>
              <w:t>500</w:t>
            </w:r>
          </w:p>
        </w:tc>
      </w:tr>
    </w:tbl>
    <w:p w14:paraId="171BCDAE" w14:textId="77777777" w:rsidR="000A7D9D" w:rsidRDefault="000A7D9D" w:rsidP="000A7D9D">
      <w:pPr>
        <w:spacing w:after="120"/>
        <w:jc w:val="both"/>
        <w:rPr>
          <w:rFonts w:ascii="Times New Roman" w:hAnsi="Times New Roman" w:cs="Times New Roman"/>
          <w:noProof/>
        </w:rPr>
      </w:pPr>
    </w:p>
    <w:p w14:paraId="20AE4D07" w14:textId="77777777" w:rsidR="000A7D9D" w:rsidRPr="00EC1412"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w:t>
      </w:r>
      <w:r>
        <w:rPr>
          <w:rFonts w:ascii="Times New Roman" w:hAnsi="Times New Roman" w:cs="Times New Roman"/>
          <w:noProof/>
        </w:rPr>
        <w:t xml:space="preserve">revision </w:t>
      </w:r>
      <w:r w:rsidRPr="00EC1412">
        <w:rPr>
          <w:rFonts w:ascii="Times New Roman" w:hAnsi="Times New Roman" w:cs="Times New Roman"/>
          <w:noProof/>
        </w:rPr>
        <w:t xml:space="preserve">of the CLP regulation proposes to attribute a new task to EFSA. EFSA on the request of the Commission is required to prepare a dossiers for harmonised classification of a substance. As hazard assessment is the core task of the Authority and the requests are unlikely to be too numerous, this work can be absorbed within the existing resources of the Authority. </w:t>
      </w:r>
    </w:p>
    <w:p w14:paraId="59CDBD97" w14:textId="77777777" w:rsidR="000A7D9D" w:rsidRDefault="000A7D9D" w:rsidP="000A7D9D">
      <w:pPr>
        <w:spacing w:after="120"/>
        <w:jc w:val="both"/>
        <w:rPr>
          <w:rFonts w:ascii="Times New Roman" w:hAnsi="Times New Roman" w:cs="Times New Roman"/>
          <w:noProof/>
        </w:rPr>
      </w:pPr>
      <w:r w:rsidRPr="00EC1412">
        <w:rPr>
          <w:rFonts w:ascii="Times New Roman" w:hAnsi="Times New Roman" w:cs="Times New Roman"/>
          <w:noProof/>
        </w:rPr>
        <w:t xml:space="preserve">The proposal for amendment of the </w:t>
      </w:r>
      <w:r>
        <w:rPr>
          <w:rFonts w:ascii="Times New Roman" w:hAnsi="Times New Roman" w:cs="Times New Roman"/>
          <w:noProof/>
        </w:rPr>
        <w:t xml:space="preserve">general food law </w:t>
      </w:r>
      <w:r w:rsidRPr="00EC1412">
        <w:rPr>
          <w:rFonts w:ascii="Times New Roman" w:hAnsi="Times New Roman" w:cs="Times New Roman"/>
          <w:noProof/>
        </w:rPr>
        <w:t xml:space="preserve">via the regulation on (re-)attribution of tasks proposes to better specify the existing tasks of EFSA. EFSA will be required to actively cooperate with other EU Agencies as regards exchange of data and development of methodologies. EFSA will be further required to engage more in preventing or solving a divergent opinion with other EU Agencies. There are no resource implications </w:t>
      </w:r>
      <w:r>
        <w:rPr>
          <w:rFonts w:ascii="Times New Roman" w:hAnsi="Times New Roman" w:cs="Times New Roman"/>
          <w:noProof/>
        </w:rPr>
        <w:t xml:space="preserve">of these amendments. </w:t>
      </w:r>
      <w:r w:rsidRPr="00EC1412">
        <w:rPr>
          <w:rFonts w:ascii="Times New Roman" w:hAnsi="Times New Roman" w:cs="Times New Roman"/>
          <w:noProof/>
        </w:rPr>
        <w:t xml:space="preserve">The provisions formalise the activities performed, they prescribe the procedural steps to follow and they enable the implementation of the legislative proposal on exchange of data. Any possible resource needs stemming from these provisions can be absorbed by the existing resources of </w:t>
      </w:r>
      <w:r>
        <w:rPr>
          <w:rFonts w:ascii="Times New Roman" w:hAnsi="Times New Roman" w:cs="Times New Roman"/>
          <w:noProof/>
        </w:rPr>
        <w:t>EFSA</w:t>
      </w:r>
      <w:r w:rsidRPr="00EC1412">
        <w:rPr>
          <w:rFonts w:ascii="Times New Roman" w:hAnsi="Times New Roman" w:cs="Times New Roman"/>
          <w:noProof/>
        </w:rPr>
        <w:t>.</w:t>
      </w:r>
    </w:p>
    <w:p w14:paraId="44EF1E99"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proposal for a regulation on </w:t>
      </w:r>
      <w:r>
        <w:rPr>
          <w:rFonts w:ascii="Times New Roman" w:hAnsi="Times New Roman" w:cs="Times New Roman"/>
          <w:noProof/>
        </w:rPr>
        <w:t xml:space="preserve">chemicals data </w:t>
      </w:r>
      <w:r w:rsidRPr="2D69C30E">
        <w:rPr>
          <w:rFonts w:ascii="Times New Roman" w:hAnsi="Times New Roman" w:cs="Times New Roman"/>
          <w:noProof/>
        </w:rPr>
        <w:t xml:space="preserve">proposes to formalise existing tasks and to attribute new tasks to EFSA. </w:t>
      </w:r>
    </w:p>
    <w:p w14:paraId="2475BE22" w14:textId="77777777" w:rsidR="000A7D9D" w:rsidRPr="001D47DD" w:rsidRDefault="000A7D9D" w:rsidP="000A7D9D">
      <w:pPr>
        <w:pStyle w:val="ListParagraph"/>
        <w:numPr>
          <w:ilvl w:val="0"/>
          <w:numId w:val="5"/>
        </w:numPr>
        <w:spacing w:after="120" w:line="259" w:lineRule="auto"/>
        <w:jc w:val="both"/>
        <w:rPr>
          <w:noProof/>
          <w:sz w:val="22"/>
          <w:szCs w:val="22"/>
        </w:rPr>
      </w:pPr>
      <w:r w:rsidRPr="001D47DD">
        <w:rPr>
          <w:noProof/>
          <w:sz w:val="22"/>
          <w:szCs w:val="22"/>
        </w:rPr>
        <w:t>EFSA will be required to make data on chemicals it holds available on a continuous basis to the common data platform in appropriate formats. In addition, it will be required to set formats and controlled vocabularies in its area of competence so data can be easily shared, and it will be required to cooperate with ECHA and other agencies in developing and operating the common data platform. For this, EFSA will need 5 FTEs during 3 years to launch the common data platform with all its functionalities and data and then 2 FTEs from the 4</w:t>
      </w:r>
      <w:r w:rsidRPr="001D47DD">
        <w:rPr>
          <w:noProof/>
          <w:sz w:val="22"/>
          <w:szCs w:val="22"/>
          <w:vertAlign w:val="superscript"/>
        </w:rPr>
        <w:t>th</w:t>
      </w:r>
      <w:r w:rsidRPr="001D47DD">
        <w:rPr>
          <w:noProof/>
          <w:sz w:val="22"/>
          <w:szCs w:val="22"/>
        </w:rPr>
        <w:t xml:space="preserve"> year and onwards to ensure adequate input, operation and the further development of the common data platform and its underlying services. </w:t>
      </w:r>
    </w:p>
    <w:p w14:paraId="540BDD11" w14:textId="77777777" w:rsidR="000A7D9D" w:rsidRPr="001D47DD" w:rsidRDefault="000A7D9D" w:rsidP="000A7D9D">
      <w:pPr>
        <w:pStyle w:val="ListParagraph"/>
        <w:numPr>
          <w:ilvl w:val="0"/>
          <w:numId w:val="5"/>
        </w:numPr>
        <w:spacing w:after="120" w:line="259" w:lineRule="auto"/>
        <w:jc w:val="both"/>
        <w:rPr>
          <w:noProof/>
          <w:sz w:val="22"/>
          <w:szCs w:val="22"/>
        </w:rPr>
      </w:pPr>
      <w:r w:rsidRPr="001D47DD">
        <w:rPr>
          <w:noProof/>
          <w:sz w:val="22"/>
          <w:szCs w:val="22"/>
        </w:rPr>
        <w:t xml:space="preserve">EFSA will also be required to contribute to the operation of and provide data to IPCHEM. This is an existing task of EFSA, so no additional resources are needed. </w:t>
      </w:r>
    </w:p>
    <w:p w14:paraId="662CB049" w14:textId="77777777" w:rsidR="000A7D9D" w:rsidRPr="001D47DD" w:rsidRDefault="000A7D9D" w:rsidP="000A7D9D">
      <w:pPr>
        <w:pStyle w:val="ListParagraph"/>
        <w:numPr>
          <w:ilvl w:val="0"/>
          <w:numId w:val="5"/>
        </w:numPr>
        <w:spacing w:after="120" w:line="259" w:lineRule="auto"/>
        <w:jc w:val="both"/>
        <w:rPr>
          <w:noProof/>
          <w:sz w:val="22"/>
          <w:szCs w:val="22"/>
        </w:rPr>
      </w:pPr>
      <w:r w:rsidRPr="001D47DD">
        <w:rPr>
          <w:noProof/>
          <w:sz w:val="22"/>
          <w:szCs w:val="22"/>
        </w:rPr>
        <w:t xml:space="preserve">EFSA will furthermore be required to provide on a continuous basis information on the status of regulatory processes into the database with information on regulatory processes on chemicals.. EFSA already compiles such inform in the OpenEFSA database, which will be fed into the new database. There is no need for additional resources for this work as the compilation of information is ongoing and streamlining the information into the common data platform will be covered by the resources for the common data platform. </w:t>
      </w:r>
    </w:p>
    <w:p w14:paraId="5B73DBED" w14:textId="77777777" w:rsidR="000A7D9D" w:rsidRPr="001D47DD" w:rsidRDefault="000A7D9D" w:rsidP="000A7D9D">
      <w:pPr>
        <w:pStyle w:val="ListParagraph"/>
        <w:numPr>
          <w:ilvl w:val="0"/>
          <w:numId w:val="5"/>
        </w:numPr>
        <w:spacing w:after="120" w:line="259" w:lineRule="auto"/>
        <w:jc w:val="both"/>
        <w:rPr>
          <w:noProof/>
          <w:sz w:val="22"/>
          <w:szCs w:val="22"/>
        </w:rPr>
      </w:pPr>
      <w:r w:rsidRPr="001D47DD">
        <w:rPr>
          <w:noProof/>
          <w:sz w:val="22"/>
          <w:szCs w:val="22"/>
        </w:rPr>
        <w:t xml:space="preserve">EFSA will further be required to provide relevant information to the repository of reference values and contribute to its development. EFSA already compiles reference values in its OpenFoodTox database, which will be fed into the repository of reference values. There is no need for additional resources for this activity as it already exists and streamlining it to the repository of reference values will be covered by the resources for the common data platform. </w:t>
      </w:r>
    </w:p>
    <w:p w14:paraId="06C8F329" w14:textId="77777777" w:rsidR="000A7D9D" w:rsidRPr="001D47DD" w:rsidRDefault="000A7D9D" w:rsidP="000A7D9D">
      <w:pPr>
        <w:pStyle w:val="ListParagraph"/>
        <w:numPr>
          <w:ilvl w:val="0"/>
          <w:numId w:val="5"/>
        </w:numPr>
        <w:spacing w:after="120" w:line="259" w:lineRule="auto"/>
        <w:jc w:val="both"/>
        <w:rPr>
          <w:noProof/>
          <w:sz w:val="22"/>
          <w:szCs w:val="22"/>
        </w:rPr>
      </w:pPr>
      <w:r w:rsidRPr="001D47DD">
        <w:rPr>
          <w:noProof/>
          <w:sz w:val="22"/>
          <w:szCs w:val="22"/>
        </w:rPr>
        <w:t>EFSA will be also required to provide available data into the database on environmental sustainability related data on chemicals. No additional resources are needed for this tasks, as EFSA currently does not hold any relevant data for this database and the potential small contribution to the development of the tools is covered by the resources for the common data platform.</w:t>
      </w:r>
    </w:p>
    <w:p w14:paraId="66251A20" w14:textId="77777777" w:rsidR="000A7D9D" w:rsidRPr="001D47DD" w:rsidRDefault="000A7D9D" w:rsidP="000A7D9D">
      <w:pPr>
        <w:pStyle w:val="ListParagraph"/>
        <w:numPr>
          <w:ilvl w:val="0"/>
          <w:numId w:val="5"/>
        </w:numPr>
        <w:spacing w:after="120" w:line="259" w:lineRule="auto"/>
        <w:jc w:val="both"/>
        <w:rPr>
          <w:noProof/>
          <w:sz w:val="22"/>
          <w:szCs w:val="22"/>
        </w:rPr>
      </w:pPr>
      <w:r w:rsidRPr="001D47DD">
        <w:rPr>
          <w:noProof/>
          <w:sz w:val="22"/>
          <w:szCs w:val="22"/>
        </w:rPr>
        <w:t xml:space="preserve">EFSA will be required to cooperate with ECHA on the commissioning of scientific studies. EFSA already commissions such studies under General Food Law and the additional resource needs for the cooperation with ECHA in doing so should be absorbed by EFSA within the existing allocation of resources. </w:t>
      </w:r>
    </w:p>
    <w:p w14:paraId="38681A3D" w14:textId="77777777" w:rsidR="000A7D9D" w:rsidRPr="001D47DD" w:rsidRDefault="000A7D9D" w:rsidP="000A7D9D">
      <w:pPr>
        <w:pStyle w:val="ListParagraph"/>
        <w:numPr>
          <w:ilvl w:val="0"/>
          <w:numId w:val="5"/>
        </w:numPr>
        <w:spacing w:after="120" w:line="259" w:lineRule="auto"/>
        <w:jc w:val="both"/>
        <w:rPr>
          <w:noProof/>
          <w:sz w:val="22"/>
          <w:szCs w:val="22"/>
        </w:rPr>
      </w:pPr>
      <w:r w:rsidRPr="001D47DD">
        <w:rPr>
          <w:noProof/>
          <w:sz w:val="22"/>
          <w:szCs w:val="22"/>
        </w:rPr>
        <w:t xml:space="preserve">EFSA will be required to provide input to the indicators framework and early warning and action system. There is no need for additional resources for this activity, because EFSA already operates the emerging risk exchange network (EREN) for the food sector and the output of that work will be fed into the early warning and action system on chemicals. </w:t>
      </w:r>
    </w:p>
    <w:p w14:paraId="0CC35D1F" w14:textId="77777777" w:rsidR="000A7D9D" w:rsidRPr="001D47DD" w:rsidRDefault="000A7D9D" w:rsidP="000A7D9D">
      <w:pPr>
        <w:pStyle w:val="ListParagraph"/>
        <w:numPr>
          <w:ilvl w:val="0"/>
          <w:numId w:val="5"/>
        </w:numPr>
        <w:spacing w:after="120" w:line="259" w:lineRule="auto"/>
        <w:jc w:val="both"/>
        <w:rPr>
          <w:noProof/>
          <w:sz w:val="22"/>
          <w:szCs w:val="22"/>
        </w:rPr>
      </w:pPr>
      <w:r w:rsidRPr="001D47DD">
        <w:rPr>
          <w:noProof/>
          <w:sz w:val="22"/>
          <w:szCs w:val="22"/>
        </w:rPr>
        <w:t xml:space="preserve">Finally, EFSA will be required to ensure the compatibility of its system of study notifications established under Article 32b of the General Food Law with the database of study notifications to be set up by ECHA for remaining chemical legislation. The resources for this should be absorbed by the resources available in EFSA for the operation of its system of notification of studies. </w:t>
      </w:r>
    </w:p>
    <w:p w14:paraId="3DD82243" w14:textId="77777777" w:rsidR="000A7D9D" w:rsidRDefault="000A7D9D" w:rsidP="000A7D9D">
      <w:pPr>
        <w:spacing w:before="120" w:after="120"/>
        <w:jc w:val="both"/>
        <w:rPr>
          <w:rFonts w:ascii="Times New Roman" w:hAnsi="Times New Roman" w:cs="Times New Roman"/>
          <w:noProof/>
        </w:rPr>
      </w:pPr>
      <w:r w:rsidRPr="00EC1412">
        <w:rPr>
          <w:rFonts w:ascii="Times New Roman" w:hAnsi="Times New Roman" w:cs="Times New Roman"/>
          <w:i/>
          <w:noProof/>
        </w:rPr>
        <w:t>Impact on</w:t>
      </w:r>
      <w:r>
        <w:rPr>
          <w:rFonts w:ascii="Times New Roman" w:hAnsi="Times New Roman" w:cs="Times New Roman"/>
          <w:i/>
          <w:noProof/>
        </w:rPr>
        <w:t xml:space="preserve"> EFSA</w:t>
      </w:r>
      <w:r w:rsidRPr="00EC1412">
        <w:rPr>
          <w:rFonts w:ascii="Times New Roman" w:hAnsi="Times New Roman" w:cs="Times New Roman"/>
          <w:i/>
          <w:noProof/>
        </w:rPr>
        <w:t xml:space="preserve">’s </w:t>
      </w:r>
      <w:r>
        <w:rPr>
          <w:rFonts w:ascii="Times New Roman" w:hAnsi="Times New Roman" w:cs="Times New Roman"/>
          <w:i/>
          <w:noProof/>
        </w:rPr>
        <w:t>expertise</w:t>
      </w:r>
    </w:p>
    <w:p w14:paraId="27A7406E" w14:textId="77777777" w:rsidR="000A7D9D" w:rsidRPr="00EC1412" w:rsidRDefault="000A7D9D" w:rsidP="000A7D9D">
      <w:pPr>
        <w:spacing w:before="120" w:after="120"/>
        <w:jc w:val="both"/>
        <w:rPr>
          <w:rFonts w:ascii="Times New Roman" w:hAnsi="Times New Roman" w:cs="Times New Roman"/>
          <w:i/>
          <w:iCs/>
          <w:noProof/>
        </w:rPr>
      </w:pPr>
      <w:r w:rsidRPr="2D69C30E">
        <w:rPr>
          <w:rFonts w:ascii="Times New Roman" w:hAnsi="Times New Roman" w:cs="Times New Roman"/>
          <w:noProof/>
        </w:rPr>
        <w:t>As regard expertise, EFSA has the necessary expertise and experience to perform the allocated tasks.</w:t>
      </w:r>
    </w:p>
    <w:p w14:paraId="565F7881"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Impact on EFSA’s committees</w:t>
      </w:r>
    </w:p>
    <w:p w14:paraId="279EBDB6"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No significant impact on EFSA committees. The rapporteurs of EFSA committees that derive reference values might need to record the derived reference values and associated metadata into the repository of reference values or structure this information in the related opinion for automatic processing.</w:t>
      </w:r>
    </w:p>
    <w:p w14:paraId="0FE0C896" w14:textId="77777777" w:rsidR="000A7D9D" w:rsidRPr="00CB3F79" w:rsidRDefault="000A7D9D" w:rsidP="000A7D9D">
      <w:pPr>
        <w:pStyle w:val="Heading2"/>
        <w:keepLines w:val="0"/>
        <w:numPr>
          <w:ilvl w:val="1"/>
          <w:numId w:val="7"/>
        </w:numPr>
        <w:tabs>
          <w:tab w:val="num" w:pos="1200"/>
        </w:tabs>
        <w:spacing w:before="0" w:after="240"/>
        <w:ind w:left="1200" w:hanging="720"/>
        <w:jc w:val="both"/>
        <w:rPr>
          <w:rFonts w:ascii="Times New Roman" w:eastAsia="Times New Roman" w:hAnsi="Times New Roman" w:cs="Times New Roman"/>
          <w:b/>
          <w:noProof/>
          <w:color w:val="auto"/>
          <w:sz w:val="24"/>
          <w:szCs w:val="20"/>
        </w:rPr>
      </w:pPr>
      <w:bookmarkStart w:id="19" w:name="_Toc150499905"/>
      <w:r w:rsidRPr="00CB3F79">
        <w:rPr>
          <w:rFonts w:ascii="Times New Roman" w:eastAsia="Times New Roman" w:hAnsi="Times New Roman" w:cs="Times New Roman"/>
          <w:b/>
          <w:noProof/>
          <w:color w:val="auto"/>
          <w:sz w:val="24"/>
          <w:szCs w:val="20"/>
        </w:rPr>
        <w:t xml:space="preserve">Overall </w:t>
      </w:r>
      <w:r>
        <w:rPr>
          <w:rFonts w:ascii="Times New Roman" w:eastAsia="Times New Roman" w:hAnsi="Times New Roman" w:cs="Times New Roman"/>
          <w:b/>
          <w:noProof/>
          <w:color w:val="auto"/>
          <w:sz w:val="24"/>
          <w:szCs w:val="20"/>
        </w:rPr>
        <w:t>i</w:t>
      </w:r>
      <w:r w:rsidRPr="00CB3F79">
        <w:rPr>
          <w:rFonts w:ascii="Times New Roman" w:eastAsia="Times New Roman" w:hAnsi="Times New Roman" w:cs="Times New Roman"/>
          <w:b/>
          <w:noProof/>
          <w:color w:val="auto"/>
          <w:sz w:val="24"/>
          <w:szCs w:val="20"/>
        </w:rPr>
        <w:t>mpacts on EMA</w:t>
      </w:r>
      <w:bookmarkEnd w:id="19"/>
    </w:p>
    <w:p w14:paraId="3D7BD153" w14:textId="77777777" w:rsidR="000A7D9D" w:rsidRPr="00EC1412" w:rsidRDefault="000A7D9D" w:rsidP="000A7D9D">
      <w:pPr>
        <w:spacing w:before="240" w:after="120" w:line="240" w:lineRule="auto"/>
        <w:rPr>
          <w:rFonts w:ascii="Times New Roman" w:hAnsi="Times New Roman" w:cs="Times New Roman"/>
          <w:i/>
          <w:noProof/>
        </w:rPr>
      </w:pPr>
      <w:r w:rsidRPr="00EC1412">
        <w:rPr>
          <w:rFonts w:ascii="Times New Roman" w:hAnsi="Times New Roman" w:cs="Times New Roman"/>
          <w:i/>
          <w:noProof/>
        </w:rPr>
        <w:t>Impact on EMA’s resources</w:t>
      </w:r>
    </w:p>
    <w:p w14:paraId="521A24C8" w14:textId="3681F8EB" w:rsidR="000A7D9D" w:rsidRPr="00EC1412" w:rsidRDefault="000A7D9D" w:rsidP="000A7D9D">
      <w:pPr>
        <w:spacing w:after="120"/>
        <w:jc w:val="both"/>
        <w:rPr>
          <w:rFonts w:ascii="Times New Roman" w:hAnsi="Times New Roman" w:cs="Times New Roman"/>
          <w:noProof/>
        </w:rPr>
      </w:pPr>
      <w:r w:rsidRPr="00DD6D6A">
        <w:rPr>
          <w:rFonts w:ascii="Times New Roman" w:hAnsi="Times New Roman" w:cs="Times New Roman"/>
          <w:noProof/>
        </w:rPr>
        <w:t xml:space="preserve">The proposals for legislation on medicinal products for human use proposed a significant strengthening of EMA to deal with the new tasks proposed to be entrusted to EMA (see Table 21), with some of the tasks being relevant for the proposals on reattribution of tasks and on chemicals data. </w:t>
      </w:r>
      <w:r>
        <w:rPr>
          <w:rFonts w:ascii="Times New Roman" w:hAnsi="Times New Roman" w:cs="Times New Roman"/>
          <w:noProof/>
        </w:rPr>
        <w:t>However, a</w:t>
      </w:r>
      <w:r w:rsidRPr="41576CD3">
        <w:rPr>
          <w:rFonts w:ascii="Times New Roman" w:hAnsi="Times New Roman" w:cs="Times New Roman"/>
          <w:noProof/>
        </w:rPr>
        <w:t xml:space="preserve">dditional </w:t>
      </w:r>
      <w:r w:rsidRPr="41576CD3">
        <w:rPr>
          <w:rFonts w:ascii="Times New Roman" w:hAnsi="Times New Roman" w:cs="Times New Roman"/>
          <w:b/>
          <w:bCs/>
          <w:noProof/>
        </w:rPr>
        <w:t>2 FTEs</w:t>
      </w:r>
      <w:r w:rsidRPr="41576CD3">
        <w:rPr>
          <w:rFonts w:ascii="Times New Roman" w:hAnsi="Times New Roman" w:cs="Times New Roman"/>
          <w:noProof/>
        </w:rPr>
        <w:t xml:space="preserve"> are necessary in the long term</w:t>
      </w:r>
      <w:r>
        <w:rPr>
          <w:rFonts w:ascii="Times New Roman" w:hAnsi="Times New Roman" w:cs="Times New Roman"/>
          <w:noProof/>
        </w:rPr>
        <w:t xml:space="preserve">, topped up with </w:t>
      </w:r>
      <w:r w:rsidRPr="00AB7764">
        <w:rPr>
          <w:rFonts w:ascii="Times New Roman" w:hAnsi="Times New Roman" w:cs="Times New Roman"/>
          <w:b/>
          <w:noProof/>
        </w:rPr>
        <w:t>1 FTE</w:t>
      </w:r>
      <w:r>
        <w:rPr>
          <w:rFonts w:ascii="Times New Roman" w:hAnsi="Times New Roman" w:cs="Times New Roman"/>
          <w:noProof/>
        </w:rPr>
        <w:t xml:space="preserve"> for short term,</w:t>
      </w:r>
      <w:r w:rsidRPr="41576CD3">
        <w:rPr>
          <w:rFonts w:ascii="Times New Roman" w:hAnsi="Times New Roman" w:cs="Times New Roman"/>
          <w:noProof/>
        </w:rPr>
        <w:t xml:space="preserve"> to deal with the envisaged tasks for EMA</w:t>
      </w:r>
      <w:r>
        <w:rPr>
          <w:rFonts w:ascii="Times New Roman" w:hAnsi="Times New Roman" w:cs="Times New Roman"/>
          <w:noProof/>
        </w:rPr>
        <w:t xml:space="preserve"> </w:t>
      </w:r>
      <w:r w:rsidRPr="00EC1412">
        <w:rPr>
          <w:rFonts w:ascii="Times New Roman" w:hAnsi="Times New Roman" w:cs="Times New Roman"/>
          <w:noProof/>
        </w:rPr>
        <w:t xml:space="preserve">under the proposal for </w:t>
      </w:r>
      <w:r>
        <w:rPr>
          <w:rFonts w:ascii="Times New Roman" w:hAnsi="Times New Roman" w:cs="Times New Roman"/>
          <w:noProof/>
        </w:rPr>
        <w:t>r</w:t>
      </w:r>
      <w:r w:rsidRPr="00EC1412">
        <w:rPr>
          <w:rFonts w:ascii="Times New Roman" w:hAnsi="Times New Roman" w:cs="Times New Roman"/>
          <w:noProof/>
        </w:rPr>
        <w:t xml:space="preserve">egulation on chemicals </w:t>
      </w:r>
      <w:r>
        <w:rPr>
          <w:rFonts w:ascii="Times New Roman" w:hAnsi="Times New Roman" w:cs="Times New Roman"/>
          <w:noProof/>
        </w:rPr>
        <w:t xml:space="preserve"> data (see Table 22)</w:t>
      </w:r>
      <w:r w:rsidRPr="41576CD3">
        <w:rPr>
          <w:rFonts w:ascii="Times New Roman" w:hAnsi="Times New Roman" w:cs="Times New Roman"/>
          <w:noProof/>
        </w:rPr>
        <w:t xml:space="preserve">. </w:t>
      </w:r>
      <w:r>
        <w:rPr>
          <w:rFonts w:ascii="Times New Roman" w:hAnsi="Times New Roman" w:cs="Times New Roman"/>
          <w:noProof/>
        </w:rPr>
        <w:t>In total, t</w:t>
      </w:r>
      <w:r w:rsidRPr="41576CD3">
        <w:rPr>
          <w:rFonts w:ascii="Times New Roman" w:hAnsi="Times New Roman" w:cs="Times New Roman"/>
          <w:noProof/>
        </w:rPr>
        <w:t xml:space="preserve">he first three year there will be a need of </w:t>
      </w:r>
      <w:r w:rsidRPr="41576CD3">
        <w:rPr>
          <w:rFonts w:ascii="Times New Roman" w:hAnsi="Times New Roman" w:cs="Times New Roman"/>
          <w:b/>
          <w:bCs/>
          <w:noProof/>
        </w:rPr>
        <w:t>3 FTEs (3 CA)</w:t>
      </w:r>
      <w:r w:rsidRPr="41576CD3">
        <w:rPr>
          <w:rFonts w:ascii="Times New Roman" w:hAnsi="Times New Roman" w:cs="Times New Roman"/>
          <w:noProof/>
        </w:rPr>
        <w:t xml:space="preserve"> </w:t>
      </w:r>
      <w:r>
        <w:rPr>
          <w:rFonts w:ascii="Times New Roman" w:hAnsi="Times New Roman" w:cs="Times New Roman"/>
          <w:noProof/>
        </w:rPr>
        <w:t xml:space="preserve">per year </w:t>
      </w:r>
      <w:r w:rsidRPr="41576CD3">
        <w:rPr>
          <w:rFonts w:ascii="Times New Roman" w:hAnsi="Times New Roman" w:cs="Times New Roman"/>
          <w:noProof/>
        </w:rPr>
        <w:t xml:space="preserve">and an operational budget of </w:t>
      </w:r>
      <w:r>
        <w:rPr>
          <w:rFonts w:ascii="Times New Roman" w:hAnsi="Times New Roman" w:cs="Times New Roman"/>
          <w:b/>
          <w:bCs/>
          <w:noProof/>
        </w:rPr>
        <w:t xml:space="preserve">EUR </w:t>
      </w:r>
      <w:r w:rsidRPr="41576CD3">
        <w:rPr>
          <w:rFonts w:ascii="Times New Roman" w:hAnsi="Times New Roman" w:cs="Times New Roman"/>
          <w:b/>
          <w:bCs/>
          <w:noProof/>
        </w:rPr>
        <w:t>100</w:t>
      </w:r>
      <w:r>
        <w:rPr>
          <w:rFonts w:ascii="Times New Roman" w:hAnsi="Times New Roman" w:cs="Times New Roman"/>
          <w:b/>
          <w:bCs/>
          <w:noProof/>
        </w:rPr>
        <w:t xml:space="preserve"> 000.</w:t>
      </w:r>
      <w:r w:rsidRPr="41576CD3">
        <w:rPr>
          <w:rFonts w:ascii="Times New Roman" w:hAnsi="Times New Roman" w:cs="Times New Roman"/>
          <w:b/>
          <w:bCs/>
          <w:noProof/>
        </w:rPr>
        <w:t xml:space="preserve"> </w:t>
      </w:r>
      <w:r w:rsidRPr="41576CD3">
        <w:rPr>
          <w:rFonts w:ascii="Times New Roman" w:hAnsi="Times New Roman" w:cs="Times New Roman"/>
          <w:noProof/>
        </w:rPr>
        <w:t xml:space="preserve">In the fourth year and beyond, there will be a need of </w:t>
      </w:r>
      <w:r w:rsidRPr="41576CD3">
        <w:rPr>
          <w:rFonts w:ascii="Times New Roman" w:hAnsi="Times New Roman" w:cs="Times New Roman"/>
          <w:b/>
          <w:bCs/>
          <w:noProof/>
        </w:rPr>
        <w:t>2 FTEs (2 CA)</w:t>
      </w:r>
      <w:r w:rsidRPr="41576CD3">
        <w:rPr>
          <w:rFonts w:ascii="Times New Roman" w:hAnsi="Times New Roman" w:cs="Times New Roman"/>
          <w:noProof/>
        </w:rPr>
        <w:t xml:space="preserve"> per year and </w:t>
      </w:r>
      <w:r w:rsidRPr="00AB7764">
        <w:rPr>
          <w:rFonts w:ascii="Times New Roman" w:hAnsi="Times New Roman" w:cs="Times New Roman"/>
          <w:b/>
          <w:noProof/>
        </w:rPr>
        <w:t>EUR 0</w:t>
      </w:r>
      <w:r>
        <w:rPr>
          <w:rFonts w:ascii="Times New Roman" w:hAnsi="Times New Roman" w:cs="Times New Roman"/>
          <w:b/>
          <w:bCs/>
          <w:noProof/>
        </w:rPr>
        <w:t xml:space="preserve"> </w:t>
      </w:r>
      <w:r w:rsidRPr="41576CD3">
        <w:rPr>
          <w:rFonts w:ascii="Times New Roman" w:hAnsi="Times New Roman" w:cs="Times New Roman"/>
          <w:noProof/>
        </w:rPr>
        <w:t>per year.</w:t>
      </w:r>
    </w:p>
    <w:tbl>
      <w:tblPr>
        <w:tblStyle w:val="TableGrid"/>
        <w:tblW w:w="9634" w:type="dxa"/>
        <w:tblLayout w:type="fixed"/>
        <w:tblLook w:val="04A0" w:firstRow="1" w:lastRow="0" w:firstColumn="1" w:lastColumn="0" w:noHBand="0" w:noVBand="1"/>
      </w:tblPr>
      <w:tblGrid>
        <w:gridCol w:w="3964"/>
        <w:gridCol w:w="426"/>
        <w:gridCol w:w="425"/>
        <w:gridCol w:w="425"/>
        <w:gridCol w:w="425"/>
        <w:gridCol w:w="426"/>
        <w:gridCol w:w="425"/>
        <w:gridCol w:w="425"/>
        <w:gridCol w:w="425"/>
        <w:gridCol w:w="567"/>
        <w:gridCol w:w="567"/>
        <w:gridCol w:w="567"/>
        <w:gridCol w:w="567"/>
      </w:tblGrid>
      <w:tr w:rsidR="000A7D9D" w:rsidRPr="00EC1412" w14:paraId="77AEBCDF" w14:textId="77777777" w:rsidTr="00F31937">
        <w:tc>
          <w:tcPr>
            <w:tcW w:w="9634" w:type="dxa"/>
            <w:gridSpan w:val="13"/>
            <w:tcBorders>
              <w:bottom w:val="single" w:sz="4" w:space="0" w:color="auto"/>
            </w:tcBorders>
            <w:shd w:val="clear" w:color="auto" w:fill="A6A6A6" w:themeFill="background1" w:themeFillShade="A6"/>
          </w:tcPr>
          <w:p w14:paraId="5001FF5F" w14:textId="77777777" w:rsidR="000A7D9D" w:rsidRPr="00EC1412" w:rsidRDefault="000A7D9D" w:rsidP="00F31937">
            <w:pPr>
              <w:spacing w:before="60" w:after="60"/>
              <w:jc w:val="both"/>
              <w:rPr>
                <w:b/>
                <w:bCs/>
                <w:caps/>
                <w:noProof/>
                <w:sz w:val="18"/>
                <w:szCs w:val="18"/>
              </w:rPr>
            </w:pPr>
            <w:r w:rsidRPr="41576CD3">
              <w:rPr>
                <w:b/>
                <w:bCs/>
                <w:noProof/>
                <w:sz w:val="18"/>
                <w:szCs w:val="18"/>
              </w:rPr>
              <w:t>Table 21. Resources already allocated or proposed to EMA per legislative proposal (operational costs in</w:t>
            </w:r>
            <w:r>
              <w:rPr>
                <w:b/>
                <w:bCs/>
                <w:noProof/>
                <w:sz w:val="18"/>
                <w:szCs w:val="18"/>
              </w:rPr>
              <w:t xml:space="preserve"> EUR </w:t>
            </w:r>
            <w:r w:rsidRPr="41576CD3">
              <w:rPr>
                <w:b/>
                <w:bCs/>
                <w:noProof/>
                <w:sz w:val="18"/>
                <w:szCs w:val="18"/>
              </w:rPr>
              <w:t>1</w:t>
            </w:r>
            <w:r>
              <w:rPr>
                <w:b/>
                <w:bCs/>
                <w:noProof/>
                <w:sz w:val="18"/>
                <w:szCs w:val="18"/>
              </w:rPr>
              <w:t xml:space="preserve"> </w:t>
            </w:r>
            <w:r w:rsidRPr="41576CD3">
              <w:rPr>
                <w:b/>
                <w:bCs/>
                <w:noProof/>
                <w:sz w:val="18"/>
                <w:szCs w:val="18"/>
              </w:rPr>
              <w:t>000</w:t>
            </w:r>
            <w:r w:rsidRPr="41576CD3">
              <w:rPr>
                <w:noProof/>
                <w:sz w:val="18"/>
                <w:szCs w:val="18"/>
              </w:rPr>
              <w:t>)</w:t>
            </w:r>
          </w:p>
        </w:tc>
      </w:tr>
      <w:tr w:rsidR="000A7D9D" w:rsidRPr="00EC1412" w14:paraId="109ACB69" w14:textId="77777777" w:rsidTr="00F31937">
        <w:tc>
          <w:tcPr>
            <w:tcW w:w="3964" w:type="dxa"/>
            <w:tcBorders>
              <w:bottom w:val="single" w:sz="4" w:space="0" w:color="auto"/>
            </w:tcBorders>
            <w:shd w:val="clear" w:color="auto" w:fill="BFBFBF" w:themeFill="background1" w:themeFillShade="BF"/>
          </w:tcPr>
          <w:p w14:paraId="05909D4B" w14:textId="77777777" w:rsidR="000A7D9D" w:rsidRPr="00EC1412" w:rsidRDefault="000A7D9D" w:rsidP="00F31937">
            <w:pPr>
              <w:jc w:val="both"/>
              <w:rPr>
                <w:caps/>
                <w:noProof/>
                <w:sz w:val="18"/>
                <w:szCs w:val="18"/>
              </w:rPr>
            </w:pPr>
          </w:p>
        </w:tc>
        <w:tc>
          <w:tcPr>
            <w:tcW w:w="3402" w:type="dxa"/>
            <w:gridSpan w:val="8"/>
            <w:tcBorders>
              <w:bottom w:val="single" w:sz="4" w:space="0" w:color="auto"/>
            </w:tcBorders>
            <w:shd w:val="clear" w:color="auto" w:fill="BFBFBF" w:themeFill="background1" w:themeFillShade="BF"/>
          </w:tcPr>
          <w:p w14:paraId="17EEF77A" w14:textId="77777777" w:rsidR="000A7D9D" w:rsidRPr="00EC1412" w:rsidRDefault="000A7D9D" w:rsidP="00F31937">
            <w:pPr>
              <w:jc w:val="center"/>
              <w:rPr>
                <w:b/>
                <w:caps/>
                <w:noProof/>
                <w:sz w:val="18"/>
                <w:szCs w:val="18"/>
              </w:rPr>
            </w:pPr>
            <w:r w:rsidRPr="00EC1412">
              <w:rPr>
                <w:b/>
                <w:noProof/>
                <w:sz w:val="18"/>
                <w:szCs w:val="18"/>
              </w:rPr>
              <w:t>FTEs</w:t>
            </w:r>
          </w:p>
        </w:tc>
        <w:tc>
          <w:tcPr>
            <w:tcW w:w="2268" w:type="dxa"/>
            <w:gridSpan w:val="4"/>
            <w:tcBorders>
              <w:bottom w:val="single" w:sz="4" w:space="0" w:color="auto"/>
            </w:tcBorders>
            <w:shd w:val="clear" w:color="auto" w:fill="BFBFBF" w:themeFill="background1" w:themeFillShade="BF"/>
          </w:tcPr>
          <w:p w14:paraId="4598C3C2"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7C44D6DE" w14:textId="77777777" w:rsidTr="00F31937">
        <w:tc>
          <w:tcPr>
            <w:tcW w:w="3964" w:type="dxa"/>
            <w:tcBorders>
              <w:bottom w:val="single" w:sz="4" w:space="0" w:color="auto"/>
              <w:right w:val="single" w:sz="4" w:space="0" w:color="auto"/>
            </w:tcBorders>
            <w:shd w:val="clear" w:color="auto" w:fill="BFBFBF" w:themeFill="background1" w:themeFillShade="BF"/>
          </w:tcPr>
          <w:p w14:paraId="1D7A3E22"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75AE60A9" w14:textId="77777777" w:rsidR="000A7D9D" w:rsidRPr="00EC1412" w:rsidRDefault="000A7D9D" w:rsidP="00F31937">
            <w:pPr>
              <w:ind w:left="-112"/>
              <w:jc w:val="right"/>
              <w:rPr>
                <w:b/>
                <w:caps/>
                <w:noProof/>
                <w:sz w:val="18"/>
                <w:szCs w:val="18"/>
              </w:rPr>
            </w:pPr>
            <w:r w:rsidRPr="00EC1412">
              <w:rPr>
                <w:b/>
                <w:caps/>
                <w:noProof/>
                <w:sz w:val="18"/>
                <w:szCs w:val="18"/>
              </w:rPr>
              <w:t>202</w:t>
            </w:r>
            <w:r>
              <w:rPr>
                <w:b/>
                <w:caps/>
                <w:noProof/>
                <w:sz w:val="18"/>
                <w:szCs w:val="18"/>
              </w:rPr>
              <w:t>5</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3DBF2A15" w14:textId="77777777" w:rsidR="000A7D9D" w:rsidRPr="00EC1412" w:rsidRDefault="000A7D9D" w:rsidP="00F31937">
            <w:pPr>
              <w:jc w:val="right"/>
              <w:rPr>
                <w:b/>
                <w:caps/>
                <w:noProof/>
                <w:sz w:val="18"/>
                <w:szCs w:val="18"/>
              </w:rPr>
            </w:pPr>
            <w:r w:rsidRPr="00EC1412">
              <w:rPr>
                <w:b/>
                <w:caps/>
                <w:noProof/>
                <w:sz w:val="18"/>
                <w:szCs w:val="18"/>
              </w:rPr>
              <w:t>202</w:t>
            </w:r>
            <w:r>
              <w:rPr>
                <w:b/>
                <w:caps/>
                <w:noProof/>
                <w:sz w:val="18"/>
                <w:szCs w:val="18"/>
              </w:rPr>
              <w:t>6</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69BE36AD" w14:textId="77777777" w:rsidR="000A7D9D" w:rsidRPr="00EC1412" w:rsidRDefault="000A7D9D" w:rsidP="00F31937">
            <w:pPr>
              <w:ind w:left="-107"/>
              <w:jc w:val="right"/>
              <w:rPr>
                <w:b/>
                <w:caps/>
                <w:noProof/>
                <w:sz w:val="18"/>
                <w:szCs w:val="18"/>
              </w:rPr>
            </w:pPr>
            <w:r w:rsidRPr="00EC1412">
              <w:rPr>
                <w:b/>
                <w:caps/>
                <w:noProof/>
                <w:sz w:val="18"/>
                <w:szCs w:val="18"/>
              </w:rPr>
              <w:t>202</w:t>
            </w:r>
            <w:r>
              <w:rPr>
                <w:b/>
                <w:caps/>
                <w:noProof/>
                <w:sz w:val="18"/>
                <w:szCs w:val="18"/>
              </w:rPr>
              <w:t>7</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41447CE4" w14:textId="77777777" w:rsidR="000A7D9D" w:rsidRPr="00EC1412" w:rsidRDefault="000A7D9D" w:rsidP="00F31937">
            <w:pPr>
              <w:ind w:left="-105"/>
              <w:jc w:val="right"/>
              <w:rPr>
                <w:b/>
                <w:caps/>
                <w:noProof/>
                <w:sz w:val="18"/>
                <w:szCs w:val="18"/>
              </w:rPr>
            </w:pPr>
            <w:r w:rsidRPr="00EC1412">
              <w:rPr>
                <w:b/>
                <w:caps/>
                <w:noProof/>
                <w:sz w:val="18"/>
                <w:szCs w:val="18"/>
              </w:rPr>
              <w:t>202</w:t>
            </w:r>
            <w:r>
              <w:rPr>
                <w:b/>
                <w:caps/>
                <w:noProof/>
                <w:sz w:val="18"/>
                <w:szCs w:val="18"/>
              </w:rPr>
              <w:t>8</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7B77FBD5" w14:textId="77777777" w:rsidR="000A7D9D" w:rsidRPr="00EC1412" w:rsidRDefault="000A7D9D" w:rsidP="00F31937">
            <w:pPr>
              <w:ind w:left="-78"/>
              <w:jc w:val="right"/>
              <w:rPr>
                <w:b/>
                <w:caps/>
                <w:noProof/>
                <w:sz w:val="18"/>
                <w:szCs w:val="18"/>
              </w:rPr>
            </w:pPr>
            <w:r w:rsidRPr="00EC1412">
              <w:rPr>
                <w:b/>
                <w:caps/>
                <w:noProof/>
                <w:sz w:val="18"/>
                <w:szCs w:val="18"/>
              </w:rPr>
              <w:t>202</w:t>
            </w:r>
            <w:r>
              <w:rPr>
                <w:b/>
                <w:caps/>
                <w:noProof/>
                <w:sz w:val="18"/>
                <w:szCs w:val="18"/>
              </w:rPr>
              <w:t>5</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450525BF" w14:textId="77777777" w:rsidR="000A7D9D" w:rsidRPr="00EC1412" w:rsidRDefault="000A7D9D" w:rsidP="00F31937">
            <w:pPr>
              <w:ind w:left="-84"/>
              <w:jc w:val="right"/>
              <w:rPr>
                <w:b/>
                <w:caps/>
                <w:noProof/>
                <w:sz w:val="18"/>
                <w:szCs w:val="18"/>
              </w:rPr>
            </w:pPr>
            <w:r w:rsidRPr="00EC1412">
              <w:rPr>
                <w:b/>
                <w:caps/>
                <w:noProof/>
                <w:sz w:val="18"/>
                <w:szCs w:val="18"/>
              </w:rPr>
              <w:t>202</w:t>
            </w:r>
            <w:r>
              <w:rPr>
                <w:b/>
                <w:caps/>
                <w:noProof/>
                <w:sz w:val="18"/>
                <w:szCs w:val="18"/>
              </w:rPr>
              <w:t>6</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7185E487" w14:textId="77777777" w:rsidR="000A7D9D" w:rsidRPr="00EC1412" w:rsidRDefault="000A7D9D" w:rsidP="00F31937">
            <w:pPr>
              <w:ind w:left="-109"/>
              <w:jc w:val="right"/>
              <w:rPr>
                <w:b/>
                <w:caps/>
                <w:noProof/>
                <w:sz w:val="18"/>
                <w:szCs w:val="18"/>
              </w:rPr>
            </w:pPr>
            <w:r w:rsidRPr="00EC1412">
              <w:rPr>
                <w:b/>
                <w:caps/>
                <w:noProof/>
                <w:sz w:val="18"/>
                <w:szCs w:val="18"/>
              </w:rPr>
              <w:t>202</w:t>
            </w:r>
            <w:r>
              <w:rPr>
                <w:b/>
                <w:caps/>
                <w:noProof/>
                <w:sz w:val="18"/>
                <w:szCs w:val="18"/>
              </w:rPr>
              <w:t>7</w:t>
            </w:r>
          </w:p>
        </w:tc>
        <w:tc>
          <w:tcPr>
            <w:tcW w:w="567" w:type="dxa"/>
            <w:tcBorders>
              <w:left w:val="single" w:sz="4" w:space="0" w:color="auto"/>
              <w:bottom w:val="single" w:sz="4" w:space="0" w:color="auto"/>
            </w:tcBorders>
            <w:shd w:val="clear" w:color="auto" w:fill="BFBFBF" w:themeFill="background1" w:themeFillShade="BF"/>
          </w:tcPr>
          <w:p w14:paraId="389D0E92" w14:textId="77777777" w:rsidR="000A7D9D" w:rsidRPr="00EC1412" w:rsidRDefault="000A7D9D" w:rsidP="00F31937">
            <w:pPr>
              <w:ind w:left="-114"/>
              <w:jc w:val="right"/>
              <w:rPr>
                <w:b/>
                <w:caps/>
                <w:noProof/>
                <w:sz w:val="18"/>
                <w:szCs w:val="18"/>
              </w:rPr>
            </w:pPr>
            <w:r w:rsidRPr="00EC1412">
              <w:rPr>
                <w:b/>
                <w:caps/>
                <w:noProof/>
                <w:sz w:val="18"/>
                <w:szCs w:val="18"/>
              </w:rPr>
              <w:t>202</w:t>
            </w:r>
            <w:r>
              <w:rPr>
                <w:b/>
                <w:caps/>
                <w:noProof/>
                <w:sz w:val="18"/>
                <w:szCs w:val="18"/>
              </w:rPr>
              <w:t>8</w:t>
            </w:r>
          </w:p>
        </w:tc>
      </w:tr>
      <w:tr w:rsidR="000A7D9D" w:rsidRPr="00EC1412" w14:paraId="2EE5E5FB" w14:textId="77777777" w:rsidTr="00F31937">
        <w:tc>
          <w:tcPr>
            <w:tcW w:w="3964" w:type="dxa"/>
            <w:tcBorders>
              <w:bottom w:val="single" w:sz="4" w:space="0" w:color="auto"/>
              <w:right w:val="single" w:sz="4" w:space="0" w:color="auto"/>
            </w:tcBorders>
            <w:shd w:val="clear" w:color="auto" w:fill="BFBFBF" w:themeFill="background1" w:themeFillShade="BF"/>
          </w:tcPr>
          <w:p w14:paraId="77F40F10" w14:textId="77777777" w:rsidR="000A7D9D" w:rsidRPr="00EC1412" w:rsidRDefault="000A7D9D" w:rsidP="00F31937">
            <w:pPr>
              <w:jc w:val="both"/>
              <w:rPr>
                <w:b/>
                <w:noProof/>
                <w:sz w:val="18"/>
                <w:szCs w:val="18"/>
              </w:rPr>
            </w:pP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68F2C1EF" w14:textId="77777777" w:rsidR="000A7D9D" w:rsidRPr="00EC1412" w:rsidRDefault="000A7D9D" w:rsidP="00F31937">
            <w:pPr>
              <w:ind w:left="-112"/>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4406E808" w14:textId="77777777" w:rsidR="000A7D9D" w:rsidRPr="00EC1412" w:rsidRDefault="000A7D9D" w:rsidP="00F31937">
            <w:pPr>
              <w:ind w:left="-112"/>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58005E8F"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2138841E" w14:textId="77777777" w:rsidR="000A7D9D" w:rsidRPr="00EC1412" w:rsidRDefault="000A7D9D" w:rsidP="00F31937">
            <w:pPr>
              <w:ind w:left="-114"/>
              <w:jc w:val="right"/>
              <w:rPr>
                <w:b/>
                <w:caps/>
                <w:noProof/>
                <w:sz w:val="18"/>
                <w:szCs w:val="18"/>
              </w:rPr>
            </w:pPr>
            <w:r>
              <w:rPr>
                <w:b/>
                <w:caps/>
                <w:noProof/>
                <w:sz w:val="18"/>
                <w:szCs w:val="18"/>
              </w:rPr>
              <w:t>CA</w:t>
            </w: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10314985" w14:textId="77777777" w:rsidR="000A7D9D" w:rsidRPr="00EC1412" w:rsidRDefault="000A7D9D" w:rsidP="00F31937">
            <w:pPr>
              <w:ind w:left="-107"/>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4DDE25E4" w14:textId="77777777" w:rsidR="000A7D9D" w:rsidRPr="00EC1412" w:rsidRDefault="000A7D9D" w:rsidP="00F31937">
            <w:pPr>
              <w:ind w:left="-107"/>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5E608CF8"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390CEA93" w14:textId="77777777" w:rsidR="000A7D9D" w:rsidRPr="00EC1412" w:rsidRDefault="000A7D9D" w:rsidP="00F31937">
            <w:pPr>
              <w:ind w:left="-105"/>
              <w:jc w:val="right"/>
              <w:rPr>
                <w:b/>
                <w:caps/>
                <w:noProof/>
                <w:sz w:val="18"/>
                <w:szCs w:val="18"/>
              </w:rPr>
            </w:pPr>
            <w:r>
              <w:rPr>
                <w:b/>
                <w:caps/>
                <w:noProof/>
                <w:sz w:val="18"/>
                <w:szCs w:val="18"/>
              </w:rPr>
              <w:t>CA</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3F8FD322" w14:textId="77777777" w:rsidR="000A7D9D" w:rsidRPr="00EC1412" w:rsidRDefault="000A7D9D" w:rsidP="00F31937">
            <w:pPr>
              <w:ind w:left="-78"/>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0BA38F01" w14:textId="77777777" w:rsidR="000A7D9D" w:rsidRPr="00EC1412" w:rsidRDefault="000A7D9D" w:rsidP="00F31937">
            <w:pPr>
              <w:ind w:left="-84"/>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1CB1D010" w14:textId="77777777" w:rsidR="000A7D9D" w:rsidRPr="00EC1412" w:rsidRDefault="000A7D9D" w:rsidP="00F31937">
            <w:pPr>
              <w:ind w:left="-109"/>
              <w:jc w:val="right"/>
              <w:rPr>
                <w:b/>
                <w:caps/>
                <w:noProof/>
                <w:sz w:val="18"/>
                <w:szCs w:val="18"/>
              </w:rPr>
            </w:pPr>
          </w:p>
        </w:tc>
        <w:tc>
          <w:tcPr>
            <w:tcW w:w="567" w:type="dxa"/>
            <w:tcBorders>
              <w:left w:val="single" w:sz="4" w:space="0" w:color="auto"/>
              <w:bottom w:val="single" w:sz="4" w:space="0" w:color="auto"/>
            </w:tcBorders>
            <w:shd w:val="clear" w:color="auto" w:fill="BFBFBF" w:themeFill="background1" w:themeFillShade="BF"/>
          </w:tcPr>
          <w:p w14:paraId="6C87C037" w14:textId="77777777" w:rsidR="000A7D9D" w:rsidRPr="00EC1412" w:rsidRDefault="000A7D9D" w:rsidP="00F31937">
            <w:pPr>
              <w:ind w:left="-114"/>
              <w:jc w:val="right"/>
              <w:rPr>
                <w:b/>
                <w:caps/>
                <w:noProof/>
                <w:sz w:val="18"/>
                <w:szCs w:val="18"/>
              </w:rPr>
            </w:pPr>
          </w:p>
        </w:tc>
      </w:tr>
      <w:tr w:rsidR="000A7D9D" w:rsidRPr="00EC1412" w14:paraId="3A9CFD13" w14:textId="77777777" w:rsidTr="00F31937">
        <w:tc>
          <w:tcPr>
            <w:tcW w:w="3964" w:type="dxa"/>
            <w:tcBorders>
              <w:bottom w:val="single" w:sz="4" w:space="0" w:color="auto"/>
              <w:right w:val="single" w:sz="4" w:space="0" w:color="auto"/>
            </w:tcBorders>
            <w:shd w:val="clear" w:color="auto" w:fill="FFF4CC"/>
          </w:tcPr>
          <w:p w14:paraId="44B4AC85" w14:textId="77777777" w:rsidR="000A7D9D" w:rsidRPr="00EC1412" w:rsidRDefault="000A7D9D" w:rsidP="00F31937">
            <w:pPr>
              <w:jc w:val="both"/>
              <w:rPr>
                <w:caps/>
                <w:noProof/>
                <w:sz w:val="18"/>
                <w:szCs w:val="18"/>
              </w:rPr>
            </w:pPr>
            <w:r w:rsidRPr="00EC1412">
              <w:rPr>
                <w:noProof/>
                <w:sz w:val="18"/>
                <w:szCs w:val="18"/>
              </w:rPr>
              <w:t xml:space="preserve">Serious cross-border threat regulation </w:t>
            </w:r>
          </w:p>
        </w:tc>
        <w:tc>
          <w:tcPr>
            <w:tcW w:w="426" w:type="dxa"/>
            <w:tcBorders>
              <w:left w:val="single" w:sz="4" w:space="0" w:color="auto"/>
              <w:bottom w:val="single" w:sz="4" w:space="0" w:color="auto"/>
              <w:right w:val="dotted" w:sz="4" w:space="0" w:color="auto"/>
            </w:tcBorders>
            <w:shd w:val="clear" w:color="auto" w:fill="FFF4CC"/>
          </w:tcPr>
          <w:p w14:paraId="624B3817"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7AB3B905"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5BCDFFE2"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08DE5FBD"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FFF4CC"/>
          </w:tcPr>
          <w:p w14:paraId="560B98F2"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15F75A1A"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FFF4CC"/>
          </w:tcPr>
          <w:p w14:paraId="4D485749"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FFF4CC"/>
          </w:tcPr>
          <w:p w14:paraId="6B495C11"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785DDC21"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43D2C3D1"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FFF4CC"/>
          </w:tcPr>
          <w:p w14:paraId="07AEFD13" w14:textId="77777777" w:rsidR="000A7D9D" w:rsidRPr="00EC1412" w:rsidRDefault="000A7D9D" w:rsidP="00F31937">
            <w:pPr>
              <w:jc w:val="right"/>
              <w:rPr>
                <w:caps/>
                <w:noProof/>
                <w:sz w:val="18"/>
                <w:szCs w:val="18"/>
              </w:rPr>
            </w:pPr>
            <w:r>
              <w:rPr>
                <w:noProof/>
                <w:sz w:val="18"/>
                <w:szCs w:val="18"/>
              </w:rPr>
              <w:t>0</w:t>
            </w:r>
          </w:p>
        </w:tc>
        <w:tc>
          <w:tcPr>
            <w:tcW w:w="567" w:type="dxa"/>
            <w:tcBorders>
              <w:left w:val="single" w:sz="4" w:space="0" w:color="auto"/>
              <w:bottom w:val="single" w:sz="4" w:space="0" w:color="auto"/>
            </w:tcBorders>
            <w:shd w:val="clear" w:color="auto" w:fill="FFF4CC"/>
          </w:tcPr>
          <w:p w14:paraId="5F2F74B4" w14:textId="77777777" w:rsidR="000A7D9D" w:rsidRPr="00EC1412" w:rsidRDefault="000A7D9D" w:rsidP="00F31937">
            <w:pPr>
              <w:jc w:val="right"/>
              <w:rPr>
                <w:caps/>
                <w:noProof/>
                <w:sz w:val="18"/>
                <w:szCs w:val="18"/>
              </w:rPr>
            </w:pPr>
            <w:r>
              <w:rPr>
                <w:noProof/>
                <w:sz w:val="18"/>
                <w:szCs w:val="18"/>
              </w:rPr>
              <w:t>0</w:t>
            </w:r>
          </w:p>
        </w:tc>
      </w:tr>
      <w:tr w:rsidR="000A7D9D" w:rsidRPr="00EC1412" w14:paraId="7EFFD665" w14:textId="77777777" w:rsidTr="00F31937">
        <w:tc>
          <w:tcPr>
            <w:tcW w:w="3964" w:type="dxa"/>
            <w:tcBorders>
              <w:bottom w:val="single" w:sz="4" w:space="0" w:color="auto"/>
              <w:right w:val="single" w:sz="4" w:space="0" w:color="auto"/>
            </w:tcBorders>
            <w:shd w:val="clear" w:color="auto" w:fill="C1ECFF"/>
          </w:tcPr>
          <w:p w14:paraId="33A59A05" w14:textId="77777777" w:rsidR="000A7D9D" w:rsidRPr="00EC1412" w:rsidRDefault="000A7D9D" w:rsidP="00F31937">
            <w:pPr>
              <w:jc w:val="both"/>
              <w:rPr>
                <w:noProof/>
                <w:sz w:val="18"/>
                <w:szCs w:val="18"/>
              </w:rPr>
            </w:pPr>
            <w:r>
              <w:rPr>
                <w:noProof/>
                <w:sz w:val="18"/>
                <w:szCs w:val="18"/>
              </w:rPr>
              <w:t>Legislation on m</w:t>
            </w:r>
            <w:r w:rsidRPr="00EC1412">
              <w:rPr>
                <w:noProof/>
                <w:sz w:val="18"/>
                <w:szCs w:val="18"/>
              </w:rPr>
              <w:t xml:space="preserve">edicinal products </w:t>
            </w:r>
            <w:r>
              <w:rPr>
                <w:noProof/>
                <w:sz w:val="18"/>
                <w:szCs w:val="18"/>
              </w:rPr>
              <w:t>for human use</w:t>
            </w:r>
          </w:p>
        </w:tc>
        <w:tc>
          <w:tcPr>
            <w:tcW w:w="426" w:type="dxa"/>
            <w:tcBorders>
              <w:left w:val="single" w:sz="4" w:space="0" w:color="auto"/>
              <w:bottom w:val="single" w:sz="4" w:space="0" w:color="auto"/>
              <w:right w:val="dotted" w:sz="4" w:space="0" w:color="auto"/>
            </w:tcBorders>
            <w:shd w:val="clear" w:color="auto" w:fill="C1ECFF"/>
          </w:tcPr>
          <w:p w14:paraId="73127CAB" w14:textId="77777777" w:rsidR="000A7D9D" w:rsidRPr="00EC1412" w:rsidRDefault="000A7D9D" w:rsidP="00F31937">
            <w:pPr>
              <w:jc w:val="right"/>
              <w:rPr>
                <w:caps/>
                <w:noProof/>
                <w:sz w:val="18"/>
                <w:szCs w:val="18"/>
              </w:rPr>
            </w:pPr>
            <w:r>
              <w:rPr>
                <w:caps/>
                <w:noProof/>
                <w:sz w:val="18"/>
                <w:szCs w:val="18"/>
              </w:rPr>
              <w:t>37</w:t>
            </w:r>
          </w:p>
        </w:tc>
        <w:tc>
          <w:tcPr>
            <w:tcW w:w="425" w:type="dxa"/>
            <w:tcBorders>
              <w:left w:val="dotted" w:sz="4" w:space="0" w:color="auto"/>
              <w:bottom w:val="single" w:sz="4" w:space="0" w:color="auto"/>
              <w:right w:val="single" w:sz="4" w:space="0" w:color="auto"/>
            </w:tcBorders>
            <w:shd w:val="clear" w:color="auto" w:fill="C1ECFF"/>
          </w:tcPr>
          <w:p w14:paraId="27459792"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33D481CC" w14:textId="77777777" w:rsidR="000A7D9D" w:rsidRPr="00EC1412" w:rsidRDefault="000A7D9D" w:rsidP="00F31937">
            <w:pPr>
              <w:jc w:val="right"/>
              <w:rPr>
                <w:caps/>
                <w:noProof/>
                <w:sz w:val="18"/>
                <w:szCs w:val="18"/>
              </w:rPr>
            </w:pPr>
            <w:r>
              <w:rPr>
                <w:caps/>
                <w:noProof/>
                <w:sz w:val="18"/>
                <w:szCs w:val="18"/>
              </w:rPr>
              <w:t>52</w:t>
            </w:r>
          </w:p>
        </w:tc>
        <w:tc>
          <w:tcPr>
            <w:tcW w:w="425" w:type="dxa"/>
            <w:tcBorders>
              <w:left w:val="dotted" w:sz="4" w:space="0" w:color="auto"/>
              <w:bottom w:val="single" w:sz="4" w:space="0" w:color="auto"/>
              <w:right w:val="single" w:sz="4" w:space="0" w:color="auto"/>
            </w:tcBorders>
            <w:shd w:val="clear" w:color="auto" w:fill="C1ECFF"/>
          </w:tcPr>
          <w:p w14:paraId="7A844D11" w14:textId="77777777" w:rsidR="000A7D9D" w:rsidRPr="00EC1412" w:rsidRDefault="000A7D9D" w:rsidP="00F31937">
            <w:pPr>
              <w:jc w:val="right"/>
              <w:rPr>
                <w:caps/>
                <w:noProof/>
                <w:sz w:val="18"/>
                <w:szCs w:val="18"/>
              </w:rPr>
            </w:pPr>
            <w:r>
              <w:rPr>
                <w:caps/>
                <w:noProof/>
                <w:sz w:val="18"/>
                <w:szCs w:val="18"/>
              </w:rPr>
              <w:t>0</w:t>
            </w:r>
          </w:p>
        </w:tc>
        <w:tc>
          <w:tcPr>
            <w:tcW w:w="426" w:type="dxa"/>
            <w:tcBorders>
              <w:left w:val="single" w:sz="4" w:space="0" w:color="auto"/>
              <w:bottom w:val="single" w:sz="4" w:space="0" w:color="auto"/>
              <w:right w:val="dotted" w:sz="4" w:space="0" w:color="auto"/>
            </w:tcBorders>
            <w:shd w:val="clear" w:color="auto" w:fill="C1ECFF"/>
          </w:tcPr>
          <w:p w14:paraId="408D7CD6" w14:textId="77777777" w:rsidR="000A7D9D" w:rsidRPr="00EC1412" w:rsidRDefault="000A7D9D" w:rsidP="00F31937">
            <w:pPr>
              <w:jc w:val="right"/>
              <w:rPr>
                <w:caps/>
                <w:noProof/>
                <w:sz w:val="18"/>
                <w:szCs w:val="18"/>
              </w:rPr>
            </w:pPr>
            <w:r>
              <w:rPr>
                <w:caps/>
                <w:noProof/>
                <w:sz w:val="18"/>
                <w:szCs w:val="18"/>
              </w:rPr>
              <w:t>60</w:t>
            </w:r>
          </w:p>
        </w:tc>
        <w:tc>
          <w:tcPr>
            <w:tcW w:w="425" w:type="dxa"/>
            <w:tcBorders>
              <w:left w:val="dotted" w:sz="4" w:space="0" w:color="auto"/>
              <w:bottom w:val="single" w:sz="4" w:space="0" w:color="auto"/>
              <w:right w:val="single" w:sz="4" w:space="0" w:color="auto"/>
            </w:tcBorders>
            <w:shd w:val="clear" w:color="auto" w:fill="C1ECFF"/>
          </w:tcPr>
          <w:p w14:paraId="0EFAFABB" w14:textId="77777777" w:rsidR="000A7D9D" w:rsidRPr="00EC1412" w:rsidRDefault="000A7D9D" w:rsidP="00F31937">
            <w:pPr>
              <w:jc w:val="right"/>
              <w:rPr>
                <w:caps/>
                <w:noProof/>
                <w:sz w:val="18"/>
                <w:szCs w:val="18"/>
              </w:rPr>
            </w:pPr>
            <w:r>
              <w:rPr>
                <w:caps/>
                <w:noProof/>
                <w:sz w:val="18"/>
                <w:szCs w:val="18"/>
              </w:rPr>
              <w:t>0</w:t>
            </w:r>
          </w:p>
        </w:tc>
        <w:tc>
          <w:tcPr>
            <w:tcW w:w="425" w:type="dxa"/>
            <w:tcBorders>
              <w:left w:val="single" w:sz="4" w:space="0" w:color="auto"/>
              <w:bottom w:val="single" w:sz="4" w:space="0" w:color="auto"/>
              <w:right w:val="dotted" w:sz="4" w:space="0" w:color="auto"/>
            </w:tcBorders>
            <w:shd w:val="clear" w:color="auto" w:fill="C1ECFF"/>
          </w:tcPr>
          <w:p w14:paraId="4D719B5E" w14:textId="77777777" w:rsidR="000A7D9D" w:rsidRPr="00EC1412" w:rsidRDefault="000A7D9D" w:rsidP="00F31937">
            <w:pPr>
              <w:jc w:val="right"/>
              <w:rPr>
                <w:caps/>
                <w:noProof/>
                <w:sz w:val="18"/>
                <w:szCs w:val="18"/>
              </w:rPr>
            </w:pPr>
            <w:r>
              <w:rPr>
                <w:caps/>
                <w:noProof/>
                <w:sz w:val="18"/>
                <w:szCs w:val="18"/>
              </w:rPr>
              <w:t>6</w:t>
            </w:r>
            <w:r w:rsidRPr="00EC1412">
              <w:rPr>
                <w:caps/>
                <w:noProof/>
                <w:sz w:val="18"/>
                <w:szCs w:val="18"/>
              </w:rPr>
              <w:t>0</w:t>
            </w:r>
          </w:p>
        </w:tc>
        <w:tc>
          <w:tcPr>
            <w:tcW w:w="425" w:type="dxa"/>
            <w:tcBorders>
              <w:left w:val="dotted" w:sz="4" w:space="0" w:color="auto"/>
              <w:bottom w:val="single" w:sz="4" w:space="0" w:color="auto"/>
              <w:right w:val="single" w:sz="4" w:space="0" w:color="auto"/>
            </w:tcBorders>
            <w:shd w:val="clear" w:color="auto" w:fill="C1ECFF"/>
          </w:tcPr>
          <w:p w14:paraId="1A625146" w14:textId="77777777" w:rsidR="000A7D9D" w:rsidRPr="00EC1412" w:rsidRDefault="000A7D9D" w:rsidP="00F31937">
            <w:pPr>
              <w:jc w:val="right"/>
              <w:rPr>
                <w:caps/>
                <w:noProof/>
                <w:sz w:val="18"/>
                <w:szCs w:val="18"/>
              </w:rPr>
            </w:pPr>
            <w:r>
              <w:rPr>
                <w:caps/>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48D4A207"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2058B7D8"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right w:val="single" w:sz="4" w:space="0" w:color="auto"/>
            </w:tcBorders>
            <w:shd w:val="clear" w:color="auto" w:fill="C1ECFF"/>
          </w:tcPr>
          <w:p w14:paraId="06919005" w14:textId="77777777" w:rsidR="000A7D9D" w:rsidRPr="00EC1412" w:rsidRDefault="000A7D9D" w:rsidP="00F31937">
            <w:pPr>
              <w:jc w:val="right"/>
              <w:rPr>
                <w:noProof/>
                <w:sz w:val="18"/>
                <w:szCs w:val="18"/>
              </w:rPr>
            </w:pPr>
            <w:r>
              <w:rPr>
                <w:noProof/>
                <w:sz w:val="18"/>
                <w:szCs w:val="18"/>
              </w:rPr>
              <w:t>0</w:t>
            </w:r>
          </w:p>
        </w:tc>
        <w:tc>
          <w:tcPr>
            <w:tcW w:w="567" w:type="dxa"/>
            <w:tcBorders>
              <w:left w:val="single" w:sz="4" w:space="0" w:color="auto"/>
              <w:bottom w:val="single" w:sz="4" w:space="0" w:color="auto"/>
            </w:tcBorders>
            <w:shd w:val="clear" w:color="auto" w:fill="C1ECFF"/>
          </w:tcPr>
          <w:p w14:paraId="194ECC49" w14:textId="77777777" w:rsidR="000A7D9D" w:rsidRPr="00EC1412" w:rsidRDefault="000A7D9D" w:rsidP="00F31937">
            <w:pPr>
              <w:jc w:val="right"/>
              <w:rPr>
                <w:noProof/>
                <w:sz w:val="18"/>
                <w:szCs w:val="18"/>
              </w:rPr>
            </w:pPr>
            <w:r>
              <w:rPr>
                <w:noProof/>
                <w:sz w:val="18"/>
                <w:szCs w:val="18"/>
              </w:rPr>
              <w:t>0</w:t>
            </w:r>
          </w:p>
        </w:tc>
      </w:tr>
      <w:tr w:rsidR="000A7D9D" w:rsidRPr="00EC1412" w14:paraId="02F3E324" w14:textId="77777777" w:rsidTr="00F31937">
        <w:tc>
          <w:tcPr>
            <w:tcW w:w="3964" w:type="dxa"/>
            <w:tcBorders>
              <w:right w:val="single" w:sz="4" w:space="0" w:color="auto"/>
            </w:tcBorders>
            <w:shd w:val="clear" w:color="auto" w:fill="BFBFBF" w:themeFill="background1" w:themeFillShade="BF"/>
          </w:tcPr>
          <w:p w14:paraId="37D0E4A4" w14:textId="77777777" w:rsidR="000A7D9D" w:rsidRPr="00EC1412" w:rsidRDefault="000A7D9D" w:rsidP="00F31937">
            <w:pPr>
              <w:jc w:val="both"/>
              <w:rPr>
                <w:b/>
                <w:caps/>
                <w:noProof/>
                <w:sz w:val="18"/>
                <w:szCs w:val="18"/>
              </w:rPr>
            </w:pPr>
            <w:r w:rsidRPr="00EC1412">
              <w:rPr>
                <w:b/>
                <w:caps/>
                <w:noProof/>
                <w:sz w:val="18"/>
                <w:szCs w:val="18"/>
              </w:rPr>
              <w:t>SUm</w:t>
            </w:r>
          </w:p>
        </w:tc>
        <w:tc>
          <w:tcPr>
            <w:tcW w:w="426" w:type="dxa"/>
            <w:tcBorders>
              <w:left w:val="single" w:sz="4" w:space="0" w:color="auto"/>
              <w:right w:val="dotted" w:sz="4" w:space="0" w:color="auto"/>
            </w:tcBorders>
            <w:shd w:val="clear" w:color="auto" w:fill="BFBFBF" w:themeFill="background1" w:themeFillShade="BF"/>
          </w:tcPr>
          <w:p w14:paraId="63E03C78" w14:textId="77777777" w:rsidR="000A7D9D" w:rsidRPr="00EC1412" w:rsidRDefault="000A7D9D" w:rsidP="00F31937">
            <w:pPr>
              <w:jc w:val="right"/>
              <w:rPr>
                <w:b/>
                <w:caps/>
                <w:noProof/>
                <w:sz w:val="18"/>
                <w:szCs w:val="18"/>
              </w:rPr>
            </w:pPr>
            <w:r>
              <w:rPr>
                <w:b/>
                <w:caps/>
                <w:noProof/>
                <w:sz w:val="18"/>
                <w:szCs w:val="18"/>
              </w:rPr>
              <w:t>37</w:t>
            </w:r>
            <w:r w:rsidRPr="00EC1412">
              <w:rPr>
                <w:b/>
                <w:caps/>
                <w:noProof/>
                <w:sz w:val="18"/>
                <w:szCs w:val="18"/>
              </w:rPr>
              <w:t xml:space="preserve"> </w:t>
            </w:r>
          </w:p>
        </w:tc>
        <w:tc>
          <w:tcPr>
            <w:tcW w:w="425" w:type="dxa"/>
            <w:tcBorders>
              <w:left w:val="dotted" w:sz="4" w:space="0" w:color="auto"/>
              <w:right w:val="single" w:sz="4" w:space="0" w:color="auto"/>
            </w:tcBorders>
            <w:shd w:val="clear" w:color="auto" w:fill="BFBFBF" w:themeFill="background1" w:themeFillShade="BF"/>
          </w:tcPr>
          <w:p w14:paraId="2C7CC014"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single" w:sz="4" w:space="0" w:color="auto"/>
              <w:right w:val="dotted" w:sz="4" w:space="0" w:color="auto"/>
            </w:tcBorders>
            <w:shd w:val="clear" w:color="auto" w:fill="BFBFBF" w:themeFill="background1" w:themeFillShade="BF"/>
          </w:tcPr>
          <w:p w14:paraId="48E19C1A" w14:textId="77777777" w:rsidR="000A7D9D" w:rsidRPr="00EC1412" w:rsidRDefault="000A7D9D" w:rsidP="00F31937">
            <w:pPr>
              <w:jc w:val="right"/>
              <w:rPr>
                <w:b/>
                <w:caps/>
                <w:noProof/>
                <w:sz w:val="18"/>
                <w:szCs w:val="18"/>
              </w:rPr>
            </w:pPr>
            <w:r>
              <w:rPr>
                <w:b/>
                <w:caps/>
                <w:noProof/>
                <w:sz w:val="18"/>
                <w:szCs w:val="18"/>
              </w:rPr>
              <w:t>52</w:t>
            </w:r>
          </w:p>
        </w:tc>
        <w:tc>
          <w:tcPr>
            <w:tcW w:w="425" w:type="dxa"/>
            <w:tcBorders>
              <w:left w:val="dotted" w:sz="4" w:space="0" w:color="auto"/>
              <w:right w:val="single" w:sz="4" w:space="0" w:color="auto"/>
            </w:tcBorders>
            <w:shd w:val="clear" w:color="auto" w:fill="BFBFBF" w:themeFill="background1" w:themeFillShade="BF"/>
          </w:tcPr>
          <w:p w14:paraId="122E6D4F" w14:textId="77777777" w:rsidR="000A7D9D" w:rsidRPr="00EC1412" w:rsidRDefault="000A7D9D" w:rsidP="00F31937">
            <w:pPr>
              <w:jc w:val="right"/>
              <w:rPr>
                <w:b/>
                <w:caps/>
                <w:noProof/>
                <w:sz w:val="18"/>
                <w:szCs w:val="18"/>
              </w:rPr>
            </w:pPr>
            <w:r>
              <w:rPr>
                <w:b/>
                <w:caps/>
                <w:noProof/>
                <w:sz w:val="18"/>
                <w:szCs w:val="18"/>
              </w:rPr>
              <w:t>0</w:t>
            </w:r>
          </w:p>
        </w:tc>
        <w:tc>
          <w:tcPr>
            <w:tcW w:w="426" w:type="dxa"/>
            <w:tcBorders>
              <w:left w:val="single" w:sz="4" w:space="0" w:color="auto"/>
              <w:right w:val="dotted" w:sz="4" w:space="0" w:color="auto"/>
            </w:tcBorders>
            <w:shd w:val="clear" w:color="auto" w:fill="BFBFBF" w:themeFill="background1" w:themeFillShade="BF"/>
          </w:tcPr>
          <w:p w14:paraId="1A243DB4" w14:textId="77777777" w:rsidR="000A7D9D" w:rsidRPr="00EC1412" w:rsidRDefault="000A7D9D" w:rsidP="00F31937">
            <w:pPr>
              <w:jc w:val="right"/>
              <w:rPr>
                <w:b/>
                <w:caps/>
                <w:noProof/>
                <w:sz w:val="18"/>
                <w:szCs w:val="18"/>
              </w:rPr>
            </w:pPr>
            <w:r>
              <w:rPr>
                <w:b/>
                <w:caps/>
                <w:noProof/>
                <w:sz w:val="18"/>
                <w:szCs w:val="18"/>
              </w:rPr>
              <w:t>6</w:t>
            </w:r>
            <w:r w:rsidRPr="00EC1412">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7B5FD93C"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single" w:sz="4" w:space="0" w:color="auto"/>
              <w:right w:val="dotted" w:sz="4" w:space="0" w:color="auto"/>
            </w:tcBorders>
            <w:shd w:val="clear" w:color="auto" w:fill="BFBFBF" w:themeFill="background1" w:themeFillShade="BF"/>
          </w:tcPr>
          <w:p w14:paraId="271DD181" w14:textId="77777777" w:rsidR="000A7D9D" w:rsidRPr="00EC1412" w:rsidRDefault="000A7D9D" w:rsidP="00F31937">
            <w:pPr>
              <w:jc w:val="right"/>
              <w:rPr>
                <w:b/>
                <w:caps/>
                <w:noProof/>
                <w:sz w:val="18"/>
                <w:szCs w:val="18"/>
              </w:rPr>
            </w:pPr>
            <w:r>
              <w:rPr>
                <w:b/>
                <w:caps/>
                <w:noProof/>
                <w:sz w:val="18"/>
                <w:szCs w:val="18"/>
              </w:rPr>
              <w:t>6</w:t>
            </w:r>
            <w:r w:rsidRPr="00EC1412">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3DFAFB55"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6088D1EE"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7BEA806F"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6E4E0E85"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tcBorders>
            <w:shd w:val="clear" w:color="auto" w:fill="BFBFBF" w:themeFill="background1" w:themeFillShade="BF"/>
          </w:tcPr>
          <w:p w14:paraId="438FE93F" w14:textId="77777777" w:rsidR="000A7D9D" w:rsidRPr="00EC1412" w:rsidRDefault="000A7D9D" w:rsidP="00F31937">
            <w:pPr>
              <w:ind w:left="-104"/>
              <w:jc w:val="right"/>
              <w:rPr>
                <w:b/>
                <w:caps/>
                <w:noProof/>
                <w:sz w:val="18"/>
                <w:szCs w:val="18"/>
              </w:rPr>
            </w:pPr>
            <w:r>
              <w:rPr>
                <w:b/>
                <w:caps/>
                <w:noProof/>
                <w:sz w:val="18"/>
                <w:szCs w:val="18"/>
              </w:rPr>
              <w:t>0</w:t>
            </w:r>
          </w:p>
        </w:tc>
      </w:tr>
    </w:tbl>
    <w:p w14:paraId="615D99F8" w14:textId="77777777" w:rsidR="000A7D9D" w:rsidRPr="00EC1412" w:rsidRDefault="000A7D9D" w:rsidP="000A7D9D">
      <w:pPr>
        <w:spacing w:after="120"/>
        <w:jc w:val="both"/>
        <w:rPr>
          <w:rFonts w:ascii="Times New Roman" w:hAnsi="Times New Roman" w:cs="Times New Roman"/>
          <w:noProof/>
        </w:rPr>
      </w:pPr>
    </w:p>
    <w:tbl>
      <w:tblPr>
        <w:tblStyle w:val="TableGrid"/>
        <w:tblW w:w="9634" w:type="dxa"/>
        <w:tblLayout w:type="fixed"/>
        <w:tblLook w:val="04A0" w:firstRow="1" w:lastRow="0" w:firstColumn="1" w:lastColumn="0" w:noHBand="0" w:noVBand="1"/>
      </w:tblPr>
      <w:tblGrid>
        <w:gridCol w:w="3964"/>
        <w:gridCol w:w="426"/>
        <w:gridCol w:w="425"/>
        <w:gridCol w:w="425"/>
        <w:gridCol w:w="425"/>
        <w:gridCol w:w="425"/>
        <w:gridCol w:w="426"/>
        <w:gridCol w:w="425"/>
        <w:gridCol w:w="425"/>
        <w:gridCol w:w="567"/>
        <w:gridCol w:w="567"/>
        <w:gridCol w:w="567"/>
        <w:gridCol w:w="567"/>
      </w:tblGrid>
      <w:tr w:rsidR="000A7D9D" w:rsidRPr="00EC1412" w14:paraId="1C73AF2C" w14:textId="77777777" w:rsidTr="00F31937">
        <w:tc>
          <w:tcPr>
            <w:tcW w:w="9634" w:type="dxa"/>
            <w:gridSpan w:val="13"/>
            <w:tcBorders>
              <w:bottom w:val="single" w:sz="4" w:space="0" w:color="auto"/>
            </w:tcBorders>
            <w:shd w:val="clear" w:color="auto" w:fill="A6A6A6" w:themeFill="background1" w:themeFillShade="A6"/>
          </w:tcPr>
          <w:p w14:paraId="5EE89A48" w14:textId="77777777" w:rsidR="000A7D9D" w:rsidRPr="00EC1412" w:rsidRDefault="000A7D9D" w:rsidP="00F31937">
            <w:pPr>
              <w:spacing w:before="60" w:after="60"/>
              <w:jc w:val="both"/>
              <w:rPr>
                <w:b/>
                <w:caps/>
                <w:noProof/>
                <w:sz w:val="18"/>
                <w:szCs w:val="18"/>
              </w:rPr>
            </w:pPr>
            <w:r w:rsidRPr="00EC1412">
              <w:rPr>
                <w:b/>
                <w:noProof/>
                <w:sz w:val="18"/>
                <w:szCs w:val="18"/>
              </w:rPr>
              <w:t xml:space="preserve">Table 22. EMA pending resource needs per legislative proposal (operational costs in </w:t>
            </w:r>
            <w:r>
              <w:rPr>
                <w:b/>
                <w:noProof/>
                <w:sz w:val="18"/>
                <w:szCs w:val="18"/>
              </w:rPr>
              <w:t xml:space="preserve">EUR </w:t>
            </w:r>
            <w:r w:rsidRPr="00EC1412">
              <w:rPr>
                <w:b/>
                <w:noProof/>
                <w:sz w:val="18"/>
                <w:szCs w:val="18"/>
              </w:rPr>
              <w:t>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368608DD" w14:textId="77777777" w:rsidTr="00F31937">
        <w:tc>
          <w:tcPr>
            <w:tcW w:w="3964" w:type="dxa"/>
            <w:tcBorders>
              <w:bottom w:val="single" w:sz="4" w:space="0" w:color="auto"/>
            </w:tcBorders>
            <w:shd w:val="clear" w:color="auto" w:fill="BFBFBF" w:themeFill="background1" w:themeFillShade="BF"/>
          </w:tcPr>
          <w:p w14:paraId="1D13FDDC" w14:textId="77777777" w:rsidR="000A7D9D" w:rsidRPr="00EC1412" w:rsidRDefault="000A7D9D" w:rsidP="00F31937">
            <w:pPr>
              <w:jc w:val="both"/>
              <w:rPr>
                <w:caps/>
                <w:noProof/>
                <w:sz w:val="18"/>
                <w:szCs w:val="18"/>
              </w:rPr>
            </w:pPr>
          </w:p>
        </w:tc>
        <w:tc>
          <w:tcPr>
            <w:tcW w:w="3402" w:type="dxa"/>
            <w:gridSpan w:val="8"/>
            <w:tcBorders>
              <w:bottom w:val="single" w:sz="4" w:space="0" w:color="auto"/>
            </w:tcBorders>
            <w:shd w:val="clear" w:color="auto" w:fill="BFBFBF" w:themeFill="background1" w:themeFillShade="BF"/>
          </w:tcPr>
          <w:p w14:paraId="22FE905B" w14:textId="77777777" w:rsidR="000A7D9D" w:rsidRPr="00EC1412" w:rsidRDefault="000A7D9D" w:rsidP="00F31937">
            <w:pPr>
              <w:jc w:val="center"/>
              <w:rPr>
                <w:b/>
                <w:caps/>
                <w:noProof/>
                <w:sz w:val="18"/>
                <w:szCs w:val="18"/>
              </w:rPr>
            </w:pPr>
            <w:r w:rsidRPr="00EC1412">
              <w:rPr>
                <w:b/>
                <w:noProof/>
                <w:sz w:val="18"/>
                <w:szCs w:val="18"/>
              </w:rPr>
              <w:t>FTEs</w:t>
            </w:r>
          </w:p>
        </w:tc>
        <w:tc>
          <w:tcPr>
            <w:tcW w:w="2268" w:type="dxa"/>
            <w:gridSpan w:val="4"/>
            <w:tcBorders>
              <w:bottom w:val="single" w:sz="4" w:space="0" w:color="auto"/>
            </w:tcBorders>
            <w:shd w:val="clear" w:color="auto" w:fill="BFBFBF" w:themeFill="background1" w:themeFillShade="BF"/>
          </w:tcPr>
          <w:p w14:paraId="1AF4A5B6"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29D391DE" w14:textId="77777777" w:rsidTr="00F31937">
        <w:tc>
          <w:tcPr>
            <w:tcW w:w="3964" w:type="dxa"/>
            <w:tcBorders>
              <w:bottom w:val="single" w:sz="4" w:space="0" w:color="auto"/>
              <w:right w:val="single" w:sz="4" w:space="0" w:color="auto"/>
            </w:tcBorders>
            <w:shd w:val="clear" w:color="auto" w:fill="BFBFBF" w:themeFill="background1" w:themeFillShade="BF"/>
          </w:tcPr>
          <w:p w14:paraId="4F0EE6A4"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09B3120D" w14:textId="77777777" w:rsidR="000A7D9D" w:rsidRPr="00EC1412" w:rsidRDefault="000A7D9D" w:rsidP="00F31937">
            <w:pPr>
              <w:ind w:left="-112"/>
              <w:jc w:val="center"/>
              <w:rPr>
                <w:b/>
                <w:caps/>
                <w:noProof/>
                <w:sz w:val="18"/>
                <w:szCs w:val="18"/>
              </w:rPr>
            </w:pPr>
            <w:r w:rsidRPr="00EC1412">
              <w:rPr>
                <w:b/>
                <w:caps/>
                <w:noProof/>
                <w:sz w:val="18"/>
                <w:szCs w:val="18"/>
              </w:rPr>
              <w:t>202</w:t>
            </w:r>
            <w:r>
              <w:rPr>
                <w:b/>
                <w:caps/>
                <w:noProof/>
                <w:sz w:val="18"/>
                <w:szCs w:val="18"/>
              </w:rPr>
              <w:t>5</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35C8227D"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6</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59DFDDDD" w14:textId="77777777" w:rsidR="000A7D9D" w:rsidRPr="00EC1412" w:rsidRDefault="000A7D9D" w:rsidP="00F31937">
            <w:pPr>
              <w:ind w:left="-107"/>
              <w:jc w:val="center"/>
              <w:rPr>
                <w:b/>
                <w:caps/>
                <w:noProof/>
                <w:sz w:val="18"/>
                <w:szCs w:val="18"/>
              </w:rPr>
            </w:pPr>
            <w:r w:rsidRPr="00EC1412">
              <w:rPr>
                <w:b/>
                <w:caps/>
                <w:noProof/>
                <w:sz w:val="18"/>
                <w:szCs w:val="18"/>
              </w:rPr>
              <w:t>202</w:t>
            </w:r>
            <w:r>
              <w:rPr>
                <w:b/>
                <w:caps/>
                <w:noProof/>
                <w:sz w:val="18"/>
                <w:szCs w:val="18"/>
              </w:rPr>
              <w:t>7</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7C4F59EC" w14:textId="77777777" w:rsidR="000A7D9D" w:rsidRPr="00EC1412" w:rsidRDefault="000A7D9D" w:rsidP="00F31937">
            <w:pPr>
              <w:ind w:left="-105"/>
              <w:jc w:val="center"/>
              <w:rPr>
                <w:b/>
                <w:caps/>
                <w:noProof/>
                <w:sz w:val="18"/>
                <w:szCs w:val="18"/>
              </w:rPr>
            </w:pPr>
            <w:r w:rsidRPr="00EC1412">
              <w:rPr>
                <w:b/>
                <w:caps/>
                <w:noProof/>
                <w:sz w:val="18"/>
                <w:szCs w:val="18"/>
              </w:rPr>
              <w:t>202</w:t>
            </w:r>
            <w:r>
              <w:rPr>
                <w:b/>
                <w:caps/>
                <w:noProof/>
                <w:sz w:val="18"/>
                <w:szCs w:val="18"/>
              </w:rPr>
              <w:t>8</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0B39AF7E" w14:textId="77777777" w:rsidR="000A7D9D" w:rsidRPr="00EC1412" w:rsidRDefault="000A7D9D" w:rsidP="00F31937">
            <w:pPr>
              <w:ind w:left="-78"/>
              <w:jc w:val="right"/>
              <w:rPr>
                <w:b/>
                <w:caps/>
                <w:noProof/>
                <w:sz w:val="18"/>
                <w:szCs w:val="18"/>
              </w:rPr>
            </w:pPr>
            <w:r w:rsidRPr="00EC1412">
              <w:rPr>
                <w:b/>
                <w:caps/>
                <w:noProof/>
                <w:sz w:val="18"/>
                <w:szCs w:val="18"/>
              </w:rPr>
              <w:t>202</w:t>
            </w:r>
            <w:r>
              <w:rPr>
                <w:b/>
                <w:caps/>
                <w:noProof/>
                <w:sz w:val="18"/>
                <w:szCs w:val="18"/>
              </w:rPr>
              <w:t>5</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3F0E38E2" w14:textId="77777777" w:rsidR="000A7D9D" w:rsidRPr="00EC1412" w:rsidRDefault="000A7D9D" w:rsidP="00F31937">
            <w:pPr>
              <w:ind w:left="-84"/>
              <w:jc w:val="right"/>
              <w:rPr>
                <w:b/>
                <w:caps/>
                <w:noProof/>
                <w:sz w:val="18"/>
                <w:szCs w:val="18"/>
              </w:rPr>
            </w:pPr>
            <w:r w:rsidRPr="00EC1412">
              <w:rPr>
                <w:b/>
                <w:caps/>
                <w:noProof/>
                <w:sz w:val="18"/>
                <w:szCs w:val="18"/>
              </w:rPr>
              <w:t>202</w:t>
            </w:r>
            <w:r>
              <w:rPr>
                <w:b/>
                <w:caps/>
                <w:noProof/>
                <w:sz w:val="18"/>
                <w:szCs w:val="18"/>
              </w:rPr>
              <w:t>6</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1FA91437" w14:textId="77777777" w:rsidR="000A7D9D" w:rsidRPr="00EC1412" w:rsidRDefault="000A7D9D" w:rsidP="00F31937">
            <w:pPr>
              <w:ind w:left="-76"/>
              <w:jc w:val="right"/>
              <w:rPr>
                <w:b/>
                <w:caps/>
                <w:noProof/>
                <w:sz w:val="18"/>
                <w:szCs w:val="18"/>
              </w:rPr>
            </w:pPr>
            <w:r w:rsidRPr="00EC1412">
              <w:rPr>
                <w:b/>
                <w:caps/>
                <w:noProof/>
                <w:sz w:val="18"/>
                <w:szCs w:val="18"/>
              </w:rPr>
              <w:t>202</w:t>
            </w:r>
            <w:r>
              <w:rPr>
                <w:b/>
                <w:caps/>
                <w:noProof/>
                <w:sz w:val="18"/>
                <w:szCs w:val="18"/>
              </w:rPr>
              <w:t>7</w:t>
            </w:r>
          </w:p>
        </w:tc>
        <w:tc>
          <w:tcPr>
            <w:tcW w:w="567" w:type="dxa"/>
            <w:tcBorders>
              <w:left w:val="single" w:sz="4" w:space="0" w:color="auto"/>
              <w:bottom w:val="single" w:sz="4" w:space="0" w:color="auto"/>
            </w:tcBorders>
            <w:shd w:val="clear" w:color="auto" w:fill="BFBFBF" w:themeFill="background1" w:themeFillShade="BF"/>
          </w:tcPr>
          <w:p w14:paraId="34793ADA" w14:textId="77777777" w:rsidR="000A7D9D" w:rsidRPr="00EC1412" w:rsidRDefault="000A7D9D" w:rsidP="00F31937">
            <w:pPr>
              <w:ind w:left="-114"/>
              <w:jc w:val="right"/>
              <w:rPr>
                <w:b/>
                <w:caps/>
                <w:noProof/>
                <w:sz w:val="18"/>
                <w:szCs w:val="18"/>
              </w:rPr>
            </w:pPr>
            <w:r w:rsidRPr="00EC1412">
              <w:rPr>
                <w:b/>
                <w:caps/>
                <w:noProof/>
                <w:sz w:val="18"/>
                <w:szCs w:val="18"/>
              </w:rPr>
              <w:t>202</w:t>
            </w:r>
            <w:r>
              <w:rPr>
                <w:b/>
                <w:caps/>
                <w:noProof/>
                <w:sz w:val="18"/>
                <w:szCs w:val="18"/>
              </w:rPr>
              <w:t>8</w:t>
            </w:r>
          </w:p>
        </w:tc>
      </w:tr>
      <w:tr w:rsidR="000A7D9D" w:rsidRPr="00EC1412" w14:paraId="3C3242CF" w14:textId="77777777" w:rsidTr="00F31937">
        <w:tc>
          <w:tcPr>
            <w:tcW w:w="3964" w:type="dxa"/>
            <w:tcBorders>
              <w:bottom w:val="single" w:sz="4" w:space="0" w:color="auto"/>
              <w:right w:val="single" w:sz="4" w:space="0" w:color="auto"/>
            </w:tcBorders>
            <w:shd w:val="clear" w:color="auto" w:fill="BFBFBF" w:themeFill="background1" w:themeFillShade="BF"/>
          </w:tcPr>
          <w:p w14:paraId="348FAEDE" w14:textId="77777777" w:rsidR="000A7D9D" w:rsidRPr="00EC1412" w:rsidRDefault="000A7D9D" w:rsidP="00F31937">
            <w:pPr>
              <w:jc w:val="both"/>
              <w:rPr>
                <w:b/>
                <w:noProof/>
                <w:sz w:val="18"/>
                <w:szCs w:val="18"/>
              </w:rPr>
            </w:pP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07343D7D" w14:textId="77777777" w:rsidR="000A7D9D" w:rsidRPr="00EC1412" w:rsidRDefault="000A7D9D" w:rsidP="00F31937">
            <w:pPr>
              <w:ind w:left="-112"/>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7A2798C8" w14:textId="77777777" w:rsidR="000A7D9D" w:rsidRPr="00EC1412" w:rsidRDefault="000A7D9D" w:rsidP="00F31937">
            <w:pPr>
              <w:ind w:left="-112"/>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5C1D2F95"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66B75BF1" w14:textId="77777777" w:rsidR="000A7D9D" w:rsidRPr="00EC1412" w:rsidRDefault="000A7D9D" w:rsidP="00F31937">
            <w:pPr>
              <w:ind w:left="-108"/>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234F0D36" w14:textId="77777777" w:rsidR="000A7D9D" w:rsidRPr="00EC1412" w:rsidRDefault="000A7D9D" w:rsidP="00F31937">
            <w:pPr>
              <w:ind w:left="-107"/>
              <w:jc w:val="right"/>
              <w:rPr>
                <w:b/>
                <w:caps/>
                <w:noProof/>
                <w:sz w:val="18"/>
                <w:szCs w:val="18"/>
              </w:rPr>
            </w:pPr>
            <w:r>
              <w:rPr>
                <w:b/>
                <w:caps/>
                <w:noProof/>
                <w:sz w:val="18"/>
                <w:szCs w:val="18"/>
              </w:rPr>
              <w:t>TA</w:t>
            </w:r>
          </w:p>
        </w:tc>
        <w:tc>
          <w:tcPr>
            <w:tcW w:w="426" w:type="dxa"/>
            <w:tcBorders>
              <w:left w:val="dotted" w:sz="4" w:space="0" w:color="auto"/>
              <w:bottom w:val="single" w:sz="4" w:space="0" w:color="auto"/>
              <w:right w:val="single" w:sz="4" w:space="0" w:color="auto"/>
            </w:tcBorders>
            <w:shd w:val="clear" w:color="auto" w:fill="BFBFBF" w:themeFill="background1" w:themeFillShade="BF"/>
          </w:tcPr>
          <w:p w14:paraId="2ABA903C" w14:textId="77777777" w:rsidR="000A7D9D" w:rsidRPr="00EC1412" w:rsidRDefault="000A7D9D" w:rsidP="00F31937">
            <w:pPr>
              <w:ind w:left="-107"/>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523C0970"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6442FE01" w14:textId="77777777" w:rsidR="000A7D9D" w:rsidRPr="00EC1412" w:rsidRDefault="000A7D9D" w:rsidP="00F31937">
            <w:pPr>
              <w:ind w:left="-105"/>
              <w:jc w:val="right"/>
              <w:rPr>
                <w:b/>
                <w:caps/>
                <w:noProof/>
                <w:sz w:val="18"/>
                <w:szCs w:val="18"/>
              </w:rPr>
            </w:pPr>
            <w:r>
              <w:rPr>
                <w:b/>
                <w:caps/>
                <w:noProof/>
                <w:sz w:val="18"/>
                <w:szCs w:val="18"/>
              </w:rPr>
              <w:t>CA</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791750EA" w14:textId="77777777" w:rsidR="000A7D9D" w:rsidRPr="00EC1412" w:rsidRDefault="000A7D9D" w:rsidP="00F31937">
            <w:pPr>
              <w:ind w:left="-78"/>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0E881812" w14:textId="77777777" w:rsidR="000A7D9D" w:rsidRPr="00EC1412" w:rsidRDefault="000A7D9D" w:rsidP="00F31937">
            <w:pPr>
              <w:ind w:left="-84"/>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16103625" w14:textId="77777777" w:rsidR="000A7D9D" w:rsidRPr="00EC1412" w:rsidRDefault="000A7D9D" w:rsidP="00F31937">
            <w:pPr>
              <w:ind w:left="-76"/>
              <w:jc w:val="right"/>
              <w:rPr>
                <w:b/>
                <w:caps/>
                <w:noProof/>
                <w:sz w:val="18"/>
                <w:szCs w:val="18"/>
              </w:rPr>
            </w:pPr>
          </w:p>
        </w:tc>
        <w:tc>
          <w:tcPr>
            <w:tcW w:w="567" w:type="dxa"/>
            <w:tcBorders>
              <w:left w:val="single" w:sz="4" w:space="0" w:color="auto"/>
              <w:bottom w:val="single" w:sz="4" w:space="0" w:color="auto"/>
            </w:tcBorders>
            <w:shd w:val="clear" w:color="auto" w:fill="BFBFBF" w:themeFill="background1" w:themeFillShade="BF"/>
          </w:tcPr>
          <w:p w14:paraId="06F9E77C" w14:textId="77777777" w:rsidR="000A7D9D" w:rsidRPr="00EC1412" w:rsidRDefault="000A7D9D" w:rsidP="00F31937">
            <w:pPr>
              <w:ind w:left="-114"/>
              <w:jc w:val="right"/>
              <w:rPr>
                <w:b/>
                <w:caps/>
                <w:noProof/>
                <w:sz w:val="18"/>
                <w:szCs w:val="18"/>
              </w:rPr>
            </w:pPr>
          </w:p>
        </w:tc>
      </w:tr>
      <w:tr w:rsidR="000A7D9D" w:rsidRPr="00EC1412" w14:paraId="40781CBC" w14:textId="77777777" w:rsidTr="00F31937">
        <w:tc>
          <w:tcPr>
            <w:tcW w:w="3964" w:type="dxa"/>
            <w:tcBorders>
              <w:bottom w:val="dotted" w:sz="4" w:space="0" w:color="auto"/>
              <w:right w:val="single" w:sz="4" w:space="0" w:color="auto"/>
            </w:tcBorders>
            <w:shd w:val="clear" w:color="auto" w:fill="FFF4CC"/>
          </w:tcPr>
          <w:p w14:paraId="6F39D2F7" w14:textId="77777777" w:rsidR="000A7D9D" w:rsidRPr="00EC1412" w:rsidRDefault="000A7D9D" w:rsidP="00F31937">
            <w:pPr>
              <w:jc w:val="both"/>
              <w:rPr>
                <w:b/>
                <w:caps/>
                <w:noProof/>
                <w:sz w:val="18"/>
                <w:szCs w:val="18"/>
              </w:rPr>
            </w:pPr>
            <w:r>
              <w:rPr>
                <w:b/>
                <w:noProof/>
                <w:sz w:val="18"/>
                <w:szCs w:val="18"/>
              </w:rPr>
              <w:t>Regulation on chemicals data</w:t>
            </w:r>
          </w:p>
        </w:tc>
        <w:tc>
          <w:tcPr>
            <w:tcW w:w="426" w:type="dxa"/>
            <w:tcBorders>
              <w:left w:val="single" w:sz="4" w:space="0" w:color="auto"/>
              <w:bottom w:val="dotted" w:sz="4" w:space="0" w:color="auto"/>
              <w:right w:val="dotted" w:sz="4" w:space="0" w:color="auto"/>
            </w:tcBorders>
            <w:shd w:val="clear" w:color="auto" w:fill="FFF4CC"/>
          </w:tcPr>
          <w:p w14:paraId="185F50C8"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1BAAD6A9"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single" w:sz="4" w:space="0" w:color="auto"/>
              <w:bottom w:val="dotted" w:sz="4" w:space="0" w:color="auto"/>
              <w:right w:val="dotted" w:sz="4" w:space="0" w:color="auto"/>
            </w:tcBorders>
            <w:shd w:val="clear" w:color="auto" w:fill="FFF4CC"/>
          </w:tcPr>
          <w:p w14:paraId="03F9C83F"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2083CADE"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single" w:sz="4" w:space="0" w:color="auto"/>
              <w:bottom w:val="dotted" w:sz="4" w:space="0" w:color="auto"/>
              <w:right w:val="dotted" w:sz="4" w:space="0" w:color="auto"/>
            </w:tcBorders>
            <w:shd w:val="clear" w:color="auto" w:fill="FFF4CC"/>
          </w:tcPr>
          <w:p w14:paraId="7B0A600A" w14:textId="77777777" w:rsidR="000A7D9D" w:rsidRPr="00EC1412" w:rsidRDefault="000A7D9D" w:rsidP="00F31937">
            <w:pPr>
              <w:jc w:val="right"/>
              <w:rPr>
                <w:b/>
                <w:caps/>
                <w:noProof/>
                <w:sz w:val="18"/>
                <w:szCs w:val="18"/>
              </w:rPr>
            </w:pPr>
            <w:r>
              <w:rPr>
                <w:b/>
                <w:caps/>
                <w:noProof/>
                <w:sz w:val="18"/>
                <w:szCs w:val="18"/>
              </w:rPr>
              <w:t>0</w:t>
            </w:r>
          </w:p>
        </w:tc>
        <w:tc>
          <w:tcPr>
            <w:tcW w:w="426" w:type="dxa"/>
            <w:tcBorders>
              <w:left w:val="dotted" w:sz="4" w:space="0" w:color="auto"/>
              <w:bottom w:val="dotted" w:sz="4" w:space="0" w:color="auto"/>
              <w:right w:val="single" w:sz="4" w:space="0" w:color="auto"/>
            </w:tcBorders>
            <w:shd w:val="clear" w:color="auto" w:fill="FFF4CC"/>
          </w:tcPr>
          <w:p w14:paraId="58136514"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single" w:sz="4" w:space="0" w:color="auto"/>
              <w:bottom w:val="dotted" w:sz="4" w:space="0" w:color="auto"/>
              <w:right w:val="dotted" w:sz="4" w:space="0" w:color="auto"/>
            </w:tcBorders>
            <w:shd w:val="clear" w:color="auto" w:fill="FFF4CC"/>
          </w:tcPr>
          <w:p w14:paraId="7B199D6F"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20B99E1E" w14:textId="77777777" w:rsidR="000A7D9D" w:rsidRPr="00EC1412" w:rsidRDefault="000A7D9D" w:rsidP="00F31937">
            <w:pPr>
              <w:jc w:val="right"/>
              <w:rPr>
                <w:b/>
                <w:caps/>
                <w:noProof/>
                <w:sz w:val="18"/>
                <w:szCs w:val="18"/>
              </w:rPr>
            </w:pPr>
            <w:r>
              <w:rPr>
                <w:b/>
                <w:caps/>
                <w:noProof/>
                <w:sz w:val="18"/>
                <w:szCs w:val="18"/>
              </w:rPr>
              <w:t>2</w:t>
            </w:r>
          </w:p>
        </w:tc>
        <w:tc>
          <w:tcPr>
            <w:tcW w:w="567" w:type="dxa"/>
            <w:tcBorders>
              <w:left w:val="single" w:sz="4" w:space="0" w:color="auto"/>
              <w:bottom w:val="dotted" w:sz="4" w:space="0" w:color="auto"/>
              <w:right w:val="single" w:sz="4" w:space="0" w:color="auto"/>
            </w:tcBorders>
            <w:shd w:val="clear" w:color="auto" w:fill="FFF4CC"/>
          </w:tcPr>
          <w:p w14:paraId="0BF3A2DE" w14:textId="77777777" w:rsidR="000A7D9D" w:rsidRPr="00EC1412" w:rsidRDefault="000A7D9D" w:rsidP="00F31937">
            <w:pPr>
              <w:jc w:val="right"/>
              <w:rPr>
                <w:b/>
                <w:caps/>
                <w:noProof/>
                <w:sz w:val="18"/>
                <w:szCs w:val="18"/>
              </w:rPr>
            </w:pPr>
            <w:r>
              <w:rPr>
                <w:b/>
                <w:noProof/>
                <w:sz w:val="18"/>
                <w:szCs w:val="18"/>
              </w:rPr>
              <w:t>100</w:t>
            </w:r>
          </w:p>
        </w:tc>
        <w:tc>
          <w:tcPr>
            <w:tcW w:w="567" w:type="dxa"/>
            <w:tcBorders>
              <w:left w:val="single" w:sz="4" w:space="0" w:color="auto"/>
              <w:bottom w:val="dotted" w:sz="4" w:space="0" w:color="auto"/>
              <w:right w:val="single" w:sz="4" w:space="0" w:color="auto"/>
            </w:tcBorders>
            <w:shd w:val="clear" w:color="auto" w:fill="FFF4CC"/>
            <w:vAlign w:val="bottom"/>
          </w:tcPr>
          <w:p w14:paraId="1CBBDA72" w14:textId="77777777" w:rsidR="000A7D9D" w:rsidRPr="00EC1412" w:rsidRDefault="000A7D9D" w:rsidP="00F31937">
            <w:pPr>
              <w:jc w:val="right"/>
              <w:rPr>
                <w:b/>
                <w:caps/>
                <w:noProof/>
                <w:sz w:val="18"/>
                <w:szCs w:val="18"/>
              </w:rPr>
            </w:pPr>
            <w:r>
              <w:rPr>
                <w:b/>
                <w:caps/>
                <w:noProof/>
                <w:sz w:val="18"/>
                <w:szCs w:val="18"/>
              </w:rPr>
              <w:t>10</w:t>
            </w:r>
            <w:r w:rsidRPr="00EC1412">
              <w:rPr>
                <w:b/>
                <w:caps/>
                <w:noProof/>
                <w:sz w:val="18"/>
                <w:szCs w:val="18"/>
              </w:rPr>
              <w:t>0</w:t>
            </w:r>
          </w:p>
        </w:tc>
        <w:tc>
          <w:tcPr>
            <w:tcW w:w="567" w:type="dxa"/>
            <w:tcBorders>
              <w:left w:val="single" w:sz="4" w:space="0" w:color="auto"/>
              <w:bottom w:val="dotted" w:sz="4" w:space="0" w:color="auto"/>
              <w:right w:val="single" w:sz="4" w:space="0" w:color="auto"/>
            </w:tcBorders>
            <w:shd w:val="clear" w:color="auto" w:fill="FFF4CC"/>
            <w:vAlign w:val="bottom"/>
          </w:tcPr>
          <w:p w14:paraId="6DB7F8F0" w14:textId="77777777" w:rsidR="000A7D9D" w:rsidRPr="00EC1412" w:rsidRDefault="000A7D9D" w:rsidP="00F31937">
            <w:pPr>
              <w:jc w:val="right"/>
              <w:rPr>
                <w:b/>
                <w:caps/>
                <w:noProof/>
                <w:sz w:val="18"/>
                <w:szCs w:val="18"/>
              </w:rPr>
            </w:pPr>
            <w:r>
              <w:rPr>
                <w:b/>
                <w:noProof/>
                <w:sz w:val="18"/>
                <w:szCs w:val="18"/>
              </w:rPr>
              <w:t>10</w:t>
            </w:r>
            <w:r w:rsidRPr="00EC1412">
              <w:rPr>
                <w:b/>
                <w:noProof/>
                <w:sz w:val="18"/>
                <w:szCs w:val="18"/>
              </w:rPr>
              <w:t>0</w:t>
            </w:r>
          </w:p>
        </w:tc>
        <w:tc>
          <w:tcPr>
            <w:tcW w:w="567" w:type="dxa"/>
            <w:tcBorders>
              <w:left w:val="single" w:sz="4" w:space="0" w:color="auto"/>
              <w:bottom w:val="dotted" w:sz="4" w:space="0" w:color="auto"/>
            </w:tcBorders>
            <w:shd w:val="clear" w:color="auto" w:fill="FFF4CC"/>
            <w:vAlign w:val="bottom"/>
          </w:tcPr>
          <w:p w14:paraId="45D611DD" w14:textId="77777777" w:rsidR="000A7D9D" w:rsidRPr="00EC1412" w:rsidRDefault="000A7D9D" w:rsidP="00F31937">
            <w:pPr>
              <w:ind w:left="-119"/>
              <w:jc w:val="right"/>
              <w:rPr>
                <w:b/>
                <w:caps/>
                <w:noProof/>
                <w:sz w:val="18"/>
                <w:szCs w:val="18"/>
              </w:rPr>
            </w:pPr>
            <w:r w:rsidRPr="00EC1412">
              <w:rPr>
                <w:b/>
                <w:noProof/>
                <w:sz w:val="18"/>
                <w:szCs w:val="18"/>
              </w:rPr>
              <w:t>0</w:t>
            </w:r>
          </w:p>
        </w:tc>
      </w:tr>
      <w:tr w:rsidR="000A7D9D" w:rsidRPr="00EC1412" w14:paraId="64A7A61E" w14:textId="77777777" w:rsidTr="00F31937">
        <w:tc>
          <w:tcPr>
            <w:tcW w:w="3964" w:type="dxa"/>
            <w:tcBorders>
              <w:top w:val="dotted" w:sz="4" w:space="0" w:color="auto"/>
              <w:bottom w:val="dotted" w:sz="4" w:space="0" w:color="auto"/>
              <w:right w:val="single" w:sz="4" w:space="0" w:color="auto"/>
            </w:tcBorders>
            <w:shd w:val="clear" w:color="auto" w:fill="FFF4CC"/>
          </w:tcPr>
          <w:p w14:paraId="5AF31CC8" w14:textId="77777777" w:rsidR="000A7D9D" w:rsidRPr="00EC1412" w:rsidRDefault="000A7D9D" w:rsidP="00F31937">
            <w:pPr>
              <w:jc w:val="both"/>
              <w:rPr>
                <w:noProof/>
                <w:sz w:val="18"/>
                <w:szCs w:val="18"/>
              </w:rPr>
            </w:pPr>
            <w:r w:rsidRPr="00EC1412">
              <w:rPr>
                <w:noProof/>
                <w:sz w:val="18"/>
                <w:szCs w:val="18"/>
              </w:rPr>
              <w:t xml:space="preserve">   Common data platform</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3BA3FF3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D83DE85"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6FC447E"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6DC8E1B"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6449713"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106471B9" w14:textId="77777777" w:rsidR="000A7D9D" w:rsidRPr="00EC1412" w:rsidRDefault="000A7D9D" w:rsidP="00F31937">
            <w:pPr>
              <w:jc w:val="right"/>
              <w:rPr>
                <w:caps/>
                <w:noProof/>
                <w:sz w:val="18"/>
                <w:szCs w:val="18"/>
              </w:rPr>
            </w:pPr>
            <w:r>
              <w:rPr>
                <w:caps/>
                <w:noProof/>
                <w:sz w:val="18"/>
                <w:szCs w:val="18"/>
              </w:rPr>
              <w:t>3</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86B740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D5069F2" w14:textId="77777777" w:rsidR="000A7D9D" w:rsidRPr="00EC1412" w:rsidRDefault="000A7D9D" w:rsidP="00F31937">
            <w:pPr>
              <w:jc w:val="right"/>
              <w:rPr>
                <w:caps/>
                <w:noProof/>
                <w:sz w:val="18"/>
                <w:szCs w:val="18"/>
              </w:rPr>
            </w:pPr>
            <w:r>
              <w:rPr>
                <w:caps/>
                <w:noProof/>
                <w:sz w:val="18"/>
                <w:szCs w:val="18"/>
              </w:rPr>
              <w:t>2</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20FD448E" w14:textId="77777777" w:rsidR="000A7D9D" w:rsidRPr="00EC1412" w:rsidRDefault="000A7D9D" w:rsidP="00F31937">
            <w:pPr>
              <w:jc w:val="right"/>
              <w:rPr>
                <w:noProof/>
                <w:sz w:val="18"/>
                <w:szCs w:val="18"/>
              </w:rPr>
            </w:pPr>
            <w:r>
              <w:rPr>
                <w:noProof/>
                <w:sz w:val="18"/>
                <w:szCs w:val="18"/>
              </w:rPr>
              <w:t>100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2F3BB4AF" w14:textId="77777777" w:rsidR="000A7D9D" w:rsidRPr="00EC1412" w:rsidRDefault="000A7D9D" w:rsidP="00F31937">
            <w:pPr>
              <w:jc w:val="right"/>
              <w:rPr>
                <w:caps/>
                <w:noProof/>
                <w:sz w:val="18"/>
                <w:szCs w:val="18"/>
              </w:rPr>
            </w:pPr>
            <w:r>
              <w:rPr>
                <w:caps/>
                <w:noProof/>
                <w:sz w:val="18"/>
                <w:szCs w:val="18"/>
              </w:rPr>
              <w:t>10</w:t>
            </w:r>
            <w:r w:rsidRPr="00EC1412">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208F60CA" w14:textId="77777777" w:rsidR="000A7D9D" w:rsidRPr="00EC1412" w:rsidRDefault="000A7D9D" w:rsidP="00F31937">
            <w:pPr>
              <w:jc w:val="right"/>
              <w:rPr>
                <w:noProof/>
                <w:sz w:val="18"/>
                <w:szCs w:val="18"/>
              </w:rPr>
            </w:pPr>
            <w:r>
              <w:rPr>
                <w:noProof/>
                <w:sz w:val="18"/>
                <w:szCs w:val="18"/>
              </w:rPr>
              <w:t>100</w:t>
            </w:r>
          </w:p>
        </w:tc>
        <w:tc>
          <w:tcPr>
            <w:tcW w:w="567" w:type="dxa"/>
            <w:tcBorders>
              <w:top w:val="dotted" w:sz="4" w:space="0" w:color="auto"/>
              <w:left w:val="single" w:sz="4" w:space="0" w:color="auto"/>
              <w:bottom w:val="dotted" w:sz="4" w:space="0" w:color="auto"/>
            </w:tcBorders>
            <w:shd w:val="clear" w:color="auto" w:fill="FFF4CC"/>
            <w:vAlign w:val="bottom"/>
          </w:tcPr>
          <w:p w14:paraId="3780D63D"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2E9A1DC6" w14:textId="77777777" w:rsidTr="00F31937">
        <w:tc>
          <w:tcPr>
            <w:tcW w:w="3964" w:type="dxa"/>
            <w:tcBorders>
              <w:top w:val="dotted" w:sz="4" w:space="0" w:color="auto"/>
              <w:bottom w:val="dotted" w:sz="4" w:space="0" w:color="auto"/>
              <w:right w:val="single" w:sz="4" w:space="0" w:color="auto"/>
            </w:tcBorders>
            <w:shd w:val="clear" w:color="auto" w:fill="FFF4CC"/>
          </w:tcPr>
          <w:p w14:paraId="0E9CC370" w14:textId="77777777" w:rsidR="000A7D9D" w:rsidRPr="00EC1412" w:rsidRDefault="000A7D9D" w:rsidP="00F31937">
            <w:pPr>
              <w:jc w:val="both"/>
              <w:rPr>
                <w:noProof/>
                <w:sz w:val="18"/>
                <w:szCs w:val="18"/>
              </w:rPr>
            </w:pPr>
            <w:r>
              <w:rPr>
                <w:rStyle w:val="normaltextrun"/>
                <w:noProof/>
                <w:sz w:val="18"/>
                <w:szCs w:val="18"/>
              </w:rPr>
              <w:t xml:space="preserve">   </w:t>
            </w:r>
            <w:r w:rsidRPr="00EC1412">
              <w:rPr>
                <w:rStyle w:val="normaltextrun"/>
                <w:noProof/>
                <w:sz w:val="18"/>
                <w:szCs w:val="18"/>
              </w:rPr>
              <w:t>Information Platform for Chemical Monitoring</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2F0260CD"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9486C65"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A7322F4"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E10B052"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11493726" w14:textId="77777777" w:rsidR="000A7D9D"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40D55BEF"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434C354"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7364FC0" w14:textId="77777777" w:rsidR="000A7D9D"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99E313F"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54D41614" w14:textId="77777777" w:rsidR="000A7D9D"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675FCF16"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vAlign w:val="bottom"/>
          </w:tcPr>
          <w:p w14:paraId="61986651" w14:textId="77777777" w:rsidR="000A7D9D" w:rsidRDefault="000A7D9D" w:rsidP="00F31937">
            <w:pPr>
              <w:ind w:left="-119"/>
              <w:jc w:val="right"/>
              <w:rPr>
                <w:noProof/>
                <w:sz w:val="18"/>
                <w:szCs w:val="18"/>
              </w:rPr>
            </w:pPr>
            <w:r>
              <w:rPr>
                <w:noProof/>
                <w:sz w:val="18"/>
                <w:szCs w:val="18"/>
              </w:rPr>
              <w:t>0</w:t>
            </w:r>
          </w:p>
        </w:tc>
      </w:tr>
      <w:tr w:rsidR="000A7D9D" w:rsidRPr="00EC1412" w14:paraId="0306E920" w14:textId="77777777" w:rsidTr="00F31937">
        <w:tc>
          <w:tcPr>
            <w:tcW w:w="3964" w:type="dxa"/>
            <w:tcBorders>
              <w:top w:val="dotted" w:sz="4" w:space="0" w:color="auto"/>
              <w:bottom w:val="dotted" w:sz="4" w:space="0" w:color="auto"/>
              <w:right w:val="single" w:sz="4" w:space="0" w:color="auto"/>
            </w:tcBorders>
            <w:shd w:val="clear" w:color="auto" w:fill="FFF4CC"/>
          </w:tcPr>
          <w:p w14:paraId="6975016E" w14:textId="77777777" w:rsidR="000A7D9D" w:rsidRPr="00EC1412" w:rsidRDefault="000A7D9D" w:rsidP="00F31937">
            <w:pPr>
              <w:spacing w:line="259" w:lineRule="auto"/>
              <w:jc w:val="both"/>
              <w:rPr>
                <w:noProof/>
                <w:sz w:val="18"/>
                <w:szCs w:val="18"/>
              </w:rPr>
            </w:pPr>
            <w:r w:rsidRPr="41576CD3">
              <w:rPr>
                <w:noProof/>
                <w:sz w:val="18"/>
                <w:szCs w:val="18"/>
              </w:rPr>
              <w:t xml:space="preserve">   Repository of refer</w:t>
            </w:r>
            <w:r>
              <w:rPr>
                <w:noProof/>
                <w:sz w:val="18"/>
                <w:szCs w:val="18"/>
              </w:rPr>
              <w:t>e</w:t>
            </w:r>
            <w:r w:rsidRPr="41576CD3">
              <w:rPr>
                <w:noProof/>
                <w:sz w:val="18"/>
                <w:szCs w:val="18"/>
              </w:rPr>
              <w:t>nce values</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48C4C442"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FA9F60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64FA95A"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920E0D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D5EC81D"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282FCDD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4CF95C25"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550CE83"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80F2D9D"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5955B873"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891FA81"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234401D4"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1548490C" w14:textId="77777777" w:rsidTr="00F31937">
        <w:tc>
          <w:tcPr>
            <w:tcW w:w="3964" w:type="dxa"/>
            <w:tcBorders>
              <w:top w:val="dotted" w:sz="4" w:space="0" w:color="auto"/>
              <w:bottom w:val="dotted" w:sz="4" w:space="0" w:color="auto"/>
              <w:right w:val="single" w:sz="4" w:space="0" w:color="auto"/>
            </w:tcBorders>
            <w:shd w:val="clear" w:color="auto" w:fill="FFF4CC"/>
          </w:tcPr>
          <w:p w14:paraId="3B2A3290" w14:textId="77777777" w:rsidR="000A7D9D" w:rsidRPr="00EC1412" w:rsidRDefault="000A7D9D" w:rsidP="00F31937">
            <w:pPr>
              <w:ind w:left="142"/>
              <w:rPr>
                <w:noProof/>
                <w:sz w:val="18"/>
                <w:szCs w:val="18"/>
              </w:rPr>
            </w:pPr>
            <w:r>
              <w:rPr>
                <w:noProof/>
                <w:sz w:val="18"/>
                <w:szCs w:val="18"/>
              </w:rPr>
              <w:t xml:space="preserve">Environmental sustainability related data on chemicals </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5CE29228"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B0E033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39D2F8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20359894"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432B1844"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674ED2E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5FCC3F9"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5CF7172C"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E40EC85"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6BBE759E"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4B31D4C"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6677997D"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415960D0" w14:textId="77777777" w:rsidTr="00F31937">
        <w:tc>
          <w:tcPr>
            <w:tcW w:w="3964" w:type="dxa"/>
            <w:tcBorders>
              <w:top w:val="dotted" w:sz="4" w:space="0" w:color="auto"/>
              <w:bottom w:val="single" w:sz="4" w:space="0" w:color="auto"/>
              <w:right w:val="single" w:sz="4" w:space="0" w:color="auto"/>
            </w:tcBorders>
            <w:shd w:val="clear" w:color="auto" w:fill="FFF4CC"/>
          </w:tcPr>
          <w:p w14:paraId="112715C6" w14:textId="77777777" w:rsidR="000A7D9D" w:rsidRPr="00EC1412" w:rsidRDefault="000A7D9D" w:rsidP="00F31937">
            <w:pPr>
              <w:ind w:left="142"/>
              <w:rPr>
                <w:noProof/>
                <w:sz w:val="18"/>
                <w:szCs w:val="18"/>
              </w:rPr>
            </w:pPr>
            <w:r w:rsidRPr="41576CD3">
              <w:rPr>
                <w:noProof/>
                <w:sz w:val="18"/>
                <w:szCs w:val="18"/>
              </w:rPr>
              <w:t>Early warning and action system and framework of indicators</w:t>
            </w:r>
          </w:p>
        </w:tc>
        <w:tc>
          <w:tcPr>
            <w:tcW w:w="426" w:type="dxa"/>
            <w:tcBorders>
              <w:top w:val="dotted" w:sz="4" w:space="0" w:color="auto"/>
              <w:left w:val="single" w:sz="4" w:space="0" w:color="auto"/>
              <w:bottom w:val="single" w:sz="4" w:space="0" w:color="auto"/>
              <w:right w:val="dotted" w:sz="4" w:space="0" w:color="auto"/>
            </w:tcBorders>
            <w:shd w:val="clear" w:color="auto" w:fill="FFF4CC"/>
          </w:tcPr>
          <w:p w14:paraId="237AFA30"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3FDCD23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1578519C"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43DF7CC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6FC3A7FA"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single" w:sz="4" w:space="0" w:color="auto"/>
              <w:right w:val="single" w:sz="4" w:space="0" w:color="auto"/>
            </w:tcBorders>
            <w:shd w:val="clear" w:color="auto" w:fill="FFF4CC"/>
          </w:tcPr>
          <w:p w14:paraId="4010040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417845A8"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3E151D31"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4B0DAE80"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66EC4C33"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1234295B"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tcBorders>
            <w:shd w:val="clear" w:color="auto" w:fill="FFF4CC"/>
          </w:tcPr>
          <w:p w14:paraId="76233FF4"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2A982EA7" w14:textId="77777777" w:rsidTr="00F31937">
        <w:tc>
          <w:tcPr>
            <w:tcW w:w="3964" w:type="dxa"/>
            <w:tcBorders>
              <w:right w:val="single" w:sz="4" w:space="0" w:color="auto"/>
            </w:tcBorders>
            <w:shd w:val="clear" w:color="auto" w:fill="BFBFBF" w:themeFill="background1" w:themeFillShade="BF"/>
          </w:tcPr>
          <w:p w14:paraId="1CE3D811" w14:textId="77777777" w:rsidR="000A7D9D" w:rsidRPr="00EC1412" w:rsidRDefault="000A7D9D" w:rsidP="00F31937">
            <w:pPr>
              <w:jc w:val="both"/>
              <w:rPr>
                <w:b/>
                <w:caps/>
                <w:noProof/>
                <w:sz w:val="18"/>
                <w:szCs w:val="18"/>
              </w:rPr>
            </w:pPr>
            <w:r w:rsidRPr="00EC1412">
              <w:rPr>
                <w:b/>
                <w:caps/>
                <w:noProof/>
                <w:sz w:val="18"/>
                <w:szCs w:val="18"/>
              </w:rPr>
              <w:t>SUm</w:t>
            </w:r>
          </w:p>
        </w:tc>
        <w:tc>
          <w:tcPr>
            <w:tcW w:w="426" w:type="dxa"/>
            <w:tcBorders>
              <w:left w:val="single" w:sz="4" w:space="0" w:color="auto"/>
              <w:right w:val="dotted" w:sz="4" w:space="0" w:color="auto"/>
            </w:tcBorders>
            <w:shd w:val="clear" w:color="auto" w:fill="BFBFBF" w:themeFill="background1" w:themeFillShade="BF"/>
          </w:tcPr>
          <w:p w14:paraId="6BE4C91C"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43041535"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single" w:sz="4" w:space="0" w:color="auto"/>
              <w:right w:val="dotted" w:sz="4" w:space="0" w:color="auto"/>
            </w:tcBorders>
            <w:shd w:val="clear" w:color="auto" w:fill="BFBFBF" w:themeFill="background1" w:themeFillShade="BF"/>
          </w:tcPr>
          <w:p w14:paraId="0EAE6A99"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543C28FA"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single" w:sz="4" w:space="0" w:color="auto"/>
              <w:right w:val="dotted" w:sz="4" w:space="0" w:color="auto"/>
            </w:tcBorders>
            <w:shd w:val="clear" w:color="auto" w:fill="BFBFBF" w:themeFill="background1" w:themeFillShade="BF"/>
          </w:tcPr>
          <w:p w14:paraId="22FCDDE8" w14:textId="77777777" w:rsidR="000A7D9D" w:rsidRPr="00EC1412" w:rsidRDefault="000A7D9D" w:rsidP="00F31937">
            <w:pPr>
              <w:jc w:val="right"/>
              <w:rPr>
                <w:b/>
                <w:caps/>
                <w:noProof/>
                <w:sz w:val="18"/>
                <w:szCs w:val="18"/>
              </w:rPr>
            </w:pPr>
            <w:r>
              <w:rPr>
                <w:b/>
                <w:caps/>
                <w:noProof/>
                <w:sz w:val="18"/>
                <w:szCs w:val="18"/>
              </w:rPr>
              <w:t>0</w:t>
            </w:r>
          </w:p>
        </w:tc>
        <w:tc>
          <w:tcPr>
            <w:tcW w:w="426" w:type="dxa"/>
            <w:tcBorders>
              <w:left w:val="dotted" w:sz="4" w:space="0" w:color="auto"/>
              <w:right w:val="single" w:sz="4" w:space="0" w:color="auto"/>
            </w:tcBorders>
            <w:shd w:val="clear" w:color="auto" w:fill="BFBFBF" w:themeFill="background1" w:themeFillShade="BF"/>
          </w:tcPr>
          <w:p w14:paraId="59D9D403" w14:textId="77777777" w:rsidR="000A7D9D" w:rsidRPr="00EC1412" w:rsidRDefault="000A7D9D" w:rsidP="00F31937">
            <w:pPr>
              <w:jc w:val="right"/>
              <w:rPr>
                <w:b/>
                <w:caps/>
                <w:noProof/>
                <w:sz w:val="18"/>
                <w:szCs w:val="18"/>
              </w:rPr>
            </w:pPr>
            <w:r>
              <w:rPr>
                <w:b/>
                <w:caps/>
                <w:noProof/>
                <w:sz w:val="18"/>
                <w:szCs w:val="18"/>
              </w:rPr>
              <w:t>3</w:t>
            </w:r>
          </w:p>
        </w:tc>
        <w:tc>
          <w:tcPr>
            <w:tcW w:w="425" w:type="dxa"/>
            <w:tcBorders>
              <w:left w:val="single" w:sz="4" w:space="0" w:color="auto"/>
              <w:right w:val="dotted" w:sz="4" w:space="0" w:color="auto"/>
            </w:tcBorders>
            <w:shd w:val="clear" w:color="auto" w:fill="BFBFBF" w:themeFill="background1" w:themeFillShade="BF"/>
          </w:tcPr>
          <w:p w14:paraId="14A762EA"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748A6D17" w14:textId="77777777" w:rsidR="000A7D9D" w:rsidRPr="00EC1412" w:rsidRDefault="000A7D9D" w:rsidP="00F31937">
            <w:pPr>
              <w:jc w:val="right"/>
              <w:rPr>
                <w:b/>
                <w:caps/>
                <w:noProof/>
                <w:sz w:val="18"/>
                <w:szCs w:val="18"/>
              </w:rPr>
            </w:pPr>
            <w:r>
              <w:rPr>
                <w:b/>
                <w:caps/>
                <w:noProof/>
                <w:sz w:val="18"/>
                <w:szCs w:val="18"/>
              </w:rPr>
              <w:t>2</w:t>
            </w:r>
          </w:p>
        </w:tc>
        <w:tc>
          <w:tcPr>
            <w:tcW w:w="567" w:type="dxa"/>
            <w:tcBorders>
              <w:left w:val="single" w:sz="4" w:space="0" w:color="auto"/>
              <w:right w:val="single" w:sz="4" w:space="0" w:color="auto"/>
            </w:tcBorders>
            <w:shd w:val="clear" w:color="auto" w:fill="BFBFBF" w:themeFill="background1" w:themeFillShade="BF"/>
          </w:tcPr>
          <w:p w14:paraId="7D88137F" w14:textId="77777777" w:rsidR="000A7D9D" w:rsidRPr="00EC1412" w:rsidRDefault="000A7D9D" w:rsidP="00F31937">
            <w:pPr>
              <w:jc w:val="right"/>
              <w:rPr>
                <w:b/>
                <w:caps/>
                <w:noProof/>
                <w:sz w:val="18"/>
                <w:szCs w:val="18"/>
              </w:rPr>
            </w:pPr>
            <w:r>
              <w:rPr>
                <w:b/>
                <w:caps/>
                <w:noProof/>
                <w:sz w:val="18"/>
                <w:szCs w:val="18"/>
              </w:rPr>
              <w:t>100</w:t>
            </w:r>
          </w:p>
        </w:tc>
        <w:tc>
          <w:tcPr>
            <w:tcW w:w="567" w:type="dxa"/>
            <w:tcBorders>
              <w:left w:val="single" w:sz="4" w:space="0" w:color="auto"/>
              <w:right w:val="single" w:sz="4" w:space="0" w:color="auto"/>
            </w:tcBorders>
            <w:shd w:val="clear" w:color="auto" w:fill="BFBFBF" w:themeFill="background1" w:themeFillShade="BF"/>
          </w:tcPr>
          <w:p w14:paraId="6860F0FC" w14:textId="77777777" w:rsidR="000A7D9D" w:rsidRPr="00EC1412" w:rsidRDefault="000A7D9D" w:rsidP="00F31937">
            <w:pPr>
              <w:jc w:val="right"/>
              <w:rPr>
                <w:b/>
                <w:caps/>
                <w:noProof/>
                <w:sz w:val="18"/>
                <w:szCs w:val="18"/>
              </w:rPr>
            </w:pPr>
            <w:r>
              <w:rPr>
                <w:b/>
                <w:caps/>
                <w:noProof/>
                <w:sz w:val="18"/>
                <w:szCs w:val="18"/>
              </w:rPr>
              <w:t>100</w:t>
            </w:r>
          </w:p>
        </w:tc>
        <w:tc>
          <w:tcPr>
            <w:tcW w:w="567" w:type="dxa"/>
            <w:tcBorders>
              <w:left w:val="single" w:sz="4" w:space="0" w:color="auto"/>
              <w:right w:val="single" w:sz="4" w:space="0" w:color="auto"/>
            </w:tcBorders>
            <w:shd w:val="clear" w:color="auto" w:fill="BFBFBF" w:themeFill="background1" w:themeFillShade="BF"/>
          </w:tcPr>
          <w:p w14:paraId="6A09EB81" w14:textId="77777777" w:rsidR="000A7D9D" w:rsidRPr="00EC1412" w:rsidRDefault="000A7D9D" w:rsidP="00F31937">
            <w:pPr>
              <w:jc w:val="right"/>
              <w:rPr>
                <w:b/>
                <w:caps/>
                <w:noProof/>
                <w:sz w:val="18"/>
                <w:szCs w:val="18"/>
              </w:rPr>
            </w:pPr>
            <w:r>
              <w:rPr>
                <w:b/>
                <w:caps/>
                <w:noProof/>
                <w:sz w:val="18"/>
                <w:szCs w:val="18"/>
              </w:rPr>
              <w:t>100</w:t>
            </w:r>
          </w:p>
        </w:tc>
        <w:tc>
          <w:tcPr>
            <w:tcW w:w="567" w:type="dxa"/>
            <w:tcBorders>
              <w:left w:val="single" w:sz="4" w:space="0" w:color="auto"/>
            </w:tcBorders>
            <w:shd w:val="clear" w:color="auto" w:fill="BFBFBF" w:themeFill="background1" w:themeFillShade="BF"/>
          </w:tcPr>
          <w:p w14:paraId="199CACA6" w14:textId="77777777" w:rsidR="000A7D9D" w:rsidRPr="00EC1412" w:rsidRDefault="000A7D9D" w:rsidP="00F31937">
            <w:pPr>
              <w:ind w:left="-104"/>
              <w:jc w:val="right"/>
              <w:rPr>
                <w:b/>
                <w:caps/>
                <w:noProof/>
                <w:sz w:val="18"/>
                <w:szCs w:val="18"/>
              </w:rPr>
            </w:pPr>
            <w:r>
              <w:rPr>
                <w:b/>
                <w:caps/>
                <w:noProof/>
                <w:sz w:val="18"/>
                <w:szCs w:val="18"/>
              </w:rPr>
              <w:t>0</w:t>
            </w:r>
          </w:p>
        </w:tc>
      </w:tr>
    </w:tbl>
    <w:p w14:paraId="2B42880C" w14:textId="77777777" w:rsidR="000A7D9D" w:rsidRDefault="000A7D9D" w:rsidP="000A7D9D">
      <w:pPr>
        <w:spacing w:after="120"/>
        <w:jc w:val="both"/>
        <w:rPr>
          <w:rFonts w:ascii="Times New Roman" w:hAnsi="Times New Roman" w:cs="Times New Roman"/>
          <w:noProof/>
        </w:rPr>
      </w:pPr>
    </w:p>
    <w:p w14:paraId="326A03DC" w14:textId="77777777" w:rsidR="000A7D9D" w:rsidRPr="00EC1412" w:rsidRDefault="000A7D9D" w:rsidP="000A7D9D">
      <w:pPr>
        <w:spacing w:after="120"/>
        <w:jc w:val="both"/>
        <w:rPr>
          <w:rFonts w:ascii="Times New Roman" w:hAnsi="Times New Roman" w:cs="Times New Roman"/>
          <w:noProof/>
        </w:rPr>
      </w:pPr>
      <w:r w:rsidRPr="2D69C30E">
        <w:rPr>
          <w:rFonts w:ascii="Times New Roman" w:hAnsi="Times New Roman" w:cs="Times New Roman"/>
          <w:noProof/>
        </w:rPr>
        <w:t xml:space="preserve">The proposal for a regulation </w:t>
      </w:r>
      <w:r>
        <w:rPr>
          <w:rFonts w:ascii="Times New Roman" w:hAnsi="Times New Roman" w:cs="Times New Roman"/>
          <w:noProof/>
        </w:rPr>
        <w:t xml:space="preserve">on chemicals data </w:t>
      </w:r>
      <w:r w:rsidRPr="2D69C30E">
        <w:rPr>
          <w:rFonts w:ascii="Times New Roman" w:hAnsi="Times New Roman" w:cs="Times New Roman"/>
          <w:noProof/>
        </w:rPr>
        <w:t xml:space="preserve">proposes new tasks for EMA. </w:t>
      </w:r>
    </w:p>
    <w:p w14:paraId="2822DE0C" w14:textId="77777777" w:rsidR="000A7D9D" w:rsidRPr="001D47DD" w:rsidRDefault="000A7D9D" w:rsidP="000A7D9D">
      <w:pPr>
        <w:pStyle w:val="ListParagraph"/>
        <w:numPr>
          <w:ilvl w:val="0"/>
          <w:numId w:val="4"/>
        </w:numPr>
        <w:spacing w:after="120"/>
        <w:jc w:val="both"/>
        <w:rPr>
          <w:noProof/>
          <w:sz w:val="22"/>
          <w:szCs w:val="22"/>
        </w:rPr>
      </w:pPr>
      <w:r w:rsidRPr="001D47DD">
        <w:rPr>
          <w:noProof/>
          <w:sz w:val="22"/>
          <w:szCs w:val="22"/>
        </w:rPr>
        <w:t xml:space="preserve">EMA will be required to make some of the  data it receives after entry into force of this regulation available on a continuous basis to </w:t>
      </w:r>
      <w:r>
        <w:rPr>
          <w:noProof/>
          <w:sz w:val="22"/>
          <w:szCs w:val="22"/>
        </w:rPr>
        <w:t xml:space="preserve">ECHA for integration into </w:t>
      </w:r>
      <w:r w:rsidRPr="001D47DD">
        <w:rPr>
          <w:noProof/>
          <w:sz w:val="22"/>
          <w:szCs w:val="22"/>
        </w:rPr>
        <w:t xml:space="preserve">the common data platform, it will be required to set formats and controlled vocabularies in its area of competence so data can be easily shared and it will be required to cooperate with ECHA and other agencies in developing and operating the common data platform. EMA will </w:t>
      </w:r>
      <w:r>
        <w:rPr>
          <w:noProof/>
          <w:sz w:val="22"/>
          <w:szCs w:val="22"/>
        </w:rPr>
        <w:t>need</w:t>
      </w:r>
      <w:r w:rsidRPr="001D47DD">
        <w:rPr>
          <w:noProof/>
          <w:sz w:val="22"/>
          <w:szCs w:val="22"/>
        </w:rPr>
        <w:t xml:space="preserve"> </w:t>
      </w:r>
      <w:r>
        <w:rPr>
          <w:noProof/>
          <w:sz w:val="22"/>
          <w:szCs w:val="22"/>
        </w:rPr>
        <w:t xml:space="preserve">additional </w:t>
      </w:r>
      <w:r w:rsidRPr="001D47DD">
        <w:rPr>
          <w:noProof/>
          <w:sz w:val="22"/>
          <w:szCs w:val="22"/>
        </w:rPr>
        <w:t>resources for th</w:t>
      </w:r>
      <w:r>
        <w:rPr>
          <w:noProof/>
          <w:sz w:val="22"/>
          <w:szCs w:val="22"/>
        </w:rPr>
        <w:t xml:space="preserve">ese tasks. </w:t>
      </w:r>
    </w:p>
    <w:p w14:paraId="5CAD4501" w14:textId="77777777" w:rsidR="000A7D9D" w:rsidRPr="001D47DD" w:rsidRDefault="000A7D9D" w:rsidP="000A7D9D">
      <w:pPr>
        <w:pStyle w:val="ListParagraph"/>
        <w:numPr>
          <w:ilvl w:val="0"/>
          <w:numId w:val="4"/>
        </w:numPr>
        <w:spacing w:after="120"/>
        <w:jc w:val="both"/>
        <w:rPr>
          <w:noProof/>
          <w:sz w:val="22"/>
          <w:szCs w:val="22"/>
        </w:rPr>
      </w:pPr>
      <w:r w:rsidRPr="001D47DD">
        <w:rPr>
          <w:noProof/>
          <w:sz w:val="22"/>
          <w:szCs w:val="22"/>
        </w:rPr>
        <w:t xml:space="preserve">EMA will be also required to provide occurrence data it holds to IPCHEM and provide cooperation to ECHA in </w:t>
      </w:r>
      <w:r>
        <w:rPr>
          <w:noProof/>
          <w:sz w:val="22"/>
          <w:szCs w:val="22"/>
        </w:rPr>
        <w:t xml:space="preserve">integration of such data in </w:t>
      </w:r>
      <w:r w:rsidRPr="001D47DD">
        <w:rPr>
          <w:noProof/>
          <w:sz w:val="22"/>
          <w:szCs w:val="22"/>
        </w:rPr>
        <w:t xml:space="preserve">IPCHEM. However, EMA currently does not hold any data relevant to IPCHEM, therefore, no resources are required for this activity. Any cooperation required is covered by the resources for the common data platform. </w:t>
      </w:r>
    </w:p>
    <w:p w14:paraId="7E3D1E9C" w14:textId="77777777" w:rsidR="000A7D9D" w:rsidRPr="001D47DD" w:rsidRDefault="000A7D9D" w:rsidP="000A7D9D">
      <w:pPr>
        <w:pStyle w:val="ListParagraph"/>
        <w:numPr>
          <w:ilvl w:val="0"/>
          <w:numId w:val="4"/>
        </w:numPr>
        <w:spacing w:after="120"/>
        <w:jc w:val="both"/>
        <w:rPr>
          <w:noProof/>
          <w:sz w:val="22"/>
          <w:szCs w:val="22"/>
        </w:rPr>
      </w:pPr>
      <w:r w:rsidRPr="001D47DD">
        <w:rPr>
          <w:noProof/>
          <w:sz w:val="22"/>
          <w:szCs w:val="22"/>
        </w:rPr>
        <w:t xml:space="preserve">EMA will be required to cooperate with ECHA on the operation of the repository of reference values and provide on a continuous basis specific reference value it derives </w:t>
      </w:r>
      <w:r>
        <w:rPr>
          <w:noProof/>
          <w:sz w:val="22"/>
          <w:szCs w:val="22"/>
        </w:rPr>
        <w:t xml:space="preserve">(i.e. predicted no effect concentration derived as part of the environmental risk assessment) </w:t>
      </w:r>
      <w:r w:rsidRPr="001D47DD">
        <w:rPr>
          <w:noProof/>
          <w:sz w:val="22"/>
          <w:szCs w:val="22"/>
        </w:rPr>
        <w:t>to the repository.</w:t>
      </w:r>
      <w:r>
        <w:rPr>
          <w:noProof/>
          <w:sz w:val="22"/>
          <w:szCs w:val="22"/>
        </w:rPr>
        <w:t xml:space="preserve"> The cooperation with ECHA and provision of data is covered by the resources provided for the common data platform. </w:t>
      </w:r>
    </w:p>
    <w:p w14:paraId="09CC526B" w14:textId="77777777" w:rsidR="000A7D9D" w:rsidRDefault="000A7D9D" w:rsidP="000A7D9D">
      <w:pPr>
        <w:pStyle w:val="ListParagraph"/>
        <w:numPr>
          <w:ilvl w:val="0"/>
          <w:numId w:val="4"/>
        </w:numPr>
        <w:spacing w:after="120"/>
        <w:jc w:val="both"/>
        <w:rPr>
          <w:noProof/>
          <w:sz w:val="22"/>
          <w:szCs w:val="22"/>
        </w:rPr>
      </w:pPr>
      <w:r>
        <w:rPr>
          <w:noProof/>
          <w:sz w:val="22"/>
          <w:szCs w:val="22"/>
        </w:rPr>
        <w:t>EMA will be required to provide environmental sustainability related data on chemicals to ECHA and cooperate with ECHA to enable integration of the data into a database. EMA however does not currently host any such data, therefore, no additional resources are required for this for EMA. Any cooperation with ECHA on setting up the database is covered by the resources for the common data platform.</w:t>
      </w:r>
    </w:p>
    <w:p w14:paraId="7E827D34" w14:textId="77777777" w:rsidR="000A7D9D" w:rsidRDefault="000A7D9D" w:rsidP="000A7D9D">
      <w:pPr>
        <w:pStyle w:val="ListParagraph"/>
        <w:numPr>
          <w:ilvl w:val="0"/>
          <w:numId w:val="4"/>
        </w:numPr>
        <w:spacing w:after="120"/>
        <w:jc w:val="both"/>
        <w:rPr>
          <w:noProof/>
          <w:sz w:val="22"/>
          <w:szCs w:val="22"/>
        </w:rPr>
      </w:pPr>
      <w:r w:rsidRPr="001D47DD">
        <w:rPr>
          <w:noProof/>
          <w:sz w:val="22"/>
          <w:szCs w:val="22"/>
        </w:rPr>
        <w:t>EMA will be required to provide available early warning signals from their areas of responsibility to EEA.</w:t>
      </w:r>
      <w:r>
        <w:rPr>
          <w:noProof/>
          <w:sz w:val="22"/>
          <w:szCs w:val="22"/>
        </w:rPr>
        <w:t xml:space="preserve"> EMA will require no additional resources for this task, as the cooperation is covered by the resources for the common data platform and potential provision of data is a small task that can be absorbed by EMA’s existing resources.</w:t>
      </w:r>
    </w:p>
    <w:p w14:paraId="6F0A25C7" w14:textId="77777777" w:rsidR="000A7D9D" w:rsidRPr="001D47DD" w:rsidRDefault="000A7D9D" w:rsidP="000A7D9D">
      <w:pPr>
        <w:pStyle w:val="ListParagraph"/>
        <w:numPr>
          <w:ilvl w:val="0"/>
          <w:numId w:val="4"/>
        </w:numPr>
        <w:spacing w:before="120" w:after="120"/>
        <w:jc w:val="both"/>
        <w:rPr>
          <w:noProof/>
          <w:sz w:val="22"/>
          <w:szCs w:val="22"/>
        </w:rPr>
      </w:pPr>
      <w:r>
        <w:rPr>
          <w:noProof/>
          <w:sz w:val="22"/>
          <w:szCs w:val="22"/>
        </w:rPr>
        <w:t>Finally, EMA will be required to cooperate with EEA and other agencies on the establishment, operation and maintenance of the framework of indicators. EMA will require no additional resources for this task, as the cooperation is covered by the resources for the common data platform and potential provision of data is a small task that can be absorbed by EMA’s existing resources.</w:t>
      </w:r>
    </w:p>
    <w:p w14:paraId="73584717" w14:textId="77777777" w:rsidR="000A7D9D" w:rsidRPr="00BB139D" w:rsidRDefault="000A7D9D" w:rsidP="000A7D9D">
      <w:pPr>
        <w:spacing w:before="120" w:after="120"/>
        <w:jc w:val="both"/>
        <w:rPr>
          <w:noProof/>
        </w:rPr>
      </w:pPr>
      <w:r w:rsidRPr="0026532B">
        <w:rPr>
          <w:rFonts w:ascii="Times New Roman" w:hAnsi="Times New Roman" w:cs="Times New Roman"/>
          <w:i/>
          <w:noProof/>
        </w:rPr>
        <w:t>Impact on EMA’s expertise</w:t>
      </w:r>
    </w:p>
    <w:p w14:paraId="1CAC2AAE" w14:textId="77777777" w:rsidR="000A7D9D" w:rsidRPr="00EC1412" w:rsidRDefault="000A7D9D" w:rsidP="000A7D9D">
      <w:pPr>
        <w:spacing w:before="120" w:after="120"/>
        <w:jc w:val="both"/>
        <w:rPr>
          <w:rFonts w:ascii="Times New Roman" w:hAnsi="Times New Roman" w:cs="Times New Roman"/>
          <w:i/>
          <w:iCs/>
          <w:noProof/>
        </w:rPr>
      </w:pPr>
      <w:r w:rsidRPr="41576CD3">
        <w:rPr>
          <w:rFonts w:ascii="Times New Roman" w:hAnsi="Times New Roman" w:cs="Times New Roman"/>
          <w:noProof/>
        </w:rPr>
        <w:t>As regards expertise, EMA has the necessary expertise and experience to perform the allocated tasks.</w:t>
      </w:r>
    </w:p>
    <w:p w14:paraId="13EE094A" w14:textId="77777777" w:rsidR="000A7D9D" w:rsidRPr="00EC1412" w:rsidRDefault="000A7D9D" w:rsidP="000A7D9D">
      <w:pPr>
        <w:spacing w:before="240" w:after="120" w:line="240" w:lineRule="auto"/>
        <w:jc w:val="both"/>
        <w:rPr>
          <w:rFonts w:ascii="Times New Roman" w:hAnsi="Times New Roman" w:cs="Times New Roman"/>
          <w:i/>
          <w:noProof/>
        </w:rPr>
      </w:pPr>
      <w:r w:rsidRPr="00EC1412">
        <w:rPr>
          <w:rFonts w:ascii="Times New Roman" w:hAnsi="Times New Roman" w:cs="Times New Roman"/>
          <w:i/>
          <w:noProof/>
        </w:rPr>
        <w:t>Impact on EMA’s committees</w:t>
      </w:r>
    </w:p>
    <w:p w14:paraId="2DE71893" w14:textId="77777777" w:rsidR="000A7D9D" w:rsidRDefault="000A7D9D" w:rsidP="000A7D9D">
      <w:pPr>
        <w:spacing w:after="120"/>
        <w:jc w:val="both"/>
        <w:rPr>
          <w:rFonts w:ascii="Times New Roman" w:hAnsi="Times New Roman" w:cs="Times New Roman"/>
          <w:noProof/>
        </w:rPr>
      </w:pPr>
      <w:r w:rsidRPr="41576CD3">
        <w:rPr>
          <w:rFonts w:ascii="Times New Roman" w:hAnsi="Times New Roman" w:cs="Times New Roman"/>
          <w:noProof/>
        </w:rPr>
        <w:t>No significant impact on EMA committees. The rapporteurs of EMA committees that derive reference values might need to record the derived reference values and associated metadata into the repository of reference values or structure this information in the rel</w:t>
      </w:r>
      <w:r>
        <w:rPr>
          <w:rFonts w:ascii="Times New Roman" w:hAnsi="Times New Roman" w:cs="Times New Roman"/>
          <w:noProof/>
        </w:rPr>
        <w:t>e</w:t>
      </w:r>
      <w:r w:rsidRPr="41576CD3">
        <w:rPr>
          <w:rFonts w:ascii="Times New Roman" w:hAnsi="Times New Roman" w:cs="Times New Roman"/>
          <w:noProof/>
        </w:rPr>
        <w:t>vant opinion for automatic processing.</w:t>
      </w:r>
    </w:p>
    <w:p w14:paraId="15A69E31" w14:textId="77777777" w:rsidR="000A7D9D" w:rsidRDefault="000A7D9D" w:rsidP="000A7D9D">
      <w:pPr>
        <w:rPr>
          <w:rFonts w:ascii="Times New Roman" w:hAnsi="Times New Roman" w:cs="Times New Roman"/>
          <w:noProof/>
        </w:rPr>
      </w:pPr>
    </w:p>
    <w:p w14:paraId="340F68A9" w14:textId="77777777" w:rsidR="000A7D9D" w:rsidRDefault="000A7D9D" w:rsidP="000A7D9D">
      <w:pPr>
        <w:pStyle w:val="Heading2"/>
        <w:keepLines w:val="0"/>
        <w:numPr>
          <w:ilvl w:val="1"/>
          <w:numId w:val="7"/>
        </w:numPr>
        <w:tabs>
          <w:tab w:val="num" w:pos="1200"/>
        </w:tabs>
        <w:spacing w:before="0" w:after="240"/>
        <w:ind w:left="1200" w:hanging="720"/>
        <w:jc w:val="both"/>
        <w:rPr>
          <w:rFonts w:ascii="Times New Roman" w:eastAsia="Times New Roman" w:hAnsi="Times New Roman" w:cs="Times New Roman"/>
          <w:b/>
          <w:noProof/>
          <w:color w:val="auto"/>
          <w:sz w:val="24"/>
          <w:szCs w:val="20"/>
        </w:rPr>
      </w:pPr>
      <w:bookmarkStart w:id="20" w:name="_Toc150499906"/>
      <w:r w:rsidRPr="00CB3F79">
        <w:rPr>
          <w:rFonts w:ascii="Times New Roman" w:eastAsia="Times New Roman" w:hAnsi="Times New Roman" w:cs="Times New Roman"/>
          <w:b/>
          <w:noProof/>
          <w:color w:val="auto"/>
          <w:sz w:val="24"/>
          <w:szCs w:val="20"/>
        </w:rPr>
        <w:t xml:space="preserve">Overall </w:t>
      </w:r>
      <w:r>
        <w:rPr>
          <w:rFonts w:ascii="Times New Roman" w:eastAsia="Times New Roman" w:hAnsi="Times New Roman" w:cs="Times New Roman"/>
          <w:b/>
          <w:noProof/>
          <w:color w:val="auto"/>
          <w:sz w:val="24"/>
          <w:szCs w:val="20"/>
        </w:rPr>
        <w:t>i</w:t>
      </w:r>
      <w:r w:rsidRPr="00CB3F79">
        <w:rPr>
          <w:rFonts w:ascii="Times New Roman" w:eastAsia="Times New Roman" w:hAnsi="Times New Roman" w:cs="Times New Roman"/>
          <w:b/>
          <w:noProof/>
          <w:color w:val="auto"/>
          <w:sz w:val="24"/>
          <w:szCs w:val="20"/>
        </w:rPr>
        <w:t xml:space="preserve">mpacts on </w:t>
      </w:r>
      <w:r>
        <w:rPr>
          <w:rFonts w:ascii="Times New Roman" w:eastAsia="Times New Roman" w:hAnsi="Times New Roman" w:cs="Times New Roman"/>
          <w:b/>
          <w:noProof/>
          <w:color w:val="auto"/>
          <w:sz w:val="24"/>
          <w:szCs w:val="20"/>
        </w:rPr>
        <w:t>EU-OSHA</w:t>
      </w:r>
      <w:bookmarkEnd w:id="20"/>
    </w:p>
    <w:p w14:paraId="4E2EF156" w14:textId="77777777" w:rsidR="000A7D9D" w:rsidRDefault="000A7D9D" w:rsidP="000A7D9D">
      <w:pPr>
        <w:rPr>
          <w:rFonts w:ascii="Times New Roman" w:hAnsi="Times New Roman" w:cs="Times New Roman"/>
          <w:i/>
          <w:noProof/>
        </w:rPr>
      </w:pPr>
      <w:r w:rsidRPr="00EC1412">
        <w:rPr>
          <w:rFonts w:ascii="Times New Roman" w:hAnsi="Times New Roman" w:cs="Times New Roman"/>
          <w:i/>
          <w:noProof/>
        </w:rPr>
        <w:t xml:space="preserve">Impact on </w:t>
      </w:r>
      <w:r>
        <w:rPr>
          <w:rFonts w:ascii="Times New Roman" w:hAnsi="Times New Roman" w:cs="Times New Roman"/>
          <w:i/>
          <w:noProof/>
        </w:rPr>
        <w:t xml:space="preserve">EU-OSHA’s </w:t>
      </w:r>
      <w:r w:rsidRPr="00EC1412">
        <w:rPr>
          <w:rFonts w:ascii="Times New Roman" w:hAnsi="Times New Roman" w:cs="Times New Roman"/>
          <w:i/>
          <w:noProof/>
        </w:rPr>
        <w:t>resources</w:t>
      </w:r>
    </w:p>
    <w:p w14:paraId="79ED5731" w14:textId="77777777" w:rsidR="000A7D9D" w:rsidRPr="00AA018A" w:rsidRDefault="000A7D9D" w:rsidP="000A7D9D">
      <w:pPr>
        <w:rPr>
          <w:noProof/>
        </w:rPr>
      </w:pPr>
      <w:r>
        <w:rPr>
          <w:rFonts w:ascii="Times New Roman" w:hAnsi="Times New Roman" w:cs="Times New Roman"/>
          <w:noProof/>
        </w:rPr>
        <w:t>No a</w:t>
      </w:r>
      <w:r w:rsidRPr="41576CD3">
        <w:rPr>
          <w:rFonts w:ascii="Times New Roman" w:hAnsi="Times New Roman" w:cs="Times New Roman"/>
          <w:noProof/>
        </w:rPr>
        <w:t xml:space="preserve">dditional </w:t>
      </w:r>
      <w:r>
        <w:rPr>
          <w:rFonts w:ascii="Times New Roman" w:hAnsi="Times New Roman" w:cs="Times New Roman"/>
          <w:noProof/>
        </w:rPr>
        <w:t xml:space="preserve">resources are </w:t>
      </w:r>
      <w:r w:rsidRPr="41576CD3">
        <w:rPr>
          <w:rFonts w:ascii="Times New Roman" w:hAnsi="Times New Roman" w:cs="Times New Roman"/>
          <w:noProof/>
        </w:rPr>
        <w:t xml:space="preserve">necessary </w:t>
      </w:r>
      <w:r>
        <w:rPr>
          <w:rFonts w:ascii="Times New Roman" w:hAnsi="Times New Roman" w:cs="Times New Roman"/>
          <w:noProof/>
        </w:rPr>
        <w:t xml:space="preserve">for EU-OSHA </w:t>
      </w:r>
      <w:r w:rsidRPr="41576CD3">
        <w:rPr>
          <w:rFonts w:ascii="Times New Roman" w:hAnsi="Times New Roman" w:cs="Times New Roman"/>
          <w:noProof/>
        </w:rPr>
        <w:t xml:space="preserve">to deal with the envisaged tasks </w:t>
      </w:r>
      <w:r w:rsidRPr="00EC1412">
        <w:rPr>
          <w:rFonts w:ascii="Times New Roman" w:hAnsi="Times New Roman" w:cs="Times New Roman"/>
          <w:noProof/>
        </w:rPr>
        <w:t xml:space="preserve">under the proposal for </w:t>
      </w:r>
      <w:r>
        <w:rPr>
          <w:rFonts w:ascii="Times New Roman" w:hAnsi="Times New Roman" w:cs="Times New Roman"/>
          <w:noProof/>
        </w:rPr>
        <w:t>r</w:t>
      </w:r>
      <w:r w:rsidRPr="00EC1412">
        <w:rPr>
          <w:rFonts w:ascii="Times New Roman" w:hAnsi="Times New Roman" w:cs="Times New Roman"/>
          <w:noProof/>
        </w:rPr>
        <w:t xml:space="preserve">egulation on chemicals </w:t>
      </w:r>
      <w:r>
        <w:rPr>
          <w:rFonts w:ascii="Times New Roman" w:hAnsi="Times New Roman" w:cs="Times New Roman"/>
          <w:noProof/>
        </w:rPr>
        <w:t>data (see Table 23)</w:t>
      </w:r>
      <w:r w:rsidRPr="41576CD3">
        <w:rPr>
          <w:rFonts w:ascii="Times New Roman" w:hAnsi="Times New Roman" w:cs="Times New Roman"/>
          <w:noProof/>
        </w:rPr>
        <w:t>.</w:t>
      </w:r>
    </w:p>
    <w:tbl>
      <w:tblPr>
        <w:tblStyle w:val="TableGrid"/>
        <w:tblW w:w="9634" w:type="dxa"/>
        <w:tblLayout w:type="fixed"/>
        <w:tblLook w:val="04A0" w:firstRow="1" w:lastRow="0" w:firstColumn="1" w:lastColumn="0" w:noHBand="0" w:noVBand="1"/>
      </w:tblPr>
      <w:tblGrid>
        <w:gridCol w:w="3964"/>
        <w:gridCol w:w="426"/>
        <w:gridCol w:w="425"/>
        <w:gridCol w:w="425"/>
        <w:gridCol w:w="425"/>
        <w:gridCol w:w="425"/>
        <w:gridCol w:w="426"/>
        <w:gridCol w:w="425"/>
        <w:gridCol w:w="425"/>
        <w:gridCol w:w="567"/>
        <w:gridCol w:w="567"/>
        <w:gridCol w:w="567"/>
        <w:gridCol w:w="567"/>
      </w:tblGrid>
      <w:tr w:rsidR="000A7D9D" w:rsidRPr="00EC1412" w14:paraId="51A29B4D" w14:textId="77777777" w:rsidTr="00F31937">
        <w:tc>
          <w:tcPr>
            <w:tcW w:w="9634" w:type="dxa"/>
            <w:gridSpan w:val="13"/>
            <w:tcBorders>
              <w:bottom w:val="single" w:sz="4" w:space="0" w:color="auto"/>
            </w:tcBorders>
            <w:shd w:val="clear" w:color="auto" w:fill="A6A6A6" w:themeFill="background1" w:themeFillShade="A6"/>
          </w:tcPr>
          <w:p w14:paraId="2136E2AC" w14:textId="77777777" w:rsidR="000A7D9D" w:rsidRPr="00EC1412" w:rsidRDefault="000A7D9D" w:rsidP="00F31937">
            <w:pPr>
              <w:spacing w:before="60" w:after="60"/>
              <w:jc w:val="both"/>
              <w:rPr>
                <w:b/>
                <w:caps/>
                <w:noProof/>
                <w:sz w:val="18"/>
                <w:szCs w:val="18"/>
              </w:rPr>
            </w:pPr>
            <w:r w:rsidRPr="00EC1412">
              <w:rPr>
                <w:b/>
                <w:noProof/>
                <w:sz w:val="18"/>
                <w:szCs w:val="18"/>
              </w:rPr>
              <w:t>Table 2</w:t>
            </w:r>
            <w:r>
              <w:rPr>
                <w:b/>
                <w:noProof/>
                <w:sz w:val="18"/>
                <w:szCs w:val="18"/>
              </w:rPr>
              <w:t>3</w:t>
            </w:r>
            <w:r w:rsidRPr="00EC1412">
              <w:rPr>
                <w:b/>
                <w:noProof/>
                <w:sz w:val="18"/>
                <w:szCs w:val="18"/>
              </w:rPr>
              <w:t xml:space="preserve">. </w:t>
            </w:r>
            <w:r>
              <w:rPr>
                <w:b/>
                <w:noProof/>
                <w:sz w:val="18"/>
                <w:szCs w:val="18"/>
              </w:rPr>
              <w:t xml:space="preserve">EU-OSHA </w:t>
            </w:r>
            <w:r w:rsidRPr="00EC1412">
              <w:rPr>
                <w:b/>
                <w:noProof/>
                <w:sz w:val="18"/>
                <w:szCs w:val="18"/>
              </w:rPr>
              <w:t xml:space="preserve">pending resource needs per legislative proposal (operational costs in </w:t>
            </w:r>
            <w:r>
              <w:rPr>
                <w:b/>
                <w:noProof/>
                <w:sz w:val="18"/>
                <w:szCs w:val="18"/>
              </w:rPr>
              <w:t xml:space="preserve">EUR </w:t>
            </w:r>
            <w:r w:rsidRPr="00EC1412">
              <w:rPr>
                <w:b/>
                <w:noProof/>
                <w:sz w:val="18"/>
                <w:szCs w:val="18"/>
              </w:rPr>
              <w:t>1</w:t>
            </w:r>
            <w:r>
              <w:rPr>
                <w:b/>
                <w:noProof/>
                <w:sz w:val="18"/>
                <w:szCs w:val="18"/>
              </w:rPr>
              <w:t xml:space="preserve"> </w:t>
            </w:r>
            <w:r w:rsidRPr="00EC1412">
              <w:rPr>
                <w:b/>
                <w:noProof/>
                <w:sz w:val="18"/>
                <w:szCs w:val="18"/>
              </w:rPr>
              <w:t>000</w:t>
            </w:r>
            <w:r w:rsidRPr="00EC1412">
              <w:rPr>
                <w:noProof/>
                <w:sz w:val="18"/>
                <w:szCs w:val="18"/>
              </w:rPr>
              <w:t>)</w:t>
            </w:r>
          </w:p>
        </w:tc>
      </w:tr>
      <w:tr w:rsidR="000A7D9D" w:rsidRPr="00EC1412" w14:paraId="42E986B2" w14:textId="77777777" w:rsidTr="00F31937">
        <w:tc>
          <w:tcPr>
            <w:tcW w:w="3964" w:type="dxa"/>
            <w:tcBorders>
              <w:bottom w:val="single" w:sz="4" w:space="0" w:color="auto"/>
            </w:tcBorders>
            <w:shd w:val="clear" w:color="auto" w:fill="BFBFBF" w:themeFill="background1" w:themeFillShade="BF"/>
          </w:tcPr>
          <w:p w14:paraId="662CC95D" w14:textId="77777777" w:rsidR="000A7D9D" w:rsidRPr="00EC1412" w:rsidRDefault="000A7D9D" w:rsidP="00F31937">
            <w:pPr>
              <w:jc w:val="both"/>
              <w:rPr>
                <w:caps/>
                <w:noProof/>
                <w:sz w:val="18"/>
                <w:szCs w:val="18"/>
              </w:rPr>
            </w:pPr>
          </w:p>
        </w:tc>
        <w:tc>
          <w:tcPr>
            <w:tcW w:w="3402" w:type="dxa"/>
            <w:gridSpan w:val="8"/>
            <w:tcBorders>
              <w:bottom w:val="single" w:sz="4" w:space="0" w:color="auto"/>
            </w:tcBorders>
            <w:shd w:val="clear" w:color="auto" w:fill="BFBFBF" w:themeFill="background1" w:themeFillShade="BF"/>
          </w:tcPr>
          <w:p w14:paraId="5F35E04E" w14:textId="77777777" w:rsidR="000A7D9D" w:rsidRPr="00EC1412" w:rsidRDefault="000A7D9D" w:rsidP="00F31937">
            <w:pPr>
              <w:jc w:val="center"/>
              <w:rPr>
                <w:b/>
                <w:caps/>
                <w:noProof/>
                <w:sz w:val="18"/>
                <w:szCs w:val="18"/>
              </w:rPr>
            </w:pPr>
            <w:r w:rsidRPr="00EC1412">
              <w:rPr>
                <w:b/>
                <w:noProof/>
                <w:sz w:val="18"/>
                <w:szCs w:val="18"/>
              </w:rPr>
              <w:t>FTEs</w:t>
            </w:r>
          </w:p>
        </w:tc>
        <w:tc>
          <w:tcPr>
            <w:tcW w:w="2268" w:type="dxa"/>
            <w:gridSpan w:val="4"/>
            <w:tcBorders>
              <w:bottom w:val="single" w:sz="4" w:space="0" w:color="auto"/>
            </w:tcBorders>
            <w:shd w:val="clear" w:color="auto" w:fill="BFBFBF" w:themeFill="background1" w:themeFillShade="BF"/>
          </w:tcPr>
          <w:p w14:paraId="30EB0347" w14:textId="77777777" w:rsidR="000A7D9D" w:rsidRPr="00EC1412" w:rsidRDefault="000A7D9D" w:rsidP="00F31937">
            <w:pPr>
              <w:jc w:val="center"/>
              <w:rPr>
                <w:b/>
                <w:caps/>
                <w:noProof/>
                <w:sz w:val="18"/>
                <w:szCs w:val="18"/>
              </w:rPr>
            </w:pPr>
            <w:r w:rsidRPr="00EC1412">
              <w:rPr>
                <w:b/>
                <w:noProof/>
                <w:sz w:val="18"/>
                <w:szCs w:val="18"/>
              </w:rPr>
              <w:t>Operational costs</w:t>
            </w:r>
          </w:p>
        </w:tc>
      </w:tr>
      <w:tr w:rsidR="000A7D9D" w:rsidRPr="00EC1412" w14:paraId="12A48313" w14:textId="77777777" w:rsidTr="00F31937">
        <w:tc>
          <w:tcPr>
            <w:tcW w:w="3964" w:type="dxa"/>
            <w:tcBorders>
              <w:bottom w:val="single" w:sz="4" w:space="0" w:color="auto"/>
              <w:right w:val="single" w:sz="4" w:space="0" w:color="auto"/>
            </w:tcBorders>
            <w:shd w:val="clear" w:color="auto" w:fill="BFBFBF" w:themeFill="background1" w:themeFillShade="BF"/>
          </w:tcPr>
          <w:p w14:paraId="13E13495" w14:textId="77777777" w:rsidR="000A7D9D" w:rsidRPr="00EC1412" w:rsidRDefault="000A7D9D" w:rsidP="00F31937">
            <w:pPr>
              <w:jc w:val="both"/>
              <w:rPr>
                <w:b/>
                <w:caps/>
                <w:noProof/>
                <w:sz w:val="18"/>
                <w:szCs w:val="18"/>
              </w:rPr>
            </w:pPr>
            <w:r w:rsidRPr="00EC1412">
              <w:rPr>
                <w:b/>
                <w:noProof/>
                <w:sz w:val="18"/>
                <w:szCs w:val="18"/>
              </w:rPr>
              <w:t xml:space="preserve">Activity </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41AAEA68" w14:textId="77777777" w:rsidR="000A7D9D" w:rsidRPr="00EC1412" w:rsidRDefault="000A7D9D" w:rsidP="00F31937">
            <w:pPr>
              <w:ind w:left="-112"/>
              <w:jc w:val="center"/>
              <w:rPr>
                <w:b/>
                <w:caps/>
                <w:noProof/>
                <w:sz w:val="18"/>
                <w:szCs w:val="18"/>
              </w:rPr>
            </w:pPr>
            <w:r w:rsidRPr="00EC1412">
              <w:rPr>
                <w:b/>
                <w:caps/>
                <w:noProof/>
                <w:sz w:val="18"/>
                <w:szCs w:val="18"/>
              </w:rPr>
              <w:t>202</w:t>
            </w:r>
            <w:r>
              <w:rPr>
                <w:b/>
                <w:caps/>
                <w:noProof/>
                <w:sz w:val="18"/>
                <w:szCs w:val="18"/>
              </w:rPr>
              <w:t>5</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54EF6D0C" w14:textId="77777777" w:rsidR="000A7D9D" w:rsidRPr="00EC1412" w:rsidRDefault="000A7D9D" w:rsidP="00F31937">
            <w:pPr>
              <w:jc w:val="center"/>
              <w:rPr>
                <w:b/>
                <w:caps/>
                <w:noProof/>
                <w:sz w:val="18"/>
                <w:szCs w:val="18"/>
              </w:rPr>
            </w:pPr>
            <w:r w:rsidRPr="00EC1412">
              <w:rPr>
                <w:b/>
                <w:caps/>
                <w:noProof/>
                <w:sz w:val="18"/>
                <w:szCs w:val="18"/>
              </w:rPr>
              <w:t>202</w:t>
            </w:r>
            <w:r>
              <w:rPr>
                <w:b/>
                <w:caps/>
                <w:noProof/>
                <w:sz w:val="18"/>
                <w:szCs w:val="18"/>
              </w:rPr>
              <w:t>6</w:t>
            </w:r>
          </w:p>
        </w:tc>
        <w:tc>
          <w:tcPr>
            <w:tcW w:w="851" w:type="dxa"/>
            <w:gridSpan w:val="2"/>
            <w:tcBorders>
              <w:left w:val="single" w:sz="4" w:space="0" w:color="auto"/>
              <w:bottom w:val="single" w:sz="4" w:space="0" w:color="auto"/>
              <w:right w:val="single" w:sz="4" w:space="0" w:color="auto"/>
            </w:tcBorders>
            <w:shd w:val="clear" w:color="auto" w:fill="BFBFBF" w:themeFill="background1" w:themeFillShade="BF"/>
          </w:tcPr>
          <w:p w14:paraId="00375A54" w14:textId="77777777" w:rsidR="000A7D9D" w:rsidRPr="00EC1412" w:rsidRDefault="000A7D9D" w:rsidP="00F31937">
            <w:pPr>
              <w:ind w:left="-107"/>
              <w:jc w:val="center"/>
              <w:rPr>
                <w:b/>
                <w:caps/>
                <w:noProof/>
                <w:sz w:val="18"/>
                <w:szCs w:val="18"/>
              </w:rPr>
            </w:pPr>
            <w:r w:rsidRPr="00EC1412">
              <w:rPr>
                <w:b/>
                <w:caps/>
                <w:noProof/>
                <w:sz w:val="18"/>
                <w:szCs w:val="18"/>
              </w:rPr>
              <w:t>202</w:t>
            </w:r>
            <w:r>
              <w:rPr>
                <w:b/>
                <w:caps/>
                <w:noProof/>
                <w:sz w:val="18"/>
                <w:szCs w:val="18"/>
              </w:rPr>
              <w:t>7</w:t>
            </w:r>
          </w:p>
        </w:tc>
        <w:tc>
          <w:tcPr>
            <w:tcW w:w="850" w:type="dxa"/>
            <w:gridSpan w:val="2"/>
            <w:tcBorders>
              <w:left w:val="single" w:sz="4" w:space="0" w:color="auto"/>
              <w:bottom w:val="single" w:sz="4" w:space="0" w:color="auto"/>
              <w:right w:val="single" w:sz="4" w:space="0" w:color="auto"/>
            </w:tcBorders>
            <w:shd w:val="clear" w:color="auto" w:fill="BFBFBF" w:themeFill="background1" w:themeFillShade="BF"/>
          </w:tcPr>
          <w:p w14:paraId="6690EA62" w14:textId="77777777" w:rsidR="000A7D9D" w:rsidRPr="00EC1412" w:rsidRDefault="000A7D9D" w:rsidP="00F31937">
            <w:pPr>
              <w:ind w:left="-105"/>
              <w:jc w:val="center"/>
              <w:rPr>
                <w:b/>
                <w:caps/>
                <w:noProof/>
                <w:sz w:val="18"/>
                <w:szCs w:val="18"/>
              </w:rPr>
            </w:pPr>
            <w:r w:rsidRPr="00EC1412">
              <w:rPr>
                <w:b/>
                <w:caps/>
                <w:noProof/>
                <w:sz w:val="18"/>
                <w:szCs w:val="18"/>
              </w:rPr>
              <w:t>202</w:t>
            </w:r>
            <w:r>
              <w:rPr>
                <w:b/>
                <w:caps/>
                <w:noProof/>
                <w:sz w:val="18"/>
                <w:szCs w:val="18"/>
              </w:rPr>
              <w:t>8</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607C8F56" w14:textId="77777777" w:rsidR="000A7D9D" w:rsidRPr="00EC1412" w:rsidRDefault="000A7D9D" w:rsidP="00F31937">
            <w:pPr>
              <w:ind w:left="-78"/>
              <w:jc w:val="right"/>
              <w:rPr>
                <w:b/>
                <w:caps/>
                <w:noProof/>
                <w:sz w:val="18"/>
                <w:szCs w:val="18"/>
              </w:rPr>
            </w:pPr>
            <w:r w:rsidRPr="00EC1412">
              <w:rPr>
                <w:b/>
                <w:caps/>
                <w:noProof/>
                <w:sz w:val="18"/>
                <w:szCs w:val="18"/>
              </w:rPr>
              <w:t>202</w:t>
            </w:r>
            <w:r>
              <w:rPr>
                <w:b/>
                <w:caps/>
                <w:noProof/>
                <w:sz w:val="18"/>
                <w:szCs w:val="18"/>
              </w:rPr>
              <w:t>5</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2593C763" w14:textId="77777777" w:rsidR="000A7D9D" w:rsidRPr="00EC1412" w:rsidRDefault="000A7D9D" w:rsidP="00F31937">
            <w:pPr>
              <w:ind w:left="-84"/>
              <w:jc w:val="right"/>
              <w:rPr>
                <w:b/>
                <w:caps/>
                <w:noProof/>
                <w:sz w:val="18"/>
                <w:szCs w:val="18"/>
              </w:rPr>
            </w:pPr>
            <w:r w:rsidRPr="00EC1412">
              <w:rPr>
                <w:b/>
                <w:caps/>
                <w:noProof/>
                <w:sz w:val="18"/>
                <w:szCs w:val="18"/>
              </w:rPr>
              <w:t>202</w:t>
            </w:r>
            <w:r>
              <w:rPr>
                <w:b/>
                <w:caps/>
                <w:noProof/>
                <w:sz w:val="18"/>
                <w:szCs w:val="18"/>
              </w:rPr>
              <w:t>6</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3154DF15" w14:textId="77777777" w:rsidR="000A7D9D" w:rsidRPr="00EC1412" w:rsidRDefault="000A7D9D" w:rsidP="00F31937">
            <w:pPr>
              <w:ind w:left="-76"/>
              <w:jc w:val="right"/>
              <w:rPr>
                <w:b/>
                <w:caps/>
                <w:noProof/>
                <w:sz w:val="18"/>
                <w:szCs w:val="18"/>
              </w:rPr>
            </w:pPr>
            <w:r w:rsidRPr="00EC1412">
              <w:rPr>
                <w:b/>
                <w:caps/>
                <w:noProof/>
                <w:sz w:val="18"/>
                <w:szCs w:val="18"/>
              </w:rPr>
              <w:t>202</w:t>
            </w:r>
            <w:r>
              <w:rPr>
                <w:b/>
                <w:caps/>
                <w:noProof/>
                <w:sz w:val="18"/>
                <w:szCs w:val="18"/>
              </w:rPr>
              <w:t>7</w:t>
            </w:r>
          </w:p>
        </w:tc>
        <w:tc>
          <w:tcPr>
            <w:tcW w:w="567" w:type="dxa"/>
            <w:tcBorders>
              <w:left w:val="single" w:sz="4" w:space="0" w:color="auto"/>
              <w:bottom w:val="single" w:sz="4" w:space="0" w:color="auto"/>
            </w:tcBorders>
            <w:shd w:val="clear" w:color="auto" w:fill="BFBFBF" w:themeFill="background1" w:themeFillShade="BF"/>
          </w:tcPr>
          <w:p w14:paraId="1FFEF25C" w14:textId="77777777" w:rsidR="000A7D9D" w:rsidRPr="00EC1412" w:rsidRDefault="000A7D9D" w:rsidP="00F31937">
            <w:pPr>
              <w:ind w:left="-114"/>
              <w:jc w:val="right"/>
              <w:rPr>
                <w:b/>
                <w:caps/>
                <w:noProof/>
                <w:sz w:val="18"/>
                <w:szCs w:val="18"/>
              </w:rPr>
            </w:pPr>
            <w:r w:rsidRPr="00EC1412">
              <w:rPr>
                <w:b/>
                <w:caps/>
                <w:noProof/>
                <w:sz w:val="18"/>
                <w:szCs w:val="18"/>
              </w:rPr>
              <w:t>202</w:t>
            </w:r>
            <w:r>
              <w:rPr>
                <w:b/>
                <w:caps/>
                <w:noProof/>
                <w:sz w:val="18"/>
                <w:szCs w:val="18"/>
              </w:rPr>
              <w:t>8</w:t>
            </w:r>
          </w:p>
        </w:tc>
      </w:tr>
      <w:tr w:rsidR="000A7D9D" w:rsidRPr="00EC1412" w14:paraId="68AA82AC" w14:textId="77777777" w:rsidTr="00F31937">
        <w:tc>
          <w:tcPr>
            <w:tcW w:w="3964" w:type="dxa"/>
            <w:tcBorders>
              <w:bottom w:val="single" w:sz="4" w:space="0" w:color="auto"/>
              <w:right w:val="single" w:sz="4" w:space="0" w:color="auto"/>
            </w:tcBorders>
            <w:shd w:val="clear" w:color="auto" w:fill="BFBFBF" w:themeFill="background1" w:themeFillShade="BF"/>
          </w:tcPr>
          <w:p w14:paraId="4C452699" w14:textId="77777777" w:rsidR="000A7D9D" w:rsidRPr="00EC1412" w:rsidRDefault="000A7D9D" w:rsidP="00F31937">
            <w:pPr>
              <w:jc w:val="both"/>
              <w:rPr>
                <w:b/>
                <w:noProof/>
                <w:sz w:val="18"/>
                <w:szCs w:val="18"/>
              </w:rPr>
            </w:pPr>
          </w:p>
        </w:tc>
        <w:tc>
          <w:tcPr>
            <w:tcW w:w="426" w:type="dxa"/>
            <w:tcBorders>
              <w:left w:val="single" w:sz="4" w:space="0" w:color="auto"/>
              <w:bottom w:val="single" w:sz="4" w:space="0" w:color="auto"/>
              <w:right w:val="dotted" w:sz="4" w:space="0" w:color="auto"/>
            </w:tcBorders>
            <w:shd w:val="clear" w:color="auto" w:fill="BFBFBF" w:themeFill="background1" w:themeFillShade="BF"/>
          </w:tcPr>
          <w:p w14:paraId="13E6AC5A" w14:textId="77777777" w:rsidR="000A7D9D" w:rsidRPr="00EC1412" w:rsidRDefault="000A7D9D" w:rsidP="00F31937">
            <w:pPr>
              <w:ind w:left="-112"/>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136EBA56" w14:textId="77777777" w:rsidR="000A7D9D" w:rsidRPr="00EC1412" w:rsidRDefault="000A7D9D" w:rsidP="00F31937">
            <w:pPr>
              <w:ind w:left="-112"/>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19EF2D37"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07A664C3" w14:textId="77777777" w:rsidR="000A7D9D" w:rsidRPr="00EC1412" w:rsidRDefault="000A7D9D" w:rsidP="00F31937">
            <w:pPr>
              <w:ind w:left="-108"/>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15742EC9" w14:textId="77777777" w:rsidR="000A7D9D" w:rsidRPr="00EC1412" w:rsidRDefault="000A7D9D" w:rsidP="00F31937">
            <w:pPr>
              <w:ind w:left="-107"/>
              <w:jc w:val="right"/>
              <w:rPr>
                <w:b/>
                <w:caps/>
                <w:noProof/>
                <w:sz w:val="18"/>
                <w:szCs w:val="18"/>
              </w:rPr>
            </w:pPr>
            <w:r>
              <w:rPr>
                <w:b/>
                <w:caps/>
                <w:noProof/>
                <w:sz w:val="18"/>
                <w:szCs w:val="18"/>
              </w:rPr>
              <w:t>TA</w:t>
            </w:r>
          </w:p>
        </w:tc>
        <w:tc>
          <w:tcPr>
            <w:tcW w:w="426" w:type="dxa"/>
            <w:tcBorders>
              <w:left w:val="dotted" w:sz="4" w:space="0" w:color="auto"/>
              <w:bottom w:val="single" w:sz="4" w:space="0" w:color="auto"/>
              <w:right w:val="single" w:sz="4" w:space="0" w:color="auto"/>
            </w:tcBorders>
            <w:shd w:val="clear" w:color="auto" w:fill="BFBFBF" w:themeFill="background1" w:themeFillShade="BF"/>
          </w:tcPr>
          <w:p w14:paraId="2533935D" w14:textId="77777777" w:rsidR="000A7D9D" w:rsidRPr="00EC1412" w:rsidRDefault="000A7D9D" w:rsidP="00F31937">
            <w:pPr>
              <w:ind w:left="-107"/>
              <w:jc w:val="right"/>
              <w:rPr>
                <w:b/>
                <w:caps/>
                <w:noProof/>
                <w:sz w:val="18"/>
                <w:szCs w:val="18"/>
              </w:rPr>
            </w:pPr>
            <w:r>
              <w:rPr>
                <w:b/>
                <w:caps/>
                <w:noProof/>
                <w:sz w:val="18"/>
                <w:szCs w:val="18"/>
              </w:rPr>
              <w:t>CA</w:t>
            </w:r>
          </w:p>
        </w:tc>
        <w:tc>
          <w:tcPr>
            <w:tcW w:w="425" w:type="dxa"/>
            <w:tcBorders>
              <w:left w:val="single" w:sz="4" w:space="0" w:color="auto"/>
              <w:bottom w:val="single" w:sz="4" w:space="0" w:color="auto"/>
              <w:right w:val="dotted" w:sz="4" w:space="0" w:color="auto"/>
            </w:tcBorders>
            <w:shd w:val="clear" w:color="auto" w:fill="BFBFBF" w:themeFill="background1" w:themeFillShade="BF"/>
          </w:tcPr>
          <w:p w14:paraId="46A90F0E" w14:textId="77777777" w:rsidR="000A7D9D" w:rsidRPr="00EC1412" w:rsidRDefault="000A7D9D" w:rsidP="00F31937">
            <w:pPr>
              <w:ind w:left="-105"/>
              <w:jc w:val="right"/>
              <w:rPr>
                <w:b/>
                <w:caps/>
                <w:noProof/>
                <w:sz w:val="18"/>
                <w:szCs w:val="18"/>
              </w:rPr>
            </w:pPr>
            <w:r>
              <w:rPr>
                <w:b/>
                <w:caps/>
                <w:noProof/>
                <w:sz w:val="18"/>
                <w:szCs w:val="18"/>
              </w:rPr>
              <w:t>TA</w:t>
            </w:r>
          </w:p>
        </w:tc>
        <w:tc>
          <w:tcPr>
            <w:tcW w:w="425" w:type="dxa"/>
            <w:tcBorders>
              <w:left w:val="dotted" w:sz="4" w:space="0" w:color="auto"/>
              <w:bottom w:val="single" w:sz="4" w:space="0" w:color="auto"/>
              <w:right w:val="single" w:sz="4" w:space="0" w:color="auto"/>
            </w:tcBorders>
            <w:shd w:val="clear" w:color="auto" w:fill="BFBFBF" w:themeFill="background1" w:themeFillShade="BF"/>
          </w:tcPr>
          <w:p w14:paraId="5EB375BC" w14:textId="77777777" w:rsidR="000A7D9D" w:rsidRPr="00EC1412" w:rsidRDefault="000A7D9D" w:rsidP="00F31937">
            <w:pPr>
              <w:ind w:left="-105"/>
              <w:jc w:val="right"/>
              <w:rPr>
                <w:b/>
                <w:caps/>
                <w:noProof/>
                <w:sz w:val="18"/>
                <w:szCs w:val="18"/>
              </w:rPr>
            </w:pPr>
            <w:r>
              <w:rPr>
                <w:b/>
                <w:caps/>
                <w:noProof/>
                <w:sz w:val="18"/>
                <w:szCs w:val="18"/>
              </w:rPr>
              <w:t>CA</w:t>
            </w: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25B88B7C" w14:textId="77777777" w:rsidR="000A7D9D" w:rsidRPr="00EC1412" w:rsidRDefault="000A7D9D" w:rsidP="00F31937">
            <w:pPr>
              <w:ind w:left="-78"/>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33CBD3E3" w14:textId="77777777" w:rsidR="000A7D9D" w:rsidRPr="00EC1412" w:rsidRDefault="000A7D9D" w:rsidP="00F31937">
            <w:pPr>
              <w:ind w:left="-84"/>
              <w:jc w:val="right"/>
              <w:rPr>
                <w:b/>
                <w:caps/>
                <w:noProof/>
                <w:sz w:val="18"/>
                <w:szCs w:val="18"/>
              </w:rPr>
            </w:pPr>
          </w:p>
        </w:tc>
        <w:tc>
          <w:tcPr>
            <w:tcW w:w="567" w:type="dxa"/>
            <w:tcBorders>
              <w:left w:val="single" w:sz="4" w:space="0" w:color="auto"/>
              <w:bottom w:val="single" w:sz="4" w:space="0" w:color="auto"/>
              <w:right w:val="single" w:sz="4" w:space="0" w:color="auto"/>
            </w:tcBorders>
            <w:shd w:val="clear" w:color="auto" w:fill="BFBFBF" w:themeFill="background1" w:themeFillShade="BF"/>
          </w:tcPr>
          <w:p w14:paraId="2D8C7C04" w14:textId="77777777" w:rsidR="000A7D9D" w:rsidRPr="00EC1412" w:rsidRDefault="000A7D9D" w:rsidP="00F31937">
            <w:pPr>
              <w:ind w:left="-76"/>
              <w:jc w:val="right"/>
              <w:rPr>
                <w:b/>
                <w:caps/>
                <w:noProof/>
                <w:sz w:val="18"/>
                <w:szCs w:val="18"/>
              </w:rPr>
            </w:pPr>
          </w:p>
        </w:tc>
        <w:tc>
          <w:tcPr>
            <w:tcW w:w="567" w:type="dxa"/>
            <w:tcBorders>
              <w:left w:val="single" w:sz="4" w:space="0" w:color="auto"/>
              <w:bottom w:val="single" w:sz="4" w:space="0" w:color="auto"/>
            </w:tcBorders>
            <w:shd w:val="clear" w:color="auto" w:fill="BFBFBF" w:themeFill="background1" w:themeFillShade="BF"/>
          </w:tcPr>
          <w:p w14:paraId="017E630C" w14:textId="77777777" w:rsidR="000A7D9D" w:rsidRPr="00EC1412" w:rsidRDefault="000A7D9D" w:rsidP="00F31937">
            <w:pPr>
              <w:ind w:left="-114"/>
              <w:jc w:val="right"/>
              <w:rPr>
                <w:b/>
                <w:caps/>
                <w:noProof/>
                <w:sz w:val="18"/>
                <w:szCs w:val="18"/>
              </w:rPr>
            </w:pPr>
          </w:p>
        </w:tc>
      </w:tr>
      <w:tr w:rsidR="000A7D9D" w:rsidRPr="00EC1412" w14:paraId="5F229402" w14:textId="77777777" w:rsidTr="00F31937">
        <w:tc>
          <w:tcPr>
            <w:tcW w:w="3964" w:type="dxa"/>
            <w:tcBorders>
              <w:bottom w:val="dotted" w:sz="4" w:space="0" w:color="auto"/>
              <w:right w:val="single" w:sz="4" w:space="0" w:color="auto"/>
            </w:tcBorders>
            <w:shd w:val="clear" w:color="auto" w:fill="FFF4CC"/>
          </w:tcPr>
          <w:p w14:paraId="7063ECFB" w14:textId="77777777" w:rsidR="000A7D9D" w:rsidRPr="00EC1412" w:rsidRDefault="000A7D9D" w:rsidP="00F31937">
            <w:pPr>
              <w:jc w:val="both"/>
              <w:rPr>
                <w:b/>
                <w:caps/>
                <w:noProof/>
                <w:sz w:val="18"/>
                <w:szCs w:val="18"/>
              </w:rPr>
            </w:pPr>
            <w:r>
              <w:rPr>
                <w:b/>
                <w:noProof/>
                <w:sz w:val="18"/>
                <w:szCs w:val="18"/>
              </w:rPr>
              <w:t>Regulation on chemicals data</w:t>
            </w:r>
          </w:p>
        </w:tc>
        <w:tc>
          <w:tcPr>
            <w:tcW w:w="426" w:type="dxa"/>
            <w:tcBorders>
              <w:left w:val="single" w:sz="4" w:space="0" w:color="auto"/>
              <w:bottom w:val="dotted" w:sz="4" w:space="0" w:color="auto"/>
              <w:right w:val="dotted" w:sz="4" w:space="0" w:color="auto"/>
            </w:tcBorders>
            <w:shd w:val="clear" w:color="auto" w:fill="FFF4CC"/>
          </w:tcPr>
          <w:p w14:paraId="44873F16"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138C0A08"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single" w:sz="4" w:space="0" w:color="auto"/>
              <w:bottom w:val="dotted" w:sz="4" w:space="0" w:color="auto"/>
              <w:right w:val="dotted" w:sz="4" w:space="0" w:color="auto"/>
            </w:tcBorders>
            <w:shd w:val="clear" w:color="auto" w:fill="FFF4CC"/>
          </w:tcPr>
          <w:p w14:paraId="7E69A2FA"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359E5B5D"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single" w:sz="4" w:space="0" w:color="auto"/>
              <w:bottom w:val="dotted" w:sz="4" w:space="0" w:color="auto"/>
              <w:right w:val="dotted" w:sz="4" w:space="0" w:color="auto"/>
            </w:tcBorders>
            <w:shd w:val="clear" w:color="auto" w:fill="FFF4CC"/>
          </w:tcPr>
          <w:p w14:paraId="1723D315" w14:textId="77777777" w:rsidR="000A7D9D" w:rsidRPr="00EC1412" w:rsidRDefault="000A7D9D" w:rsidP="00F31937">
            <w:pPr>
              <w:jc w:val="right"/>
              <w:rPr>
                <w:b/>
                <w:caps/>
                <w:noProof/>
                <w:sz w:val="18"/>
                <w:szCs w:val="18"/>
              </w:rPr>
            </w:pPr>
            <w:r>
              <w:rPr>
                <w:b/>
                <w:caps/>
                <w:noProof/>
                <w:sz w:val="18"/>
                <w:szCs w:val="18"/>
              </w:rPr>
              <w:t>0</w:t>
            </w:r>
          </w:p>
        </w:tc>
        <w:tc>
          <w:tcPr>
            <w:tcW w:w="426" w:type="dxa"/>
            <w:tcBorders>
              <w:left w:val="dotted" w:sz="4" w:space="0" w:color="auto"/>
              <w:bottom w:val="dotted" w:sz="4" w:space="0" w:color="auto"/>
              <w:right w:val="single" w:sz="4" w:space="0" w:color="auto"/>
            </w:tcBorders>
            <w:shd w:val="clear" w:color="auto" w:fill="FFF4CC"/>
          </w:tcPr>
          <w:p w14:paraId="54658D5E"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single" w:sz="4" w:space="0" w:color="auto"/>
              <w:bottom w:val="dotted" w:sz="4" w:space="0" w:color="auto"/>
              <w:right w:val="dotted" w:sz="4" w:space="0" w:color="auto"/>
            </w:tcBorders>
            <w:shd w:val="clear" w:color="auto" w:fill="FFF4CC"/>
          </w:tcPr>
          <w:p w14:paraId="56ED2697"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bottom w:val="dotted" w:sz="4" w:space="0" w:color="auto"/>
              <w:right w:val="single" w:sz="4" w:space="0" w:color="auto"/>
            </w:tcBorders>
            <w:shd w:val="clear" w:color="auto" w:fill="FFF4CC"/>
          </w:tcPr>
          <w:p w14:paraId="62EE47B8"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bottom w:val="dotted" w:sz="4" w:space="0" w:color="auto"/>
              <w:right w:val="single" w:sz="4" w:space="0" w:color="auto"/>
            </w:tcBorders>
            <w:shd w:val="clear" w:color="auto" w:fill="FFF4CC"/>
          </w:tcPr>
          <w:p w14:paraId="6A424804" w14:textId="77777777" w:rsidR="000A7D9D" w:rsidRPr="00EC1412" w:rsidRDefault="000A7D9D" w:rsidP="00F31937">
            <w:pPr>
              <w:jc w:val="right"/>
              <w:rPr>
                <w:b/>
                <w:caps/>
                <w:noProof/>
                <w:sz w:val="18"/>
                <w:szCs w:val="18"/>
              </w:rPr>
            </w:pPr>
            <w:r>
              <w:rPr>
                <w:b/>
                <w:noProof/>
                <w:sz w:val="18"/>
                <w:szCs w:val="18"/>
              </w:rPr>
              <w:t>0</w:t>
            </w:r>
          </w:p>
        </w:tc>
        <w:tc>
          <w:tcPr>
            <w:tcW w:w="567" w:type="dxa"/>
            <w:tcBorders>
              <w:left w:val="single" w:sz="4" w:space="0" w:color="auto"/>
              <w:bottom w:val="dotted" w:sz="4" w:space="0" w:color="auto"/>
              <w:right w:val="single" w:sz="4" w:space="0" w:color="auto"/>
            </w:tcBorders>
            <w:shd w:val="clear" w:color="auto" w:fill="FFF4CC"/>
            <w:vAlign w:val="bottom"/>
          </w:tcPr>
          <w:p w14:paraId="0BD1AA0E" w14:textId="77777777" w:rsidR="000A7D9D" w:rsidRPr="00EC1412" w:rsidRDefault="000A7D9D" w:rsidP="00F31937">
            <w:pPr>
              <w:jc w:val="right"/>
              <w:rPr>
                <w:b/>
                <w:caps/>
                <w:noProof/>
                <w:sz w:val="18"/>
                <w:szCs w:val="18"/>
              </w:rPr>
            </w:pPr>
            <w:r w:rsidRPr="00EC1412">
              <w:rPr>
                <w:b/>
                <w:caps/>
                <w:noProof/>
                <w:sz w:val="18"/>
                <w:szCs w:val="18"/>
              </w:rPr>
              <w:t>0</w:t>
            </w:r>
          </w:p>
        </w:tc>
        <w:tc>
          <w:tcPr>
            <w:tcW w:w="567" w:type="dxa"/>
            <w:tcBorders>
              <w:left w:val="single" w:sz="4" w:space="0" w:color="auto"/>
              <w:bottom w:val="dotted" w:sz="4" w:space="0" w:color="auto"/>
              <w:right w:val="single" w:sz="4" w:space="0" w:color="auto"/>
            </w:tcBorders>
            <w:shd w:val="clear" w:color="auto" w:fill="FFF4CC"/>
            <w:vAlign w:val="bottom"/>
          </w:tcPr>
          <w:p w14:paraId="0575A472" w14:textId="77777777" w:rsidR="000A7D9D" w:rsidRPr="00EC1412" w:rsidRDefault="000A7D9D" w:rsidP="00F31937">
            <w:pPr>
              <w:jc w:val="right"/>
              <w:rPr>
                <w:b/>
                <w:caps/>
                <w:noProof/>
                <w:sz w:val="18"/>
                <w:szCs w:val="18"/>
              </w:rPr>
            </w:pPr>
            <w:r w:rsidRPr="00EC1412">
              <w:rPr>
                <w:b/>
                <w:noProof/>
                <w:sz w:val="18"/>
                <w:szCs w:val="18"/>
              </w:rPr>
              <w:t>0</w:t>
            </w:r>
          </w:p>
        </w:tc>
        <w:tc>
          <w:tcPr>
            <w:tcW w:w="567" w:type="dxa"/>
            <w:tcBorders>
              <w:left w:val="single" w:sz="4" w:space="0" w:color="auto"/>
              <w:bottom w:val="dotted" w:sz="4" w:space="0" w:color="auto"/>
            </w:tcBorders>
            <w:shd w:val="clear" w:color="auto" w:fill="FFF4CC"/>
            <w:vAlign w:val="bottom"/>
          </w:tcPr>
          <w:p w14:paraId="0D32563A" w14:textId="77777777" w:rsidR="000A7D9D" w:rsidRPr="00EC1412" w:rsidRDefault="000A7D9D" w:rsidP="00F31937">
            <w:pPr>
              <w:ind w:left="-119"/>
              <w:jc w:val="right"/>
              <w:rPr>
                <w:b/>
                <w:caps/>
                <w:noProof/>
                <w:sz w:val="18"/>
                <w:szCs w:val="18"/>
              </w:rPr>
            </w:pPr>
            <w:r w:rsidRPr="00EC1412">
              <w:rPr>
                <w:b/>
                <w:noProof/>
                <w:sz w:val="18"/>
                <w:szCs w:val="18"/>
              </w:rPr>
              <w:t>0</w:t>
            </w:r>
          </w:p>
        </w:tc>
      </w:tr>
      <w:tr w:rsidR="000A7D9D" w:rsidRPr="00EC1412" w14:paraId="0CE06E44" w14:textId="77777777" w:rsidTr="00F31937">
        <w:tc>
          <w:tcPr>
            <w:tcW w:w="3964" w:type="dxa"/>
            <w:tcBorders>
              <w:top w:val="dotted" w:sz="4" w:space="0" w:color="auto"/>
              <w:bottom w:val="dotted" w:sz="4" w:space="0" w:color="auto"/>
              <w:right w:val="single" w:sz="4" w:space="0" w:color="auto"/>
            </w:tcBorders>
            <w:shd w:val="clear" w:color="auto" w:fill="FFF4CC"/>
          </w:tcPr>
          <w:p w14:paraId="4C94FF9F" w14:textId="77777777" w:rsidR="000A7D9D" w:rsidRPr="00EC1412" w:rsidRDefault="000A7D9D" w:rsidP="00F31937">
            <w:pPr>
              <w:jc w:val="both"/>
              <w:rPr>
                <w:noProof/>
                <w:sz w:val="18"/>
                <w:szCs w:val="18"/>
              </w:rPr>
            </w:pPr>
            <w:r w:rsidRPr="00EC1412">
              <w:rPr>
                <w:noProof/>
                <w:sz w:val="18"/>
                <w:szCs w:val="18"/>
              </w:rPr>
              <w:t xml:space="preserve">   Common data platform</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0B1F4A0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A6700F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C9E2168"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9748CC5"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74909F4"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280FABCF"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C3EF9B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16FDDECF"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24596712"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14D3D60A" w14:textId="77777777" w:rsidR="000A7D9D" w:rsidRPr="00EC1412" w:rsidRDefault="000A7D9D" w:rsidP="00F31937">
            <w:pPr>
              <w:jc w:val="right"/>
              <w:rPr>
                <w:caps/>
                <w:noProof/>
                <w:sz w:val="18"/>
                <w:szCs w:val="18"/>
              </w:rPr>
            </w:pPr>
            <w:r w:rsidRPr="00EC1412">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1DC6EF76"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vAlign w:val="bottom"/>
          </w:tcPr>
          <w:p w14:paraId="73DD53B0"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5EEA47D8" w14:textId="77777777" w:rsidTr="00F31937">
        <w:tc>
          <w:tcPr>
            <w:tcW w:w="3964" w:type="dxa"/>
            <w:tcBorders>
              <w:top w:val="dotted" w:sz="4" w:space="0" w:color="auto"/>
              <w:bottom w:val="dotted" w:sz="4" w:space="0" w:color="auto"/>
              <w:right w:val="single" w:sz="4" w:space="0" w:color="auto"/>
            </w:tcBorders>
            <w:shd w:val="clear" w:color="auto" w:fill="FFF4CC"/>
          </w:tcPr>
          <w:p w14:paraId="18F2ECC4" w14:textId="77777777" w:rsidR="000A7D9D" w:rsidRPr="00EC1412" w:rsidRDefault="000A7D9D" w:rsidP="00F31937">
            <w:pPr>
              <w:jc w:val="both"/>
              <w:rPr>
                <w:noProof/>
                <w:sz w:val="18"/>
                <w:szCs w:val="18"/>
              </w:rPr>
            </w:pPr>
            <w:r>
              <w:rPr>
                <w:rStyle w:val="normaltextrun"/>
                <w:noProof/>
                <w:sz w:val="18"/>
                <w:szCs w:val="18"/>
              </w:rPr>
              <w:t xml:space="preserve">   </w:t>
            </w:r>
            <w:r w:rsidRPr="00EC1412">
              <w:rPr>
                <w:rStyle w:val="normaltextrun"/>
                <w:noProof/>
                <w:sz w:val="18"/>
                <w:szCs w:val="18"/>
              </w:rPr>
              <w:t>Information Platform for Chemical Monitoring</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3A71C850"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A1E65E0"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B3720C9"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4CF193C3"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6ABE8A63" w14:textId="77777777" w:rsidR="000A7D9D"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2ACFDD0B"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35FCA1D"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CD96938" w14:textId="77777777" w:rsidR="000A7D9D"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BA6430B"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0466AB3B" w14:textId="77777777" w:rsidR="000A7D9D"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71C3ACAE"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vAlign w:val="bottom"/>
          </w:tcPr>
          <w:p w14:paraId="7AC47C87" w14:textId="77777777" w:rsidR="000A7D9D" w:rsidRDefault="000A7D9D" w:rsidP="00F31937">
            <w:pPr>
              <w:ind w:left="-119"/>
              <w:jc w:val="right"/>
              <w:rPr>
                <w:noProof/>
                <w:sz w:val="18"/>
                <w:szCs w:val="18"/>
              </w:rPr>
            </w:pPr>
            <w:r>
              <w:rPr>
                <w:noProof/>
                <w:sz w:val="18"/>
                <w:szCs w:val="18"/>
              </w:rPr>
              <w:t>0</w:t>
            </w:r>
          </w:p>
        </w:tc>
      </w:tr>
      <w:tr w:rsidR="000A7D9D" w:rsidRPr="00EC1412" w14:paraId="6D47851B" w14:textId="77777777" w:rsidTr="00F31937">
        <w:tc>
          <w:tcPr>
            <w:tcW w:w="3964" w:type="dxa"/>
            <w:tcBorders>
              <w:top w:val="dotted" w:sz="4" w:space="0" w:color="auto"/>
              <w:bottom w:val="dotted" w:sz="4" w:space="0" w:color="auto"/>
              <w:right w:val="single" w:sz="4" w:space="0" w:color="auto"/>
            </w:tcBorders>
            <w:shd w:val="clear" w:color="auto" w:fill="FFF4CC"/>
          </w:tcPr>
          <w:p w14:paraId="5CD30C99" w14:textId="77777777" w:rsidR="000A7D9D" w:rsidRDefault="000A7D9D" w:rsidP="00F31937">
            <w:pPr>
              <w:ind w:left="142"/>
              <w:jc w:val="both"/>
              <w:rPr>
                <w:rStyle w:val="normaltextrun"/>
                <w:noProof/>
                <w:sz w:val="18"/>
                <w:szCs w:val="18"/>
              </w:rPr>
            </w:pPr>
            <w:r>
              <w:rPr>
                <w:rStyle w:val="normaltextrun"/>
                <w:noProof/>
                <w:sz w:val="18"/>
                <w:szCs w:val="18"/>
              </w:rPr>
              <w:t>Information on regulatory processes on chemicals</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27972F56"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6DFFC357"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07F5DD4A"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E371CF2"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35E718B" w14:textId="77777777" w:rsidR="000A7D9D"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79369E43"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3F625618" w14:textId="77777777" w:rsidR="000A7D9D"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A8DA3F8" w14:textId="77777777" w:rsidR="000A7D9D"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66D84559"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11E94286" w14:textId="77777777" w:rsidR="000A7D9D"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vAlign w:val="bottom"/>
          </w:tcPr>
          <w:p w14:paraId="3CA9C454" w14:textId="77777777" w:rsidR="000A7D9D"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vAlign w:val="bottom"/>
          </w:tcPr>
          <w:p w14:paraId="57DDA674" w14:textId="77777777" w:rsidR="000A7D9D" w:rsidRDefault="000A7D9D" w:rsidP="00F31937">
            <w:pPr>
              <w:ind w:left="-119"/>
              <w:jc w:val="right"/>
              <w:rPr>
                <w:noProof/>
                <w:sz w:val="18"/>
                <w:szCs w:val="18"/>
              </w:rPr>
            </w:pPr>
            <w:r>
              <w:rPr>
                <w:noProof/>
                <w:sz w:val="18"/>
                <w:szCs w:val="18"/>
              </w:rPr>
              <w:t>0</w:t>
            </w:r>
          </w:p>
        </w:tc>
      </w:tr>
      <w:tr w:rsidR="000A7D9D" w:rsidRPr="00EC1412" w14:paraId="118A3A54" w14:textId="77777777" w:rsidTr="00F31937">
        <w:tc>
          <w:tcPr>
            <w:tcW w:w="3964" w:type="dxa"/>
            <w:tcBorders>
              <w:top w:val="dotted" w:sz="4" w:space="0" w:color="auto"/>
              <w:bottom w:val="dotted" w:sz="4" w:space="0" w:color="auto"/>
              <w:right w:val="single" w:sz="4" w:space="0" w:color="auto"/>
            </w:tcBorders>
            <w:shd w:val="clear" w:color="auto" w:fill="FFF4CC"/>
          </w:tcPr>
          <w:p w14:paraId="6BCA5C42" w14:textId="77777777" w:rsidR="000A7D9D" w:rsidRPr="00EC1412" w:rsidRDefault="000A7D9D" w:rsidP="00F31937">
            <w:pPr>
              <w:spacing w:line="259" w:lineRule="auto"/>
              <w:jc w:val="both"/>
              <w:rPr>
                <w:noProof/>
                <w:sz w:val="18"/>
                <w:szCs w:val="18"/>
              </w:rPr>
            </w:pPr>
            <w:r w:rsidRPr="41576CD3">
              <w:rPr>
                <w:noProof/>
                <w:sz w:val="18"/>
                <w:szCs w:val="18"/>
              </w:rPr>
              <w:t xml:space="preserve">   Repository of refer</w:t>
            </w:r>
            <w:r>
              <w:rPr>
                <w:noProof/>
                <w:sz w:val="18"/>
                <w:szCs w:val="18"/>
              </w:rPr>
              <w:t>e</w:t>
            </w:r>
            <w:r w:rsidRPr="41576CD3">
              <w:rPr>
                <w:noProof/>
                <w:sz w:val="18"/>
                <w:szCs w:val="18"/>
              </w:rPr>
              <w:t>nce values</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4D424F21"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3E28846"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24928C65"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2520C38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4FACF49"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54EF2645"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759BFD8E"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C5B1E47"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4EA586FF"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3F38D28F"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1F27D56"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4EBF075C"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72EE347F" w14:textId="77777777" w:rsidTr="00F31937">
        <w:tc>
          <w:tcPr>
            <w:tcW w:w="3964" w:type="dxa"/>
            <w:tcBorders>
              <w:top w:val="dotted" w:sz="4" w:space="0" w:color="auto"/>
              <w:bottom w:val="dotted" w:sz="4" w:space="0" w:color="auto"/>
              <w:right w:val="single" w:sz="4" w:space="0" w:color="auto"/>
            </w:tcBorders>
            <w:shd w:val="clear" w:color="auto" w:fill="FFF4CC"/>
          </w:tcPr>
          <w:p w14:paraId="7EEC7431" w14:textId="77777777" w:rsidR="000A7D9D" w:rsidRPr="00EC1412" w:rsidRDefault="000A7D9D" w:rsidP="00F31937">
            <w:pPr>
              <w:ind w:left="142"/>
              <w:rPr>
                <w:noProof/>
                <w:sz w:val="18"/>
                <w:szCs w:val="18"/>
              </w:rPr>
            </w:pPr>
            <w:r>
              <w:rPr>
                <w:noProof/>
                <w:sz w:val="18"/>
                <w:szCs w:val="18"/>
              </w:rPr>
              <w:t xml:space="preserve">Environmental sustainability related data on chemicals </w:t>
            </w:r>
          </w:p>
        </w:tc>
        <w:tc>
          <w:tcPr>
            <w:tcW w:w="426" w:type="dxa"/>
            <w:tcBorders>
              <w:top w:val="dotted" w:sz="4" w:space="0" w:color="auto"/>
              <w:left w:val="single" w:sz="4" w:space="0" w:color="auto"/>
              <w:bottom w:val="dotted" w:sz="4" w:space="0" w:color="auto"/>
              <w:right w:val="dotted" w:sz="4" w:space="0" w:color="auto"/>
            </w:tcBorders>
            <w:shd w:val="clear" w:color="auto" w:fill="FFF4CC"/>
          </w:tcPr>
          <w:p w14:paraId="5032672C"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38ACE810"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C4F88E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7244C12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2B26223" w14:textId="77777777" w:rsidR="000A7D9D" w:rsidRPr="00EC1412" w:rsidRDefault="000A7D9D" w:rsidP="00F31937">
            <w:pPr>
              <w:jc w:val="right"/>
              <w:rPr>
                <w:caps/>
                <w:noProof/>
                <w:sz w:val="18"/>
                <w:szCs w:val="18"/>
              </w:rPr>
            </w:pPr>
            <w:r>
              <w:rPr>
                <w:caps/>
                <w:noProof/>
                <w:sz w:val="18"/>
                <w:szCs w:val="18"/>
              </w:rPr>
              <w:t>0</w:t>
            </w:r>
          </w:p>
        </w:tc>
        <w:tc>
          <w:tcPr>
            <w:tcW w:w="426" w:type="dxa"/>
            <w:tcBorders>
              <w:top w:val="dotted" w:sz="4" w:space="0" w:color="auto"/>
              <w:left w:val="dotted" w:sz="4" w:space="0" w:color="auto"/>
              <w:bottom w:val="dotted" w:sz="4" w:space="0" w:color="auto"/>
              <w:right w:val="single" w:sz="4" w:space="0" w:color="auto"/>
            </w:tcBorders>
            <w:shd w:val="clear" w:color="auto" w:fill="FFF4CC"/>
          </w:tcPr>
          <w:p w14:paraId="206BAD76"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dotted" w:sz="4" w:space="0" w:color="auto"/>
              <w:right w:val="dotted" w:sz="4" w:space="0" w:color="auto"/>
            </w:tcBorders>
            <w:shd w:val="clear" w:color="auto" w:fill="FFF4CC"/>
          </w:tcPr>
          <w:p w14:paraId="5DEA4C0D"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dotted" w:sz="4" w:space="0" w:color="auto"/>
              <w:bottom w:val="dotted" w:sz="4" w:space="0" w:color="auto"/>
              <w:right w:val="single" w:sz="4" w:space="0" w:color="auto"/>
            </w:tcBorders>
            <w:shd w:val="clear" w:color="auto" w:fill="FFF4CC"/>
          </w:tcPr>
          <w:p w14:paraId="007473CE"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0E8B5A97"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131F018A"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dotted" w:sz="4" w:space="0" w:color="auto"/>
              <w:right w:val="single" w:sz="4" w:space="0" w:color="auto"/>
            </w:tcBorders>
            <w:shd w:val="clear" w:color="auto" w:fill="FFF4CC"/>
          </w:tcPr>
          <w:p w14:paraId="278AD055"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dotted" w:sz="4" w:space="0" w:color="auto"/>
            </w:tcBorders>
            <w:shd w:val="clear" w:color="auto" w:fill="FFF4CC"/>
          </w:tcPr>
          <w:p w14:paraId="136709C3"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25368606" w14:textId="77777777" w:rsidTr="00F31937">
        <w:tc>
          <w:tcPr>
            <w:tcW w:w="3964" w:type="dxa"/>
            <w:tcBorders>
              <w:top w:val="dotted" w:sz="4" w:space="0" w:color="auto"/>
              <w:bottom w:val="single" w:sz="4" w:space="0" w:color="auto"/>
              <w:right w:val="single" w:sz="4" w:space="0" w:color="auto"/>
            </w:tcBorders>
            <w:shd w:val="clear" w:color="auto" w:fill="FFF4CC"/>
          </w:tcPr>
          <w:p w14:paraId="3760EC9A" w14:textId="77777777" w:rsidR="000A7D9D" w:rsidRPr="00EC1412" w:rsidRDefault="000A7D9D" w:rsidP="00F31937">
            <w:pPr>
              <w:ind w:left="142"/>
              <w:rPr>
                <w:noProof/>
                <w:sz w:val="18"/>
                <w:szCs w:val="18"/>
              </w:rPr>
            </w:pPr>
            <w:r w:rsidRPr="41576CD3">
              <w:rPr>
                <w:noProof/>
                <w:sz w:val="18"/>
                <w:szCs w:val="18"/>
              </w:rPr>
              <w:t>Early warning and action system and framework of indicators</w:t>
            </w:r>
          </w:p>
        </w:tc>
        <w:tc>
          <w:tcPr>
            <w:tcW w:w="426" w:type="dxa"/>
            <w:tcBorders>
              <w:top w:val="dotted" w:sz="4" w:space="0" w:color="auto"/>
              <w:left w:val="single" w:sz="4" w:space="0" w:color="auto"/>
              <w:bottom w:val="single" w:sz="4" w:space="0" w:color="auto"/>
              <w:right w:val="dotted" w:sz="4" w:space="0" w:color="auto"/>
            </w:tcBorders>
            <w:shd w:val="clear" w:color="auto" w:fill="FFF4CC"/>
          </w:tcPr>
          <w:p w14:paraId="1C61A6F1"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694E1A9B"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745F88D8"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1011ACD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111FD2ED" w14:textId="77777777" w:rsidR="000A7D9D" w:rsidRPr="00EC1412" w:rsidRDefault="000A7D9D" w:rsidP="00F31937">
            <w:pPr>
              <w:jc w:val="right"/>
              <w:rPr>
                <w:caps/>
                <w:noProof/>
                <w:sz w:val="18"/>
                <w:szCs w:val="18"/>
              </w:rPr>
            </w:pPr>
            <w:r w:rsidRPr="00EC1412">
              <w:rPr>
                <w:caps/>
                <w:noProof/>
                <w:sz w:val="18"/>
                <w:szCs w:val="18"/>
              </w:rPr>
              <w:t>0</w:t>
            </w:r>
          </w:p>
        </w:tc>
        <w:tc>
          <w:tcPr>
            <w:tcW w:w="426" w:type="dxa"/>
            <w:tcBorders>
              <w:top w:val="dotted" w:sz="4" w:space="0" w:color="auto"/>
              <w:left w:val="dotted" w:sz="4" w:space="0" w:color="auto"/>
              <w:bottom w:val="single" w:sz="4" w:space="0" w:color="auto"/>
              <w:right w:val="single" w:sz="4" w:space="0" w:color="auto"/>
            </w:tcBorders>
            <w:shd w:val="clear" w:color="auto" w:fill="FFF4CC"/>
          </w:tcPr>
          <w:p w14:paraId="0CEB9163" w14:textId="77777777" w:rsidR="000A7D9D" w:rsidRPr="00EC1412" w:rsidRDefault="000A7D9D" w:rsidP="00F31937">
            <w:pPr>
              <w:jc w:val="right"/>
              <w:rPr>
                <w:caps/>
                <w:noProof/>
                <w:sz w:val="18"/>
                <w:szCs w:val="18"/>
              </w:rPr>
            </w:pPr>
            <w:r>
              <w:rPr>
                <w:caps/>
                <w:noProof/>
                <w:sz w:val="18"/>
                <w:szCs w:val="18"/>
              </w:rPr>
              <w:t>0</w:t>
            </w:r>
          </w:p>
        </w:tc>
        <w:tc>
          <w:tcPr>
            <w:tcW w:w="425" w:type="dxa"/>
            <w:tcBorders>
              <w:top w:val="dotted" w:sz="4" w:space="0" w:color="auto"/>
              <w:left w:val="single" w:sz="4" w:space="0" w:color="auto"/>
              <w:bottom w:val="single" w:sz="4" w:space="0" w:color="auto"/>
              <w:right w:val="dotted" w:sz="4" w:space="0" w:color="auto"/>
            </w:tcBorders>
            <w:shd w:val="clear" w:color="auto" w:fill="FFF4CC"/>
          </w:tcPr>
          <w:p w14:paraId="44353AC9" w14:textId="77777777" w:rsidR="000A7D9D" w:rsidRPr="00EC1412" w:rsidRDefault="000A7D9D" w:rsidP="00F31937">
            <w:pPr>
              <w:jc w:val="right"/>
              <w:rPr>
                <w:caps/>
                <w:noProof/>
                <w:sz w:val="18"/>
                <w:szCs w:val="18"/>
              </w:rPr>
            </w:pPr>
            <w:r w:rsidRPr="00EC1412">
              <w:rPr>
                <w:caps/>
                <w:noProof/>
                <w:sz w:val="18"/>
                <w:szCs w:val="18"/>
              </w:rPr>
              <w:t>0</w:t>
            </w:r>
          </w:p>
        </w:tc>
        <w:tc>
          <w:tcPr>
            <w:tcW w:w="425" w:type="dxa"/>
            <w:tcBorders>
              <w:top w:val="dotted" w:sz="4" w:space="0" w:color="auto"/>
              <w:left w:val="dotted" w:sz="4" w:space="0" w:color="auto"/>
              <w:bottom w:val="single" w:sz="4" w:space="0" w:color="auto"/>
              <w:right w:val="single" w:sz="4" w:space="0" w:color="auto"/>
            </w:tcBorders>
            <w:shd w:val="clear" w:color="auto" w:fill="FFF4CC"/>
          </w:tcPr>
          <w:p w14:paraId="491D1739" w14:textId="77777777" w:rsidR="000A7D9D" w:rsidRPr="00EC1412" w:rsidRDefault="000A7D9D" w:rsidP="00F31937">
            <w:pPr>
              <w:jc w:val="right"/>
              <w:rPr>
                <w:caps/>
                <w:noProof/>
                <w:sz w:val="18"/>
                <w:szCs w:val="18"/>
              </w:rPr>
            </w:pPr>
            <w:r>
              <w:rPr>
                <w:caps/>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7C10B640"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282CBF92" w14:textId="77777777" w:rsidR="000A7D9D" w:rsidRPr="00EC1412" w:rsidRDefault="000A7D9D" w:rsidP="00F31937">
            <w:pPr>
              <w:jc w:val="right"/>
              <w:rPr>
                <w:caps/>
                <w:noProof/>
                <w:sz w:val="18"/>
                <w:szCs w:val="18"/>
              </w:rPr>
            </w:pPr>
            <w:r>
              <w:rPr>
                <w:noProof/>
                <w:sz w:val="18"/>
                <w:szCs w:val="18"/>
              </w:rPr>
              <w:t>0</w:t>
            </w:r>
          </w:p>
        </w:tc>
        <w:tc>
          <w:tcPr>
            <w:tcW w:w="567" w:type="dxa"/>
            <w:tcBorders>
              <w:top w:val="dotted" w:sz="4" w:space="0" w:color="auto"/>
              <w:left w:val="single" w:sz="4" w:space="0" w:color="auto"/>
              <w:bottom w:val="single" w:sz="4" w:space="0" w:color="auto"/>
              <w:right w:val="single" w:sz="4" w:space="0" w:color="auto"/>
            </w:tcBorders>
            <w:shd w:val="clear" w:color="auto" w:fill="FFF4CC"/>
          </w:tcPr>
          <w:p w14:paraId="57BE0381" w14:textId="77777777" w:rsidR="000A7D9D" w:rsidRPr="00EC1412" w:rsidRDefault="000A7D9D" w:rsidP="00F31937">
            <w:pPr>
              <w:jc w:val="right"/>
              <w:rPr>
                <w:noProof/>
                <w:sz w:val="18"/>
                <w:szCs w:val="18"/>
              </w:rPr>
            </w:pPr>
            <w:r>
              <w:rPr>
                <w:noProof/>
                <w:sz w:val="18"/>
                <w:szCs w:val="18"/>
              </w:rPr>
              <w:t>0</w:t>
            </w:r>
          </w:p>
        </w:tc>
        <w:tc>
          <w:tcPr>
            <w:tcW w:w="567" w:type="dxa"/>
            <w:tcBorders>
              <w:top w:val="dotted" w:sz="4" w:space="0" w:color="auto"/>
              <w:left w:val="single" w:sz="4" w:space="0" w:color="auto"/>
              <w:bottom w:val="single" w:sz="4" w:space="0" w:color="auto"/>
            </w:tcBorders>
            <w:shd w:val="clear" w:color="auto" w:fill="FFF4CC"/>
          </w:tcPr>
          <w:p w14:paraId="2F993FEF" w14:textId="77777777" w:rsidR="000A7D9D" w:rsidRPr="00EC1412" w:rsidRDefault="000A7D9D" w:rsidP="00F31937">
            <w:pPr>
              <w:ind w:left="-119"/>
              <w:jc w:val="right"/>
              <w:rPr>
                <w:noProof/>
                <w:sz w:val="18"/>
                <w:szCs w:val="18"/>
              </w:rPr>
            </w:pPr>
            <w:r>
              <w:rPr>
                <w:noProof/>
                <w:sz w:val="18"/>
                <w:szCs w:val="18"/>
              </w:rPr>
              <w:t>0</w:t>
            </w:r>
          </w:p>
        </w:tc>
      </w:tr>
      <w:tr w:rsidR="000A7D9D" w:rsidRPr="00EC1412" w14:paraId="08DCF21F" w14:textId="77777777" w:rsidTr="00F31937">
        <w:tc>
          <w:tcPr>
            <w:tcW w:w="3964" w:type="dxa"/>
            <w:tcBorders>
              <w:right w:val="single" w:sz="4" w:space="0" w:color="auto"/>
            </w:tcBorders>
            <w:shd w:val="clear" w:color="auto" w:fill="BFBFBF" w:themeFill="background1" w:themeFillShade="BF"/>
          </w:tcPr>
          <w:p w14:paraId="37C0519F" w14:textId="77777777" w:rsidR="000A7D9D" w:rsidRPr="00EC1412" w:rsidRDefault="000A7D9D" w:rsidP="00F31937">
            <w:pPr>
              <w:jc w:val="both"/>
              <w:rPr>
                <w:b/>
                <w:caps/>
                <w:noProof/>
                <w:sz w:val="18"/>
                <w:szCs w:val="18"/>
              </w:rPr>
            </w:pPr>
            <w:r w:rsidRPr="00EC1412">
              <w:rPr>
                <w:b/>
                <w:caps/>
                <w:noProof/>
                <w:sz w:val="18"/>
                <w:szCs w:val="18"/>
              </w:rPr>
              <w:t>SUm</w:t>
            </w:r>
          </w:p>
        </w:tc>
        <w:tc>
          <w:tcPr>
            <w:tcW w:w="426" w:type="dxa"/>
            <w:tcBorders>
              <w:left w:val="single" w:sz="4" w:space="0" w:color="auto"/>
              <w:right w:val="dotted" w:sz="4" w:space="0" w:color="auto"/>
            </w:tcBorders>
            <w:shd w:val="clear" w:color="auto" w:fill="BFBFBF" w:themeFill="background1" w:themeFillShade="BF"/>
          </w:tcPr>
          <w:p w14:paraId="68081880"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19A0DB3E"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single" w:sz="4" w:space="0" w:color="auto"/>
              <w:right w:val="dotted" w:sz="4" w:space="0" w:color="auto"/>
            </w:tcBorders>
            <w:shd w:val="clear" w:color="auto" w:fill="BFBFBF" w:themeFill="background1" w:themeFillShade="BF"/>
          </w:tcPr>
          <w:p w14:paraId="4B078CD9"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7BB34AED"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single" w:sz="4" w:space="0" w:color="auto"/>
              <w:right w:val="dotted" w:sz="4" w:space="0" w:color="auto"/>
            </w:tcBorders>
            <w:shd w:val="clear" w:color="auto" w:fill="BFBFBF" w:themeFill="background1" w:themeFillShade="BF"/>
          </w:tcPr>
          <w:p w14:paraId="284E6E18" w14:textId="77777777" w:rsidR="000A7D9D" w:rsidRPr="00EC1412" w:rsidRDefault="000A7D9D" w:rsidP="00F31937">
            <w:pPr>
              <w:jc w:val="right"/>
              <w:rPr>
                <w:b/>
                <w:caps/>
                <w:noProof/>
                <w:sz w:val="18"/>
                <w:szCs w:val="18"/>
              </w:rPr>
            </w:pPr>
            <w:r>
              <w:rPr>
                <w:b/>
                <w:caps/>
                <w:noProof/>
                <w:sz w:val="18"/>
                <w:szCs w:val="18"/>
              </w:rPr>
              <w:t>0</w:t>
            </w:r>
          </w:p>
        </w:tc>
        <w:tc>
          <w:tcPr>
            <w:tcW w:w="426" w:type="dxa"/>
            <w:tcBorders>
              <w:left w:val="dotted" w:sz="4" w:space="0" w:color="auto"/>
              <w:right w:val="single" w:sz="4" w:space="0" w:color="auto"/>
            </w:tcBorders>
            <w:shd w:val="clear" w:color="auto" w:fill="BFBFBF" w:themeFill="background1" w:themeFillShade="BF"/>
          </w:tcPr>
          <w:p w14:paraId="63E25C45"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single" w:sz="4" w:space="0" w:color="auto"/>
              <w:right w:val="dotted" w:sz="4" w:space="0" w:color="auto"/>
            </w:tcBorders>
            <w:shd w:val="clear" w:color="auto" w:fill="BFBFBF" w:themeFill="background1" w:themeFillShade="BF"/>
          </w:tcPr>
          <w:p w14:paraId="7DFA9CD4" w14:textId="77777777" w:rsidR="000A7D9D" w:rsidRPr="00EC1412" w:rsidRDefault="000A7D9D" w:rsidP="00F31937">
            <w:pPr>
              <w:jc w:val="right"/>
              <w:rPr>
                <w:b/>
                <w:caps/>
                <w:noProof/>
                <w:sz w:val="18"/>
                <w:szCs w:val="18"/>
              </w:rPr>
            </w:pPr>
            <w:r>
              <w:rPr>
                <w:b/>
                <w:caps/>
                <w:noProof/>
                <w:sz w:val="18"/>
                <w:szCs w:val="18"/>
              </w:rPr>
              <w:t>0</w:t>
            </w:r>
          </w:p>
        </w:tc>
        <w:tc>
          <w:tcPr>
            <w:tcW w:w="425" w:type="dxa"/>
            <w:tcBorders>
              <w:left w:val="dotted" w:sz="4" w:space="0" w:color="auto"/>
              <w:right w:val="single" w:sz="4" w:space="0" w:color="auto"/>
            </w:tcBorders>
            <w:shd w:val="clear" w:color="auto" w:fill="BFBFBF" w:themeFill="background1" w:themeFillShade="BF"/>
          </w:tcPr>
          <w:p w14:paraId="125F6216"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70429D36"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46961BCD"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right w:val="single" w:sz="4" w:space="0" w:color="auto"/>
            </w:tcBorders>
            <w:shd w:val="clear" w:color="auto" w:fill="BFBFBF" w:themeFill="background1" w:themeFillShade="BF"/>
          </w:tcPr>
          <w:p w14:paraId="07B552A1" w14:textId="77777777" w:rsidR="000A7D9D" w:rsidRPr="00EC1412" w:rsidRDefault="000A7D9D" w:rsidP="00F31937">
            <w:pPr>
              <w:jc w:val="right"/>
              <w:rPr>
                <w:b/>
                <w:caps/>
                <w:noProof/>
                <w:sz w:val="18"/>
                <w:szCs w:val="18"/>
              </w:rPr>
            </w:pPr>
            <w:r>
              <w:rPr>
                <w:b/>
                <w:caps/>
                <w:noProof/>
                <w:sz w:val="18"/>
                <w:szCs w:val="18"/>
              </w:rPr>
              <w:t>0</w:t>
            </w:r>
          </w:p>
        </w:tc>
        <w:tc>
          <w:tcPr>
            <w:tcW w:w="567" w:type="dxa"/>
            <w:tcBorders>
              <w:left w:val="single" w:sz="4" w:space="0" w:color="auto"/>
            </w:tcBorders>
            <w:shd w:val="clear" w:color="auto" w:fill="BFBFBF" w:themeFill="background1" w:themeFillShade="BF"/>
          </w:tcPr>
          <w:p w14:paraId="522FA515" w14:textId="77777777" w:rsidR="000A7D9D" w:rsidRPr="00EC1412" w:rsidRDefault="000A7D9D" w:rsidP="00F31937">
            <w:pPr>
              <w:ind w:left="-104"/>
              <w:jc w:val="right"/>
              <w:rPr>
                <w:b/>
                <w:caps/>
                <w:noProof/>
                <w:sz w:val="18"/>
                <w:szCs w:val="18"/>
              </w:rPr>
            </w:pPr>
            <w:r>
              <w:rPr>
                <w:b/>
                <w:caps/>
                <w:noProof/>
                <w:sz w:val="18"/>
                <w:szCs w:val="18"/>
              </w:rPr>
              <w:t>0</w:t>
            </w:r>
          </w:p>
        </w:tc>
      </w:tr>
    </w:tbl>
    <w:p w14:paraId="1F413A6C" w14:textId="77777777" w:rsidR="000A7D9D" w:rsidRDefault="000A7D9D" w:rsidP="000A7D9D">
      <w:pPr>
        <w:rPr>
          <w:rFonts w:ascii="Times New Roman" w:hAnsi="Times New Roman" w:cs="Times New Roman"/>
          <w:noProof/>
        </w:rPr>
      </w:pPr>
    </w:p>
    <w:p w14:paraId="246B0CB0" w14:textId="77777777" w:rsidR="000A7D9D" w:rsidRDefault="000A7D9D" w:rsidP="000A7D9D">
      <w:pPr>
        <w:jc w:val="both"/>
        <w:rPr>
          <w:rFonts w:ascii="Times New Roman" w:hAnsi="Times New Roman" w:cs="Times New Roman"/>
          <w:noProof/>
        </w:rPr>
      </w:pPr>
      <w:r>
        <w:rPr>
          <w:rFonts w:ascii="Times New Roman" w:hAnsi="Times New Roman" w:cs="Times New Roman"/>
          <w:noProof/>
        </w:rPr>
        <w:t xml:space="preserve">The proposal for a regulation on chemicals data requires EU-OSHA to provide data to ECHA for the integration into the common data platform and to cooperate with ECHA in developing and operating the common data platform. It also requires EU-OSHA to provide relevant data to the information platform for chemical monitoring, database on regulatory processes on chemicals, repository of reference values, database of environmental sustainability related data on chemicals and to early warning and action system and framework of indicators. EU-OSHA, however, does not currently systematically collect or host any data relevant for the common data platform and its building blocks. EU-OSHA’s role is therefore mainly to contribute with their inputs and suggestions to the development of the common data platform and its building blocks. EU-OSHA can be seen as a ‘privileged’ user of the system who can provide input to the development and operation to ensure that the systems are developed in such way that they suit also the needs of EU-OSHA. No additional resources are needed for these tasks, as they can be covered by the existing resources. </w:t>
      </w:r>
    </w:p>
    <w:p w14:paraId="39D29268" w14:textId="77777777" w:rsidR="000A7D9D" w:rsidRDefault="000A7D9D" w:rsidP="000A7D9D">
      <w:pPr>
        <w:rPr>
          <w:rFonts w:ascii="Times New Roman" w:hAnsi="Times New Roman" w:cs="Times New Roman"/>
          <w:i/>
          <w:noProof/>
        </w:rPr>
      </w:pPr>
      <w:r w:rsidRPr="00EC1412">
        <w:rPr>
          <w:rFonts w:ascii="Times New Roman" w:hAnsi="Times New Roman" w:cs="Times New Roman"/>
          <w:i/>
          <w:noProof/>
        </w:rPr>
        <w:t>Impact on</w:t>
      </w:r>
      <w:r>
        <w:rPr>
          <w:rFonts w:ascii="Times New Roman" w:hAnsi="Times New Roman" w:cs="Times New Roman"/>
          <w:i/>
          <w:noProof/>
        </w:rPr>
        <w:t xml:space="preserve"> EU-OSHA</w:t>
      </w:r>
      <w:r w:rsidRPr="00EC1412">
        <w:rPr>
          <w:rFonts w:ascii="Times New Roman" w:hAnsi="Times New Roman" w:cs="Times New Roman"/>
          <w:i/>
          <w:noProof/>
        </w:rPr>
        <w:t xml:space="preserve">’s </w:t>
      </w:r>
      <w:r>
        <w:rPr>
          <w:rFonts w:ascii="Times New Roman" w:hAnsi="Times New Roman" w:cs="Times New Roman"/>
          <w:i/>
          <w:noProof/>
        </w:rPr>
        <w:t>expertise</w:t>
      </w:r>
    </w:p>
    <w:p w14:paraId="5E476AC8" w14:textId="77777777" w:rsidR="000A7D9D" w:rsidRPr="004E10FB" w:rsidRDefault="000A7D9D" w:rsidP="000A7D9D">
      <w:pPr>
        <w:rPr>
          <w:rFonts w:ascii="Times New Roman" w:hAnsi="Times New Roman" w:cs="Times New Roman"/>
          <w:noProof/>
        </w:rPr>
      </w:pPr>
      <w:r w:rsidRPr="41576CD3">
        <w:rPr>
          <w:rFonts w:ascii="Times New Roman" w:hAnsi="Times New Roman" w:cs="Times New Roman"/>
          <w:noProof/>
        </w:rPr>
        <w:t xml:space="preserve">As regards expertise, </w:t>
      </w:r>
      <w:r>
        <w:rPr>
          <w:rFonts w:ascii="Times New Roman" w:hAnsi="Times New Roman" w:cs="Times New Roman"/>
          <w:noProof/>
        </w:rPr>
        <w:t xml:space="preserve">EU-OSHA </w:t>
      </w:r>
      <w:r w:rsidRPr="41576CD3">
        <w:rPr>
          <w:rFonts w:ascii="Times New Roman" w:hAnsi="Times New Roman" w:cs="Times New Roman"/>
          <w:noProof/>
        </w:rPr>
        <w:t>has the necessary expertise and experience to perform the allocated tasks.</w:t>
      </w:r>
    </w:p>
    <w:p w14:paraId="74D8740A" w14:textId="77777777" w:rsidR="000A7D9D" w:rsidRDefault="000A7D9D" w:rsidP="000A7D9D">
      <w:pPr>
        <w:rPr>
          <w:rFonts w:ascii="Times New Roman" w:hAnsi="Times New Roman" w:cs="Times New Roman"/>
          <w:noProof/>
        </w:rPr>
      </w:pPr>
      <w:r w:rsidRPr="00EC1412">
        <w:rPr>
          <w:rFonts w:ascii="Times New Roman" w:hAnsi="Times New Roman" w:cs="Times New Roman"/>
          <w:i/>
          <w:noProof/>
        </w:rPr>
        <w:t xml:space="preserve">Impact on </w:t>
      </w:r>
      <w:r>
        <w:rPr>
          <w:rFonts w:ascii="Times New Roman" w:hAnsi="Times New Roman" w:cs="Times New Roman"/>
          <w:i/>
          <w:noProof/>
        </w:rPr>
        <w:t xml:space="preserve">EU-OSHA’s </w:t>
      </w:r>
      <w:r w:rsidRPr="00EC1412">
        <w:rPr>
          <w:rFonts w:ascii="Times New Roman" w:hAnsi="Times New Roman" w:cs="Times New Roman"/>
          <w:i/>
          <w:noProof/>
        </w:rPr>
        <w:t>committees</w:t>
      </w:r>
    </w:p>
    <w:p w14:paraId="2EE8875D" w14:textId="77777777" w:rsidR="000A7D9D" w:rsidRDefault="000A7D9D" w:rsidP="000A7D9D">
      <w:pPr>
        <w:rPr>
          <w:rFonts w:ascii="Times New Roman" w:hAnsi="Times New Roman" w:cs="Times New Roman"/>
          <w:noProof/>
        </w:rPr>
      </w:pPr>
      <w:r>
        <w:rPr>
          <w:rFonts w:ascii="Times New Roman" w:hAnsi="Times New Roman" w:cs="Times New Roman"/>
          <w:noProof/>
        </w:rPr>
        <w:t xml:space="preserve">There is no impact on EU-OSHA’s advisory groups or the management board. </w:t>
      </w:r>
    </w:p>
    <w:p w14:paraId="299DCBA2" w14:textId="77777777" w:rsidR="000A7D9D" w:rsidRDefault="000A7D9D" w:rsidP="000A7D9D">
      <w:pPr>
        <w:rPr>
          <w:rFonts w:ascii="Times New Roman" w:hAnsi="Times New Roman" w:cs="Times New Roman"/>
          <w:noProof/>
        </w:rPr>
      </w:pPr>
      <w:r>
        <w:rPr>
          <w:rFonts w:ascii="Times New Roman" w:hAnsi="Times New Roman" w:cs="Times New Roman"/>
          <w:noProof/>
        </w:rPr>
        <w:br w:type="page"/>
      </w:r>
    </w:p>
    <w:p w14:paraId="2599DF51" w14:textId="77777777" w:rsidR="000A7D9D" w:rsidRDefault="000A7D9D" w:rsidP="000A7D9D">
      <w:pPr>
        <w:rPr>
          <w:rFonts w:ascii="Times New Roman" w:hAnsi="Times New Roman" w:cs="Times New Roman"/>
          <w:noProof/>
        </w:rPr>
      </w:pPr>
    </w:p>
    <w:p w14:paraId="1B18FB9F" w14:textId="77777777" w:rsidR="000A7D9D" w:rsidRPr="00C616DD" w:rsidRDefault="000A7D9D" w:rsidP="000A7D9D">
      <w:pPr>
        <w:pStyle w:val="AnnexTitle"/>
        <w:rPr>
          <w:noProof/>
        </w:rPr>
      </w:pPr>
      <w:bookmarkStart w:id="21" w:name="_Toc150499907"/>
      <w:r w:rsidRPr="00C616DD">
        <w:rPr>
          <w:noProof/>
        </w:rPr>
        <w:t>Annex I: Mission, core activities, competences and scientific bodies of the Agencies</w:t>
      </w:r>
      <w:bookmarkEnd w:id="21"/>
    </w:p>
    <w:p w14:paraId="2879CA65" w14:textId="77777777" w:rsidR="000A7D9D" w:rsidRDefault="000A7D9D" w:rsidP="000A7D9D">
      <w:pPr>
        <w:jc w:val="both"/>
        <w:rPr>
          <w:b/>
          <w:noProof/>
        </w:rPr>
      </w:pPr>
    </w:p>
    <w:p w14:paraId="6356510B" w14:textId="77777777" w:rsidR="000A7D9D" w:rsidRPr="006C1519" w:rsidRDefault="000A7D9D" w:rsidP="000A7D9D">
      <w:pPr>
        <w:jc w:val="both"/>
        <w:rPr>
          <w:b/>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484"/>
      </w:tblGrid>
      <w:tr w:rsidR="000A7D9D" w14:paraId="3926EFC3" w14:textId="77777777" w:rsidTr="00F31937">
        <w:tc>
          <w:tcPr>
            <w:tcW w:w="6804" w:type="dxa"/>
            <w:vAlign w:val="bottom"/>
          </w:tcPr>
          <w:p w14:paraId="016FF05C" w14:textId="77777777" w:rsidR="000A7D9D" w:rsidRPr="00D44C76" w:rsidRDefault="000A7D9D" w:rsidP="000A7D9D">
            <w:pPr>
              <w:pStyle w:val="Heading1"/>
              <w:keepLines w:val="0"/>
              <w:widowControl/>
              <w:numPr>
                <w:ilvl w:val="0"/>
                <w:numId w:val="142"/>
              </w:numPr>
              <w:snapToGrid/>
              <w:spacing w:before="240"/>
              <w:jc w:val="both"/>
              <w:rPr>
                <w:rFonts w:ascii="Times New Roman" w:hAnsi="Times New Roman"/>
                <w:smallCaps/>
                <w:noProof/>
                <w:color w:val="auto"/>
                <w:sz w:val="24"/>
                <w:szCs w:val="20"/>
                <w:lang w:eastAsia="en-US"/>
              </w:rPr>
            </w:pPr>
            <w:bookmarkStart w:id="22" w:name="_Toc150499908"/>
            <w:r w:rsidRPr="00D44C76">
              <w:rPr>
                <w:rFonts w:ascii="Times New Roman" w:hAnsi="Times New Roman"/>
                <w:smallCaps/>
                <w:noProof/>
                <w:color w:val="auto"/>
                <w:sz w:val="24"/>
                <w:szCs w:val="20"/>
                <w:lang w:eastAsia="en-US"/>
              </w:rPr>
              <w:t>European Food Safety Authority</w:t>
            </w:r>
            <w:bookmarkEnd w:id="22"/>
          </w:p>
        </w:tc>
        <w:tc>
          <w:tcPr>
            <w:tcW w:w="2484" w:type="dxa"/>
            <w:vAlign w:val="bottom"/>
          </w:tcPr>
          <w:p w14:paraId="3E64B956" w14:textId="77777777" w:rsidR="000A7D9D" w:rsidRPr="00CA2CEE" w:rsidRDefault="000A7D9D" w:rsidP="00F31937">
            <w:pPr>
              <w:spacing w:after="120"/>
              <w:jc w:val="right"/>
              <w:rPr>
                <w:b/>
                <w:noProof/>
              </w:rPr>
            </w:pPr>
            <w:r w:rsidRPr="00CA2CEE">
              <w:rPr>
                <w:b/>
                <w:i/>
                <w:noProof/>
              </w:rPr>
              <w:drawing>
                <wp:inline distT="0" distB="0" distL="0" distR="0" wp14:anchorId="6A699172" wp14:editId="6EFDA325">
                  <wp:extent cx="1092447" cy="539208"/>
                  <wp:effectExtent l="0" t="0" r="0" b="0"/>
                  <wp:docPr id="10" name="Picture 10">
                    <a:extLst xmlns:a="http://schemas.openxmlformats.org/drawingml/2006/main">
                      <a:ext uri="{FF2B5EF4-FFF2-40B4-BE49-F238E27FC236}">
                        <a16:creationId xmlns:a16="http://schemas.microsoft.com/office/drawing/2014/main" id="{8A1CFA80-F733-93AF-26F2-E512C449C4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a:extLst>
                              <a:ext uri="{FF2B5EF4-FFF2-40B4-BE49-F238E27FC236}">
                                <a16:creationId xmlns:a16="http://schemas.microsoft.com/office/drawing/2014/main" id="{8A1CFA80-F733-93AF-26F2-E512C449C4AD}"/>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2447" cy="539208"/>
                          </a:xfrm>
                          <a:prstGeom prst="rect">
                            <a:avLst/>
                          </a:prstGeom>
                          <a:noFill/>
                          <a:ln w="9525">
                            <a:noFill/>
                            <a:miter lim="800000"/>
                            <a:headEnd/>
                            <a:tailEnd/>
                          </a:ln>
                        </pic:spPr>
                      </pic:pic>
                    </a:graphicData>
                  </a:graphic>
                </wp:inline>
              </w:drawing>
            </w:r>
          </w:p>
        </w:tc>
      </w:tr>
    </w:tbl>
    <w:p w14:paraId="25C8D0C7" w14:textId="77777777" w:rsidR="000A7D9D" w:rsidRPr="0042760F" w:rsidRDefault="000A7D9D" w:rsidP="000A7D9D">
      <w:pPr>
        <w:spacing w:before="120" w:after="120"/>
        <w:jc w:val="both"/>
        <w:rPr>
          <w:rFonts w:ascii="Times New Roman" w:hAnsi="Times New Roman" w:cs="Times New Roman"/>
          <w:noProof/>
        </w:rPr>
      </w:pPr>
      <w:r w:rsidRPr="0042760F">
        <w:rPr>
          <w:rFonts w:ascii="Times New Roman" w:hAnsi="Times New Roman" w:cs="Times New Roman"/>
          <w:noProof/>
        </w:rPr>
        <w:t>The European Food Safety Authority (EFSA) is an integral part of the EU’s food safety system. As outlined in its Founding Regulation (Regulation (EC) No 178/2002), the Authority’s mission is to contribute to the safety of the EU food and feed chain, mainly by:</w:t>
      </w:r>
    </w:p>
    <w:p w14:paraId="23FE19F7" w14:textId="77777777" w:rsidR="000A7D9D" w:rsidRPr="0042760F" w:rsidRDefault="000A7D9D" w:rsidP="000A7D9D">
      <w:pPr>
        <w:pStyle w:val="ListParagraph"/>
        <w:numPr>
          <w:ilvl w:val="0"/>
          <w:numId w:val="28"/>
        </w:numPr>
        <w:spacing w:after="120"/>
        <w:ind w:left="714" w:hanging="357"/>
        <w:contextualSpacing w:val="0"/>
        <w:jc w:val="both"/>
        <w:rPr>
          <w:noProof/>
          <w:sz w:val="22"/>
          <w:szCs w:val="22"/>
        </w:rPr>
      </w:pPr>
      <w:r w:rsidRPr="0042760F">
        <w:rPr>
          <w:noProof/>
          <w:sz w:val="22"/>
          <w:szCs w:val="22"/>
        </w:rPr>
        <w:t>Providing EU risk managers with independent, up-to-date and fit-for-purpose scientific advice on questions related to food and feed safety, animal health and welfare, plant health, nutrition and environmental issues specific to the above</w:t>
      </w:r>
      <w:r w:rsidRPr="0042760F">
        <w:rPr>
          <w:rStyle w:val="FootnoteReference"/>
          <w:noProof/>
          <w:sz w:val="22"/>
          <w:szCs w:val="22"/>
        </w:rPr>
        <w:footnoteReference w:id="47"/>
      </w:r>
      <w:r w:rsidRPr="0042760F">
        <w:rPr>
          <w:noProof/>
          <w:sz w:val="22"/>
          <w:szCs w:val="22"/>
        </w:rPr>
        <w:t xml:space="preserve"> within the two main streams as described below:</w:t>
      </w:r>
    </w:p>
    <w:p w14:paraId="6636F0FE" w14:textId="77777777" w:rsidR="000A7D9D" w:rsidRPr="0042760F" w:rsidRDefault="000A7D9D" w:rsidP="000A7D9D">
      <w:pPr>
        <w:pStyle w:val="ListParagraph"/>
        <w:numPr>
          <w:ilvl w:val="1"/>
          <w:numId w:val="28"/>
        </w:numPr>
        <w:jc w:val="both"/>
        <w:rPr>
          <w:noProof/>
          <w:sz w:val="22"/>
          <w:szCs w:val="22"/>
        </w:rPr>
      </w:pPr>
      <w:r w:rsidRPr="0042760F">
        <w:rPr>
          <w:i/>
          <w:iCs/>
          <w:noProof/>
          <w:sz w:val="22"/>
          <w:szCs w:val="22"/>
        </w:rPr>
        <w:t>Generic risk assessments</w:t>
      </w:r>
      <w:r w:rsidRPr="0042760F">
        <w:rPr>
          <w:noProof/>
          <w:sz w:val="22"/>
          <w:szCs w:val="22"/>
        </w:rPr>
        <w:t xml:space="preserve"> in the following areas of work: Plant health, Animal health, Animal welfare, Chemicals Hazards, Biological hazards, Zoonoses-TSE-Antimicrobial resistance monitoring and Nutrition</w:t>
      </w:r>
    </w:p>
    <w:p w14:paraId="64C83F6D" w14:textId="77777777" w:rsidR="000A7D9D" w:rsidRPr="0042760F" w:rsidRDefault="000A7D9D" w:rsidP="000A7D9D">
      <w:pPr>
        <w:pStyle w:val="ListParagraph"/>
        <w:numPr>
          <w:ilvl w:val="1"/>
          <w:numId w:val="28"/>
        </w:numPr>
        <w:spacing w:after="120"/>
        <w:ind w:left="1434" w:hanging="357"/>
        <w:contextualSpacing w:val="0"/>
        <w:jc w:val="both"/>
        <w:rPr>
          <w:noProof/>
          <w:sz w:val="22"/>
          <w:szCs w:val="22"/>
        </w:rPr>
      </w:pPr>
      <w:r w:rsidRPr="0042760F">
        <w:rPr>
          <w:i/>
          <w:iCs/>
          <w:noProof/>
          <w:sz w:val="22"/>
          <w:szCs w:val="22"/>
        </w:rPr>
        <w:t>Regulated products</w:t>
      </w:r>
      <w:r w:rsidRPr="0042760F">
        <w:rPr>
          <w:noProof/>
          <w:sz w:val="22"/>
          <w:szCs w:val="22"/>
        </w:rPr>
        <w:t xml:space="preserve"> in the following areas of work: Novel foods, Feed additives, Food ingredients, Food contact materials, Genetically modified food/feed and Pesticides;</w:t>
      </w:r>
    </w:p>
    <w:p w14:paraId="71361BCD" w14:textId="77777777" w:rsidR="000A7D9D" w:rsidRPr="0042760F" w:rsidRDefault="000A7D9D" w:rsidP="000A7D9D">
      <w:pPr>
        <w:pStyle w:val="ListParagraph"/>
        <w:numPr>
          <w:ilvl w:val="0"/>
          <w:numId w:val="28"/>
        </w:numPr>
        <w:spacing w:after="120"/>
        <w:ind w:left="714" w:hanging="357"/>
        <w:contextualSpacing w:val="0"/>
        <w:jc w:val="both"/>
        <w:rPr>
          <w:noProof/>
          <w:sz w:val="22"/>
          <w:szCs w:val="22"/>
        </w:rPr>
      </w:pPr>
      <w:r w:rsidRPr="0042760F">
        <w:rPr>
          <w:noProof/>
          <w:sz w:val="22"/>
          <w:szCs w:val="22"/>
        </w:rPr>
        <w:t>Providing EU risk managers with scientific and technical support in areas falling under EFSA’s competence</w:t>
      </w:r>
    </w:p>
    <w:p w14:paraId="43D57432" w14:textId="77777777" w:rsidR="000A7D9D" w:rsidRPr="0042760F" w:rsidRDefault="000A7D9D" w:rsidP="000A7D9D">
      <w:pPr>
        <w:pStyle w:val="ListParagraph"/>
        <w:numPr>
          <w:ilvl w:val="0"/>
          <w:numId w:val="28"/>
        </w:numPr>
        <w:spacing w:after="120"/>
        <w:ind w:left="714" w:hanging="357"/>
        <w:contextualSpacing w:val="0"/>
        <w:jc w:val="both"/>
        <w:rPr>
          <w:noProof/>
          <w:sz w:val="22"/>
          <w:szCs w:val="22"/>
        </w:rPr>
      </w:pPr>
      <w:r w:rsidRPr="0042760F">
        <w:rPr>
          <w:noProof/>
          <w:sz w:val="22"/>
          <w:szCs w:val="22"/>
        </w:rPr>
        <w:t xml:space="preserve">Communicating to the public on matters falling under EFSA’s competence and in particular on EFSA’s outputs and the information on which they are based; </w:t>
      </w:r>
    </w:p>
    <w:p w14:paraId="6ED76B37" w14:textId="77777777" w:rsidR="000A7D9D" w:rsidRPr="0042760F" w:rsidRDefault="000A7D9D" w:rsidP="000A7D9D">
      <w:pPr>
        <w:pStyle w:val="ListParagraph"/>
        <w:numPr>
          <w:ilvl w:val="0"/>
          <w:numId w:val="28"/>
        </w:numPr>
        <w:spacing w:after="120"/>
        <w:ind w:left="714" w:hanging="357"/>
        <w:contextualSpacing w:val="0"/>
        <w:jc w:val="both"/>
        <w:rPr>
          <w:noProof/>
          <w:sz w:val="22"/>
          <w:szCs w:val="22"/>
        </w:rPr>
      </w:pPr>
      <w:r w:rsidRPr="0042760F">
        <w:rPr>
          <w:noProof/>
          <w:sz w:val="22"/>
          <w:szCs w:val="22"/>
        </w:rPr>
        <w:t xml:space="preserve">Developing and applying uniform methodologies for fit-for-purpose scientific advice on questions related to food safety; </w:t>
      </w:r>
    </w:p>
    <w:p w14:paraId="59392101" w14:textId="77777777" w:rsidR="000A7D9D" w:rsidRPr="0042760F" w:rsidRDefault="000A7D9D" w:rsidP="000A7D9D">
      <w:pPr>
        <w:pStyle w:val="ListParagraph"/>
        <w:numPr>
          <w:ilvl w:val="0"/>
          <w:numId w:val="28"/>
        </w:numPr>
        <w:spacing w:after="120"/>
        <w:ind w:left="714" w:hanging="357"/>
        <w:contextualSpacing w:val="0"/>
        <w:jc w:val="both"/>
        <w:rPr>
          <w:noProof/>
          <w:sz w:val="22"/>
          <w:szCs w:val="22"/>
        </w:rPr>
      </w:pPr>
      <w:r w:rsidRPr="0042760F">
        <w:rPr>
          <w:noProof/>
          <w:sz w:val="22"/>
          <w:szCs w:val="22"/>
        </w:rPr>
        <w:t xml:space="preserve">Collecting and analysing data to allow the identification, characterisation and monitoring of current risks that have a direct or indirect impact on food safety; </w:t>
      </w:r>
    </w:p>
    <w:p w14:paraId="7FB3FF4C" w14:textId="77777777" w:rsidR="000A7D9D" w:rsidRPr="0042760F" w:rsidRDefault="000A7D9D" w:rsidP="000A7D9D">
      <w:pPr>
        <w:pStyle w:val="ListParagraph"/>
        <w:numPr>
          <w:ilvl w:val="0"/>
          <w:numId w:val="28"/>
        </w:numPr>
        <w:spacing w:after="120"/>
        <w:ind w:left="714" w:hanging="357"/>
        <w:contextualSpacing w:val="0"/>
        <w:jc w:val="both"/>
        <w:rPr>
          <w:noProof/>
          <w:sz w:val="22"/>
          <w:szCs w:val="22"/>
        </w:rPr>
      </w:pPr>
      <w:r w:rsidRPr="0042760F">
        <w:rPr>
          <w:noProof/>
          <w:sz w:val="22"/>
          <w:szCs w:val="22"/>
        </w:rPr>
        <w:t>Cooperating with Member States, institutional partners and other interested parties/stakeholders</w:t>
      </w:r>
      <w:r w:rsidRPr="0042760F">
        <w:rPr>
          <w:noProof/>
          <w:sz w:val="22"/>
          <w:szCs w:val="22"/>
          <w:vertAlign w:val="superscript"/>
        </w:rPr>
        <w:footnoteReference w:id="48"/>
      </w:r>
      <w:r w:rsidRPr="0042760F">
        <w:rPr>
          <w:noProof/>
          <w:sz w:val="22"/>
          <w:szCs w:val="22"/>
        </w:rPr>
        <w:t xml:space="preserve"> in the EU to promote coherent advice and increase trust in the EU food safety system; </w:t>
      </w:r>
    </w:p>
    <w:p w14:paraId="375601F1" w14:textId="77777777" w:rsidR="000A7D9D" w:rsidRPr="0042760F" w:rsidRDefault="000A7D9D" w:rsidP="000A7D9D">
      <w:pPr>
        <w:pStyle w:val="ListParagraph"/>
        <w:numPr>
          <w:ilvl w:val="0"/>
          <w:numId w:val="28"/>
        </w:numPr>
        <w:spacing w:after="120"/>
        <w:ind w:left="714" w:hanging="357"/>
        <w:contextualSpacing w:val="0"/>
        <w:jc w:val="both"/>
        <w:rPr>
          <w:noProof/>
          <w:sz w:val="22"/>
          <w:szCs w:val="22"/>
        </w:rPr>
      </w:pPr>
      <w:r w:rsidRPr="0042760F">
        <w:rPr>
          <w:noProof/>
          <w:sz w:val="22"/>
          <w:szCs w:val="22"/>
        </w:rPr>
        <w:t>Identifying emerging risks to food safety and contributing to a high level of protection of human life and health.</w:t>
      </w:r>
    </w:p>
    <w:p w14:paraId="799553CA" w14:textId="77777777" w:rsidR="000A7D9D" w:rsidRPr="0042760F" w:rsidRDefault="000A7D9D" w:rsidP="000A7D9D">
      <w:pPr>
        <w:spacing w:after="120"/>
        <w:jc w:val="both"/>
        <w:rPr>
          <w:rFonts w:ascii="Times New Roman" w:hAnsi="Times New Roman" w:cs="Times New Roman"/>
          <w:noProof/>
        </w:rPr>
      </w:pPr>
      <w:r w:rsidRPr="0042760F">
        <w:rPr>
          <w:rFonts w:ascii="Times New Roman" w:hAnsi="Times New Roman" w:cs="Times New Roman"/>
          <w:noProof/>
        </w:rPr>
        <w:t>EFSA’s specific competences include:</w:t>
      </w:r>
    </w:p>
    <w:p w14:paraId="70BC5308"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Risk Assessment in the areas within the EFSA’s remit: Chemicals, micro-organisms, environment, plant health and plant protection, animal health and animal welfare, occupational;</w:t>
      </w:r>
    </w:p>
    <w:p w14:paraId="03CA546B"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Efficacy Assessment, particularly in the area of feed additives;</w:t>
      </w:r>
    </w:p>
    <w:p w14:paraId="04153FC0"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Chemistry, including chemical characterisation, and molecular characterisation;</w:t>
      </w:r>
    </w:p>
    <w:p w14:paraId="3E3B690A"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Animal sciences: Animal nutrition, Animal production, Animal pathology, Animal welfare;</w:t>
      </w:r>
    </w:p>
    <w:p w14:paraId="083978A2"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Environmental sciences;</w:t>
      </w:r>
    </w:p>
    <w:p w14:paraId="1FD583B8"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Food Sciences;</w:t>
      </w:r>
    </w:p>
    <w:p w14:paraId="5D2AEB68"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Human sciences: Human medicine, nutrition;</w:t>
      </w:r>
    </w:p>
    <w:p w14:paraId="5295CC26"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Plant sciences: plant pests, plant health, plant products, biodiversity, food security;</w:t>
      </w:r>
    </w:p>
    <w:p w14:paraId="57C59FB3"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Hazard Assessment: Human and veterinary toxicology, ecotoxicology and environmental fate;</w:t>
      </w:r>
    </w:p>
    <w:p w14:paraId="538C8452"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Human exposure assessment, including dietary, non-dietary and cumulative;</w:t>
      </w:r>
    </w:p>
    <w:p w14:paraId="50BD2603"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Data collection, data and information management: Zoonoses, Foodborne diseases, Food/Feed Contaminants, Pesticides and Veterinary medicine residues, Systematic literature reviews;</w:t>
      </w:r>
    </w:p>
    <w:p w14:paraId="03683455"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Risk assessment methodological development;</w:t>
      </w:r>
    </w:p>
    <w:p w14:paraId="4FAC624A" w14:textId="77777777" w:rsidR="000A7D9D" w:rsidRPr="0042760F" w:rsidRDefault="000A7D9D" w:rsidP="000A7D9D">
      <w:pPr>
        <w:pStyle w:val="ListParagraph"/>
        <w:numPr>
          <w:ilvl w:val="0"/>
          <w:numId w:val="38"/>
        </w:numPr>
        <w:spacing w:after="120"/>
        <w:jc w:val="both"/>
        <w:rPr>
          <w:noProof/>
          <w:sz w:val="22"/>
          <w:szCs w:val="22"/>
        </w:rPr>
      </w:pPr>
      <w:r w:rsidRPr="0042760F">
        <w:rPr>
          <w:noProof/>
          <w:sz w:val="22"/>
          <w:szCs w:val="22"/>
        </w:rPr>
        <w:t>Identification of emerging risks, Foresight and Horizon scanning, Early Warning systems.</w:t>
      </w:r>
    </w:p>
    <w:p w14:paraId="2343A0AE" w14:textId="77777777" w:rsidR="000A7D9D" w:rsidRPr="0042760F" w:rsidRDefault="000A7D9D" w:rsidP="000A7D9D">
      <w:pPr>
        <w:spacing w:after="120"/>
        <w:jc w:val="both"/>
        <w:rPr>
          <w:rFonts w:ascii="Times New Roman" w:hAnsi="Times New Roman" w:cs="Times New Roman"/>
          <w:noProof/>
        </w:rPr>
      </w:pPr>
      <w:r w:rsidRPr="0042760F">
        <w:rPr>
          <w:rFonts w:ascii="Times New Roman" w:hAnsi="Times New Roman" w:cs="Times New Roman"/>
          <w:noProof/>
        </w:rPr>
        <w:t xml:space="preserve">The scientific work related to risk assessment is entrusted to ten EFSA Scientific Panels and the Scientific Committee: </w:t>
      </w:r>
    </w:p>
    <w:p w14:paraId="7477E6FC" w14:textId="77777777" w:rsidR="000A7D9D" w:rsidRPr="0042760F" w:rsidRDefault="00187DBF" w:rsidP="000A7D9D">
      <w:pPr>
        <w:pStyle w:val="ListParagraph"/>
        <w:numPr>
          <w:ilvl w:val="0"/>
          <w:numId w:val="32"/>
        </w:numPr>
        <w:spacing w:after="120"/>
        <w:ind w:left="714" w:hanging="357"/>
        <w:contextualSpacing w:val="0"/>
        <w:jc w:val="both"/>
        <w:rPr>
          <w:noProof/>
          <w:color w:val="333333"/>
          <w:sz w:val="22"/>
          <w:szCs w:val="22"/>
          <w:shd w:val="clear" w:color="auto" w:fill="FFFFFF"/>
        </w:rPr>
      </w:pPr>
      <w:hyperlink r:id="rId25" w:history="1">
        <w:r w:rsidR="000A7D9D" w:rsidRPr="0042760F">
          <w:rPr>
            <w:rStyle w:val="Hyperlink"/>
            <w:noProof/>
            <w:sz w:val="22"/>
            <w:szCs w:val="22"/>
            <w:shd w:val="clear" w:color="auto" w:fill="FFFFFF"/>
            <w:lang w:eastAsia="en-GB"/>
          </w:rPr>
          <w:t>Panel on Additives and Products or Substances used in Animal Feed (FEEDAP)</w:t>
        </w:r>
      </w:hyperlink>
      <w:r w:rsidR="000A7D9D" w:rsidRPr="0042760F">
        <w:rPr>
          <w:noProof/>
          <w:color w:val="333333"/>
          <w:sz w:val="22"/>
          <w:szCs w:val="22"/>
          <w:shd w:val="clear" w:color="auto" w:fill="FFFFFF"/>
        </w:rPr>
        <w:t>. Provides scientific advice on the safety and/or efficacy of additives and products or substances used in animal feed. The Panel evaluates their safety and/or efficacy for the target species, the user, the consumer of products of animal origin and the environment. It also looks at the efficacy of biological and chemical products/substances intended for deliberate use in animal feed.</w:t>
      </w:r>
    </w:p>
    <w:p w14:paraId="36E53F18" w14:textId="77777777" w:rsidR="000A7D9D" w:rsidRPr="0042760F" w:rsidRDefault="00187DBF" w:rsidP="000A7D9D">
      <w:pPr>
        <w:pStyle w:val="ListParagraph"/>
        <w:numPr>
          <w:ilvl w:val="0"/>
          <w:numId w:val="32"/>
        </w:numPr>
        <w:spacing w:after="120"/>
        <w:ind w:left="714" w:hanging="357"/>
        <w:contextualSpacing w:val="0"/>
        <w:jc w:val="both"/>
        <w:rPr>
          <w:noProof/>
          <w:color w:val="333333"/>
          <w:sz w:val="22"/>
          <w:szCs w:val="22"/>
          <w:shd w:val="clear" w:color="auto" w:fill="FFFFFF"/>
        </w:rPr>
      </w:pPr>
      <w:hyperlink r:id="rId26" w:history="1">
        <w:r w:rsidR="000A7D9D" w:rsidRPr="0042760F">
          <w:rPr>
            <w:rStyle w:val="Hyperlink"/>
            <w:noProof/>
            <w:sz w:val="22"/>
            <w:szCs w:val="22"/>
            <w:shd w:val="clear" w:color="auto" w:fill="FFFFFF"/>
            <w:lang w:eastAsia="en-GB"/>
          </w:rPr>
          <w:t>Panel on Animal Health and Welfare (AHAW)</w:t>
        </w:r>
      </w:hyperlink>
      <w:r w:rsidR="000A7D9D" w:rsidRPr="0042760F">
        <w:rPr>
          <w:noProof/>
          <w:color w:val="333333"/>
          <w:sz w:val="22"/>
          <w:szCs w:val="22"/>
          <w:shd w:val="clear" w:color="auto" w:fill="FFFFFF"/>
        </w:rPr>
        <w:t>. Provides scientific advice on all aspects of animal diseases and animal welfare. Its work chiefly concerns food producing animals, including fish.</w:t>
      </w:r>
    </w:p>
    <w:p w14:paraId="13B244C7" w14:textId="77777777" w:rsidR="000A7D9D" w:rsidRPr="0042760F" w:rsidRDefault="00187DBF" w:rsidP="000A7D9D">
      <w:pPr>
        <w:pStyle w:val="ListParagraph"/>
        <w:numPr>
          <w:ilvl w:val="0"/>
          <w:numId w:val="32"/>
        </w:numPr>
        <w:spacing w:after="120"/>
        <w:ind w:left="714" w:hanging="357"/>
        <w:contextualSpacing w:val="0"/>
        <w:jc w:val="both"/>
        <w:rPr>
          <w:noProof/>
          <w:color w:val="333333"/>
          <w:sz w:val="22"/>
          <w:szCs w:val="22"/>
          <w:shd w:val="clear" w:color="auto" w:fill="FFFFFF"/>
        </w:rPr>
      </w:pPr>
      <w:hyperlink r:id="rId27" w:history="1">
        <w:r w:rsidR="000A7D9D" w:rsidRPr="0042760F">
          <w:rPr>
            <w:rStyle w:val="Hyperlink"/>
            <w:noProof/>
            <w:sz w:val="22"/>
            <w:szCs w:val="22"/>
            <w:shd w:val="clear" w:color="auto" w:fill="FFFFFF"/>
            <w:lang w:eastAsia="en-GB"/>
          </w:rPr>
          <w:t>Panel on Biological Hazards (BIOHAZ)</w:t>
        </w:r>
      </w:hyperlink>
      <w:r w:rsidR="000A7D9D" w:rsidRPr="0042760F">
        <w:rPr>
          <w:noProof/>
          <w:color w:val="333333"/>
          <w:sz w:val="22"/>
          <w:szCs w:val="22"/>
          <w:shd w:val="clear" w:color="auto" w:fill="FFFFFF"/>
        </w:rPr>
        <w:t>. Provides scientific advice on biological hazards in relation to food safety and food-borne diseases. This covers animal diseases transmissible to humans; transmissible spongiform encephalopathies; food microbiology; food hygiene and associated waste management issues.</w:t>
      </w:r>
    </w:p>
    <w:p w14:paraId="39053D97" w14:textId="77777777" w:rsidR="000A7D9D" w:rsidRPr="0042760F" w:rsidRDefault="00187DBF" w:rsidP="000A7D9D">
      <w:pPr>
        <w:pStyle w:val="ListParagraph"/>
        <w:numPr>
          <w:ilvl w:val="0"/>
          <w:numId w:val="32"/>
        </w:numPr>
        <w:spacing w:after="120"/>
        <w:ind w:left="714" w:hanging="357"/>
        <w:contextualSpacing w:val="0"/>
        <w:jc w:val="both"/>
        <w:rPr>
          <w:noProof/>
          <w:color w:val="333333"/>
          <w:sz w:val="22"/>
          <w:szCs w:val="22"/>
          <w:shd w:val="clear" w:color="auto" w:fill="FFFFFF"/>
        </w:rPr>
      </w:pPr>
      <w:hyperlink r:id="rId28" w:history="1">
        <w:r w:rsidR="000A7D9D" w:rsidRPr="0042760F">
          <w:rPr>
            <w:rStyle w:val="Hyperlink"/>
            <w:noProof/>
            <w:sz w:val="22"/>
            <w:szCs w:val="22"/>
            <w:lang w:eastAsia="en-GB"/>
          </w:rPr>
          <w:t>Panel on Food Contact Materials, Enzymes and Processing Aids (CEP)</w:t>
        </w:r>
      </w:hyperlink>
      <w:r w:rsidR="000A7D9D" w:rsidRPr="0042760F">
        <w:rPr>
          <w:noProof/>
          <w:color w:val="333333"/>
          <w:sz w:val="22"/>
          <w:szCs w:val="22"/>
        </w:rPr>
        <w:t>. Evaluates the safety of chemical substances added to food or used in food packaging, and related processes.</w:t>
      </w:r>
    </w:p>
    <w:p w14:paraId="1918A5A5" w14:textId="77777777" w:rsidR="000A7D9D" w:rsidRPr="0042760F" w:rsidRDefault="00187DBF" w:rsidP="000A7D9D">
      <w:pPr>
        <w:pStyle w:val="ListParagraph"/>
        <w:numPr>
          <w:ilvl w:val="0"/>
          <w:numId w:val="32"/>
        </w:numPr>
        <w:spacing w:after="120"/>
        <w:ind w:left="714" w:hanging="357"/>
        <w:contextualSpacing w:val="0"/>
        <w:jc w:val="both"/>
        <w:rPr>
          <w:noProof/>
          <w:color w:val="333333"/>
          <w:sz w:val="22"/>
          <w:szCs w:val="22"/>
          <w:shd w:val="clear" w:color="auto" w:fill="FFFFFF"/>
        </w:rPr>
      </w:pPr>
      <w:hyperlink r:id="rId29" w:history="1">
        <w:r w:rsidR="000A7D9D" w:rsidRPr="0042760F">
          <w:rPr>
            <w:rStyle w:val="Hyperlink"/>
            <w:noProof/>
            <w:sz w:val="22"/>
            <w:szCs w:val="22"/>
            <w:shd w:val="clear" w:color="auto" w:fill="FFFFFF"/>
            <w:lang w:eastAsia="en-GB"/>
          </w:rPr>
          <w:t>Panel on Contaminants in the Food Chain (CONTAM)</w:t>
        </w:r>
      </w:hyperlink>
      <w:r w:rsidR="000A7D9D" w:rsidRPr="0042760F">
        <w:rPr>
          <w:noProof/>
          <w:color w:val="333333"/>
          <w:sz w:val="22"/>
          <w:szCs w:val="22"/>
          <w:shd w:val="clear" w:color="auto" w:fill="FFFFFF"/>
        </w:rPr>
        <w:t>. Provides scientific advice on contaminants in the food chain and undesirable substances such as natural toxicants, mycotoxins and residues of unauthorised substances.</w:t>
      </w:r>
    </w:p>
    <w:p w14:paraId="619771F9" w14:textId="77777777" w:rsidR="000A7D9D" w:rsidRPr="0042760F" w:rsidRDefault="00187DBF" w:rsidP="000A7D9D">
      <w:pPr>
        <w:pStyle w:val="ListParagraph"/>
        <w:numPr>
          <w:ilvl w:val="0"/>
          <w:numId w:val="32"/>
        </w:numPr>
        <w:spacing w:after="120"/>
        <w:ind w:left="714" w:hanging="357"/>
        <w:contextualSpacing w:val="0"/>
        <w:jc w:val="both"/>
        <w:rPr>
          <w:noProof/>
          <w:color w:val="333333"/>
          <w:sz w:val="22"/>
          <w:szCs w:val="22"/>
          <w:shd w:val="clear" w:color="auto" w:fill="FFFFFF"/>
        </w:rPr>
      </w:pPr>
      <w:hyperlink r:id="rId30" w:history="1">
        <w:r w:rsidR="000A7D9D" w:rsidRPr="0042760F">
          <w:rPr>
            <w:rStyle w:val="Hyperlink"/>
            <w:noProof/>
            <w:sz w:val="22"/>
            <w:szCs w:val="22"/>
            <w:shd w:val="clear" w:color="auto" w:fill="FFFFFF"/>
            <w:lang w:eastAsia="en-GB"/>
          </w:rPr>
          <w:t>Panel on Food Additives and Flavourings (FAF)</w:t>
        </w:r>
      </w:hyperlink>
      <w:r w:rsidR="000A7D9D" w:rsidRPr="0042760F">
        <w:rPr>
          <w:noProof/>
          <w:color w:val="333333"/>
          <w:sz w:val="22"/>
          <w:szCs w:val="22"/>
          <w:shd w:val="clear" w:color="auto" w:fill="FFFFFF"/>
        </w:rPr>
        <w:t>. Evaluates the safety of chemical substances added to food and consumer exposure to them. The Panel's work mainly concerns substances evaluated by EFSA before their use can be authorised in the EU.</w:t>
      </w:r>
    </w:p>
    <w:p w14:paraId="09FC3ECB" w14:textId="77777777" w:rsidR="000A7D9D" w:rsidRPr="0042760F" w:rsidRDefault="00187DBF" w:rsidP="000A7D9D">
      <w:pPr>
        <w:pStyle w:val="ListParagraph"/>
        <w:numPr>
          <w:ilvl w:val="0"/>
          <w:numId w:val="32"/>
        </w:numPr>
        <w:spacing w:after="120"/>
        <w:ind w:left="714" w:hanging="357"/>
        <w:contextualSpacing w:val="0"/>
        <w:jc w:val="both"/>
        <w:rPr>
          <w:noProof/>
          <w:color w:val="333333"/>
          <w:sz w:val="22"/>
          <w:szCs w:val="22"/>
          <w:shd w:val="clear" w:color="auto" w:fill="FFFFFF"/>
        </w:rPr>
      </w:pPr>
      <w:hyperlink r:id="rId31" w:history="1">
        <w:r w:rsidR="000A7D9D" w:rsidRPr="0042760F">
          <w:rPr>
            <w:rStyle w:val="Hyperlink"/>
            <w:noProof/>
            <w:sz w:val="22"/>
            <w:szCs w:val="22"/>
            <w:shd w:val="clear" w:color="auto" w:fill="FFFFFF"/>
            <w:lang w:eastAsia="en-GB"/>
          </w:rPr>
          <w:t>Panel on Genetically Modified Organisms (GMO)</w:t>
        </w:r>
      </w:hyperlink>
      <w:r w:rsidR="000A7D9D" w:rsidRPr="0042760F">
        <w:rPr>
          <w:noProof/>
          <w:color w:val="333333"/>
          <w:sz w:val="22"/>
          <w:szCs w:val="22"/>
          <w:shd w:val="clear" w:color="auto" w:fill="FFFFFF"/>
        </w:rPr>
        <w:t>. Provides independent scientific advice on food and feed safety, environmental risk assessment and molecular characterisation/plant science. Its work chiefly concerns genetically-modified plants, micro-organisms and animals.</w:t>
      </w:r>
    </w:p>
    <w:p w14:paraId="2D01A35A" w14:textId="77777777" w:rsidR="000A7D9D" w:rsidRPr="0042760F" w:rsidRDefault="00187DBF" w:rsidP="000A7D9D">
      <w:pPr>
        <w:pStyle w:val="ListParagraph"/>
        <w:numPr>
          <w:ilvl w:val="0"/>
          <w:numId w:val="32"/>
        </w:numPr>
        <w:spacing w:after="120"/>
        <w:ind w:left="714" w:hanging="357"/>
        <w:contextualSpacing w:val="0"/>
        <w:jc w:val="both"/>
        <w:rPr>
          <w:noProof/>
          <w:color w:val="333333"/>
          <w:sz w:val="22"/>
          <w:szCs w:val="22"/>
          <w:shd w:val="clear" w:color="auto" w:fill="FFFFFF"/>
        </w:rPr>
      </w:pPr>
      <w:hyperlink r:id="rId32" w:history="1">
        <w:r w:rsidR="000A7D9D" w:rsidRPr="0042760F">
          <w:rPr>
            <w:rStyle w:val="Hyperlink"/>
            <w:noProof/>
            <w:sz w:val="22"/>
            <w:szCs w:val="22"/>
            <w:shd w:val="clear" w:color="auto" w:fill="FFFFFF"/>
            <w:lang w:eastAsia="en-GB"/>
          </w:rPr>
          <w:t>Panel on Nutrition, Novel Foods and Food Allergens (NDA)</w:t>
        </w:r>
      </w:hyperlink>
      <w:r w:rsidR="000A7D9D" w:rsidRPr="0042760F">
        <w:rPr>
          <w:noProof/>
          <w:color w:val="333333"/>
          <w:sz w:val="22"/>
          <w:szCs w:val="22"/>
          <w:shd w:val="clear" w:color="auto" w:fill="FFFFFF"/>
        </w:rPr>
        <w:t>. Deals with questions related to human nutrition, novel foods, nutrient sources, foods for special groups such as infant formulae, health claims on food products, dietary reference values, and food allergies.</w:t>
      </w:r>
    </w:p>
    <w:p w14:paraId="32E4709D" w14:textId="77777777" w:rsidR="000A7D9D" w:rsidRPr="0042760F" w:rsidRDefault="00187DBF" w:rsidP="000A7D9D">
      <w:pPr>
        <w:pStyle w:val="ListParagraph"/>
        <w:numPr>
          <w:ilvl w:val="0"/>
          <w:numId w:val="32"/>
        </w:numPr>
        <w:spacing w:after="120"/>
        <w:ind w:left="714" w:hanging="357"/>
        <w:contextualSpacing w:val="0"/>
        <w:jc w:val="both"/>
        <w:rPr>
          <w:noProof/>
          <w:color w:val="333333"/>
          <w:sz w:val="22"/>
          <w:szCs w:val="22"/>
          <w:shd w:val="clear" w:color="auto" w:fill="FFFFFF"/>
        </w:rPr>
      </w:pPr>
      <w:hyperlink r:id="rId33" w:history="1">
        <w:r w:rsidR="000A7D9D" w:rsidRPr="0042760F">
          <w:rPr>
            <w:rStyle w:val="Hyperlink"/>
            <w:noProof/>
            <w:sz w:val="22"/>
            <w:szCs w:val="22"/>
            <w:shd w:val="clear" w:color="auto" w:fill="FFFFFF"/>
            <w:lang w:eastAsia="en-GB"/>
          </w:rPr>
          <w:t>Panel on Plant Health (PLH)</w:t>
        </w:r>
      </w:hyperlink>
      <w:r w:rsidR="000A7D9D" w:rsidRPr="0042760F">
        <w:rPr>
          <w:noProof/>
          <w:color w:val="333333"/>
          <w:sz w:val="22"/>
          <w:szCs w:val="22"/>
          <w:shd w:val="clear" w:color="auto" w:fill="FFFFFF"/>
        </w:rPr>
        <w:t>. Provides independent scientific advice on the risk posed by plant pests which can cause harm to plants, plant products or biodiversity in the EU. The Panel reviews and assesses those risks with regard to the safety and security of the food chain.</w:t>
      </w:r>
    </w:p>
    <w:p w14:paraId="00C1045E" w14:textId="77777777" w:rsidR="000A7D9D" w:rsidRPr="0042760F" w:rsidRDefault="00187DBF" w:rsidP="000A7D9D">
      <w:pPr>
        <w:pStyle w:val="ListParagraph"/>
        <w:numPr>
          <w:ilvl w:val="0"/>
          <w:numId w:val="32"/>
        </w:numPr>
        <w:spacing w:after="120"/>
        <w:ind w:left="714" w:hanging="357"/>
        <w:contextualSpacing w:val="0"/>
        <w:jc w:val="both"/>
        <w:rPr>
          <w:noProof/>
          <w:color w:val="333333"/>
          <w:sz w:val="22"/>
          <w:szCs w:val="22"/>
          <w:shd w:val="clear" w:color="auto" w:fill="FFFFFF"/>
        </w:rPr>
      </w:pPr>
      <w:hyperlink r:id="rId34" w:history="1">
        <w:r w:rsidR="000A7D9D" w:rsidRPr="0042760F">
          <w:rPr>
            <w:rStyle w:val="Hyperlink"/>
            <w:noProof/>
            <w:sz w:val="22"/>
            <w:szCs w:val="22"/>
            <w:shd w:val="clear" w:color="auto" w:fill="FFFFFF"/>
            <w:lang w:eastAsia="en-GB"/>
          </w:rPr>
          <w:t>Panel on Plant Protection Products and their Residues (PPR)</w:t>
        </w:r>
      </w:hyperlink>
      <w:r w:rsidR="000A7D9D" w:rsidRPr="0042760F">
        <w:rPr>
          <w:noProof/>
          <w:color w:val="333333"/>
          <w:sz w:val="22"/>
          <w:szCs w:val="22"/>
          <w:shd w:val="clear" w:color="auto" w:fill="FFFFFF"/>
        </w:rPr>
        <w:t>. Provides scientific advice on the risk assessment of pesticides for operators, workers, consumers and the environment. The Panel develops and reviews guidance documents on the risk assessment of pesticides. This work supports the evaluation of active substances used in pesticides, which is carried out Rapporteur Member States and peer reviewed by EFSA staff.</w:t>
      </w:r>
    </w:p>
    <w:p w14:paraId="07D128A6" w14:textId="77777777" w:rsidR="000A7D9D" w:rsidRPr="0042760F" w:rsidRDefault="00187DBF" w:rsidP="000A7D9D">
      <w:pPr>
        <w:pStyle w:val="ListParagraph"/>
        <w:numPr>
          <w:ilvl w:val="0"/>
          <w:numId w:val="32"/>
        </w:numPr>
        <w:spacing w:after="120"/>
        <w:ind w:left="714" w:hanging="357"/>
        <w:contextualSpacing w:val="0"/>
        <w:jc w:val="both"/>
        <w:rPr>
          <w:noProof/>
          <w:sz w:val="22"/>
          <w:szCs w:val="22"/>
        </w:rPr>
      </w:pPr>
      <w:hyperlink r:id="rId35" w:history="1">
        <w:r w:rsidR="000A7D9D" w:rsidRPr="0042760F">
          <w:rPr>
            <w:rStyle w:val="Hyperlink"/>
            <w:noProof/>
            <w:sz w:val="22"/>
            <w:szCs w:val="22"/>
            <w:shd w:val="clear" w:color="auto" w:fill="FFFFFF"/>
            <w:lang w:eastAsia="en-GB"/>
          </w:rPr>
          <w:t>Scientific Committee</w:t>
        </w:r>
      </w:hyperlink>
      <w:r w:rsidR="000A7D9D" w:rsidRPr="0042760F">
        <w:rPr>
          <w:noProof/>
          <w:color w:val="333333"/>
          <w:sz w:val="22"/>
          <w:szCs w:val="22"/>
          <w:shd w:val="clear" w:color="auto" w:fill="FFFFFF"/>
        </w:rPr>
        <w:t>. Develops harmonised risk assessment methodologies on scientific matters of a horizontal nature in the fields within EFSA's remit where EU-wide approaches are not already defined. It provides general co-ordination to ensure consistency in the scientific opinions prepared by EFSA's Scientific Panels. It also provides strategic scientific advice to EFSA’s management.</w:t>
      </w:r>
    </w:p>
    <w:p w14:paraId="7E111901" w14:textId="77777777" w:rsidR="000A7D9D" w:rsidRPr="0042760F" w:rsidRDefault="000A7D9D" w:rsidP="000A7D9D">
      <w:pPr>
        <w:jc w:val="both"/>
        <w:rPr>
          <w:rFonts w:ascii="Times New Roman" w:hAnsi="Times New Roman" w:cs="Times New Roman"/>
          <w:noProof/>
        </w:rPr>
      </w:pPr>
    </w:p>
    <w:p w14:paraId="70F9499D" w14:textId="77777777" w:rsidR="000A7D9D" w:rsidRPr="0042760F" w:rsidRDefault="000A7D9D" w:rsidP="000A7D9D">
      <w:pPr>
        <w:rPr>
          <w:rFonts w:ascii="Times New Roman" w:hAnsi="Times New Roman" w:cs="Times New Roman"/>
          <w:b/>
          <w:i/>
          <w:noProof/>
          <w:u w:val="single"/>
        </w:rPr>
      </w:pPr>
      <w:r w:rsidRPr="0042760F">
        <w:rPr>
          <w:rFonts w:ascii="Times New Roman" w:hAnsi="Times New Roman" w:cs="Times New Roman"/>
          <w:b/>
          <w:i/>
          <w:noProof/>
          <w:u w:val="single"/>
        </w:rPr>
        <w:br w:type="page"/>
      </w:r>
    </w:p>
    <w:p w14:paraId="2689F337" w14:textId="77777777" w:rsidR="000A7D9D" w:rsidRDefault="000A7D9D" w:rsidP="000A7D9D">
      <w:pPr>
        <w:spacing w:after="120"/>
        <w:jc w:val="both"/>
        <w:rPr>
          <w:b/>
          <w:i/>
          <w:noProof/>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360"/>
      </w:tblGrid>
      <w:tr w:rsidR="000A7D9D" w14:paraId="036BE6F6" w14:textId="77777777" w:rsidTr="00F31937">
        <w:tc>
          <w:tcPr>
            <w:tcW w:w="4928" w:type="dxa"/>
            <w:vAlign w:val="bottom"/>
          </w:tcPr>
          <w:p w14:paraId="15443D1B" w14:textId="77777777" w:rsidR="000A7D9D" w:rsidRPr="00D44C76" w:rsidRDefault="000A7D9D" w:rsidP="000A7D9D">
            <w:pPr>
              <w:pStyle w:val="Heading1"/>
              <w:keepLines w:val="0"/>
              <w:widowControl/>
              <w:numPr>
                <w:ilvl w:val="0"/>
                <w:numId w:val="142"/>
              </w:numPr>
              <w:snapToGrid/>
              <w:spacing w:before="240"/>
              <w:jc w:val="both"/>
              <w:rPr>
                <w:rFonts w:ascii="Times New Roman" w:hAnsi="Times New Roman"/>
                <w:smallCaps/>
                <w:noProof/>
                <w:color w:val="auto"/>
                <w:sz w:val="24"/>
                <w:szCs w:val="20"/>
                <w:lang w:eastAsia="en-US"/>
              </w:rPr>
            </w:pPr>
            <w:bookmarkStart w:id="23" w:name="_Toc150499909"/>
            <w:r w:rsidRPr="00D44C76">
              <w:rPr>
                <w:rFonts w:ascii="Times New Roman" w:hAnsi="Times New Roman"/>
                <w:smallCaps/>
                <w:noProof/>
                <w:color w:val="auto"/>
                <w:sz w:val="24"/>
                <w:szCs w:val="20"/>
                <w:lang w:eastAsia="en-US"/>
              </w:rPr>
              <w:t>European Chemicals Agency</w:t>
            </w:r>
            <w:bookmarkEnd w:id="23"/>
          </w:p>
        </w:tc>
        <w:tc>
          <w:tcPr>
            <w:tcW w:w="4360" w:type="dxa"/>
            <w:vAlign w:val="bottom"/>
          </w:tcPr>
          <w:p w14:paraId="75E8EA28" w14:textId="77777777" w:rsidR="000A7D9D" w:rsidRPr="00CA2CEE" w:rsidRDefault="000A7D9D" w:rsidP="00F31937">
            <w:pPr>
              <w:spacing w:after="120"/>
              <w:jc w:val="right"/>
              <w:rPr>
                <w:b/>
                <w:noProof/>
              </w:rPr>
            </w:pPr>
            <w:r w:rsidRPr="00CA2CEE">
              <w:rPr>
                <w:b/>
                <w:i/>
                <w:noProof/>
              </w:rPr>
              <w:drawing>
                <wp:inline distT="0" distB="0" distL="0" distR="0" wp14:anchorId="1368AF64" wp14:editId="321D4700">
                  <wp:extent cx="1136650" cy="298272"/>
                  <wp:effectExtent l="0" t="0" r="6350" b="6985"/>
                  <wp:docPr id="5" name="Picture 5" descr="Logo&#10;&#10;Description automatically generated">
                    <a:extLst xmlns:a="http://schemas.openxmlformats.org/drawingml/2006/main">
                      <a:ext uri="{FF2B5EF4-FFF2-40B4-BE49-F238E27FC236}">
                        <a16:creationId xmlns:a16="http://schemas.microsoft.com/office/drawing/2014/main" id="{4F0B42F4-2CE4-8DBE-4785-168FF428D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Logo&#10;&#10;Description automatically generated">
                            <a:extLst>
                              <a:ext uri="{FF2B5EF4-FFF2-40B4-BE49-F238E27FC236}">
                                <a16:creationId xmlns:a16="http://schemas.microsoft.com/office/drawing/2014/main" id="{4F0B42F4-2CE4-8DBE-4785-168FF428D07C}"/>
                              </a:ext>
                            </a:extLst>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6320" cy="308682"/>
                          </a:xfrm>
                          <a:prstGeom prst="rect">
                            <a:avLst/>
                          </a:prstGeom>
                          <a:noFill/>
                          <a:ln>
                            <a:noFill/>
                          </a:ln>
                        </pic:spPr>
                      </pic:pic>
                    </a:graphicData>
                  </a:graphic>
                </wp:inline>
              </w:drawing>
            </w:r>
          </w:p>
        </w:tc>
      </w:tr>
    </w:tbl>
    <w:p w14:paraId="5D882A88" w14:textId="77777777" w:rsidR="000A7D9D" w:rsidRPr="0042760F" w:rsidRDefault="000A7D9D" w:rsidP="000A7D9D">
      <w:pPr>
        <w:spacing w:before="120" w:after="120"/>
        <w:jc w:val="both"/>
        <w:rPr>
          <w:rFonts w:ascii="Times New Roman" w:hAnsi="Times New Roman" w:cs="Times New Roman"/>
          <w:noProof/>
          <w:color w:val="000000" w:themeColor="text1"/>
        </w:rPr>
      </w:pPr>
      <w:r w:rsidRPr="0042760F">
        <w:rPr>
          <w:rFonts w:ascii="Times New Roman" w:hAnsi="Times New Roman" w:cs="Times New Roman"/>
          <w:noProof/>
          <w:color w:val="000000" w:themeColor="text1"/>
        </w:rPr>
        <w:t xml:space="preserve">The European Chemicals Agency (ECHA) implements the EU’s chemicals legislation to protect human health and the environment. ECHA’s core competence, is to deliver scientifically sound and consistent regulatory outcomes that meet EU chemicals policy objectives in a transparent, professional, independent and efficient manner. </w:t>
      </w:r>
    </w:p>
    <w:p w14:paraId="4BD481F7" w14:textId="77777777" w:rsidR="000A7D9D" w:rsidRPr="0042760F" w:rsidRDefault="000A7D9D" w:rsidP="000A7D9D">
      <w:pPr>
        <w:spacing w:after="120"/>
        <w:jc w:val="both"/>
        <w:rPr>
          <w:rFonts w:ascii="Times New Roman" w:hAnsi="Times New Roman" w:cs="Times New Roman"/>
          <w:noProof/>
          <w:color w:val="000000" w:themeColor="text1"/>
        </w:rPr>
      </w:pPr>
      <w:r w:rsidRPr="0042760F">
        <w:rPr>
          <w:rFonts w:ascii="Times New Roman" w:hAnsi="Times New Roman" w:cs="Times New Roman"/>
          <w:noProof/>
          <w:color w:val="000000" w:themeColor="text1"/>
        </w:rPr>
        <w:t>ECHA’s scientific competences cover the areas of chemical hazard and risk assessment, identifying the most effective risk management option(s), assessing alternative substances and socio-economic consequences of risk management decisions. ECHA covers the area of hazard assessment for industrial chemicals, pesticides and biocides; risk assessment of industrial chemicals; use and exposure to chemicals other than food and medicines.</w:t>
      </w:r>
    </w:p>
    <w:p w14:paraId="328AC36A" w14:textId="77777777" w:rsidR="000A7D9D" w:rsidRPr="0042760F" w:rsidRDefault="000A7D9D" w:rsidP="000A7D9D">
      <w:pPr>
        <w:spacing w:after="120"/>
        <w:jc w:val="both"/>
        <w:rPr>
          <w:rFonts w:ascii="Times New Roman" w:hAnsi="Times New Roman" w:cs="Times New Roman"/>
          <w:noProof/>
          <w:color w:val="000000" w:themeColor="text1"/>
        </w:rPr>
      </w:pPr>
      <w:r w:rsidRPr="0042760F">
        <w:rPr>
          <w:rFonts w:ascii="Times New Roman" w:hAnsi="Times New Roman" w:cs="Times New Roman"/>
          <w:noProof/>
          <w:color w:val="000000" w:themeColor="text1"/>
        </w:rPr>
        <w:t>ECHA’s specific competences include:</w:t>
      </w:r>
    </w:p>
    <w:p w14:paraId="10777574" w14:textId="77777777" w:rsidR="000A7D9D" w:rsidRPr="0042760F" w:rsidRDefault="000A7D9D" w:rsidP="000A7D9D">
      <w:pPr>
        <w:pStyle w:val="ListParagraph"/>
        <w:numPr>
          <w:ilvl w:val="0"/>
          <w:numId w:val="29"/>
        </w:numPr>
        <w:spacing w:after="120"/>
        <w:jc w:val="both"/>
        <w:rPr>
          <w:noProof/>
          <w:color w:val="000000" w:themeColor="text1"/>
          <w:sz w:val="22"/>
          <w:szCs w:val="22"/>
        </w:rPr>
      </w:pPr>
      <w:r w:rsidRPr="0042760F">
        <w:rPr>
          <w:noProof/>
          <w:color w:val="000000" w:themeColor="text1"/>
          <w:sz w:val="22"/>
          <w:szCs w:val="22"/>
        </w:rPr>
        <w:t>Chemistry, including substance identification and phys chem properties</w:t>
      </w:r>
    </w:p>
    <w:p w14:paraId="51E1A29B" w14:textId="77777777" w:rsidR="000A7D9D" w:rsidRPr="0042760F" w:rsidRDefault="000A7D9D" w:rsidP="000A7D9D">
      <w:pPr>
        <w:pStyle w:val="ListParagraph"/>
        <w:numPr>
          <w:ilvl w:val="0"/>
          <w:numId w:val="29"/>
        </w:numPr>
        <w:spacing w:after="120"/>
        <w:jc w:val="both"/>
        <w:rPr>
          <w:noProof/>
          <w:color w:val="000000" w:themeColor="text1"/>
          <w:sz w:val="22"/>
          <w:szCs w:val="22"/>
        </w:rPr>
      </w:pPr>
      <w:r w:rsidRPr="0042760F">
        <w:rPr>
          <w:noProof/>
          <w:color w:val="000000" w:themeColor="text1"/>
          <w:sz w:val="22"/>
          <w:szCs w:val="22"/>
        </w:rPr>
        <w:t>Hazard assessment – toxicology, ecotoxicology and environmental fate</w:t>
      </w:r>
    </w:p>
    <w:p w14:paraId="5827E861" w14:textId="77777777" w:rsidR="000A7D9D" w:rsidRPr="0042760F" w:rsidRDefault="000A7D9D" w:rsidP="000A7D9D">
      <w:pPr>
        <w:pStyle w:val="ListParagraph"/>
        <w:numPr>
          <w:ilvl w:val="0"/>
          <w:numId w:val="29"/>
        </w:numPr>
        <w:spacing w:after="120"/>
        <w:jc w:val="both"/>
        <w:rPr>
          <w:noProof/>
          <w:color w:val="000000" w:themeColor="text1"/>
          <w:sz w:val="22"/>
          <w:szCs w:val="22"/>
        </w:rPr>
      </w:pPr>
      <w:r w:rsidRPr="0042760F">
        <w:rPr>
          <w:noProof/>
          <w:color w:val="000000" w:themeColor="text1"/>
          <w:sz w:val="22"/>
          <w:szCs w:val="22"/>
        </w:rPr>
        <w:t>Derivation of limit values</w:t>
      </w:r>
    </w:p>
    <w:p w14:paraId="0E0AA370" w14:textId="77777777" w:rsidR="000A7D9D" w:rsidRPr="0042760F" w:rsidRDefault="000A7D9D" w:rsidP="000A7D9D">
      <w:pPr>
        <w:pStyle w:val="ListParagraph"/>
        <w:numPr>
          <w:ilvl w:val="0"/>
          <w:numId w:val="29"/>
        </w:numPr>
        <w:spacing w:after="120"/>
        <w:jc w:val="both"/>
        <w:rPr>
          <w:noProof/>
          <w:color w:val="000000" w:themeColor="text1"/>
          <w:sz w:val="22"/>
          <w:szCs w:val="22"/>
        </w:rPr>
      </w:pPr>
      <w:r w:rsidRPr="0042760F">
        <w:rPr>
          <w:noProof/>
          <w:color w:val="000000" w:themeColor="text1"/>
          <w:sz w:val="22"/>
          <w:szCs w:val="22"/>
        </w:rPr>
        <w:t>Alternative methods to animal testing (for example, QSARs)</w:t>
      </w:r>
    </w:p>
    <w:p w14:paraId="492CBD21" w14:textId="77777777" w:rsidR="000A7D9D" w:rsidRPr="0042760F" w:rsidRDefault="000A7D9D" w:rsidP="000A7D9D">
      <w:pPr>
        <w:pStyle w:val="ListParagraph"/>
        <w:numPr>
          <w:ilvl w:val="0"/>
          <w:numId w:val="29"/>
        </w:numPr>
        <w:spacing w:after="120"/>
        <w:jc w:val="both"/>
        <w:rPr>
          <w:noProof/>
          <w:color w:val="000000" w:themeColor="text1"/>
          <w:sz w:val="22"/>
          <w:szCs w:val="22"/>
        </w:rPr>
      </w:pPr>
      <w:r w:rsidRPr="0042760F">
        <w:rPr>
          <w:noProof/>
          <w:color w:val="000000" w:themeColor="text1"/>
          <w:sz w:val="22"/>
          <w:szCs w:val="22"/>
        </w:rPr>
        <w:t>Exposure and risk assessment</w:t>
      </w:r>
    </w:p>
    <w:p w14:paraId="546072BA" w14:textId="77777777" w:rsidR="000A7D9D" w:rsidRPr="0042760F" w:rsidRDefault="000A7D9D" w:rsidP="000A7D9D">
      <w:pPr>
        <w:pStyle w:val="ListParagraph"/>
        <w:numPr>
          <w:ilvl w:val="0"/>
          <w:numId w:val="29"/>
        </w:numPr>
        <w:spacing w:after="120"/>
        <w:jc w:val="both"/>
        <w:rPr>
          <w:noProof/>
          <w:color w:val="000000" w:themeColor="text1"/>
          <w:sz w:val="22"/>
          <w:szCs w:val="22"/>
        </w:rPr>
      </w:pPr>
      <w:r w:rsidRPr="0042760F">
        <w:rPr>
          <w:noProof/>
          <w:color w:val="000000" w:themeColor="text1"/>
          <w:sz w:val="22"/>
          <w:szCs w:val="22"/>
        </w:rPr>
        <w:t>Risk management</w:t>
      </w:r>
    </w:p>
    <w:p w14:paraId="131E3E50" w14:textId="77777777" w:rsidR="000A7D9D" w:rsidRPr="0042760F" w:rsidRDefault="000A7D9D" w:rsidP="000A7D9D">
      <w:pPr>
        <w:pStyle w:val="ListParagraph"/>
        <w:numPr>
          <w:ilvl w:val="0"/>
          <w:numId w:val="29"/>
        </w:numPr>
        <w:spacing w:after="120"/>
        <w:jc w:val="both"/>
        <w:rPr>
          <w:noProof/>
          <w:color w:val="000000" w:themeColor="text1"/>
          <w:sz w:val="22"/>
          <w:szCs w:val="22"/>
        </w:rPr>
      </w:pPr>
      <w:r w:rsidRPr="0042760F">
        <w:rPr>
          <w:noProof/>
          <w:color w:val="000000" w:themeColor="text1"/>
          <w:sz w:val="22"/>
          <w:szCs w:val="22"/>
        </w:rPr>
        <w:t>Data and information management in relation to chemicals management</w:t>
      </w:r>
    </w:p>
    <w:p w14:paraId="0A493664" w14:textId="77777777" w:rsidR="000A7D9D" w:rsidRPr="0042760F" w:rsidRDefault="000A7D9D" w:rsidP="000A7D9D">
      <w:pPr>
        <w:pStyle w:val="ListParagraph"/>
        <w:numPr>
          <w:ilvl w:val="0"/>
          <w:numId w:val="29"/>
        </w:numPr>
        <w:spacing w:after="120"/>
        <w:jc w:val="both"/>
        <w:rPr>
          <w:noProof/>
          <w:color w:val="000000" w:themeColor="text1"/>
          <w:sz w:val="22"/>
          <w:szCs w:val="22"/>
        </w:rPr>
      </w:pPr>
      <w:r w:rsidRPr="0042760F">
        <w:rPr>
          <w:noProof/>
          <w:color w:val="000000" w:themeColor="text1"/>
          <w:sz w:val="22"/>
          <w:szCs w:val="22"/>
        </w:rPr>
        <w:t>Consensus building and delivery of scientific opinions</w:t>
      </w:r>
    </w:p>
    <w:p w14:paraId="35B85E10" w14:textId="77777777" w:rsidR="000A7D9D" w:rsidRPr="0042760F" w:rsidRDefault="000A7D9D" w:rsidP="000A7D9D">
      <w:pPr>
        <w:pStyle w:val="ListParagraph"/>
        <w:numPr>
          <w:ilvl w:val="0"/>
          <w:numId w:val="29"/>
        </w:numPr>
        <w:jc w:val="both"/>
        <w:rPr>
          <w:noProof/>
          <w:color w:val="000000" w:themeColor="text1"/>
          <w:sz w:val="22"/>
          <w:szCs w:val="22"/>
        </w:rPr>
      </w:pPr>
      <w:r w:rsidRPr="0042760F">
        <w:rPr>
          <w:noProof/>
          <w:color w:val="000000" w:themeColor="text1"/>
          <w:sz w:val="22"/>
          <w:szCs w:val="22"/>
        </w:rPr>
        <w:t>Delivery of regulatory decisions</w:t>
      </w:r>
    </w:p>
    <w:p w14:paraId="7CFD6D71" w14:textId="77777777" w:rsidR="000A7D9D" w:rsidRPr="0042760F" w:rsidRDefault="000A7D9D" w:rsidP="000A7D9D">
      <w:pPr>
        <w:pStyle w:val="ListParagraph"/>
        <w:numPr>
          <w:ilvl w:val="0"/>
          <w:numId w:val="29"/>
        </w:numPr>
        <w:spacing w:after="120"/>
        <w:ind w:left="714" w:hanging="357"/>
        <w:contextualSpacing w:val="0"/>
        <w:jc w:val="both"/>
        <w:rPr>
          <w:noProof/>
          <w:color w:val="000000" w:themeColor="text1"/>
          <w:sz w:val="22"/>
          <w:szCs w:val="22"/>
        </w:rPr>
      </w:pPr>
      <w:r w:rsidRPr="0042760F">
        <w:rPr>
          <w:noProof/>
          <w:color w:val="000000" w:themeColor="text1"/>
          <w:sz w:val="22"/>
          <w:szCs w:val="22"/>
        </w:rPr>
        <w:t>Support duty holders with regulatory obligations</w:t>
      </w:r>
    </w:p>
    <w:p w14:paraId="215C7BE4" w14:textId="77777777" w:rsidR="000A7D9D" w:rsidRPr="0042760F" w:rsidRDefault="000A7D9D" w:rsidP="000A7D9D">
      <w:pPr>
        <w:spacing w:after="120"/>
        <w:jc w:val="both"/>
        <w:rPr>
          <w:rFonts w:ascii="Times New Roman" w:hAnsi="Times New Roman" w:cs="Times New Roman"/>
          <w:noProof/>
        </w:rPr>
      </w:pPr>
      <w:r w:rsidRPr="0042760F">
        <w:rPr>
          <w:rFonts w:ascii="Times New Roman" w:hAnsi="Times New Roman" w:cs="Times New Roman"/>
          <w:noProof/>
        </w:rPr>
        <w:t xml:space="preserve">ECHA has four committees and the enforcement forum: </w:t>
      </w:r>
    </w:p>
    <w:p w14:paraId="7409ACC5" w14:textId="77777777" w:rsidR="000A7D9D" w:rsidRPr="0042760F" w:rsidRDefault="00187DBF" w:rsidP="000A7D9D">
      <w:pPr>
        <w:pStyle w:val="ListParagraph"/>
        <w:numPr>
          <w:ilvl w:val="0"/>
          <w:numId w:val="33"/>
        </w:numPr>
        <w:spacing w:after="120"/>
        <w:ind w:left="714" w:hanging="357"/>
        <w:contextualSpacing w:val="0"/>
        <w:jc w:val="both"/>
        <w:rPr>
          <w:noProof/>
          <w:color w:val="000000" w:themeColor="text1"/>
          <w:sz w:val="22"/>
          <w:szCs w:val="22"/>
          <w:shd w:val="clear" w:color="auto" w:fill="FFFFFF"/>
        </w:rPr>
      </w:pPr>
      <w:hyperlink r:id="rId37" w:anchor=":~:text=The%20Committee%20for%20Risk%20Assessment,taken%20by%20the%20European%20Commission." w:history="1">
        <w:r w:rsidR="000A7D9D" w:rsidRPr="0042760F">
          <w:rPr>
            <w:rStyle w:val="Hyperlink"/>
            <w:noProof/>
            <w:sz w:val="22"/>
            <w:szCs w:val="22"/>
            <w:shd w:val="clear" w:color="auto" w:fill="FFFFFF"/>
            <w:lang w:eastAsia="en-GB"/>
          </w:rPr>
          <w:t>Committee for Risk Assessment</w:t>
        </w:r>
      </w:hyperlink>
      <w:r w:rsidR="000A7D9D" w:rsidRPr="0042760F">
        <w:rPr>
          <w:noProof/>
          <w:sz w:val="22"/>
          <w:szCs w:val="22"/>
        </w:rPr>
        <w:t xml:space="preserve">. </w:t>
      </w:r>
      <w:r w:rsidR="000A7D9D" w:rsidRPr="0042760F">
        <w:rPr>
          <w:noProof/>
          <w:color w:val="000000" w:themeColor="text1"/>
          <w:sz w:val="22"/>
          <w:szCs w:val="22"/>
          <w:shd w:val="clear" w:color="auto" w:fill="FFFFFF"/>
        </w:rPr>
        <w:t xml:space="preserve">Prepares the opinions of ECHA related to the hazards and risks of substances to human health and the environment for the harmonised classification under CLP, for restrictions and authorisations under REACH and for the occupational exposure limits under worker protection legislation. </w:t>
      </w:r>
    </w:p>
    <w:p w14:paraId="323604B1" w14:textId="77777777" w:rsidR="000A7D9D" w:rsidRPr="0042760F" w:rsidRDefault="00187DBF" w:rsidP="000A7D9D">
      <w:pPr>
        <w:pStyle w:val="ListParagraph"/>
        <w:numPr>
          <w:ilvl w:val="0"/>
          <w:numId w:val="33"/>
        </w:numPr>
        <w:spacing w:after="120"/>
        <w:ind w:left="714" w:hanging="357"/>
        <w:contextualSpacing w:val="0"/>
        <w:jc w:val="both"/>
        <w:rPr>
          <w:noProof/>
          <w:color w:val="000000" w:themeColor="text1"/>
          <w:sz w:val="22"/>
          <w:szCs w:val="22"/>
          <w:shd w:val="clear" w:color="auto" w:fill="FFFFFF"/>
        </w:rPr>
      </w:pPr>
      <w:hyperlink r:id="rId38" w:history="1">
        <w:r w:rsidR="000A7D9D" w:rsidRPr="0042760F">
          <w:rPr>
            <w:rStyle w:val="Hyperlink"/>
            <w:noProof/>
            <w:sz w:val="22"/>
            <w:szCs w:val="22"/>
            <w:shd w:val="clear" w:color="auto" w:fill="FFFFFF"/>
            <w:lang w:eastAsia="en-GB"/>
          </w:rPr>
          <w:t>Committee for Socio-Economic Analysis</w:t>
        </w:r>
      </w:hyperlink>
      <w:r w:rsidR="000A7D9D" w:rsidRPr="0042760F">
        <w:rPr>
          <w:noProof/>
          <w:color w:val="384A53"/>
          <w:sz w:val="22"/>
          <w:szCs w:val="22"/>
          <w:shd w:val="clear" w:color="auto" w:fill="FFFFFF"/>
        </w:rPr>
        <w:t xml:space="preserve">. </w:t>
      </w:r>
      <w:r w:rsidR="000A7D9D" w:rsidRPr="0042760F">
        <w:rPr>
          <w:noProof/>
          <w:color w:val="000000" w:themeColor="text1"/>
          <w:sz w:val="22"/>
          <w:szCs w:val="22"/>
          <w:shd w:val="clear" w:color="auto" w:fill="FFFFFF"/>
        </w:rPr>
        <w:t>Prepares the opinions of ECHA related to the socio-economic impact of possible legislative actions on chemicals in restriction and authorisation processes under REACH. The final decisions are taken by the European Commission.</w:t>
      </w:r>
    </w:p>
    <w:p w14:paraId="5D5ECF58" w14:textId="77777777" w:rsidR="000A7D9D" w:rsidRPr="0042760F" w:rsidRDefault="00187DBF" w:rsidP="000A7D9D">
      <w:pPr>
        <w:pStyle w:val="ListParagraph"/>
        <w:numPr>
          <w:ilvl w:val="0"/>
          <w:numId w:val="33"/>
        </w:numPr>
        <w:spacing w:after="120"/>
        <w:ind w:left="714" w:hanging="357"/>
        <w:contextualSpacing w:val="0"/>
        <w:jc w:val="both"/>
        <w:rPr>
          <w:noProof/>
          <w:color w:val="000000" w:themeColor="text1"/>
          <w:sz w:val="22"/>
          <w:szCs w:val="22"/>
          <w:shd w:val="clear" w:color="auto" w:fill="FFFFFF"/>
        </w:rPr>
      </w:pPr>
      <w:hyperlink r:id="rId39" w:history="1">
        <w:r w:rsidR="000A7D9D" w:rsidRPr="0042760F">
          <w:rPr>
            <w:rStyle w:val="Hyperlink"/>
            <w:noProof/>
            <w:sz w:val="22"/>
            <w:szCs w:val="22"/>
            <w:shd w:val="clear" w:color="auto" w:fill="FFFFFF"/>
            <w:lang w:eastAsia="en-GB"/>
          </w:rPr>
          <w:t>Member State Committee</w:t>
        </w:r>
        <w:r w:rsidR="000A7D9D" w:rsidRPr="0042760F">
          <w:rPr>
            <w:rStyle w:val="Hyperlink"/>
            <w:noProof/>
            <w:sz w:val="22"/>
            <w:szCs w:val="22"/>
            <w:shd w:val="clear" w:color="auto" w:fill="FFFFFF"/>
          </w:rPr>
          <w:t>.</w:t>
        </w:r>
      </w:hyperlink>
      <w:r w:rsidR="000A7D9D" w:rsidRPr="0042760F">
        <w:rPr>
          <w:noProof/>
          <w:color w:val="384A53"/>
          <w:sz w:val="22"/>
          <w:szCs w:val="22"/>
          <w:shd w:val="clear" w:color="auto" w:fill="FFFFFF"/>
        </w:rPr>
        <w:t xml:space="preserve"> </w:t>
      </w:r>
      <w:r w:rsidR="000A7D9D" w:rsidRPr="0042760F">
        <w:rPr>
          <w:noProof/>
          <w:color w:val="000000" w:themeColor="text1"/>
          <w:sz w:val="22"/>
          <w:szCs w:val="22"/>
          <w:shd w:val="clear" w:color="auto" w:fill="FFFFFF"/>
        </w:rPr>
        <w:t xml:space="preserve">The Member State Committee (MSC) participates in several REACH processes such as evaluation and authorisation. The MSC is responsible for resolving divergences of opinions among Member States and on proposals for the identification of Substances of Very High Concern (SVHCs). The Committee provides opinions on ECHA's draft recommendation for the authorisation list (Annex XIV) and draft Community Rolling Action Plan (CoRAP) for the substance evaluation process. If an agreement is not reached within the MSC, the matter is referred to the European Commission for decision-making. </w:t>
      </w:r>
    </w:p>
    <w:p w14:paraId="19454308" w14:textId="77777777" w:rsidR="000A7D9D" w:rsidRPr="0042760F" w:rsidRDefault="00187DBF" w:rsidP="000A7D9D">
      <w:pPr>
        <w:pStyle w:val="ListParagraph"/>
        <w:numPr>
          <w:ilvl w:val="0"/>
          <w:numId w:val="33"/>
        </w:numPr>
        <w:ind w:left="714" w:hanging="357"/>
        <w:jc w:val="both"/>
        <w:rPr>
          <w:noProof/>
          <w:color w:val="000000" w:themeColor="text1"/>
          <w:sz w:val="22"/>
          <w:szCs w:val="22"/>
          <w:shd w:val="clear" w:color="auto" w:fill="FFFFFF"/>
        </w:rPr>
      </w:pPr>
      <w:hyperlink r:id="rId40" w:history="1">
        <w:r w:rsidR="000A7D9D" w:rsidRPr="0042760F">
          <w:rPr>
            <w:rStyle w:val="Hyperlink"/>
            <w:noProof/>
            <w:sz w:val="22"/>
            <w:szCs w:val="22"/>
            <w:shd w:val="clear" w:color="auto" w:fill="FFFFFF"/>
            <w:lang w:eastAsia="en-GB"/>
          </w:rPr>
          <w:t>Biocidal Product Committee</w:t>
        </w:r>
      </w:hyperlink>
      <w:r w:rsidR="000A7D9D" w:rsidRPr="0042760F">
        <w:rPr>
          <w:noProof/>
          <w:color w:val="384A53"/>
          <w:sz w:val="22"/>
          <w:szCs w:val="22"/>
          <w:shd w:val="clear" w:color="auto" w:fill="FFFFFF"/>
        </w:rPr>
        <w:t xml:space="preserve">. </w:t>
      </w:r>
      <w:r w:rsidR="000A7D9D" w:rsidRPr="0042760F">
        <w:rPr>
          <w:noProof/>
          <w:color w:val="000000" w:themeColor="text1"/>
          <w:sz w:val="22"/>
          <w:szCs w:val="22"/>
          <w:shd w:val="clear" w:color="auto" w:fill="FFFFFF"/>
        </w:rPr>
        <w:t>P</w:t>
      </w:r>
      <w:r w:rsidR="000A7D9D" w:rsidRPr="0042760F">
        <w:rPr>
          <w:noProof/>
          <w:color w:val="000000" w:themeColor="text1"/>
          <w:sz w:val="22"/>
          <w:szCs w:val="22"/>
        </w:rPr>
        <w:t xml:space="preserve">repares the opinions of ECHA related to the following processes under biocidal product regulation: </w:t>
      </w:r>
    </w:p>
    <w:p w14:paraId="11293824" w14:textId="77777777" w:rsidR="000A7D9D" w:rsidRPr="0042760F" w:rsidRDefault="000A7D9D" w:rsidP="000A7D9D">
      <w:pPr>
        <w:pStyle w:val="NormalWeb"/>
        <w:numPr>
          <w:ilvl w:val="1"/>
          <w:numId w:val="33"/>
        </w:numPr>
        <w:shd w:val="clear" w:color="auto" w:fill="FFFFFF" w:themeFill="background1"/>
        <w:spacing w:before="0" w:beforeAutospacing="0" w:after="0" w:afterAutospacing="0" w:line="277" w:lineRule="atLeast"/>
        <w:rPr>
          <w:noProof/>
          <w:color w:val="000000" w:themeColor="text1"/>
          <w:sz w:val="22"/>
          <w:szCs w:val="22"/>
        </w:rPr>
      </w:pPr>
      <w:r w:rsidRPr="0042760F">
        <w:rPr>
          <w:noProof/>
          <w:color w:val="000000" w:themeColor="text1"/>
          <w:sz w:val="22"/>
          <w:szCs w:val="22"/>
        </w:rPr>
        <w:t>Applications for approval and renewal of approval of active substances</w:t>
      </w:r>
    </w:p>
    <w:p w14:paraId="755B7353" w14:textId="77777777" w:rsidR="000A7D9D" w:rsidRPr="0042760F" w:rsidRDefault="000A7D9D" w:rsidP="000A7D9D">
      <w:pPr>
        <w:pStyle w:val="NormalWeb"/>
        <w:numPr>
          <w:ilvl w:val="1"/>
          <w:numId w:val="33"/>
        </w:numPr>
        <w:shd w:val="clear" w:color="auto" w:fill="FFFFFF" w:themeFill="background1"/>
        <w:spacing w:before="0" w:beforeAutospacing="0" w:after="0" w:afterAutospacing="0" w:line="277" w:lineRule="atLeast"/>
        <w:rPr>
          <w:noProof/>
          <w:color w:val="000000" w:themeColor="text1"/>
          <w:sz w:val="22"/>
          <w:szCs w:val="22"/>
        </w:rPr>
      </w:pPr>
      <w:r w:rsidRPr="0042760F">
        <w:rPr>
          <w:noProof/>
          <w:color w:val="000000" w:themeColor="text1"/>
          <w:sz w:val="22"/>
          <w:szCs w:val="22"/>
        </w:rPr>
        <w:t>Review of approval of active substances</w:t>
      </w:r>
    </w:p>
    <w:p w14:paraId="50642479" w14:textId="77777777" w:rsidR="000A7D9D" w:rsidRPr="0042760F" w:rsidRDefault="000A7D9D" w:rsidP="000A7D9D">
      <w:pPr>
        <w:pStyle w:val="NormalWeb"/>
        <w:numPr>
          <w:ilvl w:val="1"/>
          <w:numId w:val="33"/>
        </w:numPr>
        <w:shd w:val="clear" w:color="auto" w:fill="FFFFFF" w:themeFill="background1"/>
        <w:spacing w:before="0" w:beforeAutospacing="0" w:after="0" w:afterAutospacing="0" w:line="277" w:lineRule="atLeast"/>
        <w:rPr>
          <w:noProof/>
          <w:color w:val="000000" w:themeColor="text1"/>
          <w:sz w:val="22"/>
          <w:szCs w:val="22"/>
        </w:rPr>
      </w:pPr>
      <w:r w:rsidRPr="0042760F">
        <w:rPr>
          <w:noProof/>
          <w:color w:val="000000" w:themeColor="text1"/>
          <w:sz w:val="22"/>
          <w:szCs w:val="22"/>
        </w:rPr>
        <w:t>Applications for inclusion in Annex I of active substances meeting the conditions laid down in Article 28 and review of the inclusion of such active substances in Annex I</w:t>
      </w:r>
    </w:p>
    <w:p w14:paraId="2CD81066" w14:textId="77777777" w:rsidR="000A7D9D" w:rsidRPr="0042760F" w:rsidRDefault="000A7D9D" w:rsidP="000A7D9D">
      <w:pPr>
        <w:pStyle w:val="NormalWeb"/>
        <w:numPr>
          <w:ilvl w:val="1"/>
          <w:numId w:val="33"/>
        </w:numPr>
        <w:shd w:val="clear" w:color="auto" w:fill="FFFFFF" w:themeFill="background1"/>
        <w:spacing w:before="0" w:beforeAutospacing="0" w:after="0" w:afterAutospacing="0" w:line="277" w:lineRule="atLeast"/>
        <w:rPr>
          <w:noProof/>
          <w:color w:val="000000" w:themeColor="text1"/>
          <w:sz w:val="22"/>
          <w:szCs w:val="22"/>
        </w:rPr>
      </w:pPr>
      <w:r w:rsidRPr="0042760F">
        <w:rPr>
          <w:noProof/>
          <w:color w:val="000000" w:themeColor="text1"/>
          <w:sz w:val="22"/>
          <w:szCs w:val="22"/>
        </w:rPr>
        <w:t>Identification of active substances which are candidates for substitution</w:t>
      </w:r>
    </w:p>
    <w:p w14:paraId="77F9D5BE" w14:textId="77777777" w:rsidR="000A7D9D" w:rsidRPr="0042760F" w:rsidRDefault="000A7D9D" w:rsidP="000A7D9D">
      <w:pPr>
        <w:pStyle w:val="NormalWeb"/>
        <w:numPr>
          <w:ilvl w:val="1"/>
          <w:numId w:val="33"/>
        </w:numPr>
        <w:shd w:val="clear" w:color="auto" w:fill="FFFFFF" w:themeFill="background1"/>
        <w:spacing w:before="0" w:beforeAutospacing="0" w:after="0" w:afterAutospacing="0" w:line="277" w:lineRule="atLeast"/>
        <w:rPr>
          <w:noProof/>
          <w:color w:val="000000" w:themeColor="text1"/>
          <w:sz w:val="22"/>
          <w:szCs w:val="22"/>
        </w:rPr>
      </w:pPr>
      <w:r w:rsidRPr="0042760F">
        <w:rPr>
          <w:noProof/>
          <w:color w:val="000000" w:themeColor="text1"/>
          <w:sz w:val="22"/>
          <w:szCs w:val="22"/>
        </w:rPr>
        <w:t>Applications for Union authorisation of biocidal products and for renewal, cancellation and amendments of Union authorisations, except where the applications are for administrative changes</w:t>
      </w:r>
    </w:p>
    <w:p w14:paraId="4689DF2C" w14:textId="77777777" w:rsidR="000A7D9D" w:rsidRPr="0042760F" w:rsidRDefault="000A7D9D" w:rsidP="000A7D9D">
      <w:pPr>
        <w:pStyle w:val="NormalWeb"/>
        <w:numPr>
          <w:ilvl w:val="1"/>
          <w:numId w:val="33"/>
        </w:numPr>
        <w:shd w:val="clear" w:color="auto" w:fill="FFFFFF" w:themeFill="background1"/>
        <w:spacing w:before="0" w:beforeAutospacing="0" w:after="0" w:afterAutospacing="0" w:line="277" w:lineRule="atLeast"/>
        <w:rPr>
          <w:noProof/>
          <w:color w:val="000000" w:themeColor="text1"/>
          <w:sz w:val="22"/>
          <w:szCs w:val="22"/>
        </w:rPr>
      </w:pPr>
      <w:r w:rsidRPr="0042760F">
        <w:rPr>
          <w:noProof/>
          <w:color w:val="000000" w:themeColor="text1"/>
          <w:sz w:val="22"/>
          <w:szCs w:val="22"/>
        </w:rPr>
        <w:t>Scientific and technical matters concerning mutual recognition in accordance with Article 38</w:t>
      </w:r>
    </w:p>
    <w:p w14:paraId="32436C48" w14:textId="77777777" w:rsidR="000A7D9D" w:rsidRPr="0042760F" w:rsidRDefault="000A7D9D" w:rsidP="000A7D9D">
      <w:pPr>
        <w:pStyle w:val="NormalWeb"/>
        <w:numPr>
          <w:ilvl w:val="1"/>
          <w:numId w:val="33"/>
        </w:numPr>
        <w:shd w:val="clear" w:color="auto" w:fill="FFFFFF" w:themeFill="background1"/>
        <w:spacing w:before="0" w:beforeAutospacing="0" w:after="120" w:afterAutospacing="0" w:line="277" w:lineRule="atLeast"/>
        <w:ind w:left="1434" w:hanging="357"/>
        <w:rPr>
          <w:noProof/>
          <w:color w:val="000000" w:themeColor="text1"/>
          <w:sz w:val="22"/>
          <w:szCs w:val="22"/>
        </w:rPr>
      </w:pPr>
      <w:r w:rsidRPr="0042760F">
        <w:rPr>
          <w:noProof/>
          <w:color w:val="000000" w:themeColor="text1"/>
          <w:sz w:val="22"/>
          <w:szCs w:val="22"/>
        </w:rPr>
        <w:t>At the request of the Commission or of the Member States, the BPC is also responsible for preparing an opinion on any other questions that may arise from the operation of the BPR relating to risks to human or animal health or the environment, or to technical guidance.</w:t>
      </w:r>
    </w:p>
    <w:p w14:paraId="5F9DE311" w14:textId="77777777" w:rsidR="000A7D9D" w:rsidRPr="0042760F" w:rsidRDefault="00187DBF" w:rsidP="000A7D9D">
      <w:pPr>
        <w:pStyle w:val="ListParagraph"/>
        <w:numPr>
          <w:ilvl w:val="0"/>
          <w:numId w:val="33"/>
        </w:numPr>
        <w:jc w:val="both"/>
        <w:rPr>
          <w:noProof/>
          <w:color w:val="000000" w:themeColor="text1"/>
          <w:sz w:val="22"/>
          <w:szCs w:val="22"/>
          <w:shd w:val="clear" w:color="auto" w:fill="FFFFFF"/>
        </w:rPr>
      </w:pPr>
      <w:hyperlink r:id="rId41" w:history="1">
        <w:r w:rsidR="000A7D9D" w:rsidRPr="0042760F">
          <w:rPr>
            <w:rStyle w:val="Hyperlink"/>
            <w:noProof/>
            <w:sz w:val="22"/>
            <w:szCs w:val="22"/>
            <w:shd w:val="clear" w:color="auto" w:fill="FFFFFF"/>
            <w:lang w:eastAsia="en-GB"/>
          </w:rPr>
          <w:t>Enforcement Forum</w:t>
        </w:r>
      </w:hyperlink>
      <w:r w:rsidR="000A7D9D" w:rsidRPr="0042760F">
        <w:rPr>
          <w:noProof/>
          <w:sz w:val="22"/>
          <w:szCs w:val="22"/>
        </w:rPr>
        <w:t xml:space="preserve">. </w:t>
      </w:r>
      <w:r w:rsidR="000A7D9D" w:rsidRPr="0042760F">
        <w:rPr>
          <w:noProof/>
          <w:color w:val="000000" w:themeColor="text1"/>
          <w:sz w:val="22"/>
          <w:szCs w:val="22"/>
        </w:rPr>
        <w:t>A</w:t>
      </w:r>
      <w:r w:rsidR="000A7D9D" w:rsidRPr="0042760F">
        <w:rPr>
          <w:noProof/>
          <w:color w:val="000000" w:themeColor="text1"/>
          <w:sz w:val="22"/>
          <w:szCs w:val="22"/>
          <w:shd w:val="clear" w:color="auto" w:fill="FFFFFF"/>
        </w:rPr>
        <w:t xml:space="preserve"> network of authorities responsible for the enforcement of the REACH, CLP, and PIC, POP and Biocidal Product regulations in the EU, Norway, Iceland and Liechtenstein. </w:t>
      </w:r>
      <w:r w:rsidR="000A7D9D" w:rsidRPr="0042760F">
        <w:rPr>
          <w:noProof/>
          <w:color w:val="000000" w:themeColor="text1"/>
          <w:sz w:val="22"/>
          <w:szCs w:val="22"/>
        </w:rPr>
        <w:t>It coordinates enforcement strategies, proposes, coordinates and evaluates harmonised enforcement projects and joint inspections, it provides advice on enforceability of regulatory measures and provides harmonised practices and training.</w:t>
      </w:r>
    </w:p>
    <w:p w14:paraId="471CE602" w14:textId="77777777" w:rsidR="000A7D9D" w:rsidRPr="0042760F" w:rsidRDefault="000A7D9D" w:rsidP="000A7D9D">
      <w:pPr>
        <w:jc w:val="both"/>
        <w:rPr>
          <w:noProof/>
          <w:color w:val="384A53"/>
          <w:shd w:val="clear" w:color="auto" w:fill="FFFFFF"/>
        </w:rPr>
      </w:pPr>
    </w:p>
    <w:p w14:paraId="3AB0A49B" w14:textId="77777777" w:rsidR="000A7D9D" w:rsidRDefault="000A7D9D" w:rsidP="000A7D9D">
      <w:pPr>
        <w:rPr>
          <w:b/>
          <w:bCs/>
          <w:noProof/>
        </w:rPr>
      </w:pPr>
      <w:r w:rsidRPr="0042760F">
        <w:rPr>
          <w:rFonts w:ascii="Times New Roman" w:hAnsi="Times New Roman" w:cs="Times New Roman"/>
          <w:b/>
          <w:bCs/>
          <w:noProof/>
        </w:rPr>
        <w:br w:type="page"/>
      </w:r>
    </w:p>
    <w:p w14:paraId="25A7ABE5" w14:textId="77777777" w:rsidR="000A7D9D" w:rsidRDefault="000A7D9D" w:rsidP="000A7D9D">
      <w:pPr>
        <w:jc w:val="both"/>
        <w:rPr>
          <w:b/>
          <w:i/>
          <w:noProof/>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18"/>
      </w:tblGrid>
      <w:tr w:rsidR="000A7D9D" w14:paraId="120ADE7C" w14:textId="77777777" w:rsidTr="00F31937">
        <w:tc>
          <w:tcPr>
            <w:tcW w:w="5070" w:type="dxa"/>
            <w:vAlign w:val="bottom"/>
          </w:tcPr>
          <w:p w14:paraId="2C7A4503" w14:textId="77777777" w:rsidR="000A7D9D" w:rsidRPr="00D44C76" w:rsidRDefault="000A7D9D" w:rsidP="000A7D9D">
            <w:pPr>
              <w:pStyle w:val="Heading1"/>
              <w:keepLines w:val="0"/>
              <w:widowControl/>
              <w:numPr>
                <w:ilvl w:val="0"/>
                <w:numId w:val="142"/>
              </w:numPr>
              <w:snapToGrid/>
              <w:spacing w:before="240"/>
              <w:jc w:val="both"/>
              <w:rPr>
                <w:rFonts w:ascii="Times New Roman" w:hAnsi="Times New Roman"/>
                <w:smallCaps/>
                <w:noProof/>
                <w:color w:val="auto"/>
                <w:sz w:val="24"/>
                <w:szCs w:val="20"/>
                <w:lang w:eastAsia="en-US"/>
              </w:rPr>
            </w:pPr>
            <w:bookmarkStart w:id="24" w:name="_Toc150499910"/>
            <w:r w:rsidRPr="00D44C76">
              <w:rPr>
                <w:rFonts w:ascii="Times New Roman" w:hAnsi="Times New Roman"/>
                <w:smallCaps/>
                <w:noProof/>
                <w:color w:val="auto"/>
                <w:sz w:val="24"/>
                <w:szCs w:val="20"/>
                <w:lang w:eastAsia="en-US"/>
              </w:rPr>
              <w:t>European Medicines Agency</w:t>
            </w:r>
            <w:bookmarkEnd w:id="24"/>
            <w:r w:rsidRPr="00D44C76">
              <w:rPr>
                <w:rFonts w:ascii="Times New Roman" w:hAnsi="Times New Roman"/>
                <w:smallCaps/>
                <w:noProof/>
                <w:color w:val="auto"/>
                <w:sz w:val="24"/>
                <w:szCs w:val="20"/>
                <w:lang w:eastAsia="en-US"/>
              </w:rPr>
              <w:t xml:space="preserve"> </w:t>
            </w:r>
          </w:p>
        </w:tc>
        <w:tc>
          <w:tcPr>
            <w:tcW w:w="4218" w:type="dxa"/>
            <w:vAlign w:val="bottom"/>
          </w:tcPr>
          <w:p w14:paraId="69B64F3E" w14:textId="77777777" w:rsidR="000A7D9D" w:rsidRPr="00D44C76" w:rsidRDefault="000A7D9D" w:rsidP="00F31937">
            <w:pPr>
              <w:spacing w:after="120"/>
              <w:jc w:val="right"/>
              <w:rPr>
                <w:b/>
                <w:smallCaps/>
                <w:noProof/>
                <w:sz w:val="24"/>
                <w:lang w:eastAsia="en-US"/>
              </w:rPr>
            </w:pPr>
            <w:r w:rsidRPr="00D44C76">
              <w:rPr>
                <w:b/>
                <w:smallCaps/>
                <w:noProof/>
                <w:sz w:val="24"/>
              </w:rPr>
              <w:drawing>
                <wp:inline distT="0" distB="0" distL="0" distR="0" wp14:anchorId="2839A344" wp14:editId="4639407E">
                  <wp:extent cx="1522729" cy="620166"/>
                  <wp:effectExtent l="0" t="0" r="1905" b="8890"/>
                  <wp:docPr id="7" name="Picture 7">
                    <a:extLst xmlns:a="http://schemas.openxmlformats.org/drawingml/2006/main">
                      <a:ext uri="{FF2B5EF4-FFF2-40B4-BE49-F238E27FC236}">
                        <a16:creationId xmlns:a16="http://schemas.microsoft.com/office/drawing/2014/main" id="{9DF0CD8C-F5E3-ECD3-BBE2-39DFBC93F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a:extLst>
                              <a:ext uri="{FF2B5EF4-FFF2-40B4-BE49-F238E27FC236}">
                                <a16:creationId xmlns:a16="http://schemas.microsoft.com/office/drawing/2014/main" id="{9DF0CD8C-F5E3-ECD3-BBE2-39DFBC93F759}"/>
                              </a:ext>
                            </a:extLst>
                          </pic:cNvPr>
                          <pic:cNvPicPr>
                            <a:picLocks noChangeAspect="1"/>
                          </pic:cNvPicPr>
                        </pic:nvPicPr>
                        <pic:blipFill>
                          <a:blip r:embed="rId42" cstate="print">
                            <a:extLst>
                              <a:ext uri="{28A0092B-C50C-407E-A947-70E740481C1C}">
                                <a14:useLocalDpi xmlns:a14="http://schemas.microsoft.com/office/drawing/2010/main" val="0"/>
                              </a:ext>
                            </a:extLst>
                          </a:blip>
                          <a:srcRect l="6500" t="10954" r="5443" b="14053"/>
                          <a:stretch>
                            <a:fillRect/>
                          </a:stretch>
                        </pic:blipFill>
                        <pic:spPr bwMode="auto">
                          <a:xfrm>
                            <a:off x="0" y="0"/>
                            <a:ext cx="1522729" cy="620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4605F02C" w14:textId="77777777" w:rsidR="000A7D9D" w:rsidRPr="0042760F" w:rsidRDefault="000A7D9D" w:rsidP="000A7D9D">
      <w:pPr>
        <w:spacing w:before="120"/>
        <w:jc w:val="both"/>
        <w:rPr>
          <w:rFonts w:ascii="Times New Roman" w:hAnsi="Times New Roman" w:cs="Times New Roman"/>
          <w:b/>
          <w:bCs/>
          <w:noProof/>
          <w:color w:val="000000" w:themeColor="text1"/>
        </w:rPr>
      </w:pPr>
      <w:r w:rsidRPr="0042760F">
        <w:rPr>
          <w:rFonts w:ascii="Times New Roman" w:hAnsi="Times New Roman" w:cs="Times New Roman"/>
          <w:noProof/>
          <w:color w:val="000000" w:themeColor="text1"/>
        </w:rPr>
        <w:t xml:space="preserve">The European Medicine Agency (EMA) is responsible for coordinating the existing scientific resources put at its disposal by Member States for the evaluation, supervision and monitoring of medicinal products. </w:t>
      </w:r>
    </w:p>
    <w:p w14:paraId="6CDB9981" w14:textId="77777777" w:rsidR="000A7D9D" w:rsidRPr="0042760F" w:rsidRDefault="000A7D9D" w:rsidP="000A7D9D">
      <w:pPr>
        <w:spacing w:before="120"/>
        <w:jc w:val="both"/>
        <w:rPr>
          <w:rFonts w:ascii="Times New Roman" w:hAnsi="Times New Roman" w:cs="Times New Roman"/>
          <w:b/>
          <w:bCs/>
          <w:noProof/>
          <w:color w:val="000000" w:themeColor="text1"/>
        </w:rPr>
      </w:pPr>
      <w:r w:rsidRPr="0042760F">
        <w:rPr>
          <w:rFonts w:ascii="Times New Roman" w:hAnsi="Times New Roman" w:cs="Times New Roman"/>
          <w:noProof/>
          <w:color w:val="000000" w:themeColor="text1"/>
        </w:rPr>
        <w:t xml:space="preserve">The Agency’s specific competences include: </w:t>
      </w:r>
    </w:p>
    <w:p w14:paraId="3F9CDBAE" w14:textId="77777777" w:rsidR="000A7D9D" w:rsidRPr="0042760F" w:rsidRDefault="000A7D9D" w:rsidP="000A7D9D">
      <w:pPr>
        <w:numPr>
          <w:ilvl w:val="0"/>
          <w:numId w:val="31"/>
        </w:numPr>
        <w:shd w:val="clear" w:color="auto" w:fill="FFFFFF" w:themeFill="background1"/>
        <w:spacing w:after="120" w:line="240" w:lineRule="auto"/>
        <w:ind w:left="714" w:hanging="357"/>
        <w:rPr>
          <w:rFonts w:ascii="Times New Roman" w:hAnsi="Times New Roman" w:cs="Times New Roman"/>
          <w:noProof/>
          <w:color w:val="000000" w:themeColor="text1"/>
        </w:rPr>
      </w:pPr>
      <w:r w:rsidRPr="0042760F">
        <w:rPr>
          <w:rFonts w:ascii="Times New Roman" w:hAnsi="Times New Roman" w:cs="Times New Roman"/>
          <w:noProof/>
          <w:color w:val="000000" w:themeColor="text1"/>
        </w:rPr>
        <w:t>providing scientific advice to medicine developers;</w:t>
      </w:r>
    </w:p>
    <w:p w14:paraId="7FA478C0"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evaluating applications for orphan designation (medicines for rare diseases);</w:t>
      </w:r>
    </w:p>
    <w:p w14:paraId="63B95615"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assessing paediatric investigation plans, which determine the studies that medicines developers must carry out in children;</w:t>
      </w:r>
    </w:p>
    <w:p w14:paraId="5828590A" w14:textId="77777777" w:rsidR="000A7D9D" w:rsidRPr="0042760F" w:rsidRDefault="000A7D9D" w:rsidP="000A7D9D">
      <w:pPr>
        <w:numPr>
          <w:ilvl w:val="0"/>
          <w:numId w:val="31"/>
        </w:numPr>
        <w:shd w:val="clear" w:color="auto" w:fill="FFFFFF" w:themeFill="background1"/>
        <w:spacing w:before="100"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coordinating the scientific evaluation of applications for centralised marketing authorisations of human and veterinary medicinal products in the European Union, based on an evaluation of their quality, safety and efficacy;</w:t>
      </w:r>
    </w:p>
    <w:p w14:paraId="1EECC6AD"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advising on maximum allowed concentrations for residues of veterinary medicinal products or biocidal products for use in animal husbandry which may be accepted in foodstuffs of animal origin (MRLs)</w:t>
      </w:r>
    </w:p>
    <w:p w14:paraId="7C8E9FDA"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coordinating inspection for the verification of compliance with the principles of good manufacturing practice, good laboratory practice, good clinical practice and pharmacovigilance obligations;</w:t>
      </w:r>
    </w:p>
    <w:p w14:paraId="06977991"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publishing information on authorised medicinal products and potential adverse reactions;</w:t>
      </w:r>
    </w:p>
    <w:p w14:paraId="7C1F5D74"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coordinating pharmacovigilance monitoring systems on all authorised medicines in the EU;</w:t>
      </w:r>
    </w:p>
    <w:p w14:paraId="5A512AAB" w14:textId="77777777" w:rsidR="000A7D9D" w:rsidRPr="0042760F" w:rsidRDefault="000A7D9D" w:rsidP="000A7D9D">
      <w:pPr>
        <w:numPr>
          <w:ilvl w:val="0"/>
          <w:numId w:val="31"/>
        </w:numPr>
        <w:shd w:val="clear" w:color="auto" w:fill="FFFFFF" w:themeFill="background1"/>
        <w:spacing w:before="100"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assisting EU countries with communication to healthcare professionals and patients;</w:t>
      </w:r>
    </w:p>
    <w:p w14:paraId="76DEC1F4" w14:textId="77777777" w:rsidR="000A7D9D" w:rsidRPr="0042760F" w:rsidRDefault="000A7D9D" w:rsidP="000A7D9D">
      <w:pPr>
        <w:numPr>
          <w:ilvl w:val="0"/>
          <w:numId w:val="31"/>
        </w:numPr>
        <w:shd w:val="clear" w:color="auto" w:fill="FFFFFF" w:themeFill="background1"/>
        <w:spacing w:before="100"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 xml:space="preserve">creating and maintaining a web-portal on medicinal products and their approved uses accessible to the general public; and ensuring that it is updated, and managed independently of pharmaceutical companies; the database facilitates the search for information already authorised for package leaflets; </w:t>
      </w:r>
    </w:p>
    <w:p w14:paraId="5AC393B1"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development of scientific guidelines on the requirements for quality, safety and efficacy testing of medicines;</w:t>
      </w:r>
    </w:p>
    <w:p w14:paraId="1C05D66D"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promotion of alternative methods to animal testing;</w:t>
      </w:r>
    </w:p>
    <w:p w14:paraId="26FFE75F"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environmental risk assessment (ERA) of active pharmaceutical ingredients;</w:t>
      </w:r>
    </w:p>
    <w:p w14:paraId="425BDDD6"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themeColor="text1"/>
        </w:rPr>
      </w:pPr>
      <w:r w:rsidRPr="0042760F">
        <w:rPr>
          <w:rFonts w:ascii="Times New Roman" w:hAnsi="Times New Roman" w:cs="Times New Roman"/>
          <w:noProof/>
          <w:color w:val="000000" w:themeColor="text1"/>
        </w:rPr>
        <w:t>supporting the development of new medicines and treatment approaches to respond to antimicrobial resistance; promoting responsible use of existing antibiotics; collecting antimicrobial consumption data to guide policy and research;</w:t>
      </w:r>
    </w:p>
    <w:p w14:paraId="595A28AB" w14:textId="77777777" w:rsidR="000A7D9D" w:rsidRPr="0042760F" w:rsidRDefault="000A7D9D" w:rsidP="000A7D9D">
      <w:pPr>
        <w:numPr>
          <w:ilvl w:val="0"/>
          <w:numId w:val="31"/>
        </w:numPr>
        <w:shd w:val="clear" w:color="auto" w:fill="FFFFFF" w:themeFill="background1"/>
        <w:spacing w:beforeAutospacing="1" w:after="120" w:line="240" w:lineRule="auto"/>
        <w:rPr>
          <w:rFonts w:ascii="Times New Roman" w:hAnsi="Times New Roman" w:cs="Times New Roman"/>
          <w:noProof/>
          <w:color w:val="000000"/>
        </w:rPr>
      </w:pPr>
      <w:r w:rsidRPr="0042760F">
        <w:rPr>
          <w:rFonts w:ascii="Times New Roman" w:hAnsi="Times New Roman" w:cs="Times New Roman"/>
          <w:noProof/>
          <w:color w:val="000000" w:themeColor="text1"/>
        </w:rPr>
        <w:t>managing shortages medicines and medical devices and supporting medicine development, approval and monitoring in preparation for and during public health emergencies.</w:t>
      </w:r>
    </w:p>
    <w:p w14:paraId="72D6FE5C" w14:textId="77777777" w:rsidR="000A7D9D" w:rsidRPr="0042760F" w:rsidRDefault="000A7D9D" w:rsidP="000A7D9D">
      <w:pPr>
        <w:spacing w:after="120"/>
        <w:jc w:val="both"/>
        <w:rPr>
          <w:rFonts w:ascii="Times New Roman" w:hAnsi="Times New Roman" w:cs="Times New Roman"/>
          <w:noProof/>
          <w:color w:val="000000"/>
        </w:rPr>
      </w:pPr>
      <w:r w:rsidRPr="0042760F">
        <w:rPr>
          <w:rFonts w:ascii="Times New Roman" w:hAnsi="Times New Roman" w:cs="Times New Roman"/>
          <w:noProof/>
          <w:color w:val="000000" w:themeColor="text1"/>
        </w:rPr>
        <w:t>EMA has seven scientific committees and a number of working parties and related groups which conduct the scientific work of the Agency:</w:t>
      </w:r>
    </w:p>
    <w:p w14:paraId="3CE9123F" w14:textId="77777777" w:rsidR="000A7D9D" w:rsidRPr="0042760F" w:rsidRDefault="00187DBF" w:rsidP="000A7D9D">
      <w:pPr>
        <w:numPr>
          <w:ilvl w:val="0"/>
          <w:numId w:val="30"/>
        </w:numPr>
        <w:spacing w:after="120" w:line="240" w:lineRule="auto"/>
        <w:ind w:left="714" w:hanging="357"/>
        <w:rPr>
          <w:rFonts w:ascii="Times New Roman" w:hAnsi="Times New Roman" w:cs="Times New Roman"/>
          <w:noProof/>
          <w:color w:val="000000"/>
        </w:rPr>
      </w:pPr>
      <w:hyperlink r:id="rId43" w:history="1">
        <w:r w:rsidR="000A7D9D" w:rsidRPr="0042760F">
          <w:rPr>
            <w:rStyle w:val="Hyperlink"/>
            <w:noProof/>
            <w:shd w:val="clear" w:color="auto" w:fill="FFFFFF"/>
            <w:lang w:eastAsia="en-GB"/>
          </w:rPr>
          <w:t>Committee for Medicinal Products for Human Use</w:t>
        </w:r>
      </w:hyperlink>
      <w:r w:rsidR="000A7D9D" w:rsidRPr="0042760F">
        <w:rPr>
          <w:rFonts w:ascii="Times New Roman" w:hAnsi="Times New Roman" w:cs="Times New Roman"/>
          <w:noProof/>
          <w:color w:val="000000"/>
        </w:rPr>
        <w:t xml:space="preserve"> (CHMP). R</w:t>
      </w:r>
      <w:r w:rsidR="000A7D9D" w:rsidRPr="0042760F">
        <w:rPr>
          <w:rFonts w:ascii="Times New Roman" w:hAnsi="Times New Roman" w:cs="Times New Roman"/>
          <w:noProof/>
        </w:rPr>
        <w:t>es</w:t>
      </w:r>
      <w:r w:rsidR="000A7D9D" w:rsidRPr="0042760F">
        <w:rPr>
          <w:rFonts w:ascii="Times New Roman" w:hAnsi="Times New Roman" w:cs="Times New Roman"/>
          <w:noProof/>
          <w:color w:val="000000" w:themeColor="text1"/>
        </w:rPr>
        <w:t>ponsible fo</w:t>
      </w:r>
      <w:r w:rsidR="000A7D9D" w:rsidRPr="0042760F">
        <w:rPr>
          <w:rFonts w:ascii="Times New Roman" w:hAnsi="Times New Roman" w:cs="Times New Roman"/>
          <w:noProof/>
        </w:rPr>
        <w:t>r preparing the opinions of the Agency on any question relating to the evaluation of medicinal products for human use;</w:t>
      </w:r>
    </w:p>
    <w:p w14:paraId="546DDA6B" w14:textId="77777777" w:rsidR="000A7D9D" w:rsidRPr="0042760F" w:rsidRDefault="00187DBF" w:rsidP="000A7D9D">
      <w:pPr>
        <w:numPr>
          <w:ilvl w:val="0"/>
          <w:numId w:val="30"/>
        </w:numPr>
        <w:spacing w:after="120" w:line="240" w:lineRule="auto"/>
        <w:rPr>
          <w:rFonts w:ascii="Times New Roman" w:hAnsi="Times New Roman" w:cs="Times New Roman"/>
          <w:noProof/>
          <w:color w:val="000000"/>
        </w:rPr>
      </w:pPr>
      <w:hyperlink r:id="rId44" w:history="1">
        <w:r w:rsidR="000A7D9D" w:rsidRPr="0042760F">
          <w:rPr>
            <w:rStyle w:val="Hyperlink"/>
            <w:noProof/>
            <w:shd w:val="clear" w:color="auto" w:fill="FFFFFF"/>
            <w:lang w:eastAsia="en-GB"/>
          </w:rPr>
          <w:t>Pharmacovigilance Risk Assessment Committee</w:t>
        </w:r>
      </w:hyperlink>
      <w:r w:rsidR="000A7D9D" w:rsidRPr="0042760F">
        <w:rPr>
          <w:rFonts w:ascii="Times New Roman" w:hAnsi="Times New Roman" w:cs="Times New Roman"/>
          <w:noProof/>
          <w:color w:val="000000"/>
        </w:rPr>
        <w:t xml:space="preserve"> (PRAC). Responsible for assessing and monitoring the safety of human medicines. </w:t>
      </w:r>
    </w:p>
    <w:p w14:paraId="15612B6B" w14:textId="77777777" w:rsidR="000A7D9D" w:rsidRPr="0042760F" w:rsidRDefault="00187DBF" w:rsidP="000A7D9D">
      <w:pPr>
        <w:numPr>
          <w:ilvl w:val="0"/>
          <w:numId w:val="30"/>
        </w:numPr>
        <w:spacing w:after="120" w:line="240" w:lineRule="auto"/>
        <w:rPr>
          <w:rFonts w:ascii="Times New Roman" w:hAnsi="Times New Roman" w:cs="Times New Roman"/>
          <w:noProof/>
          <w:color w:val="000000"/>
        </w:rPr>
      </w:pPr>
      <w:hyperlink r:id="rId45" w:history="1">
        <w:r w:rsidR="000A7D9D" w:rsidRPr="0042760F">
          <w:rPr>
            <w:rStyle w:val="Hyperlink"/>
            <w:noProof/>
            <w:shd w:val="clear" w:color="auto" w:fill="FFFFFF"/>
            <w:lang w:eastAsia="en-GB"/>
          </w:rPr>
          <w:t>Committee for Veterinary Medicinal Products</w:t>
        </w:r>
      </w:hyperlink>
      <w:r w:rsidR="000A7D9D" w:rsidRPr="0042760F">
        <w:rPr>
          <w:rFonts w:ascii="Times New Roman" w:hAnsi="Times New Roman" w:cs="Times New Roman"/>
          <w:noProof/>
          <w:color w:val="000000"/>
        </w:rPr>
        <w:t xml:space="preserve"> (CVMP). R</w:t>
      </w:r>
      <w:r w:rsidR="000A7D9D" w:rsidRPr="0042760F">
        <w:rPr>
          <w:rFonts w:ascii="Times New Roman" w:hAnsi="Times New Roman" w:cs="Times New Roman"/>
          <w:noProof/>
        </w:rPr>
        <w:t>esponsible for preparing the opinion of the Agency on any question relating to the evaluation of medicinal products for veterinary use.</w:t>
      </w:r>
    </w:p>
    <w:p w14:paraId="4BCB549A" w14:textId="77777777" w:rsidR="000A7D9D" w:rsidRPr="0042760F" w:rsidRDefault="00187DBF" w:rsidP="000A7D9D">
      <w:pPr>
        <w:numPr>
          <w:ilvl w:val="0"/>
          <w:numId w:val="30"/>
        </w:numPr>
        <w:spacing w:after="120" w:line="240" w:lineRule="auto"/>
        <w:rPr>
          <w:rFonts w:ascii="Times New Roman" w:hAnsi="Times New Roman" w:cs="Times New Roman"/>
          <w:noProof/>
          <w:color w:val="000000"/>
        </w:rPr>
      </w:pPr>
      <w:hyperlink r:id="rId46" w:history="1">
        <w:r w:rsidR="000A7D9D" w:rsidRPr="0042760F">
          <w:rPr>
            <w:rStyle w:val="Hyperlink"/>
            <w:noProof/>
            <w:shd w:val="clear" w:color="auto" w:fill="FFFFFF"/>
            <w:lang w:eastAsia="en-GB"/>
          </w:rPr>
          <w:t>Committee for Orphan Medicinal Products</w:t>
        </w:r>
      </w:hyperlink>
      <w:r w:rsidR="000A7D9D" w:rsidRPr="0042760F">
        <w:rPr>
          <w:rFonts w:ascii="Times New Roman" w:hAnsi="Times New Roman" w:cs="Times New Roman"/>
          <w:noProof/>
          <w:color w:val="000000"/>
        </w:rPr>
        <w:t xml:space="preserve"> (COMP). Responsible for recommending orphan designations of medicines for rare diseases.</w:t>
      </w:r>
    </w:p>
    <w:p w14:paraId="527982A4" w14:textId="77777777" w:rsidR="000A7D9D" w:rsidRPr="0042760F" w:rsidRDefault="00187DBF" w:rsidP="000A7D9D">
      <w:pPr>
        <w:numPr>
          <w:ilvl w:val="0"/>
          <w:numId w:val="30"/>
        </w:numPr>
        <w:spacing w:after="120" w:line="240" w:lineRule="auto"/>
        <w:rPr>
          <w:rFonts w:ascii="Times New Roman" w:hAnsi="Times New Roman" w:cs="Times New Roman"/>
          <w:noProof/>
          <w:color w:val="000000"/>
        </w:rPr>
      </w:pPr>
      <w:hyperlink r:id="rId47" w:history="1">
        <w:r w:rsidR="000A7D9D" w:rsidRPr="0042760F">
          <w:rPr>
            <w:rStyle w:val="Hyperlink"/>
            <w:noProof/>
            <w:shd w:val="clear" w:color="auto" w:fill="FFFFFF"/>
            <w:lang w:eastAsia="en-GB"/>
          </w:rPr>
          <w:t>Committee on Herbal Medicinal Products</w:t>
        </w:r>
      </w:hyperlink>
      <w:r w:rsidR="000A7D9D" w:rsidRPr="0042760F">
        <w:rPr>
          <w:rFonts w:ascii="Times New Roman" w:hAnsi="Times New Roman" w:cs="Times New Roman"/>
          <w:noProof/>
          <w:color w:val="000000"/>
        </w:rPr>
        <w:t xml:space="preserve"> (HMPC). Responsible for compiling and assessing scientific data on the recommended use and safe conditions of use of herbal substances, preparations and combinations, to support the harmonisation of the European market.</w:t>
      </w:r>
    </w:p>
    <w:p w14:paraId="1A95C098" w14:textId="77777777" w:rsidR="000A7D9D" w:rsidRPr="0042760F" w:rsidRDefault="00187DBF" w:rsidP="000A7D9D">
      <w:pPr>
        <w:numPr>
          <w:ilvl w:val="0"/>
          <w:numId w:val="30"/>
        </w:numPr>
        <w:spacing w:after="120" w:line="240" w:lineRule="auto"/>
        <w:rPr>
          <w:rFonts w:ascii="Times New Roman" w:hAnsi="Times New Roman" w:cs="Times New Roman"/>
          <w:noProof/>
          <w:color w:val="000000"/>
        </w:rPr>
      </w:pPr>
      <w:hyperlink r:id="rId48" w:history="1">
        <w:r w:rsidR="000A7D9D" w:rsidRPr="0042760F">
          <w:rPr>
            <w:rStyle w:val="Hyperlink"/>
            <w:noProof/>
            <w:shd w:val="clear" w:color="auto" w:fill="FFFFFF"/>
            <w:lang w:eastAsia="en-GB"/>
          </w:rPr>
          <w:t>Committee for Advanced Therapies</w:t>
        </w:r>
      </w:hyperlink>
      <w:r w:rsidR="000A7D9D" w:rsidRPr="0042760F">
        <w:rPr>
          <w:rFonts w:ascii="Times New Roman" w:hAnsi="Times New Roman" w:cs="Times New Roman"/>
          <w:noProof/>
          <w:color w:val="000000"/>
        </w:rPr>
        <w:t xml:space="preserve"> (CAT)</w:t>
      </w:r>
      <w:r w:rsidR="000A7D9D" w:rsidRPr="0042760F">
        <w:rPr>
          <w:rFonts w:ascii="Times New Roman" w:hAnsi="Times New Roman" w:cs="Times New Roman"/>
          <w:noProof/>
        </w:rPr>
        <w:t xml:space="preserve">. </w:t>
      </w:r>
      <w:r w:rsidR="000A7D9D" w:rsidRPr="0042760F">
        <w:rPr>
          <w:rFonts w:ascii="Times New Roman" w:hAnsi="Times New Roman" w:cs="Times New Roman"/>
          <w:noProof/>
          <w:color w:val="000000"/>
        </w:rPr>
        <w:t>Responsible for assessing the quality, safety and efficacy of advanced therapy medicinal products (ATMPs) and following scientific developments in the field.</w:t>
      </w:r>
    </w:p>
    <w:p w14:paraId="7E0A5A16" w14:textId="77777777" w:rsidR="000A7D9D" w:rsidRPr="0042760F" w:rsidRDefault="00187DBF" w:rsidP="000A7D9D">
      <w:pPr>
        <w:numPr>
          <w:ilvl w:val="0"/>
          <w:numId w:val="30"/>
        </w:numPr>
        <w:spacing w:after="120" w:line="240" w:lineRule="auto"/>
        <w:rPr>
          <w:rFonts w:ascii="Times New Roman" w:hAnsi="Times New Roman" w:cs="Times New Roman"/>
          <w:noProof/>
          <w:color w:val="000000"/>
        </w:rPr>
      </w:pPr>
      <w:hyperlink r:id="rId49" w:history="1">
        <w:r w:rsidR="000A7D9D" w:rsidRPr="0042760F">
          <w:rPr>
            <w:rStyle w:val="Hyperlink"/>
            <w:noProof/>
            <w:shd w:val="clear" w:color="auto" w:fill="FFFFFF"/>
            <w:lang w:eastAsia="en-GB"/>
          </w:rPr>
          <w:t>Paediatric Committee</w:t>
        </w:r>
      </w:hyperlink>
      <w:r w:rsidR="000A7D9D" w:rsidRPr="0042760F">
        <w:rPr>
          <w:rFonts w:ascii="Times New Roman" w:hAnsi="Times New Roman" w:cs="Times New Roman"/>
          <w:noProof/>
          <w:color w:val="000000"/>
        </w:rPr>
        <w:t xml:space="preserve"> (PDCO). Responsible for activities on medicines for children and to support the development of such medicines in the European Union by providing scientific expertise and defining paediatric needs.</w:t>
      </w:r>
    </w:p>
    <w:p w14:paraId="6E2EFA25" w14:textId="77777777" w:rsidR="000A7D9D" w:rsidRDefault="000A7D9D" w:rsidP="000A7D9D">
      <w:pPr>
        <w:rPr>
          <w:b/>
          <w:i/>
          <w:noProof/>
          <w:u w:val="single"/>
        </w:rPr>
      </w:pPr>
      <w:r>
        <w:rPr>
          <w:b/>
          <w:i/>
          <w:noProof/>
          <w:u w:val="single"/>
        </w:rPr>
        <w:br w:type="page"/>
      </w:r>
    </w:p>
    <w:p w14:paraId="1B3F5CE6" w14:textId="77777777" w:rsidR="000A7D9D" w:rsidRDefault="000A7D9D" w:rsidP="000A7D9D">
      <w:pPr>
        <w:rPr>
          <w:b/>
          <w:i/>
          <w:noProof/>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360"/>
      </w:tblGrid>
      <w:tr w:rsidR="000A7D9D" w14:paraId="17DD3FB0" w14:textId="77777777" w:rsidTr="00F31937">
        <w:tc>
          <w:tcPr>
            <w:tcW w:w="4928" w:type="dxa"/>
            <w:vAlign w:val="bottom"/>
          </w:tcPr>
          <w:p w14:paraId="68DB95FB" w14:textId="77777777" w:rsidR="000A7D9D" w:rsidRPr="00D44C76" w:rsidRDefault="000A7D9D" w:rsidP="000A7D9D">
            <w:pPr>
              <w:pStyle w:val="Heading1"/>
              <w:keepLines w:val="0"/>
              <w:widowControl/>
              <w:numPr>
                <w:ilvl w:val="0"/>
                <w:numId w:val="142"/>
              </w:numPr>
              <w:snapToGrid/>
              <w:spacing w:before="240"/>
              <w:jc w:val="both"/>
              <w:rPr>
                <w:rFonts w:ascii="Times New Roman" w:hAnsi="Times New Roman"/>
                <w:smallCaps/>
                <w:noProof/>
                <w:color w:val="auto"/>
                <w:sz w:val="24"/>
                <w:szCs w:val="20"/>
                <w:lang w:eastAsia="en-US"/>
              </w:rPr>
            </w:pPr>
            <w:bookmarkStart w:id="25" w:name="_Toc150499911"/>
            <w:r w:rsidRPr="00D44C76">
              <w:rPr>
                <w:rFonts w:ascii="Times New Roman" w:hAnsi="Times New Roman"/>
                <w:smallCaps/>
                <w:noProof/>
                <w:color w:val="auto"/>
                <w:sz w:val="24"/>
                <w:szCs w:val="20"/>
                <w:lang w:eastAsia="en-US"/>
              </w:rPr>
              <w:t>European Environment Agency</w:t>
            </w:r>
            <w:bookmarkEnd w:id="25"/>
            <w:r w:rsidRPr="00D44C76">
              <w:rPr>
                <w:rFonts w:ascii="Times New Roman" w:hAnsi="Times New Roman"/>
                <w:smallCaps/>
                <w:noProof/>
                <w:color w:val="auto"/>
                <w:sz w:val="24"/>
                <w:szCs w:val="20"/>
                <w:lang w:eastAsia="en-US"/>
              </w:rPr>
              <w:t xml:space="preserve"> </w:t>
            </w:r>
          </w:p>
        </w:tc>
        <w:tc>
          <w:tcPr>
            <w:tcW w:w="4360" w:type="dxa"/>
            <w:vAlign w:val="bottom"/>
          </w:tcPr>
          <w:p w14:paraId="4B15A163" w14:textId="77777777" w:rsidR="000A7D9D" w:rsidRPr="00CA2CEE" w:rsidRDefault="000A7D9D" w:rsidP="00F31937">
            <w:pPr>
              <w:spacing w:after="120"/>
              <w:jc w:val="right"/>
              <w:rPr>
                <w:b/>
                <w:noProof/>
              </w:rPr>
            </w:pPr>
            <w:r w:rsidRPr="00802B18">
              <w:rPr>
                <w:b/>
                <w:i/>
                <w:noProof/>
              </w:rPr>
              <w:drawing>
                <wp:inline distT="0" distB="0" distL="0" distR="0" wp14:anchorId="1D6C04FB" wp14:editId="5407D78A">
                  <wp:extent cx="1371600" cy="444321"/>
                  <wp:effectExtent l="0" t="0" r="0" b="0"/>
                  <wp:docPr id="8" name="Picture 8">
                    <a:extLst xmlns:a="http://schemas.openxmlformats.org/drawingml/2006/main">
                      <a:ext uri="{FF2B5EF4-FFF2-40B4-BE49-F238E27FC236}">
                        <a16:creationId xmlns:a16="http://schemas.microsoft.com/office/drawing/2014/main" id="{CBF06846-BA3F-403D-1EEF-8F8698EC76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a:extLst>
                              <a:ext uri="{FF2B5EF4-FFF2-40B4-BE49-F238E27FC236}">
                                <a16:creationId xmlns:a16="http://schemas.microsoft.com/office/drawing/2014/main" id="{CBF06846-BA3F-403D-1EEF-8F8698EC7634}"/>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5660" cy="448876"/>
                          </a:xfrm>
                          <a:prstGeom prst="rect">
                            <a:avLst/>
                          </a:prstGeom>
                          <a:noFill/>
                          <a:ln>
                            <a:noFill/>
                          </a:ln>
                        </pic:spPr>
                      </pic:pic>
                    </a:graphicData>
                  </a:graphic>
                </wp:inline>
              </w:drawing>
            </w:r>
          </w:p>
        </w:tc>
      </w:tr>
    </w:tbl>
    <w:p w14:paraId="1DE10BEC" w14:textId="77777777" w:rsidR="000A7D9D" w:rsidRPr="0042760F" w:rsidRDefault="000A7D9D" w:rsidP="000A7D9D">
      <w:pPr>
        <w:spacing w:before="120"/>
        <w:jc w:val="both"/>
        <w:rPr>
          <w:rFonts w:ascii="Times New Roman" w:hAnsi="Times New Roman" w:cs="Times New Roman"/>
          <w:noProof/>
        </w:rPr>
      </w:pPr>
      <w:r w:rsidRPr="0042760F">
        <w:rPr>
          <w:rFonts w:ascii="Times New Roman" w:hAnsi="Times New Roman" w:cs="Times New Roman"/>
          <w:noProof/>
        </w:rPr>
        <w:t xml:space="preserve">The European Environment Agency (EEA) is mandated to provide the Community and the Member States with the objective, reliable and comparable information at European level and with the necessary technical and scientific support, enabling them to take the requisite measures to protect the environment, to assess the results of such measures and to ensure that the public is properly informed about the state of the environment. For these purposes, the Agency: </w:t>
      </w:r>
    </w:p>
    <w:p w14:paraId="5D930D10"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maintains the network of national information networks, the national focal points and the topic centres;</w:t>
      </w:r>
    </w:p>
    <w:p w14:paraId="6D68FEB8"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collects, processes and analyses data used in the implementation of EU environmental policy including chemicals emission data to water and air, and chemical monitoring data in surface waters, groundwater and ambient air;</w:t>
      </w:r>
    </w:p>
    <w:p w14:paraId="7000C5DD"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assists the monitoring of environmental measures through appropriate support for reporting requirements;</w:t>
      </w:r>
    </w:p>
    <w:p w14:paraId="68B39436"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 xml:space="preserve">records, collates and assesses data on the state of the environment; draws up expert reports on the quality, sensitivity and pressures on the environment within the territory of the Community, provides uniform assessment criteria for environmental data to be applied in all Member States; develops further and maintain a reference centre of information on the environment; </w:t>
      </w:r>
    </w:p>
    <w:p w14:paraId="4C49CF3B"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 xml:space="preserve">helps ensuring that environmental data at European level are comparable and encourages improved harmonisation of methods of measurement; </w:t>
      </w:r>
    </w:p>
    <w:p w14:paraId="469FEEB0"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promotes the incorporation of European environmental information into international environment monitoring programmes such as those established by the United Nations and its specialised agencies;</w:t>
      </w:r>
    </w:p>
    <w:p w14:paraId="0094B121"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stimulates the development and application of environmental forecasting techniques so that adequate preventive measures can be taken in good time;</w:t>
      </w:r>
    </w:p>
    <w:p w14:paraId="635BF4A3"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stimulates the development of methods of assessing the cost of damage to the environment and the costs of environmental preventive, protection and restoration policies;</w:t>
      </w:r>
    </w:p>
    <w:p w14:paraId="59C4ED27"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stimulates the exchange of information on the best technologies available for preventing or reducing damage to the environment;</w:t>
      </w:r>
    </w:p>
    <w:p w14:paraId="72CAD199"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ensures the broad dissemination of reliable and comparable environmental information, in particular on the state of the environment, to the general public and, to this end, to promote the use of new telematics technology for this purpose;</w:t>
      </w:r>
    </w:p>
    <w:p w14:paraId="69D7D204" w14:textId="77777777" w:rsidR="000A7D9D" w:rsidRPr="0042760F" w:rsidRDefault="000A7D9D" w:rsidP="000A7D9D">
      <w:pPr>
        <w:pStyle w:val="ListParagraph"/>
        <w:numPr>
          <w:ilvl w:val="0"/>
          <w:numId w:val="34"/>
        </w:numPr>
        <w:spacing w:after="120"/>
        <w:contextualSpacing w:val="0"/>
        <w:jc w:val="both"/>
        <w:rPr>
          <w:noProof/>
          <w:sz w:val="22"/>
          <w:szCs w:val="22"/>
        </w:rPr>
      </w:pPr>
      <w:r w:rsidRPr="0042760F">
        <w:rPr>
          <w:noProof/>
          <w:sz w:val="22"/>
          <w:szCs w:val="22"/>
        </w:rPr>
        <w:t>supports the Commission in the process of exchange of information on the development of environmental assessment methodologies and best practice;</w:t>
      </w:r>
    </w:p>
    <w:p w14:paraId="17A0D1FA" w14:textId="77777777" w:rsidR="000A7D9D" w:rsidRPr="0042760F" w:rsidRDefault="000A7D9D" w:rsidP="000A7D9D">
      <w:pPr>
        <w:pStyle w:val="ListParagraph"/>
        <w:numPr>
          <w:ilvl w:val="0"/>
          <w:numId w:val="34"/>
        </w:numPr>
        <w:spacing w:after="120"/>
        <w:ind w:left="714" w:hanging="357"/>
        <w:contextualSpacing w:val="0"/>
        <w:jc w:val="both"/>
        <w:rPr>
          <w:noProof/>
          <w:sz w:val="22"/>
          <w:szCs w:val="22"/>
        </w:rPr>
      </w:pPr>
      <w:r w:rsidRPr="0042760F">
        <w:rPr>
          <w:noProof/>
          <w:sz w:val="22"/>
          <w:szCs w:val="22"/>
        </w:rPr>
        <w:t>assists the Commission in the diffusion of information on the results of relevant environmental research and in a form which can best assist policy development</w:t>
      </w:r>
    </w:p>
    <w:p w14:paraId="0FA4143A" w14:textId="77777777" w:rsidR="000A7D9D" w:rsidRPr="0042760F" w:rsidRDefault="000A7D9D" w:rsidP="000A7D9D">
      <w:pPr>
        <w:jc w:val="both"/>
        <w:rPr>
          <w:rFonts w:ascii="Times New Roman" w:hAnsi="Times New Roman" w:cs="Times New Roman"/>
          <w:noProof/>
        </w:rPr>
      </w:pPr>
      <w:r w:rsidRPr="0042760F">
        <w:rPr>
          <w:rFonts w:ascii="Times New Roman" w:hAnsi="Times New Roman" w:cs="Times New Roman"/>
          <w:noProof/>
        </w:rPr>
        <w:t>EEA’s specific competences include:</w:t>
      </w:r>
    </w:p>
    <w:p w14:paraId="24A8B596" w14:textId="77777777" w:rsidR="000A7D9D" w:rsidRPr="0042760F" w:rsidRDefault="000A7D9D" w:rsidP="000A7D9D">
      <w:pPr>
        <w:pStyle w:val="ListParagraph"/>
        <w:numPr>
          <w:ilvl w:val="0"/>
          <w:numId w:val="36"/>
        </w:numPr>
        <w:spacing w:after="120"/>
        <w:ind w:left="714" w:hanging="357"/>
        <w:contextualSpacing w:val="0"/>
        <w:jc w:val="both"/>
        <w:rPr>
          <w:noProof/>
          <w:sz w:val="22"/>
          <w:szCs w:val="22"/>
        </w:rPr>
      </w:pPr>
      <w:r w:rsidRPr="0042760F">
        <w:rPr>
          <w:noProof/>
          <w:sz w:val="22"/>
          <w:szCs w:val="22"/>
        </w:rPr>
        <w:t>collecting, processing and analysis of environmental data at European level;</w:t>
      </w:r>
    </w:p>
    <w:p w14:paraId="774AFE07" w14:textId="77777777" w:rsidR="000A7D9D" w:rsidRPr="0042760F" w:rsidRDefault="000A7D9D" w:rsidP="000A7D9D">
      <w:pPr>
        <w:pStyle w:val="ListParagraph"/>
        <w:numPr>
          <w:ilvl w:val="0"/>
          <w:numId w:val="36"/>
        </w:numPr>
        <w:spacing w:after="120"/>
        <w:ind w:left="714" w:hanging="357"/>
        <w:contextualSpacing w:val="0"/>
        <w:jc w:val="both"/>
        <w:rPr>
          <w:noProof/>
          <w:sz w:val="22"/>
          <w:szCs w:val="22"/>
        </w:rPr>
      </w:pPr>
      <w:r w:rsidRPr="0042760F">
        <w:rPr>
          <w:noProof/>
          <w:sz w:val="22"/>
          <w:szCs w:val="22"/>
        </w:rPr>
        <w:t>providing and maintaining an efficient reporting infrastructure for data flows and supporting members countries in reporting data;</w:t>
      </w:r>
    </w:p>
    <w:p w14:paraId="130037C6" w14:textId="77777777" w:rsidR="000A7D9D" w:rsidRPr="0042760F" w:rsidRDefault="000A7D9D" w:rsidP="000A7D9D">
      <w:pPr>
        <w:pStyle w:val="ListParagraph"/>
        <w:numPr>
          <w:ilvl w:val="0"/>
          <w:numId w:val="36"/>
        </w:numPr>
        <w:spacing w:after="120"/>
        <w:ind w:left="714" w:hanging="357"/>
        <w:contextualSpacing w:val="0"/>
        <w:jc w:val="both"/>
        <w:rPr>
          <w:noProof/>
          <w:sz w:val="22"/>
          <w:szCs w:val="22"/>
        </w:rPr>
      </w:pPr>
      <w:r w:rsidRPr="0042760F">
        <w:rPr>
          <w:noProof/>
          <w:sz w:val="22"/>
          <w:szCs w:val="22"/>
        </w:rPr>
        <w:t>Collecting, maintaining and making publicly available datasets on emissions of pollutants to air and water, and on pollutants in ambient air, surface waters, groundwater and drinking water. Collecting data reported by companies on the production, import, export, destruction and feedstock use of F-gases in the EU</w:t>
      </w:r>
      <w:r>
        <w:rPr>
          <w:noProof/>
          <w:sz w:val="22"/>
          <w:szCs w:val="22"/>
        </w:rPr>
        <w:t xml:space="preserve"> </w:t>
      </w:r>
      <w:r w:rsidRPr="0042760F">
        <w:rPr>
          <w:noProof/>
          <w:sz w:val="22"/>
          <w:szCs w:val="22"/>
        </w:rPr>
        <w:t>assessing the state of the European environment, and climate, including assessments of the overall impact of chemical pollution on the environment and human health in Europe;</w:t>
      </w:r>
    </w:p>
    <w:p w14:paraId="0A6869B2" w14:textId="77777777" w:rsidR="000A7D9D" w:rsidRPr="0042760F" w:rsidRDefault="000A7D9D" w:rsidP="000A7D9D">
      <w:pPr>
        <w:pStyle w:val="ListParagraph"/>
        <w:numPr>
          <w:ilvl w:val="0"/>
          <w:numId w:val="36"/>
        </w:numPr>
        <w:spacing w:after="120"/>
        <w:ind w:left="714" w:hanging="357"/>
        <w:contextualSpacing w:val="0"/>
        <w:jc w:val="both"/>
        <w:rPr>
          <w:noProof/>
          <w:sz w:val="22"/>
          <w:szCs w:val="22"/>
        </w:rPr>
      </w:pPr>
      <w:r w:rsidRPr="0042760F">
        <w:rPr>
          <w:noProof/>
          <w:sz w:val="22"/>
          <w:szCs w:val="22"/>
        </w:rPr>
        <w:t>Communicating environmental and climate change information to citizens;</w:t>
      </w:r>
    </w:p>
    <w:p w14:paraId="62AB7F12" w14:textId="77777777" w:rsidR="000A7D9D" w:rsidRPr="0042760F" w:rsidRDefault="000A7D9D" w:rsidP="000A7D9D">
      <w:pPr>
        <w:pStyle w:val="ListParagraph"/>
        <w:numPr>
          <w:ilvl w:val="0"/>
          <w:numId w:val="36"/>
        </w:numPr>
        <w:spacing w:after="120"/>
        <w:ind w:left="714" w:hanging="357"/>
        <w:contextualSpacing w:val="0"/>
        <w:jc w:val="both"/>
        <w:rPr>
          <w:noProof/>
          <w:sz w:val="22"/>
          <w:szCs w:val="22"/>
        </w:rPr>
      </w:pPr>
      <w:r w:rsidRPr="0042760F">
        <w:rPr>
          <w:noProof/>
          <w:sz w:val="22"/>
          <w:szCs w:val="22"/>
        </w:rPr>
        <w:t>Producing evidence-based knowledge to support policy implementation and development of new initiatives to accelerate and scale up the transition to sustainability. Delivering targeted inputs to inform policy and public discussions, by organising and communicating knowledge on responses, including innovative solutions to societal challenges.</w:t>
      </w:r>
    </w:p>
    <w:p w14:paraId="6836B239" w14:textId="77777777" w:rsidR="000A7D9D" w:rsidRPr="0042760F" w:rsidRDefault="000A7D9D" w:rsidP="000A7D9D">
      <w:pPr>
        <w:jc w:val="both"/>
        <w:rPr>
          <w:rFonts w:ascii="Times New Roman" w:hAnsi="Times New Roman" w:cs="Times New Roman"/>
          <w:noProof/>
        </w:rPr>
      </w:pPr>
      <w:r w:rsidRPr="0042760F">
        <w:rPr>
          <w:rFonts w:ascii="Times New Roman" w:hAnsi="Times New Roman" w:cs="Times New Roman"/>
          <w:noProof/>
        </w:rPr>
        <w:t xml:space="preserve">EEA coordinates at EU level the </w:t>
      </w:r>
      <w:hyperlink r:id="rId51" w:history="1">
        <w:r w:rsidRPr="0042760F">
          <w:rPr>
            <w:rStyle w:val="Hyperlink"/>
            <w:noProof/>
            <w:shd w:val="clear" w:color="auto" w:fill="FFFFFF"/>
            <w:lang w:eastAsia="en-GB"/>
          </w:rPr>
          <w:t>European Environment Information and Observation Network</w:t>
        </w:r>
      </w:hyperlink>
      <w:r w:rsidRPr="0042760F">
        <w:rPr>
          <w:rFonts w:ascii="Times New Roman" w:hAnsi="Times New Roman" w:cs="Times New Roman"/>
          <w:noProof/>
        </w:rPr>
        <w:t xml:space="preserve"> (EIONET). It consists of the EEA’s member countries (27 EU Member States plus Iceland, Liechtenstein, Norway, Switzerland and Türkiye) and cooperating countries (Albania, Bosnia and Herzegovina, North Macedonia, Montenegro, Serbia and Kosovo). The network brings together around 2000 experts from more than 400 national institutions that have expertise in environmental issues. The EIONET network has the following roles and functions:</w:t>
      </w:r>
    </w:p>
    <w:p w14:paraId="15602900" w14:textId="77777777" w:rsidR="000A7D9D" w:rsidRPr="0042760F" w:rsidRDefault="00187DBF" w:rsidP="000A7D9D">
      <w:pPr>
        <w:pStyle w:val="ListParagraph"/>
        <w:numPr>
          <w:ilvl w:val="0"/>
          <w:numId w:val="37"/>
        </w:numPr>
        <w:spacing w:after="120"/>
        <w:ind w:left="714" w:hanging="357"/>
        <w:contextualSpacing w:val="0"/>
        <w:jc w:val="both"/>
        <w:rPr>
          <w:noProof/>
          <w:sz w:val="22"/>
          <w:szCs w:val="22"/>
        </w:rPr>
      </w:pPr>
      <w:hyperlink r:id="rId52" w:history="1">
        <w:r w:rsidR="000A7D9D" w:rsidRPr="0042760F">
          <w:rPr>
            <w:b/>
            <w:noProof/>
            <w:sz w:val="22"/>
            <w:szCs w:val="22"/>
          </w:rPr>
          <w:t>National Focal points</w:t>
        </w:r>
      </w:hyperlink>
      <w:r w:rsidR="000A7D9D" w:rsidRPr="0042760F">
        <w:rPr>
          <w:noProof/>
          <w:sz w:val="22"/>
          <w:szCs w:val="22"/>
        </w:rPr>
        <w:t xml:space="preserve"> – nominated and funded by countries to act as primary links between the EEA and their country. NFPs organise and develop their country’s Eionet network, as well as facilitate and coordinate contacts, requests and information delivery at national and EU levels.</w:t>
      </w:r>
    </w:p>
    <w:p w14:paraId="251194E2" w14:textId="77777777" w:rsidR="000A7D9D" w:rsidRPr="0042760F" w:rsidRDefault="000A7D9D" w:rsidP="000A7D9D">
      <w:pPr>
        <w:pStyle w:val="ListParagraph"/>
        <w:numPr>
          <w:ilvl w:val="0"/>
          <w:numId w:val="37"/>
        </w:numPr>
        <w:spacing w:after="120"/>
        <w:ind w:left="714" w:hanging="357"/>
        <w:contextualSpacing w:val="0"/>
        <w:jc w:val="both"/>
        <w:rPr>
          <w:noProof/>
          <w:sz w:val="22"/>
          <w:szCs w:val="22"/>
        </w:rPr>
      </w:pPr>
      <w:r w:rsidRPr="0042760F">
        <w:rPr>
          <w:b/>
          <w:noProof/>
          <w:sz w:val="22"/>
          <w:szCs w:val="22"/>
        </w:rPr>
        <w:t>National Data Flow Coordination</w:t>
      </w:r>
      <w:r w:rsidRPr="0042760F">
        <w:rPr>
          <w:noProof/>
          <w:sz w:val="22"/>
          <w:szCs w:val="22"/>
        </w:rPr>
        <w:t xml:space="preserve"> – ensures a coherent and coordinated overview of collecting, collating and sharing data between the country and the EEA to respond efficiently to the needs of the Agency's work programme.</w:t>
      </w:r>
    </w:p>
    <w:p w14:paraId="2E895834" w14:textId="77777777" w:rsidR="000A7D9D" w:rsidRPr="0042760F" w:rsidRDefault="000A7D9D" w:rsidP="000A7D9D">
      <w:pPr>
        <w:pStyle w:val="ListParagraph"/>
        <w:numPr>
          <w:ilvl w:val="0"/>
          <w:numId w:val="37"/>
        </w:numPr>
        <w:spacing w:after="120"/>
        <w:ind w:left="714" w:hanging="357"/>
        <w:contextualSpacing w:val="0"/>
        <w:jc w:val="both"/>
        <w:rPr>
          <w:noProof/>
          <w:sz w:val="22"/>
          <w:szCs w:val="22"/>
        </w:rPr>
      </w:pPr>
      <w:r w:rsidRPr="0042760F">
        <w:rPr>
          <w:b/>
          <w:noProof/>
          <w:sz w:val="22"/>
          <w:szCs w:val="22"/>
        </w:rPr>
        <w:t>EIONET groups</w:t>
      </w:r>
      <w:r w:rsidRPr="0042760F">
        <w:rPr>
          <w:noProof/>
          <w:sz w:val="22"/>
          <w:szCs w:val="22"/>
        </w:rPr>
        <w:t xml:space="preserve"> – work with the EEA and European Topic Centres to assess Europe’s environment and climate, and any related impacts on health and ecosystems. Currently there are </w:t>
      </w:r>
      <w:r w:rsidRPr="0042760F">
        <w:rPr>
          <w:bCs/>
          <w:noProof/>
          <w:sz w:val="22"/>
          <w:szCs w:val="22"/>
        </w:rPr>
        <w:t>13 Eionet Groups</w:t>
      </w:r>
      <w:r w:rsidRPr="0042760F">
        <w:rPr>
          <w:noProof/>
          <w:sz w:val="22"/>
          <w:szCs w:val="22"/>
        </w:rPr>
        <w:t>, several of them supported by Thematic Groups:</w:t>
      </w:r>
    </w:p>
    <w:p w14:paraId="66097BE9"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Biodiversity and ecosystems - integration of knowledge for policies</w:t>
      </w:r>
    </w:p>
    <w:p w14:paraId="14E37C41"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Biodiversity and ecosystems - cumulative pressures and solutions</w:t>
      </w:r>
    </w:p>
    <w:p w14:paraId="76227E96"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Circular economy and resource use</w:t>
      </w:r>
    </w:p>
    <w:p w14:paraId="245F2A71"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Climate change impacts, vulnerability and adaptation</w:t>
      </w:r>
    </w:p>
    <w:p w14:paraId="71EC04E5"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Climate change mitigation and energy systems</w:t>
      </w:r>
    </w:p>
    <w:p w14:paraId="0684A8DA"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Communications</w:t>
      </w:r>
    </w:p>
    <w:p w14:paraId="2A4E56CA"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Data, technologies and digitalisation</w:t>
      </w:r>
    </w:p>
    <w:p w14:paraId="1A644193"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Food systems</w:t>
      </w:r>
    </w:p>
    <w:p w14:paraId="1334751A"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Foresight</w:t>
      </w:r>
    </w:p>
    <w:p w14:paraId="5E7D31F9"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Human health and the environment</w:t>
      </w:r>
    </w:p>
    <w:p w14:paraId="03F2FAE6"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Land systems</w:t>
      </w:r>
    </w:p>
    <w:p w14:paraId="1B8FEA13" w14:textId="77777777" w:rsidR="000A7D9D" w:rsidRPr="0042760F" w:rsidRDefault="000A7D9D" w:rsidP="000A7D9D">
      <w:pPr>
        <w:numPr>
          <w:ilvl w:val="1"/>
          <w:numId w:val="37"/>
        </w:numPr>
        <w:shd w:val="clear" w:color="auto" w:fill="FFFFFF"/>
        <w:spacing w:before="100" w:beforeAutospacing="1" w:after="0" w:line="240" w:lineRule="auto"/>
        <w:ind w:left="1434" w:hanging="357"/>
        <w:rPr>
          <w:rFonts w:ascii="Times New Roman" w:hAnsi="Times New Roman" w:cs="Times New Roman"/>
          <w:noProof/>
        </w:rPr>
      </w:pPr>
      <w:r w:rsidRPr="0042760F">
        <w:rPr>
          <w:rFonts w:ascii="Times New Roman" w:hAnsi="Times New Roman" w:cs="Times New Roman"/>
          <w:noProof/>
        </w:rPr>
        <w:t>Mobility systems</w:t>
      </w:r>
    </w:p>
    <w:p w14:paraId="7B13AE4B" w14:textId="77777777" w:rsidR="000A7D9D" w:rsidRPr="0042760F" w:rsidRDefault="000A7D9D" w:rsidP="000A7D9D">
      <w:pPr>
        <w:numPr>
          <w:ilvl w:val="1"/>
          <w:numId w:val="37"/>
        </w:numPr>
        <w:shd w:val="clear" w:color="auto" w:fill="FFFFFF"/>
        <w:spacing w:before="100" w:beforeAutospacing="1" w:after="120" w:line="240" w:lineRule="auto"/>
        <w:ind w:left="1434" w:hanging="357"/>
        <w:rPr>
          <w:rFonts w:ascii="Times New Roman" w:hAnsi="Times New Roman" w:cs="Times New Roman"/>
          <w:noProof/>
        </w:rPr>
      </w:pPr>
      <w:r w:rsidRPr="0042760F">
        <w:rPr>
          <w:rFonts w:ascii="Times New Roman" w:hAnsi="Times New Roman" w:cs="Times New Roman"/>
          <w:noProof/>
        </w:rPr>
        <w:t>State of the environment</w:t>
      </w:r>
    </w:p>
    <w:p w14:paraId="3D1279D1" w14:textId="77777777" w:rsidR="000A7D9D" w:rsidRPr="0042760F" w:rsidRDefault="000A7D9D" w:rsidP="000A7D9D">
      <w:pPr>
        <w:pStyle w:val="ListParagraph"/>
        <w:numPr>
          <w:ilvl w:val="0"/>
          <w:numId w:val="37"/>
        </w:numPr>
        <w:spacing w:after="120"/>
        <w:ind w:left="714" w:hanging="357"/>
        <w:contextualSpacing w:val="0"/>
        <w:jc w:val="both"/>
        <w:rPr>
          <w:noProof/>
          <w:sz w:val="22"/>
          <w:szCs w:val="22"/>
        </w:rPr>
      </w:pPr>
      <w:r w:rsidRPr="0042760F">
        <w:rPr>
          <w:b/>
          <w:noProof/>
          <w:sz w:val="22"/>
          <w:szCs w:val="22"/>
        </w:rPr>
        <w:t>European Topic Centres (ETC)</w:t>
      </w:r>
      <w:r w:rsidRPr="0042760F">
        <w:rPr>
          <w:noProof/>
          <w:sz w:val="22"/>
          <w:szCs w:val="22"/>
        </w:rPr>
        <w:t xml:space="preserve"> – are thematic expertise centres contracted and funded by the EEA for tasks identified in the EEA-EIONET Strategy. These are designated by the EEA management board following a European-wide competitive selection process. The topic centres support the EEA in the processing and analysis of the data received from Member Countries. As of 2023, there are 7 topic centres working with EEA and national EIONET partners:</w:t>
      </w:r>
    </w:p>
    <w:p w14:paraId="08D82976" w14:textId="77777777" w:rsidR="000A7D9D" w:rsidRPr="0042760F" w:rsidRDefault="00187DBF" w:rsidP="000A7D9D">
      <w:pPr>
        <w:pStyle w:val="ListParagraph"/>
        <w:numPr>
          <w:ilvl w:val="1"/>
          <w:numId w:val="37"/>
        </w:numPr>
        <w:jc w:val="both"/>
        <w:rPr>
          <w:noProof/>
          <w:sz w:val="22"/>
          <w:szCs w:val="22"/>
        </w:rPr>
      </w:pPr>
      <w:hyperlink r:id="rId53" w:history="1">
        <w:r w:rsidR="000A7D9D" w:rsidRPr="0042760F">
          <w:rPr>
            <w:rStyle w:val="Hyperlink"/>
            <w:noProof/>
            <w:sz w:val="22"/>
            <w:szCs w:val="22"/>
          </w:rPr>
          <w:t>ETC on Biodiversity and Ecosystems</w:t>
        </w:r>
      </w:hyperlink>
    </w:p>
    <w:p w14:paraId="67BB41DF" w14:textId="77777777" w:rsidR="000A7D9D" w:rsidRPr="0042760F" w:rsidRDefault="00187DBF" w:rsidP="000A7D9D">
      <w:pPr>
        <w:pStyle w:val="ListParagraph"/>
        <w:numPr>
          <w:ilvl w:val="1"/>
          <w:numId w:val="37"/>
        </w:numPr>
        <w:jc w:val="both"/>
        <w:rPr>
          <w:noProof/>
          <w:sz w:val="22"/>
          <w:szCs w:val="22"/>
        </w:rPr>
      </w:pPr>
      <w:hyperlink r:id="rId54" w:history="1">
        <w:r w:rsidR="000A7D9D" w:rsidRPr="0042760F">
          <w:rPr>
            <w:rStyle w:val="Hyperlink"/>
            <w:noProof/>
            <w:sz w:val="22"/>
            <w:szCs w:val="22"/>
          </w:rPr>
          <w:t>ETC in Circular Economy and Resource Use</w:t>
        </w:r>
      </w:hyperlink>
    </w:p>
    <w:p w14:paraId="15DAF616" w14:textId="77777777" w:rsidR="000A7D9D" w:rsidRPr="00D232D8" w:rsidRDefault="00187DBF" w:rsidP="000A7D9D">
      <w:pPr>
        <w:pStyle w:val="ListParagraph"/>
        <w:numPr>
          <w:ilvl w:val="1"/>
          <w:numId w:val="37"/>
        </w:numPr>
        <w:jc w:val="both"/>
        <w:rPr>
          <w:noProof/>
          <w:sz w:val="22"/>
          <w:szCs w:val="22"/>
          <w:lang w:val="fr-BE"/>
        </w:rPr>
      </w:pPr>
      <w:hyperlink r:id="rId55" w:history="1">
        <w:r w:rsidR="000A7D9D" w:rsidRPr="00D232D8">
          <w:rPr>
            <w:rStyle w:val="Hyperlink"/>
            <w:noProof/>
            <w:sz w:val="22"/>
            <w:szCs w:val="22"/>
            <w:lang w:val="fr-BE"/>
          </w:rPr>
          <w:t>ETC on Climate Change Adaptation and LULUCF</w:t>
        </w:r>
      </w:hyperlink>
    </w:p>
    <w:p w14:paraId="0C1F56F4" w14:textId="77777777" w:rsidR="000A7D9D" w:rsidRPr="0042760F" w:rsidRDefault="00187DBF" w:rsidP="000A7D9D">
      <w:pPr>
        <w:pStyle w:val="ListParagraph"/>
        <w:numPr>
          <w:ilvl w:val="1"/>
          <w:numId w:val="37"/>
        </w:numPr>
        <w:jc w:val="both"/>
        <w:rPr>
          <w:noProof/>
          <w:sz w:val="22"/>
          <w:szCs w:val="22"/>
          <w:lang w:val="fr-BE"/>
        </w:rPr>
      </w:pPr>
      <w:hyperlink r:id="rId56" w:history="1">
        <w:r w:rsidR="000A7D9D" w:rsidRPr="0042760F">
          <w:rPr>
            <w:rStyle w:val="Hyperlink"/>
            <w:noProof/>
            <w:sz w:val="22"/>
            <w:szCs w:val="22"/>
            <w:lang w:val="fr-BE"/>
          </w:rPr>
          <w:t>ETC on Climate Change Mitigation</w:t>
        </w:r>
      </w:hyperlink>
      <w:r w:rsidR="000A7D9D" w:rsidRPr="0042760F">
        <w:rPr>
          <w:noProof/>
          <w:sz w:val="22"/>
          <w:szCs w:val="22"/>
          <w:lang w:val="fr-BE"/>
        </w:rPr>
        <w:t xml:space="preserve"> </w:t>
      </w:r>
    </w:p>
    <w:p w14:paraId="29578185" w14:textId="77777777" w:rsidR="000A7D9D" w:rsidRPr="0042760F" w:rsidRDefault="00187DBF" w:rsidP="000A7D9D">
      <w:pPr>
        <w:pStyle w:val="ListParagraph"/>
        <w:numPr>
          <w:ilvl w:val="1"/>
          <w:numId w:val="37"/>
        </w:numPr>
        <w:jc w:val="both"/>
        <w:rPr>
          <w:noProof/>
          <w:sz w:val="22"/>
          <w:szCs w:val="22"/>
        </w:rPr>
      </w:pPr>
      <w:hyperlink r:id="rId57" w:history="1">
        <w:r w:rsidR="000A7D9D" w:rsidRPr="0042760F">
          <w:rPr>
            <w:rStyle w:val="Hyperlink"/>
            <w:noProof/>
            <w:sz w:val="22"/>
            <w:szCs w:val="22"/>
          </w:rPr>
          <w:t>ETC on Data Integration and Digitalisation</w:t>
        </w:r>
      </w:hyperlink>
      <w:r w:rsidR="000A7D9D" w:rsidRPr="0042760F">
        <w:rPr>
          <w:noProof/>
          <w:sz w:val="22"/>
          <w:szCs w:val="22"/>
        </w:rPr>
        <w:t xml:space="preserve"> </w:t>
      </w:r>
    </w:p>
    <w:p w14:paraId="1D108B9B" w14:textId="77777777" w:rsidR="000A7D9D" w:rsidRPr="0042760F" w:rsidRDefault="00187DBF" w:rsidP="000A7D9D">
      <w:pPr>
        <w:pStyle w:val="ListParagraph"/>
        <w:numPr>
          <w:ilvl w:val="1"/>
          <w:numId w:val="37"/>
        </w:numPr>
        <w:jc w:val="both"/>
        <w:rPr>
          <w:noProof/>
          <w:sz w:val="22"/>
          <w:szCs w:val="22"/>
        </w:rPr>
      </w:pPr>
      <w:hyperlink r:id="rId58" w:history="1">
        <w:r w:rsidR="000A7D9D" w:rsidRPr="0042760F">
          <w:rPr>
            <w:rStyle w:val="Hyperlink"/>
            <w:noProof/>
            <w:sz w:val="22"/>
            <w:szCs w:val="22"/>
          </w:rPr>
          <w:t>ETC on Human Health and the Environment</w:t>
        </w:r>
      </w:hyperlink>
      <w:r w:rsidR="000A7D9D" w:rsidRPr="0042760F">
        <w:rPr>
          <w:noProof/>
          <w:sz w:val="22"/>
          <w:szCs w:val="22"/>
        </w:rPr>
        <w:t xml:space="preserve"> </w:t>
      </w:r>
    </w:p>
    <w:p w14:paraId="1EC88D4E" w14:textId="77777777" w:rsidR="000A7D9D" w:rsidRPr="0042760F" w:rsidRDefault="00187DBF" w:rsidP="000A7D9D">
      <w:pPr>
        <w:pStyle w:val="ListParagraph"/>
        <w:numPr>
          <w:ilvl w:val="1"/>
          <w:numId w:val="37"/>
        </w:numPr>
        <w:jc w:val="both"/>
        <w:rPr>
          <w:noProof/>
          <w:sz w:val="22"/>
          <w:szCs w:val="22"/>
        </w:rPr>
      </w:pPr>
      <w:hyperlink r:id="rId59" w:history="1">
        <w:r w:rsidR="000A7D9D" w:rsidRPr="0042760F">
          <w:rPr>
            <w:rStyle w:val="Hyperlink"/>
            <w:noProof/>
            <w:sz w:val="22"/>
            <w:szCs w:val="22"/>
          </w:rPr>
          <w:t>ETC on Sustainability Transitions</w:t>
        </w:r>
      </w:hyperlink>
    </w:p>
    <w:p w14:paraId="0EE1B491" w14:textId="77777777" w:rsidR="000A7D9D" w:rsidRDefault="000A7D9D" w:rsidP="000A7D9D">
      <w:pPr>
        <w:rPr>
          <w:rFonts w:ascii="Times New Roman" w:hAnsi="Times New Roman" w:cs="Times New Roman"/>
          <w:b/>
          <w:bCs/>
          <w:i/>
          <w:noProof/>
          <w:u w:val="single"/>
        </w:rPr>
      </w:pPr>
      <w:r>
        <w:rPr>
          <w:rFonts w:ascii="Times New Roman" w:hAnsi="Times New Roman" w:cs="Times New Roman"/>
          <w:b/>
          <w:bCs/>
          <w:i/>
          <w:noProof/>
          <w:u w:val="single"/>
        </w:rPr>
        <w:br w:type="page"/>
      </w:r>
    </w:p>
    <w:p w14:paraId="03D8E03E" w14:textId="77777777" w:rsidR="000A7D9D" w:rsidRPr="0042760F" w:rsidRDefault="000A7D9D" w:rsidP="000A7D9D">
      <w:pPr>
        <w:rPr>
          <w:rFonts w:ascii="Times New Roman" w:hAnsi="Times New Roman" w:cs="Times New Roman"/>
          <w:b/>
          <w:bCs/>
          <w:i/>
          <w:noProof/>
          <w:u w:val="single"/>
        </w:rPr>
      </w:pPr>
    </w:p>
    <w:p w14:paraId="321F5B87" w14:textId="77777777" w:rsidR="000A7D9D" w:rsidRDefault="000A7D9D" w:rsidP="000A7D9D">
      <w:pPr>
        <w:jc w:val="both"/>
        <w:rPr>
          <w:b/>
          <w:bCs/>
          <w:i/>
          <w:noProof/>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909"/>
      </w:tblGrid>
      <w:tr w:rsidR="000A7D9D" w14:paraId="5F63BAE8" w14:textId="77777777" w:rsidTr="00F31937">
        <w:tc>
          <w:tcPr>
            <w:tcW w:w="6379" w:type="dxa"/>
            <w:vAlign w:val="bottom"/>
          </w:tcPr>
          <w:p w14:paraId="78071BF0" w14:textId="77777777" w:rsidR="000A7D9D" w:rsidRPr="00D44C76" w:rsidRDefault="000A7D9D" w:rsidP="000A7D9D">
            <w:pPr>
              <w:pStyle w:val="Heading1"/>
              <w:keepLines w:val="0"/>
              <w:widowControl/>
              <w:numPr>
                <w:ilvl w:val="0"/>
                <w:numId w:val="142"/>
              </w:numPr>
              <w:snapToGrid/>
              <w:spacing w:before="240"/>
              <w:jc w:val="both"/>
              <w:rPr>
                <w:rFonts w:ascii="Times New Roman" w:hAnsi="Times New Roman"/>
                <w:smallCaps/>
                <w:noProof/>
                <w:color w:val="auto"/>
                <w:sz w:val="24"/>
                <w:szCs w:val="20"/>
                <w:lang w:eastAsia="en-US"/>
              </w:rPr>
            </w:pPr>
            <w:bookmarkStart w:id="26" w:name="_Toc150499912"/>
            <w:r w:rsidRPr="00D44C76">
              <w:rPr>
                <w:rFonts w:ascii="Times New Roman" w:hAnsi="Times New Roman"/>
                <w:smallCaps/>
                <w:noProof/>
                <w:color w:val="auto"/>
                <w:sz w:val="24"/>
                <w:szCs w:val="20"/>
                <w:lang w:eastAsia="en-US"/>
              </w:rPr>
              <w:t>European Agency for Safety and Health at Work</w:t>
            </w:r>
            <w:bookmarkEnd w:id="26"/>
          </w:p>
        </w:tc>
        <w:tc>
          <w:tcPr>
            <w:tcW w:w="2909" w:type="dxa"/>
            <w:vAlign w:val="bottom"/>
          </w:tcPr>
          <w:p w14:paraId="43C7B47B" w14:textId="77777777" w:rsidR="000A7D9D" w:rsidRPr="00CA2CEE" w:rsidRDefault="000A7D9D" w:rsidP="00F31937">
            <w:pPr>
              <w:spacing w:after="120"/>
              <w:jc w:val="right"/>
              <w:rPr>
                <w:b/>
                <w:noProof/>
              </w:rPr>
            </w:pPr>
            <w:r w:rsidRPr="00802B18">
              <w:rPr>
                <w:b/>
                <w:i/>
                <w:noProof/>
              </w:rPr>
              <w:drawing>
                <wp:inline distT="0" distB="0" distL="0" distR="0" wp14:anchorId="4BE4B87A" wp14:editId="2085F704">
                  <wp:extent cx="1250950" cy="425424"/>
                  <wp:effectExtent l="0" t="0" r="6350" b="0"/>
                  <wp:docPr id="1026" name="Picture 1026" descr="European Agency for Safety and Health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uropean Agency for Safety and Health at Wor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83406" cy="436462"/>
                          </a:xfrm>
                          <a:prstGeom prst="rect">
                            <a:avLst/>
                          </a:prstGeom>
                          <a:noFill/>
                        </pic:spPr>
                      </pic:pic>
                    </a:graphicData>
                  </a:graphic>
                </wp:inline>
              </w:drawing>
            </w:r>
          </w:p>
        </w:tc>
      </w:tr>
    </w:tbl>
    <w:p w14:paraId="10064986" w14:textId="77777777" w:rsidR="000A7D9D" w:rsidRPr="0042760F" w:rsidRDefault="000A7D9D" w:rsidP="000A7D9D">
      <w:pPr>
        <w:spacing w:before="120" w:after="120"/>
        <w:jc w:val="both"/>
        <w:rPr>
          <w:rFonts w:ascii="Times New Roman" w:hAnsi="Times New Roman" w:cs="Times New Roman"/>
          <w:noProof/>
        </w:rPr>
      </w:pPr>
      <w:r w:rsidRPr="0042760F">
        <w:rPr>
          <w:rFonts w:ascii="Times New Roman" w:hAnsi="Times New Roman" w:cs="Times New Roman"/>
          <w:noProof/>
        </w:rPr>
        <w:t>The European Agency for Safety and Health at Work (EU-OSHA)</w:t>
      </w:r>
      <w:r w:rsidRPr="0042760F">
        <w:rPr>
          <w:rFonts w:ascii="Times New Roman" w:hAnsi="Times New Roman" w:cs="Times New Roman"/>
          <w:b/>
          <w:bCs/>
          <w:noProof/>
        </w:rPr>
        <w:t xml:space="preserve"> </w:t>
      </w:r>
      <w:r w:rsidRPr="0042760F">
        <w:rPr>
          <w:rFonts w:ascii="Times New Roman" w:hAnsi="Times New Roman" w:cs="Times New Roman"/>
          <w:noProof/>
        </w:rPr>
        <w:t>provides the Union institutions and bodies, the Member States, the social partners and other actors involved in the field of safety and health at work with relevant technical, scientific and economic information and qualified expertise in the field of safety and health at work in order to improve the working environment as regards the protection of the safety and health of workers.</w:t>
      </w:r>
    </w:p>
    <w:p w14:paraId="5C3F5B17" w14:textId="77777777" w:rsidR="000A7D9D" w:rsidRPr="0042760F" w:rsidRDefault="000A7D9D" w:rsidP="000A7D9D">
      <w:pPr>
        <w:spacing w:before="120" w:after="120"/>
        <w:jc w:val="both"/>
        <w:rPr>
          <w:rFonts w:ascii="Times New Roman" w:hAnsi="Times New Roman" w:cs="Times New Roman"/>
          <w:noProof/>
        </w:rPr>
      </w:pPr>
      <w:r w:rsidRPr="0042760F">
        <w:rPr>
          <w:rFonts w:ascii="Times New Roman" w:hAnsi="Times New Roman" w:cs="Times New Roman"/>
          <w:noProof/>
        </w:rPr>
        <w:t>To that end, EU-OSHA enhances and disseminates knowledge, provides evidence and services for the purpose of policy making, including research-based conclusions, and facilitates knowledge sharing among and between Union and national actors.</w:t>
      </w:r>
    </w:p>
    <w:p w14:paraId="05967127" w14:textId="77777777" w:rsidR="000A7D9D" w:rsidRPr="0042760F" w:rsidRDefault="000A7D9D" w:rsidP="000A7D9D">
      <w:pPr>
        <w:spacing w:before="120" w:after="120"/>
        <w:jc w:val="both"/>
        <w:rPr>
          <w:rStyle w:val="Emphasis"/>
          <w:i w:val="0"/>
          <w:iCs w:val="0"/>
          <w:noProof/>
          <w:color w:val="212529"/>
          <w:shd w:val="clear" w:color="auto" w:fill="FFFFFF"/>
        </w:rPr>
      </w:pPr>
      <w:r w:rsidRPr="00FA46D4">
        <w:rPr>
          <w:rStyle w:val="Emphasis"/>
          <w:noProof/>
          <w:color w:val="212529"/>
          <w:shd w:val="clear" w:color="auto" w:fill="FFFFFF"/>
        </w:rPr>
        <w:t>The EU-OSHA does this by developing, gathering and providing reliable and relevant information, analysis and tools to advance knowledge, raise awareness and exchange occupational safety and health (OSH) information and good practice which will serve the needs of those involved in OSH. Concretely, the EU-OSHA</w:t>
      </w:r>
      <w:r w:rsidRPr="0042760F">
        <w:rPr>
          <w:rStyle w:val="Emphasis"/>
          <w:noProof/>
          <w:color w:val="212529"/>
          <w:shd w:val="clear" w:color="auto" w:fill="FFFFFF"/>
        </w:rPr>
        <w:t>:</w:t>
      </w:r>
    </w:p>
    <w:p w14:paraId="777F98F1"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collects and analyses technical, scientific and economic information on safety and health at work in the Member States in order to:</w:t>
      </w:r>
    </w:p>
    <w:p w14:paraId="751B4318" w14:textId="77777777" w:rsidR="000A7D9D" w:rsidRPr="0042760F" w:rsidRDefault="000A7D9D" w:rsidP="000A7D9D">
      <w:pPr>
        <w:pStyle w:val="ListParagraph"/>
        <w:numPr>
          <w:ilvl w:val="1"/>
          <w:numId w:val="35"/>
        </w:numPr>
        <w:spacing w:after="120"/>
        <w:contextualSpacing w:val="0"/>
        <w:jc w:val="both"/>
        <w:rPr>
          <w:bCs/>
          <w:i/>
          <w:noProof/>
          <w:sz w:val="22"/>
          <w:szCs w:val="22"/>
          <w:u w:val="single"/>
        </w:rPr>
      </w:pPr>
      <w:r w:rsidRPr="0042760F">
        <w:rPr>
          <w:noProof/>
          <w:sz w:val="22"/>
          <w:szCs w:val="22"/>
        </w:rPr>
        <w:t xml:space="preserve">identify risks and good practices as well as existing national priorities and programmes; </w:t>
      </w:r>
    </w:p>
    <w:p w14:paraId="31E9DF23" w14:textId="77777777" w:rsidR="000A7D9D" w:rsidRPr="0042760F" w:rsidRDefault="000A7D9D" w:rsidP="000A7D9D">
      <w:pPr>
        <w:pStyle w:val="ListParagraph"/>
        <w:numPr>
          <w:ilvl w:val="1"/>
          <w:numId w:val="35"/>
        </w:numPr>
        <w:spacing w:after="120"/>
        <w:contextualSpacing w:val="0"/>
        <w:jc w:val="both"/>
        <w:rPr>
          <w:bCs/>
          <w:i/>
          <w:noProof/>
          <w:sz w:val="22"/>
          <w:szCs w:val="22"/>
          <w:u w:val="single"/>
        </w:rPr>
      </w:pPr>
      <w:r w:rsidRPr="0042760F">
        <w:rPr>
          <w:noProof/>
          <w:sz w:val="22"/>
          <w:szCs w:val="22"/>
        </w:rPr>
        <w:t xml:space="preserve">provide the necessary input to Union priorities and programmes; and </w:t>
      </w:r>
    </w:p>
    <w:p w14:paraId="74221F73" w14:textId="77777777" w:rsidR="000A7D9D" w:rsidRPr="0042760F" w:rsidRDefault="000A7D9D" w:rsidP="000A7D9D">
      <w:pPr>
        <w:pStyle w:val="ListParagraph"/>
        <w:numPr>
          <w:ilvl w:val="1"/>
          <w:numId w:val="35"/>
        </w:numPr>
        <w:spacing w:after="120"/>
        <w:contextualSpacing w:val="0"/>
        <w:jc w:val="both"/>
        <w:rPr>
          <w:bCs/>
          <w:i/>
          <w:noProof/>
          <w:sz w:val="22"/>
          <w:szCs w:val="22"/>
          <w:u w:val="single"/>
        </w:rPr>
      </w:pPr>
      <w:r w:rsidRPr="0042760F">
        <w:rPr>
          <w:noProof/>
          <w:sz w:val="22"/>
          <w:szCs w:val="22"/>
        </w:rPr>
        <w:t xml:space="preserve">disseminate that information to the Union institutions and bodies, the Member States, the social partners and other actors involved in the field of safety and health at work; </w:t>
      </w:r>
    </w:p>
    <w:p w14:paraId="5C1D6188"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 xml:space="preserve">collects and analyses technical, scientific and economic information on research into safety and health at work and on other research activities which involve aspects connected with safety and health at work and disseminate the results of the research and research activities; </w:t>
      </w:r>
    </w:p>
    <w:p w14:paraId="6E3387D4"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 xml:space="preserve">promotes and supports cooperation and exchange of information and experience amongst the Member States in the field of safety and health at work, including information on training programmes; </w:t>
      </w:r>
    </w:p>
    <w:p w14:paraId="49EEBFA9"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organises conferences and seminars and exchanges of expertise from the Member States in the field of safety and health at work;</w:t>
      </w:r>
    </w:p>
    <w:p w14:paraId="673B82BF"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supplies the Union institutions and bodies and the Member States with the objective technical, scientific and economic information available and the qualified expertise they require to formulate and implement judicious and effective policies designed to protect the safety and health of workers;</w:t>
      </w:r>
    </w:p>
    <w:p w14:paraId="7113B6BF"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 xml:space="preserve">provides forums for exchange of experiences and information between the governments, the social partners and other stakeholders at national level; </w:t>
      </w:r>
    </w:p>
    <w:p w14:paraId="1C56A3AB"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 xml:space="preserve">contributes, including through evidence-based information and analyses, to the implementation of reforms and policies at national level; </w:t>
      </w:r>
    </w:p>
    <w:p w14:paraId="42D18859"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 xml:space="preserve">collects and makes available information on safety and health matters from and to third countries and international organisations; </w:t>
      </w:r>
    </w:p>
    <w:p w14:paraId="7B68A521" w14:textId="77777777" w:rsidR="000A7D9D" w:rsidRPr="0042760F" w:rsidRDefault="000A7D9D" w:rsidP="000A7D9D">
      <w:pPr>
        <w:pStyle w:val="ListParagraph"/>
        <w:numPr>
          <w:ilvl w:val="0"/>
          <w:numId w:val="35"/>
        </w:numPr>
        <w:spacing w:after="120"/>
        <w:contextualSpacing w:val="0"/>
        <w:jc w:val="both"/>
        <w:rPr>
          <w:i/>
          <w:iCs/>
          <w:noProof/>
          <w:sz w:val="22"/>
          <w:szCs w:val="22"/>
          <w:u w:val="single"/>
        </w:rPr>
      </w:pPr>
      <w:r w:rsidRPr="0042760F">
        <w:rPr>
          <w:noProof/>
          <w:sz w:val="22"/>
          <w:szCs w:val="22"/>
        </w:rPr>
        <w:t xml:space="preserve">provides technical, scientific and economic information on methods and tools for implementing preventive activities, identify good practices and promote preventive actions, paying particular attention to the specific problems of MSMEs and, with regard to good practices, focuses, in particular, on practices which constitute practical tools to be used in drawing up an assessment of the risks to safety and health at work, and identifying the measures to be taken to tackle those risks; </w:t>
      </w:r>
    </w:p>
    <w:p w14:paraId="7893EB48"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contributes to the development of Union strategies and action programmes relating to the protection of safety and health at work,</w:t>
      </w:r>
    </w:p>
    <w:p w14:paraId="5DB61294"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 xml:space="preserve">establishes a strategy for relations with third countries and international organisations; </w:t>
      </w:r>
    </w:p>
    <w:p w14:paraId="2CF3A77C" w14:textId="77777777" w:rsidR="000A7D9D" w:rsidRPr="0042760F" w:rsidRDefault="000A7D9D" w:rsidP="000A7D9D">
      <w:pPr>
        <w:pStyle w:val="ListParagraph"/>
        <w:numPr>
          <w:ilvl w:val="0"/>
          <w:numId w:val="35"/>
        </w:numPr>
        <w:spacing w:after="120"/>
        <w:contextualSpacing w:val="0"/>
        <w:jc w:val="both"/>
        <w:rPr>
          <w:bCs/>
          <w:i/>
          <w:noProof/>
          <w:sz w:val="22"/>
          <w:szCs w:val="22"/>
          <w:u w:val="single"/>
        </w:rPr>
      </w:pPr>
      <w:r w:rsidRPr="0042760F">
        <w:rPr>
          <w:noProof/>
          <w:sz w:val="22"/>
          <w:szCs w:val="22"/>
        </w:rPr>
        <w:t>carries out awareness raising and communication activities and campaigns on safety and health at work issues.</w:t>
      </w:r>
    </w:p>
    <w:p w14:paraId="1A6D1338" w14:textId="77777777" w:rsidR="000A7D9D" w:rsidRPr="0042760F" w:rsidRDefault="000A7D9D" w:rsidP="000A7D9D">
      <w:pPr>
        <w:spacing w:after="120"/>
        <w:jc w:val="both"/>
        <w:rPr>
          <w:rFonts w:ascii="Times New Roman" w:hAnsi="Times New Roman" w:cs="Times New Roman"/>
          <w:noProof/>
        </w:rPr>
      </w:pPr>
      <w:r w:rsidRPr="0042760F">
        <w:rPr>
          <w:rFonts w:ascii="Times New Roman" w:hAnsi="Times New Roman" w:cs="Times New Roman"/>
          <w:noProof/>
        </w:rPr>
        <w:t>EU-OSHA’s specific competences include:</w:t>
      </w:r>
    </w:p>
    <w:p w14:paraId="658716A5" w14:textId="77777777" w:rsidR="000A7D9D" w:rsidRPr="0042760F" w:rsidRDefault="000A7D9D" w:rsidP="000A7D9D">
      <w:pPr>
        <w:pStyle w:val="ListParagraph"/>
        <w:numPr>
          <w:ilvl w:val="0"/>
          <w:numId w:val="31"/>
        </w:numPr>
        <w:spacing w:after="120"/>
        <w:contextualSpacing w:val="0"/>
        <w:jc w:val="both"/>
        <w:rPr>
          <w:noProof/>
          <w:sz w:val="22"/>
          <w:szCs w:val="22"/>
        </w:rPr>
      </w:pPr>
      <w:r w:rsidRPr="0042760F">
        <w:rPr>
          <w:noProof/>
          <w:sz w:val="22"/>
          <w:szCs w:val="22"/>
        </w:rPr>
        <w:t>Competence in occupational safety and health as regards the workplace management of dangerous substances (this includes registered chemicals and process-generated substances and mixtures (e.g. silica dust, welding fumes, diesel motor emissions or wood dust))</w:t>
      </w:r>
    </w:p>
    <w:p w14:paraId="0A7CA6D7" w14:textId="77777777" w:rsidR="000A7D9D" w:rsidRPr="0042760F" w:rsidRDefault="000A7D9D" w:rsidP="000A7D9D">
      <w:pPr>
        <w:pStyle w:val="ListParagraph"/>
        <w:numPr>
          <w:ilvl w:val="0"/>
          <w:numId w:val="31"/>
        </w:numPr>
        <w:spacing w:after="120"/>
        <w:contextualSpacing w:val="0"/>
        <w:jc w:val="both"/>
        <w:rPr>
          <w:noProof/>
          <w:sz w:val="22"/>
          <w:szCs w:val="22"/>
        </w:rPr>
      </w:pPr>
      <w:r w:rsidRPr="0042760F">
        <w:rPr>
          <w:noProof/>
          <w:sz w:val="22"/>
          <w:szCs w:val="22"/>
        </w:rPr>
        <w:t>Development of tools for the management of dangerous substances at the workplace level and sectoral workplace risk assessment tools (OiRA)</w:t>
      </w:r>
    </w:p>
    <w:p w14:paraId="6B1932FC" w14:textId="77777777" w:rsidR="000A7D9D" w:rsidRPr="0042760F" w:rsidRDefault="000A7D9D" w:rsidP="000A7D9D">
      <w:pPr>
        <w:pStyle w:val="ListParagraph"/>
        <w:numPr>
          <w:ilvl w:val="0"/>
          <w:numId w:val="31"/>
        </w:numPr>
        <w:spacing w:after="120"/>
        <w:contextualSpacing w:val="0"/>
        <w:jc w:val="both"/>
        <w:rPr>
          <w:noProof/>
          <w:sz w:val="22"/>
          <w:szCs w:val="22"/>
        </w:rPr>
      </w:pPr>
      <w:r w:rsidRPr="0042760F">
        <w:rPr>
          <w:noProof/>
          <w:sz w:val="22"/>
          <w:szCs w:val="22"/>
        </w:rPr>
        <w:t>Collecting information on national tools and guidance and examples of good practice regarding the management of dangerous substances at work.</w:t>
      </w:r>
    </w:p>
    <w:p w14:paraId="40C5E62F" w14:textId="77777777" w:rsidR="000A7D9D" w:rsidRPr="0042760F" w:rsidRDefault="000A7D9D" w:rsidP="000A7D9D">
      <w:pPr>
        <w:pStyle w:val="ListParagraph"/>
        <w:numPr>
          <w:ilvl w:val="0"/>
          <w:numId w:val="31"/>
        </w:numPr>
        <w:spacing w:after="120"/>
        <w:contextualSpacing w:val="0"/>
        <w:jc w:val="both"/>
        <w:rPr>
          <w:noProof/>
          <w:sz w:val="22"/>
          <w:szCs w:val="22"/>
        </w:rPr>
      </w:pPr>
      <w:r w:rsidRPr="0042760F">
        <w:rPr>
          <w:noProof/>
          <w:sz w:val="22"/>
          <w:szCs w:val="22"/>
        </w:rPr>
        <w:t>Development of information and awareness-raising campaigns in the area of dangerous substances at work</w:t>
      </w:r>
    </w:p>
    <w:p w14:paraId="031C5DA3" w14:textId="77777777" w:rsidR="000A7D9D" w:rsidRPr="0042760F" w:rsidRDefault="000A7D9D" w:rsidP="000A7D9D">
      <w:pPr>
        <w:pStyle w:val="ListParagraph"/>
        <w:numPr>
          <w:ilvl w:val="0"/>
          <w:numId w:val="31"/>
        </w:numPr>
        <w:spacing w:after="120"/>
        <w:contextualSpacing w:val="0"/>
        <w:jc w:val="both"/>
        <w:rPr>
          <w:noProof/>
          <w:sz w:val="22"/>
          <w:szCs w:val="22"/>
        </w:rPr>
      </w:pPr>
      <w:r w:rsidRPr="0042760F">
        <w:rPr>
          <w:noProof/>
          <w:sz w:val="22"/>
          <w:szCs w:val="22"/>
        </w:rPr>
        <w:t xml:space="preserve">Collecting and analysing technical and scientific information in the area of dangerous substances at work and related health problems and publishing the results </w:t>
      </w:r>
    </w:p>
    <w:p w14:paraId="7240F168" w14:textId="77777777" w:rsidR="000A7D9D" w:rsidRPr="0042760F" w:rsidRDefault="000A7D9D" w:rsidP="000A7D9D">
      <w:pPr>
        <w:pStyle w:val="ListParagraph"/>
        <w:numPr>
          <w:ilvl w:val="0"/>
          <w:numId w:val="31"/>
        </w:numPr>
        <w:spacing w:after="120"/>
        <w:contextualSpacing w:val="0"/>
        <w:jc w:val="both"/>
        <w:rPr>
          <w:noProof/>
          <w:sz w:val="22"/>
          <w:szCs w:val="22"/>
        </w:rPr>
      </w:pPr>
      <w:r w:rsidRPr="0042760F">
        <w:rPr>
          <w:noProof/>
          <w:sz w:val="22"/>
          <w:szCs w:val="22"/>
        </w:rPr>
        <w:t>Development of surveys targeting exposures at workplaces, e.g. the Workers´ exposure survey on cancer risk factors in Europe</w:t>
      </w:r>
    </w:p>
    <w:p w14:paraId="407A0FA8" w14:textId="77777777" w:rsidR="000A7D9D" w:rsidRPr="0042760F" w:rsidRDefault="000A7D9D" w:rsidP="000A7D9D">
      <w:pPr>
        <w:pStyle w:val="ListParagraph"/>
        <w:numPr>
          <w:ilvl w:val="0"/>
          <w:numId w:val="27"/>
        </w:numPr>
        <w:spacing w:after="120"/>
        <w:contextualSpacing w:val="0"/>
        <w:jc w:val="both"/>
        <w:rPr>
          <w:noProof/>
          <w:sz w:val="22"/>
          <w:szCs w:val="22"/>
        </w:rPr>
      </w:pPr>
      <w:r w:rsidRPr="0042760F">
        <w:rPr>
          <w:noProof/>
          <w:sz w:val="22"/>
          <w:szCs w:val="22"/>
        </w:rPr>
        <w:t>Supporting the European Commission, for instance through the development of guidance in the area of dangerous substances management and OSH</w:t>
      </w:r>
    </w:p>
    <w:p w14:paraId="25B76797" w14:textId="77777777" w:rsidR="000A7D9D" w:rsidRPr="0042760F" w:rsidRDefault="000A7D9D" w:rsidP="000A7D9D">
      <w:pPr>
        <w:spacing w:after="120"/>
        <w:jc w:val="both"/>
        <w:rPr>
          <w:rFonts w:ascii="Times New Roman" w:hAnsi="Times New Roman" w:cs="Times New Roman"/>
          <w:noProof/>
        </w:rPr>
      </w:pPr>
      <w:r w:rsidRPr="0042760F">
        <w:rPr>
          <w:rFonts w:ascii="Times New Roman" w:hAnsi="Times New Roman" w:cs="Times New Roman"/>
          <w:noProof/>
        </w:rPr>
        <w:t>The EU-OSHA maintains a network that comprises the main components of the national information networks, including the national employers’ and employees’ organisations and the national focal points.</w:t>
      </w:r>
    </w:p>
    <w:p w14:paraId="080DD13E" w14:textId="77777777" w:rsidR="000A7D9D" w:rsidRPr="0042760F" w:rsidRDefault="000A7D9D" w:rsidP="000A7D9D">
      <w:pPr>
        <w:pStyle w:val="ListParagraph"/>
        <w:numPr>
          <w:ilvl w:val="0"/>
          <w:numId w:val="26"/>
        </w:numPr>
        <w:spacing w:after="120"/>
        <w:contextualSpacing w:val="0"/>
        <w:jc w:val="both"/>
        <w:rPr>
          <w:noProof/>
          <w:sz w:val="22"/>
          <w:szCs w:val="22"/>
        </w:rPr>
      </w:pPr>
      <w:r w:rsidRPr="0042760F">
        <w:rPr>
          <w:noProof/>
          <w:sz w:val="22"/>
          <w:szCs w:val="22"/>
        </w:rPr>
        <w:t xml:space="preserve">Network of national </w:t>
      </w:r>
      <w:r w:rsidRPr="0042760F">
        <w:rPr>
          <w:b/>
          <w:bCs/>
          <w:noProof/>
          <w:sz w:val="22"/>
          <w:szCs w:val="22"/>
        </w:rPr>
        <w:t>Focal Points and Member State tripartite networks</w:t>
      </w:r>
      <w:r w:rsidRPr="0042760F">
        <w:rPr>
          <w:noProof/>
          <w:sz w:val="22"/>
          <w:szCs w:val="22"/>
        </w:rPr>
        <w:t>: in accordance with the founding regulation of EU-OSHA, the national authorities or a national institution designated by the Member State as a national focal point coordinates and transmits the information to be supplied at national level to EU-OSHA within the framework of an agreement between each focal point and EU-OSHA on the basis of the work programme adopted by EU-OSHA. The national authorities or national institution shall consult the national employers' and employees' organisations and shall take into account their point of view in accordance with national law or practice. The Member States regularly inform EU OSHA of the main components of their national safety and health at work systems and strategies.  This network provides input to EU-OSHA’s work and the mechanism to disseminate products and information to national stakeholders. In addition, the focal points are active in the planning and implementation of EU-OSHA campaigns as well as nominating national experts to the Agency’s groups and seminars.</w:t>
      </w:r>
    </w:p>
    <w:p w14:paraId="1520F2A5" w14:textId="77777777" w:rsidR="000A7D9D" w:rsidRPr="0042760F" w:rsidRDefault="000A7D9D" w:rsidP="000A7D9D">
      <w:pPr>
        <w:pStyle w:val="ListParagraph"/>
        <w:numPr>
          <w:ilvl w:val="0"/>
          <w:numId w:val="26"/>
        </w:numPr>
        <w:spacing w:after="120"/>
        <w:contextualSpacing w:val="0"/>
        <w:jc w:val="both"/>
        <w:rPr>
          <w:noProof/>
          <w:sz w:val="22"/>
          <w:szCs w:val="22"/>
        </w:rPr>
      </w:pPr>
      <w:r w:rsidRPr="0042760F">
        <w:rPr>
          <w:noProof/>
          <w:sz w:val="22"/>
          <w:szCs w:val="22"/>
        </w:rPr>
        <w:t xml:space="preserve">Close functional links with the </w:t>
      </w:r>
      <w:r w:rsidRPr="0042760F">
        <w:rPr>
          <w:b/>
          <w:bCs/>
          <w:noProof/>
          <w:sz w:val="22"/>
          <w:szCs w:val="22"/>
        </w:rPr>
        <w:t>Advisory Committee on Safety and Health at Work</w:t>
      </w:r>
      <w:r w:rsidRPr="0042760F">
        <w:rPr>
          <w:noProof/>
          <w:sz w:val="22"/>
          <w:szCs w:val="22"/>
        </w:rPr>
        <w:t xml:space="preserve"> and its working parties and the </w:t>
      </w:r>
      <w:r w:rsidRPr="0042760F">
        <w:rPr>
          <w:b/>
          <w:bCs/>
          <w:noProof/>
          <w:sz w:val="22"/>
          <w:szCs w:val="22"/>
        </w:rPr>
        <w:t>Senior Labour Inspectors Committee</w:t>
      </w:r>
      <w:r w:rsidRPr="0042760F">
        <w:rPr>
          <w:noProof/>
          <w:sz w:val="22"/>
          <w:szCs w:val="22"/>
        </w:rPr>
        <w:t xml:space="preserve"> and its working groups</w:t>
      </w:r>
    </w:p>
    <w:p w14:paraId="2C09637B" w14:textId="77777777" w:rsidR="000A7D9D" w:rsidRDefault="000A7D9D" w:rsidP="000A7D9D">
      <w:pPr>
        <w:spacing w:after="120"/>
        <w:jc w:val="both"/>
        <w:rPr>
          <w:noProof/>
        </w:rPr>
      </w:pPr>
    </w:p>
    <w:p w14:paraId="7F3A40B8" w14:textId="77777777" w:rsidR="000A7D9D" w:rsidRDefault="000A7D9D" w:rsidP="000A7D9D">
      <w:pPr>
        <w:rPr>
          <w:noProof/>
        </w:rPr>
      </w:pPr>
      <w:r>
        <w:rPr>
          <w:noProof/>
        </w:rPr>
        <w:br w:type="page"/>
      </w:r>
    </w:p>
    <w:p w14:paraId="78D1C747" w14:textId="77777777" w:rsidR="000A7D9D" w:rsidRDefault="000A7D9D" w:rsidP="000A7D9D">
      <w:pPr>
        <w:pStyle w:val="AnnexTitle"/>
        <w:rPr>
          <w:noProof/>
        </w:rPr>
      </w:pPr>
      <w:bookmarkStart w:id="27" w:name="_Toc150499913"/>
      <w:r>
        <w:rPr>
          <w:noProof/>
        </w:rPr>
        <w:t>Annex II: Summary of the Feedback Received through the Public Consultation on the Call for Evidence for the Initiative on (Re-)Attribution of Scientific and Technical Work on Chemicals to the EU Agencies</w:t>
      </w:r>
      <w:bookmarkEnd w:id="27"/>
    </w:p>
    <w:p w14:paraId="22D6F97D" w14:textId="77777777" w:rsidR="000A7D9D" w:rsidRPr="0076526E" w:rsidRDefault="000A7D9D" w:rsidP="000A7D9D">
      <w:pPr>
        <w:spacing w:after="120"/>
        <w:jc w:val="both"/>
        <w:rPr>
          <w:rFonts w:ascii="Times New Roman" w:hAnsi="Times New Roman" w:cs="Times New Roman"/>
          <w:noProof/>
          <w:lang w:eastAsia="en-GB"/>
        </w:rPr>
      </w:pPr>
    </w:p>
    <w:p w14:paraId="2C2DEC48" w14:textId="77777777" w:rsidR="000A7D9D" w:rsidRPr="0076526E" w:rsidRDefault="000A7D9D" w:rsidP="000A7D9D">
      <w:pPr>
        <w:spacing w:after="240"/>
        <w:jc w:val="both"/>
        <w:rPr>
          <w:rFonts w:ascii="Times New Roman" w:hAnsi="Times New Roman" w:cs="Times New Roman"/>
          <w:noProof/>
          <w:lang w:eastAsia="en-GB"/>
        </w:rPr>
      </w:pPr>
      <w:r w:rsidRPr="0076526E">
        <w:rPr>
          <w:rFonts w:ascii="Times New Roman" w:hAnsi="Times New Roman" w:cs="Times New Roman"/>
          <w:noProof/>
          <w:lang w:eastAsia="en-GB"/>
        </w:rPr>
        <w:t>The call for evidence was published on the Commission’s website ‘</w:t>
      </w:r>
      <w:hyperlink r:id="rId61" w:history="1">
        <w:r w:rsidRPr="0076526E">
          <w:rPr>
            <w:rStyle w:val="Hyperlink"/>
            <w:noProof/>
            <w:lang w:eastAsia="en-GB"/>
          </w:rPr>
          <w:t>Have your say</w:t>
        </w:r>
      </w:hyperlink>
      <w:r w:rsidRPr="0076526E">
        <w:rPr>
          <w:rFonts w:ascii="Times New Roman" w:hAnsi="Times New Roman" w:cs="Times New Roman"/>
          <w:noProof/>
          <w:lang w:eastAsia="en-GB"/>
        </w:rPr>
        <w:t xml:space="preserve">’ on 15 March 2022 and the feedback period lasted 30 days, until 12 April 2022. </w:t>
      </w:r>
    </w:p>
    <w:p w14:paraId="78CE3EA6" w14:textId="77777777" w:rsidR="000A7D9D" w:rsidRPr="00F5668A" w:rsidRDefault="000A7D9D" w:rsidP="000A7D9D">
      <w:pPr>
        <w:pStyle w:val="Heading1"/>
        <w:keepLines w:val="0"/>
        <w:widowControl/>
        <w:numPr>
          <w:ilvl w:val="0"/>
          <w:numId w:val="143"/>
        </w:numPr>
        <w:snapToGrid/>
        <w:spacing w:before="240"/>
        <w:jc w:val="both"/>
        <w:rPr>
          <w:rFonts w:ascii="Times New Roman" w:hAnsi="Times New Roman"/>
          <w:smallCaps/>
          <w:noProof/>
          <w:color w:val="auto"/>
          <w:sz w:val="24"/>
          <w:szCs w:val="20"/>
          <w:lang w:eastAsia="en-US"/>
        </w:rPr>
      </w:pPr>
      <w:bookmarkStart w:id="28" w:name="_Toc150499914"/>
      <w:r w:rsidRPr="00F5668A">
        <w:rPr>
          <w:rFonts w:ascii="Times New Roman" w:hAnsi="Times New Roman"/>
          <w:smallCaps/>
          <w:noProof/>
          <w:color w:val="auto"/>
          <w:sz w:val="24"/>
          <w:szCs w:val="20"/>
          <w:lang w:eastAsia="en-US"/>
        </w:rPr>
        <w:t>Respondents</w:t>
      </w:r>
      <w:bookmarkEnd w:id="28"/>
    </w:p>
    <w:p w14:paraId="1B4664DC" w14:textId="77777777" w:rsidR="000A7D9D" w:rsidRPr="0076526E" w:rsidRDefault="000A7D9D" w:rsidP="000A7D9D">
      <w:pPr>
        <w:spacing w:after="0"/>
        <w:jc w:val="both"/>
        <w:rPr>
          <w:rFonts w:ascii="Times New Roman" w:hAnsi="Times New Roman" w:cs="Times New Roman"/>
          <w:noProof/>
          <w:lang w:eastAsia="en-GB"/>
        </w:rPr>
      </w:pPr>
      <w:r w:rsidRPr="0076526E">
        <w:rPr>
          <w:rFonts w:ascii="Times New Roman" w:hAnsi="Times New Roman" w:cs="Times New Roman"/>
          <w:noProof/>
          <w:lang w:eastAsia="en-GB"/>
        </w:rPr>
        <w:t>In total, 65 submissions were received (61 unique submissions and 4 replicative submissions by the same respondent), majority being from business associations and companies (in total around 70% of submissions), followed by submissions from EU citizens (11%), non-governmental organisations (6%), public authorities (6%), others (5 %) and academic/research institutions (1.5%).</w:t>
      </w:r>
    </w:p>
    <w:p w14:paraId="76981DD1" w14:textId="77777777" w:rsidR="000A7D9D" w:rsidRDefault="000A7D9D" w:rsidP="000A7D9D">
      <w:pPr>
        <w:spacing w:after="0"/>
        <w:rPr>
          <w:noProof/>
          <w:lang w:eastAsia="en-GB"/>
        </w:rPr>
      </w:pPr>
      <w:r>
        <w:rPr>
          <w:noProof/>
          <w:lang w:eastAsia="en-GB"/>
        </w:rPr>
        <w:t xml:space="preserve"> </w:t>
      </w:r>
    </w:p>
    <w:p w14:paraId="44BCC938" w14:textId="77777777" w:rsidR="000A7D9D" w:rsidRDefault="000A7D9D" w:rsidP="000A7D9D">
      <w:pPr>
        <w:spacing w:after="0"/>
        <w:jc w:val="center"/>
        <w:rPr>
          <w:noProof/>
          <w:lang w:eastAsia="en-GB"/>
        </w:rPr>
      </w:pPr>
      <w:r>
        <w:rPr>
          <w:noProof/>
          <w:lang w:eastAsia="en-GB"/>
        </w:rPr>
        <w:t>Proportions of number of feedbacks received by category of respondents</w:t>
      </w:r>
    </w:p>
    <w:p w14:paraId="19805192" w14:textId="77777777" w:rsidR="000A7D9D" w:rsidRDefault="000A7D9D" w:rsidP="000A7D9D">
      <w:pPr>
        <w:spacing w:before="120" w:after="120"/>
        <w:jc w:val="center"/>
        <w:rPr>
          <w:b/>
          <w:noProof/>
          <w:szCs w:val="24"/>
        </w:rPr>
      </w:pPr>
      <w:r>
        <w:rPr>
          <w:noProof/>
          <w:lang w:eastAsia="en-GB"/>
        </w:rPr>
        <w:drawing>
          <wp:inline distT="0" distB="0" distL="0" distR="0" wp14:anchorId="4E620DFF" wp14:editId="22BFDCA9">
            <wp:extent cx="5030222" cy="2217420"/>
            <wp:effectExtent l="19050" t="19050" r="1841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2080" t="23301" r="36075" b="28087"/>
                    <a:stretch/>
                  </pic:blipFill>
                  <pic:spPr bwMode="auto">
                    <a:xfrm>
                      <a:off x="0" y="0"/>
                      <a:ext cx="5041945" cy="22225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AC61AEA" w14:textId="77777777" w:rsidR="000A7D9D" w:rsidRPr="0076526E" w:rsidRDefault="000A7D9D" w:rsidP="000A7D9D">
      <w:pPr>
        <w:spacing w:before="120" w:after="240"/>
        <w:jc w:val="both"/>
        <w:rPr>
          <w:rFonts w:ascii="Times New Roman" w:hAnsi="Times New Roman" w:cs="Times New Roman"/>
          <w:noProof/>
          <w:szCs w:val="24"/>
        </w:rPr>
      </w:pPr>
      <w:r w:rsidRPr="0076526E">
        <w:rPr>
          <w:rFonts w:ascii="Times New Roman" w:hAnsi="Times New Roman" w:cs="Times New Roman"/>
          <w:noProof/>
          <w:szCs w:val="24"/>
        </w:rPr>
        <w:t xml:space="preserve">As regards geographical variation, the majority of feedback was received from respondents from Belgium (49%), followed by Germany (17%), Poland (8%), France (6%), Spain and Denmark (3% each) and UK, Sweden, Slovakia, Portugal, Norway, Japan, Italy, Finland and Austria (2% each). </w:t>
      </w:r>
    </w:p>
    <w:p w14:paraId="4D036AC8" w14:textId="77777777" w:rsidR="000A7D9D" w:rsidRPr="00F5668A" w:rsidRDefault="000A7D9D" w:rsidP="000A7D9D">
      <w:pPr>
        <w:pStyle w:val="Heading1"/>
        <w:keepLines w:val="0"/>
        <w:widowControl/>
        <w:numPr>
          <w:ilvl w:val="0"/>
          <w:numId w:val="143"/>
        </w:numPr>
        <w:tabs>
          <w:tab w:val="num" w:pos="480"/>
        </w:tabs>
        <w:snapToGrid/>
        <w:spacing w:before="240"/>
        <w:ind w:left="480" w:hanging="480"/>
        <w:jc w:val="both"/>
        <w:rPr>
          <w:rFonts w:ascii="Times New Roman" w:hAnsi="Times New Roman"/>
          <w:smallCaps/>
          <w:noProof/>
          <w:color w:val="auto"/>
          <w:sz w:val="24"/>
          <w:szCs w:val="20"/>
          <w:lang w:eastAsia="en-US"/>
        </w:rPr>
      </w:pPr>
      <w:bookmarkStart w:id="29" w:name="_Toc150499915"/>
      <w:r w:rsidRPr="00F5668A">
        <w:rPr>
          <w:rFonts w:ascii="Times New Roman" w:hAnsi="Times New Roman"/>
          <w:smallCaps/>
          <w:noProof/>
          <w:color w:val="auto"/>
          <w:sz w:val="24"/>
          <w:szCs w:val="20"/>
          <w:lang w:eastAsia="en-US"/>
        </w:rPr>
        <w:t>Type of responses</w:t>
      </w:r>
      <w:bookmarkEnd w:id="29"/>
    </w:p>
    <w:p w14:paraId="17246A87" w14:textId="77777777" w:rsidR="000A7D9D" w:rsidRPr="0076526E" w:rsidRDefault="000A7D9D" w:rsidP="000A7D9D">
      <w:pPr>
        <w:spacing w:before="120" w:after="120"/>
        <w:jc w:val="both"/>
        <w:rPr>
          <w:rFonts w:ascii="Times New Roman" w:hAnsi="Times New Roman" w:cs="Times New Roman"/>
          <w:noProof/>
          <w:szCs w:val="24"/>
        </w:rPr>
      </w:pPr>
      <w:r w:rsidRPr="0076526E">
        <w:rPr>
          <w:rFonts w:ascii="Times New Roman" w:hAnsi="Times New Roman" w:cs="Times New Roman"/>
          <w:noProof/>
          <w:szCs w:val="24"/>
        </w:rPr>
        <w:t xml:space="preserve">Large majority of responses were relevant to the topic of the call for evidence. Only 3 responses were assessed as not relevant to the 1S1A. They provided specific comments on the ongoing revisions of some pieces of legislation but without relevance to the 1S1A or just a general critisism of the EU legal framework. </w:t>
      </w:r>
    </w:p>
    <w:p w14:paraId="6B1777C9" w14:textId="77777777" w:rsidR="000A7D9D" w:rsidRPr="0076526E" w:rsidRDefault="000A7D9D" w:rsidP="000A7D9D">
      <w:pPr>
        <w:spacing w:before="120" w:after="240"/>
        <w:jc w:val="both"/>
        <w:rPr>
          <w:rFonts w:ascii="Times New Roman" w:hAnsi="Times New Roman" w:cs="Times New Roman"/>
          <w:noProof/>
          <w:szCs w:val="24"/>
        </w:rPr>
      </w:pPr>
      <w:r w:rsidRPr="0076526E">
        <w:rPr>
          <w:rFonts w:ascii="Times New Roman" w:hAnsi="Times New Roman" w:cs="Times New Roman"/>
          <w:noProof/>
          <w:szCs w:val="24"/>
        </w:rPr>
        <w:t xml:space="preserve">As this has been the first public consultation on an initiative under the 1S1A, a lot of feedback received was not specific about the consulted initiative on the reattribution of task to the EU Agencies but about the general scope of the 1S1A approach as well as other initiatives announced under the 1S1A. All feedback received is however useful for the upcoming discussions, therefore, the text below summarises all relevant input received. </w:t>
      </w:r>
    </w:p>
    <w:p w14:paraId="7E5B4371" w14:textId="77777777" w:rsidR="000A7D9D" w:rsidRPr="00F5668A" w:rsidRDefault="000A7D9D" w:rsidP="000A7D9D">
      <w:pPr>
        <w:pStyle w:val="Heading1"/>
        <w:keepLines w:val="0"/>
        <w:widowControl/>
        <w:numPr>
          <w:ilvl w:val="0"/>
          <w:numId w:val="143"/>
        </w:numPr>
        <w:tabs>
          <w:tab w:val="num" w:pos="480"/>
        </w:tabs>
        <w:snapToGrid/>
        <w:spacing w:before="240"/>
        <w:ind w:left="480" w:hanging="480"/>
        <w:jc w:val="both"/>
        <w:rPr>
          <w:rFonts w:ascii="Times New Roman" w:hAnsi="Times New Roman"/>
          <w:smallCaps/>
          <w:noProof/>
          <w:color w:val="auto"/>
          <w:sz w:val="24"/>
          <w:szCs w:val="20"/>
          <w:lang w:eastAsia="en-US"/>
        </w:rPr>
      </w:pPr>
      <w:bookmarkStart w:id="30" w:name="_Toc150499916"/>
      <w:r w:rsidRPr="00F5668A">
        <w:rPr>
          <w:rFonts w:ascii="Times New Roman" w:hAnsi="Times New Roman"/>
          <w:smallCaps/>
          <w:noProof/>
          <w:color w:val="auto"/>
          <w:sz w:val="24"/>
          <w:szCs w:val="20"/>
          <w:lang w:eastAsia="en-US"/>
        </w:rPr>
        <w:t>Support to the initiative on 1S1A</w:t>
      </w:r>
      <w:bookmarkEnd w:id="30"/>
    </w:p>
    <w:p w14:paraId="0E3735C6" w14:textId="77777777" w:rsidR="000A7D9D" w:rsidRPr="0076526E" w:rsidRDefault="000A7D9D" w:rsidP="000A7D9D">
      <w:pPr>
        <w:jc w:val="both"/>
        <w:rPr>
          <w:rFonts w:ascii="Times New Roman" w:hAnsi="Times New Roman" w:cs="Times New Roman"/>
          <w:noProof/>
        </w:rPr>
      </w:pPr>
      <w:r w:rsidRPr="0076526E">
        <w:rPr>
          <w:rFonts w:ascii="Times New Roman" w:hAnsi="Times New Roman" w:cs="Times New Roman"/>
          <w:noProof/>
        </w:rPr>
        <w:t xml:space="preserve">Generally, there is a large support of the initiative among the respondents, whether of the 1S1A approach as a whole or of the specific initiative on the reattribution of tasks. 67% of respondents expressed their explicit support, 23% did not expressed explicitely their opinion but provided relevant advices on how to develop the 1S1A approach and about 10% expressed doubts about usefulness of the initiative or opposition to the initiative. </w:t>
      </w:r>
    </w:p>
    <w:p w14:paraId="771699CF" w14:textId="77777777" w:rsidR="000A7D9D" w:rsidRPr="0076526E" w:rsidRDefault="000A7D9D" w:rsidP="000A7D9D">
      <w:pPr>
        <w:spacing w:after="120"/>
        <w:jc w:val="both"/>
        <w:rPr>
          <w:rFonts w:ascii="Times New Roman" w:hAnsi="Times New Roman" w:cs="Times New Roman"/>
          <w:noProof/>
        </w:rPr>
      </w:pPr>
      <w:r w:rsidRPr="0076526E">
        <w:rPr>
          <w:rFonts w:ascii="Times New Roman" w:hAnsi="Times New Roman" w:cs="Times New Roman"/>
          <w:noProof/>
        </w:rPr>
        <w:t xml:space="preserve">The well-implemented 1S1A initiative is seen by respondents as beneficial for both industry and regulators. The respondents supporting the initiative identified the following benefits of the initiative: </w:t>
      </w:r>
    </w:p>
    <w:p w14:paraId="391792D6" w14:textId="77777777" w:rsidR="000A7D9D" w:rsidRPr="0076526E" w:rsidRDefault="000A7D9D" w:rsidP="000A7D9D">
      <w:pPr>
        <w:pStyle w:val="ListParagraph"/>
        <w:numPr>
          <w:ilvl w:val="0"/>
          <w:numId w:val="41"/>
        </w:numPr>
        <w:spacing w:after="120"/>
        <w:ind w:left="284" w:hanging="284"/>
        <w:contextualSpacing w:val="0"/>
        <w:jc w:val="both"/>
        <w:rPr>
          <w:noProof/>
          <w:sz w:val="22"/>
          <w:szCs w:val="22"/>
        </w:rPr>
      </w:pPr>
      <w:r w:rsidRPr="0076526E">
        <w:rPr>
          <w:noProof/>
          <w:sz w:val="22"/>
          <w:szCs w:val="22"/>
        </w:rPr>
        <w:t>More uniform risk assessment across relevant chemical legislation; enhanced consistency of assessments and their outcomes, carried out on the same dataset;</w:t>
      </w:r>
    </w:p>
    <w:p w14:paraId="5868E04D" w14:textId="77777777" w:rsidR="000A7D9D" w:rsidRPr="0076526E" w:rsidRDefault="000A7D9D" w:rsidP="000A7D9D">
      <w:pPr>
        <w:pStyle w:val="ListParagraph"/>
        <w:numPr>
          <w:ilvl w:val="0"/>
          <w:numId w:val="41"/>
        </w:numPr>
        <w:spacing w:after="120"/>
        <w:ind w:left="284" w:hanging="284"/>
        <w:contextualSpacing w:val="0"/>
        <w:jc w:val="both"/>
        <w:rPr>
          <w:noProof/>
          <w:sz w:val="22"/>
          <w:szCs w:val="22"/>
        </w:rPr>
      </w:pPr>
      <w:r w:rsidRPr="0076526E">
        <w:rPr>
          <w:noProof/>
          <w:sz w:val="22"/>
          <w:szCs w:val="22"/>
        </w:rPr>
        <w:t>Improved robustness of the assessments;</w:t>
      </w:r>
    </w:p>
    <w:p w14:paraId="4A71CB87" w14:textId="77777777" w:rsidR="000A7D9D" w:rsidRPr="0076526E" w:rsidRDefault="000A7D9D" w:rsidP="000A7D9D">
      <w:pPr>
        <w:pStyle w:val="ListParagraph"/>
        <w:numPr>
          <w:ilvl w:val="0"/>
          <w:numId w:val="41"/>
        </w:numPr>
        <w:spacing w:after="120"/>
        <w:ind w:left="284" w:hanging="284"/>
        <w:contextualSpacing w:val="0"/>
        <w:jc w:val="both"/>
        <w:rPr>
          <w:noProof/>
          <w:sz w:val="22"/>
          <w:szCs w:val="22"/>
        </w:rPr>
      </w:pPr>
      <w:r w:rsidRPr="0076526E">
        <w:rPr>
          <w:noProof/>
          <w:sz w:val="22"/>
          <w:szCs w:val="22"/>
        </w:rPr>
        <w:t>Involvement of the right expertise at the right place at the right time;</w:t>
      </w:r>
    </w:p>
    <w:p w14:paraId="0A99E6EB" w14:textId="77777777" w:rsidR="000A7D9D" w:rsidRPr="0076526E" w:rsidRDefault="000A7D9D" w:rsidP="000A7D9D">
      <w:pPr>
        <w:pStyle w:val="ListParagraph"/>
        <w:numPr>
          <w:ilvl w:val="0"/>
          <w:numId w:val="41"/>
        </w:numPr>
        <w:spacing w:after="120"/>
        <w:ind w:left="284" w:hanging="284"/>
        <w:contextualSpacing w:val="0"/>
        <w:jc w:val="both"/>
        <w:rPr>
          <w:noProof/>
          <w:sz w:val="22"/>
          <w:szCs w:val="22"/>
        </w:rPr>
      </w:pPr>
      <w:r w:rsidRPr="0076526E">
        <w:rPr>
          <w:noProof/>
          <w:sz w:val="22"/>
          <w:szCs w:val="22"/>
        </w:rPr>
        <w:t>Provision of tailored assessments under specific legislations/uses if relevant;</w:t>
      </w:r>
    </w:p>
    <w:p w14:paraId="4D3C75ED" w14:textId="77777777" w:rsidR="000A7D9D" w:rsidRPr="0076526E" w:rsidRDefault="000A7D9D" w:rsidP="000A7D9D">
      <w:pPr>
        <w:pStyle w:val="ListParagraph"/>
        <w:numPr>
          <w:ilvl w:val="0"/>
          <w:numId w:val="41"/>
        </w:numPr>
        <w:spacing w:after="120"/>
        <w:ind w:left="284" w:hanging="284"/>
        <w:contextualSpacing w:val="0"/>
        <w:jc w:val="both"/>
        <w:rPr>
          <w:noProof/>
          <w:sz w:val="22"/>
          <w:szCs w:val="22"/>
        </w:rPr>
      </w:pPr>
      <w:r w:rsidRPr="0076526E">
        <w:rPr>
          <w:noProof/>
          <w:sz w:val="22"/>
          <w:szCs w:val="22"/>
        </w:rPr>
        <w:t xml:space="preserve">Optimal use of resources; </w:t>
      </w:r>
    </w:p>
    <w:p w14:paraId="2384D38D" w14:textId="77777777" w:rsidR="000A7D9D" w:rsidRPr="0076526E" w:rsidRDefault="000A7D9D" w:rsidP="000A7D9D">
      <w:pPr>
        <w:pStyle w:val="ListParagraph"/>
        <w:numPr>
          <w:ilvl w:val="0"/>
          <w:numId w:val="41"/>
        </w:numPr>
        <w:spacing w:after="120"/>
        <w:ind w:left="284" w:hanging="284"/>
        <w:contextualSpacing w:val="0"/>
        <w:jc w:val="both"/>
        <w:rPr>
          <w:noProof/>
          <w:sz w:val="22"/>
          <w:szCs w:val="22"/>
        </w:rPr>
      </w:pPr>
      <w:r w:rsidRPr="0076526E">
        <w:rPr>
          <w:noProof/>
          <w:sz w:val="22"/>
          <w:szCs w:val="22"/>
        </w:rPr>
        <w:t>Increased efficiency and predictability;</w:t>
      </w:r>
    </w:p>
    <w:p w14:paraId="39B48285" w14:textId="77777777" w:rsidR="000A7D9D" w:rsidRPr="0076526E" w:rsidRDefault="000A7D9D" w:rsidP="000A7D9D">
      <w:pPr>
        <w:pStyle w:val="ListParagraph"/>
        <w:numPr>
          <w:ilvl w:val="0"/>
          <w:numId w:val="41"/>
        </w:numPr>
        <w:spacing w:after="120"/>
        <w:ind w:left="284" w:hanging="284"/>
        <w:contextualSpacing w:val="0"/>
        <w:jc w:val="both"/>
        <w:rPr>
          <w:noProof/>
          <w:sz w:val="22"/>
          <w:szCs w:val="22"/>
        </w:rPr>
      </w:pPr>
      <w:r w:rsidRPr="0076526E">
        <w:rPr>
          <w:noProof/>
          <w:sz w:val="22"/>
          <w:szCs w:val="22"/>
        </w:rPr>
        <w:t>Making use of synergies (phys/chem/tox data available at different EU agencies);</w:t>
      </w:r>
    </w:p>
    <w:p w14:paraId="5CFFE7EE" w14:textId="77777777" w:rsidR="000A7D9D" w:rsidRPr="0076526E" w:rsidRDefault="000A7D9D" w:rsidP="000A7D9D">
      <w:pPr>
        <w:pStyle w:val="ListParagraph"/>
        <w:numPr>
          <w:ilvl w:val="0"/>
          <w:numId w:val="41"/>
        </w:numPr>
        <w:spacing w:after="120"/>
        <w:ind w:left="284" w:hanging="284"/>
        <w:contextualSpacing w:val="0"/>
        <w:jc w:val="both"/>
        <w:rPr>
          <w:noProof/>
          <w:sz w:val="22"/>
          <w:szCs w:val="22"/>
        </w:rPr>
      </w:pPr>
      <w:r w:rsidRPr="0076526E">
        <w:rPr>
          <w:noProof/>
          <w:sz w:val="22"/>
          <w:szCs w:val="22"/>
        </w:rPr>
        <w:t>Elimination of duplication of animal testing in the EU and a driver for both improved sustainability and better protection of animals;</w:t>
      </w:r>
    </w:p>
    <w:p w14:paraId="60717777" w14:textId="77777777" w:rsidR="000A7D9D" w:rsidRPr="0076526E" w:rsidRDefault="000A7D9D" w:rsidP="000A7D9D">
      <w:pPr>
        <w:pStyle w:val="ListParagraph"/>
        <w:numPr>
          <w:ilvl w:val="0"/>
          <w:numId w:val="41"/>
        </w:numPr>
        <w:spacing w:after="120"/>
        <w:ind w:left="284" w:hanging="284"/>
        <w:contextualSpacing w:val="0"/>
        <w:jc w:val="both"/>
        <w:rPr>
          <w:noProof/>
          <w:sz w:val="22"/>
          <w:szCs w:val="22"/>
        </w:rPr>
      </w:pPr>
      <w:r w:rsidRPr="0076526E">
        <w:rPr>
          <w:noProof/>
          <w:color w:val="333333"/>
          <w:sz w:val="22"/>
          <w:szCs w:val="22"/>
          <w:shd w:val="clear" w:color="auto" w:fill="FFFFFF"/>
        </w:rPr>
        <w:t xml:space="preserve">Strengthening trust between society and industry, whilst improving efficiency, and sound science-based regulatory and political decision-making; achieving a robust and consistent approach to chemical regulation; </w:t>
      </w:r>
    </w:p>
    <w:p w14:paraId="7C01008B" w14:textId="77777777" w:rsidR="000A7D9D" w:rsidRPr="0076526E" w:rsidRDefault="000A7D9D" w:rsidP="000A7D9D">
      <w:pPr>
        <w:spacing w:after="120"/>
        <w:jc w:val="both"/>
        <w:rPr>
          <w:rFonts w:ascii="Times New Roman" w:hAnsi="Times New Roman" w:cs="Times New Roman"/>
          <w:noProof/>
        </w:rPr>
      </w:pPr>
      <w:r w:rsidRPr="0076526E">
        <w:rPr>
          <w:rFonts w:ascii="Times New Roman" w:hAnsi="Times New Roman" w:cs="Times New Roman"/>
          <w:noProof/>
        </w:rPr>
        <w:t>Some respondent identified concrete past and on-going discrepancies and ineficiencies as regards the safety assessment of chemicals that they hope to be avoided by the implementation of the 1S1A initiative. These are:</w:t>
      </w:r>
    </w:p>
    <w:p w14:paraId="4D7EDF6A" w14:textId="77777777" w:rsidR="000A7D9D" w:rsidRPr="0076526E" w:rsidRDefault="000A7D9D" w:rsidP="000A7D9D">
      <w:pPr>
        <w:pStyle w:val="ListParagraph"/>
        <w:numPr>
          <w:ilvl w:val="0"/>
          <w:numId w:val="42"/>
        </w:numPr>
        <w:spacing w:after="120"/>
        <w:ind w:left="284" w:hanging="284"/>
        <w:contextualSpacing w:val="0"/>
        <w:jc w:val="both"/>
        <w:rPr>
          <w:noProof/>
          <w:sz w:val="22"/>
          <w:szCs w:val="22"/>
        </w:rPr>
      </w:pPr>
      <w:r w:rsidRPr="0076526E">
        <w:rPr>
          <w:noProof/>
          <w:sz w:val="22"/>
          <w:szCs w:val="22"/>
        </w:rPr>
        <w:t>Past discrepancy in assessments of phthalates and bisphenols between ECHA and EFSA and between REACH and Food Contact Materials;</w:t>
      </w:r>
    </w:p>
    <w:p w14:paraId="174DB65C" w14:textId="77777777" w:rsidR="000A7D9D" w:rsidRPr="0076526E" w:rsidRDefault="000A7D9D" w:rsidP="000A7D9D">
      <w:pPr>
        <w:pStyle w:val="ListParagraph"/>
        <w:numPr>
          <w:ilvl w:val="0"/>
          <w:numId w:val="42"/>
        </w:numPr>
        <w:spacing w:after="120"/>
        <w:ind w:left="284" w:hanging="284"/>
        <w:contextualSpacing w:val="0"/>
        <w:jc w:val="both"/>
        <w:rPr>
          <w:noProof/>
          <w:sz w:val="22"/>
          <w:szCs w:val="22"/>
        </w:rPr>
      </w:pPr>
      <w:r w:rsidRPr="0076526E">
        <w:rPr>
          <w:noProof/>
          <w:sz w:val="22"/>
          <w:szCs w:val="22"/>
        </w:rPr>
        <w:t>On-going discrepancy in risk management measures on silicon dioxide under the biocidal product regulation (where there is a low limit on its presence in biocidal products) and REACH (where this substance is exempted from information requirements and can be sold in products at much higher concentrations than in the biocidal products);</w:t>
      </w:r>
    </w:p>
    <w:p w14:paraId="1B599A87" w14:textId="77777777" w:rsidR="000A7D9D" w:rsidRPr="0076526E" w:rsidRDefault="000A7D9D" w:rsidP="000A7D9D">
      <w:pPr>
        <w:pStyle w:val="ListParagraph"/>
        <w:numPr>
          <w:ilvl w:val="0"/>
          <w:numId w:val="42"/>
        </w:numPr>
        <w:spacing w:after="120"/>
        <w:ind w:left="284" w:hanging="284"/>
        <w:contextualSpacing w:val="0"/>
        <w:jc w:val="both"/>
        <w:rPr>
          <w:noProof/>
          <w:sz w:val="22"/>
          <w:szCs w:val="22"/>
        </w:rPr>
      </w:pPr>
      <w:r w:rsidRPr="0076526E">
        <w:rPr>
          <w:noProof/>
          <w:sz w:val="22"/>
          <w:szCs w:val="22"/>
        </w:rPr>
        <w:t>Currently no link exists between the REACH and Food Contact Material legal framework as regards the re-use of data, although the same substances are being regulated under both frameworks. On the chemical side, over ten years of REACH implementation led to the generation of a very comprehensive (eco)toxicological dataset on a wide number of substances, which is available to ECHA. It would be very efficient and avoid unnecessary test and the repetition of studies, especially in vivo (animal studies), if this data could be used for the risk assessment in the FCM framework by EFSA. Although the robust study summaries provide some publicly available data, like toxicological end points, this is often not accepted by authorities as the original studies behind the end points are requested, which cannot be accessed by the authorities. Therefore, the link needs to be established between these two legislation and the legal framework around the usage of such data should be modified and broadened to facilitate the reuse of already available data and to allow other Agencies to access the REACH data.</w:t>
      </w:r>
    </w:p>
    <w:p w14:paraId="5789DBDF" w14:textId="77777777" w:rsidR="000A7D9D" w:rsidRPr="0076526E" w:rsidRDefault="000A7D9D" w:rsidP="000A7D9D">
      <w:pPr>
        <w:pStyle w:val="ListParagraph"/>
        <w:numPr>
          <w:ilvl w:val="0"/>
          <w:numId w:val="42"/>
        </w:numPr>
        <w:spacing w:after="120"/>
        <w:ind w:left="284" w:hanging="284"/>
        <w:contextualSpacing w:val="0"/>
        <w:jc w:val="both"/>
        <w:rPr>
          <w:noProof/>
          <w:sz w:val="22"/>
          <w:szCs w:val="22"/>
        </w:rPr>
      </w:pPr>
      <w:r w:rsidRPr="0076526E">
        <w:rPr>
          <w:noProof/>
          <w:sz w:val="22"/>
          <w:szCs w:val="22"/>
        </w:rPr>
        <w:t>There is a need for an improved vertical coordination and collaboration between the expert panels of EFSA evaluating the same substance. Challenges have previously been seen for e.g. fluoride, evaluated by the EFSA nutrition panel but where the contaminants panel is also relevant. For chemical substances like fluoride it is important that an evaluation covers both aspects of nutrition and toxicology. For some contaminants we have also seen that JECFA and EFSA have evaluated the same substance with different output/result. It would improve the use of resources if it were not necessary to have two different bodies evaluating the same substance. However, as Codex Alimentarius refer to JECFA evaluations and EU Commission to EFSA evaluations it will be challenging to accept/adopt the evaluation made by the other Committee.</w:t>
      </w:r>
    </w:p>
    <w:p w14:paraId="5EC4E801" w14:textId="77777777" w:rsidR="000A7D9D" w:rsidRPr="0076526E" w:rsidRDefault="000A7D9D" w:rsidP="000A7D9D">
      <w:pPr>
        <w:pStyle w:val="ListParagraph"/>
        <w:numPr>
          <w:ilvl w:val="0"/>
          <w:numId w:val="42"/>
        </w:numPr>
        <w:spacing w:after="120"/>
        <w:ind w:left="284" w:hanging="284"/>
        <w:contextualSpacing w:val="0"/>
        <w:jc w:val="both"/>
        <w:rPr>
          <w:noProof/>
          <w:sz w:val="22"/>
          <w:szCs w:val="22"/>
        </w:rPr>
      </w:pPr>
      <w:r w:rsidRPr="0076526E">
        <w:rPr>
          <w:noProof/>
          <w:color w:val="333333"/>
          <w:sz w:val="22"/>
          <w:szCs w:val="22"/>
          <w:shd w:val="clear" w:color="auto" w:fill="FFFFFF"/>
        </w:rPr>
        <w:t>Currently, there is no central searchable database on environmental impacts of pharmaceuticals available. Therefore, it is proposed to integrate the validated environmental information on pharmaceuticals held by EMA in data platforms already used on a European level. The central database would also be a valuable tool for endpoints of monograph systems for human and veterinary pharmaceuticals.</w:t>
      </w:r>
    </w:p>
    <w:p w14:paraId="43056114" w14:textId="77777777" w:rsidR="000A7D9D" w:rsidRPr="0076526E" w:rsidRDefault="000A7D9D" w:rsidP="000A7D9D">
      <w:pPr>
        <w:spacing w:after="120"/>
        <w:jc w:val="both"/>
        <w:rPr>
          <w:rFonts w:ascii="Times New Roman" w:hAnsi="Times New Roman" w:cs="Times New Roman"/>
          <w:noProof/>
        </w:rPr>
      </w:pPr>
      <w:r w:rsidRPr="0076526E">
        <w:rPr>
          <w:rFonts w:ascii="Times New Roman" w:hAnsi="Times New Roman" w:cs="Times New Roman"/>
          <w:noProof/>
        </w:rPr>
        <w:t xml:space="preserve">The respondents opposing or doubting the initiative provided the following arguments: </w:t>
      </w:r>
    </w:p>
    <w:p w14:paraId="406A19A0" w14:textId="77777777" w:rsidR="000A7D9D" w:rsidRPr="0076526E" w:rsidRDefault="000A7D9D" w:rsidP="000A7D9D">
      <w:pPr>
        <w:pStyle w:val="ListParagraph"/>
        <w:numPr>
          <w:ilvl w:val="0"/>
          <w:numId w:val="43"/>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Did not observe problems with ‘duplication’ or ‘inconsistent outcomes’, although the substances they produce/use fall within various regulatory domains;</w:t>
      </w:r>
    </w:p>
    <w:p w14:paraId="4165F567" w14:textId="77777777" w:rsidR="000A7D9D" w:rsidRPr="0076526E" w:rsidRDefault="000A7D9D" w:rsidP="000A7D9D">
      <w:pPr>
        <w:pStyle w:val="ListParagraph"/>
        <w:numPr>
          <w:ilvl w:val="0"/>
          <w:numId w:val="43"/>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The initiative is likely to create more complexity, as well as a transition period which will considerably affect substance evaluation and authorization processes and timelines, as well as the burden placed on applicants. The latter will come on top of the increased complexity created by the recent implementation of the Transparency Regulation and its requirements related to confidentiality justification and the new IT tools to be used for notification and submission of dossiers to EFSA and the Commission.</w:t>
      </w:r>
    </w:p>
    <w:p w14:paraId="7F8447EE" w14:textId="77777777" w:rsidR="000A7D9D" w:rsidRPr="0076526E" w:rsidRDefault="000A7D9D" w:rsidP="000A7D9D">
      <w:pPr>
        <w:pStyle w:val="ListParagraph"/>
        <w:numPr>
          <w:ilvl w:val="0"/>
          <w:numId w:val="43"/>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 xml:space="preserve">Several product specific regulations require special product qualities like e.g. a high purity and consider very specific exposure possibilities. </w:t>
      </w:r>
      <w:r w:rsidRPr="0076526E">
        <w:rPr>
          <w:noProof/>
          <w:sz w:val="22"/>
          <w:szCs w:val="22"/>
        </w:rPr>
        <w:t>The general goal of true “</w:t>
      </w:r>
      <w:r w:rsidRPr="0076526E">
        <w:rPr>
          <w:noProof/>
          <w:sz w:val="22"/>
          <w:szCs w:val="22"/>
          <w:u w:val="single"/>
        </w:rPr>
        <w:t>one</w:t>
      </w:r>
      <w:r w:rsidRPr="0076526E">
        <w:rPr>
          <w:noProof/>
          <w:sz w:val="22"/>
          <w:szCs w:val="22"/>
        </w:rPr>
        <w:t xml:space="preserve"> substance, </w:t>
      </w:r>
      <w:r w:rsidRPr="0076526E">
        <w:rPr>
          <w:noProof/>
          <w:sz w:val="22"/>
          <w:szCs w:val="22"/>
          <w:u w:val="single"/>
        </w:rPr>
        <w:t>one</w:t>
      </w:r>
      <w:r w:rsidRPr="0076526E">
        <w:rPr>
          <w:noProof/>
          <w:sz w:val="22"/>
          <w:szCs w:val="22"/>
        </w:rPr>
        <w:t xml:space="preserve"> assessment” is highly difficult to implement, taking into account all possible applications and the various grades of a substance on the market. The assessment of a substance requires a high level of expertise and detailed considerations.</w:t>
      </w:r>
    </w:p>
    <w:p w14:paraId="10C87BA9" w14:textId="77777777" w:rsidR="000A7D9D" w:rsidRPr="0076526E" w:rsidRDefault="000A7D9D" w:rsidP="000A7D9D">
      <w:pPr>
        <w:pStyle w:val="ListParagraph"/>
        <w:numPr>
          <w:ilvl w:val="0"/>
          <w:numId w:val="43"/>
        </w:numPr>
        <w:spacing w:after="120"/>
        <w:ind w:left="284" w:hanging="284"/>
        <w:contextualSpacing w:val="0"/>
        <w:jc w:val="both"/>
        <w:rPr>
          <w:noProof/>
          <w:color w:val="333333"/>
          <w:sz w:val="22"/>
          <w:szCs w:val="22"/>
          <w:shd w:val="clear" w:color="auto" w:fill="FFFFFF"/>
        </w:rPr>
      </w:pPr>
      <w:r w:rsidRPr="0076526E">
        <w:rPr>
          <w:noProof/>
          <w:sz w:val="22"/>
          <w:szCs w:val="22"/>
        </w:rPr>
        <w:t xml:space="preserve">It is important that chemicals used in the EU are assessed by several independent research teams, which will reduce the risk of lobbying and increase the possibility of comparing test results. </w:t>
      </w:r>
    </w:p>
    <w:p w14:paraId="763CC228" w14:textId="77777777" w:rsidR="000A7D9D" w:rsidRPr="0076526E" w:rsidRDefault="000A7D9D" w:rsidP="000A7D9D">
      <w:pPr>
        <w:spacing w:after="120"/>
        <w:jc w:val="both"/>
        <w:rPr>
          <w:rFonts w:ascii="Times New Roman" w:hAnsi="Times New Roman" w:cs="Times New Roman"/>
          <w:noProof/>
        </w:rPr>
      </w:pPr>
      <w:r w:rsidRPr="0076526E">
        <w:rPr>
          <w:rFonts w:ascii="Times New Roman" w:hAnsi="Times New Roman" w:cs="Times New Roman"/>
          <w:noProof/>
        </w:rPr>
        <w:t xml:space="preserve">Some confusions or misunderstandings could be observed in some of the responses provided. The most common ones are: </w:t>
      </w:r>
    </w:p>
    <w:p w14:paraId="13F1687A" w14:textId="77777777" w:rsidR="000A7D9D" w:rsidRPr="0076526E" w:rsidRDefault="000A7D9D" w:rsidP="000A7D9D">
      <w:pPr>
        <w:pStyle w:val="ListParagraph"/>
        <w:numPr>
          <w:ilvl w:val="0"/>
          <w:numId w:val="44"/>
        </w:numPr>
        <w:spacing w:after="120"/>
        <w:ind w:left="283" w:hanging="289"/>
        <w:contextualSpacing w:val="0"/>
        <w:jc w:val="both"/>
        <w:rPr>
          <w:noProof/>
          <w:color w:val="333333"/>
          <w:sz w:val="22"/>
          <w:szCs w:val="22"/>
          <w:shd w:val="clear" w:color="auto" w:fill="FFFFFF"/>
        </w:rPr>
      </w:pPr>
      <w:r w:rsidRPr="0076526E">
        <w:rPr>
          <w:noProof/>
          <w:color w:val="333333"/>
          <w:sz w:val="22"/>
          <w:szCs w:val="22"/>
          <w:shd w:val="clear" w:color="auto" w:fill="FFFFFF"/>
        </w:rPr>
        <w:t>Some respondents considers that ECHA does only hazard assessment while EFSA does risk assessment. The true is that both agencies do both, hazard and risk assessment. The confusion might originates from the fact that ECHA does also harmonised classification of hazards under the CLP regulation, which is pure hazard assessment, and respondents are not aware of their risk assessment work as part of the REACH restriction process or implementation of the biocidal product regulation, POPs regulation or drinking water directive.</w:t>
      </w:r>
    </w:p>
    <w:p w14:paraId="2F41D22F" w14:textId="77777777" w:rsidR="000A7D9D" w:rsidRPr="0076526E" w:rsidRDefault="000A7D9D" w:rsidP="000A7D9D">
      <w:pPr>
        <w:pStyle w:val="ListParagraph"/>
        <w:numPr>
          <w:ilvl w:val="0"/>
          <w:numId w:val="44"/>
        </w:numPr>
        <w:spacing w:after="120"/>
        <w:ind w:left="283" w:hanging="289"/>
        <w:contextualSpacing w:val="0"/>
        <w:jc w:val="both"/>
        <w:rPr>
          <w:noProof/>
          <w:color w:val="333333"/>
          <w:sz w:val="22"/>
          <w:szCs w:val="22"/>
          <w:shd w:val="clear" w:color="auto" w:fill="FFFFFF"/>
        </w:rPr>
      </w:pPr>
      <w:r w:rsidRPr="0076526E">
        <w:rPr>
          <w:noProof/>
          <w:color w:val="333333"/>
          <w:sz w:val="22"/>
          <w:szCs w:val="22"/>
          <w:shd w:val="clear" w:color="auto" w:fill="FFFFFF"/>
        </w:rPr>
        <w:t>Some respondents fear that moving some assessments to ECHA will automatically result in hazard-based regulation, omitting the use of exposure information. The true is that reattribution of tasks on safety assessment will not change the risk management measures. In addition, as explained above, ECHA is also doing risk assessments and has experience in doing so.</w:t>
      </w:r>
    </w:p>
    <w:p w14:paraId="0B2921F4" w14:textId="77777777" w:rsidR="000A7D9D" w:rsidRPr="008A0B7C" w:rsidRDefault="000A7D9D" w:rsidP="000A7D9D">
      <w:pPr>
        <w:pStyle w:val="ListParagraph"/>
        <w:numPr>
          <w:ilvl w:val="0"/>
          <w:numId w:val="44"/>
        </w:numPr>
        <w:spacing w:after="240"/>
        <w:ind w:left="283" w:hanging="289"/>
        <w:contextualSpacing w:val="0"/>
        <w:jc w:val="both"/>
        <w:rPr>
          <w:noProof/>
          <w:color w:val="333333"/>
          <w:shd w:val="clear" w:color="auto" w:fill="FFFFFF"/>
        </w:rPr>
      </w:pPr>
      <w:r w:rsidRPr="0076526E">
        <w:rPr>
          <w:noProof/>
          <w:color w:val="333333"/>
          <w:sz w:val="22"/>
          <w:szCs w:val="22"/>
          <w:shd w:val="clear" w:color="auto" w:fill="FFFFFF"/>
        </w:rPr>
        <w:t>Some respondents fear of the ambition to create one new ‘risk assessment’ agency and consolidating all risk assessments into such agency. There is no such intention. The objective of 1S1A initiative is to improve cooperation between agencies and clearly distribute the relevant tasks among them with the objective to improve coherence, efficiency and effectiveness of safety assessments.</w:t>
      </w:r>
      <w:r w:rsidRPr="008A0B7C">
        <w:rPr>
          <w:noProof/>
          <w:color w:val="333333"/>
          <w:shd w:val="clear" w:color="auto" w:fill="FFFFFF"/>
        </w:rPr>
        <w:t xml:space="preserve"> </w:t>
      </w:r>
    </w:p>
    <w:p w14:paraId="44084F0E" w14:textId="77777777" w:rsidR="000A7D9D" w:rsidRPr="00F5668A" w:rsidRDefault="000A7D9D" w:rsidP="000A7D9D">
      <w:pPr>
        <w:pStyle w:val="Heading1"/>
        <w:keepLines w:val="0"/>
        <w:widowControl/>
        <w:numPr>
          <w:ilvl w:val="0"/>
          <w:numId w:val="143"/>
        </w:numPr>
        <w:tabs>
          <w:tab w:val="num" w:pos="480"/>
        </w:tabs>
        <w:snapToGrid/>
        <w:spacing w:before="240"/>
        <w:ind w:left="480" w:hanging="480"/>
        <w:jc w:val="both"/>
        <w:rPr>
          <w:rFonts w:ascii="Times New Roman" w:hAnsi="Times New Roman"/>
          <w:smallCaps/>
          <w:noProof/>
          <w:color w:val="auto"/>
          <w:sz w:val="24"/>
          <w:szCs w:val="20"/>
          <w:lang w:eastAsia="en-US"/>
        </w:rPr>
      </w:pPr>
      <w:bookmarkStart w:id="31" w:name="_Toc150499917"/>
      <w:r w:rsidRPr="00F5668A">
        <w:rPr>
          <w:rFonts w:ascii="Times New Roman" w:hAnsi="Times New Roman"/>
          <w:smallCaps/>
          <w:noProof/>
          <w:color w:val="auto"/>
          <w:sz w:val="24"/>
          <w:szCs w:val="20"/>
          <w:lang w:eastAsia="en-US"/>
        </w:rPr>
        <w:t>Scope and objectives of 1S1A</w:t>
      </w:r>
      <w:bookmarkEnd w:id="31"/>
    </w:p>
    <w:p w14:paraId="0DCD9585" w14:textId="77777777" w:rsidR="000A7D9D" w:rsidRPr="0076526E" w:rsidRDefault="000A7D9D" w:rsidP="000A7D9D">
      <w:pPr>
        <w:spacing w:before="120" w:after="120"/>
        <w:rPr>
          <w:rFonts w:ascii="Times New Roman" w:hAnsi="Times New Roman" w:cs="Times New Roman"/>
          <w:noProof/>
        </w:rPr>
      </w:pPr>
      <w:r w:rsidRPr="0076526E">
        <w:rPr>
          <w:rFonts w:ascii="Times New Roman" w:hAnsi="Times New Roman" w:cs="Times New Roman"/>
          <w:noProof/>
        </w:rPr>
        <w:t xml:space="preserve">Number of respondents provided their views and expectations regarding the scope and objectives of 1S1A. </w:t>
      </w:r>
    </w:p>
    <w:p w14:paraId="22EDC318" w14:textId="77777777" w:rsidR="000A7D9D" w:rsidRPr="0076526E" w:rsidRDefault="000A7D9D" w:rsidP="000A7D9D">
      <w:pPr>
        <w:spacing w:after="120"/>
        <w:rPr>
          <w:rFonts w:ascii="Times New Roman" w:hAnsi="Times New Roman" w:cs="Times New Roman"/>
          <w:noProof/>
        </w:rPr>
      </w:pPr>
      <w:r w:rsidRPr="0076526E">
        <w:rPr>
          <w:rFonts w:ascii="Times New Roman" w:hAnsi="Times New Roman" w:cs="Times New Roman"/>
          <w:noProof/>
        </w:rPr>
        <w:t xml:space="preserve">The expectations and views expressed by the respondents regarding the general scope and objective of the 1S1A are as follows: </w:t>
      </w:r>
    </w:p>
    <w:p w14:paraId="166236E7" w14:textId="77777777" w:rsidR="000A7D9D" w:rsidRPr="0076526E" w:rsidRDefault="000A7D9D" w:rsidP="000A7D9D">
      <w:pPr>
        <w:pStyle w:val="ListParagraph"/>
        <w:numPr>
          <w:ilvl w:val="0"/>
          <w:numId w:val="40"/>
        </w:numPr>
        <w:spacing w:after="120"/>
        <w:ind w:left="284" w:hanging="284"/>
        <w:contextualSpacing w:val="0"/>
        <w:jc w:val="both"/>
        <w:rPr>
          <w:noProof/>
          <w:sz w:val="22"/>
          <w:szCs w:val="22"/>
        </w:rPr>
      </w:pPr>
      <w:r w:rsidRPr="0076526E">
        <w:rPr>
          <w:noProof/>
          <w:color w:val="333333"/>
          <w:sz w:val="22"/>
          <w:szCs w:val="22"/>
          <w:shd w:val="clear" w:color="auto" w:fill="FFFFFF"/>
        </w:rPr>
        <w:t>1S1A should ensure that the level of protection for the human health and the environment is not jeopardised and remains high.</w:t>
      </w:r>
    </w:p>
    <w:p w14:paraId="50E104D3" w14:textId="77777777" w:rsidR="000A7D9D" w:rsidRPr="0076526E" w:rsidRDefault="000A7D9D" w:rsidP="000A7D9D">
      <w:pPr>
        <w:pStyle w:val="ListParagraph"/>
        <w:numPr>
          <w:ilvl w:val="0"/>
          <w:numId w:val="40"/>
        </w:numPr>
        <w:spacing w:after="120"/>
        <w:ind w:left="284" w:hanging="284"/>
        <w:contextualSpacing w:val="0"/>
        <w:jc w:val="both"/>
        <w:rPr>
          <w:i/>
          <w:noProof/>
          <w:sz w:val="22"/>
          <w:szCs w:val="22"/>
        </w:rPr>
      </w:pPr>
      <w:r w:rsidRPr="0076526E">
        <w:rPr>
          <w:noProof/>
          <w:sz w:val="22"/>
          <w:szCs w:val="22"/>
        </w:rPr>
        <w:t xml:space="preserve">1S1A should work towards a coherent protection goals by developping a new EU Human Health Directive that aims to achieve ‘good public health’, protecting humans from the combined action of chemicals and </w:t>
      </w:r>
      <w:r w:rsidRPr="0076526E">
        <w:rPr>
          <w:noProof/>
          <w:color w:val="333333"/>
          <w:sz w:val="22"/>
          <w:szCs w:val="22"/>
          <w:shd w:val="clear" w:color="auto" w:fill="FFFFFF"/>
        </w:rPr>
        <w:t xml:space="preserve">combined action of chemicals and </w:t>
      </w:r>
      <w:r w:rsidRPr="0076526E">
        <w:rPr>
          <w:noProof/>
          <w:sz w:val="22"/>
          <w:szCs w:val="22"/>
        </w:rPr>
        <w:t xml:space="preserve">non-chemical environmental stressors. </w:t>
      </w:r>
    </w:p>
    <w:p w14:paraId="6382E260" w14:textId="77777777" w:rsidR="000A7D9D" w:rsidRPr="0076526E" w:rsidRDefault="000A7D9D" w:rsidP="000A7D9D">
      <w:pPr>
        <w:pStyle w:val="ListParagraph"/>
        <w:numPr>
          <w:ilvl w:val="0"/>
          <w:numId w:val="40"/>
        </w:numPr>
        <w:spacing w:after="120"/>
        <w:ind w:left="284" w:hanging="284"/>
        <w:contextualSpacing w:val="0"/>
        <w:jc w:val="both"/>
        <w:rPr>
          <w:b/>
          <w:i/>
          <w:noProof/>
          <w:sz w:val="22"/>
          <w:szCs w:val="22"/>
        </w:rPr>
      </w:pPr>
      <w:r w:rsidRPr="0076526E">
        <w:rPr>
          <w:noProof/>
          <w:sz w:val="22"/>
          <w:szCs w:val="22"/>
        </w:rPr>
        <w:t>1S1A should be limited to one substance, one hazard assessment. The hazard assessment – the basic evaluation of substance properties</w:t>
      </w:r>
      <w:r w:rsidRPr="0076526E">
        <w:rPr>
          <w:i/>
          <w:noProof/>
          <w:sz w:val="22"/>
          <w:szCs w:val="22"/>
        </w:rPr>
        <w:t xml:space="preserve"> – </w:t>
      </w:r>
      <w:r w:rsidRPr="0076526E">
        <w:rPr>
          <w:noProof/>
          <w:sz w:val="22"/>
          <w:szCs w:val="22"/>
        </w:rPr>
        <w:t>should be</w:t>
      </w:r>
      <w:r w:rsidRPr="0076526E">
        <w:rPr>
          <w:i/>
          <w:noProof/>
          <w:sz w:val="22"/>
          <w:szCs w:val="22"/>
        </w:rPr>
        <w:t xml:space="preserve"> </w:t>
      </w:r>
      <w:r w:rsidRPr="0076526E">
        <w:rPr>
          <w:noProof/>
          <w:color w:val="333333"/>
          <w:sz w:val="22"/>
          <w:szCs w:val="22"/>
          <w:shd w:val="clear" w:color="auto" w:fill="FFFFFF"/>
        </w:rPr>
        <w:t>grounded in a single set of agreed scientific principles, as it is independent of the area of application or legislation. Risk assessments and potential socio-economic assessment however should remain tailored to their different purposes and legislation, taking into account the use of, the exposure to the substance and particularities of the sector.</w:t>
      </w:r>
      <w:r w:rsidRPr="0076526E">
        <w:rPr>
          <w:i/>
          <w:noProof/>
          <w:sz w:val="22"/>
          <w:szCs w:val="22"/>
        </w:rPr>
        <w:t xml:space="preserve"> </w:t>
      </w:r>
      <w:r w:rsidRPr="0076526E">
        <w:rPr>
          <w:noProof/>
          <w:sz w:val="22"/>
          <w:szCs w:val="22"/>
        </w:rPr>
        <w:t xml:space="preserve">Risk management measures should be also specific and tailor-made. </w:t>
      </w:r>
    </w:p>
    <w:p w14:paraId="2F3360E8" w14:textId="77777777" w:rsidR="000A7D9D" w:rsidRPr="0076526E" w:rsidRDefault="000A7D9D" w:rsidP="000A7D9D">
      <w:pPr>
        <w:pStyle w:val="ListParagraph"/>
        <w:numPr>
          <w:ilvl w:val="0"/>
          <w:numId w:val="40"/>
        </w:numPr>
        <w:spacing w:after="120"/>
        <w:ind w:left="284" w:hanging="284"/>
        <w:contextualSpacing w:val="0"/>
        <w:jc w:val="both"/>
        <w:rPr>
          <w:noProof/>
          <w:sz w:val="22"/>
          <w:szCs w:val="22"/>
        </w:rPr>
      </w:pPr>
      <w:r w:rsidRPr="0076526E">
        <w:rPr>
          <w:noProof/>
          <w:sz w:val="22"/>
          <w:szCs w:val="22"/>
        </w:rPr>
        <w:t xml:space="preserve">1S1A should ensure that for a specific use there is only one risk assessment performed across legislation valuing existing expertise. </w:t>
      </w:r>
    </w:p>
    <w:p w14:paraId="61196A90" w14:textId="77777777" w:rsidR="000A7D9D" w:rsidRPr="0076526E" w:rsidRDefault="000A7D9D" w:rsidP="000A7D9D">
      <w:pPr>
        <w:pStyle w:val="ListParagraph"/>
        <w:numPr>
          <w:ilvl w:val="0"/>
          <w:numId w:val="40"/>
        </w:numPr>
        <w:spacing w:after="120"/>
        <w:ind w:left="284" w:hanging="284"/>
        <w:contextualSpacing w:val="0"/>
        <w:jc w:val="both"/>
        <w:rPr>
          <w:noProof/>
          <w:sz w:val="22"/>
          <w:szCs w:val="22"/>
        </w:rPr>
      </w:pPr>
      <w:r w:rsidRPr="0076526E">
        <w:rPr>
          <w:noProof/>
          <w:sz w:val="22"/>
          <w:szCs w:val="22"/>
        </w:rPr>
        <w:t>1S1A should ensure that all relevant assessments are updated if new data and new assessment lead to a new TDI or PNEC value to ensure that all regulations rely on limit values derived from the latest knowledge. It should be considered in the new omnibus regulation to require updates in all sector specific regulations within a given timeframe when a new TDI or PNEC value is derived by an EU scientific committee.</w:t>
      </w:r>
    </w:p>
    <w:p w14:paraId="2719FEB1" w14:textId="77777777" w:rsidR="000A7D9D" w:rsidRPr="0076526E" w:rsidRDefault="000A7D9D" w:rsidP="000A7D9D">
      <w:pPr>
        <w:pStyle w:val="ListParagraph"/>
        <w:numPr>
          <w:ilvl w:val="0"/>
          <w:numId w:val="39"/>
        </w:numPr>
        <w:ind w:left="284" w:hanging="284"/>
        <w:contextualSpacing w:val="0"/>
        <w:jc w:val="both"/>
        <w:rPr>
          <w:noProof/>
          <w:sz w:val="22"/>
          <w:szCs w:val="22"/>
        </w:rPr>
      </w:pPr>
      <w:r w:rsidRPr="0076526E">
        <w:rPr>
          <w:noProof/>
          <w:sz w:val="22"/>
          <w:szCs w:val="22"/>
        </w:rPr>
        <w:t xml:space="preserve">The actions of 1S1A initiative should be focused on where duplication really appears, i.e. to </w:t>
      </w:r>
    </w:p>
    <w:p w14:paraId="2B4C80C1" w14:textId="77777777" w:rsidR="000A7D9D" w:rsidRPr="0076526E" w:rsidRDefault="000A7D9D" w:rsidP="000A7D9D">
      <w:pPr>
        <w:pStyle w:val="ListParagraph"/>
        <w:numPr>
          <w:ilvl w:val="1"/>
          <w:numId w:val="39"/>
        </w:numPr>
        <w:spacing w:before="120" w:after="120"/>
        <w:jc w:val="both"/>
        <w:rPr>
          <w:b/>
          <w:i/>
          <w:noProof/>
          <w:sz w:val="22"/>
          <w:szCs w:val="22"/>
        </w:rPr>
      </w:pPr>
      <w:r w:rsidRPr="0076526E">
        <w:rPr>
          <w:noProof/>
          <w:sz w:val="22"/>
          <w:szCs w:val="22"/>
        </w:rPr>
        <w:t>hazard assessment and classification, identification of acute concentration limits ATEs, local effects specific concentration limits SCLs and NOAELs/LOAELs for human health, ECxx/LCxx/NOECs for acute aquatic toxicity and other wildlife. Based on these endpoints, the derivation of DNEL/OEL/TDI/ADI/PNECs/EQs, etc. may differ between legislations (REACH, OSH, PPR, BPR, FCM, WFD) due to different methodologies to carry out their safety assessment.</w:t>
      </w:r>
    </w:p>
    <w:p w14:paraId="30F42549" w14:textId="77777777" w:rsidR="000A7D9D" w:rsidRPr="0076526E" w:rsidRDefault="000A7D9D" w:rsidP="000A7D9D">
      <w:pPr>
        <w:pStyle w:val="ListParagraph"/>
        <w:numPr>
          <w:ilvl w:val="1"/>
          <w:numId w:val="39"/>
        </w:numPr>
        <w:spacing w:after="120"/>
        <w:ind w:left="1077" w:hanging="357"/>
        <w:contextualSpacing w:val="0"/>
        <w:jc w:val="both"/>
        <w:rPr>
          <w:b/>
          <w:i/>
          <w:noProof/>
          <w:sz w:val="22"/>
          <w:szCs w:val="22"/>
        </w:rPr>
      </w:pPr>
      <w:r w:rsidRPr="0076526E">
        <w:rPr>
          <w:noProof/>
          <w:sz w:val="22"/>
          <w:szCs w:val="22"/>
        </w:rPr>
        <w:t xml:space="preserve">substances used in different applications covered by different legislation. </w:t>
      </w:r>
    </w:p>
    <w:p w14:paraId="21472BB3" w14:textId="77777777" w:rsidR="000A7D9D" w:rsidRPr="0076526E" w:rsidRDefault="000A7D9D" w:rsidP="000A7D9D">
      <w:pPr>
        <w:pStyle w:val="ListParagraph"/>
        <w:numPr>
          <w:ilvl w:val="0"/>
          <w:numId w:val="39"/>
        </w:numPr>
        <w:spacing w:after="120"/>
        <w:ind w:left="284" w:hanging="284"/>
        <w:contextualSpacing w:val="0"/>
        <w:jc w:val="both"/>
        <w:rPr>
          <w:b/>
          <w:i/>
          <w:noProof/>
          <w:sz w:val="22"/>
          <w:szCs w:val="22"/>
        </w:rPr>
      </w:pPr>
      <w:r w:rsidRPr="0076526E">
        <w:rPr>
          <w:noProof/>
          <w:sz w:val="22"/>
          <w:szCs w:val="22"/>
        </w:rPr>
        <w:t xml:space="preserve">Although 1S1A is targeting on ‘chemicals’, it should be expanded also to microbials, natural substances and semiochemicals used as biocontrol. </w:t>
      </w:r>
      <w:r w:rsidRPr="0076526E">
        <w:rPr>
          <w:noProof/>
          <w:color w:val="333333"/>
          <w:sz w:val="22"/>
          <w:szCs w:val="22"/>
          <w:shd w:val="clear" w:color="auto" w:fill="FFFFFF"/>
        </w:rPr>
        <w:t>Biocontrol products themselves may be used for more than one purpose; for example, micro-organisms are used in the area of crop protection, but also as fertiliser or biostimulant under Fertilizer Product Regulation. The same micro-organism are used in agriculture and are subject to different regulatory frameworks and thus to different sets of data requirements and procedures. Ultimately this may lead to different and even contrary decisions, based on the same data package the same micro-organism may be authorised for one area of use (e.g. as a biostimulant), but may not be approved for another area of use (e.g. crop protection).</w:t>
      </w:r>
      <w:r w:rsidRPr="0076526E">
        <w:rPr>
          <w:b/>
          <w:i/>
          <w:noProof/>
          <w:sz w:val="22"/>
          <w:szCs w:val="22"/>
        </w:rPr>
        <w:t xml:space="preserve"> </w:t>
      </w:r>
      <w:r w:rsidRPr="0076526E">
        <w:rPr>
          <w:noProof/>
          <w:sz w:val="22"/>
          <w:szCs w:val="22"/>
        </w:rPr>
        <w:t>E</w:t>
      </w:r>
      <w:r w:rsidRPr="0076526E">
        <w:rPr>
          <w:noProof/>
          <w:color w:val="333333"/>
          <w:sz w:val="22"/>
          <w:szCs w:val="22"/>
          <w:shd w:val="clear" w:color="auto" w:fill="FFFFFF"/>
        </w:rPr>
        <w:t>stablishing within the EU a group of biocontrol experts is recommended. To start, the group should consist of microbial experts from Member States, EFSA, ECHA, and other relevant EU institutions that, in close cooperation with COM, will be responsible for all evaluations and assessments of microbial active substances submitted in the EU for approval. This would guarantee a consistent and scientifically sound approach that would considerably simplify and speed up procedures. This should then be extended to cover experts in natural substances and semiochemicals.</w:t>
      </w:r>
    </w:p>
    <w:p w14:paraId="4264451F"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 xml:space="preserve">1S1A should also aim to improve comparability of monitoring data across Member States in the area of food contaminants. </w:t>
      </w:r>
      <w:r w:rsidRPr="0076526E">
        <w:rPr>
          <w:noProof/>
          <w:color w:val="333333"/>
          <w:sz w:val="22"/>
          <w:szCs w:val="22"/>
          <w:shd w:val="clear" w:color="auto" w:fill="FFFFFF"/>
        </w:rPr>
        <w:t>Pursuant to Commission Regulation (EC) No 1881/2006, Member States are requested to examine samples and provide necessary data that could lead to a comprehensive risk assessment. Despite the European scope of the risk assessment, means to support such data collection is still largely maintained at a Member State level, manpower and the financial means of Member States for this varies, which all together may lead to national authorities providing data with high variability. This initiative on streamlining scientific assessments is an opportunity for the Commission to support the integral role that national authorities and European Reference Laboratories do to ensure the conclusions taken from these studies and guidance documents are as robust as possible.</w:t>
      </w:r>
    </w:p>
    <w:p w14:paraId="1BBCA0F6"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Some respondents argued that veterinary medicinal product should be exlcuded from the scope of 1S1A, while others were arguing for importnace to include also medicinal products, in particular as regards the environmental data on medicinal and veterinary products.</w:t>
      </w:r>
    </w:p>
    <w:p w14:paraId="2E77CA05" w14:textId="77777777" w:rsidR="000A7D9D" w:rsidRPr="0076526E" w:rsidRDefault="000A7D9D" w:rsidP="000A7D9D">
      <w:pPr>
        <w:spacing w:before="120" w:after="0"/>
        <w:rPr>
          <w:rFonts w:ascii="Times New Roman" w:hAnsi="Times New Roman" w:cs="Times New Roman"/>
          <w:noProof/>
        </w:rPr>
      </w:pPr>
      <w:r w:rsidRPr="0076526E">
        <w:rPr>
          <w:rFonts w:ascii="Times New Roman" w:hAnsi="Times New Roman" w:cs="Times New Roman"/>
          <w:noProof/>
        </w:rPr>
        <w:t>The expectations and views expressed regarding the five specific areas of the 1S1A initiative identified in the chemicals strategy for sustainability are as follows:</w:t>
      </w:r>
    </w:p>
    <w:p w14:paraId="448DF4B0" w14:textId="77777777" w:rsidR="000A7D9D" w:rsidRPr="0076526E" w:rsidRDefault="000A7D9D" w:rsidP="000A7D9D">
      <w:pPr>
        <w:spacing w:before="120" w:after="120"/>
        <w:rPr>
          <w:rFonts w:ascii="Times New Roman" w:hAnsi="Times New Roman" w:cs="Times New Roman"/>
          <w:b/>
          <w:i/>
          <w:noProof/>
        </w:rPr>
      </w:pPr>
      <w:r w:rsidRPr="0076526E">
        <w:rPr>
          <w:rFonts w:ascii="Times New Roman" w:hAnsi="Times New Roman" w:cs="Times New Roman"/>
          <w:b/>
          <w:i/>
          <w:noProof/>
        </w:rPr>
        <w:t>Coordination and initiation of the assessments</w:t>
      </w:r>
    </w:p>
    <w:p w14:paraId="14F0D9BC" w14:textId="77777777" w:rsidR="000A7D9D" w:rsidRPr="0076526E" w:rsidRDefault="000A7D9D" w:rsidP="000A7D9D">
      <w:pPr>
        <w:pStyle w:val="ListParagraph"/>
        <w:numPr>
          <w:ilvl w:val="0"/>
          <w:numId w:val="45"/>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Upfront close coordination of assessments should be established across different DG’s, Scientific committees (including Scientific Panels), Agencies as well as Member States at European level, to decide what is required, and who does what and when;</w:t>
      </w:r>
    </w:p>
    <w:p w14:paraId="76DDB3F2" w14:textId="77777777" w:rsidR="000A7D9D" w:rsidRPr="0076526E" w:rsidRDefault="000A7D9D" w:rsidP="000A7D9D">
      <w:pPr>
        <w:pStyle w:val="ListParagraph"/>
        <w:numPr>
          <w:ilvl w:val="0"/>
          <w:numId w:val="45"/>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A central coordination mechanism should be established, including a coordinated problem formulation phase (i.e. identifying the correct scientific question that needs to be answered) which would enhance predictability for industry;</w:t>
      </w:r>
    </w:p>
    <w:p w14:paraId="324D4306" w14:textId="77777777" w:rsidR="000A7D9D" w:rsidRPr="0076526E" w:rsidRDefault="000A7D9D" w:rsidP="000A7D9D">
      <w:pPr>
        <w:pStyle w:val="ListParagraph"/>
        <w:numPr>
          <w:ilvl w:val="0"/>
          <w:numId w:val="45"/>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Mechanisms needs to be created to integrate assessments that specify the health and environmental endpoints used by the different agencies;</w:t>
      </w:r>
    </w:p>
    <w:p w14:paraId="59111D9C" w14:textId="77777777" w:rsidR="000A7D9D" w:rsidRPr="0076526E" w:rsidRDefault="000A7D9D" w:rsidP="000A7D9D">
      <w:pPr>
        <w:pStyle w:val="ListParagraph"/>
        <w:numPr>
          <w:ilvl w:val="0"/>
          <w:numId w:val="45"/>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 xml:space="preserve">Different bodies active in the assessment of chemicals must ensure proper coordination of their work, especially when they are assessing the same substance. This includes an exchange of information such as results of previous assessments. </w:t>
      </w:r>
    </w:p>
    <w:p w14:paraId="00A9E11D" w14:textId="77777777" w:rsidR="000A7D9D" w:rsidRPr="0076526E" w:rsidRDefault="000A7D9D" w:rsidP="000A7D9D">
      <w:pPr>
        <w:pStyle w:val="ListParagraph"/>
        <w:numPr>
          <w:ilvl w:val="0"/>
          <w:numId w:val="45"/>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Also the national authorities of each EU member state that should be active in the assessment of chemicals, e.g. under REACH, are included in the “one substance, one assessment” initiative in order to prevent diverging views between member states and/or EU authorities regarding the assessment of (groups of) chemicals.</w:t>
      </w:r>
    </w:p>
    <w:p w14:paraId="102DB72E" w14:textId="77777777" w:rsidR="000A7D9D" w:rsidRPr="0076526E" w:rsidRDefault="000A7D9D" w:rsidP="000A7D9D">
      <w:pPr>
        <w:pStyle w:val="ListParagraph"/>
        <w:numPr>
          <w:ilvl w:val="0"/>
          <w:numId w:val="45"/>
        </w:numPr>
        <w:spacing w:after="120"/>
        <w:ind w:left="284" w:hanging="284"/>
        <w:contextualSpacing w:val="0"/>
        <w:jc w:val="both"/>
        <w:rPr>
          <w:noProof/>
          <w:sz w:val="22"/>
          <w:szCs w:val="22"/>
        </w:rPr>
      </w:pPr>
      <w:r w:rsidRPr="0076526E">
        <w:rPr>
          <w:noProof/>
          <w:sz w:val="22"/>
          <w:szCs w:val="22"/>
        </w:rPr>
        <w:t>It is vital that the implementation of the “one substance, one assessment” approach contains provisions for supporting greater interagency cooperation;</w:t>
      </w:r>
    </w:p>
    <w:p w14:paraId="44D9288B" w14:textId="77777777" w:rsidR="000A7D9D" w:rsidRPr="0076526E" w:rsidRDefault="000A7D9D" w:rsidP="000A7D9D">
      <w:pPr>
        <w:pStyle w:val="ListParagraph"/>
        <w:numPr>
          <w:ilvl w:val="0"/>
          <w:numId w:val="45"/>
        </w:numPr>
        <w:spacing w:after="120"/>
        <w:ind w:left="284" w:hanging="284"/>
        <w:contextualSpacing w:val="0"/>
        <w:jc w:val="both"/>
        <w:rPr>
          <w:b/>
          <w:i/>
          <w:noProof/>
          <w:sz w:val="22"/>
          <w:szCs w:val="22"/>
        </w:rPr>
      </w:pPr>
      <w:r w:rsidRPr="0076526E">
        <w:rPr>
          <w:noProof/>
          <w:color w:val="333333"/>
          <w:sz w:val="22"/>
          <w:szCs w:val="22"/>
          <w:shd w:val="clear" w:color="auto" w:fill="FFFFFF"/>
        </w:rPr>
        <w:t xml:space="preserve">To make this system work it is recommended that evaluators/risk assessors from different regulatory bodies attend each other meetings thus ensuring consistency and avoiding duplication of work; </w:t>
      </w:r>
    </w:p>
    <w:p w14:paraId="59F530C0" w14:textId="77777777" w:rsidR="000A7D9D" w:rsidRPr="0076526E" w:rsidRDefault="000A7D9D" w:rsidP="000A7D9D">
      <w:pPr>
        <w:pStyle w:val="ListParagraph"/>
        <w:numPr>
          <w:ilvl w:val="0"/>
          <w:numId w:val="45"/>
        </w:numPr>
        <w:spacing w:after="120"/>
        <w:ind w:left="284" w:hanging="284"/>
        <w:contextualSpacing w:val="0"/>
        <w:jc w:val="both"/>
        <w:rPr>
          <w:b/>
          <w:i/>
          <w:noProof/>
          <w:sz w:val="22"/>
          <w:szCs w:val="22"/>
        </w:rPr>
      </w:pPr>
      <w:r w:rsidRPr="0076526E">
        <w:rPr>
          <w:noProof/>
          <w:color w:val="333333"/>
          <w:sz w:val="22"/>
          <w:szCs w:val="22"/>
          <w:shd w:val="clear" w:color="auto" w:fill="FFFFFF"/>
        </w:rPr>
        <w:t xml:space="preserve">Cooperation between EU and national agencies is crucial for a better usage of resources. </w:t>
      </w:r>
    </w:p>
    <w:p w14:paraId="2E5C2C96" w14:textId="77777777" w:rsidR="000A7D9D" w:rsidRPr="0076526E" w:rsidRDefault="000A7D9D" w:rsidP="000A7D9D">
      <w:pPr>
        <w:pStyle w:val="ListParagraph"/>
        <w:numPr>
          <w:ilvl w:val="0"/>
          <w:numId w:val="45"/>
        </w:numPr>
        <w:spacing w:after="120"/>
        <w:ind w:left="284" w:hanging="284"/>
        <w:contextualSpacing w:val="0"/>
        <w:jc w:val="both"/>
        <w:rPr>
          <w:b/>
          <w:i/>
          <w:noProof/>
          <w:sz w:val="22"/>
          <w:szCs w:val="22"/>
        </w:rPr>
      </w:pPr>
      <w:r w:rsidRPr="0076526E">
        <w:rPr>
          <w:noProof/>
          <w:sz w:val="22"/>
          <w:szCs w:val="22"/>
        </w:rPr>
        <w:t>It shall be avoided that overlapping evaluations and assessments are taking place in parallel within the same regulatory context. Risk management measure processes should not be started during an on-going substance evaluation, where data gaps may be identified and therefore pre-empting the step in the substance evaluations that identifies the most appropriate risk management measures to be identified or data to be gathered to be available;</w:t>
      </w:r>
    </w:p>
    <w:p w14:paraId="2127537B" w14:textId="77777777" w:rsidR="000A7D9D" w:rsidRPr="0076526E" w:rsidRDefault="000A7D9D" w:rsidP="000A7D9D">
      <w:pPr>
        <w:spacing w:after="120"/>
        <w:rPr>
          <w:rFonts w:ascii="Times New Roman" w:hAnsi="Times New Roman" w:cs="Times New Roman"/>
          <w:b/>
          <w:i/>
          <w:noProof/>
        </w:rPr>
      </w:pPr>
      <w:r w:rsidRPr="0076526E">
        <w:rPr>
          <w:rFonts w:ascii="Times New Roman" w:hAnsi="Times New Roman" w:cs="Times New Roman"/>
          <w:b/>
          <w:i/>
          <w:noProof/>
        </w:rPr>
        <w:t>Allocation of responsibilities</w:t>
      </w:r>
    </w:p>
    <w:p w14:paraId="7CBA591E" w14:textId="77777777" w:rsidR="000A7D9D" w:rsidRPr="0076526E" w:rsidRDefault="000A7D9D" w:rsidP="000A7D9D">
      <w:pPr>
        <w:pStyle w:val="ListParagraph"/>
        <w:numPr>
          <w:ilvl w:val="0"/>
          <w:numId w:val="46"/>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 xml:space="preserve">Tasks should be reattributed amongst the agencies to ensure efficiency, by assigning the relevant responsibilities to the pertinent agency rather than reshuffling already established responsibilities; </w:t>
      </w:r>
    </w:p>
    <w:p w14:paraId="13F9C006" w14:textId="77777777" w:rsidR="000A7D9D" w:rsidRPr="0076526E" w:rsidRDefault="000A7D9D" w:rsidP="000A7D9D">
      <w:pPr>
        <w:pStyle w:val="ListParagraph"/>
        <w:numPr>
          <w:ilvl w:val="0"/>
          <w:numId w:val="46"/>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 xml:space="preserve">Each body (i.e. authority, agency, working group, etc.) that is carrying out an assessment of (groups of) chemicals should be equipped with sufficient expertise necessary for the specific assessment, e.g. in the field of toxicology, ecotoxicology, occupational safety and health, exposure assessment, etc </w:t>
      </w:r>
    </w:p>
    <w:p w14:paraId="6F485DD9" w14:textId="77777777" w:rsidR="000A7D9D" w:rsidRPr="0076526E" w:rsidRDefault="000A7D9D" w:rsidP="000A7D9D">
      <w:pPr>
        <w:pStyle w:val="ListParagraph"/>
        <w:numPr>
          <w:ilvl w:val="0"/>
          <w:numId w:val="46"/>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Cooperation between EU and national authorities should be also optimized. Synergies and overlaps must be clearly identified. This area is not left out and there is a clear division of tasks.</w:t>
      </w:r>
    </w:p>
    <w:p w14:paraId="46454C76" w14:textId="77777777" w:rsidR="000A7D9D" w:rsidRPr="0076526E" w:rsidRDefault="000A7D9D" w:rsidP="000A7D9D">
      <w:pPr>
        <w:spacing w:after="120"/>
        <w:rPr>
          <w:rFonts w:ascii="Times New Roman" w:hAnsi="Times New Roman" w:cs="Times New Roman"/>
          <w:b/>
          <w:i/>
          <w:noProof/>
        </w:rPr>
      </w:pPr>
      <w:r w:rsidRPr="0076526E">
        <w:rPr>
          <w:rFonts w:ascii="Times New Roman" w:hAnsi="Times New Roman" w:cs="Times New Roman"/>
          <w:b/>
          <w:i/>
          <w:noProof/>
        </w:rPr>
        <w:t>Data</w:t>
      </w:r>
    </w:p>
    <w:p w14:paraId="6B9323CE" w14:textId="77777777" w:rsidR="000A7D9D" w:rsidRPr="0076526E" w:rsidRDefault="000A7D9D" w:rsidP="000A7D9D">
      <w:pPr>
        <w:pStyle w:val="ListParagraph"/>
        <w:numPr>
          <w:ilvl w:val="0"/>
          <w:numId w:val="47"/>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Data exchange across Committees and Agencies should be ensured to avoid duplication of data submission; a common information base needs to be created to avoid duplication of assessments, for example with an open data platform on chemicals and tools for accessing relevant academic data;</w:t>
      </w:r>
    </w:p>
    <w:p w14:paraId="06D186FB" w14:textId="77777777" w:rsidR="000A7D9D" w:rsidRPr="0076526E" w:rsidRDefault="000A7D9D" w:rsidP="000A7D9D">
      <w:pPr>
        <w:pStyle w:val="ListParagraph"/>
        <w:numPr>
          <w:ilvl w:val="0"/>
          <w:numId w:val="47"/>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Exposure assessment tools and methodology could also be centralised on a common data platform;</w:t>
      </w:r>
    </w:p>
    <w:p w14:paraId="2F340973" w14:textId="77777777" w:rsidR="000A7D9D" w:rsidRPr="0076526E" w:rsidRDefault="000A7D9D" w:rsidP="000A7D9D">
      <w:pPr>
        <w:pStyle w:val="ListParagraph"/>
        <w:numPr>
          <w:ilvl w:val="0"/>
          <w:numId w:val="47"/>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Access to all available data in the same structured format should be provided for all EU authorities. Equal transparency regimes are applied across all sectors.</w:t>
      </w:r>
    </w:p>
    <w:p w14:paraId="7A5B5871" w14:textId="77777777" w:rsidR="000A7D9D" w:rsidRPr="0076526E" w:rsidRDefault="000A7D9D" w:rsidP="000A7D9D">
      <w:pPr>
        <w:pStyle w:val="ListParagraph"/>
        <w:numPr>
          <w:ilvl w:val="0"/>
          <w:numId w:val="47"/>
        </w:numPr>
        <w:spacing w:after="120"/>
        <w:ind w:left="284" w:hanging="284"/>
        <w:contextualSpacing w:val="0"/>
        <w:jc w:val="both"/>
        <w:rPr>
          <w:noProof/>
          <w:color w:val="333333"/>
          <w:sz w:val="22"/>
          <w:szCs w:val="22"/>
          <w:shd w:val="clear" w:color="auto" w:fill="FFFFFF"/>
        </w:rPr>
      </w:pPr>
      <w:r w:rsidRPr="0076526E">
        <w:rPr>
          <w:noProof/>
          <w:sz w:val="22"/>
          <w:szCs w:val="22"/>
        </w:rPr>
        <w:t>Academic data has a role to play in science-based policy making, however, there needs to be a process to ensure that data is reliable and robust. There are 1000’s of studies related to titanium dioxide that are published each year and the titanium dioxide industry has a comprehensive screening process in place including regular updates of the REACH dossier. A lot of the academic data related to titanium dioxide is not reliable or robust enough with basic information such as the identity of the substance unknown. The other concern is the inherent bias as non-adverse outcome are less likely to be published. The OECD Guidelines for the Testing of Chemicals were developed for this reason, and it is important that they remain the key benchmark.</w:t>
      </w:r>
    </w:p>
    <w:p w14:paraId="1D5CD4D3" w14:textId="77777777" w:rsidR="000A7D9D" w:rsidRPr="0076526E" w:rsidRDefault="000A7D9D" w:rsidP="000A7D9D">
      <w:pPr>
        <w:pStyle w:val="ListParagraph"/>
        <w:numPr>
          <w:ilvl w:val="0"/>
          <w:numId w:val="47"/>
        </w:numPr>
        <w:ind w:left="284" w:hanging="284"/>
        <w:contextualSpacing w:val="0"/>
        <w:jc w:val="both"/>
        <w:rPr>
          <w:noProof/>
          <w:sz w:val="22"/>
          <w:szCs w:val="22"/>
        </w:rPr>
      </w:pPr>
      <w:r w:rsidRPr="0076526E">
        <w:rPr>
          <w:noProof/>
          <w:sz w:val="22"/>
          <w:szCs w:val="22"/>
        </w:rPr>
        <w:t>We strongly support the proposal to introduce new tools for the 1S1A approach, which would further improve the work of the industry and scientific committees in ensuring consumer safety by:</w:t>
      </w:r>
    </w:p>
    <w:p w14:paraId="0D5D5A2D" w14:textId="77777777" w:rsidR="000A7D9D" w:rsidRPr="0076526E" w:rsidRDefault="000A7D9D" w:rsidP="000A7D9D">
      <w:pPr>
        <w:pStyle w:val="ListParagraph"/>
        <w:numPr>
          <w:ilvl w:val="1"/>
          <w:numId w:val="47"/>
        </w:numPr>
        <w:spacing w:before="120" w:after="120"/>
        <w:jc w:val="both"/>
        <w:rPr>
          <w:noProof/>
          <w:sz w:val="22"/>
          <w:szCs w:val="22"/>
        </w:rPr>
      </w:pPr>
      <w:r w:rsidRPr="0076526E">
        <w:rPr>
          <w:noProof/>
          <w:sz w:val="22"/>
          <w:szCs w:val="22"/>
        </w:rPr>
        <w:t>extending the use of the public activities coordination tool to other legislation</w:t>
      </w:r>
    </w:p>
    <w:p w14:paraId="51593AAD" w14:textId="77777777" w:rsidR="000A7D9D" w:rsidRPr="0076526E" w:rsidRDefault="000A7D9D" w:rsidP="000A7D9D">
      <w:pPr>
        <w:pStyle w:val="ListParagraph"/>
        <w:numPr>
          <w:ilvl w:val="1"/>
          <w:numId w:val="47"/>
        </w:numPr>
        <w:spacing w:before="120" w:after="120"/>
        <w:jc w:val="both"/>
        <w:rPr>
          <w:noProof/>
          <w:sz w:val="22"/>
          <w:szCs w:val="22"/>
        </w:rPr>
      </w:pPr>
      <w:r w:rsidRPr="0076526E">
        <w:rPr>
          <w:noProof/>
          <w:sz w:val="22"/>
          <w:szCs w:val="22"/>
        </w:rPr>
        <w:t xml:space="preserve">establishing an EU repository of human and environmental health-based limit values; and </w:t>
      </w:r>
    </w:p>
    <w:p w14:paraId="672CDFE1" w14:textId="77777777" w:rsidR="000A7D9D" w:rsidRPr="0076526E" w:rsidRDefault="000A7D9D" w:rsidP="000A7D9D">
      <w:pPr>
        <w:pStyle w:val="ListParagraph"/>
        <w:numPr>
          <w:ilvl w:val="1"/>
          <w:numId w:val="47"/>
        </w:numPr>
        <w:spacing w:after="120"/>
        <w:ind w:left="1077" w:hanging="357"/>
        <w:contextualSpacing w:val="0"/>
        <w:jc w:val="both"/>
        <w:rPr>
          <w:noProof/>
          <w:sz w:val="22"/>
          <w:szCs w:val="22"/>
        </w:rPr>
      </w:pPr>
      <w:r w:rsidRPr="0076526E">
        <w:rPr>
          <w:noProof/>
          <w:sz w:val="22"/>
          <w:szCs w:val="22"/>
        </w:rPr>
        <w:t>establishing a common, open data platform on chemicals and tools for accessing relevant academic data</w:t>
      </w:r>
    </w:p>
    <w:p w14:paraId="3F959D32" w14:textId="77777777" w:rsidR="000A7D9D" w:rsidRPr="0076526E" w:rsidRDefault="000A7D9D" w:rsidP="000A7D9D">
      <w:pPr>
        <w:pStyle w:val="ListParagraph"/>
        <w:numPr>
          <w:ilvl w:val="0"/>
          <w:numId w:val="47"/>
        </w:numPr>
        <w:spacing w:after="120"/>
        <w:ind w:left="284" w:hanging="284"/>
        <w:contextualSpacing w:val="0"/>
        <w:jc w:val="both"/>
        <w:rPr>
          <w:noProof/>
          <w:sz w:val="22"/>
          <w:szCs w:val="22"/>
        </w:rPr>
      </w:pPr>
      <w:r w:rsidRPr="0076526E">
        <w:rPr>
          <w:noProof/>
          <w:color w:val="333333"/>
          <w:sz w:val="22"/>
          <w:szCs w:val="22"/>
          <w:shd w:val="clear" w:color="auto" w:fill="FFFFFF"/>
        </w:rPr>
        <w:t>We support the principle of harmonizing the format in which data is reported to enable data to be shared between agencies. A harmonized data format will in our opinion lead to efficiencies and greater transparency. To us a harmonized data format does not equal harmonized data requirements between agencies since adequate data required for a risk assessment depends on the sector considered. It would be important to have a systematic mechanism supported by the authorities to organize the request of data to the manufactures to avoid duplication of efforts/resources and to guarantee a good agreement among the interested parties. The format of all data collected should be developed in close collaboration with the industry to ensure it is fit for purpose.</w:t>
      </w:r>
    </w:p>
    <w:p w14:paraId="69BC5490" w14:textId="77777777" w:rsidR="000A7D9D" w:rsidRPr="0076526E" w:rsidRDefault="000A7D9D" w:rsidP="000A7D9D">
      <w:pPr>
        <w:pStyle w:val="ListParagraph"/>
        <w:numPr>
          <w:ilvl w:val="0"/>
          <w:numId w:val="47"/>
        </w:numPr>
        <w:spacing w:after="120"/>
        <w:ind w:left="284" w:hanging="284"/>
        <w:contextualSpacing w:val="0"/>
        <w:jc w:val="both"/>
        <w:rPr>
          <w:noProof/>
          <w:sz w:val="22"/>
          <w:szCs w:val="22"/>
        </w:rPr>
      </w:pPr>
      <w:r w:rsidRPr="0076526E">
        <w:rPr>
          <w:noProof/>
          <w:color w:val="333333"/>
          <w:sz w:val="22"/>
          <w:szCs w:val="22"/>
          <w:shd w:val="clear" w:color="auto" w:fill="FFFFFF"/>
        </w:rPr>
        <w:t>We are in favour of promoting the environmental biomonitoring and check how the establishment of that limit values could benefit from this biomonitoring.</w:t>
      </w:r>
    </w:p>
    <w:p w14:paraId="79050A80" w14:textId="77777777" w:rsidR="000A7D9D" w:rsidRPr="0076526E" w:rsidRDefault="000A7D9D" w:rsidP="000A7D9D">
      <w:pPr>
        <w:pStyle w:val="ListParagraph"/>
        <w:numPr>
          <w:ilvl w:val="0"/>
          <w:numId w:val="47"/>
        </w:numPr>
        <w:spacing w:after="120"/>
        <w:ind w:left="284" w:hanging="284"/>
        <w:contextualSpacing w:val="0"/>
        <w:jc w:val="both"/>
        <w:rPr>
          <w:noProof/>
          <w:sz w:val="22"/>
          <w:szCs w:val="22"/>
        </w:rPr>
      </w:pPr>
      <w:r w:rsidRPr="0076526E">
        <w:rPr>
          <w:noProof/>
          <w:sz w:val="22"/>
          <w:szCs w:val="22"/>
        </w:rPr>
        <w:t>The legal framework around the usage of REACH registration data should be modified and broadened to allow other Agencies to access such information, in order to prevent double work, but above all the repetition of studies, especially in-vivo, for the same substances. With specific reference to evaluations concerning food contact materials, we believe that EFSA would greatly benefit from access to registration dossier data, with due consideration of data protection. Similarly, we believe that also MSCA should also have access to the existing data. For instance with regards to FCM evaluations, this would enable them to make evaluation on the same dataset used by EFSA, uniformizing the petitioning process by avoiding divergence in the approach.</w:t>
      </w:r>
    </w:p>
    <w:p w14:paraId="5170C9CF" w14:textId="77777777" w:rsidR="000A7D9D" w:rsidRPr="0076526E" w:rsidRDefault="000A7D9D" w:rsidP="000A7D9D">
      <w:pPr>
        <w:pStyle w:val="ListParagraph"/>
        <w:numPr>
          <w:ilvl w:val="0"/>
          <w:numId w:val="47"/>
        </w:numPr>
        <w:spacing w:after="120"/>
        <w:ind w:left="284" w:hanging="284"/>
        <w:contextualSpacing w:val="0"/>
        <w:jc w:val="both"/>
        <w:rPr>
          <w:noProof/>
          <w:sz w:val="22"/>
          <w:szCs w:val="22"/>
        </w:rPr>
      </w:pPr>
      <w:r w:rsidRPr="0076526E">
        <w:rPr>
          <w:noProof/>
          <w:color w:val="333333"/>
          <w:sz w:val="22"/>
          <w:szCs w:val="22"/>
          <w:shd w:val="clear" w:color="auto" w:fill="FFFFFF"/>
        </w:rPr>
        <w:t>Environmental safety data already assessed by one of the European agencies should be available for procedures under different EU regulations. This should also apply to environmental data from the veterinary and human pharmaceutical legislation. Therefore, including EMA as agency responsible for the environmental impacts of pharmaceuticals is highly welcome. Currently, there is no central searchable database on environmental impacts of pharmaceuticals available. Therefore, it is proposed to integrate the validated environmental information on pharmaceuticals in data platforms already used on a European level. The central database would also be a valuable tool for endpoints of monograph systems for human and veterinary pharmaceuticals.</w:t>
      </w:r>
    </w:p>
    <w:p w14:paraId="6EFAE708" w14:textId="77777777" w:rsidR="000A7D9D" w:rsidRPr="0076526E" w:rsidRDefault="000A7D9D" w:rsidP="000A7D9D">
      <w:pPr>
        <w:spacing w:after="120"/>
        <w:rPr>
          <w:rFonts w:ascii="Times New Roman" w:hAnsi="Times New Roman" w:cs="Times New Roman"/>
          <w:b/>
          <w:i/>
          <w:noProof/>
        </w:rPr>
      </w:pPr>
      <w:r w:rsidRPr="0076526E">
        <w:rPr>
          <w:rFonts w:ascii="Times New Roman" w:hAnsi="Times New Roman" w:cs="Times New Roman"/>
          <w:b/>
          <w:i/>
          <w:noProof/>
        </w:rPr>
        <w:t>Methodologies</w:t>
      </w:r>
    </w:p>
    <w:p w14:paraId="2A7E2022" w14:textId="77777777" w:rsidR="000A7D9D" w:rsidRPr="0076526E" w:rsidRDefault="000A7D9D" w:rsidP="000A7D9D">
      <w:pPr>
        <w:pStyle w:val="ListParagraph"/>
        <w:numPr>
          <w:ilvl w:val="0"/>
          <w:numId w:val="48"/>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Clear, standardised approaches/protocols on hazard and risk assessments must be developed to ensure consistency and predictability, while acknowledging the different needs of the different regulatory frameworks. For example, in food safety related matters it is crucial to define health-based guidance values from the context of food exposure only, and therefore the ways of assessing the hazard might divert from other legislative areas where other routes of exposure are more prominent.</w:t>
      </w:r>
    </w:p>
    <w:p w14:paraId="43A38680" w14:textId="77777777" w:rsidR="000A7D9D" w:rsidRPr="0076526E" w:rsidRDefault="000A7D9D" w:rsidP="000A7D9D">
      <w:pPr>
        <w:pStyle w:val="ListParagraph"/>
        <w:numPr>
          <w:ilvl w:val="0"/>
          <w:numId w:val="48"/>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The assessment of chemicals must be science-based.</w:t>
      </w:r>
    </w:p>
    <w:p w14:paraId="736BC7A5" w14:textId="77777777" w:rsidR="000A7D9D" w:rsidRPr="0076526E" w:rsidRDefault="000A7D9D" w:rsidP="000A7D9D">
      <w:pPr>
        <w:pStyle w:val="ListParagraph"/>
        <w:numPr>
          <w:ilvl w:val="0"/>
          <w:numId w:val="48"/>
        </w:numPr>
        <w:spacing w:after="120"/>
        <w:ind w:left="284" w:hanging="284"/>
        <w:contextualSpacing w:val="0"/>
        <w:jc w:val="both"/>
        <w:rPr>
          <w:noProof/>
          <w:color w:val="333333"/>
          <w:sz w:val="22"/>
          <w:szCs w:val="22"/>
          <w:shd w:val="clear" w:color="auto" w:fill="FFFFFF"/>
        </w:rPr>
      </w:pPr>
      <w:r w:rsidRPr="0076526E">
        <w:rPr>
          <w:noProof/>
          <w:sz w:val="22"/>
          <w:szCs w:val="22"/>
        </w:rPr>
        <w:t>Harmonisation of the methodologies for the assessment of chemicals should incorporate and expand the use of non-animal New Approach Methods and next generation risk assessment tools (based on the knolwdge acquired by SCCS), making this a default ‘one assessment’ framework applicable to all chemicals.</w:t>
      </w:r>
    </w:p>
    <w:p w14:paraId="08D6FB68" w14:textId="77777777" w:rsidR="000A7D9D" w:rsidRPr="0076526E" w:rsidRDefault="000A7D9D" w:rsidP="000A7D9D">
      <w:pPr>
        <w:pStyle w:val="ListParagraph"/>
        <w:numPr>
          <w:ilvl w:val="0"/>
          <w:numId w:val="48"/>
        </w:numPr>
        <w:spacing w:after="120"/>
        <w:ind w:left="284" w:hanging="284"/>
        <w:contextualSpacing w:val="0"/>
        <w:jc w:val="both"/>
        <w:rPr>
          <w:noProof/>
          <w:color w:val="333333"/>
          <w:sz w:val="22"/>
          <w:szCs w:val="22"/>
          <w:shd w:val="clear" w:color="auto" w:fill="FFFFFF"/>
        </w:rPr>
      </w:pPr>
      <w:r w:rsidRPr="0076526E">
        <w:rPr>
          <w:noProof/>
          <w:sz w:val="22"/>
          <w:szCs w:val="22"/>
        </w:rPr>
        <w:t>Harmonisation of evaluation methodologies is needed. For example, the AOEL (acceptable operator exposure level), DNEL (derived no-effect level), the MOS (margin of safety) and the OEL (occupational exposure limit) are four different ways to set a threshold limit under Pesticides, REACH, the Cosmetics Regulation and workplace regulation, respectively. Another example is the methodology used under the Water Framework Directive to set environmental quality criteria with the purpose of protecting humans from consumption of polluted fish and shellfish. This methodology differs from the methodology used by EFSA and national food safety authorities to set limit values for edible fish, thereby resulting in different limit values for the same substance.</w:t>
      </w:r>
    </w:p>
    <w:p w14:paraId="3A777F00" w14:textId="77777777" w:rsidR="000A7D9D" w:rsidRPr="0076526E" w:rsidRDefault="000A7D9D" w:rsidP="000A7D9D">
      <w:pPr>
        <w:spacing w:after="120"/>
        <w:rPr>
          <w:rFonts w:ascii="Times New Roman" w:hAnsi="Times New Roman" w:cs="Times New Roman"/>
          <w:b/>
          <w:i/>
          <w:noProof/>
        </w:rPr>
      </w:pPr>
      <w:r w:rsidRPr="0076526E">
        <w:rPr>
          <w:rFonts w:ascii="Times New Roman" w:hAnsi="Times New Roman" w:cs="Times New Roman"/>
          <w:b/>
          <w:i/>
          <w:noProof/>
        </w:rPr>
        <w:t>Transparency rules</w:t>
      </w:r>
    </w:p>
    <w:p w14:paraId="15500203" w14:textId="77777777" w:rsidR="000A7D9D" w:rsidRPr="0076526E" w:rsidRDefault="000A7D9D" w:rsidP="000A7D9D">
      <w:pPr>
        <w:pStyle w:val="ListParagraph"/>
        <w:numPr>
          <w:ilvl w:val="0"/>
          <w:numId w:val="49"/>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Transparency on the decisions and processes is increased;</w:t>
      </w:r>
    </w:p>
    <w:p w14:paraId="3969ECDB" w14:textId="77777777" w:rsidR="000A7D9D" w:rsidRPr="0076526E" w:rsidRDefault="000A7D9D" w:rsidP="000A7D9D">
      <w:pPr>
        <w:pStyle w:val="ListParagraph"/>
        <w:numPr>
          <w:ilvl w:val="0"/>
          <w:numId w:val="49"/>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All information regarding the evaluating authority, the process and status of the assessment as well as all relevant documentation should be available to all stakeholders.</w:t>
      </w:r>
    </w:p>
    <w:p w14:paraId="2FB05724" w14:textId="77777777" w:rsidR="000A7D9D" w:rsidRPr="0076526E" w:rsidRDefault="000A7D9D" w:rsidP="000A7D9D">
      <w:pPr>
        <w:pStyle w:val="ListParagraph"/>
        <w:numPr>
          <w:ilvl w:val="0"/>
          <w:numId w:val="49"/>
        </w:numPr>
        <w:spacing w:after="24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Transparency rules should be also harmonized.</w:t>
      </w:r>
      <w:r w:rsidRPr="0076526E">
        <w:rPr>
          <w:noProof/>
          <w:sz w:val="22"/>
          <w:szCs w:val="22"/>
        </w:rPr>
        <w:t xml:space="preserve"> </w:t>
      </w:r>
    </w:p>
    <w:p w14:paraId="1B0BC1CB" w14:textId="77777777" w:rsidR="000A7D9D" w:rsidRPr="00F5668A" w:rsidRDefault="000A7D9D" w:rsidP="000A7D9D">
      <w:pPr>
        <w:pStyle w:val="Heading1"/>
        <w:keepLines w:val="0"/>
        <w:widowControl/>
        <w:numPr>
          <w:ilvl w:val="0"/>
          <w:numId w:val="143"/>
        </w:numPr>
        <w:tabs>
          <w:tab w:val="num" w:pos="480"/>
        </w:tabs>
        <w:snapToGrid/>
        <w:spacing w:before="240"/>
        <w:ind w:left="480" w:hanging="480"/>
        <w:jc w:val="both"/>
        <w:rPr>
          <w:rFonts w:ascii="Times New Roman" w:hAnsi="Times New Roman"/>
          <w:smallCaps/>
          <w:noProof/>
          <w:color w:val="auto"/>
          <w:sz w:val="24"/>
          <w:szCs w:val="20"/>
          <w:lang w:eastAsia="en-US"/>
        </w:rPr>
      </w:pPr>
      <w:bookmarkStart w:id="32" w:name="_Toc150499918"/>
      <w:r w:rsidRPr="00F5668A">
        <w:rPr>
          <w:rFonts w:ascii="Times New Roman" w:hAnsi="Times New Roman"/>
          <w:smallCaps/>
          <w:noProof/>
          <w:color w:val="auto"/>
          <w:sz w:val="24"/>
          <w:szCs w:val="20"/>
          <w:lang w:eastAsia="en-US"/>
        </w:rPr>
        <w:t>Reattribution of tasks to EU agencies</w:t>
      </w:r>
      <w:bookmarkEnd w:id="32"/>
    </w:p>
    <w:p w14:paraId="2D1647B0" w14:textId="77777777" w:rsidR="000A7D9D" w:rsidRPr="0076526E" w:rsidRDefault="000A7D9D" w:rsidP="000A7D9D">
      <w:pPr>
        <w:spacing w:after="120"/>
        <w:rPr>
          <w:rFonts w:ascii="Times New Roman" w:hAnsi="Times New Roman" w:cs="Times New Roman"/>
          <w:noProof/>
        </w:rPr>
      </w:pPr>
      <w:r w:rsidRPr="0076526E">
        <w:rPr>
          <w:rFonts w:ascii="Times New Roman" w:hAnsi="Times New Roman" w:cs="Times New Roman"/>
          <w:noProof/>
        </w:rPr>
        <w:t xml:space="preserve">Number of respondents provided their views on how the reattribution of tasks to the EU agencies should be done. These are: </w:t>
      </w:r>
    </w:p>
    <w:p w14:paraId="4AC8F497"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 xml:space="preserve">Reattribution of work must not result in a single agency being responsible for the risk evaluations of all chemicals. </w:t>
      </w:r>
      <w:r w:rsidRPr="0076526E">
        <w:rPr>
          <w:noProof/>
          <w:color w:val="333333"/>
          <w:sz w:val="22"/>
          <w:szCs w:val="22"/>
          <w:shd w:val="clear" w:color="auto" w:fill="FFFFFF"/>
        </w:rPr>
        <w:t xml:space="preserve">A clear demarcation of responsibilities between relevant EU agencies and regulations is needed. </w:t>
      </w:r>
    </w:p>
    <w:p w14:paraId="1A5C33E7"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The role, tasks and expertise of each agency should be clearly defined and exploited in a targeted manner. Agencies should stay within their assigned areas of duty and abstain from political interventions.</w:t>
      </w:r>
    </w:p>
    <w:p w14:paraId="5E3FDFBC" w14:textId="77777777" w:rsidR="000A7D9D" w:rsidRPr="0076526E" w:rsidRDefault="000A7D9D" w:rsidP="000A7D9D">
      <w:pPr>
        <w:spacing w:after="120"/>
        <w:rPr>
          <w:rFonts w:ascii="Times New Roman" w:hAnsi="Times New Roman" w:cs="Times New Roman"/>
          <w:b/>
          <w:i/>
          <w:noProof/>
        </w:rPr>
      </w:pPr>
      <w:r w:rsidRPr="0076526E">
        <w:rPr>
          <w:rFonts w:ascii="Times New Roman" w:hAnsi="Times New Roman" w:cs="Times New Roman"/>
          <w:b/>
          <w:i/>
          <w:noProof/>
        </w:rPr>
        <w:t>Expertise</w:t>
      </w:r>
    </w:p>
    <w:p w14:paraId="53771FB0"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It is strongly suggested that expertise for risk assessment under the different regulations should stay with the existing responsible agencies. E</w:t>
      </w:r>
      <w:r w:rsidRPr="0076526E">
        <w:rPr>
          <w:noProof/>
          <w:color w:val="333333"/>
          <w:sz w:val="22"/>
          <w:szCs w:val="22"/>
          <w:shd w:val="clear" w:color="auto" w:fill="FFFFFF"/>
        </w:rPr>
        <w:t xml:space="preserve">ach Agency is best positioned to lead and provide specific assessments due to their extensive experience in product specific related matters, e.g., EFSA for food use, EMA for medicines use. </w:t>
      </w:r>
    </w:p>
    <w:p w14:paraId="1C078E76"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 xml:space="preserve">It shall be ensured that whatever body carries out the risk evaluation tasks it shall have available the necessary and adequate expertise within the application domain of the use of the chemicals. </w:t>
      </w:r>
    </w:p>
    <w:p w14:paraId="68F11171"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We strongly encourage the Commission to review the functioning of the existing scientific committees, agencies, consultants, etc. supporting scientific assessments to ensure that they have the relevant expertise (both quantitatively and qualitatively) and always strive for opinions of the highest scientific excellence and integrity</w:t>
      </w:r>
    </w:p>
    <w:p w14:paraId="03370E52"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 xml:space="preserve">Not all hazard endpoints are covered by all regulations. For the environment, the Plant Protection Regulation is probably the most advanced as requiring testing on species not covered by other regulations such as honeybees, earthworms, plants, beneficial arthropods, birds. Therefore, the derivation of these endpoints should stay with the Agency having the expertise, </w:t>
      </w:r>
      <w:r w:rsidRPr="0076526E">
        <w:rPr>
          <w:i/>
          <w:noProof/>
          <w:sz w:val="22"/>
          <w:szCs w:val="22"/>
        </w:rPr>
        <w:t>i.e.</w:t>
      </w:r>
      <w:r w:rsidRPr="0076526E">
        <w:rPr>
          <w:noProof/>
          <w:sz w:val="22"/>
          <w:szCs w:val="22"/>
        </w:rPr>
        <w:t xml:space="preserve"> EFSA.</w:t>
      </w:r>
    </w:p>
    <w:p w14:paraId="722D1356"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The reattribution should ensure that valuable expertise gathered by existing entities is preserved. The knowledge of SCCS to perform risk assessment without animal use has to be preserved and cosmetics have to continue use only data from non-animal tests. Transparent safety assessment process for cosmetics should continue to be underpinned by the use and further development of the current Notes of Guidance from SCCS.</w:t>
      </w:r>
    </w:p>
    <w:p w14:paraId="464BC93F" w14:textId="77777777" w:rsidR="000A7D9D" w:rsidRPr="0076526E" w:rsidRDefault="000A7D9D" w:rsidP="000A7D9D">
      <w:pPr>
        <w:spacing w:after="120"/>
        <w:rPr>
          <w:rFonts w:ascii="Times New Roman" w:hAnsi="Times New Roman" w:cs="Times New Roman"/>
          <w:b/>
          <w:i/>
          <w:noProof/>
        </w:rPr>
      </w:pPr>
      <w:r w:rsidRPr="0076526E">
        <w:rPr>
          <w:rFonts w:ascii="Times New Roman" w:hAnsi="Times New Roman" w:cs="Times New Roman"/>
          <w:b/>
          <w:i/>
          <w:noProof/>
        </w:rPr>
        <w:t xml:space="preserve">Resources </w:t>
      </w:r>
    </w:p>
    <w:p w14:paraId="64746228"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color w:val="333333"/>
          <w:sz w:val="22"/>
          <w:szCs w:val="22"/>
          <w:shd w:val="clear" w:color="auto" w:fill="FFFFFF"/>
        </w:rPr>
        <w:t xml:space="preserve">The necessary resources must accompany new tasks to the agencies. </w:t>
      </w:r>
    </w:p>
    <w:p w14:paraId="5FE6846D"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 xml:space="preserve">Re-attribution of work should not lead to the situation that the Agency or committee is not able to handle the workload and hence would jeopardise the quality of the work or result in the use of scientifically unsound decisions/approaches. </w:t>
      </w:r>
    </w:p>
    <w:p w14:paraId="29733905" w14:textId="77777777" w:rsidR="000A7D9D" w:rsidRPr="0076526E" w:rsidRDefault="000A7D9D" w:rsidP="000A7D9D">
      <w:pPr>
        <w:spacing w:after="120"/>
        <w:rPr>
          <w:rFonts w:ascii="Times New Roman" w:hAnsi="Times New Roman" w:cs="Times New Roman"/>
          <w:b/>
          <w:i/>
          <w:noProof/>
        </w:rPr>
      </w:pPr>
      <w:r w:rsidRPr="0076526E">
        <w:rPr>
          <w:rFonts w:ascii="Times New Roman" w:hAnsi="Times New Roman" w:cs="Times New Roman"/>
          <w:b/>
          <w:i/>
          <w:noProof/>
        </w:rPr>
        <w:t>Organisation of scientific committees</w:t>
      </w:r>
    </w:p>
    <w:p w14:paraId="445F2C1D"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Agencies might need to be reorganised to deal with increased workload. RAC in ECHA has already now immense workload; In ECHA, MSC could be turned into the hazard assessment committee to deal with CLP classification, RAC could focus only on risk assessments. It would be useful to also align panels in EFSA as the same substance is evaluated by two panels.</w:t>
      </w:r>
    </w:p>
    <w:p w14:paraId="122C3053"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color w:val="333333"/>
          <w:sz w:val="22"/>
          <w:szCs w:val="22"/>
          <w:shd w:val="clear" w:color="auto" w:fill="FFFFFF"/>
        </w:rPr>
        <w:t>Instead of creating new scientific panels, the agencies should be supported to be able to reinforce the expert independent committees and working groups that already exist, with a certain level of flexibility and openness in terms of reaching the best assessment.</w:t>
      </w:r>
    </w:p>
    <w:p w14:paraId="4446A72F"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The safety assessment for consumer products should be performed by an independent commitee which has equal status to hazard assessment committee (i.e. a safety assessment committee for consumer product should not report into a hazard assessment committee).</w:t>
      </w:r>
    </w:p>
    <w:p w14:paraId="65889767" w14:textId="77777777" w:rsidR="000A7D9D" w:rsidRPr="0076526E" w:rsidRDefault="000A7D9D" w:rsidP="000A7D9D">
      <w:pPr>
        <w:spacing w:after="120"/>
        <w:rPr>
          <w:rFonts w:ascii="Times New Roman" w:hAnsi="Times New Roman" w:cs="Times New Roman"/>
          <w:b/>
          <w:i/>
          <w:noProof/>
        </w:rPr>
      </w:pPr>
      <w:r w:rsidRPr="0076526E">
        <w:rPr>
          <w:rFonts w:ascii="Times New Roman" w:hAnsi="Times New Roman" w:cs="Times New Roman"/>
          <w:b/>
          <w:i/>
          <w:noProof/>
        </w:rPr>
        <w:t xml:space="preserve">Tasks to re-attribute </w:t>
      </w:r>
    </w:p>
    <w:p w14:paraId="442548BF"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For substances used in food contact materials the process should involve EFSA and ECHA. The process should start with the hazard identification and characterization of substances, followed by an FCM specific risk assessment. We recommend ECHA play a central role in the hazard assessment of chemicals, while EFSA assess risks linked to their use in FCMs (which are highly specific compared to those for other uses of chemicals).</w:t>
      </w:r>
    </w:p>
    <w:p w14:paraId="6564AAAA"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sz w:val="22"/>
          <w:szCs w:val="22"/>
        </w:rPr>
        <w:t xml:space="preserve">So far, a number of tasks have been distributed to ECHA, or are foreseen to be distributed to ECHA. This includes e.g. opinions on health based limit values under OSH, derivation of limit values under the Drinking Water Directive, evaluation of cosmetic ingredients under </w:t>
      </w:r>
      <w:r w:rsidRPr="008D30D7">
        <w:rPr>
          <w:noProof/>
          <w:sz w:val="22"/>
          <w:szCs w:val="22"/>
        </w:rPr>
        <w:t>the Cosmetic Products Regulation</w:t>
      </w:r>
      <w:r w:rsidRPr="0076526E">
        <w:rPr>
          <w:noProof/>
          <w:sz w:val="22"/>
          <w:szCs w:val="22"/>
        </w:rPr>
        <w:t>, etc. However, other areas have not been addressed such as e.g. derivation of environmental quality standards under the Water Framework Directive, or opinions on chemical substances in e.g. toys by the scientific committee SCHEER. It should be considered how to achieve harmonization in these areas as well, including if tasks should be redistributed to one of the agencies (EFSA or ECHA)</w:t>
      </w:r>
    </w:p>
    <w:p w14:paraId="61F42F72" w14:textId="77777777" w:rsidR="000A7D9D" w:rsidRPr="0076526E" w:rsidRDefault="000A7D9D" w:rsidP="000A7D9D">
      <w:pPr>
        <w:pStyle w:val="ListParagraph"/>
        <w:numPr>
          <w:ilvl w:val="0"/>
          <w:numId w:val="39"/>
        </w:numPr>
        <w:spacing w:after="120"/>
        <w:ind w:left="284" w:hanging="284"/>
        <w:contextualSpacing w:val="0"/>
        <w:jc w:val="both"/>
        <w:rPr>
          <w:noProof/>
          <w:sz w:val="22"/>
          <w:szCs w:val="22"/>
        </w:rPr>
      </w:pPr>
      <w:r w:rsidRPr="0076526E">
        <w:rPr>
          <w:noProof/>
          <w:color w:val="333333"/>
          <w:sz w:val="22"/>
          <w:szCs w:val="22"/>
          <w:shd w:val="clear" w:color="auto" w:fill="FFFFFF"/>
        </w:rPr>
        <w:t>The proposal should include as many substance regulations as possible within the EU legislative framework, e.g. Toys directive, food and feed additives, environmental quality standards (EQS).</w:t>
      </w:r>
    </w:p>
    <w:p w14:paraId="6FCD13A2" w14:textId="77777777" w:rsidR="000A7D9D" w:rsidRPr="0076526E" w:rsidRDefault="000A7D9D" w:rsidP="000A7D9D">
      <w:pPr>
        <w:spacing w:after="120"/>
        <w:rPr>
          <w:rFonts w:ascii="Times New Roman" w:hAnsi="Times New Roman" w:cs="Times New Roman"/>
          <w:b/>
          <w:i/>
          <w:noProof/>
        </w:rPr>
      </w:pPr>
      <w:r w:rsidRPr="0076526E">
        <w:rPr>
          <w:rFonts w:ascii="Times New Roman" w:hAnsi="Times New Roman" w:cs="Times New Roman"/>
          <w:b/>
          <w:i/>
          <w:noProof/>
        </w:rPr>
        <w:t xml:space="preserve">Impact assessment </w:t>
      </w:r>
    </w:p>
    <w:p w14:paraId="29772B49" w14:textId="77777777" w:rsidR="000A7D9D" w:rsidRPr="0076526E" w:rsidRDefault="000A7D9D" w:rsidP="000A7D9D">
      <w:pPr>
        <w:pStyle w:val="ListParagraph"/>
        <w:numPr>
          <w:ilvl w:val="0"/>
          <w:numId w:val="39"/>
        </w:numPr>
        <w:spacing w:after="120"/>
        <w:ind w:left="284" w:hanging="284"/>
        <w:contextualSpacing w:val="0"/>
        <w:jc w:val="both"/>
        <w:rPr>
          <w:noProof/>
          <w:color w:val="333333"/>
          <w:sz w:val="22"/>
          <w:szCs w:val="22"/>
          <w:shd w:val="clear" w:color="auto" w:fill="FFFFFF"/>
        </w:rPr>
      </w:pPr>
      <w:r w:rsidRPr="0076526E">
        <w:rPr>
          <w:noProof/>
          <w:color w:val="333333"/>
          <w:sz w:val="22"/>
          <w:szCs w:val="22"/>
          <w:shd w:val="clear" w:color="auto" w:fill="FFFFFF"/>
        </w:rPr>
        <w:t xml:space="preserve">Few respondents suggested to perform an impact assessment for the 1S1A initiative to make sure that potential impacts on business operators are adequately considered and to make sure that businesses are involved in the development of the initiative. </w:t>
      </w:r>
    </w:p>
    <w:p w14:paraId="5BC445B1" w14:textId="77777777" w:rsidR="000A7D9D" w:rsidRDefault="000A7D9D" w:rsidP="000A7D9D">
      <w:pPr>
        <w:rPr>
          <w:noProof/>
          <w:color w:val="333333"/>
          <w:shd w:val="clear" w:color="auto" w:fill="FFFFFF"/>
        </w:rPr>
      </w:pPr>
      <w:r>
        <w:rPr>
          <w:noProof/>
          <w:color w:val="333333"/>
          <w:shd w:val="clear" w:color="auto" w:fill="FFFFFF"/>
        </w:rPr>
        <w:br w:type="page"/>
      </w:r>
    </w:p>
    <w:p w14:paraId="13B27DA8" w14:textId="77777777" w:rsidR="000A7D9D" w:rsidRDefault="000A7D9D" w:rsidP="000A7D9D">
      <w:pPr>
        <w:spacing w:after="120"/>
        <w:jc w:val="both"/>
        <w:rPr>
          <w:noProof/>
          <w:color w:val="333333"/>
          <w:shd w:val="clear" w:color="auto" w:fill="FFFFFF"/>
        </w:rPr>
      </w:pPr>
    </w:p>
    <w:p w14:paraId="418B4E27" w14:textId="77777777" w:rsidR="000A7D9D" w:rsidRDefault="000A7D9D" w:rsidP="000A7D9D">
      <w:pPr>
        <w:pStyle w:val="AnnexTitle"/>
        <w:rPr>
          <w:noProof/>
        </w:rPr>
      </w:pPr>
      <w:bookmarkStart w:id="33" w:name="_Toc150499919"/>
      <w:r>
        <w:rPr>
          <w:noProof/>
        </w:rPr>
        <w:t xml:space="preserve">Annex III: </w:t>
      </w:r>
      <w:r w:rsidRPr="347EDA22">
        <w:rPr>
          <w:noProof/>
        </w:rPr>
        <w:t xml:space="preserve">Detailed impact analysis of the (re-)attribution of </w:t>
      </w:r>
      <w:r>
        <w:rPr>
          <w:noProof/>
        </w:rPr>
        <w:t xml:space="preserve">scientific and technical work related to chemicals </w:t>
      </w:r>
      <w:r w:rsidRPr="347EDA22">
        <w:rPr>
          <w:noProof/>
        </w:rPr>
        <w:t>to EU agencies</w:t>
      </w:r>
      <w:bookmarkEnd w:id="33"/>
      <w:r w:rsidRPr="347EDA22">
        <w:rPr>
          <w:noProof/>
        </w:rPr>
        <w:t xml:space="preserve"> </w:t>
      </w:r>
    </w:p>
    <w:p w14:paraId="184209E2" w14:textId="77777777" w:rsidR="000A7D9D" w:rsidRPr="00291F95" w:rsidRDefault="000A7D9D" w:rsidP="000A7D9D">
      <w:pPr>
        <w:pStyle w:val="Heading1"/>
        <w:keepLines w:val="0"/>
        <w:widowControl/>
        <w:numPr>
          <w:ilvl w:val="0"/>
          <w:numId w:val="144"/>
        </w:numPr>
        <w:snapToGrid/>
        <w:spacing w:before="240"/>
        <w:jc w:val="both"/>
        <w:rPr>
          <w:rFonts w:ascii="Times New Roman" w:hAnsi="Times New Roman"/>
          <w:smallCaps/>
          <w:noProof/>
          <w:color w:val="auto"/>
          <w:sz w:val="24"/>
          <w:szCs w:val="20"/>
          <w:lang w:eastAsia="en-US"/>
        </w:rPr>
      </w:pPr>
      <w:bookmarkStart w:id="34" w:name="_Toc150499920"/>
      <w:bookmarkStart w:id="35" w:name="_Hlk130551235"/>
      <w:r w:rsidRPr="00291F95">
        <w:rPr>
          <w:rFonts w:ascii="Times New Roman" w:hAnsi="Times New Roman"/>
          <w:smallCaps/>
          <w:noProof/>
          <w:color w:val="auto"/>
          <w:sz w:val="24"/>
          <w:szCs w:val="20"/>
          <w:lang w:eastAsia="en-US"/>
        </w:rPr>
        <w:t>Drinking water directive (</w:t>
      </w:r>
      <w:hyperlink r:id="rId63" w:history="1">
        <w:r w:rsidRPr="00291F95">
          <w:rPr>
            <w:rFonts w:ascii="Times New Roman" w:hAnsi="Times New Roman"/>
            <w:smallCaps/>
            <w:noProof/>
            <w:color w:val="auto"/>
            <w:sz w:val="24"/>
            <w:szCs w:val="20"/>
            <w:lang w:eastAsia="en-US"/>
          </w:rPr>
          <w:t>2020/2184</w:t>
        </w:r>
      </w:hyperlink>
      <w:r w:rsidRPr="00291F95">
        <w:rPr>
          <w:rFonts w:ascii="Times New Roman" w:hAnsi="Times New Roman"/>
          <w:smallCaps/>
          <w:noProof/>
          <w:color w:val="auto"/>
          <w:sz w:val="24"/>
          <w:szCs w:val="20"/>
          <w:lang w:eastAsia="en-US"/>
        </w:rPr>
        <w:t>)</w:t>
      </w:r>
      <w:bookmarkEnd w:id="34"/>
    </w:p>
    <w:p w14:paraId="3881E32B"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Responsible body:</w:t>
      </w:r>
    </w:p>
    <w:p w14:paraId="69F4A7B5" w14:textId="77777777" w:rsidR="000A7D9D" w:rsidRPr="00297E98" w:rsidRDefault="000A7D9D" w:rsidP="000A7D9D">
      <w:pPr>
        <w:spacing w:after="120"/>
        <w:rPr>
          <w:rFonts w:ascii="Times New Roman" w:hAnsi="Times New Roman" w:cs="Times New Roman"/>
          <w:noProof/>
          <w:sz w:val="24"/>
          <w:szCs w:val="24"/>
        </w:rPr>
      </w:pPr>
      <w:r w:rsidRPr="00297E98">
        <w:rPr>
          <w:rFonts w:ascii="Times New Roman" w:hAnsi="Times New Roman" w:cs="Times New Roman"/>
          <w:noProof/>
          <w:sz w:val="24"/>
          <w:szCs w:val="24"/>
          <w:u w:val="single"/>
        </w:rPr>
        <w:t>Currently:</w:t>
      </w:r>
      <w:r w:rsidRPr="00297E98">
        <w:rPr>
          <w:rFonts w:ascii="Times New Roman" w:hAnsi="Times New Roman" w:cs="Times New Roman"/>
          <w:noProof/>
          <w:sz w:val="24"/>
          <w:szCs w:val="24"/>
        </w:rPr>
        <w:t xml:space="preserve"> N/A, no current process exists at EU level</w:t>
      </w:r>
    </w:p>
    <w:p w14:paraId="69D2C8B5" w14:textId="77777777" w:rsidR="000A7D9D" w:rsidRPr="00297E98" w:rsidRDefault="000A7D9D" w:rsidP="000A7D9D">
      <w:pPr>
        <w:spacing w:after="120"/>
        <w:rPr>
          <w:rFonts w:ascii="Times New Roman" w:hAnsi="Times New Roman" w:cs="Times New Roman"/>
          <w:noProof/>
          <w:sz w:val="24"/>
          <w:szCs w:val="24"/>
        </w:rPr>
      </w:pPr>
      <w:r w:rsidRPr="00297E98">
        <w:rPr>
          <w:rFonts w:ascii="Times New Roman" w:hAnsi="Times New Roman" w:cs="Times New Roman"/>
          <w:noProof/>
          <w:sz w:val="24"/>
          <w:szCs w:val="24"/>
          <w:u w:val="single"/>
        </w:rPr>
        <w:t>(Re-)attribution planned to:</w:t>
      </w:r>
      <w:r w:rsidRPr="00297E98">
        <w:rPr>
          <w:rFonts w:ascii="Times New Roman" w:hAnsi="Times New Roman" w:cs="Times New Roman"/>
          <w:noProof/>
          <w:sz w:val="24"/>
          <w:szCs w:val="24"/>
        </w:rPr>
        <w:t xml:space="preserve"> ECHA </w:t>
      </w:r>
    </w:p>
    <w:p w14:paraId="566AAE8E"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 xml:space="preserve">Legal basis for reattribution: </w:t>
      </w:r>
      <w:r w:rsidRPr="00297E98">
        <w:rPr>
          <w:rFonts w:ascii="Times New Roman" w:hAnsi="Times New Roman" w:cs="Times New Roman"/>
          <w:bCs/>
          <w:noProof/>
          <w:sz w:val="24"/>
          <w:szCs w:val="24"/>
        </w:rPr>
        <w:t>Revision of drinking water directive</w:t>
      </w:r>
      <w:r w:rsidRPr="00297E98">
        <w:rPr>
          <w:rFonts w:ascii="Times New Roman" w:hAnsi="Times New Roman" w:cs="Times New Roman"/>
          <w:b/>
          <w:bCs/>
          <w:noProof/>
          <w:sz w:val="24"/>
          <w:szCs w:val="24"/>
        </w:rPr>
        <w:t xml:space="preserve"> </w:t>
      </w:r>
    </w:p>
    <w:p w14:paraId="55B75F84"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 xml:space="preserve">Type of task: </w:t>
      </w:r>
      <w:r w:rsidRPr="00297E98">
        <w:rPr>
          <w:rFonts w:ascii="Times New Roman" w:hAnsi="Times New Roman" w:cs="Times New Roman"/>
          <w:bCs/>
          <w:noProof/>
          <w:sz w:val="24"/>
          <w:szCs w:val="24"/>
        </w:rPr>
        <w:t>New</w:t>
      </w:r>
    </w:p>
    <w:p w14:paraId="76D8344D" w14:textId="77777777" w:rsidR="000A7D9D" w:rsidRPr="00297E98" w:rsidRDefault="000A7D9D" w:rsidP="000A7D9D">
      <w:pPr>
        <w:spacing w:after="120"/>
        <w:jc w:val="both"/>
        <w:rPr>
          <w:rFonts w:ascii="Times New Roman" w:hAnsi="Times New Roman" w:cs="Times New Roman"/>
          <w:b/>
          <w:bCs/>
          <w:noProof/>
          <w:sz w:val="24"/>
          <w:szCs w:val="24"/>
        </w:rPr>
      </w:pPr>
      <w:r w:rsidRPr="00297E98">
        <w:rPr>
          <w:rFonts w:ascii="Times New Roman" w:hAnsi="Times New Roman" w:cs="Times New Roman"/>
          <w:b/>
          <w:bCs/>
          <w:noProof/>
          <w:sz w:val="24"/>
          <w:szCs w:val="24"/>
        </w:rPr>
        <w:t xml:space="preserve">Brief task overview: </w:t>
      </w:r>
      <w:r w:rsidRPr="00297E98">
        <w:rPr>
          <w:rFonts w:ascii="Times New Roman" w:eastAsia="Verdana" w:hAnsi="Times New Roman" w:cs="Times New Roman"/>
          <w:noProof/>
          <w:sz w:val="24"/>
          <w:szCs w:val="24"/>
        </w:rPr>
        <w:t xml:space="preserve"> Establishing and maintaining four EU positive lists for substances and compositions authorised to be used for the manufacture of materials in contact with water intended for human consumption.</w:t>
      </w:r>
      <w:r w:rsidRPr="00297E98">
        <w:rPr>
          <w:rFonts w:ascii="Times New Roman" w:hAnsi="Times New Roman" w:cs="Times New Roman"/>
          <w:noProof/>
          <w:sz w:val="24"/>
          <w:szCs w:val="24"/>
        </w:rPr>
        <w:t xml:space="preserve"> </w:t>
      </w:r>
    </w:p>
    <w:p w14:paraId="5F5B56A5"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 xml:space="preserve">Detailed process description: </w:t>
      </w:r>
    </w:p>
    <w:p w14:paraId="4E17EEB4" w14:textId="77777777" w:rsidR="000A7D9D" w:rsidRPr="00297E98" w:rsidRDefault="000A7D9D" w:rsidP="000A7D9D">
      <w:pPr>
        <w:spacing w:after="120"/>
        <w:rPr>
          <w:rFonts w:ascii="Times New Roman" w:hAnsi="Times New Roman" w:cs="Times New Roman"/>
          <w:noProof/>
          <w:sz w:val="24"/>
          <w:szCs w:val="24"/>
          <w:u w:val="single"/>
        </w:rPr>
      </w:pPr>
      <w:r w:rsidRPr="00297E98">
        <w:rPr>
          <w:rFonts w:ascii="Times New Roman" w:hAnsi="Times New Roman" w:cs="Times New Roman"/>
          <w:noProof/>
          <w:sz w:val="24"/>
          <w:szCs w:val="24"/>
          <w:u w:val="single"/>
        </w:rPr>
        <w:t>Current process:</w:t>
      </w:r>
    </w:p>
    <w:p w14:paraId="072D4569" w14:textId="77777777" w:rsidR="000A7D9D" w:rsidRPr="00297E98" w:rsidRDefault="000A7D9D" w:rsidP="000A7D9D">
      <w:pPr>
        <w:spacing w:after="120"/>
        <w:rPr>
          <w:rFonts w:ascii="Times New Roman" w:hAnsi="Times New Roman" w:cs="Times New Roman"/>
          <w:noProof/>
          <w:sz w:val="24"/>
          <w:szCs w:val="24"/>
        </w:rPr>
      </w:pPr>
      <w:r w:rsidRPr="00297E98">
        <w:rPr>
          <w:rFonts w:ascii="Times New Roman" w:hAnsi="Times New Roman" w:cs="Times New Roman"/>
          <w:noProof/>
          <w:sz w:val="24"/>
          <w:szCs w:val="24"/>
        </w:rPr>
        <w:t>N/A, no process exists at EU level</w:t>
      </w:r>
    </w:p>
    <w:p w14:paraId="6ECC94B3" w14:textId="77777777" w:rsidR="000A7D9D" w:rsidRPr="00297E98" w:rsidRDefault="000A7D9D" w:rsidP="000A7D9D">
      <w:pPr>
        <w:spacing w:after="120"/>
        <w:rPr>
          <w:rFonts w:ascii="Times New Roman" w:hAnsi="Times New Roman" w:cs="Times New Roman"/>
          <w:bCs/>
          <w:noProof/>
          <w:sz w:val="24"/>
          <w:szCs w:val="24"/>
          <w:u w:val="single"/>
        </w:rPr>
      </w:pPr>
      <w:r w:rsidRPr="00297E98">
        <w:rPr>
          <w:rFonts w:ascii="Times New Roman" w:hAnsi="Times New Roman" w:cs="Times New Roman"/>
          <w:bCs/>
          <w:noProof/>
          <w:sz w:val="24"/>
          <w:szCs w:val="24"/>
          <w:u w:val="single"/>
        </w:rPr>
        <w:t xml:space="preserve">New process: </w:t>
      </w:r>
    </w:p>
    <w:p w14:paraId="397182C6" w14:textId="77777777" w:rsidR="000A7D9D" w:rsidRPr="00297E98" w:rsidRDefault="000A7D9D" w:rsidP="000A7D9D">
      <w:pPr>
        <w:pStyle w:val="ListParagraph"/>
        <w:widowControl w:val="0"/>
        <w:numPr>
          <w:ilvl w:val="0"/>
          <w:numId w:val="116"/>
        </w:numPr>
        <w:spacing w:after="120"/>
        <w:rPr>
          <w:rFonts w:eastAsiaTheme="minorEastAsia"/>
          <w:i/>
          <w:noProof/>
        </w:rPr>
      </w:pPr>
      <w:r w:rsidRPr="00297E98">
        <w:rPr>
          <w:rFonts w:eastAsiaTheme="minorEastAsia"/>
          <w:b/>
          <w:noProof/>
        </w:rPr>
        <w:t xml:space="preserve"> </w:t>
      </w:r>
      <w:r w:rsidRPr="00297E98">
        <w:rPr>
          <w:rFonts w:eastAsiaTheme="minorEastAsia"/>
          <w:i/>
          <w:noProof/>
        </w:rPr>
        <w:t>From national lists to the first EU positive lists (review programme)</w:t>
      </w:r>
    </w:p>
    <w:p w14:paraId="52B2C78F" w14:textId="77777777" w:rsidR="000A7D9D" w:rsidRPr="00297E98" w:rsidRDefault="000A7D9D" w:rsidP="000A7D9D">
      <w:pPr>
        <w:spacing w:after="120" w:line="276" w:lineRule="auto"/>
        <w:jc w:val="both"/>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The Commission, supported by ECHA, compiles the first EU positive lists for substances and compositions used in the manufacture of organic, cementitious, metallic and inorganic materials in contact with water intended for human consumption. These first positive lists are based on national positive lists notified to ECHA by July 2021; in addition, the positive list for organic materials will incorporate the plastic FCM positive list of Regulation (EU) No. 10/2011. All entries in the EU positive lists will be subject to a review. To this end, each entry will be accompanied by an expiry date by which industry needs to submit an (review) application to ECHA. The burden of proof is with industry: if industry wishes to keep a substance or composition on the EU positive list, they need to submit an application by a specified deadline. If no application is received by the deadline, the substance or composition is removed from the positive list.</w:t>
      </w:r>
    </w:p>
    <w:p w14:paraId="2F9EACCA" w14:textId="77777777" w:rsidR="000A7D9D" w:rsidRPr="00297E98" w:rsidRDefault="000A7D9D" w:rsidP="000A7D9D">
      <w:pPr>
        <w:spacing w:after="120" w:line="276" w:lineRule="auto"/>
        <w:jc w:val="both"/>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It is estimated that the first EU positive lists will contain approximately 2000 entries</w:t>
      </w:r>
      <w:r w:rsidRPr="00297E98">
        <w:rPr>
          <w:rFonts w:ascii="Times New Roman" w:hAnsi="Times New Roman" w:cs="Times New Roman"/>
          <w:noProof/>
          <w:sz w:val="24"/>
          <w:szCs w:val="24"/>
        </w:rPr>
        <w:t xml:space="preserve"> with </w:t>
      </w:r>
      <w:r w:rsidRPr="00297E98">
        <w:rPr>
          <w:rFonts w:ascii="Times New Roman" w:eastAsiaTheme="minorEastAsia" w:hAnsi="Times New Roman" w:cs="Times New Roman"/>
          <w:noProof/>
          <w:sz w:val="24"/>
          <w:szCs w:val="24"/>
        </w:rPr>
        <w:t>assigned expiry dates of 2028, 2031, 2034 and</w:t>
      </w:r>
      <w:r w:rsidRPr="00297E98" w:rsidDel="00B66D1F">
        <w:rPr>
          <w:rFonts w:ascii="Times New Roman" w:eastAsiaTheme="minorEastAsia" w:hAnsi="Times New Roman" w:cs="Times New Roman"/>
          <w:noProof/>
          <w:sz w:val="24"/>
          <w:szCs w:val="24"/>
        </w:rPr>
        <w:t xml:space="preserve"> </w:t>
      </w:r>
      <w:r w:rsidRPr="00297E98">
        <w:rPr>
          <w:rFonts w:ascii="Times New Roman" w:eastAsiaTheme="minorEastAsia" w:hAnsi="Times New Roman" w:cs="Times New Roman"/>
          <w:noProof/>
          <w:sz w:val="24"/>
          <w:szCs w:val="24"/>
        </w:rPr>
        <w:t>2037 depending on the hazard of each entry and the availability of past risk assessments.</w:t>
      </w:r>
      <w:r w:rsidRPr="00297E98">
        <w:rPr>
          <w:rFonts w:ascii="Times New Roman" w:hAnsi="Times New Roman" w:cs="Times New Roman"/>
          <w:noProof/>
          <w:sz w:val="24"/>
          <w:szCs w:val="24"/>
        </w:rPr>
        <w:t xml:space="preserve"> </w:t>
      </w:r>
      <w:r w:rsidRPr="00297E98">
        <w:rPr>
          <w:rFonts w:ascii="Times New Roman" w:eastAsiaTheme="minorEastAsia" w:hAnsi="Times New Roman" w:cs="Times New Roman"/>
          <w:noProof/>
          <w:sz w:val="24"/>
          <w:szCs w:val="24"/>
        </w:rPr>
        <w:t>The first European positive list will be adopted by January 2024, the first review applications can be submitted as from January 2026 and the whole review programme shall be finished within 15 years by end December 2039.</w:t>
      </w:r>
    </w:p>
    <w:p w14:paraId="7557942D" w14:textId="77777777" w:rsidR="000A7D9D" w:rsidRPr="00297E98" w:rsidRDefault="000A7D9D" w:rsidP="000A7D9D">
      <w:pPr>
        <w:pStyle w:val="ListParagraph"/>
        <w:widowControl w:val="0"/>
        <w:numPr>
          <w:ilvl w:val="0"/>
          <w:numId w:val="116"/>
        </w:numPr>
        <w:spacing w:after="120" w:line="276" w:lineRule="auto"/>
        <w:rPr>
          <w:rFonts w:eastAsiaTheme="minorEastAsia"/>
          <w:i/>
          <w:noProof/>
        </w:rPr>
      </w:pPr>
      <w:r w:rsidRPr="00297E98">
        <w:rPr>
          <w:rFonts w:eastAsiaTheme="minorEastAsia"/>
          <w:noProof/>
        </w:rPr>
        <w:t xml:space="preserve"> </w:t>
      </w:r>
      <w:r w:rsidRPr="00297E98">
        <w:rPr>
          <w:rFonts w:eastAsiaTheme="minorEastAsia"/>
          <w:i/>
          <w:noProof/>
        </w:rPr>
        <w:t>Updating the EU positive list</w:t>
      </w:r>
    </w:p>
    <w:p w14:paraId="3BDC7789" w14:textId="77777777" w:rsidR="000A7D9D" w:rsidRPr="00297E98" w:rsidRDefault="000A7D9D" w:rsidP="000A7D9D">
      <w:pPr>
        <w:spacing w:after="120" w:line="276" w:lineRule="auto"/>
        <w:jc w:val="both"/>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Once established, ECHA will need to manage the EU positive lists through the addition, removal and updating of entries in the lists. The process can be triggered by:</w:t>
      </w:r>
    </w:p>
    <w:p w14:paraId="13E29FE9" w14:textId="77777777" w:rsidR="000A7D9D" w:rsidRPr="00297E98" w:rsidRDefault="000A7D9D" w:rsidP="000A7D9D">
      <w:pPr>
        <w:pStyle w:val="ListParagraph"/>
        <w:widowControl w:val="0"/>
        <w:numPr>
          <w:ilvl w:val="0"/>
          <w:numId w:val="117"/>
        </w:numPr>
        <w:spacing w:after="120" w:line="276" w:lineRule="auto"/>
        <w:rPr>
          <w:rFonts w:eastAsiaTheme="minorEastAsia"/>
          <w:noProof/>
        </w:rPr>
      </w:pPr>
      <w:r w:rsidRPr="00297E98">
        <w:rPr>
          <w:rFonts w:eastAsiaTheme="minorEastAsia"/>
          <w:noProof/>
        </w:rPr>
        <w:t>An economic operator who wishes to add a substance or composition to</w:t>
      </w:r>
      <w:r w:rsidRPr="00297E98" w:rsidDel="00B66D1F">
        <w:rPr>
          <w:rFonts w:eastAsiaTheme="minorEastAsia"/>
          <w:noProof/>
        </w:rPr>
        <w:t xml:space="preserve"> </w:t>
      </w:r>
      <w:r w:rsidRPr="00297E98">
        <w:rPr>
          <w:rFonts w:eastAsiaTheme="minorEastAsia"/>
          <w:noProof/>
        </w:rPr>
        <w:t>an EU positive list or has to submit a review application for an existing entry;</w:t>
      </w:r>
    </w:p>
    <w:p w14:paraId="781D58A6" w14:textId="77777777" w:rsidR="000A7D9D" w:rsidRPr="00297E98" w:rsidRDefault="000A7D9D" w:rsidP="000A7D9D">
      <w:pPr>
        <w:pStyle w:val="ListParagraph"/>
        <w:widowControl w:val="0"/>
        <w:numPr>
          <w:ilvl w:val="0"/>
          <w:numId w:val="117"/>
        </w:numPr>
        <w:spacing w:after="120" w:line="276" w:lineRule="auto"/>
        <w:rPr>
          <w:rFonts w:eastAsiaTheme="minorEastAsia"/>
          <w:noProof/>
        </w:rPr>
      </w:pPr>
      <w:r w:rsidRPr="00297E98">
        <w:rPr>
          <w:rFonts w:eastAsiaTheme="minorEastAsia"/>
          <w:noProof/>
        </w:rPr>
        <w:t>An authority that has a reason to propose removing a substance or composition from an EU positive list or to update an entry;</w:t>
      </w:r>
    </w:p>
    <w:p w14:paraId="18DEE28D" w14:textId="77777777" w:rsidR="000A7D9D" w:rsidRPr="00297E98" w:rsidRDefault="000A7D9D" w:rsidP="000A7D9D">
      <w:pPr>
        <w:pStyle w:val="ListParagraph"/>
        <w:widowControl w:val="0"/>
        <w:numPr>
          <w:ilvl w:val="0"/>
          <w:numId w:val="117"/>
        </w:numPr>
        <w:spacing w:after="120" w:line="276" w:lineRule="auto"/>
        <w:rPr>
          <w:rFonts w:eastAsiaTheme="minorEastAsia"/>
          <w:noProof/>
        </w:rPr>
      </w:pPr>
      <w:r w:rsidRPr="00297E98">
        <w:rPr>
          <w:rFonts w:eastAsiaTheme="minorEastAsia"/>
          <w:noProof/>
        </w:rPr>
        <w:t>ECHA, that may submit an application on the Commission’s request.</w:t>
      </w:r>
    </w:p>
    <w:p w14:paraId="39A5F3A5" w14:textId="77777777" w:rsidR="000A7D9D" w:rsidRPr="00297E98" w:rsidRDefault="000A7D9D" w:rsidP="000A7D9D">
      <w:pPr>
        <w:spacing w:after="120" w:line="276" w:lineRule="auto"/>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Once an application is received, the process at ECHA contains the following main steps:</w:t>
      </w:r>
    </w:p>
    <w:p w14:paraId="2E80D22A" w14:textId="77777777" w:rsidR="000A7D9D" w:rsidRPr="00297E98" w:rsidRDefault="000A7D9D" w:rsidP="000A7D9D">
      <w:pPr>
        <w:widowControl w:val="0"/>
        <w:numPr>
          <w:ilvl w:val="0"/>
          <w:numId w:val="119"/>
        </w:numPr>
        <w:spacing w:after="120" w:line="276" w:lineRule="auto"/>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 xml:space="preserve">Automated and manual checks of the application to verify completeness and accordance with the information requirements which will be set out in implementing legislation; </w:t>
      </w:r>
    </w:p>
    <w:p w14:paraId="1F0B6B34" w14:textId="77777777" w:rsidR="000A7D9D" w:rsidRPr="00297E98" w:rsidRDefault="000A7D9D" w:rsidP="000A7D9D">
      <w:pPr>
        <w:widowControl w:val="0"/>
        <w:numPr>
          <w:ilvl w:val="0"/>
          <w:numId w:val="119"/>
        </w:numPr>
        <w:spacing w:after="120" w:line="276" w:lineRule="auto"/>
        <w:rPr>
          <w:rFonts w:ascii="Times New Roman" w:eastAsiaTheme="minorEastAsia" w:hAnsi="Times New Roman" w:cs="Times New Roman"/>
          <w:noProof/>
          <w:sz w:val="24"/>
          <w:szCs w:val="24"/>
        </w:rPr>
      </w:pPr>
      <w:r w:rsidRPr="00297E98">
        <w:rPr>
          <w:rFonts w:ascii="Times New Roman" w:eastAsia="MS Mincho" w:hAnsi="Times New Roman" w:cs="Times New Roman"/>
          <w:noProof/>
          <w:sz w:val="24"/>
          <w:szCs w:val="24"/>
        </w:rPr>
        <w:t>Dissemination of information and consultation of interested parties;</w:t>
      </w:r>
    </w:p>
    <w:p w14:paraId="141C6A7B" w14:textId="77777777" w:rsidR="000A7D9D" w:rsidRPr="00297E98" w:rsidRDefault="000A7D9D" w:rsidP="000A7D9D">
      <w:pPr>
        <w:widowControl w:val="0"/>
        <w:numPr>
          <w:ilvl w:val="0"/>
          <w:numId w:val="119"/>
        </w:numPr>
        <w:spacing w:after="120" w:line="276" w:lineRule="auto"/>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Opinion development via the RAC committee;</w:t>
      </w:r>
    </w:p>
    <w:p w14:paraId="212DBA31" w14:textId="77777777" w:rsidR="000A7D9D" w:rsidRPr="00297E98" w:rsidRDefault="000A7D9D" w:rsidP="000A7D9D">
      <w:pPr>
        <w:widowControl w:val="0"/>
        <w:numPr>
          <w:ilvl w:val="0"/>
          <w:numId w:val="119"/>
        </w:numPr>
        <w:spacing w:after="120" w:line="276" w:lineRule="auto"/>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Support to applicants and Member State Competent Authorities;</w:t>
      </w:r>
    </w:p>
    <w:p w14:paraId="724CA48B" w14:textId="77777777" w:rsidR="000A7D9D" w:rsidRPr="00297E98" w:rsidRDefault="000A7D9D" w:rsidP="000A7D9D">
      <w:pPr>
        <w:widowControl w:val="0"/>
        <w:numPr>
          <w:ilvl w:val="0"/>
          <w:numId w:val="119"/>
        </w:numPr>
        <w:spacing w:after="120" w:line="276" w:lineRule="auto"/>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Technical and scientific support to the Commission.</w:t>
      </w:r>
    </w:p>
    <w:p w14:paraId="015151ED" w14:textId="77777777" w:rsidR="000A7D9D" w:rsidRPr="00297E98" w:rsidRDefault="000A7D9D" w:rsidP="000A7D9D">
      <w:pPr>
        <w:spacing w:after="120" w:line="276" w:lineRule="auto"/>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The first review applications can be submitted as from January 2026.</w:t>
      </w:r>
    </w:p>
    <w:p w14:paraId="27C09417"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Proximity to ECHA mandate:</w:t>
      </w:r>
    </w:p>
    <w:p w14:paraId="21FE0987" w14:textId="77777777" w:rsidR="000A7D9D" w:rsidRPr="00297E98" w:rsidRDefault="000A7D9D" w:rsidP="000A7D9D">
      <w:pPr>
        <w:spacing w:after="120"/>
        <w:jc w:val="both"/>
        <w:rPr>
          <w:rFonts w:ascii="Times New Roman" w:hAnsi="Times New Roman" w:cs="Times New Roman"/>
          <w:noProof/>
          <w:sz w:val="24"/>
          <w:szCs w:val="24"/>
          <w:highlight w:val="yellow"/>
        </w:rPr>
      </w:pPr>
      <w:bookmarkStart w:id="36" w:name="_Hlk130551552"/>
      <w:r w:rsidRPr="00297E98">
        <w:rPr>
          <w:rFonts w:ascii="Times New Roman" w:hAnsi="Times New Roman" w:cs="Times New Roman"/>
          <w:bCs/>
          <w:noProof/>
          <w:sz w:val="24"/>
          <w:szCs w:val="24"/>
        </w:rPr>
        <w:t xml:space="preserve">The </w:t>
      </w:r>
      <w:r w:rsidRPr="00297E98">
        <w:rPr>
          <w:rFonts w:ascii="Times New Roman" w:hAnsi="Times New Roman" w:cs="Times New Roman"/>
          <w:noProof/>
          <w:sz w:val="24"/>
          <w:szCs w:val="24"/>
        </w:rPr>
        <w:t>work is</w:t>
      </w:r>
      <w:r w:rsidRPr="00297E98">
        <w:rPr>
          <w:rFonts w:ascii="Times New Roman" w:hAnsi="Times New Roman" w:cs="Times New Roman"/>
          <w:bCs/>
          <w:noProof/>
          <w:sz w:val="24"/>
          <w:szCs w:val="24"/>
        </w:rPr>
        <w:t xml:space="preserve"> close to the ECHA core mandate of assessing the risk of chemical substances based on industry applications and many of the core competences are already present in the Agency.</w:t>
      </w:r>
      <w:bookmarkEnd w:id="36"/>
    </w:p>
    <w:p w14:paraId="29C056D9" w14:textId="77777777" w:rsidR="000A7D9D" w:rsidRPr="00297E98" w:rsidRDefault="000A7D9D" w:rsidP="000A7D9D">
      <w:pPr>
        <w:pStyle w:val="BodyText"/>
        <w:rPr>
          <w:b/>
          <w:bCs/>
          <w:noProof/>
        </w:rPr>
      </w:pPr>
      <w:r w:rsidRPr="00297E98">
        <w:rPr>
          <w:b/>
          <w:bCs/>
          <w:noProof/>
        </w:rPr>
        <w:t>Projected synergies and added value of (re-)attribution:</w:t>
      </w:r>
    </w:p>
    <w:tbl>
      <w:tblPr>
        <w:tblStyle w:val="TableGrid22"/>
        <w:tblW w:w="9629" w:type="dxa"/>
        <w:tblLook w:val="04A0" w:firstRow="1" w:lastRow="0" w:firstColumn="1" w:lastColumn="0" w:noHBand="0" w:noVBand="1"/>
      </w:tblPr>
      <w:tblGrid>
        <w:gridCol w:w="1656"/>
        <w:gridCol w:w="1080"/>
        <w:gridCol w:w="6893"/>
      </w:tblGrid>
      <w:tr w:rsidR="000A7D9D" w:rsidRPr="00297E98" w14:paraId="6B56FBB2"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52D09A03" w14:textId="77777777" w:rsidR="000A7D9D" w:rsidRPr="00297E98" w:rsidRDefault="000A7D9D" w:rsidP="00F31937">
            <w:pPr>
              <w:spacing w:before="120" w:after="120"/>
              <w:jc w:val="both"/>
              <w:rPr>
                <w:rFonts w:ascii="Times New Roman" w:hAnsi="Times New Roman"/>
                <w:b/>
                <w:bCs/>
                <w:noProof/>
                <w:color w:val="0046AD"/>
              </w:rPr>
            </w:pPr>
            <w:r w:rsidRPr="00297E98">
              <w:rPr>
                <w:rFonts w:ascii="Times New Roman" w:hAnsi="Times New Roman"/>
                <w:b/>
                <w:bCs/>
                <w:noProof/>
                <w:color w:val="4472C4" w:themeColor="accent1"/>
              </w:rPr>
              <w:t>Type</w:t>
            </w:r>
          </w:p>
        </w:tc>
        <w:tc>
          <w:tcPr>
            <w:tcW w:w="7973" w:type="dxa"/>
            <w:gridSpan w:val="2"/>
            <w:tcBorders>
              <w:top w:val="single" w:sz="4" w:space="0" w:color="auto"/>
              <w:left w:val="single" w:sz="4" w:space="0" w:color="auto"/>
              <w:bottom w:val="single" w:sz="4" w:space="0" w:color="auto"/>
              <w:right w:val="single" w:sz="4" w:space="0" w:color="auto"/>
            </w:tcBorders>
            <w:hideMark/>
          </w:tcPr>
          <w:p w14:paraId="27B138C0" w14:textId="77777777" w:rsidR="000A7D9D" w:rsidRPr="00297E98" w:rsidRDefault="000A7D9D" w:rsidP="00F31937">
            <w:pPr>
              <w:spacing w:before="120" w:after="120"/>
              <w:jc w:val="both"/>
              <w:rPr>
                <w:rFonts w:ascii="Times New Roman" w:hAnsi="Times New Roman"/>
                <w:b/>
                <w:bCs/>
                <w:noProof/>
                <w:color w:val="0046AD"/>
              </w:rPr>
            </w:pPr>
            <w:r w:rsidRPr="00297E98">
              <w:rPr>
                <w:rFonts w:ascii="Times New Roman" w:hAnsi="Times New Roman"/>
                <w:b/>
                <w:bCs/>
                <w:noProof/>
                <w:color w:val="4472C4" w:themeColor="accent1"/>
              </w:rPr>
              <w:t>Synergies</w:t>
            </w:r>
          </w:p>
          <w:p w14:paraId="54DADCD7" w14:textId="77777777" w:rsidR="000A7D9D" w:rsidRPr="00297E98" w:rsidRDefault="000A7D9D" w:rsidP="00F31937">
            <w:pPr>
              <w:spacing w:before="120" w:after="120"/>
              <w:jc w:val="both"/>
              <w:rPr>
                <w:rFonts w:ascii="Times New Roman" w:hAnsi="Times New Roman"/>
                <w:b/>
                <w:bCs/>
                <w:noProof/>
                <w:color w:val="0046AD"/>
              </w:rPr>
            </w:pPr>
          </w:p>
        </w:tc>
      </w:tr>
      <w:tr w:rsidR="000A7D9D" w:rsidRPr="00297E98" w14:paraId="641E9AD0"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0302C278" w14:textId="77777777" w:rsidR="000A7D9D" w:rsidRPr="00297E98" w:rsidRDefault="000A7D9D" w:rsidP="00F31937">
            <w:pPr>
              <w:spacing w:before="120" w:after="120"/>
              <w:rPr>
                <w:rFonts w:ascii="Times New Roman" w:hAnsi="Times New Roman"/>
                <w:b/>
                <w:bCs/>
                <w:noProof/>
                <w:color w:val="000000"/>
              </w:rPr>
            </w:pPr>
            <w:r w:rsidRPr="00297E98">
              <w:rPr>
                <w:rFonts w:ascii="Times New Roman" w:hAnsi="Times New Roman"/>
                <w:b/>
                <w:bCs/>
                <w:noProof/>
                <w:color w:val="000000" w:themeColor="text1"/>
              </w:rPr>
              <w:t>Reuse of capabilities</w:t>
            </w:r>
          </w:p>
        </w:tc>
        <w:tc>
          <w:tcPr>
            <w:tcW w:w="1080" w:type="dxa"/>
            <w:tcBorders>
              <w:top w:val="single" w:sz="4" w:space="0" w:color="auto"/>
              <w:left w:val="single" w:sz="4" w:space="0" w:color="auto"/>
              <w:bottom w:val="single" w:sz="4" w:space="0" w:color="auto"/>
              <w:right w:val="single" w:sz="4" w:space="0" w:color="auto"/>
            </w:tcBorders>
            <w:hideMark/>
          </w:tcPr>
          <w:p w14:paraId="1BEB312A"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High</w:t>
            </w:r>
          </w:p>
        </w:tc>
        <w:tc>
          <w:tcPr>
            <w:tcW w:w="6893" w:type="dxa"/>
            <w:tcBorders>
              <w:top w:val="single" w:sz="4" w:space="0" w:color="auto"/>
              <w:left w:val="single" w:sz="4" w:space="0" w:color="auto"/>
              <w:bottom w:val="single" w:sz="4" w:space="0" w:color="auto"/>
              <w:right w:val="single" w:sz="4" w:space="0" w:color="auto"/>
            </w:tcBorders>
            <w:hideMark/>
          </w:tcPr>
          <w:p w14:paraId="28C9DB3F"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Process and expertise: ECHA already supports similar work on substance risk assessment under REACH and other legislation. Several key capacities can be reused/reinforced:</w:t>
            </w:r>
          </w:p>
          <w:p w14:paraId="62ECD933" w14:textId="77777777" w:rsidR="000A7D9D" w:rsidRPr="00297E98" w:rsidRDefault="000A7D9D" w:rsidP="000A7D9D">
            <w:pPr>
              <w:numPr>
                <w:ilvl w:val="0"/>
                <w:numId w:val="21"/>
              </w:numPr>
              <w:snapToGrid w:val="0"/>
              <w:ind w:left="720"/>
              <w:contextualSpacing/>
              <w:jc w:val="both"/>
              <w:rPr>
                <w:rFonts w:ascii="Times New Roman" w:hAnsi="Times New Roman"/>
                <w:noProof/>
              </w:rPr>
            </w:pPr>
            <w:r w:rsidRPr="00297E98">
              <w:rPr>
                <w:rFonts w:ascii="Times New Roman" w:hAnsi="Times New Roman"/>
                <w:noProof/>
              </w:rPr>
              <w:t>Hazard, risk and exposure assessment</w:t>
            </w:r>
          </w:p>
          <w:p w14:paraId="33556726" w14:textId="77777777" w:rsidR="000A7D9D" w:rsidRPr="00297E98" w:rsidRDefault="000A7D9D" w:rsidP="000A7D9D">
            <w:pPr>
              <w:numPr>
                <w:ilvl w:val="0"/>
                <w:numId w:val="21"/>
              </w:numPr>
              <w:snapToGrid w:val="0"/>
              <w:spacing w:before="120" w:after="120"/>
              <w:ind w:left="720"/>
              <w:contextualSpacing/>
              <w:jc w:val="both"/>
              <w:rPr>
                <w:rFonts w:ascii="Times New Roman" w:hAnsi="Times New Roman"/>
                <w:noProof/>
                <w:color w:val="000000"/>
              </w:rPr>
            </w:pPr>
            <w:r w:rsidRPr="00297E98">
              <w:rPr>
                <w:rFonts w:ascii="Times New Roman" w:hAnsi="Times New Roman"/>
                <w:noProof/>
              </w:rPr>
              <w:t>Committee opinion development</w:t>
            </w:r>
          </w:p>
          <w:p w14:paraId="6E62ECAD" w14:textId="77777777" w:rsidR="000A7D9D" w:rsidRPr="00297E98" w:rsidRDefault="000A7D9D" w:rsidP="000A7D9D">
            <w:pPr>
              <w:numPr>
                <w:ilvl w:val="0"/>
                <w:numId w:val="21"/>
              </w:numPr>
              <w:snapToGrid w:val="0"/>
              <w:spacing w:before="120" w:after="120"/>
              <w:ind w:left="720"/>
              <w:contextualSpacing/>
              <w:jc w:val="both"/>
              <w:rPr>
                <w:rFonts w:ascii="Times New Roman" w:hAnsi="Times New Roman"/>
                <w:noProof/>
                <w:color w:val="000000"/>
              </w:rPr>
            </w:pPr>
            <w:r w:rsidRPr="00297E98">
              <w:rPr>
                <w:rFonts w:ascii="Times New Roman" w:hAnsi="Times New Roman"/>
                <w:noProof/>
                <w:color w:val="000000" w:themeColor="text1"/>
              </w:rPr>
              <w:t>Existing IT capabilities for industry dossier submission, stakeholder consultation and dissemination</w:t>
            </w:r>
          </w:p>
        </w:tc>
      </w:tr>
      <w:tr w:rsidR="000A7D9D" w:rsidRPr="00297E98" w14:paraId="2B6D0568"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0526020C" w14:textId="77777777" w:rsidR="000A7D9D" w:rsidRPr="00297E98" w:rsidRDefault="000A7D9D" w:rsidP="00F31937">
            <w:pPr>
              <w:spacing w:before="120" w:after="120"/>
              <w:rPr>
                <w:rFonts w:ascii="Times New Roman" w:hAnsi="Times New Roman"/>
                <w:b/>
                <w:bCs/>
                <w:noProof/>
                <w:color w:val="000000"/>
              </w:rPr>
            </w:pPr>
            <w:r w:rsidRPr="00297E98">
              <w:rPr>
                <w:rFonts w:ascii="Times New Roman" w:hAnsi="Times New Roman"/>
                <w:b/>
                <w:bCs/>
                <w:noProof/>
                <w:color w:val="000000" w:themeColor="text1"/>
              </w:rPr>
              <w:t>Re-use of data</w:t>
            </w:r>
          </w:p>
        </w:tc>
        <w:tc>
          <w:tcPr>
            <w:tcW w:w="1080" w:type="dxa"/>
            <w:tcBorders>
              <w:top w:val="single" w:sz="4" w:space="0" w:color="auto"/>
              <w:left w:val="single" w:sz="4" w:space="0" w:color="auto"/>
              <w:bottom w:val="single" w:sz="4" w:space="0" w:color="auto"/>
              <w:right w:val="single" w:sz="4" w:space="0" w:color="auto"/>
            </w:tcBorders>
            <w:hideMark/>
          </w:tcPr>
          <w:p w14:paraId="1E2929BA"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Medium</w:t>
            </w:r>
          </w:p>
        </w:tc>
        <w:tc>
          <w:tcPr>
            <w:tcW w:w="6893" w:type="dxa"/>
            <w:tcBorders>
              <w:top w:val="single" w:sz="4" w:space="0" w:color="auto"/>
              <w:left w:val="single" w:sz="4" w:space="0" w:color="auto"/>
              <w:bottom w:val="single" w:sz="4" w:space="0" w:color="auto"/>
              <w:right w:val="single" w:sz="4" w:space="0" w:color="auto"/>
            </w:tcBorders>
            <w:hideMark/>
          </w:tcPr>
          <w:p w14:paraId="2C329438"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Reuse of substance identification and hazard data collected under other chemical legislation. Currently low availability of data on substances in products</w:t>
            </w:r>
            <w:r w:rsidRPr="00297E98">
              <w:rPr>
                <w:rFonts w:ascii="Times New Roman" w:hAnsi="Times New Roman"/>
                <w:noProof/>
              </w:rPr>
              <w:t xml:space="preserve"> </w:t>
            </w:r>
            <w:r w:rsidRPr="00297E98">
              <w:rPr>
                <w:rFonts w:ascii="Times New Roman" w:hAnsi="Times New Roman"/>
                <w:noProof/>
                <w:color w:val="000000" w:themeColor="text1"/>
              </w:rPr>
              <w:t>and no data available on migration of substances to water.</w:t>
            </w:r>
          </w:p>
        </w:tc>
      </w:tr>
      <w:tr w:rsidR="000A7D9D" w:rsidRPr="00297E98" w14:paraId="52982D03"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10753130" w14:textId="77777777" w:rsidR="000A7D9D" w:rsidRPr="00297E98" w:rsidRDefault="000A7D9D" w:rsidP="00F31937">
            <w:pPr>
              <w:spacing w:before="120" w:after="120"/>
              <w:rPr>
                <w:rFonts w:ascii="Times New Roman" w:hAnsi="Times New Roman"/>
                <w:b/>
                <w:bCs/>
                <w:noProof/>
                <w:color w:val="000000"/>
              </w:rPr>
            </w:pPr>
            <w:r w:rsidRPr="00297E98">
              <w:rPr>
                <w:rFonts w:ascii="Times New Roman" w:hAnsi="Times New Roman"/>
                <w:b/>
                <w:bCs/>
                <w:noProof/>
                <w:color w:val="000000" w:themeColor="text1"/>
              </w:rPr>
              <w:t>Workload balancing</w:t>
            </w:r>
          </w:p>
        </w:tc>
        <w:tc>
          <w:tcPr>
            <w:tcW w:w="1080" w:type="dxa"/>
            <w:tcBorders>
              <w:top w:val="single" w:sz="4" w:space="0" w:color="auto"/>
              <w:left w:val="single" w:sz="4" w:space="0" w:color="auto"/>
              <w:bottom w:val="single" w:sz="4" w:space="0" w:color="auto"/>
              <w:right w:val="single" w:sz="4" w:space="0" w:color="auto"/>
            </w:tcBorders>
            <w:hideMark/>
          </w:tcPr>
          <w:p w14:paraId="7AECC012"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Low</w:t>
            </w:r>
          </w:p>
        </w:tc>
        <w:tc>
          <w:tcPr>
            <w:tcW w:w="6893" w:type="dxa"/>
            <w:tcBorders>
              <w:top w:val="single" w:sz="4" w:space="0" w:color="auto"/>
              <w:left w:val="single" w:sz="4" w:space="0" w:color="auto"/>
              <w:bottom w:val="single" w:sz="4" w:space="0" w:color="auto"/>
              <w:right w:val="single" w:sz="4" w:space="0" w:color="auto"/>
            </w:tcBorders>
            <w:hideMark/>
          </w:tcPr>
          <w:p w14:paraId="6791773C"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With an estimated workload of developing 50-150 RAC opinions annually, there is little room for workload balancing.</w:t>
            </w:r>
          </w:p>
        </w:tc>
      </w:tr>
      <w:tr w:rsidR="000A7D9D" w:rsidRPr="00297E98" w14:paraId="49033CA9"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33039B5D" w14:textId="77777777" w:rsidR="000A7D9D" w:rsidRPr="00297E98" w:rsidRDefault="000A7D9D" w:rsidP="00F31937">
            <w:pPr>
              <w:spacing w:before="120" w:after="120"/>
              <w:rPr>
                <w:rFonts w:ascii="Times New Roman" w:hAnsi="Times New Roman"/>
                <w:b/>
                <w:bCs/>
                <w:noProof/>
                <w:color w:val="000000"/>
              </w:rPr>
            </w:pPr>
            <w:r w:rsidRPr="00297E98">
              <w:rPr>
                <w:rFonts w:ascii="Times New Roman" w:hAnsi="Times New Roman"/>
                <w:b/>
                <w:bCs/>
                <w:noProof/>
                <w:color w:val="000000" w:themeColor="text1"/>
              </w:rPr>
              <w:t>IT tools: automation and economies of scale</w:t>
            </w:r>
          </w:p>
        </w:tc>
        <w:tc>
          <w:tcPr>
            <w:tcW w:w="1080" w:type="dxa"/>
            <w:tcBorders>
              <w:top w:val="single" w:sz="4" w:space="0" w:color="auto"/>
              <w:left w:val="single" w:sz="4" w:space="0" w:color="auto"/>
              <w:bottom w:val="single" w:sz="4" w:space="0" w:color="auto"/>
              <w:right w:val="single" w:sz="4" w:space="0" w:color="auto"/>
            </w:tcBorders>
            <w:hideMark/>
          </w:tcPr>
          <w:p w14:paraId="2C6C1F5F"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High</w:t>
            </w:r>
          </w:p>
        </w:tc>
        <w:tc>
          <w:tcPr>
            <w:tcW w:w="6893" w:type="dxa"/>
            <w:tcBorders>
              <w:top w:val="single" w:sz="4" w:space="0" w:color="auto"/>
              <w:left w:val="single" w:sz="4" w:space="0" w:color="auto"/>
              <w:bottom w:val="single" w:sz="4" w:space="0" w:color="auto"/>
              <w:right w:val="single" w:sz="4" w:space="0" w:color="auto"/>
            </w:tcBorders>
            <w:hideMark/>
          </w:tcPr>
          <w:p w14:paraId="4AFC3828"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Industry actors can submit their applications reusing existing ECHA submission tools,</w:t>
            </w:r>
            <w:r w:rsidRPr="00297E98">
              <w:rPr>
                <w:rFonts w:ascii="Times New Roman" w:hAnsi="Times New Roman"/>
                <w:noProof/>
              </w:rPr>
              <w:t xml:space="preserve"> </w:t>
            </w:r>
            <w:r w:rsidRPr="00297E98">
              <w:rPr>
                <w:rFonts w:ascii="Times New Roman" w:hAnsi="Times New Roman"/>
                <w:noProof/>
                <w:color w:val="000000" w:themeColor="text1"/>
              </w:rPr>
              <w:t>which will be adapted to the needs of the EU positive lists, at the same time automating the existing process. In addition, reuse of IT capabilities for case management, public consultation, interaction with Member States, regulatory intentions management and data dissemination.</w:t>
            </w:r>
          </w:p>
        </w:tc>
      </w:tr>
      <w:tr w:rsidR="000A7D9D" w:rsidRPr="00297E98" w14:paraId="66CEFDC5"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1C3AE8FA" w14:textId="77777777" w:rsidR="000A7D9D" w:rsidRPr="00297E98" w:rsidRDefault="000A7D9D" w:rsidP="00F31937">
            <w:pPr>
              <w:spacing w:before="120" w:after="120"/>
              <w:rPr>
                <w:rFonts w:ascii="Times New Roman" w:hAnsi="Times New Roman"/>
                <w:b/>
                <w:bCs/>
                <w:noProof/>
                <w:color w:val="000000"/>
              </w:rPr>
            </w:pPr>
            <w:r w:rsidRPr="00297E98">
              <w:rPr>
                <w:rFonts w:ascii="Times New Roman" w:hAnsi="Times New Roman"/>
                <w:b/>
                <w:bCs/>
                <w:noProof/>
                <w:color w:val="000000" w:themeColor="text1"/>
              </w:rPr>
              <w:t>Support services: economies of scale</w:t>
            </w:r>
          </w:p>
        </w:tc>
        <w:tc>
          <w:tcPr>
            <w:tcW w:w="1080" w:type="dxa"/>
            <w:tcBorders>
              <w:top w:val="single" w:sz="4" w:space="0" w:color="auto"/>
              <w:left w:val="single" w:sz="4" w:space="0" w:color="auto"/>
              <w:bottom w:val="single" w:sz="4" w:space="0" w:color="auto"/>
              <w:right w:val="single" w:sz="4" w:space="0" w:color="auto"/>
            </w:tcBorders>
            <w:hideMark/>
          </w:tcPr>
          <w:p w14:paraId="1B088089"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High</w:t>
            </w:r>
          </w:p>
        </w:tc>
        <w:tc>
          <w:tcPr>
            <w:tcW w:w="6893" w:type="dxa"/>
            <w:tcBorders>
              <w:top w:val="single" w:sz="4" w:space="0" w:color="auto"/>
              <w:left w:val="single" w:sz="4" w:space="0" w:color="auto"/>
              <w:bottom w:val="single" w:sz="4" w:space="0" w:color="auto"/>
              <w:right w:val="single" w:sz="4" w:space="0" w:color="auto"/>
            </w:tcBorders>
            <w:hideMark/>
          </w:tcPr>
          <w:p w14:paraId="3037C6B6"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Reuse of scientific support services (e.g. committee secretariat, prioritisation and grouping of substances, substance identification, data management and dissemination). Reuse of administrative services.</w:t>
            </w:r>
          </w:p>
        </w:tc>
      </w:tr>
    </w:tbl>
    <w:p w14:paraId="2DEA5D9D" w14:textId="77777777" w:rsidR="000A7D9D" w:rsidRPr="00297E98" w:rsidRDefault="000A7D9D" w:rsidP="000A7D9D">
      <w:pPr>
        <w:pStyle w:val="BodyText"/>
        <w:jc w:val="both"/>
        <w:rPr>
          <w:noProof/>
        </w:rPr>
      </w:pPr>
    </w:p>
    <w:tbl>
      <w:tblPr>
        <w:tblStyle w:val="TableGrid23"/>
        <w:tblW w:w="9629" w:type="dxa"/>
        <w:tblLook w:val="04A0" w:firstRow="1" w:lastRow="0" w:firstColumn="1" w:lastColumn="0" w:noHBand="0" w:noVBand="1"/>
      </w:tblPr>
      <w:tblGrid>
        <w:gridCol w:w="1822"/>
        <w:gridCol w:w="1065"/>
        <w:gridCol w:w="6742"/>
      </w:tblGrid>
      <w:tr w:rsidR="000A7D9D" w:rsidRPr="00297E98" w14:paraId="34895908"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13160ADB" w14:textId="77777777" w:rsidR="000A7D9D" w:rsidRPr="00297E98" w:rsidRDefault="000A7D9D" w:rsidP="00F31937">
            <w:pPr>
              <w:spacing w:before="120" w:after="120"/>
              <w:jc w:val="both"/>
              <w:rPr>
                <w:rFonts w:ascii="Times New Roman" w:hAnsi="Times New Roman"/>
                <w:b/>
                <w:bCs/>
                <w:noProof/>
                <w:color w:val="0046AD"/>
              </w:rPr>
            </w:pPr>
            <w:r w:rsidRPr="00297E98">
              <w:rPr>
                <w:rFonts w:ascii="Times New Roman" w:hAnsi="Times New Roman"/>
                <w:b/>
                <w:bCs/>
                <w:noProof/>
                <w:color w:val="4472C4" w:themeColor="accent1"/>
              </w:rPr>
              <w:t>Type</w:t>
            </w:r>
          </w:p>
        </w:tc>
        <w:tc>
          <w:tcPr>
            <w:tcW w:w="7807" w:type="dxa"/>
            <w:gridSpan w:val="2"/>
            <w:tcBorders>
              <w:top w:val="single" w:sz="4" w:space="0" w:color="auto"/>
              <w:left w:val="single" w:sz="4" w:space="0" w:color="auto"/>
              <w:bottom w:val="single" w:sz="4" w:space="0" w:color="auto"/>
              <w:right w:val="single" w:sz="4" w:space="0" w:color="auto"/>
            </w:tcBorders>
            <w:hideMark/>
          </w:tcPr>
          <w:p w14:paraId="4FAB3D96" w14:textId="77777777" w:rsidR="000A7D9D" w:rsidRPr="00297E98" w:rsidRDefault="000A7D9D" w:rsidP="00F31937">
            <w:pPr>
              <w:spacing w:before="120" w:after="120"/>
              <w:jc w:val="both"/>
              <w:rPr>
                <w:rFonts w:ascii="Times New Roman" w:hAnsi="Times New Roman"/>
                <w:b/>
                <w:bCs/>
                <w:noProof/>
                <w:color w:val="0046AD"/>
              </w:rPr>
            </w:pPr>
            <w:r w:rsidRPr="00297E98">
              <w:rPr>
                <w:rFonts w:ascii="Times New Roman" w:hAnsi="Times New Roman"/>
                <w:b/>
                <w:bCs/>
                <w:noProof/>
                <w:color w:val="4472C4" w:themeColor="accent1"/>
              </w:rPr>
              <w:t>Added value</w:t>
            </w:r>
          </w:p>
          <w:p w14:paraId="77668F03" w14:textId="77777777" w:rsidR="000A7D9D" w:rsidRPr="00297E98" w:rsidRDefault="000A7D9D" w:rsidP="00F31937">
            <w:pPr>
              <w:spacing w:before="120" w:after="120"/>
              <w:jc w:val="both"/>
              <w:rPr>
                <w:rFonts w:ascii="Times New Roman" w:hAnsi="Times New Roman"/>
                <w:b/>
                <w:bCs/>
                <w:noProof/>
                <w:color w:val="0046AD"/>
              </w:rPr>
            </w:pPr>
          </w:p>
        </w:tc>
      </w:tr>
      <w:tr w:rsidR="000A7D9D" w:rsidRPr="00297E98" w14:paraId="34ECB706"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142953F6" w14:textId="77777777" w:rsidR="000A7D9D" w:rsidRPr="00297E98" w:rsidRDefault="000A7D9D" w:rsidP="00F31937">
            <w:pPr>
              <w:spacing w:before="120" w:after="120"/>
              <w:jc w:val="both"/>
              <w:rPr>
                <w:rFonts w:ascii="Times New Roman" w:hAnsi="Times New Roman"/>
                <w:b/>
                <w:bCs/>
                <w:noProof/>
                <w:color w:val="000000"/>
              </w:rPr>
            </w:pPr>
            <w:r w:rsidRPr="00297E98">
              <w:rPr>
                <w:rFonts w:ascii="Times New Roman" w:hAnsi="Times New Roman"/>
                <w:b/>
                <w:bCs/>
                <w:noProof/>
                <w:color w:val="000000" w:themeColor="text1"/>
              </w:rPr>
              <w:t>Scientific consistency</w:t>
            </w:r>
          </w:p>
        </w:tc>
        <w:tc>
          <w:tcPr>
            <w:tcW w:w="1065" w:type="dxa"/>
            <w:tcBorders>
              <w:top w:val="single" w:sz="4" w:space="0" w:color="auto"/>
              <w:left w:val="single" w:sz="4" w:space="0" w:color="auto"/>
              <w:bottom w:val="single" w:sz="4" w:space="0" w:color="auto"/>
              <w:right w:val="single" w:sz="4" w:space="0" w:color="auto"/>
            </w:tcBorders>
            <w:hideMark/>
          </w:tcPr>
          <w:p w14:paraId="1086C5DC"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High</w:t>
            </w:r>
          </w:p>
        </w:tc>
        <w:tc>
          <w:tcPr>
            <w:tcW w:w="6742" w:type="dxa"/>
            <w:tcBorders>
              <w:top w:val="single" w:sz="4" w:space="0" w:color="auto"/>
              <w:left w:val="single" w:sz="4" w:space="0" w:color="auto"/>
              <w:bottom w:val="single" w:sz="4" w:space="0" w:color="auto"/>
              <w:right w:val="single" w:sz="4" w:space="0" w:color="auto"/>
            </w:tcBorders>
            <w:hideMark/>
          </w:tcPr>
          <w:p w14:paraId="1D6132F6"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Opportunity to align priority setting, timeline, process and methodology at EU level to improve equal EU market access and coherence in the scientific advice provided to the Commission. Reuse of assessment insights developed under other chemical legislation.</w:t>
            </w:r>
            <w:r w:rsidRPr="00297E98">
              <w:rPr>
                <w:rFonts w:ascii="Times New Roman" w:hAnsi="Times New Roman"/>
                <w:noProof/>
              </w:rPr>
              <w:t xml:space="preserve"> </w:t>
            </w:r>
            <w:r w:rsidRPr="00297E98">
              <w:rPr>
                <w:rFonts w:ascii="Times New Roman" w:hAnsi="Times New Roman"/>
                <w:noProof/>
                <w:color w:val="000000" w:themeColor="text1"/>
              </w:rPr>
              <w:t>Opportunities to put into practice the One Substance-One Assessment for substances of interest to both drinking water (ECHA) and food contact materials (EFSA).</w:t>
            </w:r>
          </w:p>
        </w:tc>
      </w:tr>
      <w:tr w:rsidR="000A7D9D" w:rsidRPr="00297E98" w14:paraId="49C098F7"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783628BC" w14:textId="77777777" w:rsidR="000A7D9D" w:rsidRPr="00297E98" w:rsidRDefault="000A7D9D" w:rsidP="00F31937">
            <w:pPr>
              <w:spacing w:before="120" w:after="120"/>
              <w:jc w:val="both"/>
              <w:rPr>
                <w:rFonts w:ascii="Times New Roman" w:hAnsi="Times New Roman"/>
                <w:b/>
                <w:bCs/>
                <w:noProof/>
                <w:color w:val="000000"/>
              </w:rPr>
            </w:pPr>
            <w:r w:rsidRPr="00297E98">
              <w:rPr>
                <w:rFonts w:ascii="Times New Roman" w:hAnsi="Times New Roman"/>
                <w:b/>
                <w:bCs/>
                <w:noProof/>
                <w:color w:val="000000" w:themeColor="text1"/>
              </w:rPr>
              <w:t>Robustness of assessment and acceptance</w:t>
            </w:r>
          </w:p>
        </w:tc>
        <w:tc>
          <w:tcPr>
            <w:tcW w:w="1065" w:type="dxa"/>
            <w:tcBorders>
              <w:top w:val="single" w:sz="4" w:space="0" w:color="auto"/>
              <w:left w:val="single" w:sz="4" w:space="0" w:color="auto"/>
              <w:bottom w:val="single" w:sz="4" w:space="0" w:color="auto"/>
              <w:right w:val="single" w:sz="4" w:space="0" w:color="auto"/>
            </w:tcBorders>
            <w:hideMark/>
          </w:tcPr>
          <w:p w14:paraId="50C5A00B"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High</w:t>
            </w:r>
          </w:p>
        </w:tc>
        <w:tc>
          <w:tcPr>
            <w:tcW w:w="6742" w:type="dxa"/>
            <w:tcBorders>
              <w:top w:val="single" w:sz="4" w:space="0" w:color="auto"/>
              <w:left w:val="single" w:sz="4" w:space="0" w:color="auto"/>
              <w:bottom w:val="single" w:sz="4" w:space="0" w:color="auto"/>
              <w:right w:val="single" w:sz="4" w:space="0" w:color="auto"/>
            </w:tcBorders>
            <w:hideMark/>
          </w:tcPr>
          <w:p w14:paraId="4899A7A1"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Harmonising market access and scientific work from Member State level to EU level. Additional involvement of RAC committee adds more scientific robustness to the process.</w:t>
            </w:r>
          </w:p>
        </w:tc>
      </w:tr>
      <w:tr w:rsidR="000A7D9D" w:rsidRPr="00297E98" w14:paraId="47F54464"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7CB90E86" w14:textId="77777777" w:rsidR="000A7D9D" w:rsidRPr="00297E98" w:rsidRDefault="000A7D9D" w:rsidP="00F31937">
            <w:pPr>
              <w:spacing w:before="120" w:after="120"/>
              <w:jc w:val="both"/>
              <w:rPr>
                <w:rFonts w:ascii="Times New Roman" w:hAnsi="Times New Roman"/>
                <w:b/>
                <w:bCs/>
                <w:noProof/>
                <w:color w:val="000000"/>
              </w:rPr>
            </w:pPr>
            <w:r w:rsidRPr="00297E98">
              <w:rPr>
                <w:rFonts w:ascii="Times New Roman" w:hAnsi="Times New Roman"/>
                <w:b/>
                <w:bCs/>
                <w:noProof/>
                <w:color w:val="000000" w:themeColor="text1"/>
              </w:rPr>
              <w:t>Independence</w:t>
            </w:r>
          </w:p>
        </w:tc>
        <w:tc>
          <w:tcPr>
            <w:tcW w:w="1065" w:type="dxa"/>
            <w:tcBorders>
              <w:top w:val="single" w:sz="4" w:space="0" w:color="auto"/>
              <w:left w:val="single" w:sz="4" w:space="0" w:color="auto"/>
              <w:bottom w:val="single" w:sz="4" w:space="0" w:color="auto"/>
              <w:right w:val="single" w:sz="4" w:space="0" w:color="auto"/>
            </w:tcBorders>
            <w:hideMark/>
          </w:tcPr>
          <w:p w14:paraId="626F1FDE"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High</w:t>
            </w:r>
          </w:p>
        </w:tc>
        <w:tc>
          <w:tcPr>
            <w:tcW w:w="6742" w:type="dxa"/>
            <w:tcBorders>
              <w:top w:val="single" w:sz="4" w:space="0" w:color="auto"/>
              <w:left w:val="single" w:sz="4" w:space="0" w:color="auto"/>
              <w:bottom w:val="single" w:sz="4" w:space="0" w:color="auto"/>
              <w:right w:val="single" w:sz="4" w:space="0" w:color="auto"/>
            </w:tcBorders>
            <w:hideMark/>
          </w:tcPr>
          <w:p w14:paraId="5C2664C8"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Moving scientific work from Member State level to EU agency experts and committees. ECHA and its committees work under strict conflict of interest avoidance rules, improving guarantees of independent scientific advice to the Commission.</w:t>
            </w:r>
          </w:p>
        </w:tc>
      </w:tr>
      <w:tr w:rsidR="000A7D9D" w:rsidRPr="00297E98" w14:paraId="10F91A53"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274D9436" w14:textId="77777777" w:rsidR="000A7D9D" w:rsidRPr="00297E98" w:rsidRDefault="000A7D9D" w:rsidP="00F31937">
            <w:pPr>
              <w:spacing w:before="120" w:after="120"/>
              <w:jc w:val="both"/>
              <w:rPr>
                <w:rFonts w:ascii="Times New Roman" w:hAnsi="Times New Roman"/>
                <w:b/>
                <w:bCs/>
                <w:noProof/>
                <w:color w:val="000000"/>
              </w:rPr>
            </w:pPr>
            <w:r w:rsidRPr="00297E98">
              <w:rPr>
                <w:rFonts w:ascii="Times New Roman" w:hAnsi="Times New Roman"/>
                <w:b/>
                <w:bCs/>
                <w:noProof/>
                <w:color w:val="000000" w:themeColor="text1"/>
              </w:rPr>
              <w:t>Transparency</w:t>
            </w:r>
          </w:p>
        </w:tc>
        <w:tc>
          <w:tcPr>
            <w:tcW w:w="1065" w:type="dxa"/>
            <w:tcBorders>
              <w:top w:val="single" w:sz="4" w:space="0" w:color="auto"/>
              <w:left w:val="single" w:sz="4" w:space="0" w:color="auto"/>
              <w:bottom w:val="single" w:sz="4" w:space="0" w:color="auto"/>
              <w:right w:val="single" w:sz="4" w:space="0" w:color="auto"/>
            </w:tcBorders>
            <w:hideMark/>
          </w:tcPr>
          <w:p w14:paraId="663B93F6"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High</w:t>
            </w:r>
          </w:p>
        </w:tc>
        <w:tc>
          <w:tcPr>
            <w:tcW w:w="6742" w:type="dxa"/>
            <w:tcBorders>
              <w:top w:val="single" w:sz="4" w:space="0" w:color="auto"/>
              <w:left w:val="single" w:sz="4" w:space="0" w:color="auto"/>
              <w:bottom w:val="single" w:sz="4" w:space="0" w:color="auto"/>
              <w:right w:val="single" w:sz="4" w:space="0" w:color="auto"/>
            </w:tcBorders>
            <w:hideMark/>
          </w:tcPr>
          <w:p w14:paraId="16A834FD" w14:textId="77777777" w:rsidR="000A7D9D" w:rsidRPr="00297E98" w:rsidRDefault="000A7D9D" w:rsidP="00F31937">
            <w:pPr>
              <w:spacing w:before="120" w:after="120"/>
              <w:jc w:val="both"/>
              <w:rPr>
                <w:rFonts w:ascii="Times New Roman" w:hAnsi="Times New Roman"/>
                <w:noProof/>
                <w:color w:val="000000"/>
              </w:rPr>
            </w:pPr>
            <w:r w:rsidRPr="00297E98">
              <w:rPr>
                <w:rFonts w:ascii="Times New Roman" w:hAnsi="Times New Roman"/>
                <w:noProof/>
                <w:color w:val="000000" w:themeColor="text1"/>
              </w:rPr>
              <w:t>ECHA’s involvement will ensure transparency to the process:</w:t>
            </w:r>
          </w:p>
          <w:p w14:paraId="4E05819C" w14:textId="77777777" w:rsidR="000A7D9D" w:rsidRPr="00297E98" w:rsidRDefault="000A7D9D" w:rsidP="000A7D9D">
            <w:pPr>
              <w:numPr>
                <w:ilvl w:val="0"/>
                <w:numId w:val="21"/>
              </w:numPr>
              <w:snapToGrid w:val="0"/>
              <w:spacing w:before="120" w:after="120"/>
              <w:ind w:left="720"/>
              <w:contextualSpacing/>
              <w:jc w:val="both"/>
              <w:rPr>
                <w:rFonts w:ascii="Times New Roman" w:hAnsi="Times New Roman"/>
                <w:noProof/>
                <w:color w:val="000000"/>
              </w:rPr>
            </w:pPr>
            <w:r w:rsidRPr="00297E98">
              <w:rPr>
                <w:rFonts w:ascii="Times New Roman" w:hAnsi="Times New Roman"/>
                <w:noProof/>
                <w:color w:val="000000" w:themeColor="text1"/>
              </w:rPr>
              <w:t>Overall process transparency</w:t>
            </w:r>
          </w:p>
          <w:p w14:paraId="444A2440" w14:textId="77777777" w:rsidR="000A7D9D" w:rsidRPr="00297E98" w:rsidRDefault="000A7D9D" w:rsidP="000A7D9D">
            <w:pPr>
              <w:numPr>
                <w:ilvl w:val="0"/>
                <w:numId w:val="21"/>
              </w:numPr>
              <w:snapToGrid w:val="0"/>
              <w:spacing w:before="120" w:after="120"/>
              <w:ind w:left="720"/>
              <w:contextualSpacing/>
              <w:jc w:val="both"/>
              <w:rPr>
                <w:rFonts w:ascii="Times New Roman" w:hAnsi="Times New Roman"/>
                <w:noProof/>
                <w:color w:val="000000"/>
              </w:rPr>
            </w:pPr>
            <w:r w:rsidRPr="00297E98">
              <w:rPr>
                <w:rFonts w:ascii="Times New Roman" w:hAnsi="Times New Roman"/>
                <w:noProof/>
                <w:color w:val="000000" w:themeColor="text1"/>
              </w:rPr>
              <w:t>Publication of regulatory intentions of EU authorities and application submission intentions improves predictability for all stakeholders</w:t>
            </w:r>
          </w:p>
          <w:p w14:paraId="6B5D7846" w14:textId="77777777" w:rsidR="000A7D9D" w:rsidRPr="00297E98" w:rsidRDefault="000A7D9D" w:rsidP="000A7D9D">
            <w:pPr>
              <w:numPr>
                <w:ilvl w:val="0"/>
                <w:numId w:val="21"/>
              </w:numPr>
              <w:snapToGrid w:val="0"/>
              <w:spacing w:before="120" w:after="120"/>
              <w:ind w:left="720"/>
              <w:contextualSpacing/>
              <w:jc w:val="both"/>
              <w:rPr>
                <w:rFonts w:ascii="Times New Roman" w:hAnsi="Times New Roman"/>
                <w:noProof/>
                <w:color w:val="000000"/>
              </w:rPr>
            </w:pPr>
            <w:r w:rsidRPr="00297E98">
              <w:rPr>
                <w:rFonts w:ascii="Times New Roman" w:hAnsi="Times New Roman"/>
                <w:noProof/>
                <w:color w:val="000000" w:themeColor="text1"/>
              </w:rPr>
              <w:t>Public consultation/call for evidence</w:t>
            </w:r>
          </w:p>
          <w:p w14:paraId="7BDC0B24" w14:textId="77777777" w:rsidR="000A7D9D" w:rsidRPr="00297E98" w:rsidRDefault="000A7D9D" w:rsidP="000A7D9D">
            <w:pPr>
              <w:numPr>
                <w:ilvl w:val="0"/>
                <w:numId w:val="21"/>
              </w:numPr>
              <w:snapToGrid w:val="0"/>
              <w:spacing w:before="120" w:after="120"/>
              <w:ind w:left="720"/>
              <w:contextualSpacing/>
              <w:jc w:val="both"/>
              <w:rPr>
                <w:rFonts w:ascii="Times New Roman" w:hAnsi="Times New Roman"/>
                <w:noProof/>
                <w:color w:val="000000"/>
              </w:rPr>
            </w:pPr>
            <w:r w:rsidRPr="00297E98">
              <w:rPr>
                <w:rFonts w:ascii="Times New Roman" w:hAnsi="Times New Roman"/>
                <w:noProof/>
                <w:color w:val="000000" w:themeColor="text1"/>
              </w:rPr>
              <w:t>Stakeholder involvement/observer status</w:t>
            </w:r>
          </w:p>
          <w:p w14:paraId="43A44BB4" w14:textId="77777777" w:rsidR="000A7D9D" w:rsidRPr="00297E98" w:rsidRDefault="000A7D9D" w:rsidP="000A7D9D">
            <w:pPr>
              <w:numPr>
                <w:ilvl w:val="0"/>
                <w:numId w:val="21"/>
              </w:numPr>
              <w:snapToGrid w:val="0"/>
              <w:spacing w:before="120" w:after="120"/>
              <w:ind w:left="720"/>
              <w:contextualSpacing/>
              <w:jc w:val="both"/>
              <w:rPr>
                <w:rFonts w:ascii="Times New Roman" w:hAnsi="Times New Roman"/>
                <w:noProof/>
                <w:color w:val="000000"/>
              </w:rPr>
            </w:pPr>
            <w:r w:rsidRPr="00297E98">
              <w:rPr>
                <w:rFonts w:ascii="Times New Roman" w:hAnsi="Times New Roman"/>
                <w:noProof/>
                <w:color w:val="000000" w:themeColor="text1"/>
              </w:rPr>
              <w:t>Dissemination of scientific data and outcomes</w:t>
            </w:r>
          </w:p>
        </w:tc>
      </w:tr>
    </w:tbl>
    <w:p w14:paraId="3F73A523" w14:textId="77777777" w:rsidR="000A7D9D" w:rsidRPr="00297E98" w:rsidRDefault="000A7D9D" w:rsidP="000A7D9D">
      <w:pPr>
        <w:spacing w:after="120"/>
        <w:rPr>
          <w:rFonts w:ascii="Times New Roman" w:hAnsi="Times New Roman" w:cs="Times New Roman"/>
          <w:b/>
          <w:bCs/>
          <w:noProof/>
        </w:rPr>
      </w:pPr>
    </w:p>
    <w:p w14:paraId="52931864" w14:textId="77777777" w:rsidR="000A7D9D" w:rsidRPr="00297E98" w:rsidRDefault="000A7D9D" w:rsidP="000A7D9D">
      <w:pPr>
        <w:spacing w:after="120"/>
        <w:rPr>
          <w:rFonts w:ascii="Times New Roman" w:hAnsi="Times New Roman" w:cs="Times New Roman"/>
          <w:b/>
          <w:noProof/>
          <w:sz w:val="24"/>
          <w:szCs w:val="24"/>
        </w:rPr>
      </w:pPr>
      <w:r w:rsidRPr="00297E98">
        <w:rPr>
          <w:rFonts w:ascii="Times New Roman" w:hAnsi="Times New Roman" w:cs="Times New Roman"/>
          <w:b/>
          <w:bCs/>
          <w:noProof/>
          <w:sz w:val="24"/>
          <w:szCs w:val="24"/>
        </w:rPr>
        <w:t xml:space="preserve">Main risks and opportunities: </w:t>
      </w:r>
      <w:r w:rsidRPr="00297E98">
        <w:rPr>
          <w:rFonts w:ascii="Times New Roman" w:hAnsi="Times New Roman" w:cs="Times New Roman"/>
          <w:noProof/>
          <w:sz w:val="24"/>
          <w:szCs w:val="24"/>
        </w:rPr>
        <w:t>The high impact of the work on the RAC committee needs to be addressed.</w:t>
      </w:r>
    </w:p>
    <w:p w14:paraId="701B84A6"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Projected impact on ECHA:</w:t>
      </w:r>
    </w:p>
    <w:p w14:paraId="6ABCC9B7" w14:textId="77777777" w:rsidR="000A7D9D" w:rsidRPr="00297E98" w:rsidRDefault="000A7D9D" w:rsidP="000A7D9D">
      <w:pPr>
        <w:pStyle w:val="BodyText"/>
        <w:widowControl w:val="0"/>
        <w:numPr>
          <w:ilvl w:val="0"/>
          <w:numId w:val="121"/>
        </w:numPr>
        <w:spacing w:after="240"/>
        <w:rPr>
          <w:noProof/>
        </w:rPr>
      </w:pPr>
      <w:r w:rsidRPr="00297E98">
        <w:rPr>
          <w:noProof/>
        </w:rPr>
        <w:t xml:space="preserve">ECHA Committees/bodies: </w:t>
      </w:r>
      <w:r w:rsidRPr="00297E98">
        <w:rPr>
          <w:b/>
          <w:noProof/>
        </w:rPr>
        <w:t>high impact</w:t>
      </w:r>
      <w:r w:rsidRPr="00297E98">
        <w:rPr>
          <w:noProof/>
        </w:rPr>
        <w:t>. The task generates major impact on the setup / organisation / staffing of Committees/bodies due to significant additional workload</w:t>
      </w:r>
    </w:p>
    <w:tbl>
      <w:tblPr>
        <w:tblStyle w:val="TableGrid"/>
        <w:tblW w:w="9072" w:type="dxa"/>
        <w:tblInd w:w="562" w:type="dxa"/>
        <w:tblLook w:val="04A0" w:firstRow="1" w:lastRow="0" w:firstColumn="1" w:lastColumn="0" w:noHBand="0" w:noVBand="1"/>
      </w:tblPr>
      <w:tblGrid>
        <w:gridCol w:w="1696"/>
        <w:gridCol w:w="1076"/>
        <w:gridCol w:w="1338"/>
        <w:gridCol w:w="1134"/>
        <w:gridCol w:w="1134"/>
        <w:gridCol w:w="1418"/>
        <w:gridCol w:w="1276"/>
      </w:tblGrid>
      <w:tr w:rsidR="000A7D9D" w:rsidRPr="00297E98" w14:paraId="181A8438" w14:textId="77777777" w:rsidTr="00F31937">
        <w:tc>
          <w:tcPr>
            <w:tcW w:w="1696" w:type="dxa"/>
          </w:tcPr>
          <w:p w14:paraId="67936398" w14:textId="77777777" w:rsidR="000A7D9D" w:rsidRPr="00297E98" w:rsidRDefault="000A7D9D" w:rsidP="00F31937">
            <w:pPr>
              <w:pStyle w:val="BodyText"/>
              <w:rPr>
                <w:b/>
                <w:bCs/>
                <w:noProof/>
                <w:sz w:val="18"/>
                <w:szCs w:val="18"/>
              </w:rPr>
            </w:pPr>
          </w:p>
        </w:tc>
        <w:tc>
          <w:tcPr>
            <w:tcW w:w="1076" w:type="dxa"/>
          </w:tcPr>
          <w:p w14:paraId="1C60B090" w14:textId="77777777" w:rsidR="000A7D9D" w:rsidRPr="00297E98" w:rsidRDefault="000A7D9D" w:rsidP="00F31937">
            <w:pPr>
              <w:pStyle w:val="BodyText"/>
              <w:rPr>
                <w:b/>
                <w:bCs/>
                <w:noProof/>
                <w:sz w:val="18"/>
                <w:szCs w:val="18"/>
              </w:rPr>
            </w:pPr>
            <w:r w:rsidRPr="00297E98">
              <w:rPr>
                <w:b/>
                <w:bCs/>
                <w:noProof/>
                <w:sz w:val="18"/>
                <w:szCs w:val="18"/>
              </w:rPr>
              <w:t>RAC</w:t>
            </w:r>
          </w:p>
        </w:tc>
        <w:tc>
          <w:tcPr>
            <w:tcW w:w="1338" w:type="dxa"/>
          </w:tcPr>
          <w:p w14:paraId="44623ED5" w14:textId="77777777" w:rsidR="000A7D9D" w:rsidRPr="00297E98" w:rsidRDefault="000A7D9D" w:rsidP="00F31937">
            <w:pPr>
              <w:pStyle w:val="BodyText"/>
              <w:rPr>
                <w:b/>
                <w:bCs/>
                <w:noProof/>
                <w:sz w:val="18"/>
                <w:szCs w:val="18"/>
              </w:rPr>
            </w:pPr>
          </w:p>
        </w:tc>
        <w:tc>
          <w:tcPr>
            <w:tcW w:w="1134" w:type="dxa"/>
          </w:tcPr>
          <w:p w14:paraId="081145E7" w14:textId="77777777" w:rsidR="000A7D9D" w:rsidRPr="00297E98" w:rsidRDefault="000A7D9D" w:rsidP="00F31937">
            <w:pPr>
              <w:pStyle w:val="BodyText"/>
              <w:rPr>
                <w:b/>
                <w:bCs/>
                <w:noProof/>
                <w:sz w:val="18"/>
                <w:szCs w:val="18"/>
              </w:rPr>
            </w:pPr>
          </w:p>
        </w:tc>
        <w:tc>
          <w:tcPr>
            <w:tcW w:w="1134" w:type="dxa"/>
          </w:tcPr>
          <w:p w14:paraId="19B35E33" w14:textId="77777777" w:rsidR="000A7D9D" w:rsidRPr="00297E98" w:rsidRDefault="000A7D9D" w:rsidP="00F31937">
            <w:pPr>
              <w:pStyle w:val="BodyText"/>
              <w:rPr>
                <w:b/>
                <w:bCs/>
                <w:noProof/>
                <w:sz w:val="18"/>
                <w:szCs w:val="18"/>
              </w:rPr>
            </w:pPr>
            <w:r w:rsidRPr="00297E98">
              <w:rPr>
                <w:b/>
                <w:bCs/>
                <w:noProof/>
                <w:sz w:val="18"/>
                <w:szCs w:val="18"/>
              </w:rPr>
              <w:t>SEAC</w:t>
            </w:r>
          </w:p>
        </w:tc>
        <w:tc>
          <w:tcPr>
            <w:tcW w:w="1418" w:type="dxa"/>
          </w:tcPr>
          <w:p w14:paraId="1131959C" w14:textId="77777777" w:rsidR="000A7D9D" w:rsidRPr="00297E98" w:rsidRDefault="000A7D9D" w:rsidP="00F31937">
            <w:pPr>
              <w:pStyle w:val="BodyText"/>
              <w:rPr>
                <w:b/>
                <w:bCs/>
                <w:noProof/>
                <w:sz w:val="18"/>
                <w:szCs w:val="18"/>
              </w:rPr>
            </w:pPr>
          </w:p>
        </w:tc>
        <w:tc>
          <w:tcPr>
            <w:tcW w:w="1276" w:type="dxa"/>
          </w:tcPr>
          <w:p w14:paraId="3645354C" w14:textId="77777777" w:rsidR="000A7D9D" w:rsidRPr="00297E98" w:rsidRDefault="000A7D9D" w:rsidP="00F31937">
            <w:pPr>
              <w:pStyle w:val="BodyText"/>
              <w:rPr>
                <w:b/>
                <w:bCs/>
                <w:noProof/>
                <w:sz w:val="18"/>
                <w:szCs w:val="18"/>
              </w:rPr>
            </w:pPr>
          </w:p>
        </w:tc>
      </w:tr>
      <w:tr w:rsidR="000A7D9D" w:rsidRPr="00297E98" w14:paraId="2851712F" w14:textId="77777777" w:rsidTr="00F31937">
        <w:tc>
          <w:tcPr>
            <w:tcW w:w="1696" w:type="dxa"/>
          </w:tcPr>
          <w:p w14:paraId="4C4F297E" w14:textId="77777777" w:rsidR="000A7D9D" w:rsidRPr="00297E98" w:rsidRDefault="000A7D9D" w:rsidP="00F31937">
            <w:pPr>
              <w:pStyle w:val="BodyText"/>
              <w:rPr>
                <w:b/>
                <w:bCs/>
                <w:noProof/>
                <w:sz w:val="18"/>
                <w:szCs w:val="18"/>
              </w:rPr>
            </w:pPr>
            <w:r w:rsidRPr="00297E98">
              <w:rPr>
                <w:b/>
                <w:bCs/>
                <w:noProof/>
                <w:sz w:val="18"/>
                <w:szCs w:val="18"/>
              </w:rPr>
              <w:t>Process</w:t>
            </w:r>
          </w:p>
        </w:tc>
        <w:tc>
          <w:tcPr>
            <w:tcW w:w="1076" w:type="dxa"/>
          </w:tcPr>
          <w:p w14:paraId="13F795C0" w14:textId="77777777" w:rsidR="000A7D9D" w:rsidRPr="00297E98" w:rsidRDefault="000A7D9D" w:rsidP="00F31937">
            <w:pPr>
              <w:pStyle w:val="BodyText"/>
              <w:rPr>
                <w:b/>
                <w:bCs/>
                <w:noProof/>
                <w:sz w:val="18"/>
                <w:szCs w:val="18"/>
              </w:rPr>
            </w:pPr>
            <w:r w:rsidRPr="00297E98">
              <w:rPr>
                <w:b/>
                <w:bCs/>
                <w:noProof/>
                <w:sz w:val="18"/>
                <w:szCs w:val="18"/>
              </w:rPr>
              <w:t># of opinions per year</w:t>
            </w:r>
          </w:p>
        </w:tc>
        <w:tc>
          <w:tcPr>
            <w:tcW w:w="1338" w:type="dxa"/>
          </w:tcPr>
          <w:p w14:paraId="1C38AB76" w14:textId="77777777" w:rsidR="000A7D9D" w:rsidRPr="00297E98" w:rsidRDefault="000A7D9D" w:rsidP="00F31937">
            <w:pPr>
              <w:pStyle w:val="BodyText"/>
              <w:rPr>
                <w:b/>
                <w:bCs/>
                <w:noProof/>
                <w:sz w:val="18"/>
                <w:szCs w:val="18"/>
              </w:rPr>
            </w:pPr>
            <w:r w:rsidRPr="00297E98">
              <w:rPr>
                <w:b/>
                <w:bCs/>
                <w:noProof/>
                <w:sz w:val="18"/>
                <w:szCs w:val="18"/>
              </w:rPr>
              <w:t>rapporteur</w:t>
            </w:r>
          </w:p>
        </w:tc>
        <w:tc>
          <w:tcPr>
            <w:tcW w:w="1134" w:type="dxa"/>
          </w:tcPr>
          <w:p w14:paraId="451696FF" w14:textId="77777777" w:rsidR="000A7D9D" w:rsidRPr="00297E98" w:rsidRDefault="000A7D9D" w:rsidP="00F31937">
            <w:pPr>
              <w:pStyle w:val="BodyText"/>
              <w:rPr>
                <w:b/>
                <w:bCs/>
                <w:noProof/>
                <w:sz w:val="18"/>
                <w:szCs w:val="18"/>
              </w:rPr>
            </w:pPr>
            <w:r w:rsidRPr="00297E98">
              <w:rPr>
                <w:b/>
                <w:bCs/>
                <w:noProof/>
                <w:sz w:val="18"/>
                <w:szCs w:val="18"/>
              </w:rPr>
              <w:t>Type of opinion</w:t>
            </w:r>
          </w:p>
        </w:tc>
        <w:tc>
          <w:tcPr>
            <w:tcW w:w="1134" w:type="dxa"/>
          </w:tcPr>
          <w:p w14:paraId="0EAB9945" w14:textId="77777777" w:rsidR="000A7D9D" w:rsidRPr="00297E98" w:rsidRDefault="000A7D9D" w:rsidP="00F31937">
            <w:pPr>
              <w:pStyle w:val="BodyText"/>
              <w:rPr>
                <w:b/>
                <w:bCs/>
                <w:noProof/>
                <w:sz w:val="18"/>
                <w:szCs w:val="18"/>
              </w:rPr>
            </w:pPr>
            <w:r w:rsidRPr="00297E98">
              <w:rPr>
                <w:b/>
                <w:bCs/>
                <w:noProof/>
                <w:sz w:val="18"/>
                <w:szCs w:val="18"/>
              </w:rPr>
              <w:t># of opinions per year</w:t>
            </w:r>
          </w:p>
        </w:tc>
        <w:tc>
          <w:tcPr>
            <w:tcW w:w="1418" w:type="dxa"/>
          </w:tcPr>
          <w:p w14:paraId="68239D5E" w14:textId="77777777" w:rsidR="000A7D9D" w:rsidRPr="00297E98" w:rsidRDefault="000A7D9D" w:rsidP="00F31937">
            <w:pPr>
              <w:pStyle w:val="BodyText"/>
              <w:rPr>
                <w:b/>
                <w:bCs/>
                <w:noProof/>
                <w:sz w:val="18"/>
                <w:szCs w:val="18"/>
              </w:rPr>
            </w:pPr>
            <w:r w:rsidRPr="00297E98">
              <w:rPr>
                <w:b/>
                <w:bCs/>
                <w:noProof/>
                <w:sz w:val="18"/>
                <w:szCs w:val="18"/>
              </w:rPr>
              <w:t>rapporteur</w:t>
            </w:r>
          </w:p>
        </w:tc>
        <w:tc>
          <w:tcPr>
            <w:tcW w:w="1276" w:type="dxa"/>
          </w:tcPr>
          <w:p w14:paraId="39590CEB" w14:textId="77777777" w:rsidR="000A7D9D" w:rsidRPr="00297E98" w:rsidRDefault="000A7D9D" w:rsidP="00F31937">
            <w:pPr>
              <w:pStyle w:val="BodyText"/>
              <w:rPr>
                <w:b/>
                <w:bCs/>
                <w:noProof/>
                <w:sz w:val="18"/>
                <w:szCs w:val="18"/>
              </w:rPr>
            </w:pPr>
            <w:r w:rsidRPr="00297E98">
              <w:rPr>
                <w:b/>
                <w:bCs/>
                <w:noProof/>
                <w:sz w:val="18"/>
                <w:szCs w:val="18"/>
              </w:rPr>
              <w:t>Type of opinion</w:t>
            </w:r>
          </w:p>
        </w:tc>
      </w:tr>
      <w:tr w:rsidR="000A7D9D" w:rsidRPr="00297E98" w14:paraId="029E0815" w14:textId="77777777" w:rsidTr="00F31937">
        <w:tc>
          <w:tcPr>
            <w:tcW w:w="1696" w:type="dxa"/>
          </w:tcPr>
          <w:p w14:paraId="576FDB6F" w14:textId="77777777" w:rsidR="000A7D9D" w:rsidRPr="00297E98" w:rsidRDefault="000A7D9D" w:rsidP="00F31937">
            <w:pPr>
              <w:pStyle w:val="BodyText"/>
              <w:rPr>
                <w:bCs/>
                <w:noProof/>
                <w:sz w:val="18"/>
                <w:szCs w:val="18"/>
              </w:rPr>
            </w:pPr>
            <w:r w:rsidRPr="00297E98">
              <w:rPr>
                <w:noProof/>
                <w:sz w:val="18"/>
                <w:szCs w:val="18"/>
              </w:rPr>
              <w:t>Assessment of applications and dossiers</w:t>
            </w:r>
          </w:p>
        </w:tc>
        <w:tc>
          <w:tcPr>
            <w:tcW w:w="1076" w:type="dxa"/>
          </w:tcPr>
          <w:p w14:paraId="79421679" w14:textId="77777777" w:rsidR="000A7D9D" w:rsidRPr="00297E98" w:rsidRDefault="000A7D9D" w:rsidP="00F31937">
            <w:pPr>
              <w:pStyle w:val="BodyText"/>
              <w:rPr>
                <w:bCs/>
                <w:noProof/>
                <w:sz w:val="18"/>
                <w:szCs w:val="18"/>
              </w:rPr>
            </w:pPr>
            <w:r w:rsidRPr="00297E98">
              <w:rPr>
                <w:bCs/>
                <w:noProof/>
                <w:sz w:val="18"/>
                <w:szCs w:val="18"/>
              </w:rPr>
              <w:t>50-</w:t>
            </w:r>
            <w:r w:rsidRPr="00297E98">
              <w:rPr>
                <w:noProof/>
                <w:sz w:val="18"/>
                <w:szCs w:val="18"/>
              </w:rPr>
              <w:t>150</w:t>
            </w:r>
          </w:p>
        </w:tc>
        <w:tc>
          <w:tcPr>
            <w:tcW w:w="1338" w:type="dxa"/>
          </w:tcPr>
          <w:p w14:paraId="77652866" w14:textId="77777777" w:rsidR="000A7D9D" w:rsidRPr="00297E98" w:rsidRDefault="000A7D9D" w:rsidP="00F31937">
            <w:pPr>
              <w:pStyle w:val="BodyText"/>
              <w:rPr>
                <w:bCs/>
                <w:noProof/>
                <w:sz w:val="18"/>
                <w:szCs w:val="18"/>
              </w:rPr>
            </w:pPr>
            <w:r w:rsidRPr="00297E98">
              <w:rPr>
                <w:bCs/>
                <w:noProof/>
                <w:sz w:val="18"/>
                <w:szCs w:val="18"/>
              </w:rPr>
              <w:t>RAC member</w:t>
            </w:r>
          </w:p>
        </w:tc>
        <w:tc>
          <w:tcPr>
            <w:tcW w:w="1134" w:type="dxa"/>
          </w:tcPr>
          <w:p w14:paraId="7ECBC869" w14:textId="77777777" w:rsidR="000A7D9D" w:rsidRPr="00297E98" w:rsidRDefault="000A7D9D" w:rsidP="00F31937">
            <w:pPr>
              <w:pStyle w:val="BodyText"/>
              <w:rPr>
                <w:bCs/>
                <w:noProof/>
                <w:sz w:val="18"/>
                <w:szCs w:val="18"/>
              </w:rPr>
            </w:pPr>
          </w:p>
        </w:tc>
        <w:tc>
          <w:tcPr>
            <w:tcW w:w="1134" w:type="dxa"/>
          </w:tcPr>
          <w:p w14:paraId="6AD471FB" w14:textId="77777777" w:rsidR="000A7D9D" w:rsidRPr="00297E98" w:rsidRDefault="000A7D9D" w:rsidP="00F31937">
            <w:pPr>
              <w:pStyle w:val="BodyText"/>
              <w:rPr>
                <w:bCs/>
                <w:noProof/>
                <w:sz w:val="18"/>
                <w:szCs w:val="18"/>
              </w:rPr>
            </w:pPr>
            <w:r w:rsidRPr="00297E98">
              <w:rPr>
                <w:bCs/>
                <w:noProof/>
                <w:sz w:val="18"/>
                <w:szCs w:val="18"/>
              </w:rPr>
              <w:t>0</w:t>
            </w:r>
          </w:p>
        </w:tc>
        <w:tc>
          <w:tcPr>
            <w:tcW w:w="1418" w:type="dxa"/>
          </w:tcPr>
          <w:p w14:paraId="7325A48A" w14:textId="77777777" w:rsidR="000A7D9D" w:rsidRPr="00297E98" w:rsidRDefault="000A7D9D" w:rsidP="00F31937">
            <w:pPr>
              <w:pStyle w:val="BodyText"/>
              <w:rPr>
                <w:bCs/>
                <w:noProof/>
                <w:sz w:val="18"/>
                <w:szCs w:val="18"/>
              </w:rPr>
            </w:pPr>
          </w:p>
        </w:tc>
        <w:tc>
          <w:tcPr>
            <w:tcW w:w="1276" w:type="dxa"/>
          </w:tcPr>
          <w:p w14:paraId="062633CE" w14:textId="77777777" w:rsidR="000A7D9D" w:rsidRPr="00297E98" w:rsidRDefault="000A7D9D" w:rsidP="00F31937">
            <w:pPr>
              <w:pStyle w:val="BodyText"/>
              <w:rPr>
                <w:bCs/>
                <w:noProof/>
                <w:sz w:val="18"/>
                <w:szCs w:val="18"/>
              </w:rPr>
            </w:pPr>
          </w:p>
        </w:tc>
      </w:tr>
    </w:tbl>
    <w:p w14:paraId="03A8C17C" w14:textId="77777777" w:rsidR="000A7D9D" w:rsidRPr="00297E98" w:rsidRDefault="000A7D9D" w:rsidP="000A7D9D">
      <w:pPr>
        <w:pStyle w:val="BodyText"/>
        <w:widowControl w:val="0"/>
        <w:numPr>
          <w:ilvl w:val="0"/>
          <w:numId w:val="120"/>
        </w:numPr>
        <w:spacing w:before="120"/>
        <w:jc w:val="both"/>
        <w:rPr>
          <w:noProof/>
        </w:rPr>
      </w:pPr>
      <w:r w:rsidRPr="00297E98">
        <w:rPr>
          <w:noProof/>
        </w:rPr>
        <w:t xml:space="preserve">ECHA data model and IT infrastructure: </w:t>
      </w:r>
      <w:r w:rsidRPr="00297E98">
        <w:rPr>
          <w:b/>
          <w:bCs/>
          <w:noProof/>
        </w:rPr>
        <w:t>low impact</w:t>
      </w:r>
      <w:r w:rsidRPr="00297E98">
        <w:rPr>
          <w:noProof/>
        </w:rPr>
        <w:t xml:space="preserve">. The task can be implemented with adjustments / configuration of existing data structures and IT systems </w:t>
      </w:r>
    </w:p>
    <w:p w14:paraId="7C1359D5" w14:textId="77777777" w:rsidR="000A7D9D" w:rsidRPr="00297E98" w:rsidRDefault="000A7D9D" w:rsidP="000A7D9D">
      <w:pPr>
        <w:pStyle w:val="BodyText"/>
        <w:widowControl w:val="0"/>
        <w:numPr>
          <w:ilvl w:val="0"/>
          <w:numId w:val="120"/>
        </w:numPr>
        <w:spacing w:after="240"/>
        <w:jc w:val="both"/>
        <w:rPr>
          <w:noProof/>
        </w:rPr>
      </w:pPr>
      <w:r w:rsidRPr="00297E98">
        <w:rPr>
          <w:noProof/>
        </w:rPr>
        <w:t xml:space="preserve">ECHA key experts: </w:t>
      </w:r>
      <w:r w:rsidRPr="00297E98">
        <w:rPr>
          <w:b/>
          <w:noProof/>
        </w:rPr>
        <w:t>high impact</w:t>
      </w:r>
      <w:r w:rsidRPr="00297E98">
        <w:rPr>
          <w:noProof/>
        </w:rPr>
        <w:t>. The task</w:t>
      </w:r>
      <w:r w:rsidRPr="00297E98" w:rsidDel="0016190A">
        <w:rPr>
          <w:noProof/>
        </w:rPr>
        <w:t xml:space="preserve"> </w:t>
      </w:r>
      <w:r w:rsidRPr="00297E98">
        <w:rPr>
          <w:noProof/>
        </w:rPr>
        <w:t>heavily relies on existing expert competencies which are limited within ECHA and also critical to REACH/CLP/BPR regulatory tasks, as well as new competencies which ECHA should acquire (e.g. migration assessment and materials science)</w:t>
      </w:r>
    </w:p>
    <w:p w14:paraId="0D6A4286"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Workload and resource implications:</w:t>
      </w:r>
    </w:p>
    <w:p w14:paraId="4086C680" w14:textId="77777777" w:rsidR="000A7D9D" w:rsidRPr="00297E98" w:rsidRDefault="000A7D9D" w:rsidP="000A7D9D">
      <w:pPr>
        <w:pStyle w:val="BodyText"/>
        <w:jc w:val="both"/>
        <w:rPr>
          <w:noProof/>
          <w:u w:val="single"/>
        </w:rPr>
      </w:pPr>
      <w:r w:rsidRPr="00297E98">
        <w:rPr>
          <w:noProof/>
          <w:u w:val="single"/>
        </w:rPr>
        <w:t>Current workload and resource use:</w:t>
      </w:r>
    </w:p>
    <w:p w14:paraId="0D7A02B5" w14:textId="77777777" w:rsidR="000A7D9D" w:rsidRPr="00297E98" w:rsidRDefault="000A7D9D" w:rsidP="000A7D9D">
      <w:pPr>
        <w:pStyle w:val="BodyText"/>
        <w:jc w:val="both"/>
        <w:rPr>
          <w:noProof/>
        </w:rPr>
      </w:pPr>
      <w:r w:rsidRPr="00297E98">
        <w:rPr>
          <w:noProof/>
        </w:rPr>
        <w:t>N/A, no current process exists at EU level</w:t>
      </w:r>
    </w:p>
    <w:p w14:paraId="1CC683F1" w14:textId="77777777" w:rsidR="000A7D9D" w:rsidRPr="00297E98" w:rsidRDefault="000A7D9D" w:rsidP="000A7D9D">
      <w:pPr>
        <w:pStyle w:val="BodyText"/>
        <w:jc w:val="both"/>
        <w:rPr>
          <w:noProof/>
          <w:u w:val="single"/>
        </w:rPr>
      </w:pPr>
      <w:r w:rsidRPr="00297E98">
        <w:rPr>
          <w:noProof/>
          <w:u w:val="single"/>
        </w:rPr>
        <w:t>Future workload and resource needs:</w:t>
      </w:r>
    </w:p>
    <w:p w14:paraId="06C07225" w14:textId="77777777" w:rsidR="000A7D9D" w:rsidRPr="00297E98" w:rsidRDefault="000A7D9D" w:rsidP="000A7D9D">
      <w:pPr>
        <w:pStyle w:val="BodyText"/>
        <w:jc w:val="both"/>
        <w:rPr>
          <w:rFonts w:eastAsiaTheme="minorEastAsia"/>
          <w:noProof/>
        </w:rPr>
      </w:pPr>
      <w:r w:rsidRPr="00297E98">
        <w:rPr>
          <w:noProof/>
        </w:rPr>
        <w:t>The Directive is in force since 2021. Industry can notify their intention to submit an application from January 2025 with the</w:t>
      </w:r>
      <w:r w:rsidRPr="00297E98" w:rsidDel="00BD1D20">
        <w:rPr>
          <w:noProof/>
        </w:rPr>
        <w:t xml:space="preserve"> </w:t>
      </w:r>
      <w:r w:rsidRPr="00297E98">
        <w:rPr>
          <w:noProof/>
        </w:rPr>
        <w:t>first industry applications expected from January 2026 onwards</w:t>
      </w:r>
      <w:r w:rsidRPr="00297E98">
        <w:rPr>
          <w:rFonts w:eastAsiaTheme="minorEastAsia"/>
          <w:noProof/>
        </w:rPr>
        <w:t>.</w:t>
      </w:r>
    </w:p>
    <w:p w14:paraId="1FE7B4C2" w14:textId="77777777" w:rsidR="000A7D9D" w:rsidRPr="00297E98" w:rsidRDefault="000A7D9D" w:rsidP="000A7D9D">
      <w:pPr>
        <w:pStyle w:val="BodyText"/>
        <w:jc w:val="both"/>
        <w:rPr>
          <w:rFonts w:eastAsiaTheme="minorEastAsia"/>
          <w:noProof/>
        </w:rPr>
      </w:pPr>
      <w:r w:rsidRPr="00297E98">
        <w:rPr>
          <w:rFonts w:eastAsiaTheme="minorEastAsia"/>
          <w:noProof/>
          <w:lang w:val="en-IE"/>
        </w:rPr>
        <w:t>A total of 3</w:t>
      </w:r>
      <w:r w:rsidRPr="00297E98">
        <w:rPr>
          <w:rFonts w:eastAsiaTheme="minorEastAsia"/>
          <w:noProof/>
        </w:rPr>
        <w:t xml:space="preserve"> new full-time equivalent </w:t>
      </w:r>
      <w:r w:rsidRPr="00297E98">
        <w:rPr>
          <w:rFonts w:eastAsiaTheme="minorEastAsia"/>
          <w:noProof/>
          <w:lang w:val="en-IE"/>
        </w:rPr>
        <w:t xml:space="preserve">temporary agent </w:t>
      </w:r>
      <w:r w:rsidRPr="00297E98">
        <w:rPr>
          <w:rFonts w:eastAsiaTheme="minorEastAsia"/>
          <w:noProof/>
        </w:rPr>
        <w:t xml:space="preserve">staff (AD 5-7) (average cost EUR 136 000/year, during 4 years) and 2 full-time equivalent </w:t>
      </w:r>
      <w:r w:rsidRPr="00297E98">
        <w:rPr>
          <w:rFonts w:eastAsiaTheme="minorEastAsia"/>
          <w:noProof/>
          <w:lang w:val="en-IE"/>
        </w:rPr>
        <w:t xml:space="preserve">contract agent </w:t>
      </w:r>
      <w:r w:rsidRPr="00297E98">
        <w:rPr>
          <w:rFonts w:eastAsiaTheme="minorEastAsia"/>
          <w:noProof/>
        </w:rPr>
        <w:t xml:space="preserve">staff (CA FG III, average cost EUR 65 000/year), have been allocated to ECHA to set up the system. After 4 years, the review process will necessitate additional resources, i.e. 10 FTE on average for the next 4 years (7 </w:t>
      </w:r>
      <w:r w:rsidRPr="00297E98">
        <w:rPr>
          <w:rFonts w:eastAsiaTheme="minorEastAsia"/>
          <w:noProof/>
          <w:lang w:val="en-IE"/>
        </w:rPr>
        <w:t xml:space="preserve">temporary agent </w:t>
      </w:r>
      <w:r w:rsidRPr="00297E98">
        <w:rPr>
          <w:rFonts w:eastAsiaTheme="minorEastAsia"/>
          <w:noProof/>
        </w:rPr>
        <w:t>staff and 3 contract agent staff). A new assessment of the needs will be completed at the end of the period on the basis of the experience gained during the first years of functioning of the system. According to first estimates, additional staff (around 3 FTE, i.e. bringing the total to 13 FTEs) might be needed to complete the review of all substances on the positive lists in a reasonable deadline (15 years).</w:t>
      </w:r>
    </w:p>
    <w:p w14:paraId="170E3C9D" w14:textId="77777777" w:rsidR="000A7D9D" w:rsidRPr="00297E98" w:rsidRDefault="000A7D9D" w:rsidP="000A7D9D">
      <w:pPr>
        <w:spacing w:after="120"/>
        <w:jc w:val="both"/>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In addition to staff costs, EUR 1 000 000 is reserved for the first 3 years annually to set up the IT systems, whereas roughly half of this amount will be needed for maintenance work after the set-up period. Infrastructure expenditure has been estimated at 24% of the staff expenditure.</w:t>
      </w:r>
    </w:p>
    <w:p w14:paraId="1838071D" w14:textId="77777777" w:rsidR="000A7D9D" w:rsidRPr="00297E98" w:rsidRDefault="000A7D9D" w:rsidP="000A7D9D">
      <w:pPr>
        <w:spacing w:after="120"/>
        <w:jc w:val="both"/>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The aforementioned resources have been estimated using a calculation model which takes account of relevant experience from tasks executed by ECHA under other regulatory frameworks (e.g. REACH, CLP, BPR) and from the implementation of the existing national approaches where relevant. It sets out the resources that will be needed by ECHA over a time window of 20 years, including a review programme running over 15 years, in order to handle the foreseen tasks.</w:t>
      </w:r>
    </w:p>
    <w:p w14:paraId="3875A03A" w14:textId="77777777" w:rsidR="000A7D9D" w:rsidRPr="00297E98" w:rsidRDefault="000A7D9D" w:rsidP="000A7D9D">
      <w:pPr>
        <w:spacing w:after="120"/>
        <w:jc w:val="both"/>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The estimated resources for the process to review and update the EU positive lists are application/dossier driven. The number of applications/dossiers have been estimated on the basis of substances on lists currently in use by the Member States and that have been registered under REACH. Member States’ forecasts were used to estimate the flux of incoming applications/dossiers. The key tasks involve examination of the applications/dossiers, opinion development and decision process. The estimated resources for the initial setup, ICT process infrastructure and development of methodologies, for the process from national lists to the first EU positive lists as well as the resources involved in other tasks such as helpdesk, legal support are task driven regardless of the number of dossiers.</w:t>
      </w:r>
    </w:p>
    <w:p w14:paraId="1390AFDC" w14:textId="77777777" w:rsidR="000A7D9D" w:rsidRPr="00297E98" w:rsidRDefault="000A7D9D" w:rsidP="000A7D9D">
      <w:pPr>
        <w:spacing w:after="120"/>
        <w:jc w:val="both"/>
        <w:rPr>
          <w:rFonts w:ascii="Times New Roman" w:eastAsiaTheme="minorEastAsia" w:hAnsi="Times New Roman" w:cs="Times New Roman"/>
          <w:noProof/>
          <w:sz w:val="24"/>
          <w:szCs w:val="24"/>
        </w:rPr>
      </w:pPr>
      <w:r w:rsidRPr="00297E98">
        <w:rPr>
          <w:rFonts w:ascii="Times New Roman" w:eastAsiaTheme="minorEastAsia" w:hAnsi="Times New Roman" w:cs="Times New Roman"/>
          <w:noProof/>
          <w:sz w:val="24"/>
          <w:szCs w:val="24"/>
        </w:rPr>
        <w:t xml:space="preserve">Once the routine phase for dealing with the tasks under the proposed recast of the Directive has been approached (from the tenth year onwards), about 70 % of the resources will be involved in the operational work (dossier and opinion related efforts). </w:t>
      </w:r>
    </w:p>
    <w:p w14:paraId="30B735C8" w14:textId="77777777" w:rsidR="000A7D9D" w:rsidRPr="00297E98" w:rsidRDefault="000A7D9D" w:rsidP="000A7D9D">
      <w:pPr>
        <w:pStyle w:val="BodyText"/>
        <w:jc w:val="both"/>
        <w:rPr>
          <w:rFonts w:eastAsiaTheme="minorEastAsia"/>
          <w:noProof/>
        </w:rPr>
      </w:pPr>
      <w:r w:rsidRPr="00297E98">
        <w:rPr>
          <w:rFonts w:eastAsiaTheme="minorEastAsia"/>
          <w:noProof/>
        </w:rPr>
        <w:t>Additional limited resources might be necessary for EFSA in case the existing system of FCM (under evaluation) is still in place when the review will start (after 2025) to ensure coordination on the review of the plastic lists. These potential additional resources are not included in the present estimate.</w:t>
      </w:r>
    </w:p>
    <w:p w14:paraId="7F970F98" w14:textId="77777777" w:rsidR="000A7D9D" w:rsidRPr="00297E98" w:rsidRDefault="000A7D9D" w:rsidP="000A7D9D">
      <w:pPr>
        <w:spacing w:after="120"/>
        <w:rPr>
          <w:rFonts w:ascii="Times New Roman" w:hAnsi="Times New Roman" w:cs="Times New Roman"/>
          <w:noProof/>
          <w:sz w:val="24"/>
          <w:szCs w:val="24"/>
          <w:lang w:val="en-US" w:eastAsia="en-GB"/>
        </w:rPr>
      </w:pPr>
      <w:r w:rsidRPr="00297E98">
        <w:rPr>
          <w:rFonts w:ascii="Times New Roman" w:hAnsi="Times New Roman" w:cs="Times New Roman"/>
          <w:noProof/>
          <w:sz w:val="24"/>
          <w:szCs w:val="24"/>
          <w:lang w:val="en-US" w:eastAsia="en-GB"/>
        </w:rPr>
        <w:t>Summary of additional resource needs for the drinking water directive regulation:</w:t>
      </w:r>
    </w:p>
    <w:tbl>
      <w:tblPr>
        <w:tblStyle w:val="TableGrid"/>
        <w:tblW w:w="0" w:type="auto"/>
        <w:tblLook w:val="04A0" w:firstRow="1" w:lastRow="0" w:firstColumn="1" w:lastColumn="0" w:noHBand="0" w:noVBand="1"/>
      </w:tblPr>
      <w:tblGrid>
        <w:gridCol w:w="1245"/>
        <w:gridCol w:w="3853"/>
        <w:gridCol w:w="1843"/>
        <w:gridCol w:w="2688"/>
      </w:tblGrid>
      <w:tr w:rsidR="000A7D9D" w:rsidRPr="00C56424" w14:paraId="3FAF4EDA" w14:textId="77777777" w:rsidTr="00F31937">
        <w:trPr>
          <w:trHeight w:val="300"/>
        </w:trPr>
        <w:tc>
          <w:tcPr>
            <w:tcW w:w="1245" w:type="dxa"/>
            <w:shd w:val="clear" w:color="auto" w:fill="D9D9D9" w:themeFill="background1" w:themeFillShade="D9"/>
          </w:tcPr>
          <w:p w14:paraId="613E4788"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853" w:type="dxa"/>
            <w:shd w:val="clear" w:color="auto" w:fill="D9D9D9" w:themeFill="background1" w:themeFillShade="D9"/>
          </w:tcPr>
          <w:p w14:paraId="2D4B1C6D"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843" w:type="dxa"/>
            <w:shd w:val="clear" w:color="auto" w:fill="D9D9D9" w:themeFill="background1" w:themeFillShade="D9"/>
          </w:tcPr>
          <w:p w14:paraId="358E4A47"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688" w:type="dxa"/>
            <w:shd w:val="clear" w:color="auto" w:fill="D9D9D9" w:themeFill="background1" w:themeFillShade="D9"/>
          </w:tcPr>
          <w:p w14:paraId="2EC466FA" w14:textId="77777777" w:rsidR="000A7D9D" w:rsidRPr="00C56424" w:rsidRDefault="000A7D9D" w:rsidP="00F31937">
            <w:pPr>
              <w:pStyle w:val="BodyText"/>
              <w:tabs>
                <w:tab w:val="left" w:pos="4170"/>
              </w:tabs>
              <w:spacing w:after="0"/>
              <w:rPr>
                <w:noProof/>
                <w:sz w:val="20"/>
                <w:szCs w:val="20"/>
              </w:rPr>
            </w:pPr>
          </w:p>
        </w:tc>
      </w:tr>
      <w:tr w:rsidR="000A7D9D" w:rsidRPr="00C56424" w14:paraId="5ED2B6D5" w14:textId="77777777" w:rsidTr="00F31937">
        <w:trPr>
          <w:trHeight w:val="300"/>
        </w:trPr>
        <w:tc>
          <w:tcPr>
            <w:tcW w:w="1245" w:type="dxa"/>
            <w:vMerge w:val="restart"/>
            <w:shd w:val="clear" w:color="auto" w:fill="D9D9D9" w:themeFill="background1" w:themeFillShade="D9"/>
          </w:tcPr>
          <w:p w14:paraId="4370C65B" w14:textId="77777777" w:rsidR="000A7D9D" w:rsidRPr="00C56424" w:rsidRDefault="000A7D9D" w:rsidP="00F31937">
            <w:pPr>
              <w:pStyle w:val="BodyText"/>
              <w:spacing w:line="259" w:lineRule="auto"/>
              <w:rPr>
                <w:noProof/>
                <w:sz w:val="20"/>
                <w:szCs w:val="20"/>
              </w:rPr>
            </w:pPr>
            <w:r w:rsidRPr="00C56424">
              <w:rPr>
                <w:noProof/>
                <w:sz w:val="20"/>
                <w:szCs w:val="20"/>
              </w:rPr>
              <w:t>ECHA</w:t>
            </w:r>
          </w:p>
        </w:tc>
        <w:tc>
          <w:tcPr>
            <w:tcW w:w="3853" w:type="dxa"/>
            <w:vMerge w:val="restart"/>
            <w:shd w:val="clear" w:color="auto" w:fill="D9D9D9" w:themeFill="background1" w:themeFillShade="D9"/>
          </w:tcPr>
          <w:p w14:paraId="58765DA2" w14:textId="77777777" w:rsidR="000A7D9D" w:rsidRPr="00C56424" w:rsidRDefault="000A7D9D" w:rsidP="00F31937">
            <w:pPr>
              <w:pStyle w:val="BodyText"/>
              <w:rPr>
                <w:rFonts w:eastAsiaTheme="minorEastAsia"/>
                <w:noProof/>
                <w:sz w:val="20"/>
                <w:szCs w:val="20"/>
              </w:rPr>
            </w:pPr>
            <w:r w:rsidRPr="00C56424">
              <w:rPr>
                <w:rFonts w:eastAsiaTheme="minorEastAsia"/>
                <w:noProof/>
                <w:sz w:val="20"/>
                <w:szCs w:val="20"/>
              </w:rPr>
              <w:t>-</w:t>
            </w:r>
            <w:r w:rsidRPr="00C56424">
              <w:rPr>
                <w:rFonts w:eastAsiaTheme="minorEastAsia"/>
                <w:noProof/>
                <w:sz w:val="20"/>
                <w:szCs w:val="20"/>
                <w:lang w:val="en-US"/>
              </w:rPr>
              <w:t xml:space="preserve"> Establishing and maintaining four EU positive lists for substances and compositions authorized to be used for the manufacturing of materials in contact with water intended for human consumption</w:t>
            </w:r>
          </w:p>
        </w:tc>
        <w:tc>
          <w:tcPr>
            <w:tcW w:w="1843" w:type="dxa"/>
            <w:shd w:val="clear" w:color="auto" w:fill="D9D9D9" w:themeFill="background1" w:themeFillShade="D9"/>
          </w:tcPr>
          <w:p w14:paraId="4FF3021E"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688" w:type="dxa"/>
            <w:shd w:val="clear" w:color="auto" w:fill="D9D9D9" w:themeFill="background1" w:themeFillShade="D9"/>
          </w:tcPr>
          <w:p w14:paraId="38A512D0"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2021: </w:t>
            </w:r>
            <w:r w:rsidRPr="00C56424">
              <w:rPr>
                <w:b/>
                <w:noProof/>
                <w:sz w:val="20"/>
                <w:szCs w:val="20"/>
                <w:lang w:val="fr-BE"/>
              </w:rPr>
              <w:t xml:space="preserve">EUR </w:t>
            </w:r>
            <w:r w:rsidRPr="00C56424">
              <w:rPr>
                <w:b/>
                <w:bCs/>
                <w:noProof/>
                <w:sz w:val="20"/>
                <w:szCs w:val="20"/>
                <w:lang w:val="fr-BE"/>
              </w:rPr>
              <w:t>1 000 000</w:t>
            </w:r>
            <w:r w:rsidRPr="00C56424">
              <w:rPr>
                <w:noProof/>
                <w:sz w:val="20"/>
                <w:szCs w:val="20"/>
                <w:lang w:val="fr-BE"/>
              </w:rPr>
              <w:t xml:space="preserve"> </w:t>
            </w:r>
          </w:p>
          <w:p w14:paraId="2FCF8E34"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2022: </w:t>
            </w:r>
            <w:r w:rsidRPr="00C56424">
              <w:rPr>
                <w:b/>
                <w:noProof/>
                <w:sz w:val="20"/>
                <w:szCs w:val="20"/>
                <w:lang w:val="fr-BE"/>
              </w:rPr>
              <w:t xml:space="preserve">EUR </w:t>
            </w:r>
            <w:r w:rsidRPr="00C56424">
              <w:rPr>
                <w:b/>
                <w:bCs/>
                <w:noProof/>
                <w:sz w:val="20"/>
                <w:szCs w:val="20"/>
                <w:lang w:val="fr-BE"/>
              </w:rPr>
              <w:t>1 000 000</w:t>
            </w:r>
          </w:p>
          <w:p w14:paraId="488F3629"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2023: </w:t>
            </w:r>
            <w:r w:rsidRPr="00C56424">
              <w:rPr>
                <w:b/>
                <w:noProof/>
                <w:sz w:val="20"/>
                <w:szCs w:val="20"/>
                <w:lang w:val="fr-BE"/>
              </w:rPr>
              <w:t xml:space="preserve">EUR </w:t>
            </w:r>
            <w:r w:rsidRPr="00C56424">
              <w:rPr>
                <w:b/>
                <w:bCs/>
                <w:noProof/>
                <w:sz w:val="20"/>
                <w:szCs w:val="20"/>
                <w:lang w:val="fr-BE"/>
              </w:rPr>
              <w:t>1 000 000</w:t>
            </w:r>
          </w:p>
          <w:p w14:paraId="391D917F"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noProof/>
                <w:sz w:val="20"/>
                <w:szCs w:val="20"/>
                <w:lang w:val="fr-BE"/>
              </w:rPr>
              <w:t>EUR</w:t>
            </w:r>
            <w:r w:rsidRPr="00C56424">
              <w:rPr>
                <w:noProof/>
                <w:sz w:val="20"/>
                <w:szCs w:val="20"/>
                <w:lang w:val="fr-BE"/>
              </w:rPr>
              <w:t xml:space="preserve"> </w:t>
            </w:r>
            <w:r w:rsidRPr="00C56424">
              <w:rPr>
                <w:b/>
                <w:bCs/>
                <w:noProof/>
                <w:sz w:val="20"/>
                <w:szCs w:val="20"/>
                <w:lang w:val="fr-BE"/>
              </w:rPr>
              <w:t>510 000</w:t>
            </w:r>
          </w:p>
          <w:p w14:paraId="3E637D5E"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w:t>
            </w:r>
            <w:r w:rsidRPr="00C56424">
              <w:rPr>
                <w:noProof/>
                <w:sz w:val="20"/>
                <w:szCs w:val="20"/>
                <w:lang w:val="fr-BE"/>
              </w:rPr>
              <w:t xml:space="preserve"> </w:t>
            </w:r>
            <w:r w:rsidRPr="00C56424">
              <w:rPr>
                <w:b/>
                <w:bCs/>
                <w:noProof/>
                <w:sz w:val="20"/>
                <w:szCs w:val="20"/>
                <w:lang w:val="fr-BE"/>
              </w:rPr>
              <w:t>520 000</w:t>
            </w:r>
          </w:p>
          <w:p w14:paraId="09CD5CE3" w14:textId="77777777" w:rsidR="000A7D9D" w:rsidRPr="00C56424" w:rsidRDefault="000A7D9D" w:rsidP="00F31937">
            <w:pPr>
              <w:pStyle w:val="BodyText"/>
              <w:tabs>
                <w:tab w:val="left" w:pos="4170"/>
              </w:tabs>
              <w:spacing w:after="0"/>
              <w:rPr>
                <w:noProof/>
                <w:sz w:val="20"/>
                <w:szCs w:val="20"/>
              </w:rPr>
            </w:pPr>
            <w:r w:rsidRPr="00C56424">
              <w:rPr>
                <w:noProof/>
                <w:sz w:val="20"/>
                <w:szCs w:val="20"/>
                <w:lang w:val="fr-BE"/>
              </w:rPr>
              <w:t xml:space="preserve">2026: </w:t>
            </w:r>
            <w:r w:rsidRPr="00C56424">
              <w:rPr>
                <w:b/>
                <w:noProof/>
                <w:sz w:val="20"/>
                <w:szCs w:val="20"/>
              </w:rPr>
              <w:t>EUR</w:t>
            </w:r>
            <w:r w:rsidRPr="00C56424">
              <w:rPr>
                <w:noProof/>
                <w:sz w:val="20"/>
                <w:szCs w:val="20"/>
              </w:rPr>
              <w:t xml:space="preserve"> </w:t>
            </w:r>
            <w:r w:rsidRPr="00C56424">
              <w:rPr>
                <w:b/>
                <w:bCs/>
                <w:noProof/>
                <w:sz w:val="20"/>
                <w:szCs w:val="20"/>
              </w:rPr>
              <w:t>530 000</w:t>
            </w:r>
          </w:p>
          <w:p w14:paraId="26712CDC"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EUR</w:t>
            </w:r>
            <w:r w:rsidRPr="00C56424">
              <w:rPr>
                <w:noProof/>
                <w:sz w:val="20"/>
                <w:szCs w:val="20"/>
              </w:rPr>
              <w:t xml:space="preserve"> </w:t>
            </w:r>
            <w:r w:rsidRPr="00C56424">
              <w:rPr>
                <w:b/>
                <w:bCs/>
                <w:noProof/>
                <w:sz w:val="20"/>
                <w:szCs w:val="20"/>
              </w:rPr>
              <w:t>540 000</w:t>
            </w:r>
          </w:p>
        </w:tc>
      </w:tr>
      <w:tr w:rsidR="000A7D9D" w:rsidRPr="00C56424" w14:paraId="0539974E" w14:textId="77777777" w:rsidTr="00F31937">
        <w:trPr>
          <w:trHeight w:val="300"/>
        </w:trPr>
        <w:tc>
          <w:tcPr>
            <w:tcW w:w="1245" w:type="dxa"/>
            <w:vMerge/>
            <w:shd w:val="clear" w:color="auto" w:fill="D9D9D9" w:themeFill="background1" w:themeFillShade="D9"/>
          </w:tcPr>
          <w:p w14:paraId="54BCEB16" w14:textId="77777777" w:rsidR="000A7D9D" w:rsidRPr="00C56424" w:rsidRDefault="000A7D9D" w:rsidP="00F31937">
            <w:pPr>
              <w:pStyle w:val="BodyText"/>
              <w:spacing w:line="259" w:lineRule="auto"/>
              <w:rPr>
                <w:b/>
                <w:bCs/>
                <w:noProof/>
                <w:sz w:val="20"/>
                <w:szCs w:val="20"/>
              </w:rPr>
            </w:pPr>
          </w:p>
        </w:tc>
        <w:tc>
          <w:tcPr>
            <w:tcW w:w="3853" w:type="dxa"/>
            <w:vMerge/>
            <w:shd w:val="clear" w:color="auto" w:fill="D9D9D9" w:themeFill="background1" w:themeFillShade="D9"/>
          </w:tcPr>
          <w:p w14:paraId="6E937F6F" w14:textId="77777777" w:rsidR="000A7D9D" w:rsidRPr="00C56424" w:rsidRDefault="000A7D9D" w:rsidP="00F31937">
            <w:pPr>
              <w:pStyle w:val="BodyText"/>
              <w:rPr>
                <w:b/>
                <w:bCs/>
                <w:noProof/>
                <w:sz w:val="20"/>
                <w:szCs w:val="20"/>
              </w:rPr>
            </w:pPr>
          </w:p>
        </w:tc>
        <w:tc>
          <w:tcPr>
            <w:tcW w:w="1843" w:type="dxa"/>
            <w:shd w:val="clear" w:color="auto" w:fill="D9D9D9" w:themeFill="background1" w:themeFillShade="D9"/>
          </w:tcPr>
          <w:p w14:paraId="2B8CBA5D"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688" w:type="dxa"/>
            <w:shd w:val="clear" w:color="auto" w:fill="D9D9D9" w:themeFill="background1" w:themeFillShade="D9"/>
          </w:tcPr>
          <w:p w14:paraId="50D65122"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2021: </w:t>
            </w:r>
            <w:r w:rsidRPr="00C56424">
              <w:rPr>
                <w:b/>
                <w:bCs/>
                <w:noProof/>
                <w:sz w:val="20"/>
                <w:szCs w:val="20"/>
                <w:lang w:val="pl-PL"/>
              </w:rPr>
              <w:t>3 TA, 2 CA</w:t>
            </w:r>
          </w:p>
          <w:p w14:paraId="48F36CE7" w14:textId="77777777" w:rsidR="000A7D9D" w:rsidRPr="00C56424" w:rsidRDefault="000A7D9D" w:rsidP="00F31937">
            <w:pPr>
              <w:pStyle w:val="BodyText"/>
              <w:tabs>
                <w:tab w:val="left" w:pos="4170"/>
              </w:tabs>
              <w:spacing w:after="0"/>
              <w:rPr>
                <w:b/>
                <w:bCs/>
                <w:noProof/>
                <w:sz w:val="20"/>
                <w:szCs w:val="20"/>
                <w:lang w:val="pl-PL"/>
              </w:rPr>
            </w:pPr>
            <w:r w:rsidRPr="00C56424">
              <w:rPr>
                <w:noProof/>
                <w:sz w:val="20"/>
                <w:szCs w:val="20"/>
                <w:lang w:val="pl-PL"/>
              </w:rPr>
              <w:t xml:space="preserve">2022: </w:t>
            </w:r>
            <w:r w:rsidRPr="00C56424">
              <w:rPr>
                <w:b/>
                <w:bCs/>
                <w:noProof/>
                <w:sz w:val="20"/>
                <w:szCs w:val="20"/>
                <w:lang w:val="pl-PL"/>
              </w:rPr>
              <w:t>3 TA, 2 CA</w:t>
            </w:r>
          </w:p>
          <w:p w14:paraId="3DA5B4CE" w14:textId="77777777" w:rsidR="000A7D9D" w:rsidRPr="00C56424" w:rsidRDefault="000A7D9D" w:rsidP="00F31937">
            <w:pPr>
              <w:pStyle w:val="BodyText"/>
              <w:tabs>
                <w:tab w:val="left" w:pos="4170"/>
              </w:tabs>
              <w:spacing w:after="0"/>
              <w:rPr>
                <w:b/>
                <w:bCs/>
                <w:noProof/>
                <w:sz w:val="20"/>
                <w:szCs w:val="20"/>
                <w:lang w:val="pl-PL"/>
              </w:rPr>
            </w:pPr>
            <w:r w:rsidRPr="00C56424">
              <w:rPr>
                <w:noProof/>
                <w:sz w:val="20"/>
                <w:szCs w:val="20"/>
                <w:lang w:val="pl-PL"/>
              </w:rPr>
              <w:t xml:space="preserve">2023: </w:t>
            </w:r>
            <w:r w:rsidRPr="00C56424">
              <w:rPr>
                <w:b/>
                <w:bCs/>
                <w:noProof/>
                <w:sz w:val="20"/>
                <w:szCs w:val="20"/>
                <w:lang w:val="pl-PL"/>
              </w:rPr>
              <w:t>3 TA, 2 CA</w:t>
            </w:r>
          </w:p>
          <w:p w14:paraId="19162957"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2024: </w:t>
            </w:r>
            <w:r w:rsidRPr="00C56424">
              <w:rPr>
                <w:b/>
                <w:bCs/>
                <w:noProof/>
                <w:sz w:val="20"/>
                <w:szCs w:val="20"/>
                <w:lang w:val="pl-PL"/>
              </w:rPr>
              <w:t>3 TA, 2 CA</w:t>
            </w:r>
          </w:p>
          <w:p w14:paraId="023CB4AB"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2025: </w:t>
            </w:r>
            <w:r w:rsidRPr="00C56424">
              <w:rPr>
                <w:b/>
                <w:bCs/>
                <w:noProof/>
                <w:sz w:val="20"/>
                <w:szCs w:val="20"/>
                <w:lang w:val="pl-PL"/>
              </w:rPr>
              <w:t>6 TA, 3 CA</w:t>
            </w:r>
          </w:p>
          <w:p w14:paraId="6DEBB13A"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2026: </w:t>
            </w:r>
            <w:r w:rsidRPr="00C56424">
              <w:rPr>
                <w:b/>
                <w:bCs/>
                <w:noProof/>
                <w:sz w:val="20"/>
                <w:szCs w:val="20"/>
                <w:lang w:val="pl-PL"/>
              </w:rPr>
              <w:t>7 TA, 3 CA</w:t>
            </w:r>
          </w:p>
          <w:p w14:paraId="05FAE541"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bCs/>
                <w:noProof/>
                <w:sz w:val="20"/>
                <w:szCs w:val="20"/>
              </w:rPr>
              <w:t>8 TA, 3 CA</w:t>
            </w:r>
          </w:p>
        </w:tc>
      </w:tr>
    </w:tbl>
    <w:p w14:paraId="0D6E30A7" w14:textId="77777777" w:rsidR="000A7D9D" w:rsidRPr="00297E98" w:rsidRDefault="000A7D9D" w:rsidP="000A7D9D">
      <w:pPr>
        <w:pStyle w:val="BodyText"/>
        <w:spacing w:before="120"/>
        <w:jc w:val="both"/>
        <w:rPr>
          <w:rFonts w:eastAsiaTheme="minorEastAsia"/>
          <w:noProof/>
        </w:rPr>
      </w:pPr>
      <w:r w:rsidRPr="00297E98">
        <w:rPr>
          <w:rFonts w:eastAsiaTheme="minorEastAsia"/>
          <w:noProof/>
          <w:u w:val="single"/>
        </w:rPr>
        <w:t>Future budget line:</w:t>
      </w:r>
      <w:r w:rsidRPr="00297E98">
        <w:rPr>
          <w:rFonts w:eastAsiaTheme="minorEastAsia"/>
          <w:noProof/>
        </w:rPr>
        <w:t xml:space="preserve"> DG Environment</w:t>
      </w:r>
    </w:p>
    <w:p w14:paraId="574D3BAD" w14:textId="77777777" w:rsidR="000A7D9D" w:rsidRDefault="000A7D9D" w:rsidP="000A7D9D">
      <w:pPr>
        <w:pStyle w:val="BodyText"/>
        <w:jc w:val="both"/>
        <w:rPr>
          <w:rFonts w:eastAsiaTheme="minorEastAsia"/>
          <w:noProof/>
        </w:rPr>
      </w:pPr>
      <w:r w:rsidRPr="00297E98">
        <w:rPr>
          <w:rFonts w:eastAsiaTheme="minorEastAsia"/>
          <w:noProof/>
          <w:u w:val="single"/>
        </w:rPr>
        <w:t>Candidate for fees:</w:t>
      </w:r>
      <w:r w:rsidRPr="00297E98">
        <w:rPr>
          <w:rFonts w:eastAsiaTheme="minorEastAsia"/>
          <w:noProof/>
        </w:rPr>
        <w:t xml:space="preserve"> Yes - for authorisations, No - for others</w:t>
      </w:r>
    </w:p>
    <w:p w14:paraId="48F740DA" w14:textId="77777777" w:rsidR="000A7D9D" w:rsidRPr="00297E98" w:rsidRDefault="000A7D9D" w:rsidP="000A7D9D">
      <w:pPr>
        <w:pStyle w:val="BodyText"/>
        <w:jc w:val="both"/>
        <w:rPr>
          <w:rFonts w:eastAsiaTheme="minorEastAsia"/>
          <w:noProof/>
        </w:rPr>
      </w:pPr>
    </w:p>
    <w:p w14:paraId="507FBF57"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37" w:name="_Toc150499921"/>
      <w:bookmarkEnd w:id="35"/>
      <w:r w:rsidRPr="00291F95">
        <w:rPr>
          <w:rFonts w:ascii="Times New Roman" w:hAnsi="Times New Roman"/>
          <w:smallCaps/>
          <w:noProof/>
          <w:color w:val="auto"/>
          <w:sz w:val="24"/>
          <w:szCs w:val="20"/>
          <w:lang w:eastAsia="en-US"/>
        </w:rPr>
        <w:t>Regulation on serious cross-border threats to health (</w:t>
      </w:r>
      <w:hyperlink r:id="rId64" w:history="1">
        <w:r w:rsidRPr="00291F95">
          <w:rPr>
            <w:rFonts w:ascii="Times New Roman" w:hAnsi="Times New Roman"/>
            <w:smallCaps/>
            <w:noProof/>
            <w:color w:val="auto"/>
            <w:sz w:val="24"/>
            <w:szCs w:val="20"/>
            <w:lang w:eastAsia="en-US"/>
          </w:rPr>
          <w:t>2022/2371</w:t>
        </w:r>
      </w:hyperlink>
      <w:r w:rsidRPr="00291F95">
        <w:rPr>
          <w:rFonts w:ascii="Times New Roman" w:hAnsi="Times New Roman"/>
          <w:smallCaps/>
          <w:noProof/>
          <w:color w:val="auto"/>
          <w:sz w:val="24"/>
          <w:szCs w:val="20"/>
          <w:lang w:eastAsia="en-US"/>
        </w:rPr>
        <w:t>)</w:t>
      </w:r>
      <w:bookmarkEnd w:id="37"/>
    </w:p>
    <w:p w14:paraId="4FDC45C5"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Responsible body:</w:t>
      </w:r>
    </w:p>
    <w:p w14:paraId="506D7640" w14:textId="77777777" w:rsidR="000A7D9D" w:rsidRPr="00297E98" w:rsidRDefault="000A7D9D" w:rsidP="000A7D9D">
      <w:pPr>
        <w:spacing w:after="120"/>
        <w:rPr>
          <w:rFonts w:ascii="Times New Roman" w:hAnsi="Times New Roman" w:cs="Times New Roman"/>
          <w:noProof/>
          <w:sz w:val="24"/>
          <w:szCs w:val="24"/>
        </w:rPr>
      </w:pPr>
      <w:r w:rsidRPr="00297E98">
        <w:rPr>
          <w:rFonts w:ascii="Times New Roman" w:hAnsi="Times New Roman" w:cs="Times New Roman"/>
          <w:noProof/>
          <w:sz w:val="24"/>
          <w:szCs w:val="24"/>
          <w:u w:val="single"/>
        </w:rPr>
        <w:t>Currently:</w:t>
      </w:r>
      <w:r w:rsidRPr="00297E98">
        <w:rPr>
          <w:rFonts w:ascii="Times New Roman" w:hAnsi="Times New Roman" w:cs="Times New Roman"/>
          <w:noProof/>
          <w:sz w:val="24"/>
          <w:szCs w:val="24"/>
        </w:rPr>
        <w:t xml:space="preserve"> Commission with the support of the SCHEER Committee</w:t>
      </w:r>
    </w:p>
    <w:p w14:paraId="125E4D5E" w14:textId="77777777" w:rsidR="000A7D9D" w:rsidRPr="00297E98" w:rsidRDefault="000A7D9D" w:rsidP="000A7D9D">
      <w:pPr>
        <w:spacing w:after="120"/>
        <w:rPr>
          <w:rFonts w:ascii="Times New Roman" w:hAnsi="Times New Roman" w:cs="Times New Roman"/>
          <w:noProof/>
          <w:sz w:val="24"/>
          <w:szCs w:val="24"/>
        </w:rPr>
      </w:pPr>
      <w:r w:rsidRPr="00297E98">
        <w:rPr>
          <w:rFonts w:ascii="Times New Roman" w:hAnsi="Times New Roman" w:cs="Times New Roman"/>
          <w:noProof/>
          <w:sz w:val="24"/>
          <w:szCs w:val="24"/>
          <w:u w:val="single"/>
        </w:rPr>
        <w:t>(Re-)attribution planned to:</w:t>
      </w:r>
      <w:r w:rsidRPr="00297E98">
        <w:rPr>
          <w:rFonts w:ascii="Times New Roman" w:hAnsi="Times New Roman" w:cs="Times New Roman"/>
          <w:noProof/>
          <w:sz w:val="24"/>
          <w:szCs w:val="24"/>
        </w:rPr>
        <w:t xml:space="preserve"> ECHA, EEA, EFSA, EMA</w:t>
      </w:r>
    </w:p>
    <w:p w14:paraId="46CADA00" w14:textId="77777777" w:rsidR="000A7D9D" w:rsidRPr="00297E98" w:rsidRDefault="000A7D9D" w:rsidP="000A7D9D">
      <w:pPr>
        <w:pStyle w:val="BodyText"/>
        <w:rPr>
          <w:noProof/>
        </w:rPr>
      </w:pPr>
      <w:r w:rsidRPr="00297E98">
        <w:rPr>
          <w:b/>
          <w:bCs/>
          <w:noProof/>
        </w:rPr>
        <w:t>Legal basis for reattribution:</w:t>
      </w:r>
      <w:r w:rsidRPr="00297E98">
        <w:rPr>
          <w:noProof/>
        </w:rPr>
        <w:t xml:space="preserve"> proposal for regulation on serious cross-border threats to health. </w:t>
      </w:r>
    </w:p>
    <w:p w14:paraId="6F1A1D72" w14:textId="77777777" w:rsidR="000A7D9D" w:rsidRPr="00297E98" w:rsidRDefault="000A7D9D" w:rsidP="000A7D9D">
      <w:pPr>
        <w:pStyle w:val="BodyText"/>
        <w:rPr>
          <w:b/>
          <w:bCs/>
          <w:noProof/>
        </w:rPr>
      </w:pPr>
      <w:r w:rsidRPr="00297E98">
        <w:rPr>
          <w:b/>
          <w:bCs/>
          <w:noProof/>
        </w:rPr>
        <w:t xml:space="preserve">Type of task: </w:t>
      </w:r>
      <w:r w:rsidRPr="00297E98">
        <w:rPr>
          <w:noProof/>
        </w:rPr>
        <w:t>existing</w:t>
      </w:r>
    </w:p>
    <w:p w14:paraId="57E88A62" w14:textId="77777777" w:rsidR="000A7D9D" w:rsidRPr="00297E98" w:rsidRDefault="000A7D9D" w:rsidP="000A7D9D">
      <w:pPr>
        <w:pStyle w:val="BodyText"/>
        <w:jc w:val="both"/>
        <w:rPr>
          <w:noProof/>
        </w:rPr>
      </w:pPr>
      <w:r w:rsidRPr="00297E98">
        <w:rPr>
          <w:b/>
          <w:bCs/>
          <w:noProof/>
        </w:rPr>
        <w:t xml:space="preserve">Brief task overview: </w:t>
      </w:r>
      <w:r w:rsidRPr="00297E98">
        <w:rPr>
          <w:noProof/>
        </w:rPr>
        <w:t>ECHA, EEA, EFSA, EMA, ECDC, EMCDDA are tasked, on the request of the Commission, to carry out “a risk assessment of the potential severity of the threat to public health, including possible public health measures” when there is an alert of a cross-border threat of chemical origin (see draft article 20.1(c)).</w:t>
      </w:r>
    </w:p>
    <w:p w14:paraId="0F11C811" w14:textId="77777777" w:rsidR="000A7D9D" w:rsidRPr="00297E98" w:rsidRDefault="000A7D9D" w:rsidP="000A7D9D">
      <w:pPr>
        <w:pStyle w:val="BodyText"/>
        <w:jc w:val="both"/>
        <w:rPr>
          <w:b/>
          <w:bCs/>
          <w:noProof/>
        </w:rPr>
      </w:pPr>
      <w:r w:rsidRPr="00297E98">
        <w:rPr>
          <w:b/>
          <w:bCs/>
          <w:noProof/>
        </w:rPr>
        <w:t xml:space="preserve">Detailed process description: </w:t>
      </w:r>
    </w:p>
    <w:p w14:paraId="3834EE52" w14:textId="77777777" w:rsidR="000A7D9D" w:rsidRPr="00297E98" w:rsidRDefault="000A7D9D" w:rsidP="000A7D9D">
      <w:pPr>
        <w:pStyle w:val="BodyText"/>
        <w:jc w:val="both"/>
        <w:rPr>
          <w:noProof/>
        </w:rPr>
      </w:pPr>
      <w:r w:rsidRPr="00297E98">
        <w:rPr>
          <w:noProof/>
          <w:u w:val="single"/>
        </w:rPr>
        <w:t>Current process:</w:t>
      </w:r>
    </w:p>
    <w:p w14:paraId="61A797D4" w14:textId="77777777" w:rsidR="000A7D9D" w:rsidRPr="00297E98" w:rsidRDefault="000A7D9D" w:rsidP="000A7D9D">
      <w:pPr>
        <w:pStyle w:val="BodyText"/>
        <w:jc w:val="both"/>
        <w:rPr>
          <w:noProof/>
        </w:rPr>
      </w:pPr>
      <w:r w:rsidRPr="00297E98">
        <w:rPr>
          <w:noProof/>
        </w:rPr>
        <w:t>Decision 1082/2013/EU on serious cross border threats to health (the Decision) layed down rules on combating serious cross border threats to health. Where there is an incident or alert of an actual or potential serious cross-border threat to health that fulfils the criteria detailed in Article 9 of the Decision (Box 1), the Commission shall, where necessary for the coordination of the response at Union level and upon request of the Health Security Committee (HSC) or on its own initiative, make promptly available to the national competent authorities and to the HSC, through the Early Warning Response System (EWRS), a public health risk assessment of the potential severity of the threat to public health, including possible public health measures.</w:t>
      </w:r>
    </w:p>
    <w:p w14:paraId="75788A43" w14:textId="77777777" w:rsidR="000A7D9D" w:rsidRPr="00297E98" w:rsidRDefault="000A7D9D" w:rsidP="000A7D9D">
      <w:pPr>
        <w:pStyle w:val="BodyText"/>
        <w:jc w:val="both"/>
        <w:rPr>
          <w:noProof/>
        </w:rPr>
      </w:pPr>
      <w:r w:rsidRPr="00297E98">
        <w:rPr>
          <w:noProof/>
        </w:rPr>
        <w:t>In operational terms, the Commission and the HSC may request the SCHEER to undertake rapid risk assessments (within 72h) in case of chemical cross border public health threats from both manmade and naturally occurring events (e.g. chemicals released during an incident or during a volcanic eruption) that may have an impact on health (hereafter chemical health threats). The assessment did not cover the wider effects on the environment which are outside the scope of addressing the effects on human health (e.g. biological effects on ecosystems) as these were outside of the remit of the Decision and would therefore have to be taken forward through other existing mechanisms, e.g. through a separate mandate or different body.</w:t>
      </w:r>
    </w:p>
    <w:p w14:paraId="2C5D1BE9" w14:textId="77777777" w:rsidR="000A7D9D" w:rsidRPr="00297E98" w:rsidRDefault="000A7D9D" w:rsidP="000A7D9D">
      <w:pPr>
        <w:pStyle w:val="BodyText"/>
        <w:jc w:val="both"/>
        <w:rPr>
          <w:b/>
          <w:bCs/>
          <w:noProof/>
        </w:rPr>
      </w:pPr>
      <w:r w:rsidRPr="00297E98">
        <w:rPr>
          <w:noProof/>
        </w:rPr>
        <w:t xml:space="preserve">To implement this obligation, SCHEER has developed a guidance in ad hoc rapid risk assessment of serious cross-border chemical health threats. SCHEER set up and maintained a continuous readiness to provide rapid risk assessments (within 72h) where urgently needed by setting up a SCHEER permanent working group on rapid risk assessment. The committee held on average 10 meetings per year and performed regular crisis exercises. </w:t>
      </w:r>
    </w:p>
    <w:p w14:paraId="0B047EF5" w14:textId="77777777" w:rsidR="000A7D9D" w:rsidRPr="00297E98" w:rsidRDefault="000A7D9D" w:rsidP="000A7D9D">
      <w:pPr>
        <w:pStyle w:val="BodyText"/>
        <w:rPr>
          <w:noProof/>
        </w:rPr>
      </w:pPr>
      <w:r w:rsidRPr="00297E98">
        <w:rPr>
          <w:noProof/>
          <w:u w:val="single"/>
        </w:rPr>
        <w:t>Changes in the process:</w:t>
      </w:r>
    </w:p>
    <w:p w14:paraId="46873127" w14:textId="77777777" w:rsidR="000A7D9D" w:rsidRPr="00297E98" w:rsidRDefault="000A7D9D" w:rsidP="000A7D9D">
      <w:pPr>
        <w:pStyle w:val="BodyText"/>
        <w:jc w:val="both"/>
        <w:rPr>
          <w:noProof/>
        </w:rPr>
      </w:pPr>
      <w:r w:rsidRPr="00297E98">
        <w:rPr>
          <w:noProof/>
        </w:rPr>
        <w:t xml:space="preserve">The responsibility for rapid risk assessment for risks of a cross-border threat that is linked to medicinal products and medical devices is assigned to EMA, for risks of a cross-border threat of chemical origin is shared between ECHA and EFSA based on their mandate and for risk of a cross border threat of threats of environmental origin, including those due to the climate, are shared among ECHA, EFSA and EEA based on their mandate. </w:t>
      </w:r>
    </w:p>
    <w:p w14:paraId="4B758F31" w14:textId="77777777" w:rsidR="000A7D9D" w:rsidRPr="00297E98" w:rsidRDefault="000A7D9D" w:rsidP="000A7D9D">
      <w:pPr>
        <w:pStyle w:val="BodyText"/>
        <w:jc w:val="both"/>
        <w:rPr>
          <w:i/>
          <w:iCs/>
          <w:noProof/>
        </w:rPr>
      </w:pPr>
      <w:r w:rsidRPr="00297E98">
        <w:rPr>
          <w:b/>
          <w:bCs/>
          <w:noProof/>
        </w:rPr>
        <w:t>Proximity to Agencies (ECHA, EEA, EFSA and EMA) mandate:</w:t>
      </w:r>
      <w:r w:rsidRPr="00297E98">
        <w:rPr>
          <w:noProof/>
        </w:rPr>
        <w:t xml:space="preserve"> EFSA has been already involved in the rapid risk assessment based on the old system, in parallel with SCHEER, and thus have developed expertise and procedures. For ECHA and EMA</w:t>
      </w:r>
      <w:r>
        <w:rPr>
          <w:noProof/>
        </w:rPr>
        <w:t xml:space="preserve"> this</w:t>
      </w:r>
      <w:r w:rsidRPr="00297E98">
        <w:rPr>
          <w:noProof/>
        </w:rPr>
        <w:t xml:space="preserve"> is a new task. While they ha</w:t>
      </w:r>
      <w:r>
        <w:rPr>
          <w:noProof/>
        </w:rPr>
        <w:t xml:space="preserve">ve </w:t>
      </w:r>
      <w:r w:rsidRPr="00297E98">
        <w:rPr>
          <w:noProof/>
        </w:rPr>
        <w:t xml:space="preserve"> certain expertise in the </w:t>
      </w:r>
      <w:r>
        <w:rPr>
          <w:noProof/>
        </w:rPr>
        <w:t xml:space="preserve"> </w:t>
      </w:r>
      <w:r w:rsidRPr="00297E98">
        <w:rPr>
          <w:noProof/>
        </w:rPr>
        <w:t xml:space="preserve">area of chemical or environmental risks, they do not have dedicated expertise related to risk management of chemical incidents, nor do they hold data on emissions into the environment. For EEA is a new task too but EEA holds data on emissions into the environment and there are some synergies with (re-)attribution of SEVESO III work on chemical accidents. </w:t>
      </w:r>
    </w:p>
    <w:p w14:paraId="78032576" w14:textId="77777777" w:rsidR="000A7D9D" w:rsidRPr="00297E98" w:rsidRDefault="000A7D9D" w:rsidP="000A7D9D">
      <w:pPr>
        <w:pStyle w:val="BodyText"/>
        <w:rPr>
          <w:b/>
          <w:bCs/>
          <w:noProof/>
        </w:rPr>
      </w:pPr>
      <w:r w:rsidRPr="00297E98">
        <w:rPr>
          <w:b/>
          <w:bCs/>
          <w:noProof/>
        </w:rPr>
        <w:t>Projected synergies and added value of reattribution:</w:t>
      </w:r>
    </w:p>
    <w:tbl>
      <w:tblPr>
        <w:tblStyle w:val="TableGrid30"/>
        <w:tblW w:w="0" w:type="auto"/>
        <w:tblLook w:val="04A0" w:firstRow="1" w:lastRow="0" w:firstColumn="1" w:lastColumn="0" w:noHBand="0" w:noVBand="1"/>
      </w:tblPr>
      <w:tblGrid>
        <w:gridCol w:w="1729"/>
        <w:gridCol w:w="1120"/>
        <w:gridCol w:w="6780"/>
      </w:tblGrid>
      <w:tr w:rsidR="000A7D9D" w:rsidRPr="00297E98" w14:paraId="2A5364E8"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2BC117D4" w14:textId="77777777" w:rsidR="000A7D9D" w:rsidRPr="00297E98" w:rsidRDefault="000A7D9D" w:rsidP="00F31937">
            <w:pPr>
              <w:spacing w:before="120" w:after="120"/>
              <w:rPr>
                <w:rFonts w:ascii="Times New Roman" w:hAnsi="Times New Roman"/>
                <w:b/>
                <w:bCs/>
                <w:noProof/>
                <w:color w:val="0046AD"/>
              </w:rPr>
            </w:pPr>
            <w:r w:rsidRPr="00297E98">
              <w:rPr>
                <w:rFonts w:ascii="Times New Roman" w:hAnsi="Times New Roman"/>
                <w:b/>
                <w:bCs/>
                <w:noProof/>
                <w:color w:val="0046AD"/>
              </w:rPr>
              <w:t>Type</w:t>
            </w:r>
          </w:p>
        </w:tc>
        <w:tc>
          <w:tcPr>
            <w:tcW w:w="7900" w:type="dxa"/>
            <w:gridSpan w:val="2"/>
            <w:tcBorders>
              <w:top w:val="single" w:sz="4" w:space="0" w:color="auto"/>
              <w:left w:val="single" w:sz="4" w:space="0" w:color="auto"/>
              <w:bottom w:val="single" w:sz="4" w:space="0" w:color="auto"/>
              <w:right w:val="single" w:sz="4" w:space="0" w:color="auto"/>
            </w:tcBorders>
            <w:hideMark/>
          </w:tcPr>
          <w:p w14:paraId="29BBF283" w14:textId="77777777" w:rsidR="000A7D9D" w:rsidRPr="00297E98" w:rsidRDefault="000A7D9D" w:rsidP="00F31937">
            <w:pPr>
              <w:spacing w:before="120" w:after="120"/>
              <w:rPr>
                <w:rFonts w:ascii="Times New Roman" w:hAnsi="Times New Roman"/>
                <w:b/>
                <w:bCs/>
                <w:noProof/>
                <w:color w:val="0046AD"/>
              </w:rPr>
            </w:pPr>
            <w:r w:rsidRPr="00297E98">
              <w:rPr>
                <w:rFonts w:ascii="Times New Roman" w:hAnsi="Times New Roman"/>
                <w:b/>
                <w:bCs/>
                <w:noProof/>
                <w:color w:val="0046AD"/>
              </w:rPr>
              <w:t>Synergies</w:t>
            </w:r>
          </w:p>
        </w:tc>
      </w:tr>
      <w:tr w:rsidR="000A7D9D" w:rsidRPr="00297E98" w14:paraId="7B3F58AA"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5C52DF89" w14:textId="77777777" w:rsidR="000A7D9D" w:rsidRPr="00297E98" w:rsidRDefault="000A7D9D" w:rsidP="00F31937">
            <w:pPr>
              <w:spacing w:before="120" w:after="120"/>
              <w:rPr>
                <w:rFonts w:ascii="Times New Roman" w:hAnsi="Times New Roman"/>
                <w:b/>
                <w:bCs/>
                <w:noProof/>
                <w:color w:val="000000"/>
              </w:rPr>
            </w:pPr>
            <w:r w:rsidRPr="00297E98">
              <w:rPr>
                <w:rFonts w:ascii="Times New Roman" w:hAnsi="Times New Roman"/>
                <w:b/>
                <w:bCs/>
                <w:noProof/>
                <w:color w:val="000000"/>
              </w:rPr>
              <w:t>Reuse of capabilities</w:t>
            </w:r>
          </w:p>
        </w:tc>
        <w:tc>
          <w:tcPr>
            <w:tcW w:w="1120" w:type="dxa"/>
            <w:tcBorders>
              <w:top w:val="single" w:sz="4" w:space="0" w:color="auto"/>
              <w:left w:val="single" w:sz="4" w:space="0" w:color="auto"/>
              <w:bottom w:val="single" w:sz="4" w:space="0" w:color="auto"/>
              <w:right w:val="single" w:sz="4" w:space="0" w:color="auto"/>
            </w:tcBorders>
            <w:hideMark/>
          </w:tcPr>
          <w:p w14:paraId="72568101"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Medium</w:t>
            </w:r>
          </w:p>
        </w:tc>
        <w:tc>
          <w:tcPr>
            <w:tcW w:w="6780" w:type="dxa"/>
            <w:tcBorders>
              <w:top w:val="single" w:sz="4" w:space="0" w:color="auto"/>
              <w:left w:val="single" w:sz="4" w:space="0" w:color="auto"/>
              <w:bottom w:val="single" w:sz="4" w:space="0" w:color="auto"/>
              <w:right w:val="single" w:sz="4" w:space="0" w:color="auto"/>
            </w:tcBorders>
            <w:hideMark/>
          </w:tcPr>
          <w:p w14:paraId="7B9FF553"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 xml:space="preserve">Process and expertise: </w:t>
            </w:r>
          </w:p>
          <w:p w14:paraId="42937BFF"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ECHA, EFSA and EMA already provides scientific advice on chemical substances under their mandate. Therefore, the existing capacities on h</w:t>
            </w:r>
            <w:r w:rsidRPr="00297E98">
              <w:rPr>
                <w:rFonts w:ascii="Times New Roman" w:hAnsi="Times New Roman"/>
                <w:noProof/>
              </w:rPr>
              <w:t>azard, risk and exposure assessment</w:t>
            </w:r>
            <w:r w:rsidRPr="00297E98">
              <w:rPr>
                <w:rFonts w:ascii="Times New Roman" w:hAnsi="Times New Roman"/>
                <w:noProof/>
                <w:color w:val="000000"/>
              </w:rPr>
              <w:t xml:space="preserve"> can be reused/reinforced.</w:t>
            </w:r>
          </w:p>
          <w:p w14:paraId="2F08AF71"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themeColor="text1"/>
              </w:rPr>
              <w:t xml:space="preserve">EEA is to be responsible also for SEVESO directive dealing with chemical accidents and this expertise can be partly reused. </w:t>
            </w:r>
          </w:p>
        </w:tc>
      </w:tr>
      <w:tr w:rsidR="000A7D9D" w:rsidRPr="00297E98" w14:paraId="5CC94CDC"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48397110" w14:textId="77777777" w:rsidR="000A7D9D" w:rsidRPr="00297E98" w:rsidRDefault="000A7D9D" w:rsidP="00F31937">
            <w:pPr>
              <w:spacing w:before="120" w:after="120"/>
              <w:rPr>
                <w:rFonts w:ascii="Times New Roman" w:hAnsi="Times New Roman"/>
                <w:b/>
                <w:bCs/>
                <w:noProof/>
                <w:color w:val="000000"/>
              </w:rPr>
            </w:pPr>
            <w:r w:rsidRPr="00297E98">
              <w:rPr>
                <w:rFonts w:ascii="Times New Roman" w:hAnsi="Times New Roman"/>
                <w:b/>
                <w:bCs/>
                <w:noProof/>
                <w:color w:val="000000"/>
              </w:rPr>
              <w:t>Re-use of data</w:t>
            </w:r>
          </w:p>
        </w:tc>
        <w:tc>
          <w:tcPr>
            <w:tcW w:w="1120" w:type="dxa"/>
            <w:tcBorders>
              <w:top w:val="single" w:sz="4" w:space="0" w:color="auto"/>
              <w:left w:val="single" w:sz="4" w:space="0" w:color="auto"/>
              <w:bottom w:val="single" w:sz="4" w:space="0" w:color="auto"/>
              <w:right w:val="single" w:sz="4" w:space="0" w:color="auto"/>
            </w:tcBorders>
            <w:hideMark/>
          </w:tcPr>
          <w:p w14:paraId="5EB33DAA"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Medium</w:t>
            </w:r>
          </w:p>
        </w:tc>
        <w:tc>
          <w:tcPr>
            <w:tcW w:w="6780" w:type="dxa"/>
            <w:tcBorders>
              <w:top w:val="single" w:sz="4" w:space="0" w:color="auto"/>
              <w:left w:val="single" w:sz="4" w:space="0" w:color="auto"/>
              <w:bottom w:val="single" w:sz="4" w:space="0" w:color="auto"/>
              <w:right w:val="single" w:sz="4" w:space="0" w:color="auto"/>
            </w:tcBorders>
            <w:hideMark/>
          </w:tcPr>
          <w:p w14:paraId="1D518E35"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ECHA, EFSA, EMA and EEA can reuse of data collected under other legislation within their mandate.</w:t>
            </w:r>
          </w:p>
        </w:tc>
      </w:tr>
      <w:tr w:rsidR="000A7D9D" w:rsidRPr="00297E98" w14:paraId="582A15D0"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31968A4F" w14:textId="77777777" w:rsidR="000A7D9D" w:rsidRPr="00297E98" w:rsidRDefault="000A7D9D" w:rsidP="00F31937">
            <w:pPr>
              <w:spacing w:before="120" w:after="120"/>
              <w:rPr>
                <w:rFonts w:ascii="Times New Roman" w:hAnsi="Times New Roman"/>
                <w:b/>
                <w:bCs/>
                <w:noProof/>
                <w:color w:val="000000"/>
              </w:rPr>
            </w:pPr>
            <w:r w:rsidRPr="00297E98">
              <w:rPr>
                <w:rFonts w:ascii="Times New Roman" w:hAnsi="Times New Roman"/>
                <w:b/>
                <w:bCs/>
                <w:noProof/>
                <w:color w:val="000000"/>
              </w:rPr>
              <w:t>Workload balancing</w:t>
            </w:r>
          </w:p>
        </w:tc>
        <w:tc>
          <w:tcPr>
            <w:tcW w:w="1120" w:type="dxa"/>
            <w:tcBorders>
              <w:top w:val="single" w:sz="4" w:space="0" w:color="auto"/>
              <w:left w:val="single" w:sz="4" w:space="0" w:color="auto"/>
              <w:bottom w:val="single" w:sz="4" w:space="0" w:color="auto"/>
              <w:right w:val="single" w:sz="4" w:space="0" w:color="auto"/>
            </w:tcBorders>
            <w:hideMark/>
          </w:tcPr>
          <w:p w14:paraId="7744D23C"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Medium</w:t>
            </w:r>
          </w:p>
        </w:tc>
        <w:tc>
          <w:tcPr>
            <w:tcW w:w="6780" w:type="dxa"/>
            <w:tcBorders>
              <w:top w:val="single" w:sz="4" w:space="0" w:color="auto"/>
              <w:left w:val="single" w:sz="4" w:space="0" w:color="auto"/>
              <w:bottom w:val="single" w:sz="4" w:space="0" w:color="auto"/>
              <w:right w:val="single" w:sz="4" w:space="0" w:color="auto"/>
            </w:tcBorders>
            <w:hideMark/>
          </w:tcPr>
          <w:p w14:paraId="26424A53"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With only sporadic requests for advice, the workload of Agency experts can be balanced.</w:t>
            </w:r>
          </w:p>
        </w:tc>
      </w:tr>
      <w:tr w:rsidR="000A7D9D" w:rsidRPr="00297E98" w14:paraId="373C65D8"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6193A739" w14:textId="77777777" w:rsidR="000A7D9D" w:rsidRPr="00297E98" w:rsidRDefault="000A7D9D" w:rsidP="00F31937">
            <w:pPr>
              <w:spacing w:before="120" w:after="120"/>
              <w:rPr>
                <w:rFonts w:ascii="Times New Roman" w:hAnsi="Times New Roman"/>
                <w:b/>
                <w:bCs/>
                <w:noProof/>
                <w:color w:val="000000"/>
              </w:rPr>
            </w:pPr>
            <w:r w:rsidRPr="00297E98">
              <w:rPr>
                <w:rFonts w:ascii="Times New Roman" w:hAnsi="Times New Roman"/>
                <w:b/>
                <w:bCs/>
                <w:noProof/>
                <w:color w:val="000000"/>
              </w:rPr>
              <w:t>IT tools: automation and economies of scale</w:t>
            </w:r>
          </w:p>
        </w:tc>
        <w:tc>
          <w:tcPr>
            <w:tcW w:w="1120" w:type="dxa"/>
            <w:tcBorders>
              <w:top w:val="single" w:sz="4" w:space="0" w:color="auto"/>
              <w:left w:val="single" w:sz="4" w:space="0" w:color="auto"/>
              <w:bottom w:val="single" w:sz="4" w:space="0" w:color="auto"/>
              <w:right w:val="single" w:sz="4" w:space="0" w:color="auto"/>
            </w:tcBorders>
            <w:hideMark/>
          </w:tcPr>
          <w:p w14:paraId="78832DAA"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Medium</w:t>
            </w:r>
          </w:p>
        </w:tc>
        <w:tc>
          <w:tcPr>
            <w:tcW w:w="6780" w:type="dxa"/>
            <w:tcBorders>
              <w:top w:val="single" w:sz="4" w:space="0" w:color="auto"/>
              <w:left w:val="single" w:sz="4" w:space="0" w:color="auto"/>
              <w:bottom w:val="single" w:sz="4" w:space="0" w:color="auto"/>
              <w:right w:val="single" w:sz="4" w:space="0" w:color="auto"/>
            </w:tcBorders>
            <w:hideMark/>
          </w:tcPr>
          <w:p w14:paraId="5B7BCB8A"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Not an IT-intensive process, but reuse of IT capabilities for case management, interaction with Member States and external experts.</w:t>
            </w:r>
          </w:p>
        </w:tc>
      </w:tr>
      <w:tr w:rsidR="000A7D9D" w:rsidRPr="00297E98" w14:paraId="57930B02"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231BDAD9" w14:textId="77777777" w:rsidR="000A7D9D" w:rsidRPr="00297E98" w:rsidRDefault="000A7D9D" w:rsidP="00F31937">
            <w:pPr>
              <w:spacing w:before="120" w:after="120"/>
              <w:rPr>
                <w:rFonts w:ascii="Times New Roman" w:hAnsi="Times New Roman"/>
                <w:b/>
                <w:bCs/>
                <w:noProof/>
                <w:color w:val="000000"/>
              </w:rPr>
            </w:pPr>
            <w:r w:rsidRPr="00297E98">
              <w:rPr>
                <w:rFonts w:ascii="Times New Roman" w:hAnsi="Times New Roman"/>
                <w:b/>
                <w:bCs/>
                <w:noProof/>
                <w:color w:val="000000"/>
              </w:rPr>
              <w:t>Support services: economies of scale</w:t>
            </w:r>
          </w:p>
        </w:tc>
        <w:tc>
          <w:tcPr>
            <w:tcW w:w="1120" w:type="dxa"/>
            <w:tcBorders>
              <w:top w:val="single" w:sz="4" w:space="0" w:color="auto"/>
              <w:left w:val="single" w:sz="4" w:space="0" w:color="auto"/>
              <w:bottom w:val="single" w:sz="4" w:space="0" w:color="auto"/>
              <w:right w:val="single" w:sz="4" w:space="0" w:color="auto"/>
            </w:tcBorders>
            <w:hideMark/>
          </w:tcPr>
          <w:p w14:paraId="7EA78654"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Medium</w:t>
            </w:r>
          </w:p>
        </w:tc>
        <w:tc>
          <w:tcPr>
            <w:tcW w:w="6780" w:type="dxa"/>
            <w:tcBorders>
              <w:top w:val="single" w:sz="4" w:space="0" w:color="auto"/>
              <w:left w:val="single" w:sz="4" w:space="0" w:color="auto"/>
              <w:bottom w:val="single" w:sz="4" w:space="0" w:color="auto"/>
              <w:right w:val="single" w:sz="4" w:space="0" w:color="auto"/>
            </w:tcBorders>
            <w:hideMark/>
          </w:tcPr>
          <w:p w14:paraId="7BD93A00" w14:textId="77777777" w:rsidR="000A7D9D" w:rsidRPr="00297E98" w:rsidRDefault="000A7D9D" w:rsidP="00F31937">
            <w:pPr>
              <w:spacing w:before="120" w:after="120"/>
              <w:rPr>
                <w:rFonts w:ascii="Times New Roman" w:hAnsi="Times New Roman"/>
                <w:noProof/>
                <w:color w:val="000000"/>
              </w:rPr>
            </w:pPr>
            <w:r w:rsidRPr="00297E98">
              <w:rPr>
                <w:rFonts w:ascii="Times New Roman" w:hAnsi="Times New Roman"/>
                <w:noProof/>
                <w:color w:val="000000"/>
              </w:rPr>
              <w:t>Reuse of scientific support services (e.g. data management and coordination with Member States and external experts). Reuse of administrative services.</w:t>
            </w:r>
          </w:p>
        </w:tc>
      </w:tr>
    </w:tbl>
    <w:p w14:paraId="3F1A330E" w14:textId="77777777" w:rsidR="000A7D9D" w:rsidRPr="00297E98" w:rsidRDefault="000A7D9D" w:rsidP="000A7D9D">
      <w:pPr>
        <w:pStyle w:val="BodyText"/>
        <w:rPr>
          <w:noProof/>
        </w:rPr>
      </w:pPr>
    </w:p>
    <w:tbl>
      <w:tblPr>
        <w:tblStyle w:val="TableGrid"/>
        <w:tblW w:w="0" w:type="auto"/>
        <w:tblLook w:val="04A0" w:firstRow="1" w:lastRow="0" w:firstColumn="1" w:lastColumn="0" w:noHBand="0" w:noVBand="1"/>
      </w:tblPr>
      <w:tblGrid>
        <w:gridCol w:w="1822"/>
        <w:gridCol w:w="1062"/>
        <w:gridCol w:w="6745"/>
      </w:tblGrid>
      <w:tr w:rsidR="000A7D9D" w:rsidRPr="00297E98" w14:paraId="1334A402"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6B256611" w14:textId="77777777" w:rsidR="000A7D9D" w:rsidRPr="00297E98" w:rsidRDefault="000A7D9D" w:rsidP="00F31937">
            <w:pPr>
              <w:spacing w:before="120" w:after="120"/>
              <w:rPr>
                <w:b/>
                <w:bCs/>
                <w:noProof/>
                <w:color w:val="0046AD"/>
              </w:rPr>
            </w:pPr>
            <w:r w:rsidRPr="00297E98">
              <w:rPr>
                <w:b/>
                <w:bCs/>
                <w:noProof/>
                <w:color w:val="0046AD"/>
              </w:rPr>
              <w:t>Type</w:t>
            </w:r>
          </w:p>
        </w:tc>
        <w:tc>
          <w:tcPr>
            <w:tcW w:w="7807" w:type="dxa"/>
            <w:gridSpan w:val="2"/>
            <w:tcBorders>
              <w:top w:val="single" w:sz="4" w:space="0" w:color="auto"/>
              <w:left w:val="single" w:sz="4" w:space="0" w:color="auto"/>
              <w:bottom w:val="single" w:sz="4" w:space="0" w:color="auto"/>
              <w:right w:val="single" w:sz="4" w:space="0" w:color="auto"/>
            </w:tcBorders>
            <w:hideMark/>
          </w:tcPr>
          <w:p w14:paraId="14C98D0B" w14:textId="77777777" w:rsidR="000A7D9D" w:rsidRPr="00297E98" w:rsidRDefault="000A7D9D" w:rsidP="00F31937">
            <w:pPr>
              <w:spacing w:before="120" w:after="120"/>
              <w:rPr>
                <w:b/>
                <w:bCs/>
                <w:noProof/>
                <w:color w:val="0046AD"/>
              </w:rPr>
            </w:pPr>
            <w:r w:rsidRPr="00297E98">
              <w:rPr>
                <w:b/>
                <w:bCs/>
                <w:noProof/>
                <w:color w:val="0046AD"/>
              </w:rPr>
              <w:t>Added value</w:t>
            </w:r>
          </w:p>
        </w:tc>
      </w:tr>
      <w:tr w:rsidR="000A7D9D" w:rsidRPr="00297E98" w14:paraId="67D36ED3"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65849F5D" w14:textId="77777777" w:rsidR="000A7D9D" w:rsidRPr="00297E98" w:rsidRDefault="000A7D9D" w:rsidP="00F31937">
            <w:pPr>
              <w:spacing w:before="120" w:after="120"/>
              <w:rPr>
                <w:b/>
                <w:bCs/>
                <w:noProof/>
                <w:color w:val="000000" w:themeColor="text1"/>
              </w:rPr>
            </w:pPr>
            <w:r w:rsidRPr="00297E98">
              <w:rPr>
                <w:b/>
                <w:bCs/>
                <w:noProof/>
                <w:color w:val="000000" w:themeColor="text1"/>
              </w:rPr>
              <w:t>Scientific consistency</w:t>
            </w:r>
          </w:p>
        </w:tc>
        <w:tc>
          <w:tcPr>
            <w:tcW w:w="1062" w:type="dxa"/>
            <w:tcBorders>
              <w:top w:val="single" w:sz="4" w:space="0" w:color="auto"/>
              <w:left w:val="single" w:sz="4" w:space="0" w:color="auto"/>
              <w:bottom w:val="single" w:sz="4" w:space="0" w:color="auto"/>
              <w:right w:val="single" w:sz="4" w:space="0" w:color="auto"/>
            </w:tcBorders>
            <w:hideMark/>
          </w:tcPr>
          <w:p w14:paraId="2BE2AD4B" w14:textId="77777777" w:rsidR="000A7D9D" w:rsidRPr="00297E98" w:rsidRDefault="000A7D9D" w:rsidP="00F31937">
            <w:pPr>
              <w:spacing w:before="120" w:after="120"/>
              <w:rPr>
                <w:noProof/>
                <w:color w:val="000000" w:themeColor="text1"/>
              </w:rPr>
            </w:pPr>
            <w:r w:rsidRPr="00297E98">
              <w:rPr>
                <w:noProof/>
                <w:color w:val="000000" w:themeColor="text1"/>
              </w:rPr>
              <w:t>Medium</w:t>
            </w:r>
          </w:p>
        </w:tc>
        <w:tc>
          <w:tcPr>
            <w:tcW w:w="6745" w:type="dxa"/>
            <w:tcBorders>
              <w:top w:val="single" w:sz="4" w:space="0" w:color="auto"/>
              <w:left w:val="single" w:sz="4" w:space="0" w:color="auto"/>
              <w:bottom w:val="single" w:sz="4" w:space="0" w:color="auto"/>
              <w:right w:val="single" w:sz="4" w:space="0" w:color="auto"/>
            </w:tcBorders>
            <w:hideMark/>
          </w:tcPr>
          <w:p w14:paraId="321EEF69" w14:textId="77777777" w:rsidR="000A7D9D" w:rsidRPr="00297E98" w:rsidRDefault="000A7D9D" w:rsidP="00F31937">
            <w:pPr>
              <w:spacing w:before="120" w:after="120"/>
              <w:rPr>
                <w:noProof/>
                <w:color w:val="000000" w:themeColor="text1"/>
              </w:rPr>
            </w:pPr>
            <w:r w:rsidRPr="00297E98">
              <w:rPr>
                <w:noProof/>
                <w:color w:val="000000" w:themeColor="text1"/>
              </w:rPr>
              <w:t>Opportunity to align process and methodology with other related legislation to improve coherence in the scientific advice provided to the Commission. Reuse of data collected under other legislation.</w:t>
            </w:r>
          </w:p>
        </w:tc>
      </w:tr>
      <w:tr w:rsidR="000A7D9D" w:rsidRPr="00297E98" w14:paraId="35AC0737"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354F9322" w14:textId="77777777" w:rsidR="000A7D9D" w:rsidRPr="00297E98" w:rsidRDefault="000A7D9D" w:rsidP="00F31937">
            <w:pPr>
              <w:spacing w:before="120" w:after="120"/>
              <w:rPr>
                <w:b/>
                <w:bCs/>
                <w:noProof/>
                <w:color w:val="000000" w:themeColor="text1"/>
              </w:rPr>
            </w:pPr>
            <w:r w:rsidRPr="00297E98">
              <w:rPr>
                <w:b/>
                <w:bCs/>
                <w:noProof/>
                <w:color w:val="000000" w:themeColor="text1"/>
              </w:rPr>
              <w:t>Robustness of assessment and acceptance</w:t>
            </w:r>
          </w:p>
        </w:tc>
        <w:tc>
          <w:tcPr>
            <w:tcW w:w="1062" w:type="dxa"/>
            <w:tcBorders>
              <w:top w:val="single" w:sz="4" w:space="0" w:color="auto"/>
              <w:left w:val="single" w:sz="4" w:space="0" w:color="auto"/>
              <w:bottom w:val="single" w:sz="4" w:space="0" w:color="auto"/>
              <w:right w:val="single" w:sz="4" w:space="0" w:color="auto"/>
            </w:tcBorders>
            <w:hideMark/>
          </w:tcPr>
          <w:p w14:paraId="48CC4A34" w14:textId="77777777" w:rsidR="000A7D9D" w:rsidRPr="00297E98" w:rsidRDefault="000A7D9D" w:rsidP="00F31937">
            <w:pPr>
              <w:spacing w:before="120" w:after="120"/>
              <w:rPr>
                <w:noProof/>
                <w:color w:val="000000" w:themeColor="text1"/>
              </w:rPr>
            </w:pPr>
            <w:r w:rsidRPr="00297E98">
              <w:rPr>
                <w:noProof/>
                <w:color w:val="000000" w:themeColor="text1"/>
              </w:rPr>
              <w:t>Medium</w:t>
            </w:r>
          </w:p>
        </w:tc>
        <w:tc>
          <w:tcPr>
            <w:tcW w:w="6745" w:type="dxa"/>
            <w:tcBorders>
              <w:top w:val="single" w:sz="4" w:space="0" w:color="auto"/>
              <w:left w:val="single" w:sz="4" w:space="0" w:color="auto"/>
              <w:bottom w:val="single" w:sz="4" w:space="0" w:color="auto"/>
              <w:right w:val="single" w:sz="4" w:space="0" w:color="auto"/>
            </w:tcBorders>
            <w:hideMark/>
          </w:tcPr>
          <w:p w14:paraId="60479856" w14:textId="77777777" w:rsidR="000A7D9D" w:rsidRPr="00297E98" w:rsidRDefault="000A7D9D" w:rsidP="00F31937">
            <w:pPr>
              <w:spacing w:before="120" w:after="120"/>
              <w:rPr>
                <w:noProof/>
                <w:color w:val="000000" w:themeColor="text1"/>
              </w:rPr>
            </w:pPr>
            <w:r w:rsidRPr="00297E98">
              <w:rPr>
                <w:noProof/>
                <w:color w:val="000000" w:themeColor="text1"/>
              </w:rPr>
              <w:t xml:space="preserve">Centralising scientific work from dispersed Commission services and committees to EU Agencies and their experts. </w:t>
            </w:r>
          </w:p>
        </w:tc>
      </w:tr>
      <w:tr w:rsidR="000A7D9D" w:rsidRPr="00297E98" w14:paraId="0A7E6F4B"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239D9902" w14:textId="77777777" w:rsidR="000A7D9D" w:rsidRPr="00297E98" w:rsidRDefault="000A7D9D" w:rsidP="00F31937">
            <w:pPr>
              <w:spacing w:before="120" w:after="120"/>
              <w:rPr>
                <w:b/>
                <w:bCs/>
                <w:noProof/>
                <w:color w:val="000000" w:themeColor="text1"/>
              </w:rPr>
            </w:pPr>
            <w:r w:rsidRPr="00297E98">
              <w:rPr>
                <w:b/>
                <w:bCs/>
                <w:noProof/>
                <w:color w:val="000000" w:themeColor="text1"/>
              </w:rPr>
              <w:t>Independence</w:t>
            </w:r>
          </w:p>
        </w:tc>
        <w:tc>
          <w:tcPr>
            <w:tcW w:w="1062" w:type="dxa"/>
            <w:tcBorders>
              <w:top w:val="single" w:sz="4" w:space="0" w:color="auto"/>
              <w:left w:val="single" w:sz="4" w:space="0" w:color="auto"/>
              <w:bottom w:val="single" w:sz="4" w:space="0" w:color="auto"/>
              <w:right w:val="single" w:sz="4" w:space="0" w:color="auto"/>
            </w:tcBorders>
            <w:hideMark/>
          </w:tcPr>
          <w:p w14:paraId="700394E6" w14:textId="77777777" w:rsidR="000A7D9D" w:rsidRPr="00297E98" w:rsidRDefault="000A7D9D" w:rsidP="00F31937">
            <w:pPr>
              <w:spacing w:before="120" w:after="120"/>
              <w:rPr>
                <w:noProof/>
                <w:color w:val="000000" w:themeColor="text1"/>
              </w:rPr>
            </w:pPr>
            <w:r w:rsidRPr="00297E98">
              <w:rPr>
                <w:noProof/>
                <w:color w:val="000000" w:themeColor="text1"/>
              </w:rPr>
              <w:t>Medium</w:t>
            </w:r>
          </w:p>
        </w:tc>
        <w:tc>
          <w:tcPr>
            <w:tcW w:w="6745" w:type="dxa"/>
            <w:tcBorders>
              <w:top w:val="single" w:sz="4" w:space="0" w:color="auto"/>
              <w:left w:val="single" w:sz="4" w:space="0" w:color="auto"/>
              <w:bottom w:val="single" w:sz="4" w:space="0" w:color="auto"/>
              <w:right w:val="single" w:sz="4" w:space="0" w:color="auto"/>
            </w:tcBorders>
            <w:hideMark/>
          </w:tcPr>
          <w:p w14:paraId="54743E14" w14:textId="77777777" w:rsidR="000A7D9D" w:rsidRPr="00297E98" w:rsidRDefault="000A7D9D" w:rsidP="00F31937">
            <w:pPr>
              <w:spacing w:before="120" w:after="120"/>
              <w:rPr>
                <w:noProof/>
                <w:color w:val="000000" w:themeColor="text1"/>
              </w:rPr>
            </w:pPr>
            <w:r w:rsidRPr="00297E98">
              <w:rPr>
                <w:noProof/>
                <w:color w:val="000000" w:themeColor="text1"/>
              </w:rPr>
              <w:t>Agencies are independent of the Commission and their experts have to fulfil strict non-conflict rules.</w:t>
            </w:r>
          </w:p>
        </w:tc>
      </w:tr>
      <w:tr w:rsidR="000A7D9D" w:rsidRPr="00297E98" w14:paraId="25F9633F"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2F80448C" w14:textId="77777777" w:rsidR="000A7D9D" w:rsidRPr="00297E98" w:rsidRDefault="000A7D9D" w:rsidP="00F31937">
            <w:pPr>
              <w:spacing w:before="120" w:after="120"/>
              <w:rPr>
                <w:b/>
                <w:bCs/>
                <w:noProof/>
                <w:color w:val="000000" w:themeColor="text1"/>
              </w:rPr>
            </w:pPr>
            <w:r w:rsidRPr="00297E98">
              <w:rPr>
                <w:b/>
                <w:bCs/>
                <w:noProof/>
                <w:color w:val="000000" w:themeColor="text1"/>
              </w:rPr>
              <w:t>Transparency</w:t>
            </w:r>
          </w:p>
        </w:tc>
        <w:tc>
          <w:tcPr>
            <w:tcW w:w="1062" w:type="dxa"/>
            <w:tcBorders>
              <w:top w:val="single" w:sz="4" w:space="0" w:color="auto"/>
              <w:left w:val="single" w:sz="4" w:space="0" w:color="auto"/>
              <w:bottom w:val="single" w:sz="4" w:space="0" w:color="auto"/>
              <w:right w:val="single" w:sz="4" w:space="0" w:color="auto"/>
            </w:tcBorders>
            <w:hideMark/>
          </w:tcPr>
          <w:p w14:paraId="66D28074" w14:textId="77777777" w:rsidR="000A7D9D" w:rsidRPr="00297E98" w:rsidRDefault="000A7D9D" w:rsidP="00F31937">
            <w:pPr>
              <w:spacing w:before="120" w:after="120"/>
              <w:rPr>
                <w:noProof/>
                <w:color w:val="000000" w:themeColor="text1"/>
              </w:rPr>
            </w:pPr>
            <w:r w:rsidRPr="00297E98">
              <w:rPr>
                <w:noProof/>
                <w:color w:val="000000" w:themeColor="text1"/>
              </w:rPr>
              <w:t>Medium</w:t>
            </w:r>
          </w:p>
        </w:tc>
        <w:tc>
          <w:tcPr>
            <w:tcW w:w="6745" w:type="dxa"/>
            <w:tcBorders>
              <w:top w:val="single" w:sz="4" w:space="0" w:color="auto"/>
              <w:left w:val="single" w:sz="4" w:space="0" w:color="auto"/>
              <w:bottom w:val="single" w:sz="4" w:space="0" w:color="auto"/>
              <w:right w:val="single" w:sz="4" w:space="0" w:color="auto"/>
            </w:tcBorders>
            <w:hideMark/>
          </w:tcPr>
          <w:p w14:paraId="3496DAED" w14:textId="77777777" w:rsidR="000A7D9D" w:rsidRPr="00297E98" w:rsidRDefault="000A7D9D" w:rsidP="00F31937">
            <w:pPr>
              <w:spacing w:before="120" w:after="120"/>
              <w:rPr>
                <w:noProof/>
                <w:color w:val="000000" w:themeColor="text1"/>
              </w:rPr>
            </w:pPr>
            <w:r w:rsidRPr="00297E98">
              <w:rPr>
                <w:noProof/>
                <w:color w:val="000000" w:themeColor="text1"/>
              </w:rPr>
              <w:t>Agencies involvement will bring additional transparency to the process:</w:t>
            </w:r>
          </w:p>
          <w:p w14:paraId="1A598872" w14:textId="77777777" w:rsidR="000A7D9D" w:rsidRPr="00297E98" w:rsidRDefault="000A7D9D" w:rsidP="000A7D9D">
            <w:pPr>
              <w:pStyle w:val="ListParagraph"/>
              <w:widowControl w:val="0"/>
              <w:numPr>
                <w:ilvl w:val="0"/>
                <w:numId w:val="21"/>
              </w:numPr>
              <w:snapToGrid w:val="0"/>
              <w:spacing w:before="120" w:after="120"/>
              <w:ind w:left="720"/>
              <w:rPr>
                <w:noProof/>
                <w:color w:val="000000" w:themeColor="text1"/>
              </w:rPr>
            </w:pPr>
            <w:r w:rsidRPr="00297E98">
              <w:rPr>
                <w:noProof/>
                <w:color w:val="000000" w:themeColor="text1"/>
              </w:rPr>
              <w:t>Overall process transparency</w:t>
            </w:r>
          </w:p>
          <w:p w14:paraId="77D448CA" w14:textId="77777777" w:rsidR="000A7D9D" w:rsidRPr="00297E98" w:rsidRDefault="000A7D9D" w:rsidP="000A7D9D">
            <w:pPr>
              <w:pStyle w:val="ListParagraph"/>
              <w:widowControl w:val="0"/>
              <w:numPr>
                <w:ilvl w:val="0"/>
                <w:numId w:val="21"/>
              </w:numPr>
              <w:snapToGrid w:val="0"/>
              <w:spacing w:before="120" w:after="120"/>
              <w:ind w:left="720"/>
              <w:rPr>
                <w:noProof/>
                <w:color w:val="000000" w:themeColor="text1"/>
              </w:rPr>
            </w:pPr>
            <w:r w:rsidRPr="00297E98">
              <w:rPr>
                <w:noProof/>
                <w:color w:val="000000" w:themeColor="text1"/>
              </w:rPr>
              <w:t>Dissemination of opinions and outcomes</w:t>
            </w:r>
          </w:p>
        </w:tc>
      </w:tr>
    </w:tbl>
    <w:p w14:paraId="6B613715" w14:textId="77777777" w:rsidR="000A7D9D" w:rsidRPr="00297E98" w:rsidRDefault="000A7D9D" w:rsidP="000A7D9D">
      <w:pPr>
        <w:pStyle w:val="BodyText"/>
        <w:spacing w:before="120"/>
        <w:jc w:val="both"/>
        <w:rPr>
          <w:b/>
          <w:bCs/>
          <w:noProof/>
        </w:rPr>
      </w:pPr>
      <w:r w:rsidRPr="00297E98">
        <w:rPr>
          <w:b/>
          <w:bCs/>
          <w:noProof/>
        </w:rPr>
        <w:t xml:space="preserve">Main risks and opportunities: </w:t>
      </w:r>
      <w:r w:rsidRPr="00297E98">
        <w:rPr>
          <w:noProof/>
        </w:rPr>
        <w:t xml:space="preserve">It might be challenging for Agencies to set up and maintain a continuous readiness to provide rapid risk assessments (within 72h) where urgently needed, similar to what is currently available through the DG SANTE secretariat and members of the SCHEER committee. </w:t>
      </w:r>
    </w:p>
    <w:p w14:paraId="0B8B209C" w14:textId="77777777" w:rsidR="000A7D9D" w:rsidRPr="00297E98" w:rsidRDefault="000A7D9D" w:rsidP="000A7D9D">
      <w:pPr>
        <w:pStyle w:val="BodyText"/>
        <w:rPr>
          <w:b/>
          <w:bCs/>
          <w:noProof/>
        </w:rPr>
      </w:pPr>
      <w:r w:rsidRPr="00297E98">
        <w:rPr>
          <w:b/>
          <w:bCs/>
          <w:noProof/>
        </w:rPr>
        <w:t>Projected impact on Agencies (ECHA, EFSA, EMA, EEA):</w:t>
      </w:r>
    </w:p>
    <w:p w14:paraId="736EBD70" w14:textId="77777777" w:rsidR="000A7D9D" w:rsidRPr="00297E98" w:rsidRDefault="000A7D9D" w:rsidP="000A7D9D">
      <w:pPr>
        <w:pStyle w:val="BodyText"/>
        <w:widowControl w:val="0"/>
        <w:numPr>
          <w:ilvl w:val="0"/>
          <w:numId w:val="88"/>
        </w:numPr>
        <w:rPr>
          <w:b/>
          <w:bCs/>
          <w:noProof/>
        </w:rPr>
      </w:pPr>
      <w:r w:rsidRPr="00297E98">
        <w:rPr>
          <w:noProof/>
        </w:rPr>
        <w:t xml:space="preserve">Agencies Committees/bodies: </w:t>
      </w:r>
      <w:r w:rsidRPr="00297E98">
        <w:rPr>
          <w:b/>
          <w:bCs/>
          <w:noProof/>
        </w:rPr>
        <w:t>no impact</w:t>
      </w:r>
      <w:r w:rsidRPr="00297E98">
        <w:rPr>
          <w:noProof/>
        </w:rPr>
        <w:t>. The task does not require involvement of ECHA Committees/bodies</w:t>
      </w:r>
    </w:p>
    <w:p w14:paraId="7A665770" w14:textId="77777777" w:rsidR="000A7D9D" w:rsidRPr="00297E98" w:rsidRDefault="000A7D9D" w:rsidP="000A7D9D">
      <w:pPr>
        <w:pStyle w:val="BodyText"/>
        <w:widowControl w:val="0"/>
        <w:numPr>
          <w:ilvl w:val="0"/>
          <w:numId w:val="88"/>
        </w:numPr>
        <w:rPr>
          <w:b/>
          <w:bCs/>
          <w:noProof/>
        </w:rPr>
      </w:pPr>
      <w:r w:rsidRPr="00297E98">
        <w:rPr>
          <w:noProof/>
        </w:rPr>
        <w:t xml:space="preserve">Agencies data model and IT infrastructure: </w:t>
      </w:r>
      <w:r w:rsidRPr="00297E98">
        <w:rPr>
          <w:b/>
          <w:bCs/>
          <w:noProof/>
        </w:rPr>
        <w:t>no impact</w:t>
      </w:r>
      <w:r w:rsidRPr="00297E98">
        <w:rPr>
          <w:noProof/>
        </w:rPr>
        <w:t>. The task does not require adjustment of data structures and IT systems</w:t>
      </w:r>
    </w:p>
    <w:p w14:paraId="4335574D" w14:textId="77777777" w:rsidR="000A7D9D" w:rsidRPr="00297E98" w:rsidRDefault="000A7D9D" w:rsidP="000A7D9D">
      <w:pPr>
        <w:pStyle w:val="BodyText"/>
        <w:widowControl w:val="0"/>
        <w:numPr>
          <w:ilvl w:val="0"/>
          <w:numId w:val="88"/>
        </w:numPr>
        <w:rPr>
          <w:b/>
          <w:bCs/>
          <w:noProof/>
        </w:rPr>
      </w:pPr>
      <w:r w:rsidRPr="00297E98">
        <w:rPr>
          <w:noProof/>
        </w:rPr>
        <w:t>Agencies key experts:</w:t>
      </w:r>
      <w:r w:rsidRPr="00297E98">
        <w:rPr>
          <w:b/>
          <w:bCs/>
          <w:noProof/>
        </w:rPr>
        <w:t xml:space="preserve"> medium impact</w:t>
      </w:r>
      <w:r w:rsidRPr="00297E98">
        <w:rPr>
          <w:noProof/>
        </w:rPr>
        <w:t>. The task partly relies on expert competencies that are currently not present within the Agencies and will therefore need to be acquired and developed</w:t>
      </w:r>
    </w:p>
    <w:p w14:paraId="7063094D" w14:textId="77777777" w:rsidR="000A7D9D" w:rsidRPr="00297E98" w:rsidRDefault="000A7D9D" w:rsidP="000A7D9D">
      <w:pPr>
        <w:pStyle w:val="BodyText"/>
        <w:rPr>
          <w:noProof/>
        </w:rPr>
      </w:pPr>
      <w:r w:rsidRPr="00297E98">
        <w:rPr>
          <w:b/>
          <w:bCs/>
          <w:noProof/>
        </w:rPr>
        <w:t>Workload and resource implications:</w:t>
      </w:r>
      <w:r w:rsidRPr="00297E98">
        <w:rPr>
          <w:noProof/>
        </w:rPr>
        <w:t xml:space="preserve"> </w:t>
      </w:r>
    </w:p>
    <w:p w14:paraId="2268B122" w14:textId="77777777" w:rsidR="000A7D9D" w:rsidRPr="00297E98" w:rsidRDefault="000A7D9D" w:rsidP="000A7D9D">
      <w:pPr>
        <w:spacing w:after="120"/>
        <w:rPr>
          <w:rFonts w:ascii="Times New Roman" w:hAnsi="Times New Roman" w:cs="Times New Roman"/>
          <w:noProof/>
          <w:sz w:val="24"/>
          <w:szCs w:val="24"/>
          <w:u w:val="single"/>
        </w:rPr>
      </w:pPr>
      <w:r w:rsidRPr="00297E98">
        <w:rPr>
          <w:rFonts w:ascii="Times New Roman" w:hAnsi="Times New Roman" w:cs="Times New Roman"/>
          <w:noProof/>
          <w:sz w:val="24"/>
          <w:szCs w:val="24"/>
          <w:u w:val="single"/>
        </w:rPr>
        <w:t>Current workload and resource use</w:t>
      </w:r>
    </w:p>
    <w:p w14:paraId="25601708" w14:textId="77777777" w:rsidR="000A7D9D" w:rsidRPr="00297E98" w:rsidRDefault="000A7D9D" w:rsidP="000A7D9D">
      <w:pPr>
        <w:spacing w:after="120"/>
        <w:jc w:val="both"/>
        <w:rPr>
          <w:rFonts w:ascii="Times New Roman" w:hAnsi="Times New Roman" w:cs="Times New Roman"/>
          <w:noProof/>
          <w:sz w:val="24"/>
          <w:szCs w:val="24"/>
        </w:rPr>
      </w:pPr>
      <w:r w:rsidRPr="00297E98">
        <w:rPr>
          <w:rFonts w:ascii="Times New Roman" w:hAnsi="Times New Roman" w:cs="Times New Roman"/>
          <w:noProof/>
          <w:sz w:val="24"/>
          <w:szCs w:val="24"/>
        </w:rPr>
        <w:t xml:space="preserve">DG SANTE Health Security unit leads this process (resources spent unknown), but the main work is carried out by the SCHEER Committee dedicated working group (on average 10 meetings / year + regular crisis exercises, etc.). With this level of activity this work is estimated to take up at least 20% of the work time of the DG SANTE SCHEER secretariat (= ca. 0.6 FTE/year) and require significant time from the SCHEER members. In addition, the operational budget for the reimbursement of members is at least </w:t>
      </w:r>
      <w:r>
        <w:rPr>
          <w:rFonts w:ascii="Times New Roman" w:hAnsi="Times New Roman" w:cs="Times New Roman"/>
          <w:noProof/>
          <w:sz w:val="24"/>
          <w:szCs w:val="24"/>
        </w:rPr>
        <w:t xml:space="preserve">EUR </w:t>
      </w:r>
      <w:r w:rsidRPr="00297E98">
        <w:rPr>
          <w:rFonts w:ascii="Times New Roman" w:hAnsi="Times New Roman" w:cs="Times New Roman"/>
          <w:noProof/>
          <w:sz w:val="24"/>
          <w:szCs w:val="24"/>
        </w:rPr>
        <w:t>48</w:t>
      </w:r>
      <w:r>
        <w:rPr>
          <w:rFonts w:ascii="Times New Roman" w:hAnsi="Times New Roman" w:cs="Times New Roman"/>
          <w:noProof/>
          <w:sz w:val="24"/>
          <w:szCs w:val="24"/>
        </w:rPr>
        <w:t xml:space="preserve"> </w:t>
      </w:r>
      <w:r w:rsidRPr="00297E98">
        <w:rPr>
          <w:rFonts w:ascii="Times New Roman" w:hAnsi="Times New Roman" w:cs="Times New Roman"/>
          <w:noProof/>
          <w:sz w:val="24"/>
          <w:szCs w:val="24"/>
        </w:rPr>
        <w:t xml:space="preserve">000 (20% of </w:t>
      </w:r>
      <w:r>
        <w:rPr>
          <w:rFonts w:ascii="Times New Roman" w:hAnsi="Times New Roman" w:cs="Times New Roman"/>
          <w:noProof/>
          <w:sz w:val="24"/>
          <w:szCs w:val="24"/>
        </w:rPr>
        <w:t xml:space="preserve">EUR </w:t>
      </w:r>
      <w:r w:rsidRPr="00297E98">
        <w:rPr>
          <w:rFonts w:ascii="Times New Roman" w:hAnsi="Times New Roman" w:cs="Times New Roman"/>
          <w:noProof/>
          <w:sz w:val="24"/>
          <w:szCs w:val="24"/>
        </w:rPr>
        <w:t>240</w:t>
      </w:r>
      <w:r>
        <w:rPr>
          <w:rFonts w:ascii="Times New Roman" w:hAnsi="Times New Roman" w:cs="Times New Roman"/>
          <w:noProof/>
          <w:sz w:val="24"/>
          <w:szCs w:val="24"/>
        </w:rPr>
        <w:t xml:space="preserve"> 000</w:t>
      </w:r>
      <w:r w:rsidRPr="00297E98">
        <w:rPr>
          <w:rFonts w:ascii="Times New Roman" w:hAnsi="Times New Roman" w:cs="Times New Roman"/>
          <w:noProof/>
          <w:sz w:val="24"/>
          <w:szCs w:val="24"/>
        </w:rPr>
        <w:t xml:space="preserve">/year) </w:t>
      </w:r>
    </w:p>
    <w:tbl>
      <w:tblPr>
        <w:tblStyle w:val="TableGrid4"/>
        <w:tblW w:w="0" w:type="auto"/>
        <w:tblLook w:val="04A0" w:firstRow="1" w:lastRow="0" w:firstColumn="1" w:lastColumn="0" w:noHBand="0" w:noVBand="1"/>
      </w:tblPr>
      <w:tblGrid>
        <w:gridCol w:w="4816"/>
        <w:gridCol w:w="4813"/>
      </w:tblGrid>
      <w:tr w:rsidR="000A7D9D" w:rsidRPr="00297E98" w14:paraId="3C07D2F3" w14:textId="77777777" w:rsidTr="00F31937">
        <w:trPr>
          <w:trHeight w:val="300"/>
        </w:trPr>
        <w:tc>
          <w:tcPr>
            <w:tcW w:w="4816" w:type="dxa"/>
          </w:tcPr>
          <w:p w14:paraId="726051CA" w14:textId="77777777" w:rsidR="000A7D9D" w:rsidRPr="00297E98" w:rsidRDefault="000A7D9D" w:rsidP="00F31937">
            <w:pPr>
              <w:widowControl/>
              <w:spacing w:after="120" w:line="259" w:lineRule="auto"/>
              <w:contextualSpacing/>
              <w:jc w:val="both"/>
              <w:rPr>
                <w:rFonts w:ascii="Times New Roman" w:hAnsi="Times New Roman"/>
                <w:noProof/>
                <w:sz w:val="24"/>
                <w:szCs w:val="24"/>
              </w:rPr>
            </w:pPr>
            <w:r w:rsidRPr="00297E98">
              <w:rPr>
                <w:rFonts w:ascii="Times New Roman" w:hAnsi="Times New Roman"/>
                <w:noProof/>
                <w:sz w:val="24"/>
                <w:szCs w:val="24"/>
                <w:lang w:val="en-US"/>
              </w:rPr>
              <w:t>DG SANTE (Health Security unit)</w:t>
            </w:r>
          </w:p>
        </w:tc>
        <w:tc>
          <w:tcPr>
            <w:tcW w:w="4813" w:type="dxa"/>
          </w:tcPr>
          <w:p w14:paraId="742EA1F3" w14:textId="77777777" w:rsidR="000A7D9D" w:rsidRPr="00297E98" w:rsidRDefault="000A7D9D" w:rsidP="00F31937">
            <w:pPr>
              <w:widowControl/>
              <w:spacing w:after="120" w:line="259" w:lineRule="auto"/>
              <w:contextualSpacing/>
              <w:jc w:val="both"/>
              <w:rPr>
                <w:rFonts w:ascii="Times New Roman" w:hAnsi="Times New Roman"/>
                <w:noProof/>
                <w:color w:val="000000" w:themeColor="text1"/>
                <w:sz w:val="24"/>
                <w:szCs w:val="24"/>
                <w:lang w:val="en-US" w:eastAsia="en-US"/>
              </w:rPr>
            </w:pPr>
          </w:p>
        </w:tc>
      </w:tr>
      <w:tr w:rsidR="000A7D9D" w:rsidRPr="00297E98" w14:paraId="70F09436" w14:textId="77777777" w:rsidTr="00F31937">
        <w:trPr>
          <w:trHeight w:val="300"/>
        </w:trPr>
        <w:tc>
          <w:tcPr>
            <w:tcW w:w="4816" w:type="dxa"/>
          </w:tcPr>
          <w:p w14:paraId="13348EDE" w14:textId="77777777" w:rsidR="000A7D9D" w:rsidRPr="00297E98" w:rsidRDefault="000A7D9D" w:rsidP="00F31937">
            <w:pPr>
              <w:widowControl/>
              <w:spacing w:after="120" w:line="259" w:lineRule="auto"/>
              <w:contextualSpacing/>
              <w:jc w:val="both"/>
              <w:rPr>
                <w:rFonts w:ascii="Times New Roman" w:hAnsi="Times New Roman"/>
                <w:noProof/>
                <w:sz w:val="24"/>
                <w:szCs w:val="24"/>
                <w:lang w:val="en-US"/>
              </w:rPr>
            </w:pPr>
            <w:r w:rsidRPr="00297E98">
              <w:rPr>
                <w:rFonts w:ascii="Times New Roman" w:hAnsi="Times New Roman"/>
                <w:noProof/>
                <w:sz w:val="24"/>
                <w:szCs w:val="24"/>
                <w:lang w:val="en-US"/>
              </w:rPr>
              <w:t xml:space="preserve">DG SANTE (SCHEER secretariat) </w:t>
            </w:r>
          </w:p>
        </w:tc>
        <w:tc>
          <w:tcPr>
            <w:tcW w:w="4813" w:type="dxa"/>
          </w:tcPr>
          <w:p w14:paraId="6259A546" w14:textId="77777777" w:rsidR="000A7D9D" w:rsidRPr="00297E98" w:rsidRDefault="000A7D9D" w:rsidP="00F31937">
            <w:pPr>
              <w:widowControl/>
              <w:spacing w:after="120" w:line="259" w:lineRule="auto"/>
              <w:contextualSpacing/>
              <w:jc w:val="both"/>
              <w:rPr>
                <w:rFonts w:ascii="Times New Roman" w:hAnsi="Times New Roman"/>
                <w:noProof/>
                <w:sz w:val="24"/>
                <w:szCs w:val="24"/>
                <w:lang w:val="en-US"/>
              </w:rPr>
            </w:pPr>
            <w:r w:rsidRPr="00297E98">
              <w:rPr>
                <w:rFonts w:ascii="Times New Roman" w:hAnsi="Times New Roman"/>
                <w:noProof/>
                <w:sz w:val="24"/>
                <w:szCs w:val="24"/>
                <w:lang w:val="en-US"/>
              </w:rPr>
              <w:t>Ca. 0</w:t>
            </w:r>
            <w:r>
              <w:rPr>
                <w:rFonts w:ascii="Times New Roman" w:hAnsi="Times New Roman"/>
                <w:noProof/>
                <w:sz w:val="24"/>
                <w:szCs w:val="24"/>
                <w:lang w:val="en-US"/>
              </w:rPr>
              <w:t>.</w:t>
            </w:r>
            <w:r w:rsidRPr="00297E98">
              <w:rPr>
                <w:rFonts w:ascii="Times New Roman" w:hAnsi="Times New Roman"/>
                <w:noProof/>
                <w:sz w:val="24"/>
                <w:szCs w:val="24"/>
                <w:lang w:val="en-US"/>
              </w:rPr>
              <w:t>6 FTE (ca. 20% of SCHEER capacity)</w:t>
            </w:r>
          </w:p>
          <w:p w14:paraId="24266B56" w14:textId="77777777" w:rsidR="000A7D9D" w:rsidRPr="00297E98" w:rsidRDefault="000A7D9D" w:rsidP="00F31937">
            <w:pPr>
              <w:widowControl/>
              <w:spacing w:after="120" w:line="259" w:lineRule="auto"/>
              <w:contextualSpacing/>
              <w:jc w:val="both"/>
              <w:rPr>
                <w:rFonts w:ascii="Times New Roman" w:hAnsi="Times New Roman"/>
                <w:noProof/>
                <w:sz w:val="24"/>
                <w:szCs w:val="24"/>
                <w:lang w:val="en-US"/>
              </w:rPr>
            </w:pPr>
            <w:r>
              <w:rPr>
                <w:rFonts w:ascii="Times New Roman" w:hAnsi="Times New Roman"/>
                <w:noProof/>
                <w:sz w:val="24"/>
                <w:szCs w:val="24"/>
                <w:lang w:val="en-US"/>
              </w:rPr>
              <w:t xml:space="preserve">EUR </w:t>
            </w:r>
            <w:r w:rsidRPr="00297E98">
              <w:rPr>
                <w:rFonts w:ascii="Times New Roman" w:hAnsi="Times New Roman"/>
                <w:noProof/>
                <w:sz w:val="24"/>
                <w:szCs w:val="24"/>
                <w:lang w:val="en-US"/>
              </w:rPr>
              <w:t>48</w:t>
            </w:r>
            <w:r>
              <w:rPr>
                <w:rFonts w:ascii="Times New Roman" w:hAnsi="Times New Roman"/>
                <w:noProof/>
                <w:sz w:val="24"/>
                <w:szCs w:val="24"/>
                <w:lang w:val="en-US"/>
              </w:rPr>
              <w:t xml:space="preserve"> </w:t>
            </w:r>
            <w:r w:rsidRPr="00297E98">
              <w:rPr>
                <w:rFonts w:ascii="Times New Roman" w:hAnsi="Times New Roman"/>
                <w:noProof/>
                <w:sz w:val="24"/>
                <w:szCs w:val="24"/>
                <w:lang w:val="en-US"/>
              </w:rPr>
              <w:t xml:space="preserve">000 operational SCHEER budget (at peak </w:t>
            </w:r>
            <w:r>
              <w:rPr>
                <w:rFonts w:ascii="Times New Roman" w:hAnsi="Times New Roman"/>
                <w:noProof/>
                <w:sz w:val="24"/>
                <w:szCs w:val="24"/>
                <w:lang w:val="en-US"/>
              </w:rPr>
              <w:t xml:space="preserve">EUR </w:t>
            </w:r>
            <w:r w:rsidRPr="00297E98">
              <w:rPr>
                <w:rFonts w:ascii="Times New Roman" w:hAnsi="Times New Roman"/>
                <w:noProof/>
                <w:sz w:val="24"/>
                <w:szCs w:val="24"/>
                <w:lang w:val="en-US"/>
              </w:rPr>
              <w:t>68</w:t>
            </w:r>
            <w:r>
              <w:rPr>
                <w:rFonts w:ascii="Times New Roman" w:hAnsi="Times New Roman"/>
                <w:noProof/>
                <w:sz w:val="24"/>
                <w:szCs w:val="24"/>
                <w:lang w:val="en-US"/>
              </w:rPr>
              <w:t xml:space="preserve"> </w:t>
            </w:r>
            <w:r w:rsidRPr="00297E98">
              <w:rPr>
                <w:rFonts w:ascii="Times New Roman" w:hAnsi="Times New Roman"/>
                <w:noProof/>
                <w:sz w:val="24"/>
                <w:szCs w:val="24"/>
                <w:lang w:val="en-US"/>
              </w:rPr>
              <w:t>000)</w:t>
            </w:r>
          </w:p>
        </w:tc>
      </w:tr>
      <w:tr w:rsidR="000A7D9D" w:rsidRPr="00297E98" w14:paraId="4BD5AA97" w14:textId="77777777" w:rsidTr="00F31937">
        <w:trPr>
          <w:trHeight w:val="300"/>
        </w:trPr>
        <w:tc>
          <w:tcPr>
            <w:tcW w:w="4816" w:type="dxa"/>
          </w:tcPr>
          <w:p w14:paraId="5872D0E1" w14:textId="77777777" w:rsidR="000A7D9D" w:rsidRPr="00297E98" w:rsidRDefault="000A7D9D" w:rsidP="00F31937">
            <w:pPr>
              <w:widowControl/>
              <w:spacing w:after="120" w:line="259" w:lineRule="auto"/>
              <w:contextualSpacing/>
              <w:jc w:val="both"/>
              <w:rPr>
                <w:rFonts w:ascii="Times New Roman" w:hAnsi="Times New Roman"/>
                <w:noProof/>
                <w:sz w:val="24"/>
                <w:szCs w:val="24"/>
                <w:lang w:val="en-US"/>
              </w:rPr>
            </w:pPr>
            <w:r w:rsidRPr="00297E98">
              <w:rPr>
                <w:rFonts w:ascii="Times New Roman" w:hAnsi="Times New Roman"/>
                <w:noProof/>
                <w:sz w:val="24"/>
                <w:szCs w:val="24"/>
                <w:lang w:val="en-US"/>
              </w:rPr>
              <w:t>Total</w:t>
            </w:r>
          </w:p>
        </w:tc>
        <w:tc>
          <w:tcPr>
            <w:tcW w:w="4813" w:type="dxa"/>
          </w:tcPr>
          <w:p w14:paraId="47C42BEB" w14:textId="77777777" w:rsidR="000A7D9D" w:rsidRPr="00297E98" w:rsidRDefault="000A7D9D" w:rsidP="00F31937">
            <w:pPr>
              <w:widowControl/>
              <w:spacing w:after="120" w:line="259" w:lineRule="auto"/>
              <w:contextualSpacing/>
              <w:jc w:val="both"/>
              <w:rPr>
                <w:rFonts w:ascii="Times New Roman" w:hAnsi="Times New Roman"/>
                <w:noProof/>
                <w:sz w:val="24"/>
                <w:szCs w:val="24"/>
                <w:lang w:val="en-US"/>
              </w:rPr>
            </w:pPr>
            <w:r w:rsidRPr="00BE42B5">
              <w:rPr>
                <w:rFonts w:ascii="Times New Roman" w:hAnsi="Times New Roman"/>
                <w:i/>
                <w:noProof/>
                <w:sz w:val="24"/>
                <w:szCs w:val="24"/>
                <w:lang w:val="en-US"/>
              </w:rPr>
              <w:t>Ca.</w:t>
            </w:r>
            <w:r>
              <w:rPr>
                <w:rFonts w:ascii="Times New Roman" w:hAnsi="Times New Roman"/>
                <w:noProof/>
                <w:sz w:val="24"/>
                <w:szCs w:val="24"/>
                <w:lang w:val="en-US"/>
              </w:rPr>
              <w:t xml:space="preserve"> 0.</w:t>
            </w:r>
            <w:r w:rsidRPr="00297E98">
              <w:rPr>
                <w:rFonts w:ascii="Times New Roman" w:hAnsi="Times New Roman"/>
                <w:noProof/>
                <w:sz w:val="24"/>
                <w:szCs w:val="24"/>
                <w:lang w:val="en-US"/>
              </w:rPr>
              <w:t>6 FTE</w:t>
            </w:r>
          </w:p>
        </w:tc>
      </w:tr>
    </w:tbl>
    <w:p w14:paraId="5EFE42FD" w14:textId="77777777" w:rsidR="000A7D9D" w:rsidRPr="00297E98" w:rsidRDefault="000A7D9D" w:rsidP="000A7D9D">
      <w:pPr>
        <w:spacing w:before="120" w:after="120"/>
        <w:jc w:val="both"/>
        <w:rPr>
          <w:rFonts w:ascii="Times New Roman" w:hAnsi="Times New Roman" w:cs="Times New Roman"/>
          <w:noProof/>
          <w:sz w:val="24"/>
          <w:szCs w:val="24"/>
        </w:rPr>
      </w:pPr>
      <w:r w:rsidRPr="00297E98">
        <w:rPr>
          <w:rFonts w:ascii="Times New Roman" w:hAnsi="Times New Roman" w:cs="Times New Roman"/>
          <w:noProof/>
          <w:sz w:val="24"/>
          <w:szCs w:val="24"/>
          <w:u w:val="single"/>
        </w:rPr>
        <w:t>Current budget line:</w:t>
      </w:r>
      <w:r w:rsidRPr="00297E98">
        <w:rPr>
          <w:rFonts w:ascii="Times New Roman" w:hAnsi="Times New Roman" w:cs="Times New Roman"/>
          <w:noProof/>
          <w:sz w:val="24"/>
          <w:szCs w:val="24"/>
        </w:rPr>
        <w:t xml:space="preserve"> DG SANTE</w:t>
      </w:r>
    </w:p>
    <w:p w14:paraId="5B5CBF79" w14:textId="77777777" w:rsidR="000A7D9D" w:rsidRPr="00297E98" w:rsidRDefault="000A7D9D" w:rsidP="000A7D9D">
      <w:pPr>
        <w:spacing w:before="120" w:after="120"/>
        <w:rPr>
          <w:rFonts w:ascii="Times New Roman" w:hAnsi="Times New Roman" w:cs="Times New Roman"/>
          <w:noProof/>
          <w:sz w:val="24"/>
          <w:szCs w:val="24"/>
        </w:rPr>
      </w:pPr>
      <w:r w:rsidRPr="00297E98">
        <w:rPr>
          <w:rFonts w:ascii="Times New Roman" w:hAnsi="Times New Roman" w:cs="Times New Roman"/>
          <w:noProof/>
          <w:sz w:val="24"/>
          <w:szCs w:val="24"/>
          <w:u w:val="single"/>
        </w:rPr>
        <w:t>Future workload and resource needs:</w:t>
      </w:r>
    </w:p>
    <w:p w14:paraId="102A5D73" w14:textId="77777777" w:rsidR="000A7D9D" w:rsidRPr="00297E98" w:rsidRDefault="000A7D9D" w:rsidP="000A7D9D">
      <w:pPr>
        <w:pStyle w:val="BodyText"/>
        <w:spacing w:before="120"/>
        <w:jc w:val="both"/>
        <w:rPr>
          <w:noProof/>
        </w:rPr>
      </w:pPr>
      <w:r w:rsidRPr="00297E98">
        <w:rPr>
          <w:noProof/>
        </w:rPr>
        <w:t>The work performed by SCHEER will be shared among several agencies based on their expertise and mandate. The request</w:t>
      </w:r>
      <w:r>
        <w:rPr>
          <w:noProof/>
        </w:rPr>
        <w:t>s</w:t>
      </w:r>
      <w:r w:rsidRPr="00297E98">
        <w:rPr>
          <w:noProof/>
        </w:rPr>
        <w:t xml:space="preserve"> for rapid risk assessments are </w:t>
      </w:r>
      <w:r>
        <w:rPr>
          <w:noProof/>
        </w:rPr>
        <w:t xml:space="preserve">made </w:t>
      </w:r>
      <w:r w:rsidRPr="00297E98">
        <w:rPr>
          <w:noProof/>
        </w:rPr>
        <w:t>on ad hoc basis and are not very</w:t>
      </w:r>
      <w:r>
        <w:rPr>
          <w:noProof/>
        </w:rPr>
        <w:t xml:space="preserve"> frequent</w:t>
      </w:r>
      <w:r w:rsidRPr="00297E98">
        <w:rPr>
          <w:noProof/>
        </w:rPr>
        <w:t xml:space="preserve">. Considering the existing expertise in the agencies, the existing network of experts, low abundancy of the requests, it is expected that the Agencies can absorb the tasks without additional resources. </w:t>
      </w:r>
    </w:p>
    <w:p w14:paraId="444FCC1C" w14:textId="77777777" w:rsidR="000A7D9D" w:rsidRPr="00297E98" w:rsidRDefault="000A7D9D" w:rsidP="000A7D9D">
      <w:pPr>
        <w:spacing w:after="120"/>
        <w:rPr>
          <w:rFonts w:ascii="Times New Roman" w:hAnsi="Times New Roman" w:cs="Times New Roman"/>
          <w:noProof/>
          <w:sz w:val="24"/>
          <w:szCs w:val="24"/>
          <w:lang w:val="en-US" w:eastAsia="en-GB"/>
        </w:rPr>
      </w:pPr>
      <w:r w:rsidRPr="00297E98">
        <w:rPr>
          <w:rFonts w:ascii="Times New Roman" w:hAnsi="Times New Roman" w:cs="Times New Roman"/>
          <w:noProof/>
          <w:sz w:val="24"/>
          <w:szCs w:val="24"/>
          <w:lang w:val="en-US" w:eastAsia="en-GB"/>
        </w:rPr>
        <w:t>Summary of additional resource needs for the regulation on cross-border threats to health:</w:t>
      </w:r>
    </w:p>
    <w:tbl>
      <w:tblPr>
        <w:tblStyle w:val="TableGrid"/>
        <w:tblW w:w="0" w:type="auto"/>
        <w:tblLook w:val="04A0" w:firstRow="1" w:lastRow="0" w:firstColumn="1" w:lastColumn="0" w:noHBand="0" w:noVBand="1"/>
      </w:tblPr>
      <w:tblGrid>
        <w:gridCol w:w="1245"/>
        <w:gridCol w:w="4139"/>
        <w:gridCol w:w="1965"/>
        <w:gridCol w:w="2280"/>
      </w:tblGrid>
      <w:tr w:rsidR="000A7D9D" w:rsidRPr="00C56424" w14:paraId="55828763" w14:textId="77777777" w:rsidTr="00F31937">
        <w:trPr>
          <w:trHeight w:val="300"/>
        </w:trPr>
        <w:tc>
          <w:tcPr>
            <w:tcW w:w="1245" w:type="dxa"/>
            <w:shd w:val="clear" w:color="auto" w:fill="D9D9D9" w:themeFill="background1" w:themeFillShade="D9"/>
          </w:tcPr>
          <w:p w14:paraId="44562504"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4139" w:type="dxa"/>
            <w:shd w:val="clear" w:color="auto" w:fill="D9D9D9" w:themeFill="background1" w:themeFillShade="D9"/>
          </w:tcPr>
          <w:p w14:paraId="37D6D1EF"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965" w:type="dxa"/>
            <w:shd w:val="clear" w:color="auto" w:fill="D9D9D9" w:themeFill="background1" w:themeFillShade="D9"/>
          </w:tcPr>
          <w:p w14:paraId="4740A29A"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280" w:type="dxa"/>
            <w:shd w:val="clear" w:color="auto" w:fill="D9D9D9" w:themeFill="background1" w:themeFillShade="D9"/>
          </w:tcPr>
          <w:p w14:paraId="15AAD38D" w14:textId="77777777" w:rsidR="000A7D9D" w:rsidRPr="00C56424" w:rsidRDefault="000A7D9D" w:rsidP="00F31937">
            <w:pPr>
              <w:pStyle w:val="BodyText"/>
              <w:tabs>
                <w:tab w:val="left" w:pos="4170"/>
              </w:tabs>
              <w:spacing w:after="0"/>
              <w:rPr>
                <w:noProof/>
                <w:sz w:val="20"/>
                <w:szCs w:val="20"/>
              </w:rPr>
            </w:pPr>
          </w:p>
        </w:tc>
      </w:tr>
      <w:tr w:rsidR="000A7D9D" w:rsidRPr="00C56424" w14:paraId="2271E701" w14:textId="77777777" w:rsidTr="00F31937">
        <w:trPr>
          <w:trHeight w:val="300"/>
        </w:trPr>
        <w:tc>
          <w:tcPr>
            <w:tcW w:w="1245" w:type="dxa"/>
            <w:vMerge w:val="restart"/>
            <w:shd w:val="clear" w:color="auto" w:fill="D9D9D9" w:themeFill="background1" w:themeFillShade="D9"/>
          </w:tcPr>
          <w:p w14:paraId="0B90BF87" w14:textId="77777777" w:rsidR="000A7D9D" w:rsidRPr="00C56424" w:rsidRDefault="000A7D9D" w:rsidP="00F31937">
            <w:pPr>
              <w:pStyle w:val="BodyText"/>
              <w:spacing w:line="259" w:lineRule="auto"/>
              <w:rPr>
                <w:noProof/>
                <w:sz w:val="20"/>
                <w:szCs w:val="20"/>
              </w:rPr>
            </w:pPr>
            <w:r w:rsidRPr="00C56424">
              <w:rPr>
                <w:noProof/>
                <w:sz w:val="20"/>
                <w:szCs w:val="20"/>
              </w:rPr>
              <w:t>ECHA, EEA, EFSA, EMA, ECDC, EMCDDA</w:t>
            </w:r>
          </w:p>
        </w:tc>
        <w:tc>
          <w:tcPr>
            <w:tcW w:w="4139" w:type="dxa"/>
            <w:vMerge w:val="restart"/>
            <w:shd w:val="clear" w:color="auto" w:fill="D9D9D9" w:themeFill="background1" w:themeFillShade="D9"/>
          </w:tcPr>
          <w:p w14:paraId="4B105A5C" w14:textId="77777777" w:rsidR="000A7D9D" w:rsidRPr="00C56424" w:rsidRDefault="000A7D9D" w:rsidP="00F31937">
            <w:pPr>
              <w:pStyle w:val="BodyText"/>
              <w:rPr>
                <w:rFonts w:eastAsiaTheme="minorEastAsia"/>
                <w:noProof/>
                <w:sz w:val="20"/>
                <w:szCs w:val="20"/>
                <w:lang w:val="en-US"/>
              </w:rPr>
            </w:pPr>
            <w:r w:rsidRPr="00C56424">
              <w:rPr>
                <w:rFonts w:eastAsiaTheme="minorEastAsia"/>
                <w:noProof/>
                <w:sz w:val="20"/>
                <w:szCs w:val="20"/>
              </w:rPr>
              <w:t>-</w:t>
            </w:r>
            <w:r w:rsidRPr="00C56424">
              <w:rPr>
                <w:rFonts w:eastAsiaTheme="minorEastAsia"/>
                <w:noProof/>
                <w:sz w:val="20"/>
                <w:szCs w:val="20"/>
                <w:lang w:val="en-US"/>
              </w:rPr>
              <w:t xml:space="preserve"> contribution to the public health risk assessment</w:t>
            </w:r>
          </w:p>
          <w:p w14:paraId="4D675DBA" w14:textId="77777777" w:rsidR="000A7D9D" w:rsidRPr="00C56424" w:rsidRDefault="000A7D9D" w:rsidP="00F31937">
            <w:pPr>
              <w:pStyle w:val="BodyText"/>
              <w:rPr>
                <w:noProof/>
                <w:sz w:val="20"/>
                <w:szCs w:val="20"/>
              </w:rPr>
            </w:pPr>
          </w:p>
        </w:tc>
        <w:tc>
          <w:tcPr>
            <w:tcW w:w="1965" w:type="dxa"/>
            <w:shd w:val="clear" w:color="auto" w:fill="D9D9D9" w:themeFill="background1" w:themeFillShade="D9"/>
          </w:tcPr>
          <w:p w14:paraId="11838E67"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280" w:type="dxa"/>
            <w:shd w:val="clear" w:color="auto" w:fill="D9D9D9" w:themeFill="background1" w:themeFillShade="D9"/>
          </w:tcPr>
          <w:p w14:paraId="7EFAB31F"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2024: </w:t>
            </w:r>
            <w:r w:rsidRPr="00C56424">
              <w:rPr>
                <w:b/>
                <w:noProof/>
                <w:sz w:val="20"/>
                <w:szCs w:val="20"/>
              </w:rPr>
              <w:t>EUR 0</w:t>
            </w:r>
          </w:p>
          <w:p w14:paraId="72B6A4D2"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2025: </w:t>
            </w:r>
            <w:r w:rsidRPr="00C56424">
              <w:rPr>
                <w:b/>
                <w:noProof/>
                <w:sz w:val="20"/>
                <w:szCs w:val="20"/>
              </w:rPr>
              <w:t>EUR 0</w:t>
            </w:r>
          </w:p>
          <w:p w14:paraId="63DDF02B"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EUR</w:t>
            </w:r>
            <w:r w:rsidRPr="00C56424">
              <w:rPr>
                <w:noProof/>
                <w:sz w:val="20"/>
                <w:szCs w:val="20"/>
              </w:rPr>
              <w:t xml:space="preserve"> </w:t>
            </w:r>
            <w:r w:rsidRPr="00C56424">
              <w:rPr>
                <w:b/>
                <w:noProof/>
                <w:sz w:val="20"/>
                <w:szCs w:val="20"/>
              </w:rPr>
              <w:t>0</w:t>
            </w:r>
          </w:p>
          <w:p w14:paraId="54538068"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EUR</w:t>
            </w:r>
            <w:r w:rsidRPr="00C56424">
              <w:rPr>
                <w:noProof/>
                <w:sz w:val="20"/>
                <w:szCs w:val="20"/>
              </w:rPr>
              <w:t xml:space="preserve"> </w:t>
            </w:r>
            <w:r w:rsidRPr="00C56424">
              <w:rPr>
                <w:b/>
                <w:noProof/>
                <w:sz w:val="20"/>
                <w:szCs w:val="20"/>
              </w:rPr>
              <w:t>0</w:t>
            </w:r>
          </w:p>
        </w:tc>
      </w:tr>
      <w:tr w:rsidR="000A7D9D" w:rsidRPr="00C56424" w14:paraId="576C64AC" w14:textId="77777777" w:rsidTr="00F31937">
        <w:trPr>
          <w:trHeight w:val="300"/>
        </w:trPr>
        <w:tc>
          <w:tcPr>
            <w:tcW w:w="1245" w:type="dxa"/>
            <w:vMerge/>
            <w:shd w:val="clear" w:color="auto" w:fill="D9D9D9" w:themeFill="background1" w:themeFillShade="D9"/>
          </w:tcPr>
          <w:p w14:paraId="06B7E74F" w14:textId="77777777" w:rsidR="000A7D9D" w:rsidRPr="00C56424" w:rsidRDefault="000A7D9D" w:rsidP="00F31937">
            <w:pPr>
              <w:pStyle w:val="BodyText"/>
              <w:spacing w:line="259" w:lineRule="auto"/>
              <w:rPr>
                <w:noProof/>
                <w:sz w:val="20"/>
                <w:szCs w:val="20"/>
              </w:rPr>
            </w:pPr>
          </w:p>
        </w:tc>
        <w:tc>
          <w:tcPr>
            <w:tcW w:w="4139" w:type="dxa"/>
            <w:vMerge/>
            <w:shd w:val="clear" w:color="auto" w:fill="D9D9D9" w:themeFill="background1" w:themeFillShade="D9"/>
          </w:tcPr>
          <w:p w14:paraId="58318249" w14:textId="77777777" w:rsidR="000A7D9D" w:rsidRPr="00C56424" w:rsidRDefault="000A7D9D" w:rsidP="00F31937">
            <w:pPr>
              <w:pStyle w:val="BodyText"/>
              <w:rPr>
                <w:noProof/>
                <w:sz w:val="20"/>
                <w:szCs w:val="20"/>
              </w:rPr>
            </w:pPr>
          </w:p>
        </w:tc>
        <w:tc>
          <w:tcPr>
            <w:tcW w:w="1965" w:type="dxa"/>
            <w:shd w:val="clear" w:color="auto" w:fill="D9D9D9" w:themeFill="background1" w:themeFillShade="D9"/>
          </w:tcPr>
          <w:p w14:paraId="7E601A62"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280" w:type="dxa"/>
            <w:shd w:val="clear" w:color="auto" w:fill="D9D9D9" w:themeFill="background1" w:themeFillShade="D9"/>
          </w:tcPr>
          <w:p w14:paraId="47E12912"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2024: </w:t>
            </w:r>
            <w:r w:rsidRPr="00C56424">
              <w:rPr>
                <w:b/>
                <w:noProof/>
                <w:sz w:val="20"/>
                <w:szCs w:val="20"/>
              </w:rPr>
              <w:t>0 FTE</w:t>
            </w:r>
          </w:p>
          <w:p w14:paraId="23F180F7"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2025: </w:t>
            </w:r>
            <w:r w:rsidRPr="00C56424">
              <w:rPr>
                <w:b/>
                <w:noProof/>
                <w:sz w:val="20"/>
                <w:szCs w:val="20"/>
              </w:rPr>
              <w:t>0 FTE</w:t>
            </w:r>
          </w:p>
          <w:p w14:paraId="02ED4D04"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0 FTE</w:t>
            </w:r>
          </w:p>
          <w:p w14:paraId="64B0384A"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0 FTE</w:t>
            </w:r>
          </w:p>
        </w:tc>
      </w:tr>
    </w:tbl>
    <w:p w14:paraId="745EF9A4" w14:textId="77777777" w:rsidR="000A7D9D" w:rsidRDefault="000A7D9D" w:rsidP="000A7D9D">
      <w:pPr>
        <w:pStyle w:val="BodyText"/>
        <w:spacing w:before="120"/>
        <w:jc w:val="both"/>
        <w:rPr>
          <w:noProof/>
        </w:rPr>
      </w:pPr>
      <w:r w:rsidRPr="1880B16D">
        <w:rPr>
          <w:noProof/>
          <w:u w:val="single"/>
        </w:rPr>
        <w:t>Future budget line:</w:t>
      </w:r>
      <w:r>
        <w:rPr>
          <w:noProof/>
        </w:rPr>
        <w:t xml:space="preserve"> None – no resources allocated</w:t>
      </w:r>
    </w:p>
    <w:p w14:paraId="7A9BFCA4" w14:textId="77777777" w:rsidR="000A7D9D" w:rsidRDefault="000A7D9D" w:rsidP="000A7D9D">
      <w:pPr>
        <w:pStyle w:val="BodyText"/>
        <w:jc w:val="both"/>
        <w:rPr>
          <w:noProof/>
        </w:rPr>
      </w:pPr>
      <w:r w:rsidRPr="373763B5">
        <w:rPr>
          <w:noProof/>
          <w:u w:val="single"/>
        </w:rPr>
        <w:t>Candidate for fees:</w:t>
      </w:r>
      <w:r>
        <w:rPr>
          <w:noProof/>
        </w:rPr>
        <w:t xml:space="preserve"> No</w:t>
      </w:r>
    </w:p>
    <w:p w14:paraId="4D38075A" w14:textId="77777777" w:rsidR="000A7D9D" w:rsidRPr="00E46DC1" w:rsidRDefault="000A7D9D" w:rsidP="000A7D9D">
      <w:pPr>
        <w:rPr>
          <w:noProof/>
        </w:rPr>
      </w:pPr>
    </w:p>
    <w:p w14:paraId="797EF78F"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38" w:name="_Toc150499922"/>
      <w:r w:rsidRPr="00291F95">
        <w:rPr>
          <w:rFonts w:ascii="Times New Roman" w:hAnsi="Times New Roman"/>
          <w:smallCaps/>
          <w:noProof/>
          <w:color w:val="auto"/>
          <w:sz w:val="24"/>
          <w:szCs w:val="20"/>
          <w:lang w:eastAsia="en-US"/>
        </w:rPr>
        <w:t>European Partnership for the Assessment of Risks from Chemicals (PARC)</w:t>
      </w:r>
      <w:bookmarkEnd w:id="38"/>
    </w:p>
    <w:p w14:paraId="16EC306C"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Responsible body:</w:t>
      </w:r>
    </w:p>
    <w:p w14:paraId="7E0A624B" w14:textId="77777777" w:rsidR="000A7D9D" w:rsidRPr="00297E98" w:rsidRDefault="000A7D9D" w:rsidP="000A7D9D">
      <w:pPr>
        <w:spacing w:after="120"/>
        <w:rPr>
          <w:rFonts w:ascii="Times New Roman" w:hAnsi="Times New Roman" w:cs="Times New Roman"/>
          <w:noProof/>
          <w:sz w:val="24"/>
          <w:szCs w:val="24"/>
        </w:rPr>
      </w:pPr>
      <w:r w:rsidRPr="00297E98">
        <w:rPr>
          <w:rFonts w:ascii="Times New Roman" w:hAnsi="Times New Roman" w:cs="Times New Roman"/>
          <w:noProof/>
          <w:sz w:val="24"/>
          <w:szCs w:val="24"/>
          <w:u w:val="single"/>
        </w:rPr>
        <w:t>Currently:</w:t>
      </w:r>
      <w:r w:rsidRPr="00297E98">
        <w:rPr>
          <w:rFonts w:ascii="Times New Roman" w:hAnsi="Times New Roman" w:cs="Times New Roman"/>
          <w:noProof/>
          <w:sz w:val="24"/>
          <w:szCs w:val="24"/>
        </w:rPr>
        <w:t xml:space="preserve"> N/A, no current process exists at EU level</w:t>
      </w:r>
    </w:p>
    <w:p w14:paraId="6F69C6E3" w14:textId="77777777" w:rsidR="000A7D9D" w:rsidRPr="00297E98" w:rsidRDefault="000A7D9D" w:rsidP="000A7D9D">
      <w:pPr>
        <w:spacing w:after="120"/>
        <w:rPr>
          <w:rFonts w:ascii="Times New Roman" w:hAnsi="Times New Roman" w:cs="Times New Roman"/>
          <w:noProof/>
          <w:sz w:val="24"/>
          <w:szCs w:val="24"/>
        </w:rPr>
      </w:pPr>
      <w:r w:rsidRPr="00297E98">
        <w:rPr>
          <w:rFonts w:ascii="Times New Roman" w:hAnsi="Times New Roman" w:cs="Times New Roman"/>
          <w:noProof/>
          <w:sz w:val="24"/>
          <w:szCs w:val="24"/>
          <w:u w:val="single"/>
        </w:rPr>
        <w:t>(Re-)attribution planned to:</w:t>
      </w:r>
      <w:r w:rsidRPr="00297E98">
        <w:rPr>
          <w:rFonts w:ascii="Times New Roman" w:hAnsi="Times New Roman" w:cs="Times New Roman"/>
          <w:noProof/>
          <w:sz w:val="24"/>
          <w:szCs w:val="24"/>
        </w:rPr>
        <w:t xml:space="preserve"> ECHA, EEA, EFSA </w:t>
      </w:r>
    </w:p>
    <w:p w14:paraId="47FFE52E" w14:textId="77777777" w:rsidR="000A7D9D" w:rsidRPr="00297E98" w:rsidRDefault="000A7D9D" w:rsidP="000A7D9D">
      <w:pPr>
        <w:pStyle w:val="BodyText"/>
        <w:jc w:val="both"/>
        <w:rPr>
          <w:noProof/>
        </w:rPr>
      </w:pPr>
      <w:r w:rsidRPr="00297E98">
        <w:rPr>
          <w:b/>
          <w:bCs/>
          <w:noProof/>
        </w:rPr>
        <w:t xml:space="preserve">Legal basis for reattribution: </w:t>
      </w:r>
      <w:r w:rsidRPr="00297E98">
        <w:rPr>
          <w:noProof/>
        </w:rPr>
        <w:t>None, voluntary (ECHA and EFSA) or grant (EEA) agreement to participate in the project</w:t>
      </w:r>
    </w:p>
    <w:p w14:paraId="3F07F326" w14:textId="77777777" w:rsidR="000A7D9D" w:rsidRPr="00297E98" w:rsidRDefault="000A7D9D" w:rsidP="000A7D9D">
      <w:pPr>
        <w:pStyle w:val="BodyText"/>
        <w:jc w:val="both"/>
        <w:rPr>
          <w:noProof/>
        </w:rPr>
      </w:pPr>
      <w:r w:rsidRPr="00297E98">
        <w:rPr>
          <w:b/>
          <w:bCs/>
          <w:noProof/>
        </w:rPr>
        <w:t xml:space="preserve">Type of task: </w:t>
      </w:r>
      <w:r w:rsidRPr="00297E98">
        <w:rPr>
          <w:noProof/>
        </w:rPr>
        <w:t>new</w:t>
      </w:r>
    </w:p>
    <w:p w14:paraId="2F07BFB0" w14:textId="77777777" w:rsidR="000A7D9D" w:rsidRPr="00297E98" w:rsidRDefault="000A7D9D" w:rsidP="000A7D9D">
      <w:pPr>
        <w:pStyle w:val="BodyText"/>
        <w:jc w:val="both"/>
        <w:rPr>
          <w:noProof/>
        </w:rPr>
      </w:pPr>
      <w:r w:rsidRPr="00297E98">
        <w:rPr>
          <w:b/>
          <w:bCs/>
          <w:noProof/>
        </w:rPr>
        <w:t xml:space="preserve">Brief task overview: </w:t>
      </w:r>
      <w:r w:rsidRPr="00297E98">
        <w:rPr>
          <w:noProof/>
        </w:rPr>
        <w:t>Participate in and provide input and support to the European Partnership for the Assessment of Risks from Chemicals</w:t>
      </w:r>
    </w:p>
    <w:p w14:paraId="57519655" w14:textId="77777777" w:rsidR="000A7D9D" w:rsidRPr="00297E98" w:rsidRDefault="000A7D9D" w:rsidP="000A7D9D">
      <w:pPr>
        <w:pStyle w:val="BodyText"/>
        <w:jc w:val="both"/>
        <w:rPr>
          <w:noProof/>
        </w:rPr>
      </w:pPr>
      <w:r w:rsidRPr="00297E98">
        <w:rPr>
          <w:b/>
          <w:bCs/>
          <w:noProof/>
        </w:rPr>
        <w:t xml:space="preserve">Detailed process description: </w:t>
      </w:r>
    </w:p>
    <w:p w14:paraId="70011B16" w14:textId="77777777" w:rsidR="000A7D9D" w:rsidRPr="00297E98" w:rsidRDefault="000A7D9D" w:rsidP="000A7D9D">
      <w:pPr>
        <w:shd w:val="clear" w:color="auto" w:fill="FFFFFF"/>
        <w:spacing w:after="120"/>
        <w:jc w:val="both"/>
        <w:rPr>
          <w:rFonts w:ascii="Times New Roman" w:hAnsi="Times New Roman" w:cs="Times New Roman"/>
          <w:noProof/>
          <w:sz w:val="24"/>
          <w:szCs w:val="24"/>
        </w:rPr>
      </w:pPr>
      <w:r w:rsidRPr="00297E98">
        <w:rPr>
          <w:rFonts w:ascii="Times New Roman" w:hAnsi="Times New Roman" w:cs="Times New Roman"/>
          <w:noProof/>
          <w:sz w:val="24"/>
          <w:szCs w:val="24"/>
        </w:rPr>
        <w:t>PARC is one of the projects selected for funding by the European Union’s "Horizon Europe" framework programme for the 2021-2027 period. It is a 7-year partnership that started on 1</w:t>
      </w:r>
      <w:r w:rsidRPr="00297E98">
        <w:rPr>
          <w:rFonts w:ascii="Times New Roman" w:hAnsi="Times New Roman" w:cs="Times New Roman"/>
          <w:noProof/>
          <w:sz w:val="24"/>
          <w:szCs w:val="24"/>
          <w:vertAlign w:val="superscript"/>
        </w:rPr>
        <w:t>st</w:t>
      </w:r>
      <w:r w:rsidRPr="00297E98">
        <w:rPr>
          <w:rFonts w:ascii="Times New Roman" w:hAnsi="Times New Roman" w:cs="Times New Roman"/>
          <w:noProof/>
          <w:sz w:val="24"/>
          <w:szCs w:val="24"/>
        </w:rPr>
        <w:t xml:space="preserve"> May 2022 and that consists of 200 partners in 28 countries and at EU level, national agencies and research organisations working in the areas of the environment or public health, the European Chemical Agency (ECHA), the European Food Safety Authority (EFSA) and the European Environment Agency (EEA).</w:t>
      </w:r>
    </w:p>
    <w:p w14:paraId="7578FD85" w14:textId="77777777" w:rsidR="000A7D9D" w:rsidRPr="00297E98" w:rsidRDefault="000A7D9D" w:rsidP="000A7D9D">
      <w:pPr>
        <w:pStyle w:val="NormalWeb"/>
        <w:shd w:val="clear" w:color="auto" w:fill="FFFFFF"/>
        <w:spacing w:before="0" w:beforeAutospacing="0" w:after="120" w:afterAutospacing="0"/>
        <w:jc w:val="both"/>
        <w:rPr>
          <w:noProof/>
          <w:snapToGrid w:val="0"/>
          <w:lang w:eastAsia="fi-FI"/>
        </w:rPr>
      </w:pPr>
      <w:r w:rsidRPr="00297E98">
        <w:rPr>
          <w:noProof/>
          <w:snapToGrid w:val="0"/>
          <w:lang w:eastAsia="fi-FI"/>
        </w:rPr>
        <w:t>PARC aims to advance research, share knowledge and improve skills in chemical risk assessment. By doing so, it will help support </w:t>
      </w:r>
      <w:hyperlink r:id="rId65" w:history="1">
        <w:r w:rsidRPr="00297E98">
          <w:rPr>
            <w:noProof/>
            <w:snapToGrid w:val="0"/>
            <w:lang w:eastAsia="fi-FI"/>
          </w:rPr>
          <w:t>the European Union's Chemicals Strategy</w:t>
        </w:r>
      </w:hyperlink>
      <w:r w:rsidRPr="00297E98">
        <w:rPr>
          <w:noProof/>
          <w:snapToGrid w:val="0"/>
          <w:lang w:eastAsia="fi-FI"/>
        </w:rPr>
        <w:t> for Sustainability, paving the way for the "zero pollution" ambition announced in the </w:t>
      </w:r>
      <w:hyperlink r:id="rId66" w:history="1">
        <w:r w:rsidRPr="00297E98">
          <w:rPr>
            <w:noProof/>
            <w:snapToGrid w:val="0"/>
            <w:lang w:eastAsia="fi-FI"/>
          </w:rPr>
          <w:t>European Green Deal</w:t>
        </w:r>
      </w:hyperlink>
      <w:r w:rsidRPr="00297E98">
        <w:rPr>
          <w:noProof/>
          <w:snapToGrid w:val="0"/>
          <w:lang w:eastAsia="fi-FI"/>
        </w:rPr>
        <w:t>.</w:t>
      </w:r>
    </w:p>
    <w:p w14:paraId="3DA2D220" w14:textId="77777777" w:rsidR="000A7D9D" w:rsidRPr="00297E98" w:rsidRDefault="000A7D9D" w:rsidP="000A7D9D">
      <w:pPr>
        <w:pStyle w:val="NormalWeb"/>
        <w:shd w:val="clear" w:color="auto" w:fill="FFFFFF"/>
        <w:spacing w:before="0" w:beforeAutospacing="0" w:after="120" w:afterAutospacing="0"/>
        <w:jc w:val="both"/>
        <w:rPr>
          <w:noProof/>
          <w:snapToGrid w:val="0"/>
          <w:lang w:eastAsia="fi-FI"/>
        </w:rPr>
      </w:pPr>
      <w:r w:rsidRPr="00297E98">
        <w:rPr>
          <w:noProof/>
          <w:snapToGrid w:val="0"/>
          <w:lang w:eastAsia="fi-FI"/>
        </w:rPr>
        <w:t>PARC represents a campaign of unprecedented scale, since it brings together about 200 European players, involving national and European health and safety agencies as well as research organisations. The partnership encompasses all aspects of chemical risk assessment, aiming in particular to: better anticipate emerging risks, better account for combined risks, and underpin the concrete implementation of new orientations in European public policies to safeguard health and the environment in response to important issues for health, the ecology and citizens' expectations.</w:t>
      </w:r>
    </w:p>
    <w:p w14:paraId="2A63E460" w14:textId="77777777" w:rsidR="000A7D9D" w:rsidRPr="00297E98" w:rsidRDefault="000A7D9D" w:rsidP="000A7D9D">
      <w:pPr>
        <w:pStyle w:val="NormalWeb"/>
        <w:shd w:val="clear" w:color="auto" w:fill="FFFFFF"/>
        <w:spacing w:before="0" w:beforeAutospacing="0" w:after="120" w:afterAutospacing="0"/>
        <w:jc w:val="both"/>
        <w:rPr>
          <w:noProof/>
          <w:snapToGrid w:val="0"/>
          <w:lang w:eastAsia="fi-FI"/>
        </w:rPr>
      </w:pPr>
      <w:r w:rsidRPr="00297E98">
        <w:rPr>
          <w:noProof/>
          <w:snapToGrid w:val="0"/>
          <w:lang w:eastAsia="fi-FI"/>
        </w:rPr>
        <w:t>The partnership builds on work undertaken as part of the European Joint Programme on human biomonitoring, </w:t>
      </w:r>
      <w:hyperlink r:id="rId67" w:history="1">
        <w:r w:rsidRPr="00297E98">
          <w:rPr>
            <w:noProof/>
            <w:snapToGrid w:val="0"/>
            <w:lang w:eastAsia="fi-FI"/>
          </w:rPr>
          <w:t>HBM4EU (Human Biomonitoring for Europe</w:t>
        </w:r>
      </w:hyperlink>
      <w:r w:rsidRPr="00297E98">
        <w:rPr>
          <w:noProof/>
          <w:snapToGrid w:val="0"/>
          <w:lang w:eastAsia="fi-FI"/>
        </w:rPr>
        <w:t>), which came to an end in the summer of 2022, and broadens the scope of its interests specifically to the assessment of environmental risks.</w:t>
      </w:r>
    </w:p>
    <w:p w14:paraId="553D0D0B" w14:textId="77777777" w:rsidR="000A7D9D" w:rsidRPr="00297E98" w:rsidRDefault="000A7D9D" w:rsidP="000A7D9D">
      <w:pPr>
        <w:shd w:val="clear" w:color="auto" w:fill="FFFFFF"/>
        <w:spacing w:after="120"/>
        <w:jc w:val="both"/>
        <w:rPr>
          <w:rFonts w:ascii="Times New Roman" w:hAnsi="Times New Roman" w:cs="Times New Roman"/>
          <w:noProof/>
          <w:sz w:val="24"/>
          <w:szCs w:val="24"/>
        </w:rPr>
      </w:pPr>
      <w:r w:rsidRPr="00297E98">
        <w:rPr>
          <w:rFonts w:ascii="Times New Roman" w:hAnsi="Times New Roman" w:cs="Times New Roman"/>
          <w:noProof/>
          <w:sz w:val="24"/>
          <w:szCs w:val="24"/>
        </w:rPr>
        <w:t xml:space="preserve">Main objectives of the PARC are: </w:t>
      </w:r>
    </w:p>
    <w:p w14:paraId="222A347E" w14:textId="77777777" w:rsidR="000A7D9D" w:rsidRPr="00297E98" w:rsidRDefault="000A7D9D" w:rsidP="000A7D9D">
      <w:pPr>
        <w:numPr>
          <w:ilvl w:val="0"/>
          <w:numId w:val="134"/>
        </w:numPr>
        <w:shd w:val="clear" w:color="auto" w:fill="FFFFFF"/>
        <w:spacing w:after="0" w:line="240" w:lineRule="auto"/>
        <w:ind w:left="595" w:hanging="357"/>
        <w:jc w:val="both"/>
        <w:rPr>
          <w:rFonts w:ascii="Times New Roman" w:hAnsi="Times New Roman" w:cs="Times New Roman"/>
          <w:noProof/>
          <w:sz w:val="24"/>
          <w:szCs w:val="24"/>
        </w:rPr>
      </w:pPr>
      <w:r w:rsidRPr="00297E98">
        <w:rPr>
          <w:rFonts w:ascii="Times New Roman" w:hAnsi="Times New Roman" w:cs="Times New Roman"/>
          <w:noProof/>
          <w:sz w:val="24"/>
          <w:szCs w:val="24"/>
        </w:rPr>
        <w:t>Develop the scientific skills needed to address current and future challenges in chemical safety</w:t>
      </w:r>
    </w:p>
    <w:p w14:paraId="482C82EA" w14:textId="77777777" w:rsidR="000A7D9D" w:rsidRPr="00297E98" w:rsidRDefault="000A7D9D" w:rsidP="000A7D9D">
      <w:pPr>
        <w:numPr>
          <w:ilvl w:val="0"/>
          <w:numId w:val="134"/>
        </w:numPr>
        <w:shd w:val="clear" w:color="auto" w:fill="FFFFFF"/>
        <w:spacing w:before="100" w:beforeAutospacing="1" w:after="100" w:afterAutospacing="1" w:line="240" w:lineRule="auto"/>
        <w:ind w:left="600"/>
        <w:jc w:val="both"/>
        <w:rPr>
          <w:rFonts w:ascii="Times New Roman" w:hAnsi="Times New Roman" w:cs="Times New Roman"/>
          <w:noProof/>
          <w:sz w:val="24"/>
          <w:szCs w:val="24"/>
        </w:rPr>
      </w:pPr>
      <w:r w:rsidRPr="00297E98">
        <w:rPr>
          <w:rFonts w:ascii="Times New Roman" w:hAnsi="Times New Roman" w:cs="Times New Roman"/>
          <w:noProof/>
          <w:sz w:val="24"/>
          <w:szCs w:val="24"/>
        </w:rPr>
        <w:t>Provide new data, methods and innovative tools to those responsible for assessing and managing the risks of chemical exposure</w:t>
      </w:r>
    </w:p>
    <w:p w14:paraId="6EA72D3C" w14:textId="77777777" w:rsidR="000A7D9D" w:rsidRPr="00297E98" w:rsidRDefault="000A7D9D" w:rsidP="000A7D9D">
      <w:pPr>
        <w:numPr>
          <w:ilvl w:val="0"/>
          <w:numId w:val="134"/>
        </w:numPr>
        <w:shd w:val="clear" w:color="auto" w:fill="FFFFFF"/>
        <w:spacing w:after="120" w:line="240" w:lineRule="auto"/>
        <w:ind w:left="595" w:hanging="357"/>
        <w:jc w:val="both"/>
        <w:rPr>
          <w:rFonts w:ascii="Times New Roman" w:hAnsi="Times New Roman" w:cs="Times New Roman"/>
          <w:noProof/>
          <w:sz w:val="24"/>
          <w:szCs w:val="24"/>
        </w:rPr>
      </w:pPr>
      <w:r w:rsidRPr="00297E98">
        <w:rPr>
          <w:rFonts w:ascii="Times New Roman" w:hAnsi="Times New Roman" w:cs="Times New Roman"/>
          <w:noProof/>
          <w:sz w:val="24"/>
          <w:szCs w:val="24"/>
        </w:rPr>
        <w:t>Strengthen the networks which bring together actors specialised in the different scientific fields contributing to risk assessment</w:t>
      </w:r>
    </w:p>
    <w:p w14:paraId="1E7F5C06" w14:textId="77777777" w:rsidR="000A7D9D" w:rsidRPr="00297E98" w:rsidRDefault="000A7D9D" w:rsidP="000A7D9D">
      <w:pPr>
        <w:pStyle w:val="BodyText"/>
        <w:jc w:val="both"/>
        <w:rPr>
          <w:noProof/>
        </w:rPr>
      </w:pPr>
      <w:r w:rsidRPr="00297E98">
        <w:rPr>
          <w:noProof/>
        </w:rPr>
        <w:t xml:space="preserve">The EU Agencies (ECHA, EFSA and EEA) are to contribute to, participate in and support various workpackages of PARC. </w:t>
      </w:r>
    </w:p>
    <w:p w14:paraId="16FA0429" w14:textId="77777777" w:rsidR="000A7D9D" w:rsidRPr="00297E98" w:rsidRDefault="000A7D9D" w:rsidP="000A7D9D">
      <w:pPr>
        <w:pStyle w:val="BodyText"/>
        <w:jc w:val="both"/>
        <w:rPr>
          <w:i/>
          <w:iCs/>
          <w:noProof/>
        </w:rPr>
      </w:pPr>
      <w:r w:rsidRPr="00297E98">
        <w:rPr>
          <w:b/>
          <w:bCs/>
          <w:noProof/>
        </w:rPr>
        <w:t>Proximity to mandate:</w:t>
      </w:r>
      <w:r w:rsidRPr="00297E98">
        <w:rPr>
          <w:noProof/>
        </w:rPr>
        <w:t xml:space="preserve"> The task is close to EEA, EFSA and ECHA mandate and key competences regarding risk assessment of chemicals, management and interpretation of data related to chemicals.</w:t>
      </w:r>
    </w:p>
    <w:p w14:paraId="107E524B" w14:textId="77777777" w:rsidR="000A7D9D" w:rsidRPr="00297E98" w:rsidRDefault="000A7D9D" w:rsidP="000A7D9D">
      <w:pPr>
        <w:spacing w:after="120"/>
        <w:jc w:val="both"/>
        <w:rPr>
          <w:rFonts w:ascii="Times New Roman" w:eastAsia="Verdana" w:hAnsi="Times New Roman" w:cs="Times New Roman"/>
          <w:bCs/>
          <w:noProof/>
          <w:sz w:val="24"/>
          <w:szCs w:val="24"/>
        </w:rPr>
      </w:pPr>
      <w:r w:rsidRPr="00297E98">
        <w:rPr>
          <w:rFonts w:ascii="Times New Roman" w:eastAsia="Verdana" w:hAnsi="Times New Roman" w:cs="Times New Roman"/>
          <w:b/>
          <w:bCs/>
          <w:noProof/>
          <w:sz w:val="24"/>
          <w:szCs w:val="24"/>
        </w:rPr>
        <w:t xml:space="preserve">Projected synergies and added value of (re-)attribution: </w:t>
      </w:r>
      <w:r w:rsidRPr="00297E98">
        <w:rPr>
          <w:rFonts w:ascii="Times New Roman" w:eastAsia="Verdana" w:hAnsi="Times New Roman" w:cs="Times New Roman"/>
          <w:bCs/>
          <w:noProof/>
          <w:sz w:val="24"/>
          <w:szCs w:val="24"/>
        </w:rPr>
        <w:t xml:space="preserve">PARC consortium will benefit greatly from invlovement of EU Agencies that hold experience in performing regulatory risk assessment and hold knowledge and data for such assessments. Through their experience they can identify gaps and needs requiring scientific development and steer such development in a direction that provides the highest value for the regulatory risk assessment. The EU Agencies will benefit from the participation as well. They can uptake immediately in the regulatory risk assessment any innovation in risk assessment that PARC will deliver. </w:t>
      </w:r>
    </w:p>
    <w:p w14:paraId="5927BFF7" w14:textId="77777777" w:rsidR="000A7D9D" w:rsidRPr="00297E98" w:rsidRDefault="000A7D9D" w:rsidP="000A7D9D">
      <w:pPr>
        <w:pStyle w:val="BodyText"/>
        <w:rPr>
          <w:b/>
          <w:bCs/>
          <w:noProof/>
        </w:rPr>
      </w:pPr>
      <w:r w:rsidRPr="00297E98">
        <w:rPr>
          <w:b/>
          <w:bCs/>
          <w:noProof/>
        </w:rPr>
        <w:t>Projected impact on Agencies:</w:t>
      </w:r>
    </w:p>
    <w:p w14:paraId="64FC53D3" w14:textId="77777777" w:rsidR="000A7D9D" w:rsidRPr="00297E98" w:rsidRDefault="000A7D9D" w:rsidP="000A7D9D">
      <w:pPr>
        <w:pStyle w:val="BodyText"/>
        <w:widowControl w:val="0"/>
        <w:numPr>
          <w:ilvl w:val="0"/>
          <w:numId w:val="88"/>
        </w:numPr>
        <w:rPr>
          <w:b/>
          <w:bCs/>
          <w:noProof/>
        </w:rPr>
      </w:pPr>
      <w:r w:rsidRPr="00297E98">
        <w:rPr>
          <w:noProof/>
        </w:rPr>
        <w:t xml:space="preserve">Committees/bodies: </w:t>
      </w:r>
      <w:r w:rsidRPr="00297E98">
        <w:rPr>
          <w:b/>
          <w:bCs/>
          <w:noProof/>
        </w:rPr>
        <w:t>no impact</w:t>
      </w:r>
      <w:r w:rsidRPr="00297E98">
        <w:rPr>
          <w:noProof/>
        </w:rPr>
        <w:t>. The task does not require involvement of Agencies’ Committees/bodies</w:t>
      </w:r>
    </w:p>
    <w:p w14:paraId="3F28B179" w14:textId="77777777" w:rsidR="000A7D9D" w:rsidRPr="00297E98" w:rsidRDefault="000A7D9D" w:rsidP="000A7D9D">
      <w:pPr>
        <w:pStyle w:val="BodyText"/>
        <w:widowControl w:val="0"/>
        <w:numPr>
          <w:ilvl w:val="0"/>
          <w:numId w:val="88"/>
        </w:numPr>
        <w:rPr>
          <w:b/>
          <w:bCs/>
          <w:noProof/>
        </w:rPr>
      </w:pPr>
      <w:r w:rsidRPr="00297E98">
        <w:rPr>
          <w:noProof/>
        </w:rPr>
        <w:t xml:space="preserve">Data model and IT infrastructure: </w:t>
      </w:r>
      <w:r w:rsidRPr="00297E98">
        <w:rPr>
          <w:b/>
          <w:bCs/>
          <w:noProof/>
        </w:rPr>
        <w:t>no impact</w:t>
      </w:r>
      <w:r w:rsidRPr="00297E98">
        <w:rPr>
          <w:noProof/>
        </w:rPr>
        <w:t>. The task does not require any new data structures and IT systems/capabilities</w:t>
      </w:r>
    </w:p>
    <w:p w14:paraId="172D5769" w14:textId="77777777" w:rsidR="000A7D9D" w:rsidRPr="00297E98" w:rsidRDefault="000A7D9D" w:rsidP="000A7D9D">
      <w:pPr>
        <w:pStyle w:val="BodyText"/>
        <w:widowControl w:val="0"/>
        <w:numPr>
          <w:ilvl w:val="0"/>
          <w:numId w:val="88"/>
        </w:numPr>
        <w:rPr>
          <w:noProof/>
        </w:rPr>
      </w:pPr>
      <w:r w:rsidRPr="00297E98">
        <w:rPr>
          <w:noProof/>
        </w:rPr>
        <w:t>Key experts:</w:t>
      </w:r>
      <w:r w:rsidRPr="00297E98">
        <w:rPr>
          <w:b/>
          <w:bCs/>
          <w:noProof/>
        </w:rPr>
        <w:t xml:space="preserve"> medium impact</w:t>
      </w:r>
      <w:r w:rsidRPr="00297E98">
        <w:rPr>
          <w:noProof/>
        </w:rPr>
        <w:t>. The task will require experts in the field to participate in the projects.</w:t>
      </w:r>
    </w:p>
    <w:p w14:paraId="417F1290" w14:textId="77777777" w:rsidR="000A7D9D" w:rsidRPr="00297E98" w:rsidRDefault="000A7D9D" w:rsidP="000A7D9D">
      <w:pPr>
        <w:pStyle w:val="BodyText"/>
        <w:rPr>
          <w:b/>
          <w:bCs/>
          <w:i/>
          <w:iCs/>
          <w:noProof/>
        </w:rPr>
      </w:pPr>
      <w:r w:rsidRPr="00297E98">
        <w:rPr>
          <w:b/>
          <w:bCs/>
          <w:noProof/>
        </w:rPr>
        <w:t>Projected workload and resource implications:</w:t>
      </w:r>
      <w:r w:rsidRPr="00297E98">
        <w:rPr>
          <w:noProof/>
        </w:rPr>
        <w:t xml:space="preserve"> </w:t>
      </w:r>
    </w:p>
    <w:p w14:paraId="42F7F9BA" w14:textId="77777777" w:rsidR="000A7D9D" w:rsidRPr="00297E98" w:rsidRDefault="000A7D9D" w:rsidP="000A7D9D">
      <w:pPr>
        <w:spacing w:after="120"/>
        <w:rPr>
          <w:rFonts w:ascii="Times New Roman" w:eastAsia="Calibri" w:hAnsi="Times New Roman" w:cs="Times New Roman"/>
          <w:noProof/>
          <w:sz w:val="24"/>
          <w:szCs w:val="24"/>
          <w:u w:val="single"/>
          <w:lang w:val="en-IE"/>
        </w:rPr>
      </w:pPr>
      <w:r w:rsidRPr="00297E98">
        <w:rPr>
          <w:rFonts w:ascii="Times New Roman" w:eastAsia="Calibri" w:hAnsi="Times New Roman" w:cs="Times New Roman"/>
          <w:noProof/>
          <w:sz w:val="24"/>
          <w:szCs w:val="24"/>
          <w:u w:val="single"/>
          <w:lang w:val="en-IE"/>
        </w:rPr>
        <w:t>Future workload and resource needs:</w:t>
      </w:r>
    </w:p>
    <w:p w14:paraId="3E341F20" w14:textId="77777777" w:rsidR="000A7D9D" w:rsidRPr="00297E98" w:rsidRDefault="000A7D9D" w:rsidP="000A7D9D">
      <w:pPr>
        <w:spacing w:after="120"/>
        <w:jc w:val="both"/>
        <w:rPr>
          <w:rFonts w:ascii="Times New Roman" w:eastAsia="Calibri" w:hAnsi="Times New Roman" w:cs="Times New Roman"/>
          <w:noProof/>
          <w:sz w:val="24"/>
          <w:szCs w:val="24"/>
        </w:rPr>
      </w:pPr>
      <w:r w:rsidRPr="00297E98">
        <w:rPr>
          <w:rFonts w:ascii="Times New Roman" w:hAnsi="Times New Roman" w:cs="Times New Roman"/>
          <w:noProof/>
          <w:sz w:val="24"/>
          <w:szCs w:val="24"/>
        </w:rPr>
        <w:t>ECHA participates fully in the project (i.e. as a signatory of the consortium agreement) but without (co-)financing from the foreseen Horizon Europe subsidy to PARC and without requesting an increase of its EU contribution. To compensate for the workload that PARC will generate, ECHA will increase its allocation of Contract Agents by two and will finance them from economies of scale and efficiency gains. This solution will be temporary until the Commission revises the founding regulation of ECHA. This revision will be an opportunity to adjust and clarify the future mandate of ECHA in the light of the existing and new tasks and assess its resources needs. The role of ECHA in the research projects under Horizon Europe will also be clarified in the proposal.</w:t>
      </w:r>
    </w:p>
    <w:p w14:paraId="709ADE32" w14:textId="77777777" w:rsidR="000A7D9D" w:rsidRPr="00297E98" w:rsidRDefault="000A7D9D" w:rsidP="000A7D9D">
      <w:pPr>
        <w:spacing w:after="120"/>
        <w:jc w:val="both"/>
        <w:rPr>
          <w:rFonts w:ascii="Times New Roman" w:hAnsi="Times New Roman" w:cs="Times New Roman"/>
          <w:noProof/>
          <w:sz w:val="24"/>
          <w:szCs w:val="24"/>
        </w:rPr>
      </w:pPr>
      <w:r w:rsidRPr="00297E98">
        <w:rPr>
          <w:rFonts w:ascii="Times New Roman" w:eastAsia="Calibri" w:hAnsi="Times New Roman" w:cs="Times New Roman"/>
          <w:noProof/>
          <w:sz w:val="24"/>
          <w:szCs w:val="24"/>
        </w:rPr>
        <w:t xml:space="preserve">EFSA participates fully in the project (i.e. as </w:t>
      </w:r>
      <w:r w:rsidRPr="00297E98">
        <w:rPr>
          <w:rFonts w:ascii="Times New Roman" w:hAnsi="Times New Roman" w:cs="Times New Roman"/>
          <w:noProof/>
          <w:sz w:val="24"/>
          <w:szCs w:val="24"/>
        </w:rPr>
        <w:t>a signatory of the consortium agreement) but without (co-)financing from the foreseen Horizon Europe subsidy to PARC and without requesting an increase of its EU contribution. EFSA has dedicated resources for involvement and follow up of relevant EU funded research projects.</w:t>
      </w:r>
    </w:p>
    <w:p w14:paraId="004B20A0" w14:textId="77777777" w:rsidR="000A7D9D" w:rsidRPr="00297E98" w:rsidRDefault="000A7D9D" w:rsidP="000A7D9D">
      <w:pPr>
        <w:spacing w:after="120"/>
        <w:jc w:val="both"/>
        <w:rPr>
          <w:rFonts w:ascii="Times New Roman" w:eastAsia="Calibri" w:hAnsi="Times New Roman" w:cs="Times New Roman"/>
          <w:noProof/>
          <w:sz w:val="24"/>
          <w:szCs w:val="24"/>
        </w:rPr>
      </w:pPr>
      <w:r w:rsidRPr="00297E98">
        <w:rPr>
          <w:rFonts w:ascii="Times New Roman" w:hAnsi="Times New Roman" w:cs="Times New Roman"/>
          <w:noProof/>
          <w:sz w:val="24"/>
          <w:szCs w:val="24"/>
        </w:rPr>
        <w:t xml:space="preserve">EEA participates fully in the project with (co-)financing from the Horizon Europe subsidy to PARC. EEA will finance from the subsidy 2 additional FTEs (2 CAs). </w:t>
      </w:r>
    </w:p>
    <w:p w14:paraId="5D2F425C" w14:textId="77777777" w:rsidR="000A7D9D" w:rsidRPr="00297E98" w:rsidRDefault="000A7D9D" w:rsidP="000A7D9D">
      <w:pPr>
        <w:spacing w:after="120"/>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Summary of additional resource needs for PARC: </w:t>
      </w:r>
    </w:p>
    <w:tbl>
      <w:tblPr>
        <w:tblStyle w:val="TableGrid"/>
        <w:tblW w:w="0" w:type="auto"/>
        <w:tblLook w:val="04A0" w:firstRow="1" w:lastRow="0" w:firstColumn="1" w:lastColumn="0" w:noHBand="0" w:noVBand="1"/>
      </w:tblPr>
      <w:tblGrid>
        <w:gridCol w:w="1245"/>
        <w:gridCol w:w="3853"/>
        <w:gridCol w:w="1985"/>
        <w:gridCol w:w="2546"/>
      </w:tblGrid>
      <w:tr w:rsidR="000A7D9D" w:rsidRPr="00C56424" w14:paraId="3367416F" w14:textId="77777777" w:rsidTr="00F31937">
        <w:trPr>
          <w:trHeight w:val="300"/>
        </w:trPr>
        <w:tc>
          <w:tcPr>
            <w:tcW w:w="1245" w:type="dxa"/>
            <w:shd w:val="clear" w:color="auto" w:fill="D9D9D9" w:themeFill="background1" w:themeFillShade="D9"/>
          </w:tcPr>
          <w:p w14:paraId="7911B204"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853" w:type="dxa"/>
            <w:shd w:val="clear" w:color="auto" w:fill="D9D9D9" w:themeFill="background1" w:themeFillShade="D9"/>
          </w:tcPr>
          <w:p w14:paraId="36E72F93"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985" w:type="dxa"/>
            <w:shd w:val="clear" w:color="auto" w:fill="D9D9D9" w:themeFill="background1" w:themeFillShade="D9"/>
          </w:tcPr>
          <w:p w14:paraId="5E18F870"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546" w:type="dxa"/>
            <w:shd w:val="clear" w:color="auto" w:fill="D9D9D9" w:themeFill="background1" w:themeFillShade="D9"/>
          </w:tcPr>
          <w:p w14:paraId="7EFFB8F3" w14:textId="77777777" w:rsidR="000A7D9D" w:rsidRPr="00C56424" w:rsidRDefault="000A7D9D" w:rsidP="00F31937">
            <w:pPr>
              <w:pStyle w:val="BodyText"/>
              <w:tabs>
                <w:tab w:val="left" w:pos="4170"/>
              </w:tabs>
              <w:spacing w:after="0"/>
              <w:rPr>
                <w:noProof/>
                <w:sz w:val="20"/>
                <w:szCs w:val="20"/>
              </w:rPr>
            </w:pPr>
          </w:p>
        </w:tc>
      </w:tr>
      <w:tr w:rsidR="000A7D9D" w:rsidRPr="00C56424" w14:paraId="5B2D3EAD" w14:textId="77777777" w:rsidTr="00F31937">
        <w:trPr>
          <w:trHeight w:val="300"/>
        </w:trPr>
        <w:tc>
          <w:tcPr>
            <w:tcW w:w="1245" w:type="dxa"/>
            <w:vMerge w:val="restart"/>
            <w:shd w:val="clear" w:color="auto" w:fill="D9D9D9" w:themeFill="background1" w:themeFillShade="D9"/>
          </w:tcPr>
          <w:p w14:paraId="1B45FC3E" w14:textId="77777777" w:rsidR="000A7D9D" w:rsidRPr="00C56424" w:rsidRDefault="000A7D9D" w:rsidP="00F31937">
            <w:pPr>
              <w:pStyle w:val="BodyText"/>
              <w:spacing w:line="259" w:lineRule="auto"/>
              <w:rPr>
                <w:noProof/>
                <w:sz w:val="20"/>
                <w:szCs w:val="20"/>
              </w:rPr>
            </w:pPr>
            <w:r w:rsidRPr="00C56424">
              <w:rPr>
                <w:noProof/>
                <w:sz w:val="20"/>
                <w:szCs w:val="20"/>
              </w:rPr>
              <w:t>EEA</w:t>
            </w:r>
          </w:p>
        </w:tc>
        <w:tc>
          <w:tcPr>
            <w:tcW w:w="3853" w:type="dxa"/>
            <w:vMerge w:val="restart"/>
            <w:shd w:val="clear" w:color="auto" w:fill="D9D9D9" w:themeFill="background1" w:themeFillShade="D9"/>
          </w:tcPr>
          <w:p w14:paraId="66EAA3D9" w14:textId="77777777" w:rsidR="000A7D9D" w:rsidRPr="00C56424" w:rsidRDefault="000A7D9D" w:rsidP="00F31937">
            <w:pPr>
              <w:rPr>
                <w:rFonts w:eastAsiaTheme="minorEastAsia"/>
                <w:noProof/>
              </w:rPr>
            </w:pPr>
          </w:p>
        </w:tc>
        <w:tc>
          <w:tcPr>
            <w:tcW w:w="1985" w:type="dxa"/>
            <w:shd w:val="clear" w:color="auto" w:fill="D9D9D9" w:themeFill="background1" w:themeFillShade="D9"/>
          </w:tcPr>
          <w:p w14:paraId="529CA70E"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546" w:type="dxa"/>
            <w:shd w:val="clear" w:color="auto" w:fill="D9D9D9" w:themeFill="background1" w:themeFillShade="D9"/>
          </w:tcPr>
          <w:p w14:paraId="5EC19B27"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2022: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289 000</w:t>
            </w:r>
          </w:p>
          <w:p w14:paraId="446A038E"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2023: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289 000</w:t>
            </w:r>
          </w:p>
          <w:p w14:paraId="32173701"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2024: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289 000</w:t>
            </w:r>
          </w:p>
          <w:p w14:paraId="3FA5E1BA"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289 000</w:t>
            </w:r>
          </w:p>
          <w:p w14:paraId="59D17788"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2026: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289 000</w:t>
            </w:r>
          </w:p>
          <w:p w14:paraId="53E389E0"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2027: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tc>
      </w:tr>
      <w:tr w:rsidR="000A7D9D" w:rsidRPr="00187DBF" w14:paraId="37827A95" w14:textId="77777777" w:rsidTr="00F31937">
        <w:trPr>
          <w:trHeight w:val="300"/>
        </w:trPr>
        <w:tc>
          <w:tcPr>
            <w:tcW w:w="1245" w:type="dxa"/>
            <w:vMerge/>
            <w:shd w:val="clear" w:color="auto" w:fill="D9D9D9" w:themeFill="background1" w:themeFillShade="D9"/>
          </w:tcPr>
          <w:p w14:paraId="71CA46B1" w14:textId="77777777" w:rsidR="000A7D9D" w:rsidRPr="00C56424" w:rsidRDefault="000A7D9D" w:rsidP="00F31937">
            <w:pPr>
              <w:pStyle w:val="BodyText"/>
              <w:spacing w:line="259" w:lineRule="auto"/>
              <w:rPr>
                <w:noProof/>
                <w:sz w:val="20"/>
                <w:szCs w:val="20"/>
                <w:lang w:val="fr-BE"/>
              </w:rPr>
            </w:pPr>
          </w:p>
        </w:tc>
        <w:tc>
          <w:tcPr>
            <w:tcW w:w="3853" w:type="dxa"/>
            <w:vMerge/>
            <w:shd w:val="clear" w:color="auto" w:fill="D9D9D9" w:themeFill="background1" w:themeFillShade="D9"/>
          </w:tcPr>
          <w:p w14:paraId="7806D7F4" w14:textId="77777777" w:rsidR="000A7D9D" w:rsidRPr="00C56424" w:rsidRDefault="000A7D9D" w:rsidP="00F31937">
            <w:pPr>
              <w:pStyle w:val="BodyText"/>
              <w:rPr>
                <w:noProof/>
                <w:sz w:val="20"/>
                <w:szCs w:val="20"/>
                <w:lang w:val="fr-BE"/>
              </w:rPr>
            </w:pPr>
          </w:p>
        </w:tc>
        <w:tc>
          <w:tcPr>
            <w:tcW w:w="1985" w:type="dxa"/>
            <w:shd w:val="clear" w:color="auto" w:fill="D9D9D9" w:themeFill="background1" w:themeFillShade="D9"/>
          </w:tcPr>
          <w:p w14:paraId="39979BF5"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546" w:type="dxa"/>
            <w:shd w:val="clear" w:color="auto" w:fill="D9D9D9" w:themeFill="background1" w:themeFillShade="D9"/>
          </w:tcPr>
          <w:p w14:paraId="0846EAA3"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2022:</w:t>
            </w:r>
            <w:r w:rsidRPr="00C56424">
              <w:rPr>
                <w:b/>
                <w:noProof/>
                <w:sz w:val="20"/>
                <w:szCs w:val="20"/>
                <w:lang w:val="pl-PL"/>
              </w:rPr>
              <w:t xml:space="preserve"> 2 CA</w:t>
            </w:r>
          </w:p>
          <w:p w14:paraId="23A42085"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2023:</w:t>
            </w:r>
            <w:r w:rsidRPr="00C56424">
              <w:rPr>
                <w:b/>
                <w:noProof/>
                <w:sz w:val="20"/>
                <w:szCs w:val="20"/>
                <w:lang w:val="pl-PL"/>
              </w:rPr>
              <w:t xml:space="preserve"> 2 CA</w:t>
            </w:r>
          </w:p>
          <w:p w14:paraId="6A8055B9"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2024: </w:t>
            </w:r>
            <w:r w:rsidRPr="00C56424">
              <w:rPr>
                <w:b/>
                <w:noProof/>
                <w:sz w:val="20"/>
                <w:szCs w:val="20"/>
                <w:lang w:val="pl-PL"/>
              </w:rPr>
              <w:t>2 CA</w:t>
            </w:r>
          </w:p>
          <w:p w14:paraId="58657804"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2025: </w:t>
            </w:r>
            <w:r w:rsidRPr="00C56424">
              <w:rPr>
                <w:b/>
                <w:noProof/>
                <w:sz w:val="20"/>
                <w:szCs w:val="20"/>
                <w:lang w:val="pl-PL"/>
              </w:rPr>
              <w:t>2 CA</w:t>
            </w:r>
          </w:p>
          <w:p w14:paraId="47BA1B2D"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2026: </w:t>
            </w:r>
            <w:r w:rsidRPr="00C56424">
              <w:rPr>
                <w:b/>
                <w:noProof/>
                <w:sz w:val="20"/>
                <w:szCs w:val="20"/>
                <w:lang w:val="pl-PL"/>
              </w:rPr>
              <w:t>2 CA</w:t>
            </w:r>
          </w:p>
          <w:p w14:paraId="49B17280"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2027: </w:t>
            </w:r>
            <w:r w:rsidRPr="00C56424">
              <w:rPr>
                <w:b/>
                <w:noProof/>
                <w:sz w:val="20"/>
                <w:szCs w:val="20"/>
                <w:lang w:val="pl-PL"/>
              </w:rPr>
              <w:t>0 CA</w:t>
            </w:r>
          </w:p>
        </w:tc>
      </w:tr>
      <w:tr w:rsidR="000A7D9D" w:rsidRPr="00C56424" w14:paraId="63B15466" w14:textId="77777777" w:rsidTr="00F31937">
        <w:trPr>
          <w:trHeight w:val="300"/>
        </w:trPr>
        <w:tc>
          <w:tcPr>
            <w:tcW w:w="1245" w:type="dxa"/>
            <w:vMerge w:val="restart"/>
            <w:shd w:val="clear" w:color="auto" w:fill="D9D9D9" w:themeFill="background1" w:themeFillShade="D9"/>
          </w:tcPr>
          <w:p w14:paraId="23A5770E" w14:textId="77777777" w:rsidR="000A7D9D" w:rsidRPr="00C56424" w:rsidRDefault="000A7D9D" w:rsidP="00F31937">
            <w:pPr>
              <w:pStyle w:val="BodyText"/>
              <w:spacing w:line="259" w:lineRule="auto"/>
              <w:rPr>
                <w:noProof/>
                <w:sz w:val="20"/>
                <w:szCs w:val="20"/>
              </w:rPr>
            </w:pPr>
            <w:r w:rsidRPr="00C56424">
              <w:rPr>
                <w:noProof/>
                <w:sz w:val="20"/>
                <w:szCs w:val="20"/>
              </w:rPr>
              <w:t>ECHA</w:t>
            </w:r>
          </w:p>
        </w:tc>
        <w:tc>
          <w:tcPr>
            <w:tcW w:w="3853" w:type="dxa"/>
            <w:vMerge w:val="restart"/>
            <w:shd w:val="clear" w:color="auto" w:fill="D9D9D9" w:themeFill="background1" w:themeFillShade="D9"/>
          </w:tcPr>
          <w:p w14:paraId="1DD50E28" w14:textId="77777777" w:rsidR="000A7D9D" w:rsidRPr="00C56424" w:rsidRDefault="000A7D9D" w:rsidP="00F31937">
            <w:pPr>
              <w:pStyle w:val="BodyText"/>
              <w:rPr>
                <w:noProof/>
                <w:sz w:val="20"/>
                <w:szCs w:val="20"/>
              </w:rPr>
            </w:pPr>
          </w:p>
        </w:tc>
        <w:tc>
          <w:tcPr>
            <w:tcW w:w="1985" w:type="dxa"/>
            <w:shd w:val="clear" w:color="auto" w:fill="D9D9D9" w:themeFill="background1" w:themeFillShade="D9"/>
          </w:tcPr>
          <w:p w14:paraId="118CE59B"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546" w:type="dxa"/>
            <w:shd w:val="clear" w:color="auto" w:fill="D9D9D9" w:themeFill="background1" w:themeFillShade="D9"/>
          </w:tcPr>
          <w:p w14:paraId="65513350"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2022: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772A7341"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2023: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329473BC"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2024: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0428B52A"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28BAB2C6"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2026: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1D691758"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rPr>
              <w:t xml:space="preserve">2027: </w:t>
            </w:r>
            <w:r w:rsidRPr="00C56424">
              <w:rPr>
                <w:b/>
                <w:noProof/>
                <w:sz w:val="20"/>
                <w:szCs w:val="20"/>
              </w:rPr>
              <w:t>EUR</w:t>
            </w:r>
            <w:r w:rsidRPr="00C56424">
              <w:rPr>
                <w:noProof/>
                <w:sz w:val="20"/>
                <w:szCs w:val="20"/>
              </w:rPr>
              <w:t xml:space="preserve"> </w:t>
            </w:r>
            <w:r w:rsidRPr="00C56424">
              <w:rPr>
                <w:b/>
                <w:noProof/>
                <w:sz w:val="20"/>
                <w:szCs w:val="20"/>
              </w:rPr>
              <w:t>0</w:t>
            </w:r>
          </w:p>
        </w:tc>
      </w:tr>
      <w:tr w:rsidR="000A7D9D" w:rsidRPr="00187DBF" w14:paraId="6ADEF8B2" w14:textId="77777777" w:rsidTr="00F31937">
        <w:trPr>
          <w:trHeight w:val="300"/>
        </w:trPr>
        <w:tc>
          <w:tcPr>
            <w:tcW w:w="1245" w:type="dxa"/>
            <w:vMerge/>
            <w:shd w:val="clear" w:color="auto" w:fill="D9D9D9" w:themeFill="background1" w:themeFillShade="D9"/>
          </w:tcPr>
          <w:p w14:paraId="24FFA732" w14:textId="77777777" w:rsidR="000A7D9D" w:rsidRPr="00C56424" w:rsidRDefault="000A7D9D" w:rsidP="00F31937">
            <w:pPr>
              <w:pStyle w:val="BodyText"/>
              <w:spacing w:line="259" w:lineRule="auto"/>
              <w:rPr>
                <w:noProof/>
                <w:sz w:val="20"/>
                <w:szCs w:val="20"/>
              </w:rPr>
            </w:pPr>
          </w:p>
        </w:tc>
        <w:tc>
          <w:tcPr>
            <w:tcW w:w="3853" w:type="dxa"/>
            <w:vMerge/>
            <w:shd w:val="clear" w:color="auto" w:fill="D9D9D9" w:themeFill="background1" w:themeFillShade="D9"/>
          </w:tcPr>
          <w:p w14:paraId="7EBDF058" w14:textId="77777777" w:rsidR="000A7D9D" w:rsidRPr="00C56424" w:rsidRDefault="000A7D9D" w:rsidP="00F31937">
            <w:pPr>
              <w:pStyle w:val="BodyText"/>
              <w:rPr>
                <w:noProof/>
                <w:sz w:val="20"/>
                <w:szCs w:val="20"/>
              </w:rPr>
            </w:pPr>
          </w:p>
        </w:tc>
        <w:tc>
          <w:tcPr>
            <w:tcW w:w="1985" w:type="dxa"/>
            <w:shd w:val="clear" w:color="auto" w:fill="D9D9D9" w:themeFill="background1" w:themeFillShade="D9"/>
          </w:tcPr>
          <w:p w14:paraId="57BA4F3C"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546" w:type="dxa"/>
            <w:shd w:val="clear" w:color="auto" w:fill="D9D9D9" w:themeFill="background1" w:themeFillShade="D9"/>
          </w:tcPr>
          <w:p w14:paraId="217EA6F6"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2022: </w:t>
            </w:r>
            <w:r w:rsidRPr="00C56424">
              <w:rPr>
                <w:b/>
                <w:noProof/>
                <w:sz w:val="20"/>
                <w:szCs w:val="20"/>
                <w:lang w:val="pl-PL"/>
              </w:rPr>
              <w:t>2 CA</w:t>
            </w:r>
          </w:p>
          <w:p w14:paraId="12D7F001"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2023: </w:t>
            </w:r>
            <w:r w:rsidRPr="00C56424">
              <w:rPr>
                <w:b/>
                <w:noProof/>
                <w:sz w:val="20"/>
                <w:szCs w:val="20"/>
                <w:lang w:val="pl-PL"/>
              </w:rPr>
              <w:t>2 CA</w:t>
            </w:r>
          </w:p>
          <w:p w14:paraId="011F1887"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2024: </w:t>
            </w:r>
            <w:r w:rsidRPr="00C56424">
              <w:rPr>
                <w:b/>
                <w:noProof/>
                <w:sz w:val="20"/>
                <w:szCs w:val="20"/>
                <w:lang w:val="pl-PL"/>
              </w:rPr>
              <w:t>2 CA</w:t>
            </w:r>
          </w:p>
          <w:p w14:paraId="20FCB56F"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2025: </w:t>
            </w:r>
            <w:r w:rsidRPr="00C56424">
              <w:rPr>
                <w:b/>
                <w:noProof/>
                <w:sz w:val="20"/>
                <w:szCs w:val="20"/>
                <w:lang w:val="pl-PL"/>
              </w:rPr>
              <w:t>2 CA</w:t>
            </w:r>
          </w:p>
          <w:p w14:paraId="19C91442"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2026: </w:t>
            </w:r>
            <w:r w:rsidRPr="00C56424">
              <w:rPr>
                <w:b/>
                <w:noProof/>
                <w:sz w:val="20"/>
                <w:szCs w:val="20"/>
                <w:lang w:val="pl-PL"/>
              </w:rPr>
              <w:t>2 CA</w:t>
            </w:r>
          </w:p>
          <w:p w14:paraId="521AD80B"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2027: </w:t>
            </w:r>
            <w:r w:rsidRPr="00C56424">
              <w:rPr>
                <w:b/>
                <w:noProof/>
                <w:sz w:val="20"/>
                <w:szCs w:val="20"/>
                <w:lang w:val="pl-PL"/>
              </w:rPr>
              <w:t>0 CA</w:t>
            </w:r>
          </w:p>
        </w:tc>
      </w:tr>
      <w:tr w:rsidR="000A7D9D" w:rsidRPr="00C56424" w14:paraId="0D26594B" w14:textId="77777777" w:rsidTr="00F31937">
        <w:trPr>
          <w:trHeight w:val="300"/>
        </w:trPr>
        <w:tc>
          <w:tcPr>
            <w:tcW w:w="1245" w:type="dxa"/>
            <w:vMerge w:val="restart"/>
            <w:shd w:val="clear" w:color="auto" w:fill="D9D9D9" w:themeFill="background1" w:themeFillShade="D9"/>
          </w:tcPr>
          <w:p w14:paraId="06F7ACF8" w14:textId="77777777" w:rsidR="000A7D9D" w:rsidRPr="00C56424" w:rsidRDefault="000A7D9D" w:rsidP="00F31937">
            <w:pPr>
              <w:pStyle w:val="BodyText"/>
              <w:spacing w:line="259" w:lineRule="auto"/>
              <w:rPr>
                <w:noProof/>
                <w:sz w:val="20"/>
                <w:szCs w:val="20"/>
              </w:rPr>
            </w:pPr>
            <w:r w:rsidRPr="00C56424">
              <w:rPr>
                <w:noProof/>
                <w:sz w:val="20"/>
                <w:szCs w:val="20"/>
              </w:rPr>
              <w:t>EFSA</w:t>
            </w:r>
          </w:p>
        </w:tc>
        <w:tc>
          <w:tcPr>
            <w:tcW w:w="3853" w:type="dxa"/>
            <w:vMerge w:val="restart"/>
            <w:shd w:val="clear" w:color="auto" w:fill="D9D9D9" w:themeFill="background1" w:themeFillShade="D9"/>
          </w:tcPr>
          <w:p w14:paraId="66B35393" w14:textId="77777777" w:rsidR="000A7D9D" w:rsidRPr="00C56424" w:rsidRDefault="000A7D9D" w:rsidP="00F31937">
            <w:pPr>
              <w:pStyle w:val="BodyText"/>
              <w:rPr>
                <w:noProof/>
                <w:sz w:val="20"/>
                <w:szCs w:val="20"/>
              </w:rPr>
            </w:pPr>
          </w:p>
        </w:tc>
        <w:tc>
          <w:tcPr>
            <w:tcW w:w="1985" w:type="dxa"/>
            <w:shd w:val="clear" w:color="auto" w:fill="D9D9D9" w:themeFill="background1" w:themeFillShade="D9"/>
          </w:tcPr>
          <w:p w14:paraId="089A1210"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546" w:type="dxa"/>
            <w:shd w:val="clear" w:color="auto" w:fill="D9D9D9" w:themeFill="background1" w:themeFillShade="D9"/>
          </w:tcPr>
          <w:p w14:paraId="19B39342"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2022: </w:t>
            </w:r>
            <w:r w:rsidRPr="00C56424">
              <w:rPr>
                <w:b/>
                <w:noProof/>
                <w:sz w:val="20"/>
                <w:szCs w:val="20"/>
                <w:lang w:val="fr-BE"/>
              </w:rPr>
              <w:t>EUR 0</w:t>
            </w:r>
          </w:p>
          <w:p w14:paraId="1924FB3C"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2023: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3AC6DF60"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2024: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7A7430A6"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567B5B25"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2026: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55648A9C"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rPr>
              <w:t xml:space="preserve">2027: </w:t>
            </w:r>
            <w:r w:rsidRPr="00C56424">
              <w:rPr>
                <w:b/>
                <w:noProof/>
                <w:sz w:val="20"/>
                <w:szCs w:val="20"/>
              </w:rPr>
              <w:t>EUR</w:t>
            </w:r>
            <w:r w:rsidRPr="00C56424">
              <w:rPr>
                <w:noProof/>
                <w:sz w:val="20"/>
                <w:szCs w:val="20"/>
              </w:rPr>
              <w:t xml:space="preserve"> </w:t>
            </w:r>
            <w:r w:rsidRPr="00C56424">
              <w:rPr>
                <w:b/>
                <w:noProof/>
                <w:sz w:val="20"/>
                <w:szCs w:val="20"/>
              </w:rPr>
              <w:t>0</w:t>
            </w:r>
          </w:p>
        </w:tc>
      </w:tr>
      <w:tr w:rsidR="000A7D9D" w:rsidRPr="00187DBF" w14:paraId="2857A24E" w14:textId="77777777" w:rsidTr="00F31937">
        <w:trPr>
          <w:trHeight w:val="300"/>
        </w:trPr>
        <w:tc>
          <w:tcPr>
            <w:tcW w:w="1245" w:type="dxa"/>
            <w:vMerge/>
            <w:shd w:val="clear" w:color="auto" w:fill="D9D9D9" w:themeFill="background1" w:themeFillShade="D9"/>
          </w:tcPr>
          <w:p w14:paraId="133C44D3" w14:textId="77777777" w:rsidR="000A7D9D" w:rsidRPr="00C56424" w:rsidRDefault="000A7D9D" w:rsidP="00F31937">
            <w:pPr>
              <w:pStyle w:val="BodyText"/>
              <w:spacing w:line="259" w:lineRule="auto"/>
              <w:rPr>
                <w:noProof/>
                <w:sz w:val="20"/>
                <w:szCs w:val="20"/>
              </w:rPr>
            </w:pPr>
          </w:p>
        </w:tc>
        <w:tc>
          <w:tcPr>
            <w:tcW w:w="3853" w:type="dxa"/>
            <w:vMerge/>
            <w:shd w:val="clear" w:color="auto" w:fill="D9D9D9" w:themeFill="background1" w:themeFillShade="D9"/>
          </w:tcPr>
          <w:p w14:paraId="0A291D6F" w14:textId="77777777" w:rsidR="000A7D9D" w:rsidRPr="00C56424" w:rsidRDefault="000A7D9D" w:rsidP="00F31937">
            <w:pPr>
              <w:pStyle w:val="BodyText"/>
              <w:rPr>
                <w:noProof/>
                <w:sz w:val="20"/>
                <w:szCs w:val="20"/>
              </w:rPr>
            </w:pPr>
          </w:p>
        </w:tc>
        <w:tc>
          <w:tcPr>
            <w:tcW w:w="1985" w:type="dxa"/>
            <w:shd w:val="clear" w:color="auto" w:fill="D9D9D9" w:themeFill="background1" w:themeFillShade="D9"/>
          </w:tcPr>
          <w:p w14:paraId="665AE970"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546" w:type="dxa"/>
            <w:shd w:val="clear" w:color="auto" w:fill="D9D9D9" w:themeFill="background1" w:themeFillShade="D9"/>
          </w:tcPr>
          <w:p w14:paraId="48BA5DC8"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2022: </w:t>
            </w:r>
            <w:r w:rsidRPr="00C56424">
              <w:rPr>
                <w:b/>
                <w:noProof/>
                <w:sz w:val="20"/>
                <w:szCs w:val="20"/>
                <w:lang w:val="pl-PL"/>
              </w:rPr>
              <w:t>0 TA, 0 CA</w:t>
            </w:r>
          </w:p>
          <w:p w14:paraId="30AC914E"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2023: </w:t>
            </w:r>
            <w:r w:rsidRPr="00C56424">
              <w:rPr>
                <w:b/>
                <w:noProof/>
                <w:sz w:val="20"/>
                <w:szCs w:val="20"/>
                <w:lang w:val="pl-PL"/>
              </w:rPr>
              <w:t>0 TA, 0 CA</w:t>
            </w:r>
          </w:p>
          <w:p w14:paraId="674F3A65"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2024: </w:t>
            </w:r>
            <w:r w:rsidRPr="00C56424">
              <w:rPr>
                <w:b/>
                <w:noProof/>
                <w:sz w:val="20"/>
                <w:szCs w:val="20"/>
                <w:lang w:val="pl-PL"/>
              </w:rPr>
              <w:t>0 TA, 0 CA</w:t>
            </w:r>
          </w:p>
          <w:p w14:paraId="65802575"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2025: </w:t>
            </w:r>
            <w:r w:rsidRPr="00C56424">
              <w:rPr>
                <w:b/>
                <w:noProof/>
                <w:sz w:val="20"/>
                <w:szCs w:val="20"/>
                <w:lang w:val="pl-PL"/>
              </w:rPr>
              <w:t>0 TA, 0 CA</w:t>
            </w:r>
          </w:p>
          <w:p w14:paraId="0029E182"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2026: </w:t>
            </w:r>
            <w:r w:rsidRPr="00C56424">
              <w:rPr>
                <w:b/>
                <w:noProof/>
                <w:sz w:val="20"/>
                <w:szCs w:val="20"/>
                <w:lang w:val="pl-PL"/>
              </w:rPr>
              <w:t>0 TA, 0 CA</w:t>
            </w:r>
          </w:p>
          <w:p w14:paraId="61BCF032"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2027: </w:t>
            </w:r>
            <w:r w:rsidRPr="00C56424">
              <w:rPr>
                <w:b/>
                <w:noProof/>
                <w:sz w:val="20"/>
                <w:szCs w:val="20"/>
                <w:lang w:val="pl-PL"/>
              </w:rPr>
              <w:t>0 TA, 0 CA</w:t>
            </w:r>
          </w:p>
        </w:tc>
      </w:tr>
    </w:tbl>
    <w:p w14:paraId="44FA6107" w14:textId="77777777" w:rsidR="000A7D9D" w:rsidRPr="00297E98" w:rsidRDefault="000A7D9D" w:rsidP="000A7D9D">
      <w:pPr>
        <w:spacing w:before="120" w:after="120"/>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u w:val="single"/>
        </w:rPr>
        <w:t>Future budget line:</w:t>
      </w:r>
      <w:r w:rsidRPr="00297E98">
        <w:rPr>
          <w:rFonts w:ascii="Times New Roman" w:eastAsia="Calibri" w:hAnsi="Times New Roman" w:cs="Times New Roman"/>
          <w:noProof/>
          <w:sz w:val="24"/>
          <w:szCs w:val="24"/>
        </w:rPr>
        <w:t xml:space="preserve"> DG Environment, DG GROW, DG RTD </w:t>
      </w:r>
    </w:p>
    <w:p w14:paraId="54692973" w14:textId="77777777" w:rsidR="000A7D9D" w:rsidRPr="00297E98" w:rsidRDefault="000A7D9D" w:rsidP="000A7D9D">
      <w:pPr>
        <w:spacing w:before="40" w:after="120"/>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u w:val="single"/>
        </w:rPr>
        <w:t>Candidate for fees:</w:t>
      </w:r>
      <w:r w:rsidRPr="00297E98">
        <w:rPr>
          <w:rFonts w:ascii="Times New Roman" w:eastAsia="Calibri" w:hAnsi="Times New Roman" w:cs="Times New Roman"/>
          <w:noProof/>
          <w:sz w:val="24"/>
          <w:szCs w:val="24"/>
        </w:rPr>
        <w:t xml:space="preserve"> No</w:t>
      </w:r>
    </w:p>
    <w:p w14:paraId="61680DCC" w14:textId="77777777" w:rsidR="000A7D9D" w:rsidRPr="00EF2DDF" w:rsidRDefault="000A7D9D" w:rsidP="000A7D9D">
      <w:pPr>
        <w:pStyle w:val="BodyText"/>
        <w:jc w:val="both"/>
        <w:rPr>
          <w:noProof/>
          <w:sz w:val="28"/>
          <w:szCs w:val="28"/>
          <w:lang w:val="en-IE"/>
        </w:rPr>
      </w:pPr>
    </w:p>
    <w:p w14:paraId="6FE62FF6"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39" w:name="_Toc150499923"/>
      <w:r w:rsidRPr="00291F95">
        <w:rPr>
          <w:rFonts w:ascii="Times New Roman" w:hAnsi="Times New Roman"/>
          <w:smallCaps/>
          <w:noProof/>
          <w:color w:val="auto"/>
          <w:sz w:val="24"/>
          <w:szCs w:val="20"/>
          <w:lang w:eastAsia="en-US"/>
        </w:rPr>
        <w:t xml:space="preserve">Commission implementing decision </w:t>
      </w:r>
      <w:hyperlink r:id="rId68" w:history="1">
        <w:r w:rsidRPr="00291F95">
          <w:rPr>
            <w:rFonts w:ascii="Times New Roman" w:hAnsi="Times New Roman"/>
            <w:smallCaps/>
            <w:noProof/>
            <w:color w:val="auto"/>
            <w:sz w:val="24"/>
            <w:szCs w:val="20"/>
            <w:lang w:eastAsia="en-US"/>
          </w:rPr>
          <w:t>2022/1979</w:t>
        </w:r>
      </w:hyperlink>
      <w:r w:rsidRPr="00291F95">
        <w:rPr>
          <w:rFonts w:ascii="Times New Roman" w:hAnsi="Times New Roman"/>
          <w:smallCaps/>
          <w:noProof/>
          <w:color w:val="auto"/>
          <w:sz w:val="24"/>
          <w:szCs w:val="20"/>
          <w:lang w:eastAsia="en-US"/>
        </w:rPr>
        <w:t xml:space="preserve"> under SEVESO </w:t>
      </w:r>
      <w:r>
        <w:rPr>
          <w:rFonts w:ascii="Times New Roman" w:hAnsi="Times New Roman"/>
          <w:smallCaps/>
          <w:noProof/>
          <w:color w:val="auto"/>
          <w:sz w:val="24"/>
          <w:szCs w:val="20"/>
          <w:lang w:eastAsia="en-US"/>
        </w:rPr>
        <w:t>d</w:t>
      </w:r>
      <w:r w:rsidRPr="00291F95">
        <w:rPr>
          <w:rFonts w:ascii="Times New Roman" w:hAnsi="Times New Roman"/>
          <w:smallCaps/>
          <w:noProof/>
          <w:color w:val="auto"/>
          <w:sz w:val="24"/>
          <w:szCs w:val="20"/>
          <w:lang w:eastAsia="en-US"/>
        </w:rPr>
        <w:t>irective</w:t>
      </w:r>
      <w:bookmarkEnd w:id="39"/>
      <w:r w:rsidRPr="00291F95">
        <w:rPr>
          <w:rFonts w:ascii="Times New Roman" w:hAnsi="Times New Roman"/>
          <w:smallCaps/>
          <w:noProof/>
          <w:color w:val="auto"/>
          <w:sz w:val="24"/>
          <w:szCs w:val="20"/>
          <w:lang w:eastAsia="en-US"/>
        </w:rPr>
        <w:t xml:space="preserve"> </w:t>
      </w:r>
    </w:p>
    <w:p w14:paraId="6CCADCF0"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Responsible body:</w:t>
      </w:r>
    </w:p>
    <w:p w14:paraId="3D8AC4AB" w14:textId="77777777" w:rsidR="000A7D9D" w:rsidRPr="00297E98" w:rsidRDefault="000A7D9D" w:rsidP="000A7D9D">
      <w:pPr>
        <w:spacing w:after="120"/>
        <w:rPr>
          <w:rFonts w:ascii="Times New Roman" w:hAnsi="Times New Roman" w:cs="Times New Roman"/>
          <w:noProof/>
          <w:sz w:val="24"/>
          <w:szCs w:val="24"/>
        </w:rPr>
      </w:pPr>
      <w:r w:rsidRPr="00297E98">
        <w:rPr>
          <w:rFonts w:ascii="Times New Roman" w:hAnsi="Times New Roman" w:cs="Times New Roman"/>
          <w:noProof/>
          <w:sz w:val="24"/>
          <w:szCs w:val="24"/>
          <w:u w:val="single"/>
        </w:rPr>
        <w:t>Currently:</w:t>
      </w:r>
      <w:r w:rsidRPr="00297E98">
        <w:rPr>
          <w:rFonts w:ascii="Times New Roman" w:hAnsi="Times New Roman" w:cs="Times New Roman"/>
          <w:noProof/>
          <w:sz w:val="24"/>
          <w:szCs w:val="24"/>
        </w:rPr>
        <w:t xml:space="preserve"> Commission (DG JRC)</w:t>
      </w:r>
    </w:p>
    <w:p w14:paraId="0FA7BA1A" w14:textId="77777777" w:rsidR="000A7D9D" w:rsidRPr="00297E98" w:rsidRDefault="000A7D9D" w:rsidP="000A7D9D">
      <w:pPr>
        <w:spacing w:after="120"/>
        <w:rPr>
          <w:rFonts w:ascii="Times New Roman" w:hAnsi="Times New Roman" w:cs="Times New Roman"/>
          <w:noProof/>
          <w:sz w:val="24"/>
          <w:szCs w:val="24"/>
        </w:rPr>
      </w:pPr>
      <w:r w:rsidRPr="00297E98">
        <w:rPr>
          <w:rFonts w:ascii="Times New Roman" w:hAnsi="Times New Roman" w:cs="Times New Roman"/>
          <w:noProof/>
          <w:sz w:val="24"/>
          <w:szCs w:val="24"/>
          <w:u w:val="single"/>
        </w:rPr>
        <w:t>(Re-)attribution planned to:</w:t>
      </w:r>
      <w:r w:rsidRPr="00297E98">
        <w:rPr>
          <w:rFonts w:ascii="Times New Roman" w:hAnsi="Times New Roman" w:cs="Times New Roman"/>
          <w:noProof/>
          <w:sz w:val="24"/>
          <w:szCs w:val="24"/>
        </w:rPr>
        <w:t xml:space="preserve"> EEA </w:t>
      </w:r>
    </w:p>
    <w:p w14:paraId="309B3317" w14:textId="77777777" w:rsidR="000A7D9D" w:rsidRPr="00297E98" w:rsidRDefault="000A7D9D" w:rsidP="000A7D9D">
      <w:pPr>
        <w:pStyle w:val="BodyText"/>
        <w:rPr>
          <w:noProof/>
        </w:rPr>
      </w:pPr>
      <w:r w:rsidRPr="00297E98">
        <w:rPr>
          <w:b/>
          <w:bCs/>
          <w:noProof/>
        </w:rPr>
        <w:t xml:space="preserve">Legal basis for reattribution: </w:t>
      </w:r>
      <w:r w:rsidRPr="00297E98">
        <w:rPr>
          <w:noProof/>
        </w:rPr>
        <w:t>Commission Implementing Decision</w:t>
      </w:r>
    </w:p>
    <w:p w14:paraId="4D03C34F" w14:textId="77777777" w:rsidR="000A7D9D" w:rsidRPr="00297E98" w:rsidRDefault="000A7D9D" w:rsidP="000A7D9D">
      <w:pPr>
        <w:pStyle w:val="BodyText"/>
        <w:jc w:val="both"/>
        <w:rPr>
          <w:noProof/>
        </w:rPr>
      </w:pPr>
      <w:r w:rsidRPr="00297E98">
        <w:rPr>
          <w:b/>
          <w:bCs/>
          <w:noProof/>
        </w:rPr>
        <w:t xml:space="preserve">Type of task: </w:t>
      </w:r>
      <w:r w:rsidRPr="00297E98">
        <w:rPr>
          <w:noProof/>
        </w:rPr>
        <w:t>existing tasks plus some improvements</w:t>
      </w:r>
    </w:p>
    <w:p w14:paraId="24689241" w14:textId="77777777" w:rsidR="000A7D9D" w:rsidRPr="00297E98" w:rsidRDefault="000A7D9D" w:rsidP="000A7D9D">
      <w:pPr>
        <w:pStyle w:val="BodyText"/>
        <w:jc w:val="both"/>
        <w:rPr>
          <w:noProof/>
        </w:rPr>
      </w:pPr>
      <w:r w:rsidRPr="00297E98">
        <w:rPr>
          <w:b/>
          <w:bCs/>
          <w:noProof/>
        </w:rPr>
        <w:t xml:space="preserve">Brief task overview: </w:t>
      </w:r>
      <w:r w:rsidRPr="00297E98">
        <w:rPr>
          <w:noProof/>
        </w:rPr>
        <w:t>Redevelopment of databases (eMARS and eSPIRS) by the EEA for the reporting of information on industrial major accidents and for reporting of the location of Seveso establishments. It will integrate some improvements in the reporting format, the workflow and the set of reporting tools.</w:t>
      </w:r>
    </w:p>
    <w:p w14:paraId="5ABF984F" w14:textId="77777777" w:rsidR="000A7D9D" w:rsidRPr="00297E98" w:rsidRDefault="000A7D9D" w:rsidP="000A7D9D">
      <w:pPr>
        <w:pStyle w:val="BodyText"/>
        <w:jc w:val="both"/>
        <w:rPr>
          <w:b/>
          <w:bCs/>
          <w:noProof/>
        </w:rPr>
      </w:pPr>
      <w:r w:rsidRPr="00297E98">
        <w:rPr>
          <w:b/>
          <w:bCs/>
          <w:noProof/>
        </w:rPr>
        <w:t xml:space="preserve">Detailed process description: </w:t>
      </w:r>
      <w:r w:rsidRPr="00297E98">
        <w:rPr>
          <w:noProof/>
        </w:rPr>
        <w:t>The</w:t>
      </w:r>
      <w:r w:rsidRPr="00297E98">
        <w:rPr>
          <w:b/>
          <w:bCs/>
          <w:noProof/>
        </w:rPr>
        <w:t xml:space="preserve"> </w:t>
      </w:r>
      <w:r w:rsidRPr="00297E98">
        <w:rPr>
          <w:noProof/>
        </w:rPr>
        <w:t>process is described in detail below in the section on projected workload</w:t>
      </w:r>
    </w:p>
    <w:p w14:paraId="03430098" w14:textId="77777777" w:rsidR="000A7D9D" w:rsidRPr="00297E98" w:rsidRDefault="000A7D9D" w:rsidP="000A7D9D">
      <w:pPr>
        <w:pStyle w:val="BodyText"/>
        <w:jc w:val="both"/>
        <w:rPr>
          <w:i/>
          <w:iCs/>
          <w:noProof/>
        </w:rPr>
      </w:pPr>
      <w:r w:rsidRPr="00297E98">
        <w:rPr>
          <w:b/>
          <w:bCs/>
          <w:noProof/>
        </w:rPr>
        <w:t>Proximity to mandate:</w:t>
      </w:r>
      <w:r w:rsidRPr="00297E98">
        <w:rPr>
          <w:noProof/>
        </w:rPr>
        <w:t xml:space="preserve"> The task is close to EEA key competence on receiving and processing reporting information. The agency has the IT and networking infrastructure that is similar to the tasks, such as operation of the European pollutant release and transfer register, reporting under the industrial emission directive, the F-gas regulation or ozone depleting substances regulation. </w:t>
      </w:r>
    </w:p>
    <w:p w14:paraId="3C7A7E4B" w14:textId="77777777" w:rsidR="000A7D9D" w:rsidRPr="00297E98" w:rsidRDefault="000A7D9D" w:rsidP="000A7D9D">
      <w:pPr>
        <w:spacing w:after="120"/>
        <w:rPr>
          <w:rFonts w:ascii="Times New Roman" w:eastAsia="Verdana" w:hAnsi="Times New Roman" w:cs="Times New Roman"/>
          <w:b/>
          <w:bCs/>
          <w:noProof/>
          <w:sz w:val="24"/>
          <w:szCs w:val="24"/>
        </w:rPr>
      </w:pPr>
      <w:r w:rsidRPr="00297E98">
        <w:rPr>
          <w:rFonts w:ascii="Times New Roman" w:eastAsia="Verdana" w:hAnsi="Times New Roman" w:cs="Times New Roman"/>
          <w:b/>
          <w:bCs/>
          <w:noProof/>
          <w:sz w:val="24"/>
          <w:szCs w:val="24"/>
        </w:rPr>
        <w:t>Projected synergies and added value of (re-)attribution:</w:t>
      </w:r>
    </w:p>
    <w:p w14:paraId="424BCA21" w14:textId="77777777" w:rsidR="000A7D9D" w:rsidRPr="00297E98" w:rsidRDefault="000A7D9D" w:rsidP="000A7D9D">
      <w:pPr>
        <w:pStyle w:val="BodyText"/>
        <w:jc w:val="both"/>
        <w:rPr>
          <w:noProof/>
        </w:rPr>
      </w:pPr>
      <w:r w:rsidRPr="00297E98">
        <w:rPr>
          <w:b/>
          <w:bCs/>
          <w:noProof/>
        </w:rPr>
        <w:t xml:space="preserve">Main risks and opportunities: </w:t>
      </w:r>
    </w:p>
    <w:p w14:paraId="70963E62" w14:textId="77777777" w:rsidR="000A7D9D" w:rsidRPr="00297E98" w:rsidRDefault="000A7D9D" w:rsidP="000A7D9D">
      <w:pPr>
        <w:pStyle w:val="BodyText"/>
        <w:rPr>
          <w:b/>
          <w:bCs/>
          <w:noProof/>
        </w:rPr>
      </w:pPr>
      <w:r w:rsidRPr="00297E98">
        <w:rPr>
          <w:b/>
          <w:bCs/>
          <w:noProof/>
        </w:rPr>
        <w:t>Projected impact on EEA:</w:t>
      </w:r>
    </w:p>
    <w:p w14:paraId="4EE4331B" w14:textId="77777777" w:rsidR="000A7D9D" w:rsidRPr="00297E98" w:rsidRDefault="000A7D9D" w:rsidP="000A7D9D">
      <w:pPr>
        <w:pStyle w:val="BodyText"/>
        <w:widowControl w:val="0"/>
        <w:numPr>
          <w:ilvl w:val="0"/>
          <w:numId w:val="88"/>
        </w:numPr>
        <w:rPr>
          <w:b/>
          <w:bCs/>
          <w:noProof/>
        </w:rPr>
      </w:pPr>
      <w:r w:rsidRPr="00297E98">
        <w:rPr>
          <w:noProof/>
        </w:rPr>
        <w:t xml:space="preserve">EEA Committees/bodies: </w:t>
      </w:r>
      <w:r w:rsidRPr="00297E98">
        <w:rPr>
          <w:b/>
          <w:bCs/>
          <w:noProof/>
        </w:rPr>
        <w:t>no impact</w:t>
      </w:r>
      <w:r w:rsidRPr="00297E98">
        <w:rPr>
          <w:noProof/>
        </w:rPr>
        <w:t>. The task does not require involvement of EEA Committees/bodies</w:t>
      </w:r>
    </w:p>
    <w:p w14:paraId="2389763E" w14:textId="77777777" w:rsidR="000A7D9D" w:rsidRPr="00297E98" w:rsidRDefault="000A7D9D" w:rsidP="000A7D9D">
      <w:pPr>
        <w:pStyle w:val="BodyText"/>
        <w:widowControl w:val="0"/>
        <w:numPr>
          <w:ilvl w:val="0"/>
          <w:numId w:val="88"/>
        </w:numPr>
        <w:rPr>
          <w:b/>
          <w:bCs/>
          <w:noProof/>
        </w:rPr>
      </w:pPr>
      <w:r w:rsidRPr="00297E98">
        <w:rPr>
          <w:noProof/>
        </w:rPr>
        <w:t xml:space="preserve">EEA data model and IT infrastructure: </w:t>
      </w:r>
      <w:r w:rsidRPr="00297E98">
        <w:rPr>
          <w:b/>
          <w:bCs/>
          <w:noProof/>
        </w:rPr>
        <w:t>high impact</w:t>
      </w:r>
      <w:r w:rsidRPr="00297E98">
        <w:rPr>
          <w:noProof/>
        </w:rPr>
        <w:t>. The task requires investment in a new data structures and IT systems/capabilities</w:t>
      </w:r>
    </w:p>
    <w:p w14:paraId="6B89DD6C" w14:textId="77777777" w:rsidR="000A7D9D" w:rsidRPr="00297E98" w:rsidRDefault="000A7D9D" w:rsidP="000A7D9D">
      <w:pPr>
        <w:pStyle w:val="BodyText"/>
        <w:widowControl w:val="0"/>
        <w:numPr>
          <w:ilvl w:val="0"/>
          <w:numId w:val="88"/>
        </w:numPr>
        <w:rPr>
          <w:noProof/>
        </w:rPr>
      </w:pPr>
      <w:r w:rsidRPr="00297E98">
        <w:rPr>
          <w:noProof/>
        </w:rPr>
        <w:t>EEA key experts:</w:t>
      </w:r>
      <w:r w:rsidRPr="00297E98">
        <w:rPr>
          <w:b/>
          <w:bCs/>
          <w:noProof/>
        </w:rPr>
        <w:t xml:space="preserve"> high impact</w:t>
      </w:r>
      <w:r w:rsidRPr="00297E98">
        <w:rPr>
          <w:noProof/>
        </w:rPr>
        <w:t xml:space="preserve">. The task will require a new dedicated expertise </w:t>
      </w:r>
    </w:p>
    <w:p w14:paraId="23005B37" w14:textId="77777777" w:rsidR="000A7D9D" w:rsidRPr="00297E98" w:rsidRDefault="000A7D9D" w:rsidP="000A7D9D">
      <w:pPr>
        <w:pStyle w:val="BodyText"/>
        <w:rPr>
          <w:b/>
          <w:bCs/>
          <w:i/>
          <w:iCs/>
          <w:noProof/>
        </w:rPr>
      </w:pPr>
      <w:r w:rsidRPr="00297E98">
        <w:rPr>
          <w:b/>
          <w:bCs/>
          <w:noProof/>
        </w:rPr>
        <w:t>Projected workload and resource implications</w:t>
      </w:r>
      <w:r w:rsidRPr="00297E98">
        <w:rPr>
          <w:noProof/>
        </w:rPr>
        <w:t xml:space="preserve"> </w:t>
      </w:r>
    </w:p>
    <w:p w14:paraId="5FB824DF" w14:textId="77777777" w:rsidR="000A7D9D" w:rsidRPr="00297E98" w:rsidRDefault="000A7D9D" w:rsidP="000A7D9D">
      <w:pPr>
        <w:spacing w:after="120"/>
        <w:rPr>
          <w:rFonts w:ascii="Times New Roman" w:eastAsia="Calibri" w:hAnsi="Times New Roman" w:cs="Times New Roman"/>
          <w:noProof/>
          <w:sz w:val="24"/>
          <w:szCs w:val="24"/>
          <w:u w:val="single"/>
          <w:lang w:val="en-IE"/>
        </w:rPr>
      </w:pPr>
      <w:r w:rsidRPr="00297E98">
        <w:rPr>
          <w:rFonts w:ascii="Times New Roman" w:eastAsia="Calibri" w:hAnsi="Times New Roman" w:cs="Times New Roman"/>
          <w:noProof/>
          <w:sz w:val="24"/>
          <w:szCs w:val="24"/>
          <w:u w:val="single"/>
          <w:lang w:val="en-IE"/>
        </w:rPr>
        <w:t>Current workload and resource use:</w:t>
      </w:r>
    </w:p>
    <w:p w14:paraId="366B5B53" w14:textId="77777777" w:rsidR="000A7D9D" w:rsidRPr="00297E98" w:rsidRDefault="000A7D9D" w:rsidP="000A7D9D">
      <w:pPr>
        <w:pStyle w:val="paragraph"/>
        <w:spacing w:beforeAutospacing="0" w:after="120" w:afterAutospacing="0"/>
        <w:jc w:val="both"/>
        <w:textAlignment w:val="baseline"/>
        <w:rPr>
          <w:noProof/>
          <w:lang w:eastAsia="fi-FI"/>
        </w:rPr>
      </w:pPr>
      <w:r w:rsidRPr="00297E98">
        <w:rPr>
          <w:noProof/>
          <w:lang w:eastAsia="fi-FI"/>
        </w:rPr>
        <w:t xml:space="preserve">The development and operation of databases (eMARS and eSPIRS) for the reporting of information on industrial major accidents and for reporting of the location of Seveso establishments and providing supporting services was performed by DG JRC. The work was performed by 4 FTEs, 1 FTE was an official of DG JRC, and 3 FTEs were external consultants. </w:t>
      </w:r>
    </w:p>
    <w:p w14:paraId="4F9B5099" w14:textId="77777777" w:rsidR="000A7D9D" w:rsidRPr="00297E98" w:rsidRDefault="000A7D9D" w:rsidP="000A7D9D">
      <w:pPr>
        <w:spacing w:after="120"/>
        <w:rPr>
          <w:rFonts w:ascii="Times New Roman" w:eastAsia="Calibri" w:hAnsi="Times New Roman" w:cs="Times New Roman"/>
          <w:noProof/>
          <w:sz w:val="24"/>
          <w:szCs w:val="24"/>
          <w:u w:val="single"/>
          <w:lang w:val="en-IE"/>
        </w:rPr>
      </w:pPr>
      <w:r w:rsidRPr="00297E98">
        <w:rPr>
          <w:rFonts w:ascii="Times New Roman" w:eastAsia="Calibri" w:hAnsi="Times New Roman" w:cs="Times New Roman"/>
          <w:noProof/>
          <w:sz w:val="24"/>
          <w:szCs w:val="24"/>
          <w:u w:val="single"/>
          <w:lang w:val="en-IE"/>
        </w:rPr>
        <w:t>Current budget line:</w:t>
      </w:r>
      <w:r w:rsidRPr="00297E98">
        <w:rPr>
          <w:rFonts w:ascii="Times New Roman" w:eastAsia="Calibri" w:hAnsi="Times New Roman" w:cs="Times New Roman"/>
          <w:noProof/>
          <w:sz w:val="24"/>
          <w:szCs w:val="24"/>
          <w:lang w:val="en-IE"/>
        </w:rPr>
        <w:t xml:space="preserve"> DG JRC (core staff) + DG Environment (contractual support)</w:t>
      </w:r>
    </w:p>
    <w:p w14:paraId="146FE86F" w14:textId="77777777" w:rsidR="000A7D9D" w:rsidRPr="00297E98" w:rsidRDefault="000A7D9D" w:rsidP="000A7D9D">
      <w:pPr>
        <w:spacing w:after="120"/>
        <w:rPr>
          <w:rFonts w:ascii="Times New Roman" w:eastAsia="Calibri" w:hAnsi="Times New Roman" w:cs="Times New Roman"/>
          <w:noProof/>
          <w:sz w:val="24"/>
          <w:szCs w:val="24"/>
          <w:u w:val="single"/>
          <w:lang w:val="en-IE"/>
        </w:rPr>
      </w:pPr>
      <w:r w:rsidRPr="00297E98">
        <w:rPr>
          <w:rFonts w:ascii="Times New Roman" w:eastAsia="Calibri" w:hAnsi="Times New Roman" w:cs="Times New Roman"/>
          <w:noProof/>
          <w:sz w:val="24"/>
          <w:szCs w:val="24"/>
          <w:u w:val="single"/>
          <w:lang w:val="en-IE"/>
        </w:rPr>
        <w:t>Future workload and resource needs:</w:t>
      </w:r>
    </w:p>
    <w:p w14:paraId="24349E8D" w14:textId="77777777" w:rsidR="000A7D9D" w:rsidRPr="00297E98" w:rsidRDefault="000A7D9D" w:rsidP="000A7D9D">
      <w:pPr>
        <w:rPr>
          <w:rFonts w:ascii="Times New Roman" w:eastAsia="Calibri" w:hAnsi="Times New Roman" w:cs="Times New Roman"/>
          <w:b/>
          <w:noProof/>
          <w:sz w:val="24"/>
          <w:szCs w:val="24"/>
          <w:u w:val="single"/>
          <w:lang w:val="en-IE"/>
        </w:rPr>
      </w:pPr>
      <w:r w:rsidRPr="00297E98">
        <w:rPr>
          <w:rFonts w:ascii="Times New Roman" w:eastAsia="Calibri" w:hAnsi="Times New Roman" w:cs="Times New Roman"/>
          <w:b/>
          <w:noProof/>
          <w:sz w:val="24"/>
          <w:szCs w:val="24"/>
          <w:u w:val="single"/>
          <w:lang w:val="en-IE"/>
        </w:rPr>
        <w:t>A/ During the redevelopment phase of eSPIRS and eMARS (2023-2025)</w:t>
      </w:r>
    </w:p>
    <w:p w14:paraId="11B351DB" w14:textId="77777777" w:rsidR="000A7D9D" w:rsidRPr="00297E98" w:rsidRDefault="000A7D9D" w:rsidP="000A7D9D">
      <w:pPr>
        <w:rPr>
          <w:rFonts w:ascii="Times New Roman" w:eastAsia="Calibri" w:hAnsi="Times New Roman" w:cs="Times New Roman"/>
          <w:b/>
          <w:noProof/>
          <w:sz w:val="24"/>
          <w:szCs w:val="24"/>
          <w:u w:val="single"/>
        </w:rPr>
      </w:pPr>
      <w:r w:rsidRPr="00297E98">
        <w:rPr>
          <w:rFonts w:ascii="Times New Roman" w:eastAsia="Calibri" w:hAnsi="Times New Roman" w:cs="Times New Roman"/>
          <w:b/>
          <w:noProof/>
          <w:sz w:val="24"/>
          <w:szCs w:val="24"/>
          <w:u w:val="single"/>
        </w:rPr>
        <w:t>IT infrastruture</w:t>
      </w:r>
    </w:p>
    <w:p w14:paraId="2757EEBD" w14:textId="77777777" w:rsidR="000A7D9D" w:rsidRPr="00297E98" w:rsidRDefault="000A7D9D" w:rsidP="000A7D9D">
      <w:pPr>
        <w:ind w:firstLine="284"/>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u w:val="single"/>
        </w:rPr>
        <w:t>One-off cost:</w:t>
      </w:r>
      <w:r w:rsidRPr="00297E98">
        <w:rPr>
          <w:rFonts w:ascii="Times New Roman" w:eastAsia="Calibri" w:hAnsi="Times New Roman" w:cs="Times New Roman"/>
          <w:noProof/>
          <w:sz w:val="24"/>
          <w:szCs w:val="24"/>
        </w:rPr>
        <w:t xml:space="preserve"> </w:t>
      </w:r>
    </w:p>
    <w:p w14:paraId="736E9AA1" w14:textId="77777777" w:rsidR="000A7D9D" w:rsidRPr="00297E98" w:rsidRDefault="000A7D9D" w:rsidP="000A7D9D">
      <w:pPr>
        <w:numPr>
          <w:ilvl w:val="0"/>
          <w:numId w:val="106"/>
        </w:numPr>
        <w:spacing w:before="120" w:after="120" w:line="240" w:lineRule="auto"/>
        <w:ind w:left="851"/>
        <w:contextualSpacing/>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EUR 275 000 and then EUR 200 000 are reserved for the two first years to set up the IT eSPIRS systems and the support of Member States to facilitate their reporting within the new platform, which will be developed by the EEA. </w:t>
      </w:r>
    </w:p>
    <w:p w14:paraId="752F07C0" w14:textId="77777777" w:rsidR="000A7D9D" w:rsidRPr="00297E98" w:rsidRDefault="000A7D9D" w:rsidP="000A7D9D">
      <w:pPr>
        <w:numPr>
          <w:ilvl w:val="0"/>
          <w:numId w:val="106"/>
        </w:numPr>
        <w:spacing w:before="120" w:after="120" w:line="240" w:lineRule="auto"/>
        <w:ind w:left="851"/>
        <w:contextualSpacing/>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EUR 60 000 is reserved for the two first years to set up the IT eMARS systems. This amount is lower compared to eSPIRS because some tasks will be mutualised between eSPIRS and eMARS. </w:t>
      </w:r>
    </w:p>
    <w:p w14:paraId="284934EE" w14:textId="77777777" w:rsidR="000A7D9D" w:rsidRPr="00297E98" w:rsidRDefault="000A7D9D" w:rsidP="000A7D9D">
      <w:pPr>
        <w:ind w:firstLine="284"/>
        <w:rPr>
          <w:rFonts w:ascii="Times New Roman" w:eastAsia="Calibri" w:hAnsi="Times New Roman" w:cs="Times New Roman"/>
          <w:noProof/>
          <w:sz w:val="24"/>
          <w:szCs w:val="24"/>
          <w:u w:val="single"/>
        </w:rPr>
      </w:pPr>
      <w:r w:rsidRPr="00297E98">
        <w:rPr>
          <w:rFonts w:ascii="Times New Roman" w:eastAsia="Calibri" w:hAnsi="Times New Roman" w:cs="Times New Roman"/>
          <w:noProof/>
          <w:sz w:val="24"/>
          <w:szCs w:val="24"/>
          <w:u w:val="single"/>
        </w:rPr>
        <w:t>Yearly cost:</w:t>
      </w:r>
    </w:p>
    <w:p w14:paraId="1B8062C2" w14:textId="77777777" w:rsidR="000A7D9D" w:rsidRPr="00297E98" w:rsidRDefault="000A7D9D" w:rsidP="000A7D9D">
      <w:pPr>
        <w:numPr>
          <w:ilvl w:val="0"/>
          <w:numId w:val="106"/>
        </w:numPr>
        <w:spacing w:before="120" w:after="120" w:line="240" w:lineRule="auto"/>
        <w:ind w:left="851"/>
        <w:contextualSpacing/>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From 2024, the running costs of the two databases require 70 000 EUR per year (hosting of tools, maintenance of software, infrastructure and support for the quality assurance of data deliveries). </w:t>
      </w:r>
    </w:p>
    <w:p w14:paraId="27596D37" w14:textId="77777777" w:rsidR="000A7D9D" w:rsidRPr="00297E98" w:rsidRDefault="000A7D9D" w:rsidP="000A7D9D">
      <w:pPr>
        <w:ind w:left="1210"/>
        <w:contextualSpacing/>
        <w:rPr>
          <w:rFonts w:ascii="Times New Roman" w:eastAsia="Calibri" w:hAnsi="Times New Roman" w:cs="Times New Roman"/>
          <w:noProof/>
          <w:sz w:val="24"/>
          <w:szCs w:val="24"/>
        </w:rPr>
      </w:pPr>
    </w:p>
    <w:p w14:paraId="2CBFAE6C" w14:textId="77777777" w:rsidR="000A7D9D" w:rsidRPr="00297E98" w:rsidRDefault="000A7D9D" w:rsidP="000A7D9D">
      <w:pPr>
        <w:rPr>
          <w:rFonts w:ascii="Times New Roman" w:eastAsia="Calibri" w:hAnsi="Times New Roman" w:cs="Times New Roman"/>
          <w:b/>
          <w:noProof/>
          <w:sz w:val="24"/>
          <w:szCs w:val="24"/>
          <w:u w:val="single"/>
        </w:rPr>
      </w:pPr>
      <w:r w:rsidRPr="00297E98">
        <w:rPr>
          <w:rFonts w:ascii="Times New Roman" w:eastAsia="Calibri" w:hAnsi="Times New Roman" w:cs="Times New Roman"/>
          <w:b/>
          <w:noProof/>
          <w:sz w:val="24"/>
          <w:szCs w:val="24"/>
          <w:u w:val="single"/>
        </w:rPr>
        <w:t>Staff, 4 agents are needed for the period 2023-2025 for the following roles:</w:t>
      </w:r>
    </w:p>
    <w:p w14:paraId="50933E19" w14:textId="77777777" w:rsidR="000A7D9D" w:rsidRPr="00297E98" w:rsidRDefault="000A7D9D" w:rsidP="000A7D9D">
      <w:pPr>
        <w:numPr>
          <w:ilvl w:val="0"/>
          <w:numId w:val="106"/>
        </w:numPr>
        <w:spacing w:before="120" w:after="120" w:line="240" w:lineRule="auto"/>
        <w:ind w:left="426"/>
        <w:jc w:val="both"/>
        <w:rPr>
          <w:rFonts w:ascii="Times New Roman" w:eastAsia="Calibri" w:hAnsi="Times New Roman" w:cs="Times New Roman"/>
          <w:noProof/>
          <w:sz w:val="24"/>
          <w:szCs w:val="24"/>
        </w:rPr>
      </w:pPr>
      <w:r w:rsidRPr="00297E98">
        <w:rPr>
          <w:rFonts w:ascii="Times New Roman" w:eastAsia="Calibri" w:hAnsi="Times New Roman" w:cs="Times New Roman"/>
          <w:b/>
          <w:noProof/>
          <w:sz w:val="24"/>
          <w:szCs w:val="24"/>
        </w:rPr>
        <w:t>2 IT staff agents :</w:t>
      </w:r>
      <w:r w:rsidRPr="00297E98">
        <w:rPr>
          <w:rFonts w:ascii="Times New Roman" w:eastAsia="Calibri" w:hAnsi="Times New Roman" w:cs="Times New Roman"/>
          <w:noProof/>
          <w:sz w:val="24"/>
          <w:szCs w:val="24"/>
        </w:rPr>
        <w:t xml:space="preserve"> thanks to the mutualisation of tasks related to the IT deployment, continuous improvment and support to Member States for the the future eSPIRS and eMARS databases, the need of staff is limited to: one full-time equivalent </w:t>
      </w:r>
      <w:r w:rsidRPr="00297E98">
        <w:rPr>
          <w:rFonts w:ascii="Times New Roman" w:eastAsia="Calibri" w:hAnsi="Times New Roman" w:cs="Times New Roman"/>
          <w:noProof/>
          <w:sz w:val="24"/>
          <w:szCs w:val="24"/>
          <w:lang w:val="en-IE"/>
        </w:rPr>
        <w:t xml:space="preserve">temporary agent </w:t>
      </w:r>
      <w:r w:rsidRPr="00297E98">
        <w:rPr>
          <w:rFonts w:ascii="Times New Roman" w:eastAsia="Calibri" w:hAnsi="Times New Roman" w:cs="Times New Roman"/>
          <w:noProof/>
          <w:sz w:val="24"/>
          <w:szCs w:val="24"/>
        </w:rPr>
        <w:t xml:space="preserve">(AD TA) (average cost EUR 199 576/year) and one full-time equivalent </w:t>
      </w:r>
      <w:r w:rsidRPr="00297E98">
        <w:rPr>
          <w:rFonts w:ascii="Times New Roman" w:eastAsia="Calibri" w:hAnsi="Times New Roman" w:cs="Times New Roman"/>
          <w:noProof/>
          <w:sz w:val="24"/>
          <w:szCs w:val="24"/>
          <w:lang w:val="en-IE"/>
        </w:rPr>
        <w:t xml:space="preserve">contract agent </w:t>
      </w:r>
      <w:r w:rsidRPr="00297E98">
        <w:rPr>
          <w:rFonts w:ascii="Times New Roman" w:eastAsia="Calibri" w:hAnsi="Times New Roman" w:cs="Times New Roman"/>
          <w:noProof/>
          <w:sz w:val="24"/>
          <w:szCs w:val="24"/>
        </w:rPr>
        <w:t>staff (CA) (average cost EUR 107 666/year) at the EEA:</w:t>
      </w:r>
    </w:p>
    <w:p w14:paraId="3BC22F42" w14:textId="77777777" w:rsidR="000A7D9D" w:rsidRPr="00297E98" w:rsidRDefault="000A7D9D" w:rsidP="000A7D9D">
      <w:pPr>
        <w:numPr>
          <w:ilvl w:val="1"/>
          <w:numId w:val="106"/>
        </w:numPr>
        <w:spacing w:before="120" w:after="120" w:line="240" w:lineRule="auto"/>
        <w:ind w:left="851"/>
        <w:jc w:val="both"/>
        <w:rPr>
          <w:rFonts w:ascii="Times New Roman" w:eastAsia="Calibri" w:hAnsi="Times New Roman" w:cs="Times New Roman"/>
          <w:noProof/>
          <w:sz w:val="24"/>
          <w:szCs w:val="24"/>
        </w:rPr>
      </w:pPr>
      <w:r w:rsidRPr="00297E98">
        <w:rPr>
          <w:rFonts w:ascii="Times New Roman" w:eastAsia="Calibri" w:hAnsi="Times New Roman" w:cs="Times New Roman"/>
          <w:b/>
          <w:noProof/>
          <w:sz w:val="24"/>
          <w:szCs w:val="24"/>
        </w:rPr>
        <w:t>1 AD TA“IT expert – database systems redevelopment”. Objective</w:t>
      </w:r>
      <w:r w:rsidRPr="00297E98">
        <w:rPr>
          <w:rFonts w:ascii="Times New Roman" w:eastAsia="Calibri" w:hAnsi="Times New Roman" w:cs="Times New Roman"/>
          <w:bCs/>
          <w:noProof/>
          <w:sz w:val="24"/>
          <w:szCs w:val="24"/>
        </w:rPr>
        <w:t xml:space="preserve">: to support the implementation of the new IT information system necessary for the eSPIRS and eMARS reporting: </w:t>
      </w:r>
    </w:p>
    <w:p w14:paraId="239BB937" w14:textId="77777777" w:rsidR="000A7D9D" w:rsidRPr="00297E98" w:rsidRDefault="000A7D9D" w:rsidP="000A7D9D">
      <w:pPr>
        <w:numPr>
          <w:ilvl w:val="2"/>
          <w:numId w:val="106"/>
        </w:numPr>
        <w:spacing w:before="120" w:after="120" w:line="240" w:lineRule="auto"/>
        <w:ind w:left="1418" w:hanging="52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IT project management of the redevelopment of new tools and reporting system, ensuring design of alignment and complementarity with the existing EEA software used for the reporting of industrial information to the EU Registry on Industrial Sites. As part of the redevelopment and implementation of the new tools, the agent will lead on the following:</w:t>
      </w:r>
    </w:p>
    <w:p w14:paraId="281D3C56" w14:textId="77777777" w:rsidR="000A7D9D" w:rsidRPr="00297E98" w:rsidRDefault="000A7D9D" w:rsidP="000A7D9D">
      <w:pPr>
        <w:numPr>
          <w:ilvl w:val="3"/>
          <w:numId w:val="106"/>
        </w:numPr>
        <w:spacing w:before="120" w:after="12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Update the data model. This consists in the design and proposal of UML model, feature descriptions and deployment and updating the code lists.</w:t>
      </w:r>
    </w:p>
    <w:p w14:paraId="04A0826B" w14:textId="77777777" w:rsidR="000A7D9D" w:rsidRPr="00297E98" w:rsidRDefault="000A7D9D" w:rsidP="000A7D9D">
      <w:pPr>
        <w:numPr>
          <w:ilvl w:val="3"/>
          <w:numId w:val="106"/>
        </w:numPr>
        <w:spacing w:before="120" w:after="12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Support on updating the technical guidance.</w:t>
      </w:r>
    </w:p>
    <w:p w14:paraId="1CB7E7D0" w14:textId="77777777" w:rsidR="000A7D9D" w:rsidRPr="00297E98" w:rsidRDefault="000A7D9D" w:rsidP="000A7D9D">
      <w:pPr>
        <w:numPr>
          <w:ilvl w:val="3"/>
          <w:numId w:val="106"/>
        </w:numPr>
        <w:spacing w:after="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Integration of the data model changes across the reporting infrastracture. This includes, among others:</w:t>
      </w:r>
    </w:p>
    <w:p w14:paraId="5644DF18" w14:textId="77777777" w:rsidR="000A7D9D" w:rsidRPr="00297E98" w:rsidRDefault="000A7D9D" w:rsidP="000A7D9D">
      <w:pPr>
        <w:numPr>
          <w:ilvl w:val="4"/>
          <w:numId w:val="106"/>
        </w:numPr>
        <w:spacing w:after="0" w:line="240" w:lineRule="auto"/>
        <w:ind w:left="226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Update of the XML schema and EEA dictionary: the existing schemas and code lists in the EEA data dictionary have to be updated according to the agreed data model version.</w:t>
      </w:r>
    </w:p>
    <w:p w14:paraId="2B2F6EF7" w14:textId="77777777" w:rsidR="000A7D9D" w:rsidRPr="00297E98" w:rsidRDefault="000A7D9D" w:rsidP="000A7D9D">
      <w:pPr>
        <w:numPr>
          <w:ilvl w:val="4"/>
          <w:numId w:val="106"/>
        </w:numPr>
        <w:spacing w:after="0" w:line="240" w:lineRule="auto"/>
        <w:ind w:left="226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Update of Quality Assurance (QA) scripts: with support from Member State Competentent Authorities, stakeholders and thematic experts (see below), the agent will assess the need of new automated Quality Assurance/Quality Control (QA/QC) in view of the newly included reporting requirements. Should this be required, the agent will also integrate these in the reporting infrastructure. Changes in the logic of the data model may also need adjustments of existing QA/QC. </w:t>
      </w:r>
    </w:p>
    <w:p w14:paraId="55C0CC00" w14:textId="77777777" w:rsidR="000A7D9D" w:rsidRPr="00297E98" w:rsidRDefault="000A7D9D" w:rsidP="000A7D9D">
      <w:pPr>
        <w:numPr>
          <w:ilvl w:val="4"/>
          <w:numId w:val="106"/>
        </w:numPr>
        <w:spacing w:after="0" w:line="240" w:lineRule="auto"/>
        <w:ind w:left="226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Update of conversion services: this refers to a service of converting an user-friendly template into EU Registry-compliant XML reports. This service will need to be updated. </w:t>
      </w:r>
    </w:p>
    <w:p w14:paraId="605F06C5" w14:textId="77777777" w:rsidR="000A7D9D" w:rsidRPr="00297E98" w:rsidRDefault="000A7D9D" w:rsidP="000A7D9D">
      <w:pPr>
        <w:numPr>
          <w:ilvl w:val="4"/>
          <w:numId w:val="106"/>
        </w:numPr>
        <w:spacing w:after="0" w:line="240" w:lineRule="auto"/>
        <w:ind w:left="226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Update of harvesting routines: this relates to updating the systems used to incorporate the data reported by Member States into the EEA databases.</w:t>
      </w:r>
    </w:p>
    <w:p w14:paraId="3893AD8D" w14:textId="77777777" w:rsidR="000A7D9D" w:rsidRPr="00297E98" w:rsidRDefault="000A7D9D" w:rsidP="000A7D9D">
      <w:pPr>
        <w:numPr>
          <w:ilvl w:val="4"/>
          <w:numId w:val="106"/>
        </w:numPr>
        <w:spacing w:after="120" w:line="240" w:lineRule="auto"/>
        <w:ind w:left="226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Support for the update of the manual for reporters.</w:t>
      </w:r>
    </w:p>
    <w:p w14:paraId="1475C8FA" w14:textId="77777777" w:rsidR="000A7D9D" w:rsidRPr="00297E98" w:rsidRDefault="000A7D9D" w:rsidP="000A7D9D">
      <w:pPr>
        <w:numPr>
          <w:ilvl w:val="3"/>
          <w:numId w:val="106"/>
        </w:numPr>
        <w:spacing w:before="120" w:after="12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Design and run tests for the future reporting tools. </w:t>
      </w:r>
    </w:p>
    <w:p w14:paraId="05ABCEA1" w14:textId="77777777" w:rsidR="000A7D9D" w:rsidRPr="00297E98" w:rsidRDefault="000A7D9D" w:rsidP="000A7D9D">
      <w:pPr>
        <w:numPr>
          <w:ilvl w:val="3"/>
          <w:numId w:val="106"/>
        </w:numPr>
        <w:spacing w:before="120" w:after="12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Launch and if necessary revise/adjust reporting tools: according to experience with the design and deployment of the EU Registry of indutrial sites, a period of around two reporting cycles is needed for all countries to fully succeed in sending high-quality data. The IT speecialist’s role will be to incorporate possible changes/adjustments to the reporting tools if necessary, as well as provide technical support to possible IT queries from Member States. It is expected that these will be more numerous and complex during this early period and will stabilise once all systems are in place. </w:t>
      </w:r>
    </w:p>
    <w:p w14:paraId="2B22A59F" w14:textId="77777777" w:rsidR="000A7D9D" w:rsidRPr="00297E98" w:rsidRDefault="000A7D9D" w:rsidP="000A7D9D">
      <w:pPr>
        <w:numPr>
          <w:ilvl w:val="3"/>
          <w:numId w:val="106"/>
        </w:numPr>
        <w:spacing w:before="120" w:after="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Adjustment of public-facing products (IT):</w:t>
      </w:r>
    </w:p>
    <w:p w14:paraId="6B3881E7" w14:textId="77777777" w:rsidR="000A7D9D" w:rsidRPr="00297E98" w:rsidRDefault="000A7D9D" w:rsidP="000A7D9D">
      <w:pPr>
        <w:numPr>
          <w:ilvl w:val="4"/>
          <w:numId w:val="106"/>
        </w:numPr>
        <w:spacing w:after="0" w:line="240" w:lineRule="auto"/>
        <w:ind w:left="226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Generation of EU datasets.</w:t>
      </w:r>
    </w:p>
    <w:p w14:paraId="71DC5D25" w14:textId="77777777" w:rsidR="000A7D9D" w:rsidRPr="00297E98" w:rsidRDefault="000A7D9D" w:rsidP="000A7D9D">
      <w:pPr>
        <w:numPr>
          <w:ilvl w:val="4"/>
          <w:numId w:val="106"/>
        </w:numPr>
        <w:spacing w:after="0" w:line="240" w:lineRule="auto"/>
        <w:ind w:left="226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European Industrial Emissions Portal.</w:t>
      </w:r>
    </w:p>
    <w:p w14:paraId="2DEE59BE" w14:textId="77777777" w:rsidR="000A7D9D" w:rsidRPr="00297E98" w:rsidRDefault="000A7D9D" w:rsidP="000A7D9D">
      <w:pPr>
        <w:numPr>
          <w:ilvl w:val="3"/>
          <w:numId w:val="106"/>
        </w:numPr>
        <w:spacing w:before="120" w:after="12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Whereas the data currently reported to eSPIRS could be integrated in the existing IT infrastructure (with the required changes outlined above), it is possible that eMARS will require its own database/IT infrastructure. This is mainly related to the nature of the data currently reported to eMARS and the specific legal requirements related to the rapid reporting of industrial accidents. The agent will evaluate the possible options and work on the design and development of such dedicated IT environment if necessary, as well as contribute to the development of its support documentation (e.g. manuals, guidance). Also, the agent will provide their IT expertise in the process of amending Commission Implementing Decision (CID) 2014/895/EU establishing the format for communicating the information referred to in Article 21(3) of Directive 2012/18/EU (i.e. implementing the reporting of accidents, i.e. the eMARS dataflow). This will ensure the language and structure of the Decision are suitable, clear and compatible with the fture IT requirements.  </w:t>
      </w:r>
    </w:p>
    <w:p w14:paraId="2BF586E5" w14:textId="77777777" w:rsidR="000A7D9D" w:rsidRPr="00297E98" w:rsidRDefault="000A7D9D" w:rsidP="000A7D9D">
      <w:pPr>
        <w:numPr>
          <w:ilvl w:val="2"/>
          <w:numId w:val="106"/>
        </w:numPr>
        <w:spacing w:before="120" w:after="12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Performing the internal EEA function of “data custodian” involving the maintenance of databases, developing and updating automated quality assurance scripts, data harvesting scripts and IT dimensions of updating the website European Industrial Emission Portal.</w:t>
      </w:r>
    </w:p>
    <w:p w14:paraId="0544D3DD" w14:textId="77777777" w:rsidR="000A7D9D" w:rsidRPr="00297E98" w:rsidRDefault="000A7D9D" w:rsidP="000A7D9D">
      <w:pPr>
        <w:numPr>
          <w:ilvl w:val="2"/>
          <w:numId w:val="106"/>
        </w:numPr>
        <w:spacing w:before="120" w:after="12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Ensuring that confidentiality, data protection and IT security protocols are maintained to the standards required by the EU Institutions, from the design phase throughout the pre-operational and operational phases.</w:t>
      </w:r>
    </w:p>
    <w:p w14:paraId="3C808281" w14:textId="77777777" w:rsidR="000A7D9D" w:rsidRPr="00297E98" w:rsidRDefault="000A7D9D" w:rsidP="000A7D9D">
      <w:pPr>
        <w:numPr>
          <w:ilvl w:val="2"/>
          <w:numId w:val="106"/>
        </w:numPr>
        <w:spacing w:before="120" w:after="12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Ensuring a secure access and use of the data that are marked as confidential, in accordance with Article 4 of Directive 2003/4/EC</w:t>
      </w:r>
      <w:r w:rsidRPr="00297E98">
        <w:rPr>
          <w:rFonts w:ascii="Times New Roman" w:eastAsia="Calibri" w:hAnsi="Times New Roman" w:cs="Times New Roman"/>
          <w:noProof/>
          <w:sz w:val="24"/>
          <w:szCs w:val="24"/>
          <w:vertAlign w:val="superscript"/>
        </w:rPr>
        <w:footnoteReference w:id="49"/>
      </w:r>
      <w:r w:rsidRPr="00297E98">
        <w:rPr>
          <w:rFonts w:ascii="Times New Roman" w:eastAsia="Calibri" w:hAnsi="Times New Roman" w:cs="Times New Roman"/>
          <w:noProof/>
          <w:sz w:val="24"/>
          <w:szCs w:val="24"/>
        </w:rPr>
        <w:t xml:space="preserve">. These data shall neither be publically available nor accessible (directly or indirectly). </w:t>
      </w:r>
    </w:p>
    <w:p w14:paraId="291B51B3" w14:textId="77777777" w:rsidR="000A7D9D" w:rsidRPr="00297E98" w:rsidRDefault="000A7D9D" w:rsidP="000A7D9D">
      <w:pPr>
        <w:ind w:left="1210"/>
        <w:rPr>
          <w:rFonts w:ascii="Times New Roman" w:eastAsia="Calibri" w:hAnsi="Times New Roman" w:cs="Times New Roman"/>
          <w:noProof/>
          <w:sz w:val="24"/>
          <w:szCs w:val="24"/>
        </w:rPr>
      </w:pPr>
    </w:p>
    <w:p w14:paraId="181A1AC5" w14:textId="77777777" w:rsidR="000A7D9D" w:rsidRPr="00297E98" w:rsidRDefault="000A7D9D" w:rsidP="000A7D9D">
      <w:pPr>
        <w:numPr>
          <w:ilvl w:val="1"/>
          <w:numId w:val="106"/>
        </w:numPr>
        <w:spacing w:before="120" w:after="120" w:line="240" w:lineRule="auto"/>
        <w:ind w:left="851"/>
        <w:jc w:val="both"/>
        <w:rPr>
          <w:rFonts w:ascii="Times New Roman" w:eastAsia="Calibri" w:hAnsi="Times New Roman" w:cs="Times New Roman"/>
          <w:noProof/>
          <w:sz w:val="24"/>
          <w:szCs w:val="24"/>
        </w:rPr>
      </w:pPr>
      <w:r w:rsidRPr="00297E98">
        <w:rPr>
          <w:rFonts w:ascii="Times New Roman" w:eastAsia="Calibri" w:hAnsi="Times New Roman" w:cs="Times New Roman"/>
          <w:b/>
          <w:noProof/>
          <w:sz w:val="24"/>
          <w:szCs w:val="24"/>
        </w:rPr>
        <w:t>1 CA “Member State and stakeholder support”. Objective</w:t>
      </w:r>
      <w:r w:rsidRPr="00297E98">
        <w:rPr>
          <w:rFonts w:ascii="Times New Roman" w:eastAsia="Calibri" w:hAnsi="Times New Roman" w:cs="Times New Roman"/>
          <w:bCs/>
          <w:noProof/>
          <w:sz w:val="24"/>
          <w:szCs w:val="24"/>
        </w:rPr>
        <w:t xml:space="preserve">: to </w:t>
      </w:r>
      <w:r w:rsidRPr="00297E98">
        <w:rPr>
          <w:rFonts w:ascii="Times New Roman" w:eastAsia="Calibri" w:hAnsi="Times New Roman" w:cs="Times New Roman"/>
          <w:noProof/>
          <w:sz w:val="24"/>
          <w:szCs w:val="24"/>
        </w:rPr>
        <w:t>support the transition to the future tools with the following tasks:</w:t>
      </w:r>
    </w:p>
    <w:p w14:paraId="3C81A9C5" w14:textId="77777777" w:rsidR="000A7D9D" w:rsidRPr="00297E98" w:rsidRDefault="000A7D9D" w:rsidP="000A7D9D">
      <w:pPr>
        <w:numPr>
          <w:ilvl w:val="2"/>
          <w:numId w:val="106"/>
        </w:numPr>
        <w:spacing w:before="120" w:after="12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Support to the development of the technical guidance for reporters. This support will focus on coordinating the stakeholder validation of the technical materials by the reporters’ community and incorporate their feedback in the materials. The agent will engage with the current community of Seveso reporters and will also coordinate contacts with EU registry reporters, who will also be affected by the changes and who will have to liaise with their colleagues reporting on Seveso for the submission of data. The agent’s role early on in the process is crucial for ensuring that the system is fit for purpose and incorporates the realities of all EU Member States. </w:t>
      </w:r>
    </w:p>
    <w:p w14:paraId="555AB8DE" w14:textId="77777777" w:rsidR="000A7D9D" w:rsidRPr="00297E98" w:rsidRDefault="000A7D9D" w:rsidP="000A7D9D">
      <w:pPr>
        <w:numPr>
          <w:ilvl w:val="2"/>
          <w:numId w:val="106"/>
        </w:numPr>
        <w:spacing w:before="120" w:after="12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Support on Member State validation of new automated QA/QC checks and on obtaining feedback during the necessary testing phase/s for the tools.</w:t>
      </w:r>
    </w:p>
    <w:p w14:paraId="1472EF5F" w14:textId="77777777" w:rsidR="000A7D9D" w:rsidRPr="00297E98" w:rsidRDefault="000A7D9D" w:rsidP="000A7D9D">
      <w:pPr>
        <w:numPr>
          <w:ilvl w:val="2"/>
          <w:numId w:val="106"/>
        </w:numPr>
        <w:spacing w:before="120" w:after="12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Support on Member State validation of manual for reporters. </w:t>
      </w:r>
    </w:p>
    <w:p w14:paraId="1855D75F" w14:textId="77777777" w:rsidR="000A7D9D" w:rsidRPr="00297E98" w:rsidRDefault="000A7D9D" w:rsidP="000A7D9D">
      <w:pPr>
        <w:numPr>
          <w:ilvl w:val="2"/>
          <w:numId w:val="106"/>
        </w:numPr>
        <w:spacing w:before="120" w:after="12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From a strategic point of view and in view of the experience with the EU Registry, building the foundation of a efficient relationship with the Seveso community of reporters requires time. Starting this at the development phase is also relevant for a smooth run of the process once implemented and ensures dedicated support and validation to minimise the risk of unnecessary changes and issues later in the process. </w:t>
      </w:r>
    </w:p>
    <w:p w14:paraId="58B2F0C7" w14:textId="77777777" w:rsidR="000A7D9D" w:rsidRPr="00297E98" w:rsidRDefault="000A7D9D" w:rsidP="000A7D9D">
      <w:pPr>
        <w:numPr>
          <w:ilvl w:val="0"/>
          <w:numId w:val="106"/>
        </w:numPr>
        <w:spacing w:before="120" w:after="120" w:line="240" w:lineRule="auto"/>
        <w:ind w:left="425" w:hanging="357"/>
        <w:jc w:val="both"/>
        <w:rPr>
          <w:rFonts w:ascii="Times New Roman" w:eastAsia="Calibri" w:hAnsi="Times New Roman" w:cs="Times New Roman"/>
          <w:noProof/>
          <w:sz w:val="24"/>
          <w:szCs w:val="24"/>
        </w:rPr>
      </w:pPr>
      <w:r w:rsidRPr="00297E98">
        <w:rPr>
          <w:rFonts w:ascii="Times New Roman" w:eastAsia="Calibri" w:hAnsi="Times New Roman" w:cs="Times New Roman"/>
          <w:b/>
          <w:noProof/>
          <w:sz w:val="24"/>
          <w:szCs w:val="24"/>
          <w:u w:val="single"/>
        </w:rPr>
        <w:t xml:space="preserve">2 thematic staff agents for </w:t>
      </w:r>
      <w:r w:rsidRPr="00297E98">
        <w:rPr>
          <w:rFonts w:ascii="Times New Roman" w:eastAsia="Calibri" w:hAnsi="Times New Roman" w:cs="Times New Roman"/>
          <w:b/>
          <w:noProof/>
          <w:sz w:val="24"/>
          <w:szCs w:val="24"/>
          <w:u w:val="single"/>
          <w:lang w:val="en-IE"/>
        </w:rPr>
        <w:t>for eSPIRS and eMARS:</w:t>
      </w:r>
      <w:r w:rsidRPr="00297E98">
        <w:rPr>
          <w:rFonts w:ascii="Times New Roman" w:eastAsia="Calibri" w:hAnsi="Times New Roman" w:cs="Times New Roman"/>
          <w:noProof/>
          <w:sz w:val="24"/>
          <w:szCs w:val="24"/>
          <w:lang w:val="en-IE"/>
        </w:rPr>
        <w:t xml:space="preserve"> 2</w:t>
      </w:r>
      <w:r w:rsidRPr="00297E98">
        <w:rPr>
          <w:rFonts w:ascii="Times New Roman" w:eastAsia="Calibri" w:hAnsi="Times New Roman" w:cs="Times New Roman"/>
          <w:noProof/>
          <w:sz w:val="24"/>
          <w:szCs w:val="24"/>
        </w:rPr>
        <w:t xml:space="preserve"> full-time equivalent </w:t>
      </w:r>
      <w:r w:rsidRPr="00297E98">
        <w:rPr>
          <w:rFonts w:ascii="Times New Roman" w:eastAsia="Calibri" w:hAnsi="Times New Roman" w:cs="Times New Roman"/>
          <w:noProof/>
          <w:sz w:val="24"/>
          <w:szCs w:val="24"/>
          <w:lang w:val="en-IE"/>
        </w:rPr>
        <w:t xml:space="preserve">temporary agents </w:t>
      </w:r>
      <w:r w:rsidRPr="00297E98">
        <w:rPr>
          <w:rFonts w:ascii="Times New Roman" w:eastAsia="Calibri" w:hAnsi="Times New Roman" w:cs="Times New Roman"/>
          <w:noProof/>
          <w:sz w:val="24"/>
          <w:szCs w:val="24"/>
        </w:rPr>
        <w:t>(AD TA) at the EEA (average cost EUR 199 576/year) for the thematic and analytic tasks linked to eSPIRS and eMARS:</w:t>
      </w:r>
    </w:p>
    <w:p w14:paraId="63CBE9B1" w14:textId="77777777" w:rsidR="000A7D9D" w:rsidRPr="00297E98" w:rsidRDefault="000A7D9D" w:rsidP="000A7D9D">
      <w:pPr>
        <w:numPr>
          <w:ilvl w:val="1"/>
          <w:numId w:val="106"/>
        </w:numPr>
        <w:spacing w:before="120" w:after="120" w:line="240" w:lineRule="auto"/>
        <w:ind w:left="851"/>
        <w:contextualSpacing/>
        <w:jc w:val="both"/>
        <w:rPr>
          <w:rFonts w:ascii="Times New Roman" w:eastAsia="Calibri" w:hAnsi="Times New Roman" w:cs="Times New Roman"/>
          <w:noProof/>
          <w:sz w:val="24"/>
          <w:szCs w:val="24"/>
        </w:rPr>
      </w:pPr>
      <w:r w:rsidRPr="00297E98">
        <w:rPr>
          <w:rFonts w:ascii="Times New Roman" w:eastAsia="Calibri" w:hAnsi="Times New Roman" w:cs="Times New Roman"/>
          <w:b/>
          <w:noProof/>
          <w:sz w:val="24"/>
          <w:szCs w:val="24"/>
        </w:rPr>
        <w:t>1 AD TA “Subject matter expert – eSPIRS Seveso reporting”. Objective</w:t>
      </w:r>
      <w:r w:rsidRPr="00297E98">
        <w:rPr>
          <w:rFonts w:ascii="Times New Roman" w:eastAsia="Calibri" w:hAnsi="Times New Roman" w:cs="Times New Roman"/>
          <w:bCs/>
          <w:noProof/>
          <w:sz w:val="24"/>
          <w:szCs w:val="24"/>
        </w:rPr>
        <w:t>: to lead the EEA activities relating to eSPIRS reporting redevelopment and ensure close links with other EEA activities on zero pollution and reporting streams under environment law on industrial emissions. It will fulfill the following tasks:</w:t>
      </w:r>
    </w:p>
    <w:p w14:paraId="20D11E9E" w14:textId="77777777" w:rsidR="000A7D9D" w:rsidRPr="00297E98" w:rsidRDefault="000A7D9D" w:rsidP="000A7D9D">
      <w:pPr>
        <w:numPr>
          <w:ilvl w:val="2"/>
          <w:numId w:val="106"/>
        </w:numPr>
        <w:spacing w:before="120" w:after="120" w:line="240" w:lineRule="auto"/>
        <w:ind w:left="1418"/>
        <w:contextualSpacing/>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Supervising the redevelopment of the eSPIRS reporting tools by providing the necessary thematic (expert) perspective. Among others, the agent will ensure that the changes to the data model and XML schema are compliant with the reporting requirements and are fit for purpose, design and test automated and manual QA that is suitable for this dataflow, lead the update of the technical guidance and manual for reporters, and interpretation of the legal requirements for their implementation into the data model, with support with IT expert and Member State support expert (see above). </w:t>
      </w:r>
    </w:p>
    <w:p w14:paraId="11905BC8"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Capacity building and support to the reporters in countries to define the requirements of the new eSPIRS reporting tools, train them in their use and assist the interpretation of the requirements. </w:t>
      </w:r>
    </w:p>
    <w:p w14:paraId="6A1DCCF6"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During the redevelopment phase, liaising with the European Commission services to support Member States when designing their reporting systems and tools, including agreeing ad-hoc adjustments relevant to each Member State legal and operational frameworks. </w:t>
      </w:r>
    </w:p>
    <w:p w14:paraId="144CFA3F"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During the redevelopment phase, liasing with the JRC as necessary on historical issues and topics that may be of relevance for the new tools. </w:t>
      </w:r>
    </w:p>
    <w:p w14:paraId="6829068B"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Work is ongoing for the design of the Zero Pollution monitoring indicators framework and indicators for the Chemicals Strategy for Sustainability. The agent will participate in the process to assess how this dataflow can support and design possible indicators.</w:t>
      </w:r>
    </w:p>
    <w:p w14:paraId="08ED0387"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Work is ongoing for the design of the Zero Pollution monitoring indicators framework and indicators for the Chemicals Strategy for Sustainability. The agent will participate in the process to assess how this dataflow can support and design possible indicators.</w:t>
      </w:r>
    </w:p>
    <w:p w14:paraId="07ACFD48"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Adjustment of public-facing products (thematic perspective):</w:t>
      </w:r>
    </w:p>
    <w:p w14:paraId="127D5F38" w14:textId="77777777" w:rsidR="000A7D9D" w:rsidRPr="00297E98" w:rsidRDefault="000A7D9D" w:rsidP="000A7D9D">
      <w:pPr>
        <w:numPr>
          <w:ilvl w:val="3"/>
          <w:numId w:val="106"/>
        </w:numPr>
        <w:spacing w:before="40" w:after="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Generation of EU datasets.</w:t>
      </w:r>
    </w:p>
    <w:p w14:paraId="6EBA9353" w14:textId="77777777" w:rsidR="000A7D9D" w:rsidRPr="00297E98" w:rsidRDefault="000A7D9D" w:rsidP="000A7D9D">
      <w:pPr>
        <w:numPr>
          <w:ilvl w:val="3"/>
          <w:numId w:val="106"/>
        </w:numPr>
        <w:spacing w:before="40" w:after="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European Industrial Emissions Portal.</w:t>
      </w:r>
    </w:p>
    <w:p w14:paraId="06B2C8E6" w14:textId="77777777" w:rsidR="000A7D9D" w:rsidRPr="00297E98" w:rsidRDefault="000A7D9D" w:rsidP="000A7D9D">
      <w:pPr>
        <w:ind w:left="1570"/>
        <w:contextualSpacing/>
        <w:rPr>
          <w:rFonts w:ascii="Times New Roman" w:eastAsia="Calibri" w:hAnsi="Times New Roman" w:cs="Times New Roman"/>
          <w:noProof/>
          <w:sz w:val="24"/>
          <w:szCs w:val="24"/>
        </w:rPr>
      </w:pPr>
    </w:p>
    <w:p w14:paraId="13D1C8D8" w14:textId="77777777" w:rsidR="000A7D9D" w:rsidRPr="00297E98" w:rsidRDefault="000A7D9D" w:rsidP="000A7D9D">
      <w:pPr>
        <w:numPr>
          <w:ilvl w:val="1"/>
          <w:numId w:val="106"/>
        </w:numPr>
        <w:spacing w:before="120" w:after="120" w:line="240" w:lineRule="auto"/>
        <w:ind w:left="851"/>
        <w:contextualSpacing/>
        <w:jc w:val="both"/>
        <w:rPr>
          <w:rFonts w:ascii="Times New Roman" w:eastAsia="Calibri" w:hAnsi="Times New Roman" w:cs="Times New Roman"/>
          <w:bCs/>
          <w:noProof/>
          <w:sz w:val="24"/>
          <w:szCs w:val="24"/>
        </w:rPr>
      </w:pPr>
      <w:r w:rsidRPr="00297E98">
        <w:rPr>
          <w:rFonts w:ascii="Times New Roman" w:eastAsia="Calibri" w:hAnsi="Times New Roman" w:cs="Times New Roman"/>
          <w:b/>
          <w:noProof/>
          <w:sz w:val="24"/>
          <w:szCs w:val="24"/>
        </w:rPr>
        <w:t>1 AD TA “Subject matter expert – eMARS Seveso reporting”. Objective</w:t>
      </w:r>
      <w:r w:rsidRPr="00297E98">
        <w:rPr>
          <w:rFonts w:ascii="Times New Roman" w:eastAsia="Calibri" w:hAnsi="Times New Roman" w:cs="Times New Roman"/>
          <w:bCs/>
          <w:noProof/>
          <w:sz w:val="24"/>
          <w:szCs w:val="24"/>
        </w:rPr>
        <w:t>: to lead the EEA activities relating to eMARS reporting redevelopment and ensure close links with other EEA activities on zero pollution and reporting streams under environment law on industrial emissions. It will fulfill the following tasks:</w:t>
      </w:r>
    </w:p>
    <w:p w14:paraId="7212BD2A" w14:textId="77777777" w:rsidR="000A7D9D" w:rsidRPr="00297E98" w:rsidRDefault="000A7D9D" w:rsidP="000A7D9D">
      <w:pPr>
        <w:numPr>
          <w:ilvl w:val="2"/>
          <w:numId w:val="106"/>
        </w:numPr>
        <w:spacing w:before="120" w:after="120" w:line="240" w:lineRule="auto"/>
        <w:ind w:left="1418"/>
        <w:contextualSpacing/>
        <w:jc w:val="both"/>
        <w:rPr>
          <w:rFonts w:ascii="Times New Roman" w:eastAsia="Calibri" w:hAnsi="Times New Roman" w:cs="Times New Roman"/>
          <w:bCs/>
          <w:noProof/>
          <w:sz w:val="24"/>
          <w:szCs w:val="24"/>
        </w:rPr>
      </w:pPr>
      <w:r w:rsidRPr="00297E98">
        <w:rPr>
          <w:rFonts w:ascii="Times New Roman" w:eastAsia="Calibri" w:hAnsi="Times New Roman" w:cs="Times New Roman"/>
          <w:noProof/>
          <w:sz w:val="24"/>
          <w:szCs w:val="24"/>
        </w:rPr>
        <w:t xml:space="preserve">Supervising the redevelopment of reporting tools by providing the necessary thematic (expert) perspective. Among others, the agent will ensure that the changes to the data model and XML schema (or design of new IT tool if necessary) comply with the reporting requirements and are fit for purpose, design and test automated and manual QA that is suitable for this dataflow, lead the update of the technical guidance and manual for reporters, including the interpretation of the legal requirements for their implementation into the data model, with support with IT expert and Member State support expert (see above). </w:t>
      </w:r>
    </w:p>
    <w:p w14:paraId="53EFE506"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CID 2014/895/EU would most likely need amendments and adapting to either the existing IT infrastructure or a tailored infrastructure compliant with the INSPIRE Directive and other requirements on data quality, security and transparency. The thematic expert will support the Commission in the identification of current and possible future requirements to design the data structure required in the future tools. The expert will also assist the Commission during the adoption of the proposed legal act through Committee deliberation. To ensure that the outcome is workable for the EEA, the expert will be involved as observer throughout the process to advise on consequences of the potential changes that the comitology process may bring.</w:t>
      </w:r>
    </w:p>
    <w:p w14:paraId="3531FF42"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During the redevelopment phase and beyond, capacity building and support to the reporters in countries to define the requirements of the tools, train them in their use and assist the interpretation of the requirements. </w:t>
      </w:r>
    </w:p>
    <w:p w14:paraId="5A1A45EA"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During the redevelopment phase, liaising with the European Commission services to support Member States when designing their reporting systems and tools, including agreeing ad-hoc adjustments relevant to each Member State’s reality. </w:t>
      </w:r>
    </w:p>
    <w:p w14:paraId="3CF91207"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During the redevelopment phase, liasing with the JRC as necessary on historical issues and topics that may be of relevance for the new tools. </w:t>
      </w:r>
    </w:p>
    <w:p w14:paraId="3A355F39"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Work is ongoing for the design of the Zero Pollution monitoring indicators framework and indicators for the Chemicals Strategy for Sustainability. The agent will participate in the process to assess how this dataflow can support and design possible indicators.</w:t>
      </w:r>
    </w:p>
    <w:p w14:paraId="2C92EEE4"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Adjustment of public-facing products (thematic perspective):</w:t>
      </w:r>
    </w:p>
    <w:p w14:paraId="1BE36ADC" w14:textId="77777777" w:rsidR="000A7D9D" w:rsidRPr="00297E98" w:rsidRDefault="000A7D9D" w:rsidP="000A7D9D">
      <w:pPr>
        <w:numPr>
          <w:ilvl w:val="3"/>
          <w:numId w:val="106"/>
        </w:numPr>
        <w:spacing w:before="40" w:after="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Generation of EU datasets.</w:t>
      </w:r>
    </w:p>
    <w:p w14:paraId="7E873F14" w14:textId="77777777" w:rsidR="000A7D9D" w:rsidRPr="00297E98" w:rsidRDefault="000A7D9D" w:rsidP="000A7D9D">
      <w:pPr>
        <w:numPr>
          <w:ilvl w:val="3"/>
          <w:numId w:val="106"/>
        </w:numPr>
        <w:spacing w:before="40" w:after="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European Industrial Emissions Portal.</w:t>
      </w:r>
    </w:p>
    <w:p w14:paraId="258BD535"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To ensure confidentiality, personal data protection and IT security standards are met given the sensitive character of these information exchanges and thus keeping systems at a state-of-the art level.</w:t>
      </w:r>
    </w:p>
    <w:p w14:paraId="007F1E4F" w14:textId="77777777" w:rsidR="000A7D9D" w:rsidRPr="00297E98" w:rsidRDefault="000A7D9D" w:rsidP="000A7D9D">
      <w:pPr>
        <w:numPr>
          <w:ilvl w:val="2"/>
          <w:numId w:val="106"/>
        </w:numPr>
        <w:spacing w:before="40" w:after="0" w:line="240" w:lineRule="auto"/>
        <w:ind w:left="1418"/>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To ensure a secure access and use of the data that are marked as confidential, in accordance with Article 4 of Directive 2003/4/EC</w:t>
      </w:r>
      <w:r w:rsidRPr="00297E98">
        <w:rPr>
          <w:rStyle w:val="FootnoteReference"/>
          <w:rFonts w:ascii="Times New Roman" w:eastAsia="Calibri" w:hAnsi="Times New Roman" w:cs="Times New Roman"/>
          <w:noProof/>
          <w:sz w:val="24"/>
          <w:szCs w:val="24"/>
        </w:rPr>
        <w:footnoteReference w:id="50"/>
      </w:r>
      <w:r w:rsidRPr="00297E98">
        <w:rPr>
          <w:rFonts w:ascii="Times New Roman" w:eastAsia="Calibri" w:hAnsi="Times New Roman" w:cs="Times New Roman"/>
          <w:noProof/>
          <w:sz w:val="24"/>
          <w:szCs w:val="24"/>
        </w:rPr>
        <w:t xml:space="preserve">. These data shall neither be publically available nor accessible (directly or indirectly). </w:t>
      </w:r>
    </w:p>
    <w:p w14:paraId="27BA7E30" w14:textId="77777777" w:rsidR="000A7D9D" w:rsidRPr="00297E98" w:rsidRDefault="000A7D9D" w:rsidP="000A7D9D">
      <w:pPr>
        <w:rPr>
          <w:rFonts w:ascii="Times New Roman" w:eastAsia="Calibri" w:hAnsi="Times New Roman" w:cs="Times New Roman"/>
          <w:b/>
          <w:noProof/>
          <w:sz w:val="24"/>
          <w:szCs w:val="24"/>
          <w:u w:val="single"/>
        </w:rPr>
      </w:pPr>
    </w:p>
    <w:p w14:paraId="3887C7D6" w14:textId="77777777" w:rsidR="000A7D9D" w:rsidRPr="00297E98" w:rsidRDefault="000A7D9D" w:rsidP="000A7D9D">
      <w:pPr>
        <w:rPr>
          <w:rFonts w:ascii="Times New Roman" w:eastAsia="Calibri" w:hAnsi="Times New Roman" w:cs="Times New Roman"/>
          <w:b/>
          <w:noProof/>
          <w:sz w:val="24"/>
          <w:szCs w:val="24"/>
          <w:u w:val="single"/>
          <w:lang w:val="en-IE"/>
        </w:rPr>
      </w:pPr>
      <w:r w:rsidRPr="00297E98">
        <w:rPr>
          <w:rFonts w:ascii="Times New Roman" w:eastAsia="Calibri" w:hAnsi="Times New Roman" w:cs="Times New Roman"/>
          <w:b/>
          <w:noProof/>
          <w:sz w:val="24"/>
          <w:szCs w:val="24"/>
          <w:u w:val="single"/>
          <w:lang w:val="en-IE"/>
        </w:rPr>
        <w:t>B/ After the redevelopment phase of eSPIRS and eMARS (2026 and beyond)</w:t>
      </w:r>
    </w:p>
    <w:p w14:paraId="4C0A3E43" w14:textId="77777777" w:rsidR="000A7D9D" w:rsidRPr="00297E98" w:rsidRDefault="000A7D9D" w:rsidP="000A7D9D">
      <w:pPr>
        <w:rPr>
          <w:rFonts w:ascii="Times New Roman" w:eastAsia="Calibri" w:hAnsi="Times New Roman" w:cs="Times New Roman"/>
          <w:b/>
          <w:noProof/>
          <w:sz w:val="24"/>
          <w:szCs w:val="24"/>
          <w:u w:val="single"/>
        </w:rPr>
      </w:pPr>
      <w:r w:rsidRPr="00297E98">
        <w:rPr>
          <w:rFonts w:ascii="Times New Roman" w:eastAsia="Calibri" w:hAnsi="Times New Roman" w:cs="Times New Roman"/>
          <w:b/>
          <w:noProof/>
          <w:sz w:val="24"/>
          <w:szCs w:val="24"/>
          <w:u w:val="single"/>
        </w:rPr>
        <w:t>IT Infrastructure</w:t>
      </w:r>
    </w:p>
    <w:p w14:paraId="40036682" w14:textId="77777777" w:rsidR="000A7D9D" w:rsidRPr="00297E98" w:rsidRDefault="000A7D9D" w:rsidP="000A7D9D">
      <w:pPr>
        <w:rPr>
          <w:rFonts w:ascii="Times New Roman" w:eastAsia="Calibri" w:hAnsi="Times New Roman" w:cs="Times New Roman"/>
          <w:noProof/>
          <w:sz w:val="24"/>
          <w:szCs w:val="24"/>
          <w:u w:val="single"/>
        </w:rPr>
      </w:pPr>
      <w:r w:rsidRPr="00297E98">
        <w:rPr>
          <w:rFonts w:ascii="Times New Roman" w:eastAsia="Calibri" w:hAnsi="Times New Roman" w:cs="Times New Roman"/>
          <w:noProof/>
          <w:sz w:val="24"/>
          <w:szCs w:val="24"/>
          <w:u w:val="single"/>
        </w:rPr>
        <w:t>Yearly cost:</w:t>
      </w:r>
    </w:p>
    <w:p w14:paraId="5D805EB8" w14:textId="77777777" w:rsidR="000A7D9D" w:rsidRPr="00297E98" w:rsidRDefault="000A7D9D" w:rsidP="000A7D9D">
      <w:pPr>
        <w:numPr>
          <w:ilvl w:val="0"/>
          <w:numId w:val="106"/>
        </w:numPr>
        <w:spacing w:before="120" w:after="120" w:line="240" w:lineRule="auto"/>
        <w:ind w:left="426"/>
        <w:contextualSpacing/>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The running costs of the two databases require 70 000 EUR per year (hosting of tools, maintenance of software, infrastructure and support for the quality assurance of data deliveries). </w:t>
      </w:r>
    </w:p>
    <w:p w14:paraId="20BE9C5A" w14:textId="77777777" w:rsidR="000A7D9D" w:rsidRPr="00297E98" w:rsidRDefault="000A7D9D" w:rsidP="000A7D9D">
      <w:pPr>
        <w:contextualSpacing/>
        <w:rPr>
          <w:rFonts w:ascii="Times New Roman" w:eastAsia="Calibri" w:hAnsi="Times New Roman" w:cs="Times New Roman"/>
          <w:noProof/>
          <w:sz w:val="24"/>
          <w:szCs w:val="24"/>
        </w:rPr>
      </w:pPr>
    </w:p>
    <w:p w14:paraId="4B80E490" w14:textId="77777777" w:rsidR="000A7D9D" w:rsidRPr="00297E98" w:rsidRDefault="000A7D9D" w:rsidP="000A7D9D">
      <w:pPr>
        <w:contextualSpacing/>
        <w:rPr>
          <w:rFonts w:ascii="Times New Roman" w:eastAsia="Calibri" w:hAnsi="Times New Roman" w:cs="Times New Roman"/>
          <w:b/>
          <w:noProof/>
          <w:sz w:val="24"/>
          <w:szCs w:val="24"/>
          <w:u w:val="single"/>
        </w:rPr>
      </w:pPr>
      <w:r w:rsidRPr="00297E98">
        <w:rPr>
          <w:rFonts w:ascii="Times New Roman" w:eastAsia="Calibri" w:hAnsi="Times New Roman" w:cs="Times New Roman"/>
          <w:b/>
          <w:noProof/>
          <w:sz w:val="24"/>
          <w:szCs w:val="24"/>
          <w:u w:val="single"/>
        </w:rPr>
        <w:t>Staff, 4 agents are needed from 2026 for the following roles:</w:t>
      </w:r>
    </w:p>
    <w:p w14:paraId="2ACD472C" w14:textId="77777777" w:rsidR="000A7D9D" w:rsidRPr="00297E98" w:rsidRDefault="000A7D9D" w:rsidP="000A7D9D">
      <w:pPr>
        <w:contextualSpacing/>
        <w:rPr>
          <w:rFonts w:ascii="Times New Roman" w:eastAsia="Calibri" w:hAnsi="Times New Roman" w:cs="Times New Roman"/>
          <w:noProof/>
          <w:sz w:val="24"/>
          <w:szCs w:val="24"/>
        </w:rPr>
      </w:pPr>
    </w:p>
    <w:p w14:paraId="20303B2D" w14:textId="77777777" w:rsidR="000A7D9D" w:rsidRPr="00297E98" w:rsidRDefault="000A7D9D" w:rsidP="000A7D9D">
      <w:pPr>
        <w:numPr>
          <w:ilvl w:val="0"/>
          <w:numId w:val="106"/>
        </w:numPr>
        <w:spacing w:before="120" w:after="120" w:line="240" w:lineRule="auto"/>
        <w:ind w:left="426"/>
        <w:contextualSpacing/>
        <w:jc w:val="both"/>
        <w:rPr>
          <w:rFonts w:ascii="Times New Roman" w:eastAsia="Calibri" w:hAnsi="Times New Roman" w:cs="Times New Roman"/>
          <w:noProof/>
          <w:sz w:val="24"/>
          <w:szCs w:val="24"/>
        </w:rPr>
      </w:pPr>
      <w:r w:rsidRPr="00297E98">
        <w:rPr>
          <w:rFonts w:ascii="Times New Roman" w:eastAsia="Calibri" w:hAnsi="Times New Roman" w:cs="Times New Roman"/>
          <w:b/>
          <w:noProof/>
          <w:sz w:val="24"/>
          <w:szCs w:val="24"/>
        </w:rPr>
        <w:t>IT staff agents :</w:t>
      </w:r>
      <w:r w:rsidRPr="00297E98">
        <w:rPr>
          <w:rFonts w:ascii="Times New Roman" w:eastAsia="Calibri" w:hAnsi="Times New Roman" w:cs="Times New Roman"/>
          <w:noProof/>
          <w:sz w:val="24"/>
          <w:szCs w:val="24"/>
        </w:rPr>
        <w:t xml:space="preserve"> thanks to the mutualisation of tasks related to the IT deployment, continuous improvment and support to Member States for the the future eSPIRS and eMARS databases, the need of staff is limited to one full-time equivalent </w:t>
      </w:r>
      <w:r w:rsidRPr="00297E98">
        <w:rPr>
          <w:rFonts w:ascii="Times New Roman" w:eastAsia="Calibri" w:hAnsi="Times New Roman" w:cs="Times New Roman"/>
          <w:noProof/>
          <w:sz w:val="24"/>
          <w:szCs w:val="24"/>
          <w:lang w:val="en-IE"/>
        </w:rPr>
        <w:t xml:space="preserve">temporary agent </w:t>
      </w:r>
      <w:r w:rsidRPr="00297E98">
        <w:rPr>
          <w:rFonts w:ascii="Times New Roman" w:eastAsia="Calibri" w:hAnsi="Times New Roman" w:cs="Times New Roman"/>
          <w:noProof/>
          <w:sz w:val="24"/>
          <w:szCs w:val="24"/>
        </w:rPr>
        <w:t xml:space="preserve">(AD TA) (average cost EUR 199 576/year) and one full-time equivalent </w:t>
      </w:r>
      <w:r w:rsidRPr="00297E98">
        <w:rPr>
          <w:rFonts w:ascii="Times New Roman" w:eastAsia="Calibri" w:hAnsi="Times New Roman" w:cs="Times New Roman"/>
          <w:noProof/>
          <w:sz w:val="24"/>
          <w:szCs w:val="24"/>
          <w:lang w:val="en-IE"/>
        </w:rPr>
        <w:t xml:space="preserve">contract agent </w:t>
      </w:r>
      <w:r w:rsidRPr="00297E98">
        <w:rPr>
          <w:rFonts w:ascii="Times New Roman" w:eastAsia="Calibri" w:hAnsi="Times New Roman" w:cs="Times New Roman"/>
          <w:noProof/>
          <w:sz w:val="24"/>
          <w:szCs w:val="24"/>
        </w:rPr>
        <w:t xml:space="preserve">staff (CA) (average cost EUR 107 666/year) at the EEA: </w:t>
      </w:r>
    </w:p>
    <w:p w14:paraId="755AFF2B" w14:textId="77777777" w:rsidR="000A7D9D" w:rsidRPr="00297E98" w:rsidRDefault="000A7D9D" w:rsidP="000A7D9D">
      <w:pPr>
        <w:numPr>
          <w:ilvl w:val="1"/>
          <w:numId w:val="106"/>
        </w:numPr>
        <w:spacing w:after="0" w:line="240" w:lineRule="auto"/>
        <w:ind w:left="851"/>
        <w:contextualSpacing/>
        <w:jc w:val="both"/>
        <w:rPr>
          <w:rFonts w:ascii="Times New Roman" w:eastAsia="Calibri" w:hAnsi="Times New Roman" w:cs="Times New Roman"/>
          <w:noProof/>
          <w:sz w:val="24"/>
          <w:szCs w:val="24"/>
        </w:rPr>
      </w:pPr>
      <w:r w:rsidRPr="00297E98">
        <w:rPr>
          <w:rFonts w:ascii="Times New Roman" w:eastAsia="Calibri" w:hAnsi="Times New Roman" w:cs="Times New Roman"/>
          <w:b/>
          <w:noProof/>
          <w:sz w:val="24"/>
          <w:szCs w:val="24"/>
        </w:rPr>
        <w:t>1 AD TA“IT expert – database systems development and maintenance ”. Objective</w:t>
      </w:r>
      <w:r w:rsidRPr="00297E98">
        <w:rPr>
          <w:rFonts w:ascii="Times New Roman" w:eastAsia="Calibri" w:hAnsi="Times New Roman" w:cs="Times New Roman"/>
          <w:bCs/>
          <w:noProof/>
          <w:sz w:val="24"/>
          <w:szCs w:val="24"/>
        </w:rPr>
        <w:t>: to support the implementation of short-term IT development priorities and long-term system maintenance. The agent will address all aspects relating to the IT dimensions of the reporting flows and the storage and use of the databases generated by this exchange of information between Member States and the EEA:</w:t>
      </w:r>
    </w:p>
    <w:p w14:paraId="3EFBFBF3" w14:textId="77777777" w:rsidR="000A7D9D" w:rsidRPr="00297E98" w:rsidRDefault="000A7D9D" w:rsidP="000A7D9D">
      <w:pPr>
        <w:numPr>
          <w:ilvl w:val="2"/>
          <w:numId w:val="106"/>
        </w:numPr>
        <w:spacing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IT support to Member States following the redevelopment phase: According to experience with the design and deployment of the EU registry of indutrial sites, a period of around two reporting cycles is needed for all countries to fully succeed in sending high-quality data. The IT speecialist’s role will be to incorporate possible changes/adjustments to the reporting tools if necessary, as well as provide technical support to possible IT queries from Member States. </w:t>
      </w:r>
    </w:p>
    <w:p w14:paraId="63FD5F55" w14:textId="77777777" w:rsidR="000A7D9D" w:rsidRPr="00297E98" w:rsidRDefault="000A7D9D" w:rsidP="000A7D9D">
      <w:pPr>
        <w:numPr>
          <w:ilvl w:val="2"/>
          <w:numId w:val="106"/>
        </w:numPr>
        <w:spacing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IT project management of improved tools and reporting system, ensuring alignment and complentarity with the existing EEA software used for the reporting of industrial information to the EU Registry on Industrial Sites. As part of the development and implementation of improvmements, the agent will lead on the following:</w:t>
      </w:r>
    </w:p>
    <w:p w14:paraId="0A3F39B7" w14:textId="77777777" w:rsidR="000A7D9D" w:rsidRPr="00297E98" w:rsidRDefault="000A7D9D" w:rsidP="000A7D9D">
      <w:pPr>
        <w:numPr>
          <w:ilvl w:val="3"/>
          <w:numId w:val="106"/>
        </w:numPr>
        <w:spacing w:after="0" w:line="240" w:lineRule="auto"/>
        <w:ind w:left="2127"/>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Identify improvements.</w:t>
      </w:r>
    </w:p>
    <w:p w14:paraId="3695E24B" w14:textId="77777777" w:rsidR="000A7D9D" w:rsidRPr="00297E98" w:rsidRDefault="000A7D9D" w:rsidP="000A7D9D">
      <w:pPr>
        <w:numPr>
          <w:ilvl w:val="3"/>
          <w:numId w:val="106"/>
        </w:numPr>
        <w:spacing w:after="0" w:line="240" w:lineRule="auto"/>
        <w:ind w:left="2127"/>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Update the data model. </w:t>
      </w:r>
    </w:p>
    <w:p w14:paraId="2F1735A8" w14:textId="77777777" w:rsidR="000A7D9D" w:rsidRPr="00297E98" w:rsidRDefault="000A7D9D" w:rsidP="000A7D9D">
      <w:pPr>
        <w:numPr>
          <w:ilvl w:val="3"/>
          <w:numId w:val="106"/>
        </w:numPr>
        <w:spacing w:after="0" w:line="240" w:lineRule="auto"/>
        <w:ind w:left="2127"/>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Support on update of the technical guidance.</w:t>
      </w:r>
    </w:p>
    <w:p w14:paraId="287242C7" w14:textId="77777777" w:rsidR="000A7D9D" w:rsidRPr="00297E98" w:rsidRDefault="000A7D9D" w:rsidP="000A7D9D">
      <w:pPr>
        <w:numPr>
          <w:ilvl w:val="3"/>
          <w:numId w:val="106"/>
        </w:numPr>
        <w:spacing w:after="0" w:line="240" w:lineRule="auto"/>
        <w:ind w:left="2127"/>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Integrate the improved data model across the reporting infrastracture. </w:t>
      </w:r>
    </w:p>
    <w:p w14:paraId="4278907A" w14:textId="77777777" w:rsidR="000A7D9D" w:rsidRPr="00297E98" w:rsidRDefault="000A7D9D" w:rsidP="000A7D9D">
      <w:pPr>
        <w:numPr>
          <w:ilvl w:val="3"/>
          <w:numId w:val="106"/>
        </w:numPr>
        <w:spacing w:after="0" w:line="240" w:lineRule="auto"/>
        <w:ind w:left="2127"/>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Support for the update of the manual for reporters.</w:t>
      </w:r>
    </w:p>
    <w:p w14:paraId="264B7D67" w14:textId="77777777" w:rsidR="000A7D9D" w:rsidRPr="00297E98" w:rsidRDefault="000A7D9D" w:rsidP="000A7D9D">
      <w:pPr>
        <w:numPr>
          <w:ilvl w:val="3"/>
          <w:numId w:val="106"/>
        </w:numPr>
        <w:spacing w:after="0" w:line="240" w:lineRule="auto"/>
        <w:ind w:left="2127"/>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Design and run tests for the future reporting tools. </w:t>
      </w:r>
    </w:p>
    <w:p w14:paraId="39168D2B" w14:textId="77777777" w:rsidR="000A7D9D" w:rsidRPr="00297E98" w:rsidRDefault="000A7D9D" w:rsidP="000A7D9D">
      <w:pPr>
        <w:numPr>
          <w:ilvl w:val="3"/>
          <w:numId w:val="106"/>
        </w:numPr>
        <w:spacing w:after="0" w:line="240" w:lineRule="auto"/>
        <w:ind w:left="2127"/>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Possible revisions/adjustments to the improved reporting tools. </w:t>
      </w:r>
    </w:p>
    <w:p w14:paraId="31327FAA" w14:textId="77777777" w:rsidR="000A7D9D" w:rsidRPr="00297E98" w:rsidRDefault="000A7D9D" w:rsidP="000A7D9D">
      <w:pPr>
        <w:ind w:left="3370"/>
        <w:rPr>
          <w:rFonts w:ascii="Times New Roman" w:eastAsia="Calibri" w:hAnsi="Times New Roman" w:cs="Times New Roman"/>
          <w:noProof/>
          <w:sz w:val="24"/>
          <w:szCs w:val="24"/>
        </w:rPr>
      </w:pPr>
    </w:p>
    <w:p w14:paraId="79587CD0" w14:textId="77777777" w:rsidR="000A7D9D" w:rsidRPr="00297E98" w:rsidRDefault="000A7D9D" w:rsidP="000A7D9D">
      <w:pPr>
        <w:numPr>
          <w:ilvl w:val="2"/>
          <w:numId w:val="106"/>
        </w:numPr>
        <w:spacing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Performing the internal EEA function of “data custodian” involving the maintenance of databases, developing and updating automated QA scripts, data harvesting scripts and IT dimensions of updating the website European Industrial Emission Portal.</w:t>
      </w:r>
    </w:p>
    <w:p w14:paraId="52B93285" w14:textId="77777777" w:rsidR="000A7D9D" w:rsidRPr="00297E98" w:rsidRDefault="000A7D9D" w:rsidP="000A7D9D">
      <w:pPr>
        <w:numPr>
          <w:ilvl w:val="2"/>
          <w:numId w:val="106"/>
        </w:numPr>
        <w:spacing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Ensuring that confidentiality, data protection and IT security protocols are maintained to the standards required by the EU Institutions.</w:t>
      </w:r>
    </w:p>
    <w:p w14:paraId="25D3F501" w14:textId="77777777" w:rsidR="000A7D9D" w:rsidRPr="00297E98" w:rsidRDefault="000A7D9D" w:rsidP="000A7D9D">
      <w:pPr>
        <w:numPr>
          <w:ilvl w:val="2"/>
          <w:numId w:val="106"/>
        </w:numPr>
        <w:spacing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Ensuring a secure access and use of the data that are marked as confidential, in accordance with Article 4 of Directive 2003/4/EC</w:t>
      </w:r>
      <w:r w:rsidRPr="00297E98">
        <w:rPr>
          <w:rFonts w:ascii="Times New Roman" w:eastAsia="Calibri" w:hAnsi="Times New Roman" w:cs="Times New Roman"/>
          <w:noProof/>
          <w:sz w:val="24"/>
          <w:szCs w:val="24"/>
          <w:vertAlign w:val="superscript"/>
        </w:rPr>
        <w:footnoteReference w:id="51"/>
      </w:r>
      <w:r w:rsidRPr="00297E98">
        <w:rPr>
          <w:rFonts w:ascii="Times New Roman" w:eastAsia="Calibri" w:hAnsi="Times New Roman" w:cs="Times New Roman"/>
          <w:noProof/>
          <w:sz w:val="24"/>
          <w:szCs w:val="24"/>
        </w:rPr>
        <w:t xml:space="preserve">. These data shall neither be publically available nor accessible (directly or indirectly). </w:t>
      </w:r>
    </w:p>
    <w:p w14:paraId="4F6AF54A" w14:textId="77777777" w:rsidR="000A7D9D" w:rsidRPr="00297E98" w:rsidRDefault="000A7D9D" w:rsidP="000A7D9D">
      <w:pPr>
        <w:ind w:left="2650"/>
        <w:rPr>
          <w:rFonts w:ascii="Times New Roman" w:eastAsia="Calibri" w:hAnsi="Times New Roman" w:cs="Times New Roman"/>
          <w:noProof/>
          <w:sz w:val="24"/>
          <w:szCs w:val="24"/>
        </w:rPr>
      </w:pPr>
    </w:p>
    <w:p w14:paraId="5550EE20" w14:textId="77777777" w:rsidR="000A7D9D" w:rsidRPr="00297E98" w:rsidRDefault="000A7D9D" w:rsidP="000A7D9D">
      <w:pPr>
        <w:numPr>
          <w:ilvl w:val="1"/>
          <w:numId w:val="106"/>
        </w:numPr>
        <w:spacing w:before="120" w:after="0" w:line="240" w:lineRule="auto"/>
        <w:ind w:left="851"/>
        <w:contextualSpacing/>
        <w:jc w:val="both"/>
        <w:rPr>
          <w:rFonts w:ascii="Times New Roman" w:eastAsia="Calibri" w:hAnsi="Times New Roman" w:cs="Times New Roman"/>
          <w:noProof/>
          <w:sz w:val="24"/>
          <w:szCs w:val="24"/>
        </w:rPr>
      </w:pPr>
      <w:r w:rsidRPr="00297E98">
        <w:rPr>
          <w:rFonts w:ascii="Times New Roman" w:eastAsia="Calibri" w:hAnsi="Times New Roman" w:cs="Times New Roman"/>
          <w:b/>
          <w:noProof/>
          <w:sz w:val="24"/>
          <w:szCs w:val="24"/>
        </w:rPr>
        <w:t>1 CA “Member State and stakeholder support”. Objective</w:t>
      </w:r>
      <w:r w:rsidRPr="00297E98">
        <w:rPr>
          <w:rFonts w:ascii="Times New Roman" w:eastAsia="Calibri" w:hAnsi="Times New Roman" w:cs="Times New Roman"/>
          <w:bCs/>
          <w:noProof/>
          <w:sz w:val="24"/>
          <w:szCs w:val="24"/>
        </w:rPr>
        <w:t xml:space="preserve">: to </w:t>
      </w:r>
      <w:r w:rsidRPr="00297E98">
        <w:rPr>
          <w:rFonts w:ascii="Times New Roman" w:eastAsia="Calibri" w:hAnsi="Times New Roman" w:cs="Times New Roman"/>
          <w:noProof/>
          <w:sz w:val="24"/>
          <w:szCs w:val="24"/>
        </w:rPr>
        <w:t>support Member States on the day-to-day proceedings of data submission, quality checking of systematic aspects and validation of submissions and other assitance functions to reporters and the general public. The agent would achieve the following tasks:</w:t>
      </w:r>
    </w:p>
    <w:p w14:paraId="1CCC1E17" w14:textId="77777777" w:rsidR="000A7D9D" w:rsidRPr="00297E98" w:rsidRDefault="000A7D9D" w:rsidP="000A7D9D">
      <w:pPr>
        <w:numPr>
          <w:ilvl w:val="2"/>
          <w:numId w:val="106"/>
        </w:numPr>
        <w:spacing w:after="0" w:line="240" w:lineRule="auto"/>
        <w:ind w:left="1276"/>
        <w:jc w:val="both"/>
        <w:rPr>
          <w:rFonts w:ascii="Times New Roman" w:eastAsia="Calibri" w:hAnsi="Times New Roman" w:cs="Times New Roman"/>
          <w:bCs/>
          <w:noProof/>
          <w:sz w:val="24"/>
          <w:szCs w:val="24"/>
        </w:rPr>
      </w:pPr>
      <w:r w:rsidRPr="00297E98">
        <w:rPr>
          <w:rFonts w:ascii="Times New Roman" w:eastAsia="Calibri" w:hAnsi="Times New Roman" w:cs="Times New Roman"/>
          <w:noProof/>
          <w:sz w:val="24"/>
          <w:szCs w:val="24"/>
        </w:rPr>
        <w:t xml:space="preserve">Performing the Seveso helpdesk function to assist Member States in their reporting. </w:t>
      </w:r>
    </w:p>
    <w:p w14:paraId="5DAB1160" w14:textId="77777777" w:rsidR="000A7D9D" w:rsidRPr="00297E98" w:rsidRDefault="000A7D9D" w:rsidP="000A7D9D">
      <w:pPr>
        <w:numPr>
          <w:ilvl w:val="2"/>
          <w:numId w:val="106"/>
        </w:numPr>
        <w:spacing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Complement automated quality checks by also manually checking reports before their harvesting into the master database to systematically ensure basic data quality.</w:t>
      </w:r>
    </w:p>
    <w:p w14:paraId="06C6727C" w14:textId="77777777" w:rsidR="000A7D9D" w:rsidRPr="00297E98" w:rsidRDefault="000A7D9D" w:rsidP="000A7D9D">
      <w:pPr>
        <w:numPr>
          <w:ilvl w:val="2"/>
          <w:numId w:val="106"/>
        </w:numPr>
        <w:spacing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Production of extracts and basic database analysis upon demand by the European Commission’s services, the Member States and other stakeholders.</w:t>
      </w:r>
    </w:p>
    <w:p w14:paraId="0622B406" w14:textId="77777777" w:rsidR="000A7D9D" w:rsidRPr="00297E98" w:rsidRDefault="000A7D9D" w:rsidP="000A7D9D">
      <w:pPr>
        <w:numPr>
          <w:ilvl w:val="2"/>
          <w:numId w:val="106"/>
        </w:numPr>
        <w:spacing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Assistance to feeding content from Seveso eSPIRS into the European Industrial Emission Portal through its Content Management System (CMS). </w:t>
      </w:r>
    </w:p>
    <w:p w14:paraId="7C610DC3" w14:textId="77777777" w:rsidR="000A7D9D" w:rsidRPr="00297E98" w:rsidRDefault="000A7D9D" w:rsidP="000A7D9D">
      <w:pPr>
        <w:numPr>
          <w:ilvl w:val="2"/>
          <w:numId w:val="106"/>
        </w:numPr>
        <w:spacing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Supporting publications and strategic communication, dissemination and outreach activities (webinars, web visibility) on its practical/technical aspects.</w:t>
      </w:r>
    </w:p>
    <w:p w14:paraId="3259EBE6" w14:textId="77777777" w:rsidR="000A7D9D" w:rsidRPr="00297E98" w:rsidRDefault="000A7D9D" w:rsidP="000A7D9D">
      <w:pPr>
        <w:rPr>
          <w:rFonts w:ascii="Times New Roman" w:eastAsia="Calibri" w:hAnsi="Times New Roman" w:cs="Times New Roman"/>
          <w:noProof/>
          <w:sz w:val="24"/>
          <w:szCs w:val="24"/>
        </w:rPr>
      </w:pPr>
    </w:p>
    <w:p w14:paraId="3EBBAC59" w14:textId="77777777" w:rsidR="000A7D9D" w:rsidRPr="00297E98" w:rsidRDefault="000A7D9D" w:rsidP="000A7D9D">
      <w:pPr>
        <w:pStyle w:val="ListParagraph"/>
        <w:numPr>
          <w:ilvl w:val="0"/>
          <w:numId w:val="106"/>
        </w:numPr>
        <w:spacing w:before="120" w:after="120"/>
        <w:ind w:left="426"/>
        <w:jc w:val="both"/>
        <w:rPr>
          <w:rFonts w:eastAsia="Calibri"/>
          <w:noProof/>
        </w:rPr>
      </w:pPr>
      <w:r w:rsidRPr="00297E98">
        <w:rPr>
          <w:rFonts w:eastAsia="Calibri"/>
          <w:b/>
          <w:noProof/>
          <w:u w:val="single"/>
        </w:rPr>
        <w:t xml:space="preserve">Thematic staff agents for </w:t>
      </w:r>
      <w:r w:rsidRPr="00297E98">
        <w:rPr>
          <w:rFonts w:eastAsia="Calibri"/>
          <w:b/>
          <w:noProof/>
          <w:u w:val="single"/>
          <w:lang w:val="en-IE"/>
        </w:rPr>
        <w:t>for eSPIRS and eMARS:</w:t>
      </w:r>
      <w:r w:rsidRPr="00297E98">
        <w:rPr>
          <w:rFonts w:eastAsia="Calibri"/>
          <w:noProof/>
          <w:lang w:val="en-IE"/>
        </w:rPr>
        <w:t xml:space="preserve"> 2</w:t>
      </w:r>
      <w:r w:rsidRPr="00297E98">
        <w:rPr>
          <w:rFonts w:eastAsia="Calibri"/>
          <w:noProof/>
        </w:rPr>
        <w:t xml:space="preserve"> full-time equivalent </w:t>
      </w:r>
      <w:r w:rsidRPr="00297E98">
        <w:rPr>
          <w:rFonts w:eastAsia="Calibri"/>
          <w:noProof/>
          <w:lang w:val="en-IE"/>
        </w:rPr>
        <w:t xml:space="preserve">temporary agents </w:t>
      </w:r>
      <w:r w:rsidRPr="00297E98">
        <w:rPr>
          <w:rFonts w:eastAsia="Calibri"/>
          <w:noProof/>
        </w:rPr>
        <w:t>(AD TA) at the EEA (average cost EUR 199 576/year) for the thematic and analytic tasks linked to eSPIRS and eMARS:</w:t>
      </w:r>
    </w:p>
    <w:p w14:paraId="40CFAB59" w14:textId="77777777" w:rsidR="000A7D9D" w:rsidRPr="00297E98" w:rsidRDefault="000A7D9D" w:rsidP="000A7D9D">
      <w:pPr>
        <w:pStyle w:val="ListParagraph"/>
        <w:numPr>
          <w:ilvl w:val="1"/>
          <w:numId w:val="106"/>
        </w:numPr>
        <w:spacing w:before="120" w:after="120"/>
        <w:ind w:left="851"/>
        <w:jc w:val="both"/>
        <w:rPr>
          <w:rFonts w:eastAsia="Calibri"/>
          <w:noProof/>
        </w:rPr>
      </w:pPr>
      <w:r w:rsidRPr="00297E98">
        <w:rPr>
          <w:rFonts w:eastAsia="Calibri"/>
          <w:b/>
          <w:noProof/>
        </w:rPr>
        <w:t>1 AD TA “Subject matter expert – eSPIRS Seveso reporting”. Objective</w:t>
      </w:r>
      <w:r w:rsidRPr="00297E98">
        <w:rPr>
          <w:rFonts w:eastAsia="Calibri"/>
          <w:bCs/>
          <w:noProof/>
        </w:rPr>
        <w:t>: to lead the EEA activities relating to eSPIRS  and ensure close links with other EEA activities on zero pollution and reporting streams under environment law on industrial emissions. It will fulfill the following tasks:</w:t>
      </w:r>
    </w:p>
    <w:p w14:paraId="79ED4713" w14:textId="77777777" w:rsidR="000A7D9D" w:rsidRPr="00297E98" w:rsidRDefault="000A7D9D" w:rsidP="000A7D9D">
      <w:pPr>
        <w:pStyle w:val="ListParagraph"/>
        <w:numPr>
          <w:ilvl w:val="2"/>
          <w:numId w:val="106"/>
        </w:numPr>
        <w:spacing w:before="120" w:after="120"/>
        <w:ind w:left="1276"/>
        <w:jc w:val="both"/>
        <w:rPr>
          <w:rFonts w:eastAsia="Calibri"/>
          <w:noProof/>
        </w:rPr>
      </w:pPr>
      <w:r w:rsidRPr="00297E98">
        <w:rPr>
          <w:rFonts w:eastAsia="Calibri"/>
          <w:noProof/>
        </w:rPr>
        <w:t xml:space="preserve">Overall coordination for the eSPIRS dataflow between Member States (function defined at the EEA as “reporters”) and the EEA (function defined in EEA as “data steward”). These duties include: </w:t>
      </w:r>
    </w:p>
    <w:p w14:paraId="1ECCAAA0" w14:textId="77777777" w:rsidR="000A7D9D" w:rsidRPr="00297E98" w:rsidRDefault="000A7D9D" w:rsidP="000A7D9D">
      <w:pPr>
        <w:pStyle w:val="ListParagraph"/>
        <w:numPr>
          <w:ilvl w:val="3"/>
          <w:numId w:val="106"/>
        </w:numPr>
        <w:spacing w:before="40"/>
        <w:ind w:left="1843"/>
        <w:jc w:val="both"/>
        <w:rPr>
          <w:rFonts w:eastAsia="Calibri"/>
          <w:noProof/>
        </w:rPr>
      </w:pPr>
      <w:r w:rsidRPr="00297E98">
        <w:rPr>
          <w:rFonts w:eastAsia="Calibri"/>
          <w:noProof/>
        </w:rPr>
        <w:t xml:space="preserve">Supervising the development of improvement on the eSPIRS reporting tools by providing the necessary thematic (expert) perspective. </w:t>
      </w:r>
    </w:p>
    <w:p w14:paraId="2CBA8661" w14:textId="77777777" w:rsidR="000A7D9D" w:rsidRPr="00297E98" w:rsidRDefault="000A7D9D" w:rsidP="000A7D9D">
      <w:pPr>
        <w:pStyle w:val="ListParagraph"/>
        <w:numPr>
          <w:ilvl w:val="3"/>
          <w:numId w:val="106"/>
        </w:numPr>
        <w:spacing w:before="40"/>
        <w:ind w:left="1843"/>
        <w:jc w:val="both"/>
        <w:rPr>
          <w:rFonts w:eastAsia="Calibri"/>
          <w:noProof/>
        </w:rPr>
      </w:pPr>
      <w:r w:rsidRPr="00297E98">
        <w:rPr>
          <w:rFonts w:eastAsia="Calibri"/>
          <w:noProof/>
        </w:rPr>
        <w:t>Capacity building and support to the reporters in countries.</w:t>
      </w:r>
    </w:p>
    <w:p w14:paraId="0AC2114E" w14:textId="77777777" w:rsidR="000A7D9D" w:rsidRPr="00297E98" w:rsidRDefault="000A7D9D" w:rsidP="000A7D9D">
      <w:pPr>
        <w:numPr>
          <w:ilvl w:val="3"/>
          <w:numId w:val="106"/>
        </w:numPr>
        <w:spacing w:before="40" w:after="0" w:line="240" w:lineRule="auto"/>
        <w:ind w:left="1843"/>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Quality assuring reports from countries. </w:t>
      </w:r>
    </w:p>
    <w:p w14:paraId="521E9D8C" w14:textId="77777777" w:rsidR="000A7D9D" w:rsidRPr="00297E98" w:rsidRDefault="000A7D9D" w:rsidP="000A7D9D">
      <w:pPr>
        <w:numPr>
          <w:ilvl w:val="2"/>
          <w:numId w:val="106"/>
        </w:numPr>
        <w:spacing w:before="40"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Analysing country data and the resulting European dataset to extract intelligence on the distribution of establishments relevant in terms of industrial accidents, cross-checking those with other aspects of industrial activities regulated by EU law (e.g. Industrial Emission Directive, greenhouse gas emission trading scheme). </w:t>
      </w:r>
    </w:p>
    <w:p w14:paraId="7B8EF73F" w14:textId="77777777" w:rsidR="000A7D9D" w:rsidRPr="00297E98" w:rsidRDefault="000A7D9D" w:rsidP="000A7D9D">
      <w:pPr>
        <w:numPr>
          <w:ilvl w:val="2"/>
          <w:numId w:val="106"/>
        </w:numPr>
        <w:spacing w:before="40"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Contributing to the dissemination of the reported information in the European Industrial Emission Portal, and ensuring relevant information is also used for assessment activities in line with the Agency’s support to the European Commission on Zero Pollution. </w:t>
      </w:r>
    </w:p>
    <w:p w14:paraId="36B0219A" w14:textId="77777777" w:rsidR="000A7D9D" w:rsidRPr="00297E98" w:rsidRDefault="000A7D9D" w:rsidP="000A7D9D">
      <w:pPr>
        <w:numPr>
          <w:ilvl w:val="2"/>
          <w:numId w:val="106"/>
        </w:numPr>
        <w:spacing w:before="40"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Liaising with the European Commission services and the Expert Groups and Committees relevant to the Seveso Directive.</w:t>
      </w:r>
    </w:p>
    <w:p w14:paraId="1E05D236" w14:textId="77777777" w:rsidR="000A7D9D" w:rsidRPr="00297E98" w:rsidRDefault="000A7D9D" w:rsidP="000A7D9D">
      <w:pPr>
        <w:numPr>
          <w:ilvl w:val="2"/>
          <w:numId w:val="106"/>
        </w:numPr>
        <w:spacing w:before="40"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Attending scientific meetings related to the subject matter and other networking activities that can contribute to the uptake and use of the reported information in relevant Fora. </w:t>
      </w:r>
    </w:p>
    <w:p w14:paraId="605E1D1C" w14:textId="77777777" w:rsidR="000A7D9D" w:rsidRPr="00297E98" w:rsidRDefault="000A7D9D" w:rsidP="000A7D9D">
      <w:pPr>
        <w:pStyle w:val="ListParagraph"/>
        <w:numPr>
          <w:ilvl w:val="1"/>
          <w:numId w:val="106"/>
        </w:numPr>
        <w:spacing w:before="120" w:after="120"/>
        <w:ind w:left="851"/>
        <w:jc w:val="both"/>
        <w:rPr>
          <w:rFonts w:eastAsia="Calibri"/>
          <w:bCs/>
          <w:noProof/>
        </w:rPr>
      </w:pPr>
      <w:r w:rsidRPr="00297E98">
        <w:rPr>
          <w:rFonts w:eastAsia="Calibri"/>
          <w:b/>
          <w:noProof/>
        </w:rPr>
        <w:t>1 AD TA “Subject matter expert – eMARS Seveso reporting”. Objective</w:t>
      </w:r>
      <w:r w:rsidRPr="00297E98">
        <w:rPr>
          <w:rFonts w:eastAsia="Calibri"/>
          <w:bCs/>
          <w:noProof/>
        </w:rPr>
        <w:t>: to lead the EEA activities relating to eMARS and ensure close links with other EEA activities on zero pollution and reporting streams under environment law on industrial emissions. It will fulfill the following tasks:</w:t>
      </w:r>
    </w:p>
    <w:p w14:paraId="158F9D8E" w14:textId="77777777" w:rsidR="000A7D9D" w:rsidRPr="00297E98" w:rsidRDefault="000A7D9D" w:rsidP="000A7D9D">
      <w:pPr>
        <w:pStyle w:val="ListParagraph"/>
        <w:numPr>
          <w:ilvl w:val="2"/>
          <w:numId w:val="106"/>
        </w:numPr>
        <w:spacing w:before="120" w:after="120"/>
        <w:ind w:left="1276"/>
        <w:jc w:val="both"/>
        <w:rPr>
          <w:rFonts w:eastAsia="Calibri"/>
          <w:bCs/>
          <w:noProof/>
        </w:rPr>
      </w:pPr>
      <w:r w:rsidRPr="00297E98">
        <w:rPr>
          <w:rFonts w:eastAsia="Calibri"/>
          <w:noProof/>
        </w:rPr>
        <w:t>Overall coordination for the eMARS dataflow between Member States (function defined at EEA as “reporters”), the JRC and the EEA (function defined in EEA as “data steward”). These duties include:</w:t>
      </w:r>
    </w:p>
    <w:p w14:paraId="419C1705" w14:textId="77777777" w:rsidR="000A7D9D" w:rsidRPr="00297E98" w:rsidRDefault="000A7D9D" w:rsidP="000A7D9D">
      <w:pPr>
        <w:numPr>
          <w:ilvl w:val="3"/>
          <w:numId w:val="106"/>
        </w:numPr>
        <w:spacing w:before="40" w:after="0" w:line="240" w:lineRule="auto"/>
        <w:ind w:left="1985"/>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Supervising the development of improvement on the eMARS reporting tools by providing the necessary thematic (expert) perspective. </w:t>
      </w:r>
    </w:p>
    <w:p w14:paraId="1C2BEAC4" w14:textId="77777777" w:rsidR="000A7D9D" w:rsidRPr="00297E98" w:rsidRDefault="000A7D9D" w:rsidP="000A7D9D">
      <w:pPr>
        <w:numPr>
          <w:ilvl w:val="3"/>
          <w:numId w:val="106"/>
        </w:numPr>
        <w:spacing w:before="40" w:after="0" w:line="240" w:lineRule="auto"/>
        <w:ind w:left="1985"/>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Capacity building and support to the reporters in countries to define the requirements of the improved tools, train them in their use and assist the interpretation of the requirements. </w:t>
      </w:r>
    </w:p>
    <w:p w14:paraId="5BDA33C6" w14:textId="77777777" w:rsidR="000A7D9D" w:rsidRPr="00297E98" w:rsidRDefault="000A7D9D" w:rsidP="000A7D9D">
      <w:pPr>
        <w:numPr>
          <w:ilvl w:val="3"/>
          <w:numId w:val="106"/>
        </w:numPr>
        <w:spacing w:before="40" w:after="0" w:line="240" w:lineRule="auto"/>
        <w:ind w:left="1985"/>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Quality assuring reports from countries. </w:t>
      </w:r>
    </w:p>
    <w:p w14:paraId="5D011336" w14:textId="77777777" w:rsidR="000A7D9D" w:rsidRPr="00297E98" w:rsidRDefault="000A7D9D" w:rsidP="000A7D9D">
      <w:pPr>
        <w:numPr>
          <w:ilvl w:val="2"/>
          <w:numId w:val="106"/>
        </w:numPr>
        <w:spacing w:before="40"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Analysing country data and the resulting European dataset to extract intelligence and lessons learned on industrial accidents covered by the Seveso Directive, cross-checking those with other aspects of industrial activities regulated by EU law (e.g. Industrial Emission Directive, greenhouse gas emission trading scheme) .</w:t>
      </w:r>
    </w:p>
    <w:p w14:paraId="0D4AE81F" w14:textId="77777777" w:rsidR="000A7D9D" w:rsidRPr="00297E98" w:rsidRDefault="000A7D9D" w:rsidP="000A7D9D">
      <w:pPr>
        <w:numPr>
          <w:ilvl w:val="2"/>
          <w:numId w:val="106"/>
        </w:numPr>
        <w:spacing w:before="40"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To follow up on reported accidents throught the life cycle of their cases, improving the information stored in the database until the conclusion of the case.</w:t>
      </w:r>
    </w:p>
    <w:p w14:paraId="0DB79726" w14:textId="77777777" w:rsidR="000A7D9D" w:rsidRPr="00297E98" w:rsidRDefault="000A7D9D" w:rsidP="000A7D9D">
      <w:pPr>
        <w:numPr>
          <w:ilvl w:val="2"/>
          <w:numId w:val="106"/>
        </w:numPr>
        <w:spacing w:before="40"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To ensure confidentiality, personal data protection and IT security standards are met given the sensitive character of these information exchanges and thus keeping systems at a state-of-the art level.</w:t>
      </w:r>
    </w:p>
    <w:p w14:paraId="572E54E2" w14:textId="77777777" w:rsidR="000A7D9D" w:rsidRPr="00297E98" w:rsidRDefault="000A7D9D" w:rsidP="000A7D9D">
      <w:pPr>
        <w:numPr>
          <w:ilvl w:val="2"/>
          <w:numId w:val="106"/>
        </w:numPr>
        <w:spacing w:before="40"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To ensure a secure access and use of the data that are marked as confidential, in accordance with Article 4 of Directive 2003/4/EC</w:t>
      </w:r>
      <w:r w:rsidRPr="00297E98">
        <w:rPr>
          <w:rFonts w:ascii="Times New Roman" w:eastAsia="Calibri" w:hAnsi="Times New Roman" w:cs="Times New Roman"/>
          <w:noProof/>
          <w:sz w:val="24"/>
          <w:szCs w:val="24"/>
          <w:vertAlign w:val="superscript"/>
        </w:rPr>
        <w:footnoteReference w:id="52"/>
      </w:r>
      <w:r w:rsidRPr="00297E98">
        <w:rPr>
          <w:rFonts w:ascii="Times New Roman" w:eastAsia="Calibri" w:hAnsi="Times New Roman" w:cs="Times New Roman"/>
          <w:noProof/>
          <w:sz w:val="24"/>
          <w:szCs w:val="24"/>
        </w:rPr>
        <w:t xml:space="preserve">. These data shall neither be publically available nor accessible (directly or indirectly). </w:t>
      </w:r>
    </w:p>
    <w:p w14:paraId="277B5844" w14:textId="77777777" w:rsidR="000A7D9D" w:rsidRPr="00297E98" w:rsidRDefault="000A7D9D" w:rsidP="000A7D9D">
      <w:pPr>
        <w:numPr>
          <w:ilvl w:val="2"/>
          <w:numId w:val="106"/>
        </w:numPr>
        <w:spacing w:before="40"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Contributing to the dissemination of the reported information in the European Industrial Emission Portal, and ensuring relevant information is also used for assessment activities in line with the Agency’s support to the European Commission on Zero Pollution. </w:t>
      </w:r>
    </w:p>
    <w:p w14:paraId="41F5ED56" w14:textId="77777777" w:rsidR="000A7D9D" w:rsidRPr="00297E98" w:rsidRDefault="000A7D9D" w:rsidP="000A7D9D">
      <w:pPr>
        <w:numPr>
          <w:ilvl w:val="2"/>
          <w:numId w:val="106"/>
        </w:numPr>
        <w:spacing w:before="40" w:after="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Liaising with the European Commission services and the Expert Groups and Committees relevant to the Seveso Directive.</w:t>
      </w:r>
    </w:p>
    <w:p w14:paraId="129EE4C5" w14:textId="77777777" w:rsidR="000A7D9D" w:rsidRPr="00297E98" w:rsidRDefault="000A7D9D" w:rsidP="000A7D9D">
      <w:pPr>
        <w:numPr>
          <w:ilvl w:val="2"/>
          <w:numId w:val="106"/>
        </w:numPr>
        <w:spacing w:before="40" w:after="120" w:line="240" w:lineRule="auto"/>
        <w:ind w:left="1276"/>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 xml:space="preserve">Attending scientific meetings related to the subject matter and other networking activities that can contribute to the uptake and use of the reported information in relevant Fora. </w:t>
      </w:r>
    </w:p>
    <w:p w14:paraId="74BB1BF3" w14:textId="77777777" w:rsidR="000A7D9D" w:rsidRPr="00297E98" w:rsidRDefault="000A7D9D" w:rsidP="000A7D9D">
      <w:pPr>
        <w:spacing w:after="120"/>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rPr>
        <w:t>Summary of additional resource needs for the Commission implementing decision (EU) 2022/1979 under the SEVESO directive:</w:t>
      </w:r>
    </w:p>
    <w:tbl>
      <w:tblPr>
        <w:tblStyle w:val="TableGrid"/>
        <w:tblW w:w="0" w:type="auto"/>
        <w:tblLook w:val="04A0" w:firstRow="1" w:lastRow="0" w:firstColumn="1" w:lastColumn="0" w:noHBand="0" w:noVBand="1"/>
      </w:tblPr>
      <w:tblGrid>
        <w:gridCol w:w="1245"/>
        <w:gridCol w:w="3712"/>
        <w:gridCol w:w="2392"/>
        <w:gridCol w:w="2280"/>
      </w:tblGrid>
      <w:tr w:rsidR="000A7D9D" w:rsidRPr="00C56424" w14:paraId="3F5F6EC6" w14:textId="77777777" w:rsidTr="00F31937">
        <w:trPr>
          <w:trHeight w:val="300"/>
        </w:trPr>
        <w:tc>
          <w:tcPr>
            <w:tcW w:w="1245" w:type="dxa"/>
            <w:shd w:val="clear" w:color="auto" w:fill="D9D9D9" w:themeFill="background1" w:themeFillShade="D9"/>
          </w:tcPr>
          <w:p w14:paraId="492C36EF"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712" w:type="dxa"/>
            <w:shd w:val="clear" w:color="auto" w:fill="D9D9D9" w:themeFill="background1" w:themeFillShade="D9"/>
          </w:tcPr>
          <w:p w14:paraId="404439D4"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2392" w:type="dxa"/>
            <w:shd w:val="clear" w:color="auto" w:fill="D9D9D9" w:themeFill="background1" w:themeFillShade="D9"/>
          </w:tcPr>
          <w:p w14:paraId="146B4D0A"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280" w:type="dxa"/>
            <w:shd w:val="clear" w:color="auto" w:fill="D9D9D9" w:themeFill="background1" w:themeFillShade="D9"/>
          </w:tcPr>
          <w:p w14:paraId="737735FF" w14:textId="77777777" w:rsidR="000A7D9D" w:rsidRPr="00C56424" w:rsidRDefault="000A7D9D" w:rsidP="00F31937">
            <w:pPr>
              <w:pStyle w:val="BodyText"/>
              <w:tabs>
                <w:tab w:val="left" w:pos="4170"/>
              </w:tabs>
              <w:spacing w:after="0"/>
              <w:rPr>
                <w:noProof/>
                <w:sz w:val="20"/>
                <w:szCs w:val="20"/>
              </w:rPr>
            </w:pPr>
          </w:p>
        </w:tc>
      </w:tr>
      <w:tr w:rsidR="000A7D9D" w:rsidRPr="00187DBF" w14:paraId="12A70E3B" w14:textId="77777777" w:rsidTr="00F31937">
        <w:trPr>
          <w:trHeight w:val="300"/>
        </w:trPr>
        <w:tc>
          <w:tcPr>
            <w:tcW w:w="1245" w:type="dxa"/>
            <w:vMerge w:val="restart"/>
            <w:shd w:val="clear" w:color="auto" w:fill="D9D9D9" w:themeFill="background1" w:themeFillShade="D9"/>
          </w:tcPr>
          <w:p w14:paraId="4B297493" w14:textId="77777777" w:rsidR="000A7D9D" w:rsidRPr="00C56424" w:rsidRDefault="000A7D9D" w:rsidP="00F31937">
            <w:pPr>
              <w:pStyle w:val="BodyText"/>
              <w:spacing w:line="259" w:lineRule="auto"/>
              <w:rPr>
                <w:noProof/>
                <w:sz w:val="20"/>
                <w:szCs w:val="20"/>
              </w:rPr>
            </w:pPr>
            <w:r w:rsidRPr="00C56424">
              <w:rPr>
                <w:noProof/>
                <w:sz w:val="20"/>
                <w:szCs w:val="20"/>
              </w:rPr>
              <w:t>EEA</w:t>
            </w:r>
          </w:p>
        </w:tc>
        <w:tc>
          <w:tcPr>
            <w:tcW w:w="3712" w:type="dxa"/>
            <w:vMerge w:val="restart"/>
            <w:shd w:val="clear" w:color="auto" w:fill="D9D9D9" w:themeFill="background1" w:themeFillShade="D9"/>
          </w:tcPr>
          <w:p w14:paraId="106A12A8" w14:textId="77777777" w:rsidR="000A7D9D" w:rsidRPr="00C56424" w:rsidRDefault="000A7D9D" w:rsidP="00F31937">
            <w:pPr>
              <w:spacing w:after="120"/>
              <w:rPr>
                <w:rFonts w:eastAsiaTheme="minorEastAsia"/>
                <w:noProof/>
              </w:rPr>
            </w:pPr>
            <w:r w:rsidRPr="00C56424">
              <w:rPr>
                <w:rFonts w:eastAsiaTheme="minorEastAsia"/>
                <w:noProof/>
              </w:rPr>
              <w:t>Operation of database of industrial plants falling under the scope of Seveso III Directive</w:t>
            </w:r>
          </w:p>
          <w:p w14:paraId="505A760C" w14:textId="77777777" w:rsidR="000A7D9D" w:rsidRPr="00C56424" w:rsidRDefault="000A7D9D" w:rsidP="00F31937">
            <w:pPr>
              <w:rPr>
                <w:rFonts w:asciiTheme="minorHAnsi" w:eastAsiaTheme="minorEastAsia" w:hAnsiTheme="minorHAnsi" w:cstheme="minorBidi"/>
                <w:noProof/>
              </w:rPr>
            </w:pPr>
            <w:r w:rsidRPr="00C56424">
              <w:rPr>
                <w:rFonts w:eastAsiaTheme="minorEastAsia"/>
                <w:noProof/>
              </w:rPr>
              <w:t>Operation of database of industrial major accidents</w:t>
            </w:r>
          </w:p>
        </w:tc>
        <w:tc>
          <w:tcPr>
            <w:tcW w:w="2392" w:type="dxa"/>
            <w:shd w:val="clear" w:color="auto" w:fill="D9D9D9" w:themeFill="background1" w:themeFillShade="D9"/>
          </w:tcPr>
          <w:p w14:paraId="396F7AFC"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280" w:type="dxa"/>
            <w:shd w:val="clear" w:color="auto" w:fill="D9D9D9" w:themeFill="background1" w:themeFillShade="D9"/>
          </w:tcPr>
          <w:p w14:paraId="04CDDA1C"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2023: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335 000</w:t>
            </w:r>
          </w:p>
          <w:p w14:paraId="68351F5D"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2024: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330 000</w:t>
            </w:r>
          </w:p>
          <w:p w14:paraId="59011FA8"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70 000</w:t>
            </w:r>
          </w:p>
          <w:p w14:paraId="1B2846F3"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2026: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70 000</w:t>
            </w:r>
          </w:p>
          <w:p w14:paraId="7336A6B9"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2027: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70 000</w:t>
            </w:r>
          </w:p>
        </w:tc>
      </w:tr>
      <w:tr w:rsidR="000A7D9D" w:rsidRPr="00C56424" w14:paraId="2731C5CE" w14:textId="77777777" w:rsidTr="00F31937">
        <w:trPr>
          <w:trHeight w:val="300"/>
        </w:trPr>
        <w:tc>
          <w:tcPr>
            <w:tcW w:w="1245" w:type="dxa"/>
            <w:vMerge/>
            <w:shd w:val="clear" w:color="auto" w:fill="D9D9D9" w:themeFill="background1" w:themeFillShade="D9"/>
          </w:tcPr>
          <w:p w14:paraId="2DD9AD33" w14:textId="77777777" w:rsidR="000A7D9D" w:rsidRPr="00C56424" w:rsidRDefault="000A7D9D" w:rsidP="00F31937">
            <w:pPr>
              <w:pStyle w:val="BodyText"/>
              <w:spacing w:line="259" w:lineRule="auto"/>
              <w:rPr>
                <w:noProof/>
                <w:sz w:val="20"/>
                <w:szCs w:val="20"/>
                <w:lang w:val="fr-BE"/>
              </w:rPr>
            </w:pPr>
          </w:p>
        </w:tc>
        <w:tc>
          <w:tcPr>
            <w:tcW w:w="3712" w:type="dxa"/>
            <w:vMerge/>
            <w:shd w:val="clear" w:color="auto" w:fill="D9D9D9" w:themeFill="background1" w:themeFillShade="D9"/>
          </w:tcPr>
          <w:p w14:paraId="12D6471C" w14:textId="77777777" w:rsidR="000A7D9D" w:rsidRPr="00C56424" w:rsidRDefault="000A7D9D" w:rsidP="00F31937">
            <w:pPr>
              <w:pStyle w:val="BodyText"/>
              <w:rPr>
                <w:noProof/>
                <w:sz w:val="20"/>
                <w:szCs w:val="20"/>
                <w:lang w:val="fr-BE"/>
              </w:rPr>
            </w:pPr>
          </w:p>
        </w:tc>
        <w:tc>
          <w:tcPr>
            <w:tcW w:w="2392" w:type="dxa"/>
            <w:shd w:val="clear" w:color="auto" w:fill="D9D9D9" w:themeFill="background1" w:themeFillShade="D9"/>
          </w:tcPr>
          <w:p w14:paraId="4172BEE2"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280" w:type="dxa"/>
            <w:shd w:val="clear" w:color="auto" w:fill="D9D9D9" w:themeFill="background1" w:themeFillShade="D9"/>
          </w:tcPr>
          <w:p w14:paraId="6A11C967"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2023: </w:t>
            </w:r>
            <w:r w:rsidRPr="00C56424">
              <w:rPr>
                <w:b/>
                <w:noProof/>
                <w:sz w:val="20"/>
                <w:szCs w:val="20"/>
                <w:lang w:val="pl-PL"/>
              </w:rPr>
              <w:t>3 TA, 1 CA</w:t>
            </w:r>
          </w:p>
          <w:p w14:paraId="47686470"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2024: </w:t>
            </w:r>
            <w:r w:rsidRPr="00C56424">
              <w:rPr>
                <w:b/>
                <w:noProof/>
                <w:sz w:val="20"/>
                <w:szCs w:val="20"/>
                <w:lang w:val="pl-PL"/>
              </w:rPr>
              <w:t>3 TA, 1 CA</w:t>
            </w:r>
          </w:p>
          <w:p w14:paraId="0AE1E55F"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2025: </w:t>
            </w:r>
            <w:r w:rsidRPr="00C56424">
              <w:rPr>
                <w:b/>
                <w:noProof/>
                <w:sz w:val="20"/>
                <w:szCs w:val="20"/>
                <w:lang w:val="pl-PL"/>
              </w:rPr>
              <w:t>3 TA, 1 CA</w:t>
            </w:r>
          </w:p>
          <w:p w14:paraId="17292855"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3 TA, 1 CA</w:t>
            </w:r>
          </w:p>
          <w:p w14:paraId="20FD0EE9"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3 TA, 1 CA</w:t>
            </w:r>
          </w:p>
        </w:tc>
      </w:tr>
    </w:tbl>
    <w:p w14:paraId="3B7E3C6A" w14:textId="77777777" w:rsidR="000A7D9D" w:rsidRPr="00297E98" w:rsidRDefault="000A7D9D" w:rsidP="000A7D9D">
      <w:pPr>
        <w:spacing w:before="120" w:after="120"/>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u w:val="single"/>
        </w:rPr>
        <w:t>Future budget line:</w:t>
      </w:r>
      <w:r w:rsidRPr="00297E98">
        <w:rPr>
          <w:rFonts w:ascii="Times New Roman" w:eastAsia="Calibri" w:hAnsi="Times New Roman" w:cs="Times New Roman"/>
          <w:noProof/>
          <w:sz w:val="24"/>
          <w:szCs w:val="24"/>
        </w:rPr>
        <w:t xml:space="preserve"> DG Environment </w:t>
      </w:r>
    </w:p>
    <w:p w14:paraId="74E07A68" w14:textId="77777777" w:rsidR="000A7D9D" w:rsidRPr="00297E98" w:rsidRDefault="000A7D9D" w:rsidP="000A7D9D">
      <w:pPr>
        <w:spacing w:before="40" w:after="120"/>
        <w:jc w:val="both"/>
        <w:rPr>
          <w:rFonts w:ascii="Times New Roman" w:eastAsia="Calibri" w:hAnsi="Times New Roman" w:cs="Times New Roman"/>
          <w:noProof/>
          <w:sz w:val="24"/>
          <w:szCs w:val="24"/>
        </w:rPr>
      </w:pPr>
      <w:r w:rsidRPr="00297E98">
        <w:rPr>
          <w:rFonts w:ascii="Times New Roman" w:eastAsia="Calibri" w:hAnsi="Times New Roman" w:cs="Times New Roman"/>
          <w:noProof/>
          <w:sz w:val="24"/>
          <w:szCs w:val="24"/>
          <w:u w:val="single"/>
        </w:rPr>
        <w:t>Candidate for fees:</w:t>
      </w:r>
      <w:r w:rsidRPr="00297E98">
        <w:rPr>
          <w:rFonts w:ascii="Times New Roman" w:eastAsia="Calibri" w:hAnsi="Times New Roman" w:cs="Times New Roman"/>
          <w:noProof/>
          <w:sz w:val="24"/>
          <w:szCs w:val="24"/>
        </w:rPr>
        <w:t xml:space="preserve"> No</w:t>
      </w:r>
    </w:p>
    <w:p w14:paraId="62C4E80F" w14:textId="77777777" w:rsidR="000A7D9D" w:rsidRPr="00E46DC1" w:rsidRDefault="000A7D9D" w:rsidP="000A7D9D">
      <w:pPr>
        <w:pStyle w:val="BodyText"/>
        <w:rPr>
          <w:noProof/>
        </w:rPr>
      </w:pPr>
    </w:p>
    <w:p w14:paraId="37076017"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40" w:name="_Toc150499924"/>
      <w:r w:rsidRPr="00291F95">
        <w:rPr>
          <w:rFonts w:ascii="Times New Roman" w:hAnsi="Times New Roman"/>
          <w:smallCaps/>
          <w:noProof/>
          <w:color w:val="auto"/>
          <w:sz w:val="24"/>
          <w:szCs w:val="20"/>
          <w:lang w:eastAsia="en-US"/>
        </w:rPr>
        <w:t>Batteries Regulation (</w:t>
      </w:r>
      <w:hyperlink r:id="rId69" w:history="1">
        <w:r w:rsidRPr="00291F95">
          <w:rPr>
            <w:rFonts w:ascii="Times New Roman" w:hAnsi="Times New Roman"/>
            <w:smallCaps/>
            <w:noProof/>
            <w:color w:val="auto"/>
            <w:sz w:val="24"/>
            <w:szCs w:val="20"/>
            <w:lang w:eastAsia="en-US"/>
          </w:rPr>
          <w:t>proposal</w:t>
        </w:r>
      </w:hyperlink>
      <w:r w:rsidRPr="00291F95">
        <w:rPr>
          <w:rFonts w:ascii="Times New Roman" w:hAnsi="Times New Roman"/>
          <w:smallCaps/>
          <w:noProof/>
          <w:color w:val="auto"/>
          <w:sz w:val="24"/>
          <w:szCs w:val="20"/>
          <w:lang w:eastAsia="en-US"/>
        </w:rPr>
        <w:t>)</w:t>
      </w:r>
      <w:bookmarkEnd w:id="40"/>
    </w:p>
    <w:p w14:paraId="30FE27A0" w14:textId="77777777" w:rsidR="000A7D9D" w:rsidRPr="00297E98" w:rsidRDefault="000A7D9D" w:rsidP="000A7D9D">
      <w:pPr>
        <w:spacing w:after="120"/>
        <w:rPr>
          <w:rFonts w:ascii="Times New Roman" w:hAnsi="Times New Roman" w:cs="Times New Roman"/>
          <w:b/>
          <w:bCs/>
          <w:noProof/>
          <w:sz w:val="24"/>
          <w:szCs w:val="24"/>
        </w:rPr>
      </w:pPr>
      <w:r w:rsidRPr="00297E98">
        <w:rPr>
          <w:rFonts w:ascii="Times New Roman" w:hAnsi="Times New Roman" w:cs="Times New Roman"/>
          <w:b/>
          <w:bCs/>
          <w:noProof/>
          <w:sz w:val="24"/>
          <w:szCs w:val="24"/>
        </w:rPr>
        <w:t>Responsible body:</w:t>
      </w:r>
    </w:p>
    <w:p w14:paraId="2142F3BA" w14:textId="77777777" w:rsidR="000A7D9D" w:rsidRPr="00297E98" w:rsidRDefault="000A7D9D" w:rsidP="000A7D9D">
      <w:pPr>
        <w:spacing w:after="120"/>
        <w:rPr>
          <w:rFonts w:ascii="Times New Roman" w:hAnsi="Times New Roman" w:cs="Times New Roman"/>
          <w:noProof/>
          <w:sz w:val="24"/>
          <w:szCs w:val="24"/>
        </w:rPr>
      </w:pPr>
      <w:r w:rsidRPr="00297E98">
        <w:rPr>
          <w:rFonts w:ascii="Times New Roman" w:hAnsi="Times New Roman" w:cs="Times New Roman"/>
          <w:noProof/>
          <w:sz w:val="24"/>
          <w:szCs w:val="24"/>
          <w:u w:val="single"/>
        </w:rPr>
        <w:t>Currently:</w:t>
      </w:r>
      <w:r w:rsidRPr="00297E98">
        <w:rPr>
          <w:rFonts w:ascii="Times New Roman" w:hAnsi="Times New Roman" w:cs="Times New Roman"/>
          <w:noProof/>
          <w:sz w:val="24"/>
          <w:szCs w:val="24"/>
        </w:rPr>
        <w:t xml:space="preserve"> N/A, no current process for hazardous substances</w:t>
      </w:r>
    </w:p>
    <w:p w14:paraId="208CEECE" w14:textId="77777777" w:rsidR="000A7D9D" w:rsidRPr="00297E98" w:rsidRDefault="000A7D9D" w:rsidP="000A7D9D">
      <w:pPr>
        <w:pStyle w:val="BodyText"/>
        <w:rPr>
          <w:b/>
          <w:bCs/>
          <w:noProof/>
        </w:rPr>
      </w:pPr>
      <w:r w:rsidRPr="00297E98">
        <w:rPr>
          <w:noProof/>
          <w:u w:val="single"/>
        </w:rPr>
        <w:t>(Re-)attribution planned to:</w:t>
      </w:r>
      <w:r w:rsidRPr="00297E98">
        <w:rPr>
          <w:noProof/>
        </w:rPr>
        <w:t xml:space="preserve"> ECHA</w:t>
      </w:r>
    </w:p>
    <w:p w14:paraId="59B20C35" w14:textId="77777777" w:rsidR="000A7D9D" w:rsidRPr="00297E98" w:rsidRDefault="000A7D9D" w:rsidP="000A7D9D">
      <w:pPr>
        <w:pStyle w:val="BodyText"/>
        <w:rPr>
          <w:noProof/>
        </w:rPr>
      </w:pPr>
      <w:r w:rsidRPr="00297E98">
        <w:rPr>
          <w:b/>
          <w:bCs/>
          <w:noProof/>
        </w:rPr>
        <w:t>Legal basis for reattribution:</w:t>
      </w:r>
      <w:r w:rsidRPr="00297E98">
        <w:rPr>
          <w:noProof/>
        </w:rPr>
        <w:t xml:space="preserve"> proposal for a Battery Regulation (revision of Battery Directive).</w:t>
      </w:r>
    </w:p>
    <w:p w14:paraId="1E8B3003" w14:textId="77777777" w:rsidR="000A7D9D" w:rsidRPr="00297E98" w:rsidRDefault="000A7D9D" w:rsidP="000A7D9D">
      <w:pPr>
        <w:pStyle w:val="BodyText"/>
        <w:rPr>
          <w:noProof/>
        </w:rPr>
      </w:pPr>
      <w:r w:rsidRPr="00297E98">
        <w:rPr>
          <w:b/>
          <w:bCs/>
          <w:noProof/>
        </w:rPr>
        <w:t xml:space="preserve">Type of task: </w:t>
      </w:r>
      <w:r w:rsidRPr="00297E98">
        <w:rPr>
          <w:noProof/>
        </w:rPr>
        <w:t>New</w:t>
      </w:r>
    </w:p>
    <w:p w14:paraId="5CBDA600" w14:textId="77777777" w:rsidR="000A7D9D" w:rsidRPr="00297E98" w:rsidRDefault="000A7D9D" w:rsidP="000A7D9D">
      <w:pPr>
        <w:pStyle w:val="BodyText"/>
        <w:jc w:val="both"/>
        <w:rPr>
          <w:noProof/>
        </w:rPr>
      </w:pPr>
      <w:r w:rsidRPr="00297E98">
        <w:rPr>
          <w:b/>
          <w:bCs/>
          <w:noProof/>
        </w:rPr>
        <w:t xml:space="preserve">Brief task overview: </w:t>
      </w:r>
      <w:r w:rsidRPr="00297E98">
        <w:rPr>
          <w:noProof/>
        </w:rPr>
        <w:t xml:space="preserve">Under the proposal for a new Batteries Regulation, a task to prepare, on the request of the Commission, a restriction dossiers for substances in batteries and for the RAC and SEAC committees to provide an opinion would be given to ECHA. In addition, ECHA would prepare a mapping study by 31/12/2026 on substances of concern present in batteries or used in their manufacturing, in order to assist the Commission to prepare such report to the European Parliament and Council by 31/12/2027. </w:t>
      </w:r>
    </w:p>
    <w:p w14:paraId="72962FB4" w14:textId="77777777" w:rsidR="000A7D9D" w:rsidRPr="00297E98" w:rsidRDefault="000A7D9D" w:rsidP="000A7D9D">
      <w:pPr>
        <w:pStyle w:val="BodyText"/>
        <w:jc w:val="both"/>
        <w:rPr>
          <w:noProof/>
        </w:rPr>
      </w:pPr>
      <w:r w:rsidRPr="00297E98">
        <w:rPr>
          <w:b/>
          <w:bCs/>
          <w:noProof/>
        </w:rPr>
        <w:t>Detailed process description:</w:t>
      </w:r>
    </w:p>
    <w:p w14:paraId="06B10734" w14:textId="77777777" w:rsidR="000A7D9D" w:rsidRPr="00297E98" w:rsidRDefault="000A7D9D" w:rsidP="000A7D9D">
      <w:pPr>
        <w:pStyle w:val="BodyText"/>
        <w:jc w:val="both"/>
        <w:rPr>
          <w:noProof/>
          <w:u w:val="single"/>
        </w:rPr>
      </w:pPr>
      <w:r w:rsidRPr="00297E98">
        <w:rPr>
          <w:noProof/>
          <w:u w:val="single"/>
        </w:rPr>
        <w:t>Current process:</w:t>
      </w:r>
      <w:r w:rsidRPr="00297E98">
        <w:rPr>
          <w:noProof/>
        </w:rPr>
        <w:t xml:space="preserve"> </w:t>
      </w:r>
    </w:p>
    <w:p w14:paraId="506DFE47" w14:textId="77777777" w:rsidR="000A7D9D" w:rsidRPr="00297E98" w:rsidRDefault="000A7D9D" w:rsidP="000A7D9D">
      <w:pPr>
        <w:pStyle w:val="BodyText"/>
        <w:jc w:val="both"/>
        <w:rPr>
          <w:noProof/>
        </w:rPr>
      </w:pPr>
      <w:r w:rsidRPr="00297E98">
        <w:rPr>
          <w:noProof/>
        </w:rPr>
        <w:t>N/A, no process exists at EU level</w:t>
      </w:r>
    </w:p>
    <w:p w14:paraId="26C0BFF6" w14:textId="77777777" w:rsidR="000A7D9D" w:rsidRPr="00297E98" w:rsidRDefault="000A7D9D" w:rsidP="000A7D9D">
      <w:pPr>
        <w:pStyle w:val="BodyText"/>
        <w:jc w:val="both"/>
        <w:rPr>
          <w:noProof/>
          <w:u w:val="single"/>
        </w:rPr>
      </w:pPr>
      <w:r w:rsidRPr="00297E98">
        <w:rPr>
          <w:noProof/>
          <w:u w:val="single"/>
        </w:rPr>
        <w:t>New process:</w:t>
      </w:r>
    </w:p>
    <w:p w14:paraId="4B9115DC" w14:textId="77777777" w:rsidR="000A7D9D" w:rsidRPr="00297E98" w:rsidRDefault="000A7D9D" w:rsidP="000A7D9D">
      <w:pPr>
        <w:pStyle w:val="BodyText"/>
        <w:widowControl w:val="0"/>
        <w:numPr>
          <w:ilvl w:val="0"/>
          <w:numId w:val="125"/>
        </w:numPr>
        <w:jc w:val="both"/>
        <w:rPr>
          <w:noProof/>
        </w:rPr>
      </w:pPr>
      <w:r w:rsidRPr="00297E98">
        <w:rPr>
          <w:noProof/>
        </w:rPr>
        <w:t xml:space="preserve">If the Commission considers that the use of a substance in the manufacture of batteries, or the presence of a substance in the batteries when they are placed on the market, or during their subsequent life cycle stages, including the waste phase, poses a risk to human health or the environment that is not adequately controlled and needs to be addressed on a Union-wide basis, it shall request the European Chemicals Agency (the ’Agency’) to prepare a dossier that conforms to the requirements of point (3) of Part II of Annex XV to Regulation (EC) No 1907/2006 (‘restriction dossier’). The restriction dossier shall include a socio-economic assessment, including an analysis of alternatives. </w:t>
      </w:r>
    </w:p>
    <w:p w14:paraId="18007C6E" w14:textId="77777777" w:rsidR="000A7D9D" w:rsidRPr="00297E98" w:rsidRDefault="000A7D9D" w:rsidP="000A7D9D">
      <w:pPr>
        <w:pStyle w:val="BodyText"/>
        <w:widowControl w:val="0"/>
        <w:numPr>
          <w:ilvl w:val="0"/>
          <w:numId w:val="125"/>
        </w:numPr>
        <w:jc w:val="both"/>
        <w:rPr>
          <w:noProof/>
        </w:rPr>
      </w:pPr>
      <w:r w:rsidRPr="00297E98">
        <w:rPr>
          <w:noProof/>
        </w:rPr>
        <w:t xml:space="preserve">The Agency shall publish without delay the intention of the Commission to initiate such restriction process life cycle for a substance, and shall inform stakeholders concerned. </w:t>
      </w:r>
    </w:p>
    <w:p w14:paraId="65B243D4" w14:textId="77777777" w:rsidR="000A7D9D" w:rsidRPr="00297E98" w:rsidRDefault="000A7D9D" w:rsidP="000A7D9D">
      <w:pPr>
        <w:pStyle w:val="BodyText"/>
        <w:widowControl w:val="0"/>
        <w:numPr>
          <w:ilvl w:val="0"/>
          <w:numId w:val="125"/>
        </w:numPr>
        <w:jc w:val="both"/>
        <w:rPr>
          <w:noProof/>
        </w:rPr>
      </w:pPr>
      <w:r w:rsidRPr="00297E98">
        <w:rPr>
          <w:noProof/>
        </w:rPr>
        <w:t xml:space="preserve">Within 12 months of the receipt of the request from the Commission in paragraph 1 and if the restriction dossier prepared by the Agency pursuant to that paragraph demonstrates that action is necessary on a Union-wide basis, the Agency shall suggest restrictions in order to initiate the restriction process described in paragraphs 4 to 14. </w:t>
      </w:r>
    </w:p>
    <w:p w14:paraId="02E0FAE1" w14:textId="77777777" w:rsidR="000A7D9D" w:rsidRPr="00297E98" w:rsidRDefault="000A7D9D" w:rsidP="000A7D9D">
      <w:pPr>
        <w:pStyle w:val="BodyText"/>
        <w:widowControl w:val="0"/>
        <w:numPr>
          <w:ilvl w:val="0"/>
          <w:numId w:val="125"/>
        </w:numPr>
        <w:jc w:val="both"/>
        <w:rPr>
          <w:noProof/>
        </w:rPr>
      </w:pPr>
      <w:r w:rsidRPr="00297E98">
        <w:rPr>
          <w:noProof/>
        </w:rPr>
        <w:t>The Agency shall make publicly available on its website the restriction dossier, including the restrictions suggested pursuant to paragraph 3, without delay, clearly indicating the date of publication. The Agency shall invite all interested parties to submit individually or jointly, within four months of the date of publication, comments on the restriction dossier.</w:t>
      </w:r>
    </w:p>
    <w:p w14:paraId="0C053B92" w14:textId="77777777" w:rsidR="000A7D9D" w:rsidRPr="00297E98" w:rsidRDefault="000A7D9D" w:rsidP="000A7D9D">
      <w:pPr>
        <w:pStyle w:val="BodyText"/>
        <w:widowControl w:val="0"/>
        <w:numPr>
          <w:ilvl w:val="0"/>
          <w:numId w:val="125"/>
        </w:numPr>
        <w:jc w:val="both"/>
        <w:rPr>
          <w:noProof/>
        </w:rPr>
      </w:pPr>
      <w:r w:rsidRPr="00297E98">
        <w:rPr>
          <w:noProof/>
        </w:rPr>
        <w:t>Within 12 months of the date of publication referred to in paragraph 4, the Committee for Risk Assessment (RAC), set up pursuant to Article 76(1)(c) of Regulation (EC) No 1907/2006, shall adopt an opinion as to whether the suggested restrictions are appropriate in reducing the risk to human health and/or the environment, based on its consideration of the relevant parts of the restriction dossier. This opinion shall take account of the restriction dossier prepared by the Agency at the request of the Commission, and the views of interested parties referred to in paragraph 4.</w:t>
      </w:r>
    </w:p>
    <w:p w14:paraId="3FCAFB80" w14:textId="77777777" w:rsidR="000A7D9D" w:rsidRPr="00297E98" w:rsidRDefault="000A7D9D" w:rsidP="000A7D9D">
      <w:pPr>
        <w:pStyle w:val="BodyText"/>
        <w:widowControl w:val="0"/>
        <w:numPr>
          <w:ilvl w:val="0"/>
          <w:numId w:val="125"/>
        </w:numPr>
        <w:jc w:val="both"/>
        <w:rPr>
          <w:noProof/>
        </w:rPr>
      </w:pPr>
      <w:r w:rsidRPr="00297E98">
        <w:rPr>
          <w:noProof/>
        </w:rPr>
        <w:t>Within 15 months of the date of publication referred to in paragraph 4, the Committee for Socio-economic Analysis (SEAC), set up pursuant to Article 76(1)(d) of Regulation (EC) No 1907/2006, shall adopt an opinion on the suggested restrictions, based on its consideration of the relevant parts of the dossier and the socio-economic impact. Prior to that, it shall prepare a draft opinion on the suggested restrictions and on the related socio-economic impact, taking account of the analyses or information according to paragraph 4, if there are any.</w:t>
      </w:r>
    </w:p>
    <w:p w14:paraId="691F3574" w14:textId="77777777" w:rsidR="000A7D9D" w:rsidRPr="00297E98" w:rsidRDefault="000A7D9D" w:rsidP="000A7D9D">
      <w:pPr>
        <w:pStyle w:val="BodyText"/>
        <w:widowControl w:val="0"/>
        <w:numPr>
          <w:ilvl w:val="0"/>
          <w:numId w:val="125"/>
        </w:numPr>
        <w:jc w:val="both"/>
        <w:rPr>
          <w:noProof/>
        </w:rPr>
      </w:pPr>
      <w:r w:rsidRPr="00297E98">
        <w:rPr>
          <w:noProof/>
        </w:rPr>
        <w:t>The Agency shall publish the draft opinion of the Committee for Socio-economic Analysis on its website without delay and invite interested parties to provide their comments on the draft opinion no later than 60 days from the publication of that draft opinion.</w:t>
      </w:r>
    </w:p>
    <w:p w14:paraId="6D529D7F" w14:textId="77777777" w:rsidR="000A7D9D" w:rsidRPr="00297E98" w:rsidRDefault="000A7D9D" w:rsidP="000A7D9D">
      <w:pPr>
        <w:pStyle w:val="BodyText"/>
        <w:widowControl w:val="0"/>
        <w:numPr>
          <w:ilvl w:val="0"/>
          <w:numId w:val="125"/>
        </w:numPr>
        <w:jc w:val="both"/>
        <w:rPr>
          <w:noProof/>
        </w:rPr>
      </w:pPr>
      <w:r w:rsidRPr="00297E98">
        <w:rPr>
          <w:noProof/>
        </w:rPr>
        <w:t>The Committee for Socio-economic Analysis shall without delay adopt its opinion, taking into account where appropriate further comments received by the deadline set in paragraph 7. This opinion shall take account of the comments of interested parties submitted under paragraphs 4 and 7.</w:t>
      </w:r>
    </w:p>
    <w:p w14:paraId="157102BB" w14:textId="77777777" w:rsidR="000A7D9D" w:rsidRPr="00297E98" w:rsidRDefault="000A7D9D" w:rsidP="000A7D9D">
      <w:pPr>
        <w:pStyle w:val="BodyText"/>
        <w:widowControl w:val="0"/>
        <w:numPr>
          <w:ilvl w:val="0"/>
          <w:numId w:val="125"/>
        </w:numPr>
        <w:jc w:val="both"/>
        <w:rPr>
          <w:noProof/>
        </w:rPr>
      </w:pPr>
      <w:r w:rsidRPr="00297E98">
        <w:rPr>
          <w:noProof/>
        </w:rPr>
        <w:t>Where the opinion of the Committee for Risk Assessment diverges significantly from the restrictions suggested, the Agency shall postpone the deadline for the opinion of the Committee for Socio-economic Analysis by a maximum of 90 days.</w:t>
      </w:r>
    </w:p>
    <w:p w14:paraId="2B82817F" w14:textId="77777777" w:rsidR="000A7D9D" w:rsidRPr="00297E98" w:rsidRDefault="000A7D9D" w:rsidP="000A7D9D">
      <w:pPr>
        <w:pStyle w:val="BodyText"/>
        <w:widowControl w:val="0"/>
        <w:numPr>
          <w:ilvl w:val="0"/>
          <w:numId w:val="125"/>
        </w:numPr>
        <w:jc w:val="both"/>
        <w:rPr>
          <w:noProof/>
        </w:rPr>
      </w:pPr>
      <w:r w:rsidRPr="00297E98">
        <w:rPr>
          <w:noProof/>
        </w:rPr>
        <w:t>The Agency shall submit to the Commission without delay the opinions of the Committees for Risk Assessment and Socio-economic Analysis on the restrictions suggested pursuant to the request made by the Commission under paragraph 1. Where the opinions of the Committees for Risk Assessment and Socio-economic Analysis diverge significantly from the restrictions suggested pursuant to paragraph 3, the Agency shall submit an explanatory note to the Commission providing a detailed explanation of the reasons for such differences. If one or both of the Committees do not adopt an opinion by the deadline set in paragraphs 5 and 6 the Agency shall inform the Commission accordingly, stating the reasons.</w:t>
      </w:r>
    </w:p>
    <w:p w14:paraId="48AEBC81" w14:textId="77777777" w:rsidR="000A7D9D" w:rsidRPr="00297E98" w:rsidRDefault="000A7D9D" w:rsidP="000A7D9D">
      <w:pPr>
        <w:pStyle w:val="BodyText"/>
        <w:widowControl w:val="0"/>
        <w:numPr>
          <w:ilvl w:val="0"/>
          <w:numId w:val="125"/>
        </w:numPr>
        <w:jc w:val="both"/>
        <w:rPr>
          <w:noProof/>
        </w:rPr>
      </w:pPr>
      <w:r w:rsidRPr="00297E98">
        <w:rPr>
          <w:noProof/>
        </w:rPr>
        <w:t>The Agency shall publish the opinions of the two Committees on its website without delay.</w:t>
      </w:r>
    </w:p>
    <w:p w14:paraId="728272C2" w14:textId="77777777" w:rsidR="000A7D9D" w:rsidRPr="00297E98" w:rsidRDefault="000A7D9D" w:rsidP="000A7D9D">
      <w:pPr>
        <w:pStyle w:val="BodyText"/>
        <w:widowControl w:val="0"/>
        <w:numPr>
          <w:ilvl w:val="0"/>
          <w:numId w:val="125"/>
        </w:numPr>
        <w:jc w:val="both"/>
        <w:rPr>
          <w:noProof/>
        </w:rPr>
      </w:pPr>
      <w:r w:rsidRPr="00297E98">
        <w:rPr>
          <w:noProof/>
        </w:rPr>
        <w:t>The Agency shall provide the Commission on request with all documents and evidence submitted to or considered by it.</w:t>
      </w:r>
    </w:p>
    <w:p w14:paraId="11796AC6" w14:textId="77777777" w:rsidR="000A7D9D" w:rsidRPr="00297E98" w:rsidRDefault="000A7D9D" w:rsidP="000A7D9D">
      <w:pPr>
        <w:pStyle w:val="BodyText"/>
        <w:widowControl w:val="0"/>
        <w:numPr>
          <w:ilvl w:val="0"/>
          <w:numId w:val="125"/>
        </w:numPr>
        <w:jc w:val="both"/>
        <w:rPr>
          <w:noProof/>
        </w:rPr>
      </w:pPr>
      <w:r w:rsidRPr="00297E98">
        <w:rPr>
          <w:noProof/>
        </w:rPr>
        <w:t>If the Commission concludes that the conditions laid down in Article 6(2) are fulfilled, it shall adopt a delegated act pursuant to Article 6(2). This delegated act shall be adopted without undue delay following the receipt of the opinion of the Committee for Socio-economic Analysis referred to in paragraph 8 or after the deadline set out under paragraphs 6 and 9, as applicable, if that Committee does not adopt an opinion.</w:t>
      </w:r>
    </w:p>
    <w:p w14:paraId="7A01EFCA" w14:textId="77777777" w:rsidR="000A7D9D" w:rsidRPr="00297E98" w:rsidRDefault="000A7D9D" w:rsidP="000A7D9D">
      <w:pPr>
        <w:pStyle w:val="BodyText"/>
        <w:widowControl w:val="0"/>
        <w:numPr>
          <w:ilvl w:val="0"/>
          <w:numId w:val="125"/>
        </w:numPr>
        <w:jc w:val="both"/>
        <w:rPr>
          <w:i/>
          <w:iCs/>
          <w:noProof/>
        </w:rPr>
      </w:pPr>
      <w:r w:rsidRPr="00297E98">
        <w:rPr>
          <w:noProof/>
        </w:rPr>
        <w:t>Where the Committees for Risk Assessment and Socio-economic Analysis provide an opinion pursuant to paragraphs 5 and 6, they shall make use of rapporteurs as specified in Article 87 of Regulation (EC) No 1907/2006. The rapporteurs or co-rapporteurs concerned, or their employer, shall be remunerated by the Agency in accordance with a scale of fees to be included in the financial arrangements related to restrictions established by the Management Board, set up pursuant to Article 76(1)(a) of Regulation (EC) No 1907/2006. Where the persons concerned fail to fulfil their duties, the Executive Director of the Agency has the right to terminate or suspend the contract or withhold remuneration</w:t>
      </w:r>
    </w:p>
    <w:p w14:paraId="37590BA0" w14:textId="77777777" w:rsidR="000A7D9D" w:rsidRPr="00297E98" w:rsidRDefault="000A7D9D" w:rsidP="000A7D9D">
      <w:pPr>
        <w:pStyle w:val="BodyText"/>
        <w:jc w:val="both"/>
        <w:rPr>
          <w:i/>
          <w:iCs/>
          <w:noProof/>
        </w:rPr>
      </w:pPr>
      <w:r w:rsidRPr="00297E98">
        <w:rPr>
          <w:b/>
          <w:bCs/>
          <w:noProof/>
        </w:rPr>
        <w:t xml:space="preserve">Proximity to ECHA mandate: </w:t>
      </w:r>
      <w:bookmarkStart w:id="41" w:name="_Hlk101906504"/>
      <w:bookmarkStart w:id="42" w:name="_Hlk101814591"/>
      <w:r w:rsidRPr="00297E98">
        <w:rPr>
          <w:noProof/>
        </w:rPr>
        <w:t xml:space="preserve">The battery restriction process, although not identical, is very similar to the REACH restriction process and the same scientific methodologies can be applied. The substances under scrutiny are the same or similar to those under REACH and REACH (and other ECHA) data and processes can be reused for battery restriction dossier development and opinion forming. ECHA holds the right competences to manage the battery restriction process, however, does not have sufficient information on the exact use of substances in batteries, which is to be remedied with a study to be commissioned. </w:t>
      </w:r>
      <w:bookmarkStart w:id="43" w:name="_Hlk106796653"/>
    </w:p>
    <w:bookmarkEnd w:id="41"/>
    <w:bookmarkEnd w:id="42"/>
    <w:p w14:paraId="6E1FBAAF" w14:textId="77777777" w:rsidR="000A7D9D" w:rsidRPr="00297E98" w:rsidRDefault="000A7D9D" w:rsidP="000A7D9D">
      <w:pPr>
        <w:pStyle w:val="BodyText"/>
        <w:rPr>
          <w:b/>
          <w:bCs/>
          <w:noProof/>
        </w:rPr>
      </w:pPr>
      <w:r w:rsidRPr="00297E98">
        <w:rPr>
          <w:b/>
          <w:bCs/>
          <w:noProof/>
        </w:rPr>
        <w:t>Projected synergies and added value of reattribution:</w:t>
      </w:r>
    </w:p>
    <w:tbl>
      <w:tblPr>
        <w:tblStyle w:val="TableGrid22"/>
        <w:tblW w:w="0" w:type="auto"/>
        <w:tblLook w:val="04A0" w:firstRow="1" w:lastRow="0" w:firstColumn="1" w:lastColumn="0" w:noHBand="0" w:noVBand="1"/>
      </w:tblPr>
      <w:tblGrid>
        <w:gridCol w:w="1656"/>
        <w:gridCol w:w="1896"/>
        <w:gridCol w:w="6077"/>
      </w:tblGrid>
      <w:tr w:rsidR="000A7D9D" w:rsidRPr="00297E98" w14:paraId="22A29079" w14:textId="77777777" w:rsidTr="00F31937">
        <w:tc>
          <w:tcPr>
            <w:tcW w:w="1656" w:type="dxa"/>
            <w:tcBorders>
              <w:top w:val="single" w:sz="4" w:space="0" w:color="auto"/>
              <w:left w:val="single" w:sz="4" w:space="0" w:color="auto"/>
              <w:bottom w:val="single" w:sz="4" w:space="0" w:color="auto"/>
              <w:right w:val="single" w:sz="4" w:space="0" w:color="auto"/>
            </w:tcBorders>
            <w:hideMark/>
          </w:tcPr>
          <w:p w14:paraId="5249C94E" w14:textId="77777777" w:rsidR="000A7D9D" w:rsidRPr="00297E98" w:rsidRDefault="000A7D9D" w:rsidP="00F31937">
            <w:pPr>
              <w:spacing w:before="120" w:after="120"/>
              <w:rPr>
                <w:rFonts w:ascii="Times New Roman" w:hAnsi="Times New Roman"/>
                <w:b/>
                <w:bCs/>
                <w:noProof/>
                <w:color w:val="0046AD"/>
                <w:sz w:val="24"/>
                <w:szCs w:val="24"/>
              </w:rPr>
            </w:pPr>
            <w:r w:rsidRPr="00297E98">
              <w:rPr>
                <w:rFonts w:ascii="Times New Roman" w:hAnsi="Times New Roman"/>
                <w:b/>
                <w:bCs/>
                <w:noProof/>
                <w:color w:val="0046AD"/>
                <w:sz w:val="24"/>
                <w:szCs w:val="24"/>
              </w:rPr>
              <w:t>Type</w:t>
            </w:r>
          </w:p>
        </w:tc>
        <w:tc>
          <w:tcPr>
            <w:tcW w:w="7973" w:type="dxa"/>
            <w:gridSpan w:val="2"/>
            <w:tcBorders>
              <w:top w:val="single" w:sz="4" w:space="0" w:color="auto"/>
              <w:left w:val="single" w:sz="4" w:space="0" w:color="auto"/>
              <w:bottom w:val="single" w:sz="4" w:space="0" w:color="auto"/>
              <w:right w:val="single" w:sz="4" w:space="0" w:color="auto"/>
            </w:tcBorders>
            <w:hideMark/>
          </w:tcPr>
          <w:p w14:paraId="73BC8761" w14:textId="77777777" w:rsidR="000A7D9D" w:rsidRPr="00297E98" w:rsidRDefault="000A7D9D" w:rsidP="00F31937">
            <w:pPr>
              <w:spacing w:before="120" w:after="120"/>
              <w:rPr>
                <w:rFonts w:ascii="Times New Roman" w:hAnsi="Times New Roman"/>
                <w:b/>
                <w:bCs/>
                <w:noProof/>
                <w:color w:val="0046AD"/>
                <w:sz w:val="24"/>
                <w:szCs w:val="24"/>
              </w:rPr>
            </w:pPr>
            <w:r w:rsidRPr="00297E98">
              <w:rPr>
                <w:rFonts w:ascii="Times New Roman" w:hAnsi="Times New Roman"/>
                <w:b/>
                <w:bCs/>
                <w:noProof/>
                <w:color w:val="0046AD"/>
                <w:sz w:val="24"/>
                <w:szCs w:val="24"/>
              </w:rPr>
              <w:t>Synergy</w:t>
            </w:r>
          </w:p>
        </w:tc>
      </w:tr>
      <w:tr w:rsidR="000A7D9D" w:rsidRPr="00297E98" w14:paraId="1A7FED36" w14:textId="77777777" w:rsidTr="00F31937">
        <w:tc>
          <w:tcPr>
            <w:tcW w:w="1656" w:type="dxa"/>
            <w:tcBorders>
              <w:top w:val="single" w:sz="4" w:space="0" w:color="auto"/>
              <w:left w:val="single" w:sz="4" w:space="0" w:color="auto"/>
              <w:bottom w:val="single" w:sz="4" w:space="0" w:color="auto"/>
              <w:right w:val="single" w:sz="4" w:space="0" w:color="auto"/>
            </w:tcBorders>
            <w:hideMark/>
          </w:tcPr>
          <w:p w14:paraId="518D2BBA" w14:textId="77777777" w:rsidR="000A7D9D" w:rsidRPr="00297E98" w:rsidRDefault="000A7D9D" w:rsidP="00F31937">
            <w:pPr>
              <w:spacing w:before="120" w:after="120"/>
              <w:rPr>
                <w:rFonts w:ascii="Times New Roman" w:hAnsi="Times New Roman"/>
                <w:b/>
                <w:bCs/>
                <w:noProof/>
                <w:color w:val="000000"/>
                <w:sz w:val="24"/>
                <w:szCs w:val="24"/>
              </w:rPr>
            </w:pPr>
            <w:r w:rsidRPr="00297E98">
              <w:rPr>
                <w:rFonts w:ascii="Times New Roman" w:hAnsi="Times New Roman"/>
                <w:b/>
                <w:bCs/>
                <w:noProof/>
                <w:color w:val="000000"/>
                <w:sz w:val="24"/>
                <w:szCs w:val="24"/>
              </w:rPr>
              <w:t>Reuse of capabilities</w:t>
            </w:r>
          </w:p>
        </w:tc>
        <w:tc>
          <w:tcPr>
            <w:tcW w:w="1896" w:type="dxa"/>
            <w:tcBorders>
              <w:top w:val="single" w:sz="4" w:space="0" w:color="auto"/>
              <w:left w:val="single" w:sz="4" w:space="0" w:color="auto"/>
              <w:bottom w:val="single" w:sz="4" w:space="0" w:color="auto"/>
              <w:right w:val="single" w:sz="4" w:space="0" w:color="auto"/>
            </w:tcBorders>
            <w:hideMark/>
          </w:tcPr>
          <w:p w14:paraId="2FD35A22"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High</w:t>
            </w:r>
          </w:p>
        </w:tc>
        <w:tc>
          <w:tcPr>
            <w:tcW w:w="6077" w:type="dxa"/>
            <w:tcBorders>
              <w:top w:val="single" w:sz="4" w:space="0" w:color="auto"/>
              <w:left w:val="single" w:sz="4" w:space="0" w:color="auto"/>
              <w:bottom w:val="single" w:sz="4" w:space="0" w:color="auto"/>
              <w:right w:val="single" w:sz="4" w:space="0" w:color="auto"/>
            </w:tcBorders>
            <w:hideMark/>
          </w:tcPr>
          <w:p w14:paraId="5A35A2D7"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Process and expertise: ECHA already supports similar work on substance restrictions under REACH and other legislation. Several key capacities can be reused/reinforced:</w:t>
            </w:r>
          </w:p>
          <w:p w14:paraId="56B4FFCD" w14:textId="77777777" w:rsidR="000A7D9D" w:rsidRPr="00297E98" w:rsidRDefault="000A7D9D" w:rsidP="000A7D9D">
            <w:pPr>
              <w:numPr>
                <w:ilvl w:val="0"/>
                <w:numId w:val="21"/>
              </w:numPr>
              <w:snapToGrid w:val="0"/>
              <w:ind w:left="720"/>
              <w:contextualSpacing/>
              <w:rPr>
                <w:rFonts w:ascii="Times New Roman" w:hAnsi="Times New Roman"/>
                <w:noProof/>
                <w:sz w:val="24"/>
                <w:szCs w:val="24"/>
              </w:rPr>
            </w:pPr>
            <w:r w:rsidRPr="00297E98">
              <w:rPr>
                <w:rFonts w:ascii="Times New Roman" w:hAnsi="Times New Roman"/>
                <w:noProof/>
                <w:sz w:val="24"/>
                <w:szCs w:val="24"/>
              </w:rPr>
              <w:t>Hazard, risk, exposure and socio-economic assessment</w:t>
            </w:r>
          </w:p>
          <w:p w14:paraId="78C63250" w14:textId="77777777" w:rsidR="000A7D9D" w:rsidRPr="00297E9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297E98">
              <w:rPr>
                <w:rFonts w:ascii="Times New Roman" w:hAnsi="Times New Roman"/>
                <w:noProof/>
                <w:sz w:val="24"/>
                <w:szCs w:val="24"/>
              </w:rPr>
              <w:t>Committee opinion development</w:t>
            </w:r>
          </w:p>
          <w:p w14:paraId="668514E8" w14:textId="77777777" w:rsidR="000A7D9D" w:rsidRPr="00297E9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297E98">
              <w:rPr>
                <w:rFonts w:ascii="Times New Roman" w:hAnsi="Times New Roman"/>
                <w:noProof/>
                <w:color w:val="000000" w:themeColor="text1"/>
                <w:sz w:val="24"/>
                <w:szCs w:val="24"/>
              </w:rPr>
              <w:t>Existing IT capabilities for authority dossier submission, stakeholder consultation and dissemination</w:t>
            </w:r>
          </w:p>
        </w:tc>
      </w:tr>
      <w:tr w:rsidR="000A7D9D" w:rsidRPr="00297E98" w14:paraId="4712E59E" w14:textId="77777777" w:rsidTr="00F31937">
        <w:tc>
          <w:tcPr>
            <w:tcW w:w="1656" w:type="dxa"/>
            <w:tcBorders>
              <w:top w:val="single" w:sz="4" w:space="0" w:color="auto"/>
              <w:left w:val="single" w:sz="4" w:space="0" w:color="auto"/>
              <w:bottom w:val="single" w:sz="4" w:space="0" w:color="auto"/>
              <w:right w:val="single" w:sz="4" w:space="0" w:color="auto"/>
            </w:tcBorders>
            <w:hideMark/>
          </w:tcPr>
          <w:p w14:paraId="38BBFDCB" w14:textId="77777777" w:rsidR="000A7D9D" w:rsidRPr="00297E98" w:rsidRDefault="000A7D9D" w:rsidP="00F31937">
            <w:pPr>
              <w:spacing w:before="120" w:after="120"/>
              <w:rPr>
                <w:rFonts w:ascii="Times New Roman" w:hAnsi="Times New Roman"/>
                <w:b/>
                <w:bCs/>
                <w:noProof/>
                <w:color w:val="000000"/>
                <w:sz w:val="24"/>
                <w:szCs w:val="24"/>
              </w:rPr>
            </w:pPr>
            <w:r w:rsidRPr="00297E98">
              <w:rPr>
                <w:rFonts w:ascii="Times New Roman" w:hAnsi="Times New Roman"/>
                <w:b/>
                <w:bCs/>
                <w:noProof/>
                <w:color w:val="000000"/>
                <w:sz w:val="24"/>
                <w:szCs w:val="24"/>
              </w:rPr>
              <w:t>Re-use of data</w:t>
            </w:r>
          </w:p>
        </w:tc>
        <w:tc>
          <w:tcPr>
            <w:tcW w:w="1896" w:type="dxa"/>
            <w:tcBorders>
              <w:top w:val="single" w:sz="4" w:space="0" w:color="auto"/>
              <w:left w:val="single" w:sz="4" w:space="0" w:color="auto"/>
              <w:bottom w:val="single" w:sz="4" w:space="0" w:color="auto"/>
              <w:right w:val="single" w:sz="4" w:space="0" w:color="auto"/>
            </w:tcBorders>
            <w:hideMark/>
          </w:tcPr>
          <w:p w14:paraId="1F043209"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Medium</w:t>
            </w:r>
          </w:p>
        </w:tc>
        <w:tc>
          <w:tcPr>
            <w:tcW w:w="6077" w:type="dxa"/>
            <w:tcBorders>
              <w:top w:val="single" w:sz="4" w:space="0" w:color="auto"/>
              <w:left w:val="single" w:sz="4" w:space="0" w:color="auto"/>
              <w:bottom w:val="single" w:sz="4" w:space="0" w:color="auto"/>
              <w:right w:val="single" w:sz="4" w:space="0" w:color="auto"/>
            </w:tcBorders>
            <w:hideMark/>
          </w:tcPr>
          <w:p w14:paraId="7F003C36"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Reuse of substance identification and hazard data collected under other chemical legislation. Currently low availability of data on substances in products and waste streams.</w:t>
            </w:r>
          </w:p>
        </w:tc>
      </w:tr>
      <w:tr w:rsidR="000A7D9D" w:rsidRPr="00297E98" w14:paraId="760A4C33" w14:textId="77777777" w:rsidTr="00F31937">
        <w:tc>
          <w:tcPr>
            <w:tcW w:w="1656" w:type="dxa"/>
            <w:tcBorders>
              <w:top w:val="single" w:sz="4" w:space="0" w:color="auto"/>
              <w:left w:val="single" w:sz="4" w:space="0" w:color="auto"/>
              <w:bottom w:val="single" w:sz="4" w:space="0" w:color="auto"/>
              <w:right w:val="single" w:sz="4" w:space="0" w:color="auto"/>
            </w:tcBorders>
            <w:hideMark/>
          </w:tcPr>
          <w:p w14:paraId="3AFFBDEF" w14:textId="77777777" w:rsidR="000A7D9D" w:rsidRPr="00297E98" w:rsidRDefault="000A7D9D" w:rsidP="00F31937">
            <w:pPr>
              <w:spacing w:before="120" w:after="120"/>
              <w:rPr>
                <w:rFonts w:ascii="Times New Roman" w:hAnsi="Times New Roman"/>
                <w:b/>
                <w:bCs/>
                <w:noProof/>
                <w:color w:val="000000"/>
                <w:sz w:val="24"/>
                <w:szCs w:val="24"/>
              </w:rPr>
            </w:pPr>
            <w:r w:rsidRPr="00297E98">
              <w:rPr>
                <w:rFonts w:ascii="Times New Roman" w:hAnsi="Times New Roman"/>
                <w:b/>
                <w:bCs/>
                <w:noProof/>
                <w:color w:val="000000"/>
                <w:sz w:val="24"/>
                <w:szCs w:val="24"/>
              </w:rPr>
              <w:t>Workload balancing</w:t>
            </w:r>
          </w:p>
        </w:tc>
        <w:tc>
          <w:tcPr>
            <w:tcW w:w="1896" w:type="dxa"/>
            <w:tcBorders>
              <w:top w:val="single" w:sz="4" w:space="0" w:color="auto"/>
              <w:left w:val="single" w:sz="4" w:space="0" w:color="auto"/>
              <w:bottom w:val="single" w:sz="4" w:space="0" w:color="auto"/>
              <w:right w:val="single" w:sz="4" w:space="0" w:color="auto"/>
            </w:tcBorders>
            <w:hideMark/>
          </w:tcPr>
          <w:p w14:paraId="00264402"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Medium</w:t>
            </w:r>
          </w:p>
        </w:tc>
        <w:tc>
          <w:tcPr>
            <w:tcW w:w="6077" w:type="dxa"/>
            <w:tcBorders>
              <w:top w:val="single" w:sz="4" w:space="0" w:color="auto"/>
              <w:left w:val="single" w:sz="4" w:space="0" w:color="auto"/>
              <w:bottom w:val="single" w:sz="4" w:space="0" w:color="auto"/>
              <w:right w:val="single" w:sz="4" w:space="0" w:color="auto"/>
            </w:tcBorders>
            <w:hideMark/>
          </w:tcPr>
          <w:p w14:paraId="570BAD75"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With an estimated workload of one new restriction every year, the workload of Agency experts and Committee experts can be spread and balanced over the years (although resource estimates are already annualised).</w:t>
            </w:r>
          </w:p>
        </w:tc>
      </w:tr>
      <w:tr w:rsidR="000A7D9D" w:rsidRPr="00297E98" w14:paraId="2E6F048A" w14:textId="77777777" w:rsidTr="00F31937">
        <w:tc>
          <w:tcPr>
            <w:tcW w:w="1656" w:type="dxa"/>
            <w:tcBorders>
              <w:top w:val="single" w:sz="4" w:space="0" w:color="auto"/>
              <w:left w:val="single" w:sz="4" w:space="0" w:color="auto"/>
              <w:bottom w:val="single" w:sz="4" w:space="0" w:color="auto"/>
              <w:right w:val="single" w:sz="4" w:space="0" w:color="auto"/>
            </w:tcBorders>
            <w:hideMark/>
          </w:tcPr>
          <w:p w14:paraId="041A41EF" w14:textId="77777777" w:rsidR="000A7D9D" w:rsidRPr="00297E98" w:rsidRDefault="000A7D9D" w:rsidP="00F31937">
            <w:pPr>
              <w:spacing w:before="120" w:after="120"/>
              <w:rPr>
                <w:rFonts w:ascii="Times New Roman" w:hAnsi="Times New Roman"/>
                <w:b/>
                <w:bCs/>
                <w:noProof/>
                <w:color w:val="000000"/>
                <w:sz w:val="24"/>
                <w:szCs w:val="24"/>
              </w:rPr>
            </w:pPr>
            <w:r w:rsidRPr="00297E98">
              <w:rPr>
                <w:rFonts w:ascii="Times New Roman" w:hAnsi="Times New Roman"/>
                <w:b/>
                <w:bCs/>
                <w:noProof/>
                <w:color w:val="000000"/>
                <w:sz w:val="24"/>
                <w:szCs w:val="24"/>
              </w:rPr>
              <w:t>IT tools: automation and economies of scale</w:t>
            </w:r>
          </w:p>
        </w:tc>
        <w:tc>
          <w:tcPr>
            <w:tcW w:w="1896" w:type="dxa"/>
            <w:tcBorders>
              <w:top w:val="single" w:sz="4" w:space="0" w:color="auto"/>
              <w:left w:val="single" w:sz="4" w:space="0" w:color="auto"/>
              <w:bottom w:val="single" w:sz="4" w:space="0" w:color="auto"/>
              <w:right w:val="single" w:sz="4" w:space="0" w:color="auto"/>
            </w:tcBorders>
            <w:hideMark/>
          </w:tcPr>
          <w:p w14:paraId="7E60159C"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High</w:t>
            </w:r>
          </w:p>
        </w:tc>
        <w:tc>
          <w:tcPr>
            <w:tcW w:w="6077" w:type="dxa"/>
            <w:tcBorders>
              <w:top w:val="single" w:sz="4" w:space="0" w:color="auto"/>
              <w:left w:val="single" w:sz="4" w:space="0" w:color="auto"/>
              <w:bottom w:val="single" w:sz="4" w:space="0" w:color="auto"/>
              <w:right w:val="single" w:sz="4" w:space="0" w:color="auto"/>
            </w:tcBorders>
            <w:hideMark/>
          </w:tcPr>
          <w:p w14:paraId="4729ECD2"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Reuse of IT capabilities for case management, public consultation, interaction with Member States, regulatory intentions management and data dissemination.</w:t>
            </w:r>
          </w:p>
        </w:tc>
      </w:tr>
      <w:tr w:rsidR="000A7D9D" w:rsidRPr="00297E98" w14:paraId="53E54F47" w14:textId="77777777" w:rsidTr="00F31937">
        <w:tc>
          <w:tcPr>
            <w:tcW w:w="1656" w:type="dxa"/>
            <w:tcBorders>
              <w:top w:val="single" w:sz="4" w:space="0" w:color="auto"/>
              <w:left w:val="single" w:sz="4" w:space="0" w:color="auto"/>
              <w:bottom w:val="single" w:sz="4" w:space="0" w:color="auto"/>
              <w:right w:val="single" w:sz="4" w:space="0" w:color="auto"/>
            </w:tcBorders>
            <w:hideMark/>
          </w:tcPr>
          <w:p w14:paraId="740DEA36" w14:textId="77777777" w:rsidR="000A7D9D" w:rsidRPr="00297E98" w:rsidRDefault="000A7D9D" w:rsidP="00F31937">
            <w:pPr>
              <w:spacing w:before="120" w:after="120"/>
              <w:rPr>
                <w:rFonts w:ascii="Times New Roman" w:hAnsi="Times New Roman"/>
                <w:b/>
                <w:bCs/>
                <w:noProof/>
                <w:color w:val="000000"/>
                <w:sz w:val="24"/>
                <w:szCs w:val="24"/>
              </w:rPr>
            </w:pPr>
            <w:r w:rsidRPr="00297E98">
              <w:rPr>
                <w:rFonts w:ascii="Times New Roman" w:hAnsi="Times New Roman"/>
                <w:b/>
                <w:bCs/>
                <w:noProof/>
                <w:color w:val="000000"/>
                <w:sz w:val="24"/>
                <w:szCs w:val="24"/>
              </w:rPr>
              <w:t>Support services: economies of scale</w:t>
            </w:r>
          </w:p>
        </w:tc>
        <w:tc>
          <w:tcPr>
            <w:tcW w:w="1896" w:type="dxa"/>
            <w:tcBorders>
              <w:top w:val="single" w:sz="4" w:space="0" w:color="auto"/>
              <w:left w:val="single" w:sz="4" w:space="0" w:color="auto"/>
              <w:bottom w:val="single" w:sz="4" w:space="0" w:color="auto"/>
              <w:right w:val="single" w:sz="4" w:space="0" w:color="auto"/>
            </w:tcBorders>
            <w:hideMark/>
          </w:tcPr>
          <w:p w14:paraId="54DF0FC7"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High</w:t>
            </w:r>
          </w:p>
        </w:tc>
        <w:tc>
          <w:tcPr>
            <w:tcW w:w="6077" w:type="dxa"/>
            <w:tcBorders>
              <w:top w:val="single" w:sz="4" w:space="0" w:color="auto"/>
              <w:left w:val="single" w:sz="4" w:space="0" w:color="auto"/>
              <w:bottom w:val="single" w:sz="4" w:space="0" w:color="auto"/>
              <w:right w:val="single" w:sz="4" w:space="0" w:color="auto"/>
            </w:tcBorders>
            <w:hideMark/>
          </w:tcPr>
          <w:p w14:paraId="0C6D305E"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Reuse of scientific support services (e.g. committee secretariat, prioritisation and grouping of substances, substance identification, data management and dissemination). Reuse of administrative services.</w:t>
            </w:r>
          </w:p>
        </w:tc>
      </w:tr>
    </w:tbl>
    <w:p w14:paraId="1F1F3B6D" w14:textId="77777777" w:rsidR="000A7D9D" w:rsidRPr="00297E98" w:rsidRDefault="000A7D9D" w:rsidP="000A7D9D">
      <w:pPr>
        <w:pStyle w:val="BodyText"/>
        <w:rPr>
          <w:noProof/>
          <w:u w:val="single"/>
        </w:rPr>
      </w:pPr>
    </w:p>
    <w:tbl>
      <w:tblPr>
        <w:tblStyle w:val="TableGrid23"/>
        <w:tblW w:w="0" w:type="auto"/>
        <w:tblLook w:val="04A0" w:firstRow="1" w:lastRow="0" w:firstColumn="1" w:lastColumn="0" w:noHBand="0" w:noVBand="1"/>
      </w:tblPr>
      <w:tblGrid>
        <w:gridCol w:w="1822"/>
        <w:gridCol w:w="1686"/>
        <w:gridCol w:w="6121"/>
      </w:tblGrid>
      <w:tr w:rsidR="000A7D9D" w:rsidRPr="00297E98" w14:paraId="583ADBF6"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0C3775E7" w14:textId="77777777" w:rsidR="000A7D9D" w:rsidRPr="00297E98" w:rsidRDefault="000A7D9D" w:rsidP="00F31937">
            <w:pPr>
              <w:spacing w:before="120" w:after="120"/>
              <w:rPr>
                <w:rFonts w:ascii="Times New Roman" w:hAnsi="Times New Roman"/>
                <w:b/>
                <w:bCs/>
                <w:noProof/>
                <w:color w:val="0046AD"/>
                <w:sz w:val="24"/>
                <w:szCs w:val="24"/>
              </w:rPr>
            </w:pPr>
            <w:r w:rsidRPr="00297E98">
              <w:rPr>
                <w:rFonts w:ascii="Times New Roman" w:hAnsi="Times New Roman"/>
                <w:b/>
                <w:bCs/>
                <w:noProof/>
                <w:color w:val="0046AD"/>
                <w:sz w:val="24"/>
                <w:szCs w:val="24"/>
              </w:rPr>
              <w:t>Type</w:t>
            </w:r>
          </w:p>
        </w:tc>
        <w:tc>
          <w:tcPr>
            <w:tcW w:w="7807" w:type="dxa"/>
            <w:gridSpan w:val="2"/>
            <w:tcBorders>
              <w:top w:val="single" w:sz="4" w:space="0" w:color="auto"/>
              <w:left w:val="single" w:sz="4" w:space="0" w:color="auto"/>
              <w:bottom w:val="single" w:sz="4" w:space="0" w:color="auto"/>
              <w:right w:val="single" w:sz="4" w:space="0" w:color="auto"/>
            </w:tcBorders>
            <w:hideMark/>
          </w:tcPr>
          <w:p w14:paraId="46B2E653" w14:textId="77777777" w:rsidR="000A7D9D" w:rsidRPr="00297E98" w:rsidRDefault="000A7D9D" w:rsidP="00F31937">
            <w:pPr>
              <w:spacing w:before="120" w:after="120"/>
              <w:rPr>
                <w:rFonts w:ascii="Times New Roman" w:hAnsi="Times New Roman"/>
                <w:b/>
                <w:bCs/>
                <w:noProof/>
                <w:color w:val="0046AD"/>
                <w:sz w:val="24"/>
                <w:szCs w:val="24"/>
              </w:rPr>
            </w:pPr>
            <w:r w:rsidRPr="00297E98">
              <w:rPr>
                <w:rFonts w:ascii="Times New Roman" w:hAnsi="Times New Roman"/>
                <w:b/>
                <w:bCs/>
                <w:noProof/>
                <w:color w:val="0046AD"/>
                <w:sz w:val="24"/>
                <w:szCs w:val="24"/>
              </w:rPr>
              <w:t>Added value</w:t>
            </w:r>
          </w:p>
        </w:tc>
      </w:tr>
      <w:tr w:rsidR="000A7D9D" w:rsidRPr="00297E98" w14:paraId="03526DB3"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65155617" w14:textId="77777777" w:rsidR="000A7D9D" w:rsidRPr="00297E98" w:rsidRDefault="000A7D9D" w:rsidP="00F31937">
            <w:pPr>
              <w:spacing w:before="120" w:after="120"/>
              <w:rPr>
                <w:rFonts w:ascii="Times New Roman" w:hAnsi="Times New Roman"/>
                <w:b/>
                <w:bCs/>
                <w:noProof/>
                <w:color w:val="000000"/>
                <w:sz w:val="24"/>
                <w:szCs w:val="24"/>
              </w:rPr>
            </w:pPr>
            <w:r w:rsidRPr="00297E98">
              <w:rPr>
                <w:rFonts w:ascii="Times New Roman" w:hAnsi="Times New Roman"/>
                <w:b/>
                <w:bCs/>
                <w:noProof/>
                <w:color w:val="000000"/>
                <w:sz w:val="24"/>
                <w:szCs w:val="24"/>
              </w:rPr>
              <w:t>Scientific consistency</w:t>
            </w:r>
          </w:p>
        </w:tc>
        <w:tc>
          <w:tcPr>
            <w:tcW w:w="1686" w:type="dxa"/>
            <w:tcBorders>
              <w:top w:val="single" w:sz="4" w:space="0" w:color="auto"/>
              <w:left w:val="single" w:sz="4" w:space="0" w:color="auto"/>
              <w:bottom w:val="single" w:sz="4" w:space="0" w:color="auto"/>
              <w:right w:val="single" w:sz="4" w:space="0" w:color="auto"/>
            </w:tcBorders>
            <w:hideMark/>
          </w:tcPr>
          <w:p w14:paraId="7E949581"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High</w:t>
            </w:r>
          </w:p>
        </w:tc>
        <w:tc>
          <w:tcPr>
            <w:tcW w:w="6121" w:type="dxa"/>
            <w:tcBorders>
              <w:top w:val="single" w:sz="4" w:space="0" w:color="auto"/>
              <w:left w:val="single" w:sz="4" w:space="0" w:color="auto"/>
              <w:bottom w:val="single" w:sz="4" w:space="0" w:color="auto"/>
              <w:right w:val="single" w:sz="4" w:space="0" w:color="auto"/>
            </w:tcBorders>
            <w:hideMark/>
          </w:tcPr>
          <w:p w14:paraId="25387E4F"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Opportunity to align priority setting, timeline, process and methodology with other related legislation to improve coherence in the scientific advice provided to the Commission. Reuse of assessment insights developed under other chemical legislation.</w:t>
            </w:r>
          </w:p>
        </w:tc>
      </w:tr>
      <w:tr w:rsidR="000A7D9D" w:rsidRPr="00297E98" w14:paraId="7FE77224"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0C472D12" w14:textId="77777777" w:rsidR="000A7D9D" w:rsidRPr="00297E98" w:rsidRDefault="000A7D9D" w:rsidP="00F31937">
            <w:pPr>
              <w:spacing w:before="120" w:after="120"/>
              <w:rPr>
                <w:rFonts w:ascii="Times New Roman" w:hAnsi="Times New Roman"/>
                <w:b/>
                <w:bCs/>
                <w:noProof/>
                <w:color w:val="000000"/>
                <w:sz w:val="24"/>
                <w:szCs w:val="24"/>
              </w:rPr>
            </w:pPr>
            <w:r w:rsidRPr="00297E98">
              <w:rPr>
                <w:rFonts w:ascii="Times New Roman" w:hAnsi="Times New Roman"/>
                <w:b/>
                <w:bCs/>
                <w:noProof/>
                <w:color w:val="000000"/>
                <w:sz w:val="24"/>
                <w:szCs w:val="24"/>
              </w:rPr>
              <w:t>Robustness of assessment and acceptance</w:t>
            </w:r>
          </w:p>
        </w:tc>
        <w:tc>
          <w:tcPr>
            <w:tcW w:w="1686" w:type="dxa"/>
            <w:tcBorders>
              <w:top w:val="single" w:sz="4" w:space="0" w:color="auto"/>
              <w:left w:val="single" w:sz="4" w:space="0" w:color="auto"/>
              <w:bottom w:val="single" w:sz="4" w:space="0" w:color="auto"/>
              <w:right w:val="single" w:sz="4" w:space="0" w:color="auto"/>
            </w:tcBorders>
            <w:hideMark/>
          </w:tcPr>
          <w:p w14:paraId="2198B222"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High</w:t>
            </w:r>
          </w:p>
        </w:tc>
        <w:tc>
          <w:tcPr>
            <w:tcW w:w="6121" w:type="dxa"/>
            <w:tcBorders>
              <w:top w:val="single" w:sz="4" w:space="0" w:color="auto"/>
              <w:left w:val="single" w:sz="4" w:space="0" w:color="auto"/>
              <w:bottom w:val="single" w:sz="4" w:space="0" w:color="auto"/>
              <w:right w:val="single" w:sz="4" w:space="0" w:color="auto"/>
            </w:tcBorders>
            <w:hideMark/>
          </w:tcPr>
          <w:p w14:paraId="79F67B5C" w14:textId="77777777" w:rsidR="000A7D9D" w:rsidRPr="00297E98" w:rsidRDefault="000A7D9D" w:rsidP="00F31937">
            <w:pPr>
              <w:spacing w:before="120" w:after="120"/>
              <w:rPr>
                <w:rFonts w:ascii="Times New Roman" w:hAnsi="Times New Roman"/>
                <w:i/>
                <w:iCs/>
                <w:noProof/>
                <w:sz w:val="24"/>
                <w:szCs w:val="24"/>
              </w:rPr>
            </w:pPr>
            <w:r w:rsidRPr="00297E98">
              <w:rPr>
                <w:rFonts w:ascii="Times New Roman" w:hAnsi="Times New Roman"/>
                <w:noProof/>
                <w:color w:val="000000"/>
                <w:sz w:val="24"/>
                <w:szCs w:val="24"/>
              </w:rPr>
              <w:t>Centralising the scientific assessments on chemicals in one EU agency and stricter separation between policy and scientific advice adds more scientific robustness to the process.</w:t>
            </w:r>
          </w:p>
        </w:tc>
      </w:tr>
      <w:tr w:rsidR="000A7D9D" w:rsidRPr="00297E98" w14:paraId="07B925FA"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6D12BF18" w14:textId="77777777" w:rsidR="000A7D9D" w:rsidRPr="00297E98" w:rsidRDefault="000A7D9D" w:rsidP="00F31937">
            <w:pPr>
              <w:spacing w:before="120" w:after="120"/>
              <w:rPr>
                <w:rFonts w:ascii="Times New Roman" w:hAnsi="Times New Roman"/>
                <w:b/>
                <w:bCs/>
                <w:noProof/>
                <w:color w:val="000000"/>
                <w:sz w:val="24"/>
                <w:szCs w:val="24"/>
              </w:rPr>
            </w:pPr>
            <w:r w:rsidRPr="00297E98">
              <w:rPr>
                <w:rFonts w:ascii="Times New Roman" w:hAnsi="Times New Roman"/>
                <w:b/>
                <w:bCs/>
                <w:noProof/>
                <w:color w:val="000000"/>
                <w:sz w:val="24"/>
                <w:szCs w:val="24"/>
              </w:rPr>
              <w:t>Independence</w:t>
            </w:r>
          </w:p>
        </w:tc>
        <w:tc>
          <w:tcPr>
            <w:tcW w:w="1686" w:type="dxa"/>
            <w:tcBorders>
              <w:top w:val="single" w:sz="4" w:space="0" w:color="auto"/>
              <w:left w:val="single" w:sz="4" w:space="0" w:color="auto"/>
              <w:bottom w:val="single" w:sz="4" w:space="0" w:color="auto"/>
              <w:right w:val="single" w:sz="4" w:space="0" w:color="auto"/>
            </w:tcBorders>
            <w:hideMark/>
          </w:tcPr>
          <w:p w14:paraId="0339EAD7"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High</w:t>
            </w:r>
          </w:p>
        </w:tc>
        <w:tc>
          <w:tcPr>
            <w:tcW w:w="6121" w:type="dxa"/>
            <w:tcBorders>
              <w:top w:val="single" w:sz="4" w:space="0" w:color="auto"/>
              <w:left w:val="single" w:sz="4" w:space="0" w:color="auto"/>
              <w:bottom w:val="single" w:sz="4" w:space="0" w:color="auto"/>
              <w:right w:val="single" w:sz="4" w:space="0" w:color="auto"/>
            </w:tcBorders>
            <w:hideMark/>
          </w:tcPr>
          <w:p w14:paraId="5FF2FBF7"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ECHA and its committees work under strict conflict of interest avoidance rules, improving guarantees of independent scientific advice to the Commission.</w:t>
            </w:r>
          </w:p>
        </w:tc>
      </w:tr>
      <w:tr w:rsidR="000A7D9D" w:rsidRPr="00297E98" w14:paraId="003340CF"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64F299DF" w14:textId="77777777" w:rsidR="000A7D9D" w:rsidRPr="00297E98" w:rsidRDefault="000A7D9D" w:rsidP="00F31937">
            <w:pPr>
              <w:spacing w:before="120" w:after="120"/>
              <w:rPr>
                <w:rFonts w:ascii="Times New Roman" w:hAnsi="Times New Roman"/>
                <w:b/>
                <w:bCs/>
                <w:noProof/>
                <w:color w:val="000000"/>
                <w:sz w:val="24"/>
                <w:szCs w:val="24"/>
              </w:rPr>
            </w:pPr>
            <w:r w:rsidRPr="00297E98">
              <w:rPr>
                <w:rFonts w:ascii="Times New Roman" w:hAnsi="Times New Roman"/>
                <w:b/>
                <w:bCs/>
                <w:noProof/>
                <w:color w:val="000000"/>
                <w:sz w:val="24"/>
                <w:szCs w:val="24"/>
              </w:rPr>
              <w:t>Transparency</w:t>
            </w:r>
          </w:p>
        </w:tc>
        <w:tc>
          <w:tcPr>
            <w:tcW w:w="1686" w:type="dxa"/>
            <w:tcBorders>
              <w:top w:val="single" w:sz="4" w:space="0" w:color="auto"/>
              <w:left w:val="single" w:sz="4" w:space="0" w:color="auto"/>
              <w:bottom w:val="single" w:sz="4" w:space="0" w:color="auto"/>
              <w:right w:val="single" w:sz="4" w:space="0" w:color="auto"/>
            </w:tcBorders>
            <w:hideMark/>
          </w:tcPr>
          <w:p w14:paraId="4A05E6BD"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High</w:t>
            </w:r>
          </w:p>
        </w:tc>
        <w:tc>
          <w:tcPr>
            <w:tcW w:w="6121" w:type="dxa"/>
            <w:tcBorders>
              <w:top w:val="single" w:sz="4" w:space="0" w:color="auto"/>
              <w:left w:val="single" w:sz="4" w:space="0" w:color="auto"/>
              <w:bottom w:val="single" w:sz="4" w:space="0" w:color="auto"/>
              <w:right w:val="single" w:sz="4" w:space="0" w:color="auto"/>
            </w:tcBorders>
            <w:hideMark/>
          </w:tcPr>
          <w:p w14:paraId="5F71BB9F" w14:textId="77777777" w:rsidR="000A7D9D" w:rsidRPr="00297E98" w:rsidRDefault="000A7D9D" w:rsidP="00F31937">
            <w:pPr>
              <w:spacing w:before="120" w:after="120"/>
              <w:rPr>
                <w:rFonts w:ascii="Times New Roman" w:hAnsi="Times New Roman"/>
                <w:noProof/>
                <w:color w:val="000000"/>
                <w:sz w:val="24"/>
                <w:szCs w:val="24"/>
              </w:rPr>
            </w:pPr>
            <w:r w:rsidRPr="00297E98">
              <w:rPr>
                <w:rFonts w:ascii="Times New Roman" w:hAnsi="Times New Roman"/>
                <w:noProof/>
                <w:color w:val="000000"/>
                <w:sz w:val="24"/>
                <w:szCs w:val="24"/>
              </w:rPr>
              <w:t>ECHA’s involvement will bring transparency to the process:</w:t>
            </w:r>
          </w:p>
          <w:p w14:paraId="2937B03C" w14:textId="77777777" w:rsidR="000A7D9D" w:rsidRPr="00297E9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297E98">
              <w:rPr>
                <w:rFonts w:ascii="Times New Roman" w:hAnsi="Times New Roman"/>
                <w:noProof/>
                <w:color w:val="000000" w:themeColor="text1"/>
                <w:sz w:val="24"/>
                <w:szCs w:val="24"/>
              </w:rPr>
              <w:t>Overall process transparency</w:t>
            </w:r>
          </w:p>
          <w:p w14:paraId="5870AFBC" w14:textId="77777777" w:rsidR="000A7D9D" w:rsidRPr="00297E9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297E98">
              <w:rPr>
                <w:rFonts w:ascii="Times New Roman" w:hAnsi="Times New Roman"/>
                <w:noProof/>
                <w:color w:val="000000" w:themeColor="text1"/>
                <w:sz w:val="24"/>
                <w:szCs w:val="24"/>
              </w:rPr>
              <w:t>Publication of regulatory intentions of EU authorities improves predictability for industry stakeholders</w:t>
            </w:r>
          </w:p>
          <w:p w14:paraId="76129323" w14:textId="77777777" w:rsidR="000A7D9D" w:rsidRPr="00297E9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297E98">
              <w:rPr>
                <w:rFonts w:ascii="Times New Roman" w:hAnsi="Times New Roman"/>
                <w:noProof/>
                <w:color w:val="000000" w:themeColor="text1"/>
                <w:sz w:val="24"/>
                <w:szCs w:val="24"/>
              </w:rPr>
              <w:t>Public consultation/call for evidence</w:t>
            </w:r>
          </w:p>
          <w:p w14:paraId="41A3AFBC" w14:textId="77777777" w:rsidR="000A7D9D" w:rsidRPr="00297E9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297E98">
              <w:rPr>
                <w:rFonts w:ascii="Times New Roman" w:hAnsi="Times New Roman"/>
                <w:noProof/>
                <w:color w:val="000000" w:themeColor="text1"/>
                <w:sz w:val="24"/>
                <w:szCs w:val="24"/>
              </w:rPr>
              <w:t>Stakeholder involvement/observer status</w:t>
            </w:r>
          </w:p>
          <w:p w14:paraId="3F998940" w14:textId="77777777" w:rsidR="000A7D9D" w:rsidRPr="00297E9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297E98">
              <w:rPr>
                <w:rFonts w:ascii="Times New Roman" w:hAnsi="Times New Roman"/>
                <w:noProof/>
                <w:color w:val="000000" w:themeColor="text1"/>
                <w:sz w:val="24"/>
                <w:szCs w:val="24"/>
              </w:rPr>
              <w:t>Dissemination of scientific data and outcomes</w:t>
            </w:r>
          </w:p>
        </w:tc>
      </w:tr>
    </w:tbl>
    <w:p w14:paraId="4949EF89" w14:textId="77777777" w:rsidR="000A7D9D" w:rsidRPr="00297E98" w:rsidRDefault="000A7D9D" w:rsidP="000A7D9D">
      <w:pPr>
        <w:pStyle w:val="BodyText"/>
        <w:jc w:val="both"/>
        <w:rPr>
          <w:noProof/>
        </w:rPr>
      </w:pPr>
      <w:r w:rsidRPr="00297E98">
        <w:rPr>
          <w:noProof/>
        </w:rPr>
        <w:br/>
      </w:r>
      <w:r w:rsidRPr="00297E98">
        <w:rPr>
          <w:b/>
          <w:bCs/>
          <w:noProof/>
        </w:rPr>
        <w:t xml:space="preserve">Main risks and opportunities: </w:t>
      </w:r>
      <w:bookmarkStart w:id="44" w:name="_Hlk101815020"/>
      <w:r w:rsidRPr="00297E98">
        <w:rPr>
          <w:noProof/>
        </w:rPr>
        <w:t>No major concerns and there are certainly opportunities to find synergies with the REACH restriction process.</w:t>
      </w:r>
      <w:bookmarkEnd w:id="44"/>
    </w:p>
    <w:p w14:paraId="3477264D" w14:textId="77777777" w:rsidR="000A7D9D" w:rsidRPr="00297E98" w:rsidRDefault="000A7D9D" w:rsidP="000A7D9D">
      <w:pPr>
        <w:pStyle w:val="BodyText"/>
        <w:rPr>
          <w:b/>
          <w:bCs/>
          <w:noProof/>
        </w:rPr>
      </w:pPr>
      <w:r w:rsidRPr="00297E98">
        <w:rPr>
          <w:b/>
          <w:bCs/>
          <w:noProof/>
        </w:rPr>
        <w:t xml:space="preserve">Projected impact on ECHA </w:t>
      </w:r>
    </w:p>
    <w:p w14:paraId="5A051D6E" w14:textId="77777777" w:rsidR="000A7D9D" w:rsidRPr="00297E98" w:rsidRDefault="000A7D9D" w:rsidP="000A7D9D">
      <w:pPr>
        <w:pStyle w:val="BodyText"/>
        <w:widowControl w:val="0"/>
        <w:numPr>
          <w:ilvl w:val="0"/>
          <w:numId w:val="87"/>
        </w:numPr>
        <w:ind w:left="0"/>
        <w:rPr>
          <w:noProof/>
        </w:rPr>
      </w:pPr>
      <w:r w:rsidRPr="00297E98">
        <w:rPr>
          <w:noProof/>
        </w:rPr>
        <w:t xml:space="preserve">ECHA Committees/bodies: </w:t>
      </w:r>
      <w:r w:rsidRPr="00297E98">
        <w:rPr>
          <w:b/>
          <w:bCs/>
          <w:noProof/>
        </w:rPr>
        <w:t>medium impact</w:t>
      </w:r>
      <w:r w:rsidRPr="00297E98">
        <w:rPr>
          <w:noProof/>
        </w:rPr>
        <w:t xml:space="preserve">. The task generates </w:t>
      </w:r>
      <w:bookmarkStart w:id="45" w:name="_Hlk102510258"/>
      <w:r w:rsidRPr="00297E98">
        <w:rPr>
          <w:noProof/>
        </w:rPr>
        <w:t>medium impact on the</w:t>
      </w:r>
      <w:r>
        <w:rPr>
          <w:noProof/>
        </w:rPr>
        <w:t xml:space="preserve"> </w:t>
      </w:r>
      <w:r w:rsidRPr="00297E98">
        <w:rPr>
          <w:noProof/>
        </w:rPr>
        <w:t>setup / organisation / staffing of Committees/bodies due to the additional workload</w:t>
      </w:r>
      <w:bookmarkEnd w:id="45"/>
      <w:r>
        <w:rPr>
          <w:noProof/>
        </w:rPr>
        <w:t>.</w:t>
      </w:r>
    </w:p>
    <w:tbl>
      <w:tblPr>
        <w:tblStyle w:val="TableGrid"/>
        <w:tblW w:w="9072" w:type="dxa"/>
        <w:tblInd w:w="562" w:type="dxa"/>
        <w:tblLook w:val="04A0" w:firstRow="1" w:lastRow="0" w:firstColumn="1" w:lastColumn="0" w:noHBand="0" w:noVBand="1"/>
      </w:tblPr>
      <w:tblGrid>
        <w:gridCol w:w="1682"/>
        <w:gridCol w:w="1084"/>
        <w:gridCol w:w="1363"/>
        <w:gridCol w:w="1129"/>
        <w:gridCol w:w="1132"/>
        <w:gridCol w:w="1416"/>
        <w:gridCol w:w="1266"/>
      </w:tblGrid>
      <w:tr w:rsidR="000A7D9D" w:rsidRPr="00297E98" w14:paraId="0F3EBF6F" w14:textId="77777777" w:rsidTr="00F31937">
        <w:tc>
          <w:tcPr>
            <w:tcW w:w="1696" w:type="dxa"/>
          </w:tcPr>
          <w:p w14:paraId="1146ED6A" w14:textId="77777777" w:rsidR="000A7D9D" w:rsidRPr="00297E98" w:rsidRDefault="000A7D9D" w:rsidP="00F31937">
            <w:pPr>
              <w:pStyle w:val="BodyText"/>
              <w:rPr>
                <w:b/>
                <w:bCs/>
                <w:noProof/>
              </w:rPr>
            </w:pPr>
          </w:p>
        </w:tc>
        <w:tc>
          <w:tcPr>
            <w:tcW w:w="1076" w:type="dxa"/>
          </w:tcPr>
          <w:p w14:paraId="690EB6EC" w14:textId="77777777" w:rsidR="000A7D9D" w:rsidRPr="00297E98" w:rsidRDefault="000A7D9D" w:rsidP="00F31937">
            <w:pPr>
              <w:pStyle w:val="BodyText"/>
              <w:rPr>
                <w:b/>
                <w:bCs/>
                <w:noProof/>
              </w:rPr>
            </w:pPr>
            <w:r w:rsidRPr="00297E98">
              <w:rPr>
                <w:b/>
                <w:bCs/>
                <w:noProof/>
              </w:rPr>
              <w:t>RAC</w:t>
            </w:r>
          </w:p>
        </w:tc>
        <w:tc>
          <w:tcPr>
            <w:tcW w:w="1338" w:type="dxa"/>
          </w:tcPr>
          <w:p w14:paraId="748C7D82" w14:textId="77777777" w:rsidR="000A7D9D" w:rsidRPr="00297E98" w:rsidRDefault="000A7D9D" w:rsidP="00F31937">
            <w:pPr>
              <w:pStyle w:val="BodyText"/>
              <w:rPr>
                <w:b/>
                <w:bCs/>
                <w:noProof/>
              </w:rPr>
            </w:pPr>
          </w:p>
        </w:tc>
        <w:tc>
          <w:tcPr>
            <w:tcW w:w="1134" w:type="dxa"/>
          </w:tcPr>
          <w:p w14:paraId="4CB7D525" w14:textId="77777777" w:rsidR="000A7D9D" w:rsidRPr="00297E98" w:rsidRDefault="000A7D9D" w:rsidP="00F31937">
            <w:pPr>
              <w:pStyle w:val="BodyText"/>
              <w:rPr>
                <w:b/>
                <w:bCs/>
                <w:noProof/>
              </w:rPr>
            </w:pPr>
          </w:p>
        </w:tc>
        <w:tc>
          <w:tcPr>
            <w:tcW w:w="1134" w:type="dxa"/>
          </w:tcPr>
          <w:p w14:paraId="4378BC17" w14:textId="77777777" w:rsidR="000A7D9D" w:rsidRPr="00297E98" w:rsidRDefault="000A7D9D" w:rsidP="00F31937">
            <w:pPr>
              <w:pStyle w:val="BodyText"/>
              <w:rPr>
                <w:b/>
                <w:bCs/>
                <w:noProof/>
              </w:rPr>
            </w:pPr>
            <w:r w:rsidRPr="00297E98">
              <w:rPr>
                <w:b/>
                <w:bCs/>
                <w:noProof/>
              </w:rPr>
              <w:t>SEAC</w:t>
            </w:r>
          </w:p>
        </w:tc>
        <w:tc>
          <w:tcPr>
            <w:tcW w:w="1418" w:type="dxa"/>
          </w:tcPr>
          <w:p w14:paraId="09D49B6C" w14:textId="77777777" w:rsidR="000A7D9D" w:rsidRPr="00297E98" w:rsidRDefault="000A7D9D" w:rsidP="00F31937">
            <w:pPr>
              <w:pStyle w:val="BodyText"/>
              <w:rPr>
                <w:b/>
                <w:bCs/>
                <w:noProof/>
              </w:rPr>
            </w:pPr>
          </w:p>
        </w:tc>
        <w:tc>
          <w:tcPr>
            <w:tcW w:w="1276" w:type="dxa"/>
          </w:tcPr>
          <w:p w14:paraId="3C5B2247" w14:textId="77777777" w:rsidR="000A7D9D" w:rsidRPr="00297E98" w:rsidRDefault="000A7D9D" w:rsidP="00F31937">
            <w:pPr>
              <w:pStyle w:val="BodyText"/>
              <w:rPr>
                <w:b/>
                <w:bCs/>
                <w:noProof/>
              </w:rPr>
            </w:pPr>
          </w:p>
        </w:tc>
      </w:tr>
      <w:tr w:rsidR="000A7D9D" w:rsidRPr="00297E98" w14:paraId="61B0104F" w14:textId="77777777" w:rsidTr="00F31937">
        <w:tc>
          <w:tcPr>
            <w:tcW w:w="1696" w:type="dxa"/>
          </w:tcPr>
          <w:p w14:paraId="7542BD4B" w14:textId="77777777" w:rsidR="000A7D9D" w:rsidRPr="00297E98" w:rsidRDefault="000A7D9D" w:rsidP="00F31937">
            <w:pPr>
              <w:pStyle w:val="BodyText"/>
              <w:rPr>
                <w:b/>
                <w:bCs/>
                <w:noProof/>
              </w:rPr>
            </w:pPr>
          </w:p>
        </w:tc>
        <w:tc>
          <w:tcPr>
            <w:tcW w:w="1076" w:type="dxa"/>
          </w:tcPr>
          <w:p w14:paraId="1C64DA63" w14:textId="77777777" w:rsidR="000A7D9D" w:rsidRPr="00297E98" w:rsidRDefault="000A7D9D" w:rsidP="00F31937">
            <w:pPr>
              <w:pStyle w:val="BodyText"/>
              <w:rPr>
                <w:b/>
                <w:bCs/>
                <w:noProof/>
              </w:rPr>
            </w:pPr>
            <w:r w:rsidRPr="00297E98">
              <w:rPr>
                <w:b/>
                <w:bCs/>
                <w:noProof/>
              </w:rPr>
              <w:t># of opinions per year</w:t>
            </w:r>
          </w:p>
        </w:tc>
        <w:tc>
          <w:tcPr>
            <w:tcW w:w="1338" w:type="dxa"/>
          </w:tcPr>
          <w:p w14:paraId="641AD06B" w14:textId="77777777" w:rsidR="000A7D9D" w:rsidRPr="00297E98" w:rsidRDefault="000A7D9D" w:rsidP="00F31937">
            <w:pPr>
              <w:pStyle w:val="BodyText"/>
              <w:rPr>
                <w:b/>
                <w:bCs/>
                <w:noProof/>
              </w:rPr>
            </w:pPr>
            <w:r w:rsidRPr="00297E98">
              <w:rPr>
                <w:b/>
                <w:bCs/>
                <w:noProof/>
              </w:rPr>
              <w:t>rapporteur</w:t>
            </w:r>
          </w:p>
        </w:tc>
        <w:tc>
          <w:tcPr>
            <w:tcW w:w="1134" w:type="dxa"/>
          </w:tcPr>
          <w:p w14:paraId="73BA8B82" w14:textId="77777777" w:rsidR="000A7D9D" w:rsidRPr="00297E98" w:rsidRDefault="000A7D9D" w:rsidP="00F31937">
            <w:pPr>
              <w:pStyle w:val="BodyText"/>
              <w:rPr>
                <w:b/>
                <w:bCs/>
                <w:noProof/>
              </w:rPr>
            </w:pPr>
            <w:r w:rsidRPr="00297E98">
              <w:rPr>
                <w:b/>
                <w:bCs/>
                <w:noProof/>
              </w:rPr>
              <w:t>Type of opinion</w:t>
            </w:r>
          </w:p>
        </w:tc>
        <w:tc>
          <w:tcPr>
            <w:tcW w:w="1134" w:type="dxa"/>
          </w:tcPr>
          <w:p w14:paraId="5686F6FB" w14:textId="77777777" w:rsidR="000A7D9D" w:rsidRPr="00297E98" w:rsidRDefault="000A7D9D" w:rsidP="00F31937">
            <w:pPr>
              <w:pStyle w:val="BodyText"/>
              <w:rPr>
                <w:b/>
                <w:bCs/>
                <w:noProof/>
              </w:rPr>
            </w:pPr>
            <w:r w:rsidRPr="00297E98">
              <w:rPr>
                <w:b/>
                <w:bCs/>
                <w:noProof/>
              </w:rPr>
              <w:t># of opinions per year</w:t>
            </w:r>
          </w:p>
        </w:tc>
        <w:tc>
          <w:tcPr>
            <w:tcW w:w="1418" w:type="dxa"/>
          </w:tcPr>
          <w:p w14:paraId="12BDE5A9" w14:textId="77777777" w:rsidR="000A7D9D" w:rsidRPr="00297E98" w:rsidRDefault="000A7D9D" w:rsidP="00F31937">
            <w:pPr>
              <w:pStyle w:val="BodyText"/>
              <w:rPr>
                <w:b/>
                <w:bCs/>
                <w:noProof/>
              </w:rPr>
            </w:pPr>
            <w:r w:rsidRPr="00297E98">
              <w:rPr>
                <w:b/>
                <w:bCs/>
                <w:noProof/>
              </w:rPr>
              <w:t>rapporteur</w:t>
            </w:r>
          </w:p>
        </w:tc>
        <w:tc>
          <w:tcPr>
            <w:tcW w:w="1276" w:type="dxa"/>
          </w:tcPr>
          <w:p w14:paraId="1A203C25" w14:textId="77777777" w:rsidR="000A7D9D" w:rsidRPr="00297E98" w:rsidRDefault="000A7D9D" w:rsidP="00F31937">
            <w:pPr>
              <w:pStyle w:val="BodyText"/>
              <w:rPr>
                <w:b/>
                <w:bCs/>
                <w:noProof/>
              </w:rPr>
            </w:pPr>
            <w:r w:rsidRPr="00297E98">
              <w:rPr>
                <w:b/>
                <w:bCs/>
                <w:noProof/>
              </w:rPr>
              <w:t>Type of opinion</w:t>
            </w:r>
          </w:p>
        </w:tc>
      </w:tr>
      <w:tr w:rsidR="000A7D9D" w:rsidRPr="00297E98" w14:paraId="5E585F71" w14:textId="77777777" w:rsidTr="00F31937">
        <w:tc>
          <w:tcPr>
            <w:tcW w:w="1696" w:type="dxa"/>
          </w:tcPr>
          <w:p w14:paraId="3A6EA1BB" w14:textId="77777777" w:rsidR="000A7D9D" w:rsidRPr="00297E98" w:rsidRDefault="000A7D9D" w:rsidP="00F31937">
            <w:pPr>
              <w:pStyle w:val="BodyText"/>
              <w:rPr>
                <w:noProof/>
              </w:rPr>
            </w:pPr>
            <w:r w:rsidRPr="00297E98">
              <w:rPr>
                <w:noProof/>
              </w:rPr>
              <w:t xml:space="preserve">Restriction dossier </w:t>
            </w:r>
          </w:p>
        </w:tc>
        <w:tc>
          <w:tcPr>
            <w:tcW w:w="1076" w:type="dxa"/>
          </w:tcPr>
          <w:p w14:paraId="413F6683" w14:textId="77777777" w:rsidR="000A7D9D" w:rsidRPr="00297E98" w:rsidRDefault="000A7D9D" w:rsidP="00F31937">
            <w:pPr>
              <w:pStyle w:val="BodyText"/>
              <w:rPr>
                <w:noProof/>
              </w:rPr>
            </w:pPr>
            <w:r w:rsidRPr="00297E98">
              <w:rPr>
                <w:noProof/>
              </w:rPr>
              <w:t xml:space="preserve">1 </w:t>
            </w:r>
          </w:p>
        </w:tc>
        <w:tc>
          <w:tcPr>
            <w:tcW w:w="1338" w:type="dxa"/>
          </w:tcPr>
          <w:p w14:paraId="384C98CA" w14:textId="77777777" w:rsidR="000A7D9D" w:rsidRPr="00297E98" w:rsidRDefault="000A7D9D" w:rsidP="00F31937">
            <w:pPr>
              <w:pStyle w:val="BodyText"/>
              <w:rPr>
                <w:noProof/>
              </w:rPr>
            </w:pPr>
            <w:r w:rsidRPr="00297E98">
              <w:rPr>
                <w:noProof/>
              </w:rPr>
              <w:t>RAC member</w:t>
            </w:r>
          </w:p>
        </w:tc>
        <w:tc>
          <w:tcPr>
            <w:tcW w:w="1134" w:type="dxa"/>
          </w:tcPr>
          <w:p w14:paraId="6D8E581E" w14:textId="77777777" w:rsidR="000A7D9D" w:rsidRPr="00297E98" w:rsidRDefault="000A7D9D" w:rsidP="00F31937">
            <w:pPr>
              <w:pStyle w:val="BodyText"/>
              <w:rPr>
                <w:noProof/>
              </w:rPr>
            </w:pPr>
          </w:p>
        </w:tc>
        <w:tc>
          <w:tcPr>
            <w:tcW w:w="1134" w:type="dxa"/>
          </w:tcPr>
          <w:p w14:paraId="08D775D5" w14:textId="77777777" w:rsidR="000A7D9D" w:rsidRPr="00297E98" w:rsidRDefault="000A7D9D" w:rsidP="00F31937">
            <w:pPr>
              <w:pStyle w:val="BodyText"/>
              <w:rPr>
                <w:noProof/>
              </w:rPr>
            </w:pPr>
            <w:r w:rsidRPr="00297E98">
              <w:rPr>
                <w:noProof/>
              </w:rPr>
              <w:t xml:space="preserve">1 </w:t>
            </w:r>
          </w:p>
        </w:tc>
        <w:tc>
          <w:tcPr>
            <w:tcW w:w="1418" w:type="dxa"/>
          </w:tcPr>
          <w:p w14:paraId="4CD01477" w14:textId="77777777" w:rsidR="000A7D9D" w:rsidRPr="00297E98" w:rsidRDefault="000A7D9D" w:rsidP="00F31937">
            <w:pPr>
              <w:pStyle w:val="BodyText"/>
              <w:spacing w:line="259" w:lineRule="auto"/>
              <w:rPr>
                <w:noProof/>
              </w:rPr>
            </w:pPr>
            <w:r w:rsidRPr="00297E98">
              <w:rPr>
                <w:noProof/>
              </w:rPr>
              <w:t xml:space="preserve">SEAC member </w:t>
            </w:r>
          </w:p>
        </w:tc>
        <w:tc>
          <w:tcPr>
            <w:tcW w:w="1276" w:type="dxa"/>
          </w:tcPr>
          <w:p w14:paraId="65ADF9E3" w14:textId="77777777" w:rsidR="000A7D9D" w:rsidRPr="00297E98" w:rsidRDefault="000A7D9D" w:rsidP="00F31937">
            <w:pPr>
              <w:pStyle w:val="BodyText"/>
              <w:rPr>
                <w:noProof/>
              </w:rPr>
            </w:pPr>
          </w:p>
        </w:tc>
      </w:tr>
    </w:tbl>
    <w:p w14:paraId="7F52540E" w14:textId="77777777" w:rsidR="000A7D9D" w:rsidRPr="00297E98" w:rsidRDefault="000A7D9D" w:rsidP="000A7D9D">
      <w:pPr>
        <w:pStyle w:val="BodyText"/>
        <w:widowControl w:val="0"/>
        <w:numPr>
          <w:ilvl w:val="0"/>
          <w:numId w:val="87"/>
        </w:numPr>
        <w:spacing w:before="120"/>
        <w:jc w:val="both"/>
        <w:rPr>
          <w:noProof/>
        </w:rPr>
      </w:pPr>
      <w:r w:rsidRPr="00297E98">
        <w:rPr>
          <w:noProof/>
        </w:rPr>
        <w:t xml:space="preserve">ECHA data model and IT infrastructure: </w:t>
      </w:r>
      <w:r w:rsidRPr="00297E98">
        <w:rPr>
          <w:b/>
          <w:bCs/>
          <w:noProof/>
        </w:rPr>
        <w:t>low impact</w:t>
      </w:r>
      <w:r w:rsidRPr="00297E98">
        <w:rPr>
          <w:noProof/>
        </w:rPr>
        <w:t xml:space="preserve">. The task can be implemented with adjustments / configuration of existing data structures and IT systems </w:t>
      </w:r>
    </w:p>
    <w:p w14:paraId="146F8D68" w14:textId="77777777" w:rsidR="000A7D9D" w:rsidRPr="00297E98" w:rsidRDefault="000A7D9D" w:rsidP="000A7D9D">
      <w:pPr>
        <w:pStyle w:val="BodyText"/>
        <w:widowControl w:val="0"/>
        <w:numPr>
          <w:ilvl w:val="0"/>
          <w:numId w:val="87"/>
        </w:numPr>
        <w:jc w:val="both"/>
        <w:rPr>
          <w:i/>
          <w:iCs/>
          <w:noProof/>
        </w:rPr>
      </w:pPr>
      <w:r w:rsidRPr="00297E98">
        <w:rPr>
          <w:noProof/>
        </w:rPr>
        <w:t xml:space="preserve">ECHA key experts: </w:t>
      </w:r>
      <w:r w:rsidRPr="00297E98">
        <w:rPr>
          <w:b/>
          <w:bCs/>
          <w:noProof/>
        </w:rPr>
        <w:t>medium impact</w:t>
      </w:r>
      <w:r w:rsidRPr="00297E98">
        <w:rPr>
          <w:noProof/>
        </w:rPr>
        <w:t xml:space="preserve">. The task partly relies on existing expert competencies </w:t>
      </w:r>
      <w:bookmarkStart w:id="46" w:name="_Hlk102512254"/>
      <w:r w:rsidRPr="00297E98">
        <w:rPr>
          <w:noProof/>
        </w:rPr>
        <w:t>which are limited within ECHA and also critical to REACH/CLP/BPR</w:t>
      </w:r>
      <w:r w:rsidRPr="00297E98">
        <w:rPr>
          <w:i/>
          <w:iCs/>
          <w:noProof/>
        </w:rPr>
        <w:t xml:space="preserve"> regulatory tasks</w:t>
      </w:r>
      <w:bookmarkEnd w:id="43"/>
      <w:bookmarkEnd w:id="46"/>
    </w:p>
    <w:p w14:paraId="16908D0D" w14:textId="77777777" w:rsidR="000A7D9D" w:rsidRDefault="000A7D9D" w:rsidP="000A7D9D">
      <w:pPr>
        <w:pStyle w:val="BodyText"/>
        <w:rPr>
          <w:b/>
          <w:bCs/>
          <w:noProof/>
        </w:rPr>
      </w:pPr>
    </w:p>
    <w:p w14:paraId="427FDD07" w14:textId="77777777" w:rsidR="000A7D9D" w:rsidRPr="00297E98" w:rsidRDefault="000A7D9D" w:rsidP="000A7D9D">
      <w:pPr>
        <w:pStyle w:val="BodyText"/>
        <w:rPr>
          <w:noProof/>
        </w:rPr>
      </w:pPr>
      <w:r w:rsidRPr="00297E98">
        <w:rPr>
          <w:b/>
          <w:bCs/>
          <w:noProof/>
        </w:rPr>
        <w:t>Projected workload and resource implications:</w:t>
      </w:r>
      <w:r w:rsidRPr="00297E98">
        <w:rPr>
          <w:noProof/>
        </w:rPr>
        <w:t xml:space="preserve"> </w:t>
      </w:r>
    </w:p>
    <w:p w14:paraId="3E4F1CF3" w14:textId="77777777" w:rsidR="000A7D9D" w:rsidRPr="00297E98" w:rsidRDefault="000A7D9D" w:rsidP="000A7D9D">
      <w:pPr>
        <w:pStyle w:val="BodyText"/>
        <w:rPr>
          <w:noProof/>
        </w:rPr>
      </w:pPr>
      <w:r w:rsidRPr="00297E98">
        <w:rPr>
          <w:noProof/>
          <w:u w:val="single"/>
        </w:rPr>
        <w:t>Current workload and resource use:</w:t>
      </w:r>
    </w:p>
    <w:p w14:paraId="7C167416" w14:textId="77777777" w:rsidR="000A7D9D" w:rsidRPr="00297E98" w:rsidRDefault="000A7D9D" w:rsidP="000A7D9D">
      <w:pPr>
        <w:pStyle w:val="BodyText"/>
        <w:rPr>
          <w:noProof/>
        </w:rPr>
      </w:pPr>
      <w:r w:rsidRPr="00297E98">
        <w:rPr>
          <w:noProof/>
        </w:rPr>
        <w:t>N/A, no current process exists at EU level</w:t>
      </w:r>
    </w:p>
    <w:p w14:paraId="047059B8" w14:textId="77777777" w:rsidR="000A7D9D" w:rsidRPr="00297E98" w:rsidRDefault="000A7D9D" w:rsidP="000A7D9D">
      <w:pPr>
        <w:pStyle w:val="BodyText"/>
        <w:rPr>
          <w:noProof/>
          <w:u w:val="single"/>
        </w:rPr>
      </w:pPr>
      <w:r w:rsidRPr="00297E98">
        <w:rPr>
          <w:noProof/>
          <w:u w:val="single"/>
        </w:rPr>
        <w:t>Future workload and resource needs:</w:t>
      </w:r>
    </w:p>
    <w:p w14:paraId="652EA6B5" w14:textId="77777777" w:rsidR="000A7D9D" w:rsidRPr="00297E98" w:rsidRDefault="000A7D9D" w:rsidP="000A7D9D">
      <w:pPr>
        <w:spacing w:after="120"/>
        <w:jc w:val="both"/>
        <w:rPr>
          <w:rFonts w:ascii="Times New Roman" w:hAnsi="Times New Roman" w:cs="Times New Roman"/>
          <w:noProof/>
          <w:sz w:val="24"/>
          <w:szCs w:val="24"/>
        </w:rPr>
      </w:pPr>
      <w:r w:rsidRPr="00297E98">
        <w:rPr>
          <w:rFonts w:ascii="Times New Roman" w:hAnsi="Times New Roman" w:cs="Times New Roman"/>
          <w:noProof/>
          <w:sz w:val="24"/>
          <w:szCs w:val="24"/>
          <w:lang w:val="en-IE"/>
        </w:rPr>
        <w:t>A total of 2</w:t>
      </w:r>
      <w:r w:rsidRPr="00297E98">
        <w:rPr>
          <w:rFonts w:ascii="Times New Roman" w:hAnsi="Times New Roman" w:cs="Times New Roman"/>
          <w:noProof/>
          <w:sz w:val="24"/>
          <w:szCs w:val="24"/>
        </w:rPr>
        <w:t xml:space="preserve"> new full-time equivalent </w:t>
      </w:r>
      <w:r w:rsidRPr="00297E98">
        <w:rPr>
          <w:rFonts w:ascii="Times New Roman" w:hAnsi="Times New Roman" w:cs="Times New Roman"/>
          <w:noProof/>
          <w:sz w:val="24"/>
          <w:szCs w:val="24"/>
          <w:lang w:val="en-IE"/>
        </w:rPr>
        <w:t xml:space="preserve">temporary agent </w:t>
      </w:r>
      <w:r w:rsidRPr="00297E98">
        <w:rPr>
          <w:rFonts w:ascii="Times New Roman" w:hAnsi="Times New Roman" w:cs="Times New Roman"/>
          <w:noProof/>
          <w:sz w:val="24"/>
          <w:szCs w:val="24"/>
        </w:rPr>
        <w:t xml:space="preserve">staff (AD 5-7) at ECHA (average cost EUR 171 000/year with coefficient for FI and annual indexation over 4 years and beyond) will be needed to make sure that sufficient resources would be earmarked for regulating the necessary battery related substances without competing with REACH priorities. This covers an average of one additional restriction (or other risk management measure) yearly, including risk assessment of lead in lead-acid batteries, and of mercury and cadmium used in electric vehicle batteries. </w:t>
      </w:r>
    </w:p>
    <w:p w14:paraId="49BE56CE" w14:textId="77777777" w:rsidR="000A7D9D" w:rsidRPr="00297E98" w:rsidRDefault="000A7D9D" w:rsidP="000A7D9D">
      <w:pPr>
        <w:spacing w:after="120"/>
        <w:jc w:val="both"/>
        <w:rPr>
          <w:rFonts w:ascii="Times New Roman" w:hAnsi="Times New Roman" w:cs="Times New Roman"/>
          <w:noProof/>
          <w:sz w:val="24"/>
          <w:szCs w:val="24"/>
        </w:rPr>
      </w:pPr>
      <w:r w:rsidRPr="00297E98">
        <w:rPr>
          <w:rFonts w:ascii="Times New Roman" w:hAnsi="Times New Roman" w:cs="Times New Roman"/>
          <w:noProof/>
          <w:sz w:val="24"/>
          <w:szCs w:val="24"/>
        </w:rPr>
        <w:t>In addition, 1</w:t>
      </w:r>
      <w:r w:rsidRPr="00297E98">
        <w:rPr>
          <w:rFonts w:ascii="Times New Roman" w:hAnsi="Times New Roman" w:cs="Times New Roman"/>
          <w:noProof/>
          <w:sz w:val="24"/>
          <w:szCs w:val="24"/>
          <w:lang w:val="en-IE"/>
        </w:rPr>
        <w:t xml:space="preserve"> </w:t>
      </w:r>
      <w:r w:rsidRPr="00297E98">
        <w:rPr>
          <w:rFonts w:ascii="Times New Roman" w:hAnsi="Times New Roman" w:cs="Times New Roman"/>
          <w:noProof/>
          <w:sz w:val="24"/>
          <w:szCs w:val="24"/>
        </w:rPr>
        <w:t xml:space="preserve">full-time equivalent </w:t>
      </w:r>
      <w:r w:rsidRPr="00297E98">
        <w:rPr>
          <w:rFonts w:ascii="Times New Roman" w:hAnsi="Times New Roman" w:cs="Times New Roman"/>
          <w:noProof/>
          <w:sz w:val="24"/>
          <w:szCs w:val="24"/>
          <w:lang w:val="en-IE"/>
        </w:rPr>
        <w:t xml:space="preserve">contract agent </w:t>
      </w:r>
      <w:r w:rsidRPr="00297E98">
        <w:rPr>
          <w:rFonts w:ascii="Times New Roman" w:hAnsi="Times New Roman" w:cs="Times New Roman"/>
          <w:noProof/>
          <w:sz w:val="24"/>
          <w:szCs w:val="24"/>
        </w:rPr>
        <w:t xml:space="preserve">staff for 3 years (CA FG III, average cost EUR 91 000/year with coefficient for FI and annual indexation over 3 years), will be necessary to increase the knowledge base and carry out a mapping of substances of concerns used in batteries, facilitating an informed priority setting and work plan establishment. This will be based on a mapping study to build ECHA’s current knowledge on how the battery industry manages its hazardous chemicals to identify relevant substances for regulatory risk management in the future. The study is estimted at </w:t>
      </w:r>
      <w:r>
        <w:rPr>
          <w:rFonts w:ascii="Times New Roman" w:hAnsi="Times New Roman" w:cs="Times New Roman"/>
          <w:noProof/>
          <w:sz w:val="24"/>
          <w:szCs w:val="24"/>
        </w:rPr>
        <w:t xml:space="preserve">EUR </w:t>
      </w:r>
      <w:r w:rsidRPr="00297E98">
        <w:rPr>
          <w:rFonts w:ascii="Times New Roman" w:hAnsi="Times New Roman" w:cs="Times New Roman"/>
          <w:noProof/>
          <w:sz w:val="24"/>
          <w:szCs w:val="24"/>
        </w:rPr>
        <w:t>400</w:t>
      </w:r>
      <w:r>
        <w:rPr>
          <w:rFonts w:ascii="Times New Roman" w:hAnsi="Times New Roman" w:cs="Times New Roman"/>
          <w:noProof/>
          <w:sz w:val="24"/>
          <w:szCs w:val="24"/>
        </w:rPr>
        <w:t xml:space="preserve"> </w:t>
      </w:r>
      <w:r w:rsidRPr="00297E98">
        <w:rPr>
          <w:rFonts w:ascii="Times New Roman" w:hAnsi="Times New Roman" w:cs="Times New Roman"/>
          <w:noProof/>
          <w:sz w:val="24"/>
          <w:szCs w:val="24"/>
        </w:rPr>
        <w:t xml:space="preserve">000 (over 3 years) to outsource part of such research needs. </w:t>
      </w:r>
    </w:p>
    <w:p w14:paraId="2614E9A4" w14:textId="77777777" w:rsidR="000A7D9D" w:rsidRPr="00297E98" w:rsidRDefault="000A7D9D" w:rsidP="000A7D9D">
      <w:pPr>
        <w:spacing w:after="120"/>
        <w:jc w:val="both"/>
        <w:rPr>
          <w:rFonts w:ascii="Times New Roman" w:hAnsi="Times New Roman" w:cs="Times New Roman"/>
          <w:noProof/>
          <w:sz w:val="24"/>
          <w:szCs w:val="24"/>
        </w:rPr>
      </w:pPr>
      <w:r w:rsidRPr="00297E98">
        <w:rPr>
          <w:rFonts w:ascii="Times New Roman" w:hAnsi="Times New Roman" w:cs="Times New Roman"/>
          <w:noProof/>
          <w:color w:val="000000" w:themeColor="text1"/>
          <w:sz w:val="24"/>
          <w:szCs w:val="24"/>
        </w:rPr>
        <w:t xml:space="preserve">A sum of </w:t>
      </w:r>
      <w:r>
        <w:rPr>
          <w:rFonts w:ascii="Times New Roman" w:hAnsi="Times New Roman" w:cs="Times New Roman"/>
          <w:noProof/>
          <w:color w:val="000000" w:themeColor="text1"/>
          <w:sz w:val="24"/>
          <w:szCs w:val="24"/>
        </w:rPr>
        <w:t xml:space="preserve">EUR </w:t>
      </w:r>
      <w:r w:rsidRPr="00297E98">
        <w:rPr>
          <w:rFonts w:ascii="Times New Roman" w:hAnsi="Times New Roman" w:cs="Times New Roman"/>
          <w:noProof/>
          <w:color w:val="000000" w:themeColor="text1"/>
          <w:sz w:val="24"/>
          <w:szCs w:val="24"/>
        </w:rPr>
        <w:t>22</w:t>
      </w:r>
      <w:r>
        <w:rPr>
          <w:rFonts w:ascii="Times New Roman" w:hAnsi="Times New Roman" w:cs="Times New Roman"/>
          <w:noProof/>
          <w:color w:val="000000" w:themeColor="text1"/>
          <w:sz w:val="24"/>
          <w:szCs w:val="24"/>
        </w:rPr>
        <w:t xml:space="preserve"> </w:t>
      </w:r>
      <w:r w:rsidRPr="00297E98">
        <w:rPr>
          <w:rFonts w:ascii="Times New Roman" w:hAnsi="Times New Roman" w:cs="Times New Roman"/>
          <w:noProof/>
          <w:color w:val="000000" w:themeColor="text1"/>
          <w:sz w:val="24"/>
          <w:szCs w:val="24"/>
        </w:rPr>
        <w:t xml:space="preserve">000 is also required to cover the cost of the rapporteurs (Member State experts guiding the dossiers through the opinion-making in the RAC and SEAC committees) for each restriction, as well as </w:t>
      </w:r>
      <w:r>
        <w:rPr>
          <w:rFonts w:ascii="Times New Roman" w:hAnsi="Times New Roman" w:cs="Times New Roman"/>
          <w:noProof/>
          <w:color w:val="000000" w:themeColor="text1"/>
          <w:sz w:val="24"/>
          <w:szCs w:val="24"/>
        </w:rPr>
        <w:t>EUR</w:t>
      </w:r>
      <w:r w:rsidRPr="00297E98">
        <w:rPr>
          <w:rFonts w:ascii="Times New Roman" w:hAnsi="Times New Roman" w:cs="Times New Roman"/>
          <w:noProof/>
          <w:color w:val="000000" w:themeColor="text1"/>
          <w:sz w:val="24"/>
          <w:szCs w:val="24"/>
        </w:rPr>
        <w:t xml:space="preserve"> 43</w:t>
      </w:r>
      <w:r>
        <w:rPr>
          <w:rFonts w:ascii="Times New Roman" w:hAnsi="Times New Roman" w:cs="Times New Roman"/>
          <w:noProof/>
          <w:color w:val="000000" w:themeColor="text1"/>
          <w:sz w:val="24"/>
          <w:szCs w:val="24"/>
        </w:rPr>
        <w:t xml:space="preserve"> </w:t>
      </w:r>
      <w:r w:rsidRPr="00297E98">
        <w:rPr>
          <w:rFonts w:ascii="Times New Roman" w:hAnsi="Times New Roman" w:cs="Times New Roman"/>
          <w:noProof/>
          <w:color w:val="000000" w:themeColor="text1"/>
          <w:sz w:val="24"/>
          <w:szCs w:val="24"/>
        </w:rPr>
        <w:t>000 over 4 years for covering a proportionate part of the full cost of organising the RAC and SEAC meetings (travel, accommodation and daily allowance costs: cost calculated based on the average time/effort needed for a restriction dossier in both committees).</w:t>
      </w:r>
    </w:p>
    <w:p w14:paraId="0B53F307" w14:textId="77777777" w:rsidR="000A7D9D" w:rsidRPr="00297E98" w:rsidRDefault="000A7D9D" w:rsidP="000A7D9D">
      <w:pPr>
        <w:spacing w:after="120"/>
        <w:jc w:val="both"/>
        <w:rPr>
          <w:rFonts w:ascii="Times New Roman" w:hAnsi="Times New Roman" w:cs="Times New Roman"/>
          <w:noProof/>
          <w:sz w:val="24"/>
          <w:szCs w:val="24"/>
        </w:rPr>
      </w:pPr>
      <w:r w:rsidRPr="00297E98">
        <w:rPr>
          <w:rFonts w:ascii="Times New Roman" w:hAnsi="Times New Roman" w:cs="Times New Roman"/>
          <w:noProof/>
          <w:sz w:val="24"/>
          <w:szCs w:val="24"/>
        </w:rPr>
        <w:t>The aforementioned resources have been estimated using a calculation model which takes account of relevant experience from tasks executed by ECHA under other regulatory frameworks (e.g. REACH, CLP, BPR) and from the implementation of the existing national approaches where relevant. It sets out the resources that will be needed by ECHA over 2024-2027 and beyond, in order to handle the foreseen tasks.</w:t>
      </w:r>
    </w:p>
    <w:p w14:paraId="2E9EFABB" w14:textId="77777777" w:rsidR="000A7D9D" w:rsidRPr="00297E98" w:rsidRDefault="000A7D9D" w:rsidP="000A7D9D">
      <w:pPr>
        <w:spacing w:before="120" w:after="120"/>
        <w:rPr>
          <w:rFonts w:ascii="Times New Roman" w:hAnsi="Times New Roman" w:cs="Times New Roman"/>
          <w:noProof/>
          <w:sz w:val="24"/>
          <w:szCs w:val="24"/>
          <w:lang w:val="en-US" w:eastAsia="en-GB"/>
        </w:rPr>
      </w:pPr>
      <w:r w:rsidRPr="00297E98">
        <w:rPr>
          <w:rFonts w:ascii="Times New Roman" w:hAnsi="Times New Roman" w:cs="Times New Roman"/>
          <w:noProof/>
          <w:sz w:val="24"/>
          <w:szCs w:val="24"/>
          <w:lang w:val="en-US" w:eastAsia="en-GB"/>
        </w:rPr>
        <w:t>Summary of additional resource needs for the batteries regulation:</w:t>
      </w:r>
    </w:p>
    <w:tbl>
      <w:tblPr>
        <w:tblStyle w:val="TableGrid"/>
        <w:tblW w:w="0" w:type="auto"/>
        <w:tblLook w:val="04A0" w:firstRow="1" w:lastRow="0" w:firstColumn="1" w:lastColumn="0" w:noHBand="0" w:noVBand="1"/>
      </w:tblPr>
      <w:tblGrid>
        <w:gridCol w:w="1245"/>
        <w:gridCol w:w="4139"/>
        <w:gridCol w:w="1965"/>
        <w:gridCol w:w="2280"/>
      </w:tblGrid>
      <w:tr w:rsidR="000A7D9D" w:rsidRPr="00C56424" w14:paraId="78A043F9" w14:textId="77777777" w:rsidTr="00F31937">
        <w:trPr>
          <w:trHeight w:val="300"/>
        </w:trPr>
        <w:tc>
          <w:tcPr>
            <w:tcW w:w="1245" w:type="dxa"/>
            <w:shd w:val="clear" w:color="auto" w:fill="D9D9D9" w:themeFill="background1" w:themeFillShade="D9"/>
          </w:tcPr>
          <w:p w14:paraId="2405B1B3"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4139" w:type="dxa"/>
            <w:shd w:val="clear" w:color="auto" w:fill="D9D9D9" w:themeFill="background1" w:themeFillShade="D9"/>
          </w:tcPr>
          <w:p w14:paraId="097EEABC"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965" w:type="dxa"/>
            <w:shd w:val="clear" w:color="auto" w:fill="D9D9D9" w:themeFill="background1" w:themeFillShade="D9"/>
          </w:tcPr>
          <w:p w14:paraId="64FFE571"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280" w:type="dxa"/>
            <w:shd w:val="clear" w:color="auto" w:fill="D9D9D9" w:themeFill="background1" w:themeFillShade="D9"/>
          </w:tcPr>
          <w:p w14:paraId="48121444" w14:textId="77777777" w:rsidR="000A7D9D" w:rsidRPr="00C56424" w:rsidRDefault="000A7D9D" w:rsidP="00F31937">
            <w:pPr>
              <w:pStyle w:val="BodyText"/>
              <w:tabs>
                <w:tab w:val="left" w:pos="4170"/>
              </w:tabs>
              <w:spacing w:after="0"/>
              <w:rPr>
                <w:noProof/>
                <w:sz w:val="20"/>
                <w:szCs w:val="20"/>
              </w:rPr>
            </w:pPr>
          </w:p>
        </w:tc>
      </w:tr>
      <w:tr w:rsidR="000A7D9D" w:rsidRPr="00C56424" w14:paraId="78BE7E26" w14:textId="77777777" w:rsidTr="00F31937">
        <w:trPr>
          <w:trHeight w:val="1050"/>
        </w:trPr>
        <w:tc>
          <w:tcPr>
            <w:tcW w:w="1245" w:type="dxa"/>
            <w:vMerge w:val="restart"/>
            <w:shd w:val="clear" w:color="auto" w:fill="D9D9D9" w:themeFill="background1" w:themeFillShade="D9"/>
          </w:tcPr>
          <w:p w14:paraId="375CAE67" w14:textId="77777777" w:rsidR="000A7D9D" w:rsidRPr="00C56424" w:rsidRDefault="000A7D9D" w:rsidP="00F31937">
            <w:pPr>
              <w:pStyle w:val="BodyText"/>
              <w:spacing w:line="259" w:lineRule="auto"/>
              <w:rPr>
                <w:noProof/>
                <w:sz w:val="20"/>
                <w:szCs w:val="20"/>
              </w:rPr>
            </w:pPr>
            <w:r w:rsidRPr="00C56424">
              <w:rPr>
                <w:noProof/>
                <w:sz w:val="20"/>
                <w:szCs w:val="20"/>
              </w:rPr>
              <w:t>ECHA</w:t>
            </w:r>
          </w:p>
        </w:tc>
        <w:tc>
          <w:tcPr>
            <w:tcW w:w="4139" w:type="dxa"/>
            <w:vMerge w:val="restart"/>
            <w:shd w:val="clear" w:color="auto" w:fill="D9D9D9" w:themeFill="background1" w:themeFillShade="D9"/>
          </w:tcPr>
          <w:p w14:paraId="799B8480" w14:textId="77777777" w:rsidR="000A7D9D" w:rsidRPr="00C56424" w:rsidRDefault="000A7D9D" w:rsidP="00F31937">
            <w:pPr>
              <w:rPr>
                <w:rFonts w:eastAsiaTheme="minorEastAsia"/>
                <w:noProof/>
              </w:rPr>
            </w:pPr>
            <w:r w:rsidRPr="00C56424">
              <w:rPr>
                <w:rFonts w:eastAsiaTheme="minorEastAsia"/>
                <w:noProof/>
              </w:rPr>
              <w:t xml:space="preserve">Assessment underlying the restriction of hazardous substances in batteries (1 restriction / year) </w:t>
            </w:r>
          </w:p>
          <w:p w14:paraId="5E370F98" w14:textId="77777777" w:rsidR="000A7D9D" w:rsidRPr="00C56424" w:rsidRDefault="000A7D9D" w:rsidP="000A7D9D">
            <w:pPr>
              <w:pStyle w:val="BodyText"/>
              <w:widowControl w:val="0"/>
              <w:numPr>
                <w:ilvl w:val="0"/>
                <w:numId w:val="87"/>
              </w:numPr>
              <w:spacing w:after="0"/>
              <w:ind w:left="714" w:hanging="357"/>
              <w:rPr>
                <w:noProof/>
                <w:sz w:val="20"/>
                <w:szCs w:val="20"/>
              </w:rPr>
            </w:pPr>
            <w:r w:rsidRPr="00C56424">
              <w:rPr>
                <w:noProof/>
                <w:sz w:val="20"/>
                <w:szCs w:val="20"/>
              </w:rPr>
              <w:t>Substance prioritisation and data analytics</w:t>
            </w:r>
          </w:p>
          <w:p w14:paraId="015E260B" w14:textId="77777777" w:rsidR="000A7D9D" w:rsidRPr="00C56424" w:rsidRDefault="000A7D9D" w:rsidP="000A7D9D">
            <w:pPr>
              <w:pStyle w:val="BodyText"/>
              <w:widowControl w:val="0"/>
              <w:numPr>
                <w:ilvl w:val="0"/>
                <w:numId w:val="87"/>
              </w:numPr>
              <w:spacing w:after="0"/>
              <w:ind w:left="714" w:hanging="357"/>
              <w:rPr>
                <w:noProof/>
                <w:sz w:val="20"/>
                <w:szCs w:val="20"/>
              </w:rPr>
            </w:pPr>
            <w:r w:rsidRPr="00C56424">
              <w:rPr>
                <w:noProof/>
                <w:sz w:val="20"/>
                <w:szCs w:val="20"/>
              </w:rPr>
              <w:t>Restriction dossier development</w:t>
            </w:r>
          </w:p>
          <w:p w14:paraId="13E63616" w14:textId="77777777" w:rsidR="000A7D9D" w:rsidRPr="00C56424" w:rsidRDefault="000A7D9D" w:rsidP="000A7D9D">
            <w:pPr>
              <w:pStyle w:val="BodyText"/>
              <w:widowControl w:val="0"/>
              <w:numPr>
                <w:ilvl w:val="0"/>
                <w:numId w:val="87"/>
              </w:numPr>
              <w:spacing w:after="0"/>
              <w:ind w:left="714" w:hanging="357"/>
              <w:rPr>
                <w:noProof/>
                <w:sz w:val="20"/>
                <w:szCs w:val="20"/>
              </w:rPr>
            </w:pPr>
            <w:r w:rsidRPr="00C56424">
              <w:rPr>
                <w:noProof/>
                <w:sz w:val="20"/>
                <w:szCs w:val="20"/>
              </w:rPr>
              <w:t>RAC opinion development</w:t>
            </w:r>
          </w:p>
          <w:p w14:paraId="01B5A56A" w14:textId="77777777" w:rsidR="000A7D9D" w:rsidRPr="00C56424" w:rsidRDefault="000A7D9D" w:rsidP="000A7D9D">
            <w:pPr>
              <w:pStyle w:val="BodyText"/>
              <w:widowControl w:val="0"/>
              <w:numPr>
                <w:ilvl w:val="0"/>
                <w:numId w:val="87"/>
              </w:numPr>
              <w:spacing w:after="0"/>
              <w:ind w:left="714" w:hanging="357"/>
              <w:rPr>
                <w:noProof/>
                <w:sz w:val="20"/>
                <w:szCs w:val="20"/>
              </w:rPr>
            </w:pPr>
            <w:r w:rsidRPr="00C56424">
              <w:rPr>
                <w:noProof/>
                <w:sz w:val="20"/>
                <w:szCs w:val="20"/>
              </w:rPr>
              <w:t>SEAC opinion development</w:t>
            </w:r>
          </w:p>
          <w:p w14:paraId="3097940F" w14:textId="77777777" w:rsidR="000A7D9D" w:rsidRPr="00C56424" w:rsidRDefault="000A7D9D" w:rsidP="000A7D9D">
            <w:pPr>
              <w:pStyle w:val="BodyText"/>
              <w:widowControl w:val="0"/>
              <w:numPr>
                <w:ilvl w:val="0"/>
                <w:numId w:val="87"/>
              </w:numPr>
              <w:spacing w:after="0"/>
              <w:ind w:left="714" w:hanging="357"/>
              <w:rPr>
                <w:noProof/>
                <w:sz w:val="20"/>
                <w:szCs w:val="20"/>
              </w:rPr>
            </w:pPr>
            <w:r w:rsidRPr="00C56424">
              <w:rPr>
                <w:noProof/>
                <w:sz w:val="20"/>
                <w:szCs w:val="20"/>
              </w:rPr>
              <w:t>Dissemination</w:t>
            </w:r>
          </w:p>
        </w:tc>
        <w:tc>
          <w:tcPr>
            <w:tcW w:w="1965" w:type="dxa"/>
            <w:shd w:val="clear" w:color="auto" w:fill="D9D9D9" w:themeFill="background1" w:themeFillShade="D9"/>
          </w:tcPr>
          <w:p w14:paraId="4217DCA7"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280" w:type="dxa"/>
            <w:shd w:val="clear" w:color="auto" w:fill="D9D9D9" w:themeFill="background1" w:themeFillShade="D9"/>
          </w:tcPr>
          <w:p w14:paraId="2878D9A9"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2023: </w:t>
            </w:r>
            <w:r w:rsidRPr="00C56424">
              <w:rPr>
                <w:b/>
                <w:noProof/>
                <w:sz w:val="20"/>
                <w:szCs w:val="20"/>
              </w:rPr>
              <w:t xml:space="preserve">EUR </w:t>
            </w:r>
            <w:r w:rsidRPr="00C56424">
              <w:rPr>
                <w:b/>
                <w:bCs/>
                <w:noProof/>
                <w:sz w:val="20"/>
                <w:szCs w:val="20"/>
              </w:rPr>
              <w:t>158 000</w:t>
            </w:r>
          </w:p>
          <w:p w14:paraId="3F42E23D"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2024: </w:t>
            </w:r>
            <w:r w:rsidRPr="00C56424">
              <w:rPr>
                <w:b/>
                <w:noProof/>
                <w:sz w:val="20"/>
                <w:szCs w:val="20"/>
              </w:rPr>
              <w:t>EUR</w:t>
            </w:r>
            <w:r w:rsidRPr="00C56424">
              <w:rPr>
                <w:noProof/>
                <w:sz w:val="20"/>
                <w:szCs w:val="20"/>
              </w:rPr>
              <w:t xml:space="preserve"> </w:t>
            </w:r>
            <w:r w:rsidRPr="00C56424">
              <w:rPr>
                <w:b/>
                <w:bCs/>
                <w:noProof/>
                <w:sz w:val="20"/>
                <w:szCs w:val="20"/>
              </w:rPr>
              <w:t>158 000</w:t>
            </w:r>
          </w:p>
          <w:p w14:paraId="03EE20B2"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2025: </w:t>
            </w:r>
            <w:r w:rsidRPr="00C56424">
              <w:rPr>
                <w:b/>
                <w:noProof/>
                <w:sz w:val="20"/>
                <w:szCs w:val="20"/>
              </w:rPr>
              <w:t>EUR</w:t>
            </w:r>
            <w:r w:rsidRPr="00C56424">
              <w:rPr>
                <w:noProof/>
                <w:sz w:val="20"/>
                <w:szCs w:val="20"/>
              </w:rPr>
              <w:t xml:space="preserve"> </w:t>
            </w:r>
            <w:r w:rsidRPr="00C56424">
              <w:rPr>
                <w:b/>
                <w:bCs/>
                <w:noProof/>
                <w:sz w:val="20"/>
                <w:szCs w:val="20"/>
              </w:rPr>
              <w:t>158 000</w:t>
            </w:r>
          </w:p>
          <w:p w14:paraId="6168FAAB"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EUR</w:t>
            </w:r>
            <w:r w:rsidRPr="00C56424">
              <w:rPr>
                <w:noProof/>
                <w:sz w:val="20"/>
                <w:szCs w:val="20"/>
              </w:rPr>
              <w:t xml:space="preserve"> </w:t>
            </w:r>
            <w:r w:rsidRPr="00C56424">
              <w:rPr>
                <w:b/>
                <w:bCs/>
                <w:noProof/>
                <w:sz w:val="20"/>
                <w:szCs w:val="20"/>
              </w:rPr>
              <w:t>25 000</w:t>
            </w:r>
          </w:p>
          <w:p w14:paraId="13656032"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EUR</w:t>
            </w:r>
            <w:r w:rsidRPr="00C56424">
              <w:rPr>
                <w:noProof/>
                <w:sz w:val="20"/>
                <w:szCs w:val="20"/>
              </w:rPr>
              <w:t xml:space="preserve"> </w:t>
            </w:r>
            <w:r w:rsidRPr="00C56424">
              <w:rPr>
                <w:b/>
                <w:bCs/>
                <w:noProof/>
                <w:sz w:val="20"/>
                <w:szCs w:val="20"/>
              </w:rPr>
              <w:t>25 000</w:t>
            </w:r>
          </w:p>
          <w:p w14:paraId="33280B1F"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2028: </w:t>
            </w:r>
            <w:r w:rsidRPr="00C56424">
              <w:rPr>
                <w:b/>
                <w:noProof/>
                <w:sz w:val="20"/>
                <w:szCs w:val="20"/>
              </w:rPr>
              <w:t>EUR</w:t>
            </w:r>
            <w:r w:rsidRPr="00C56424">
              <w:rPr>
                <w:noProof/>
                <w:sz w:val="20"/>
                <w:szCs w:val="20"/>
              </w:rPr>
              <w:t xml:space="preserve"> </w:t>
            </w:r>
            <w:r w:rsidRPr="00C56424">
              <w:rPr>
                <w:b/>
                <w:bCs/>
                <w:noProof/>
                <w:sz w:val="20"/>
                <w:szCs w:val="20"/>
              </w:rPr>
              <w:t>25 000</w:t>
            </w:r>
          </w:p>
          <w:p w14:paraId="223F7D81" w14:textId="77777777" w:rsidR="000A7D9D" w:rsidRPr="00C56424" w:rsidRDefault="000A7D9D" w:rsidP="00F31937">
            <w:pPr>
              <w:pStyle w:val="BodyText"/>
              <w:tabs>
                <w:tab w:val="left" w:pos="4170"/>
              </w:tabs>
              <w:spacing w:after="0"/>
              <w:rPr>
                <w:noProof/>
                <w:sz w:val="20"/>
                <w:szCs w:val="20"/>
              </w:rPr>
            </w:pPr>
          </w:p>
        </w:tc>
      </w:tr>
      <w:tr w:rsidR="000A7D9D" w:rsidRPr="00C56424" w14:paraId="0CEFBED9" w14:textId="77777777" w:rsidTr="00F31937">
        <w:trPr>
          <w:trHeight w:val="300"/>
        </w:trPr>
        <w:tc>
          <w:tcPr>
            <w:tcW w:w="1245" w:type="dxa"/>
            <w:vMerge/>
            <w:shd w:val="clear" w:color="auto" w:fill="D9D9D9" w:themeFill="background1" w:themeFillShade="D9"/>
          </w:tcPr>
          <w:p w14:paraId="3EFA722A" w14:textId="77777777" w:rsidR="000A7D9D" w:rsidRPr="00C56424" w:rsidRDefault="000A7D9D" w:rsidP="00F31937">
            <w:pPr>
              <w:pStyle w:val="BodyText"/>
              <w:spacing w:line="259" w:lineRule="auto"/>
              <w:rPr>
                <w:noProof/>
                <w:sz w:val="20"/>
                <w:szCs w:val="20"/>
              </w:rPr>
            </w:pPr>
          </w:p>
        </w:tc>
        <w:tc>
          <w:tcPr>
            <w:tcW w:w="4139" w:type="dxa"/>
            <w:vMerge/>
            <w:shd w:val="clear" w:color="auto" w:fill="D9D9D9" w:themeFill="background1" w:themeFillShade="D9"/>
          </w:tcPr>
          <w:p w14:paraId="28FA8090" w14:textId="77777777" w:rsidR="000A7D9D" w:rsidRPr="00C56424" w:rsidRDefault="000A7D9D" w:rsidP="00F31937">
            <w:pPr>
              <w:pStyle w:val="BodyText"/>
              <w:rPr>
                <w:noProof/>
                <w:sz w:val="20"/>
                <w:szCs w:val="20"/>
              </w:rPr>
            </w:pPr>
          </w:p>
        </w:tc>
        <w:tc>
          <w:tcPr>
            <w:tcW w:w="1965" w:type="dxa"/>
            <w:shd w:val="clear" w:color="auto" w:fill="D9D9D9" w:themeFill="background1" w:themeFillShade="D9"/>
          </w:tcPr>
          <w:p w14:paraId="2D22DCD8"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280" w:type="dxa"/>
            <w:shd w:val="clear" w:color="auto" w:fill="D9D9D9" w:themeFill="background1" w:themeFillShade="D9"/>
          </w:tcPr>
          <w:p w14:paraId="2D7F1DB7"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2023: </w:t>
            </w:r>
            <w:r w:rsidRPr="00C56424">
              <w:rPr>
                <w:b/>
                <w:bCs/>
                <w:noProof/>
                <w:sz w:val="20"/>
                <w:szCs w:val="20"/>
              </w:rPr>
              <w:t>2 TA, 1 CA</w:t>
            </w:r>
          </w:p>
          <w:p w14:paraId="00A3C7C2"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2024: </w:t>
            </w:r>
            <w:r w:rsidRPr="00C56424">
              <w:rPr>
                <w:b/>
                <w:bCs/>
                <w:noProof/>
                <w:sz w:val="20"/>
                <w:szCs w:val="20"/>
              </w:rPr>
              <w:t>2 TA, 1 CA</w:t>
            </w:r>
          </w:p>
          <w:p w14:paraId="2632FB86" w14:textId="77777777" w:rsidR="000A7D9D" w:rsidRPr="00C56424" w:rsidRDefault="000A7D9D" w:rsidP="00F31937">
            <w:pPr>
              <w:pStyle w:val="BodyText"/>
              <w:tabs>
                <w:tab w:val="left" w:pos="4170"/>
              </w:tabs>
              <w:spacing w:after="0"/>
              <w:rPr>
                <w:b/>
                <w:bCs/>
                <w:noProof/>
                <w:sz w:val="20"/>
                <w:szCs w:val="20"/>
              </w:rPr>
            </w:pPr>
            <w:r w:rsidRPr="00C56424">
              <w:rPr>
                <w:noProof/>
                <w:sz w:val="20"/>
                <w:szCs w:val="20"/>
              </w:rPr>
              <w:t xml:space="preserve">2025: </w:t>
            </w:r>
            <w:r w:rsidRPr="00C56424">
              <w:rPr>
                <w:b/>
                <w:bCs/>
                <w:noProof/>
                <w:sz w:val="20"/>
                <w:szCs w:val="20"/>
              </w:rPr>
              <w:t>2 TA, 1 CA</w:t>
            </w:r>
          </w:p>
          <w:p w14:paraId="0CE8174E"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bCs/>
                <w:noProof/>
                <w:sz w:val="20"/>
                <w:szCs w:val="20"/>
              </w:rPr>
              <w:t>2 TA, 0 CA</w:t>
            </w:r>
          </w:p>
          <w:p w14:paraId="3ED2BF39" w14:textId="77777777" w:rsidR="000A7D9D" w:rsidRPr="00C56424" w:rsidRDefault="000A7D9D" w:rsidP="00F31937">
            <w:pPr>
              <w:pStyle w:val="BodyText"/>
              <w:tabs>
                <w:tab w:val="left" w:pos="4170"/>
              </w:tabs>
              <w:spacing w:after="0"/>
              <w:rPr>
                <w:b/>
                <w:bCs/>
                <w:noProof/>
                <w:sz w:val="20"/>
                <w:szCs w:val="20"/>
              </w:rPr>
            </w:pPr>
            <w:r w:rsidRPr="00C56424">
              <w:rPr>
                <w:noProof/>
                <w:sz w:val="20"/>
                <w:szCs w:val="20"/>
              </w:rPr>
              <w:t xml:space="preserve">2027: </w:t>
            </w:r>
            <w:r w:rsidRPr="00C56424">
              <w:rPr>
                <w:b/>
                <w:bCs/>
                <w:noProof/>
                <w:sz w:val="20"/>
                <w:szCs w:val="20"/>
              </w:rPr>
              <w:t>2 TA, 0 CA</w:t>
            </w:r>
          </w:p>
          <w:p w14:paraId="35FED286"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2028: </w:t>
            </w:r>
            <w:r w:rsidRPr="00C56424">
              <w:rPr>
                <w:b/>
                <w:bCs/>
                <w:noProof/>
                <w:sz w:val="20"/>
                <w:szCs w:val="20"/>
              </w:rPr>
              <w:t>2 TA, 0 CA</w:t>
            </w:r>
          </w:p>
          <w:p w14:paraId="0BDF348D" w14:textId="77777777" w:rsidR="000A7D9D" w:rsidRPr="00C56424" w:rsidRDefault="000A7D9D" w:rsidP="00F31937">
            <w:pPr>
              <w:pStyle w:val="BodyText"/>
              <w:tabs>
                <w:tab w:val="left" w:pos="4170"/>
              </w:tabs>
              <w:spacing w:after="0"/>
              <w:rPr>
                <w:b/>
                <w:bCs/>
                <w:noProof/>
                <w:sz w:val="20"/>
                <w:szCs w:val="20"/>
              </w:rPr>
            </w:pPr>
          </w:p>
        </w:tc>
      </w:tr>
    </w:tbl>
    <w:p w14:paraId="64793218" w14:textId="77777777" w:rsidR="000A7D9D" w:rsidRPr="00297E98" w:rsidRDefault="000A7D9D" w:rsidP="000A7D9D">
      <w:pPr>
        <w:pStyle w:val="BodyText"/>
        <w:spacing w:before="120"/>
        <w:rPr>
          <w:noProof/>
        </w:rPr>
      </w:pPr>
      <w:r w:rsidRPr="00297E98">
        <w:rPr>
          <w:noProof/>
          <w:u w:val="single"/>
        </w:rPr>
        <w:t>Future budget line:</w:t>
      </w:r>
      <w:r w:rsidRPr="00297E98">
        <w:rPr>
          <w:noProof/>
        </w:rPr>
        <w:t xml:space="preserve"> DG Environment</w:t>
      </w:r>
    </w:p>
    <w:p w14:paraId="1883A374" w14:textId="77777777" w:rsidR="000A7D9D" w:rsidRPr="00297E98" w:rsidRDefault="000A7D9D" w:rsidP="000A7D9D">
      <w:pPr>
        <w:pStyle w:val="BodyText"/>
        <w:rPr>
          <w:noProof/>
        </w:rPr>
      </w:pPr>
      <w:r w:rsidRPr="00297E98">
        <w:rPr>
          <w:noProof/>
          <w:u w:val="single"/>
        </w:rPr>
        <w:t>Candidate for funding from fees:</w:t>
      </w:r>
      <w:r w:rsidRPr="00297E98">
        <w:rPr>
          <w:noProof/>
        </w:rPr>
        <w:t xml:space="preserve"> No</w:t>
      </w:r>
    </w:p>
    <w:p w14:paraId="0D225FBA" w14:textId="77777777" w:rsidR="000A7D9D" w:rsidRPr="00E46DC1" w:rsidRDefault="000A7D9D" w:rsidP="000A7D9D">
      <w:pPr>
        <w:pStyle w:val="BodyText"/>
        <w:rPr>
          <w:noProof/>
        </w:rPr>
      </w:pPr>
    </w:p>
    <w:p w14:paraId="7ABF1A17"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47" w:name="_Toc150499925"/>
      <w:r w:rsidRPr="00291F95">
        <w:rPr>
          <w:rFonts w:ascii="Times New Roman" w:hAnsi="Times New Roman"/>
          <w:smallCaps/>
          <w:noProof/>
          <w:color w:val="auto"/>
          <w:sz w:val="24"/>
          <w:szCs w:val="20"/>
          <w:lang w:eastAsia="en-US"/>
        </w:rPr>
        <w:t>E-PRTR Regulation (2006/166)</w:t>
      </w:r>
      <w:bookmarkEnd w:id="47"/>
    </w:p>
    <w:p w14:paraId="1058D50D" w14:textId="77777777" w:rsidR="000A7D9D" w:rsidRPr="00EF2DDF" w:rsidRDefault="000A7D9D" w:rsidP="000A7D9D">
      <w:pPr>
        <w:spacing w:after="120"/>
        <w:rPr>
          <w:rFonts w:ascii="Times New Roman" w:hAnsi="Times New Roman" w:cs="Times New Roman"/>
          <w:b/>
          <w:bCs/>
          <w:noProof/>
          <w:sz w:val="24"/>
          <w:szCs w:val="24"/>
          <w:lang w:val="fr-BE"/>
        </w:rPr>
      </w:pPr>
      <w:r w:rsidRPr="00EF2DDF">
        <w:rPr>
          <w:rFonts w:ascii="Times New Roman" w:hAnsi="Times New Roman" w:cs="Times New Roman"/>
          <w:b/>
          <w:bCs/>
          <w:noProof/>
          <w:sz w:val="24"/>
          <w:szCs w:val="24"/>
          <w:lang w:val="fr-BE"/>
        </w:rPr>
        <w:t>Responsible body :</w:t>
      </w:r>
    </w:p>
    <w:p w14:paraId="3AF20E64" w14:textId="77777777" w:rsidR="000A7D9D" w:rsidRPr="00EF2DDF" w:rsidRDefault="000A7D9D" w:rsidP="000A7D9D">
      <w:pPr>
        <w:spacing w:after="120"/>
        <w:rPr>
          <w:rFonts w:ascii="Times New Roman" w:hAnsi="Times New Roman" w:cs="Times New Roman"/>
          <w:noProof/>
          <w:sz w:val="24"/>
          <w:szCs w:val="24"/>
        </w:rPr>
      </w:pPr>
      <w:r w:rsidRPr="00EF2DDF">
        <w:rPr>
          <w:rFonts w:ascii="Times New Roman" w:hAnsi="Times New Roman" w:cs="Times New Roman"/>
          <w:noProof/>
          <w:sz w:val="24"/>
          <w:szCs w:val="24"/>
          <w:u w:val="single"/>
        </w:rPr>
        <w:t>Currently:</w:t>
      </w:r>
      <w:r w:rsidRPr="00EF2DDF">
        <w:rPr>
          <w:rFonts w:ascii="Times New Roman" w:hAnsi="Times New Roman" w:cs="Times New Roman"/>
          <w:noProof/>
          <w:sz w:val="24"/>
          <w:szCs w:val="24"/>
        </w:rPr>
        <w:t xml:space="preserve"> N/A, no current process as it is expansion of the existing task performed by EEA</w:t>
      </w:r>
    </w:p>
    <w:p w14:paraId="731EF4C8" w14:textId="77777777" w:rsidR="000A7D9D" w:rsidRPr="00EF2DDF" w:rsidRDefault="000A7D9D" w:rsidP="000A7D9D">
      <w:pPr>
        <w:pStyle w:val="BodyText"/>
        <w:rPr>
          <w:b/>
          <w:bCs/>
          <w:noProof/>
        </w:rPr>
      </w:pPr>
      <w:r w:rsidRPr="00EF2DDF">
        <w:rPr>
          <w:noProof/>
          <w:u w:val="single"/>
        </w:rPr>
        <w:t>(Re-)attribution planned to</w:t>
      </w:r>
      <w:r w:rsidRPr="00EF2DDF">
        <w:rPr>
          <w:noProof/>
        </w:rPr>
        <w:t>: EEA</w:t>
      </w:r>
    </w:p>
    <w:p w14:paraId="05A1906D" w14:textId="77777777" w:rsidR="000A7D9D" w:rsidRPr="00EF2DDF" w:rsidRDefault="000A7D9D" w:rsidP="000A7D9D">
      <w:pPr>
        <w:pStyle w:val="BodyText"/>
        <w:rPr>
          <w:noProof/>
        </w:rPr>
      </w:pPr>
      <w:r w:rsidRPr="00EF2DDF">
        <w:rPr>
          <w:b/>
          <w:bCs/>
          <w:noProof/>
        </w:rPr>
        <w:t xml:space="preserve">Legal basis for reattribution: </w:t>
      </w:r>
      <w:r w:rsidRPr="00EF2DDF">
        <w:rPr>
          <w:noProof/>
        </w:rPr>
        <w:t>Revision of the EPRTR regulation (166/2006)</w:t>
      </w:r>
    </w:p>
    <w:p w14:paraId="222E4B24" w14:textId="77777777" w:rsidR="000A7D9D" w:rsidRPr="00EF2DDF" w:rsidRDefault="000A7D9D" w:rsidP="000A7D9D">
      <w:pPr>
        <w:pStyle w:val="BodyText"/>
        <w:jc w:val="both"/>
        <w:rPr>
          <w:b/>
          <w:bCs/>
          <w:noProof/>
        </w:rPr>
      </w:pPr>
      <w:r w:rsidRPr="00EF2DDF">
        <w:rPr>
          <w:b/>
          <w:bCs/>
          <w:noProof/>
        </w:rPr>
        <w:t xml:space="preserve">Type of task: </w:t>
      </w:r>
      <w:r w:rsidRPr="00EF2DDF">
        <w:rPr>
          <w:noProof/>
        </w:rPr>
        <w:t>new (extension of the existing one)</w:t>
      </w:r>
    </w:p>
    <w:p w14:paraId="650557A0" w14:textId="77777777" w:rsidR="000A7D9D" w:rsidRPr="00EF2DDF" w:rsidRDefault="000A7D9D" w:rsidP="000A7D9D">
      <w:pPr>
        <w:pStyle w:val="BodyText"/>
        <w:jc w:val="both"/>
        <w:rPr>
          <w:noProof/>
        </w:rPr>
      </w:pPr>
      <w:r w:rsidRPr="00EF2DDF">
        <w:rPr>
          <w:b/>
          <w:bCs/>
          <w:noProof/>
        </w:rPr>
        <w:t xml:space="preserve">Brief task overview: </w:t>
      </w:r>
      <w:r w:rsidRPr="00EF2DDF">
        <w:rPr>
          <w:bCs/>
          <w:noProof/>
        </w:rPr>
        <w:t>EEA</w:t>
      </w:r>
      <w:r w:rsidRPr="00EF2DDF">
        <w:rPr>
          <w:b/>
          <w:bCs/>
          <w:noProof/>
        </w:rPr>
        <w:t xml:space="preserve"> </w:t>
      </w:r>
      <w:r w:rsidRPr="00EF2DDF">
        <w:rPr>
          <w:noProof/>
        </w:rPr>
        <w:t xml:space="preserve">currently operates the European Pollutant Release and Transfer Register. The existing EPRTR is replaced by an Industrial Emissions Portal that should be operated by EEA too. The new Portal should contain more data and provide more functionalities as compared to the old EPRTR. The Portal should provide information on emission for more substances, for more installations and for more activities. It should also provides information on the use of water, energy and raw materials by the concerned installations to allow monitoring of progress towards a circular, highly resource-efficient economy. </w:t>
      </w:r>
    </w:p>
    <w:p w14:paraId="18FF9422" w14:textId="77777777" w:rsidR="000A7D9D" w:rsidRPr="00EF2DDF" w:rsidRDefault="000A7D9D" w:rsidP="000A7D9D">
      <w:pPr>
        <w:pStyle w:val="BodyText"/>
        <w:jc w:val="both"/>
        <w:rPr>
          <w:noProof/>
        </w:rPr>
      </w:pPr>
      <w:r w:rsidRPr="00EF2DDF">
        <w:rPr>
          <w:b/>
          <w:bCs/>
          <w:noProof/>
        </w:rPr>
        <w:t>Proximity to EEA mandate:</w:t>
      </w:r>
      <w:r w:rsidRPr="00EF2DDF">
        <w:rPr>
          <w:noProof/>
        </w:rPr>
        <w:t xml:space="preserve"> The operation of the Industrial Emission Portal fits well within the mandate of EEA. EEA already operates the existing EPRTR and the new Portal has evolved from the EPRTR. </w:t>
      </w:r>
    </w:p>
    <w:p w14:paraId="1FE28B42" w14:textId="77777777" w:rsidR="000A7D9D" w:rsidRPr="00EF2DDF" w:rsidRDefault="000A7D9D" w:rsidP="000A7D9D">
      <w:pPr>
        <w:pStyle w:val="BodyText"/>
        <w:rPr>
          <w:b/>
          <w:noProof/>
        </w:rPr>
      </w:pPr>
      <w:r w:rsidRPr="00EF2DDF">
        <w:rPr>
          <w:b/>
          <w:noProof/>
        </w:rPr>
        <w:t>Projected synergies and added value of (re-)attribution:</w:t>
      </w:r>
    </w:p>
    <w:tbl>
      <w:tblPr>
        <w:tblStyle w:val="TableGrid31"/>
        <w:tblW w:w="0" w:type="auto"/>
        <w:tblLook w:val="04A0" w:firstRow="1" w:lastRow="0" w:firstColumn="1" w:lastColumn="0" w:noHBand="0" w:noVBand="1"/>
      </w:tblPr>
      <w:tblGrid>
        <w:gridCol w:w="1728"/>
        <w:gridCol w:w="1119"/>
        <w:gridCol w:w="6782"/>
      </w:tblGrid>
      <w:tr w:rsidR="000A7D9D" w:rsidRPr="00EF2DDF" w14:paraId="28848E60"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51053193" w14:textId="77777777" w:rsidR="000A7D9D" w:rsidRPr="00EF2DDF" w:rsidRDefault="000A7D9D" w:rsidP="00F31937">
            <w:pPr>
              <w:spacing w:before="120" w:after="120"/>
              <w:rPr>
                <w:rFonts w:ascii="Times New Roman" w:hAnsi="Times New Roman"/>
                <w:b/>
                <w:bCs/>
                <w:noProof/>
                <w:color w:val="0046AD"/>
                <w:sz w:val="24"/>
                <w:szCs w:val="24"/>
              </w:rPr>
            </w:pPr>
            <w:r w:rsidRPr="00EF2DDF">
              <w:rPr>
                <w:rFonts w:ascii="Times New Roman" w:hAnsi="Times New Roman"/>
                <w:b/>
                <w:bCs/>
                <w:noProof/>
                <w:color w:val="0046AD"/>
                <w:sz w:val="24"/>
                <w:szCs w:val="24"/>
              </w:rPr>
              <w:t>Type</w:t>
            </w:r>
          </w:p>
        </w:tc>
        <w:tc>
          <w:tcPr>
            <w:tcW w:w="7901" w:type="dxa"/>
            <w:gridSpan w:val="2"/>
            <w:tcBorders>
              <w:top w:val="single" w:sz="4" w:space="0" w:color="auto"/>
              <w:left w:val="single" w:sz="4" w:space="0" w:color="auto"/>
              <w:bottom w:val="single" w:sz="4" w:space="0" w:color="auto"/>
              <w:right w:val="single" w:sz="4" w:space="0" w:color="auto"/>
            </w:tcBorders>
            <w:hideMark/>
          </w:tcPr>
          <w:p w14:paraId="4F4BC2FF" w14:textId="77777777" w:rsidR="000A7D9D" w:rsidRPr="00EF2DDF" w:rsidRDefault="000A7D9D" w:rsidP="00F31937">
            <w:pPr>
              <w:spacing w:before="120" w:after="120"/>
              <w:rPr>
                <w:rFonts w:ascii="Times New Roman" w:hAnsi="Times New Roman"/>
                <w:b/>
                <w:bCs/>
                <w:noProof/>
                <w:color w:val="0046AD"/>
                <w:sz w:val="24"/>
                <w:szCs w:val="24"/>
              </w:rPr>
            </w:pPr>
            <w:r w:rsidRPr="00EF2DDF">
              <w:rPr>
                <w:rFonts w:ascii="Times New Roman" w:hAnsi="Times New Roman"/>
                <w:b/>
                <w:bCs/>
                <w:noProof/>
                <w:color w:val="0046AD"/>
                <w:sz w:val="24"/>
                <w:szCs w:val="24"/>
              </w:rPr>
              <w:t>Synergies</w:t>
            </w:r>
          </w:p>
        </w:tc>
      </w:tr>
      <w:tr w:rsidR="000A7D9D" w:rsidRPr="00EF2DDF" w14:paraId="5D2C3FDA"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0056B545"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Reuse of capabilities</w:t>
            </w:r>
          </w:p>
        </w:tc>
        <w:tc>
          <w:tcPr>
            <w:tcW w:w="1119" w:type="dxa"/>
            <w:tcBorders>
              <w:top w:val="single" w:sz="4" w:space="0" w:color="auto"/>
              <w:left w:val="single" w:sz="4" w:space="0" w:color="auto"/>
              <w:bottom w:val="single" w:sz="4" w:space="0" w:color="auto"/>
              <w:right w:val="single" w:sz="4" w:space="0" w:color="auto"/>
            </w:tcBorders>
            <w:hideMark/>
          </w:tcPr>
          <w:p w14:paraId="1974DAFB"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33018A88"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themeColor="text1"/>
                <w:sz w:val="24"/>
                <w:szCs w:val="24"/>
              </w:rPr>
              <w:t xml:space="preserve">Process and expertise: EEA already operates EPRTR, manages reporting flows from installations and Member States and manages related environmental information on air quality and water quality. Several key capacities can be reused and further developed. </w:t>
            </w:r>
          </w:p>
        </w:tc>
      </w:tr>
      <w:tr w:rsidR="000A7D9D" w:rsidRPr="00EF2DDF" w14:paraId="7351DDB1"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059A864F"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Re-use of data</w:t>
            </w:r>
          </w:p>
        </w:tc>
        <w:tc>
          <w:tcPr>
            <w:tcW w:w="1119" w:type="dxa"/>
            <w:tcBorders>
              <w:top w:val="single" w:sz="4" w:space="0" w:color="auto"/>
              <w:left w:val="single" w:sz="4" w:space="0" w:color="auto"/>
              <w:bottom w:val="single" w:sz="4" w:space="0" w:color="auto"/>
              <w:right w:val="single" w:sz="4" w:space="0" w:color="auto"/>
            </w:tcBorders>
            <w:hideMark/>
          </w:tcPr>
          <w:p w14:paraId="141F3EB2"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0DB4FCC6"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 xml:space="preserve">Reuse of data collected under other environmental legislation (air and water) can be combined. </w:t>
            </w:r>
          </w:p>
        </w:tc>
      </w:tr>
      <w:tr w:rsidR="000A7D9D" w:rsidRPr="00EF2DDF" w14:paraId="4E38CBF8"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26B2BE1F"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IT tools: automation and economies of scale</w:t>
            </w:r>
          </w:p>
        </w:tc>
        <w:tc>
          <w:tcPr>
            <w:tcW w:w="1119" w:type="dxa"/>
            <w:tcBorders>
              <w:top w:val="single" w:sz="4" w:space="0" w:color="auto"/>
              <w:left w:val="single" w:sz="4" w:space="0" w:color="auto"/>
              <w:bottom w:val="single" w:sz="4" w:space="0" w:color="auto"/>
              <w:right w:val="single" w:sz="4" w:space="0" w:color="auto"/>
            </w:tcBorders>
            <w:hideMark/>
          </w:tcPr>
          <w:p w14:paraId="3234779D"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21DD9F66"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themeColor="text1"/>
                <w:sz w:val="24"/>
                <w:szCs w:val="24"/>
              </w:rPr>
              <w:t>The existing IT capabilities can be partly reused.</w:t>
            </w:r>
          </w:p>
        </w:tc>
      </w:tr>
      <w:tr w:rsidR="000A7D9D" w:rsidRPr="00EF2DDF" w14:paraId="1306EBDB"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73F5C09B"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Support services: economies of scale</w:t>
            </w:r>
          </w:p>
        </w:tc>
        <w:tc>
          <w:tcPr>
            <w:tcW w:w="1119" w:type="dxa"/>
            <w:tcBorders>
              <w:top w:val="single" w:sz="4" w:space="0" w:color="auto"/>
              <w:left w:val="single" w:sz="4" w:space="0" w:color="auto"/>
              <w:bottom w:val="single" w:sz="4" w:space="0" w:color="auto"/>
              <w:right w:val="single" w:sz="4" w:space="0" w:color="auto"/>
            </w:tcBorders>
            <w:hideMark/>
          </w:tcPr>
          <w:p w14:paraId="35EB0082"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137F3AFE"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Reuse of support services for reporting and data management. Reuse of administrative services.</w:t>
            </w:r>
          </w:p>
        </w:tc>
      </w:tr>
    </w:tbl>
    <w:p w14:paraId="0B92F246" w14:textId="77777777" w:rsidR="000A7D9D" w:rsidRPr="00EF2DDF" w:rsidRDefault="000A7D9D" w:rsidP="000A7D9D">
      <w:pPr>
        <w:pStyle w:val="BodyText"/>
        <w:rPr>
          <w:b/>
          <w:bCs/>
          <w:noProof/>
        </w:rPr>
      </w:pPr>
      <w:r w:rsidRPr="00EF2DDF">
        <w:rPr>
          <w:b/>
          <w:bCs/>
          <w:noProof/>
        </w:rPr>
        <w:br/>
        <w:t xml:space="preserve">Main risks and opportunities: </w:t>
      </w:r>
      <w:r w:rsidRPr="00EF2DDF">
        <w:rPr>
          <w:noProof/>
        </w:rPr>
        <w:t>N/A</w:t>
      </w:r>
    </w:p>
    <w:p w14:paraId="1F65265F" w14:textId="77777777" w:rsidR="000A7D9D" w:rsidRPr="00EF2DDF" w:rsidRDefault="000A7D9D" w:rsidP="000A7D9D">
      <w:pPr>
        <w:pStyle w:val="BodyText"/>
        <w:rPr>
          <w:b/>
          <w:bCs/>
          <w:noProof/>
        </w:rPr>
      </w:pPr>
      <w:r w:rsidRPr="00EF2DDF">
        <w:rPr>
          <w:b/>
          <w:bCs/>
          <w:noProof/>
        </w:rPr>
        <w:t>Projected impact on EEA:</w:t>
      </w:r>
    </w:p>
    <w:p w14:paraId="067DD42C" w14:textId="77777777" w:rsidR="000A7D9D" w:rsidRPr="00EF2DDF" w:rsidRDefault="000A7D9D" w:rsidP="000A7D9D">
      <w:pPr>
        <w:pStyle w:val="BodyText"/>
        <w:widowControl w:val="0"/>
        <w:numPr>
          <w:ilvl w:val="0"/>
          <w:numId w:val="88"/>
        </w:numPr>
        <w:ind w:left="714" w:hanging="357"/>
        <w:rPr>
          <w:b/>
          <w:bCs/>
          <w:iCs/>
          <w:noProof/>
        </w:rPr>
      </w:pPr>
      <w:r w:rsidRPr="00EF2DDF">
        <w:rPr>
          <w:iCs/>
          <w:noProof/>
        </w:rPr>
        <w:t xml:space="preserve">EEA Committees/bodies: </w:t>
      </w:r>
      <w:r w:rsidRPr="00EF2DDF">
        <w:rPr>
          <w:b/>
          <w:bCs/>
          <w:iCs/>
          <w:noProof/>
        </w:rPr>
        <w:t>no impact</w:t>
      </w:r>
      <w:r w:rsidRPr="00EF2DDF">
        <w:rPr>
          <w:iCs/>
          <w:noProof/>
        </w:rPr>
        <w:t>. The task does not require involvement of EEA Committees/bodies</w:t>
      </w:r>
    </w:p>
    <w:p w14:paraId="24413E4E" w14:textId="77777777" w:rsidR="000A7D9D" w:rsidRPr="00EF2DDF" w:rsidRDefault="000A7D9D" w:rsidP="000A7D9D">
      <w:pPr>
        <w:pStyle w:val="BodyText"/>
        <w:widowControl w:val="0"/>
        <w:numPr>
          <w:ilvl w:val="0"/>
          <w:numId w:val="88"/>
        </w:numPr>
        <w:ind w:left="714" w:hanging="357"/>
        <w:rPr>
          <w:b/>
          <w:bCs/>
          <w:iCs/>
          <w:noProof/>
        </w:rPr>
      </w:pPr>
      <w:r w:rsidRPr="00EF2DDF">
        <w:rPr>
          <w:iCs/>
          <w:noProof/>
        </w:rPr>
        <w:t xml:space="preserve">EEA data model and IT infrastructure: </w:t>
      </w:r>
      <w:r w:rsidRPr="00EF2DDF">
        <w:rPr>
          <w:b/>
          <w:bCs/>
          <w:iCs/>
          <w:noProof/>
        </w:rPr>
        <w:t>high impact</w:t>
      </w:r>
      <w:r w:rsidRPr="00EF2DDF">
        <w:rPr>
          <w:iCs/>
          <w:noProof/>
        </w:rPr>
        <w:t>. The task requires adjustment of data structures and IT systems and their long term operation</w:t>
      </w:r>
    </w:p>
    <w:p w14:paraId="75FFF127" w14:textId="77777777" w:rsidR="000A7D9D" w:rsidRPr="00EF2DDF" w:rsidRDefault="000A7D9D" w:rsidP="000A7D9D">
      <w:pPr>
        <w:pStyle w:val="BodyText"/>
        <w:widowControl w:val="0"/>
        <w:numPr>
          <w:ilvl w:val="0"/>
          <w:numId w:val="88"/>
        </w:numPr>
        <w:rPr>
          <w:b/>
          <w:bCs/>
          <w:i/>
          <w:iCs/>
          <w:noProof/>
        </w:rPr>
      </w:pPr>
      <w:r w:rsidRPr="00EF2DDF">
        <w:rPr>
          <w:iCs/>
          <w:noProof/>
        </w:rPr>
        <w:t xml:space="preserve">EEA key experts: </w:t>
      </w:r>
      <w:r w:rsidRPr="00EF2DDF">
        <w:rPr>
          <w:b/>
          <w:bCs/>
          <w:iCs/>
          <w:noProof/>
        </w:rPr>
        <w:t>low impact</w:t>
      </w:r>
      <w:r w:rsidRPr="00EF2DDF">
        <w:rPr>
          <w:iCs/>
          <w:noProof/>
        </w:rPr>
        <w:t>. The task can utilise existing expert competences.</w:t>
      </w:r>
      <w:r w:rsidRPr="00EF2DDF">
        <w:rPr>
          <w:i/>
          <w:iCs/>
          <w:noProof/>
        </w:rPr>
        <w:t xml:space="preserve"> </w:t>
      </w:r>
    </w:p>
    <w:p w14:paraId="76D3558F" w14:textId="77777777" w:rsidR="000A7D9D" w:rsidRPr="00EF2DDF" w:rsidRDefault="000A7D9D" w:rsidP="000A7D9D">
      <w:pPr>
        <w:pStyle w:val="BodyText"/>
        <w:rPr>
          <w:noProof/>
        </w:rPr>
      </w:pPr>
      <w:r w:rsidRPr="00EF2DDF">
        <w:rPr>
          <w:b/>
          <w:bCs/>
          <w:noProof/>
        </w:rPr>
        <w:t>Projected workload and resource implications</w:t>
      </w:r>
      <w:r w:rsidRPr="00EF2DDF">
        <w:rPr>
          <w:noProof/>
        </w:rPr>
        <w:t xml:space="preserve"> </w:t>
      </w:r>
    </w:p>
    <w:p w14:paraId="24863A79" w14:textId="77777777" w:rsidR="000A7D9D" w:rsidRPr="00EF2DDF" w:rsidRDefault="000A7D9D" w:rsidP="000A7D9D">
      <w:pPr>
        <w:spacing w:after="120"/>
        <w:rPr>
          <w:rFonts w:ascii="Times New Roman" w:hAnsi="Times New Roman" w:cs="Times New Roman"/>
          <w:noProof/>
          <w:sz w:val="24"/>
          <w:szCs w:val="24"/>
          <w:u w:val="single"/>
        </w:rPr>
      </w:pPr>
      <w:r w:rsidRPr="00EF2DDF">
        <w:rPr>
          <w:rFonts w:ascii="Times New Roman" w:hAnsi="Times New Roman" w:cs="Times New Roman"/>
          <w:noProof/>
          <w:sz w:val="24"/>
          <w:szCs w:val="24"/>
          <w:u w:val="single"/>
        </w:rPr>
        <w:t>Current workload and resource use:</w:t>
      </w:r>
    </w:p>
    <w:p w14:paraId="4C7E009C" w14:textId="77777777" w:rsidR="000A7D9D" w:rsidRPr="00EF2DDF" w:rsidRDefault="000A7D9D" w:rsidP="000A7D9D">
      <w:pPr>
        <w:spacing w:after="120"/>
        <w:rPr>
          <w:rFonts w:ascii="Times New Roman" w:hAnsi="Times New Roman" w:cs="Times New Roman"/>
          <w:noProof/>
          <w:sz w:val="24"/>
          <w:szCs w:val="24"/>
        </w:rPr>
      </w:pPr>
      <w:r w:rsidRPr="00EF2DDF">
        <w:rPr>
          <w:rFonts w:ascii="Times New Roman" w:hAnsi="Times New Roman" w:cs="Times New Roman"/>
          <w:noProof/>
          <w:sz w:val="24"/>
          <w:szCs w:val="24"/>
        </w:rPr>
        <w:t>N/A, no current process as it is an extension of the existing one.</w:t>
      </w:r>
    </w:p>
    <w:p w14:paraId="18EA338C" w14:textId="77777777" w:rsidR="000A7D9D" w:rsidRPr="00EF2DDF" w:rsidRDefault="000A7D9D" w:rsidP="000A7D9D">
      <w:pPr>
        <w:spacing w:after="120"/>
        <w:rPr>
          <w:rFonts w:ascii="Times New Roman" w:hAnsi="Times New Roman" w:cs="Times New Roman"/>
          <w:noProof/>
          <w:sz w:val="24"/>
          <w:szCs w:val="24"/>
          <w:u w:val="single"/>
        </w:rPr>
      </w:pPr>
      <w:r w:rsidRPr="00EF2DDF">
        <w:rPr>
          <w:rFonts w:ascii="Times New Roman" w:hAnsi="Times New Roman" w:cs="Times New Roman"/>
          <w:noProof/>
          <w:sz w:val="24"/>
          <w:szCs w:val="24"/>
          <w:u w:val="single"/>
        </w:rPr>
        <w:t>Future workload and resource needs:</w:t>
      </w:r>
    </w:p>
    <w:p w14:paraId="6BC83149" w14:textId="77777777" w:rsidR="000A7D9D" w:rsidRPr="00EF2DDF" w:rsidRDefault="000A7D9D" w:rsidP="000A7D9D">
      <w:pPr>
        <w:pStyle w:val="BodyText"/>
        <w:jc w:val="both"/>
        <w:rPr>
          <w:noProof/>
        </w:rPr>
      </w:pPr>
      <w:r w:rsidRPr="00EF2DDF">
        <w:rPr>
          <w:noProof/>
        </w:rPr>
        <w:t>EEA costs include cost of 2 additional FTE (2 TAs) who will establish the IT infrastructure for collecting new data fields (on resource use and additional pollutants), modify and expand the XML schema to enable reporting at installation level and for newly captured agro-industrial activities, update the Manual for Reporters to ensure consistent returns by operators/MS, run training sessions for MS reporters to introduce these new requirements, and subsequently manage the reporting and related dataflow. Costs of developing IT infrastructure will go down in the 3rd year, as only the IT infrastructure maintenance costs will remain. It’s assumed that for the first two years EEA will need more financial resources to revamp the existing tools as a result of the legal proposal.</w:t>
      </w:r>
    </w:p>
    <w:p w14:paraId="7A17BCE5" w14:textId="77777777" w:rsidR="000A7D9D" w:rsidRPr="00EF2DDF" w:rsidRDefault="000A7D9D" w:rsidP="000A7D9D">
      <w:pPr>
        <w:pStyle w:val="BodyText"/>
        <w:jc w:val="both"/>
        <w:rPr>
          <w:noProof/>
        </w:rPr>
      </w:pPr>
      <w:r w:rsidRPr="00EF2DDF">
        <w:rPr>
          <w:noProof/>
        </w:rPr>
        <w:t>EEA staff will establish the IT infrastructure that will be required to implement the proposed revisions and subsequently manage the reporting and related dataflow. These IT enhancements relate to the physical capacity of the reporting stream (i.e. number and nature of reports) and the supporting systems (guidance, training etc.) to ensure their consistent application by industrial operators and Member States.</w:t>
      </w:r>
    </w:p>
    <w:p w14:paraId="7BB6954C" w14:textId="77777777" w:rsidR="000A7D9D" w:rsidRPr="00EF2DDF" w:rsidRDefault="000A7D9D" w:rsidP="000A7D9D">
      <w:pPr>
        <w:spacing w:after="120"/>
        <w:rPr>
          <w:rFonts w:ascii="Times New Roman" w:eastAsiaTheme="minorEastAsia" w:hAnsi="Times New Roman" w:cs="Times New Roman"/>
          <w:noProof/>
          <w:sz w:val="24"/>
          <w:szCs w:val="24"/>
          <w:lang w:val="en-US" w:eastAsia="en-GB"/>
        </w:rPr>
      </w:pPr>
      <w:r w:rsidRPr="00EF2DDF">
        <w:rPr>
          <w:rFonts w:ascii="Times New Roman" w:eastAsiaTheme="minorEastAsia" w:hAnsi="Times New Roman" w:cs="Times New Roman"/>
          <w:noProof/>
          <w:sz w:val="24"/>
          <w:szCs w:val="24"/>
          <w:lang w:val="en-US" w:eastAsia="en-GB"/>
        </w:rPr>
        <w:t>Summary of additional resource needs for E-PRTR regulation:</w:t>
      </w:r>
    </w:p>
    <w:tbl>
      <w:tblPr>
        <w:tblStyle w:val="TableGrid"/>
        <w:tblW w:w="0" w:type="auto"/>
        <w:tblLook w:val="04A0" w:firstRow="1" w:lastRow="0" w:firstColumn="1" w:lastColumn="0" w:noHBand="0" w:noVBand="1"/>
      </w:tblPr>
      <w:tblGrid>
        <w:gridCol w:w="1454"/>
        <w:gridCol w:w="3930"/>
        <w:gridCol w:w="1965"/>
        <w:gridCol w:w="2280"/>
      </w:tblGrid>
      <w:tr w:rsidR="000A7D9D" w:rsidRPr="00C56424" w14:paraId="1F70C543" w14:textId="77777777" w:rsidTr="00F31937">
        <w:trPr>
          <w:trHeight w:val="300"/>
        </w:trPr>
        <w:tc>
          <w:tcPr>
            <w:tcW w:w="1454" w:type="dxa"/>
            <w:shd w:val="clear" w:color="auto" w:fill="D9D9D9" w:themeFill="background1" w:themeFillShade="D9"/>
          </w:tcPr>
          <w:p w14:paraId="268A8B68"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930" w:type="dxa"/>
            <w:shd w:val="clear" w:color="auto" w:fill="D9D9D9" w:themeFill="background1" w:themeFillShade="D9"/>
          </w:tcPr>
          <w:p w14:paraId="2C12E5EE"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965" w:type="dxa"/>
            <w:shd w:val="clear" w:color="auto" w:fill="D9D9D9" w:themeFill="background1" w:themeFillShade="D9"/>
          </w:tcPr>
          <w:p w14:paraId="6C0BAA6F"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280" w:type="dxa"/>
            <w:shd w:val="clear" w:color="auto" w:fill="D9D9D9" w:themeFill="background1" w:themeFillShade="D9"/>
          </w:tcPr>
          <w:p w14:paraId="16964F66" w14:textId="77777777" w:rsidR="000A7D9D" w:rsidRPr="00C56424" w:rsidRDefault="000A7D9D" w:rsidP="00F31937">
            <w:pPr>
              <w:pStyle w:val="BodyText"/>
              <w:tabs>
                <w:tab w:val="left" w:pos="4170"/>
              </w:tabs>
              <w:spacing w:after="0"/>
              <w:rPr>
                <w:noProof/>
                <w:sz w:val="20"/>
                <w:szCs w:val="20"/>
              </w:rPr>
            </w:pPr>
          </w:p>
        </w:tc>
      </w:tr>
      <w:tr w:rsidR="000A7D9D" w:rsidRPr="00C56424" w14:paraId="11643567" w14:textId="77777777" w:rsidTr="00F31937">
        <w:trPr>
          <w:trHeight w:val="300"/>
        </w:trPr>
        <w:tc>
          <w:tcPr>
            <w:tcW w:w="1454" w:type="dxa"/>
            <w:vMerge w:val="restart"/>
            <w:shd w:val="clear" w:color="auto" w:fill="D9D9D9" w:themeFill="background1" w:themeFillShade="D9"/>
          </w:tcPr>
          <w:p w14:paraId="444C6093" w14:textId="77777777" w:rsidR="000A7D9D" w:rsidRPr="00C56424" w:rsidRDefault="000A7D9D" w:rsidP="00F31937">
            <w:pPr>
              <w:pStyle w:val="BodyText"/>
              <w:spacing w:line="259" w:lineRule="auto"/>
              <w:rPr>
                <w:noProof/>
                <w:sz w:val="20"/>
                <w:szCs w:val="20"/>
              </w:rPr>
            </w:pPr>
            <w:r w:rsidRPr="00C56424">
              <w:rPr>
                <w:noProof/>
                <w:sz w:val="20"/>
                <w:szCs w:val="20"/>
              </w:rPr>
              <w:t>EEA</w:t>
            </w:r>
          </w:p>
        </w:tc>
        <w:tc>
          <w:tcPr>
            <w:tcW w:w="3930" w:type="dxa"/>
            <w:vMerge w:val="restart"/>
            <w:shd w:val="clear" w:color="auto" w:fill="D9D9D9" w:themeFill="background1" w:themeFillShade="D9"/>
          </w:tcPr>
          <w:p w14:paraId="4121BAF3" w14:textId="77777777" w:rsidR="000A7D9D" w:rsidRPr="00C56424" w:rsidRDefault="000A7D9D" w:rsidP="000A7D9D">
            <w:pPr>
              <w:pStyle w:val="BodyText"/>
              <w:widowControl w:val="0"/>
              <w:numPr>
                <w:ilvl w:val="0"/>
                <w:numId w:val="88"/>
              </w:numPr>
              <w:spacing w:after="240"/>
              <w:ind w:left="426" w:hanging="284"/>
              <w:rPr>
                <w:noProof/>
                <w:sz w:val="20"/>
                <w:szCs w:val="20"/>
              </w:rPr>
            </w:pPr>
            <w:r w:rsidRPr="00C56424">
              <w:rPr>
                <w:noProof/>
                <w:sz w:val="20"/>
                <w:szCs w:val="20"/>
              </w:rPr>
              <w:t>Establishing and operating the IT infrastructure for collecting new data fields</w:t>
            </w:r>
          </w:p>
          <w:p w14:paraId="460DC40F" w14:textId="77777777" w:rsidR="000A7D9D" w:rsidRPr="00C56424" w:rsidRDefault="000A7D9D" w:rsidP="000A7D9D">
            <w:pPr>
              <w:pStyle w:val="BodyText"/>
              <w:widowControl w:val="0"/>
              <w:numPr>
                <w:ilvl w:val="0"/>
                <w:numId w:val="88"/>
              </w:numPr>
              <w:spacing w:after="240"/>
              <w:ind w:left="426" w:hanging="284"/>
              <w:rPr>
                <w:noProof/>
                <w:sz w:val="20"/>
                <w:szCs w:val="20"/>
              </w:rPr>
            </w:pPr>
            <w:r w:rsidRPr="00C56424">
              <w:rPr>
                <w:noProof/>
                <w:sz w:val="20"/>
                <w:szCs w:val="20"/>
              </w:rPr>
              <w:t>Updating the manual for reporters</w:t>
            </w:r>
          </w:p>
          <w:p w14:paraId="19274DBE" w14:textId="77777777" w:rsidR="000A7D9D" w:rsidRPr="00C56424" w:rsidRDefault="000A7D9D" w:rsidP="000A7D9D">
            <w:pPr>
              <w:pStyle w:val="BodyText"/>
              <w:widowControl w:val="0"/>
              <w:numPr>
                <w:ilvl w:val="0"/>
                <w:numId w:val="88"/>
              </w:numPr>
              <w:spacing w:after="240"/>
              <w:ind w:left="426" w:hanging="284"/>
              <w:rPr>
                <w:noProof/>
                <w:sz w:val="20"/>
                <w:szCs w:val="20"/>
              </w:rPr>
            </w:pPr>
            <w:r w:rsidRPr="00C56424">
              <w:rPr>
                <w:noProof/>
                <w:sz w:val="20"/>
                <w:szCs w:val="20"/>
              </w:rPr>
              <w:t>Run training sessions for MS reporters</w:t>
            </w:r>
          </w:p>
        </w:tc>
        <w:tc>
          <w:tcPr>
            <w:tcW w:w="1965" w:type="dxa"/>
            <w:shd w:val="clear" w:color="auto" w:fill="D9D9D9" w:themeFill="background1" w:themeFillShade="D9"/>
          </w:tcPr>
          <w:p w14:paraId="13DE20C8" w14:textId="77777777" w:rsidR="000A7D9D" w:rsidRPr="00C56424" w:rsidRDefault="000A7D9D" w:rsidP="00F31937">
            <w:pPr>
              <w:pStyle w:val="BodyText"/>
              <w:tabs>
                <w:tab w:val="left" w:pos="4170"/>
              </w:tabs>
              <w:rPr>
                <w:noProof/>
                <w:sz w:val="20"/>
                <w:szCs w:val="20"/>
              </w:rPr>
            </w:pPr>
            <w:r w:rsidRPr="00C56424">
              <w:rPr>
                <w:noProof/>
                <w:sz w:val="20"/>
                <w:szCs w:val="20"/>
              </w:rPr>
              <w:t>Operational resource needs:</w:t>
            </w:r>
          </w:p>
        </w:tc>
        <w:tc>
          <w:tcPr>
            <w:tcW w:w="2280" w:type="dxa"/>
            <w:shd w:val="clear" w:color="auto" w:fill="D9D9D9" w:themeFill="background1" w:themeFillShade="D9"/>
          </w:tcPr>
          <w:p w14:paraId="4B9C5952"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2024: </w:t>
            </w:r>
            <w:r w:rsidRPr="00C56424">
              <w:rPr>
                <w:b/>
                <w:noProof/>
                <w:sz w:val="20"/>
                <w:szCs w:val="20"/>
              </w:rPr>
              <w:t>EUR</w:t>
            </w:r>
            <w:r w:rsidRPr="00C56424">
              <w:rPr>
                <w:noProof/>
                <w:sz w:val="20"/>
                <w:szCs w:val="20"/>
              </w:rPr>
              <w:t xml:space="preserve"> </w:t>
            </w:r>
            <w:r w:rsidRPr="00C56424">
              <w:rPr>
                <w:b/>
                <w:noProof/>
                <w:sz w:val="20"/>
                <w:szCs w:val="20"/>
              </w:rPr>
              <w:t>170 000</w:t>
            </w:r>
            <w:r w:rsidRPr="00C56424">
              <w:rPr>
                <w:noProof/>
                <w:sz w:val="20"/>
                <w:szCs w:val="20"/>
              </w:rPr>
              <w:t xml:space="preserve"> </w:t>
            </w:r>
          </w:p>
          <w:p w14:paraId="481B6F43"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2025: </w:t>
            </w:r>
            <w:r w:rsidRPr="00C56424">
              <w:rPr>
                <w:b/>
                <w:noProof/>
                <w:sz w:val="20"/>
                <w:szCs w:val="20"/>
              </w:rPr>
              <w:t>EUR</w:t>
            </w:r>
            <w:r w:rsidRPr="00C56424">
              <w:rPr>
                <w:noProof/>
                <w:sz w:val="20"/>
                <w:szCs w:val="20"/>
              </w:rPr>
              <w:t xml:space="preserve"> </w:t>
            </w:r>
            <w:r w:rsidRPr="00C56424">
              <w:rPr>
                <w:b/>
                <w:noProof/>
                <w:sz w:val="20"/>
                <w:szCs w:val="20"/>
              </w:rPr>
              <w:t>70 000</w:t>
            </w:r>
          </w:p>
          <w:p w14:paraId="5F883A53"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EUR</w:t>
            </w:r>
            <w:r w:rsidRPr="00C56424">
              <w:rPr>
                <w:noProof/>
                <w:sz w:val="20"/>
                <w:szCs w:val="20"/>
              </w:rPr>
              <w:t xml:space="preserve"> </w:t>
            </w:r>
            <w:r w:rsidRPr="00C56424">
              <w:rPr>
                <w:b/>
                <w:noProof/>
                <w:sz w:val="20"/>
                <w:szCs w:val="20"/>
              </w:rPr>
              <w:t>30 000</w:t>
            </w:r>
          </w:p>
          <w:p w14:paraId="08326BF4"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EUR</w:t>
            </w:r>
            <w:r w:rsidRPr="00C56424">
              <w:rPr>
                <w:noProof/>
                <w:sz w:val="20"/>
                <w:szCs w:val="20"/>
              </w:rPr>
              <w:t xml:space="preserve"> </w:t>
            </w:r>
            <w:r w:rsidRPr="00C56424">
              <w:rPr>
                <w:b/>
                <w:noProof/>
                <w:sz w:val="20"/>
                <w:szCs w:val="20"/>
              </w:rPr>
              <w:t>30 000</w:t>
            </w:r>
          </w:p>
        </w:tc>
      </w:tr>
      <w:tr w:rsidR="000A7D9D" w:rsidRPr="00C56424" w14:paraId="6BA210D4" w14:textId="77777777" w:rsidTr="00F31937">
        <w:trPr>
          <w:trHeight w:val="300"/>
        </w:trPr>
        <w:tc>
          <w:tcPr>
            <w:tcW w:w="1454" w:type="dxa"/>
            <w:vMerge/>
            <w:shd w:val="clear" w:color="auto" w:fill="D9D9D9" w:themeFill="background1" w:themeFillShade="D9"/>
          </w:tcPr>
          <w:p w14:paraId="4C616804" w14:textId="77777777" w:rsidR="000A7D9D" w:rsidRPr="00C56424" w:rsidRDefault="000A7D9D" w:rsidP="00F31937">
            <w:pPr>
              <w:pStyle w:val="BodyText"/>
              <w:spacing w:line="259" w:lineRule="auto"/>
              <w:rPr>
                <w:b/>
                <w:bCs/>
                <w:noProof/>
                <w:sz w:val="20"/>
                <w:szCs w:val="20"/>
              </w:rPr>
            </w:pPr>
          </w:p>
        </w:tc>
        <w:tc>
          <w:tcPr>
            <w:tcW w:w="3930" w:type="dxa"/>
            <w:vMerge/>
            <w:shd w:val="clear" w:color="auto" w:fill="D9D9D9" w:themeFill="background1" w:themeFillShade="D9"/>
          </w:tcPr>
          <w:p w14:paraId="4FE032C0" w14:textId="77777777" w:rsidR="000A7D9D" w:rsidRPr="00C56424" w:rsidRDefault="000A7D9D" w:rsidP="00F31937">
            <w:pPr>
              <w:pStyle w:val="BodyText"/>
              <w:rPr>
                <w:b/>
                <w:bCs/>
                <w:noProof/>
                <w:sz w:val="20"/>
                <w:szCs w:val="20"/>
              </w:rPr>
            </w:pPr>
          </w:p>
        </w:tc>
        <w:tc>
          <w:tcPr>
            <w:tcW w:w="1965" w:type="dxa"/>
            <w:shd w:val="clear" w:color="auto" w:fill="D9D9D9" w:themeFill="background1" w:themeFillShade="D9"/>
          </w:tcPr>
          <w:p w14:paraId="6707CCA9"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280" w:type="dxa"/>
            <w:shd w:val="clear" w:color="auto" w:fill="D9D9D9" w:themeFill="background1" w:themeFillShade="D9"/>
          </w:tcPr>
          <w:p w14:paraId="3143523A"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bCs/>
                <w:noProof/>
                <w:sz w:val="20"/>
                <w:szCs w:val="20"/>
                <w:lang w:val="fr-BE"/>
              </w:rPr>
              <w:t>2 TAs, 0 CA</w:t>
            </w:r>
          </w:p>
          <w:p w14:paraId="7EB644F2" w14:textId="77777777" w:rsidR="000A7D9D" w:rsidRPr="00C56424" w:rsidRDefault="000A7D9D" w:rsidP="00F31937">
            <w:pPr>
              <w:pStyle w:val="BodyText"/>
              <w:tabs>
                <w:tab w:val="left" w:pos="4170"/>
              </w:tabs>
              <w:spacing w:after="0"/>
              <w:rPr>
                <w:b/>
                <w:bCs/>
                <w:noProof/>
                <w:sz w:val="20"/>
                <w:szCs w:val="20"/>
                <w:lang w:val="fr-BE"/>
              </w:rPr>
            </w:pPr>
            <w:r w:rsidRPr="00C56424">
              <w:rPr>
                <w:noProof/>
                <w:sz w:val="20"/>
                <w:szCs w:val="20"/>
                <w:lang w:val="fr-BE"/>
              </w:rPr>
              <w:t xml:space="preserve">2025:  </w:t>
            </w:r>
            <w:r w:rsidRPr="00C56424">
              <w:rPr>
                <w:b/>
                <w:bCs/>
                <w:noProof/>
                <w:sz w:val="20"/>
                <w:szCs w:val="20"/>
                <w:lang w:val="fr-BE"/>
              </w:rPr>
              <w:t>2 TAs, 0 CA</w:t>
            </w:r>
          </w:p>
          <w:p w14:paraId="317FFBDD" w14:textId="77777777" w:rsidR="000A7D9D" w:rsidRPr="00C56424" w:rsidRDefault="000A7D9D" w:rsidP="00F31937">
            <w:pPr>
              <w:pStyle w:val="BodyText"/>
              <w:tabs>
                <w:tab w:val="left" w:pos="4170"/>
              </w:tabs>
              <w:spacing w:after="0"/>
              <w:rPr>
                <w:b/>
                <w:bCs/>
                <w:noProof/>
                <w:sz w:val="20"/>
                <w:szCs w:val="20"/>
                <w:lang w:val="fr-BE"/>
              </w:rPr>
            </w:pPr>
            <w:r w:rsidRPr="00C56424">
              <w:rPr>
                <w:noProof/>
                <w:sz w:val="20"/>
                <w:szCs w:val="20"/>
                <w:lang w:val="fr-BE"/>
              </w:rPr>
              <w:t xml:space="preserve">2026:  </w:t>
            </w:r>
            <w:r w:rsidRPr="00C56424">
              <w:rPr>
                <w:b/>
                <w:bCs/>
                <w:noProof/>
                <w:sz w:val="20"/>
                <w:szCs w:val="20"/>
                <w:lang w:val="fr-BE"/>
              </w:rPr>
              <w:t>2 TAs, 0 CA</w:t>
            </w:r>
          </w:p>
          <w:p w14:paraId="15EE222F"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bCs/>
                <w:noProof/>
                <w:sz w:val="20"/>
                <w:szCs w:val="20"/>
              </w:rPr>
              <w:t>2 TAs, 0 CA</w:t>
            </w:r>
          </w:p>
        </w:tc>
      </w:tr>
    </w:tbl>
    <w:p w14:paraId="436C9837" w14:textId="77777777" w:rsidR="000A7D9D" w:rsidRPr="00EF2DDF" w:rsidRDefault="000A7D9D" w:rsidP="000A7D9D">
      <w:pPr>
        <w:pStyle w:val="BodyText"/>
        <w:spacing w:before="120"/>
        <w:rPr>
          <w:noProof/>
          <w:u w:val="single"/>
        </w:rPr>
      </w:pPr>
      <w:r w:rsidRPr="00EF2DDF">
        <w:rPr>
          <w:noProof/>
          <w:u w:val="single"/>
        </w:rPr>
        <w:t>Budget line:</w:t>
      </w:r>
      <w:r w:rsidRPr="00EF2DDF">
        <w:rPr>
          <w:noProof/>
        </w:rPr>
        <w:t xml:space="preserve"> DG Environment</w:t>
      </w:r>
    </w:p>
    <w:p w14:paraId="381851EB" w14:textId="77777777" w:rsidR="000A7D9D" w:rsidRDefault="000A7D9D" w:rsidP="000A7D9D">
      <w:pPr>
        <w:pStyle w:val="BodyText"/>
        <w:rPr>
          <w:noProof/>
        </w:rPr>
      </w:pPr>
      <w:r w:rsidRPr="00EF2DDF">
        <w:rPr>
          <w:noProof/>
          <w:u w:val="single"/>
        </w:rPr>
        <w:t>Candidate for fees:</w:t>
      </w:r>
      <w:r w:rsidRPr="00EF2DDF">
        <w:rPr>
          <w:noProof/>
        </w:rPr>
        <w:t xml:space="preserve"> No</w:t>
      </w:r>
    </w:p>
    <w:p w14:paraId="180B7958" w14:textId="77777777" w:rsidR="000A7D9D" w:rsidRPr="00E46DC1" w:rsidRDefault="000A7D9D" w:rsidP="000A7D9D">
      <w:pPr>
        <w:pStyle w:val="BodyText"/>
        <w:rPr>
          <w:noProof/>
        </w:rPr>
      </w:pPr>
    </w:p>
    <w:p w14:paraId="0B3AD7B3"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48" w:name="_Hlk101815359"/>
      <w:bookmarkStart w:id="49" w:name="_Toc150499926"/>
      <w:r w:rsidRPr="00291F95">
        <w:rPr>
          <w:rFonts w:ascii="Times New Roman" w:hAnsi="Times New Roman"/>
          <w:smallCaps/>
          <w:noProof/>
          <w:color w:val="auto"/>
          <w:sz w:val="24"/>
          <w:szCs w:val="20"/>
          <w:lang w:eastAsia="en-US"/>
        </w:rPr>
        <w:t>Industrial Emissions Directive (2010/75/EU)</w:t>
      </w:r>
      <w:bookmarkEnd w:id="48"/>
      <w:bookmarkEnd w:id="49"/>
    </w:p>
    <w:p w14:paraId="6B71A060" w14:textId="77777777" w:rsidR="000A7D9D" w:rsidRPr="00EF2DDF" w:rsidRDefault="000A7D9D" w:rsidP="000A7D9D">
      <w:pPr>
        <w:spacing w:after="120"/>
        <w:rPr>
          <w:rFonts w:ascii="Times New Roman" w:hAnsi="Times New Roman" w:cs="Times New Roman"/>
          <w:b/>
          <w:bCs/>
          <w:noProof/>
          <w:sz w:val="24"/>
          <w:szCs w:val="24"/>
          <w:lang w:val="fr-BE"/>
        </w:rPr>
      </w:pPr>
      <w:r w:rsidRPr="00EF2DDF">
        <w:rPr>
          <w:rFonts w:ascii="Times New Roman" w:hAnsi="Times New Roman" w:cs="Times New Roman"/>
          <w:b/>
          <w:bCs/>
          <w:noProof/>
          <w:sz w:val="24"/>
          <w:szCs w:val="24"/>
          <w:lang w:val="fr-BE"/>
        </w:rPr>
        <w:t>Responsible body:</w:t>
      </w:r>
    </w:p>
    <w:p w14:paraId="0122857B" w14:textId="77777777" w:rsidR="000A7D9D" w:rsidRPr="00EF2DDF" w:rsidRDefault="000A7D9D" w:rsidP="000A7D9D">
      <w:pPr>
        <w:spacing w:after="120"/>
        <w:rPr>
          <w:rFonts w:ascii="Times New Roman" w:hAnsi="Times New Roman" w:cs="Times New Roman"/>
          <w:noProof/>
          <w:sz w:val="24"/>
          <w:szCs w:val="24"/>
        </w:rPr>
      </w:pPr>
      <w:r w:rsidRPr="00EF2DDF">
        <w:rPr>
          <w:rFonts w:ascii="Times New Roman" w:hAnsi="Times New Roman" w:cs="Times New Roman"/>
          <w:noProof/>
          <w:sz w:val="24"/>
          <w:szCs w:val="24"/>
          <w:u w:val="single"/>
        </w:rPr>
        <w:t>Currently</w:t>
      </w:r>
      <w:r w:rsidRPr="00EF2DDF">
        <w:rPr>
          <w:rFonts w:ascii="Times New Roman" w:hAnsi="Times New Roman" w:cs="Times New Roman"/>
          <w:noProof/>
          <w:sz w:val="24"/>
          <w:szCs w:val="24"/>
        </w:rPr>
        <w:t>: N/A, no current process</w:t>
      </w:r>
    </w:p>
    <w:p w14:paraId="246763E0" w14:textId="77777777" w:rsidR="000A7D9D" w:rsidRPr="00EF2DDF" w:rsidRDefault="000A7D9D" w:rsidP="000A7D9D">
      <w:pPr>
        <w:pStyle w:val="BodyText"/>
        <w:rPr>
          <w:b/>
          <w:bCs/>
          <w:noProof/>
        </w:rPr>
      </w:pPr>
      <w:r w:rsidRPr="00EF2DDF">
        <w:rPr>
          <w:noProof/>
          <w:u w:val="single"/>
        </w:rPr>
        <w:t>(Re-)attribution planned to</w:t>
      </w:r>
      <w:r w:rsidRPr="00EF2DDF">
        <w:rPr>
          <w:noProof/>
        </w:rPr>
        <w:t>: ECHA</w:t>
      </w:r>
    </w:p>
    <w:p w14:paraId="2D6F57F4" w14:textId="77777777" w:rsidR="000A7D9D" w:rsidRPr="00EF2DDF" w:rsidRDefault="000A7D9D" w:rsidP="000A7D9D">
      <w:pPr>
        <w:pStyle w:val="BodyText"/>
        <w:rPr>
          <w:noProof/>
        </w:rPr>
      </w:pPr>
      <w:r w:rsidRPr="00EF2DDF">
        <w:rPr>
          <w:b/>
          <w:bCs/>
          <w:noProof/>
        </w:rPr>
        <w:t xml:space="preserve">Legal basis for reattribution: </w:t>
      </w:r>
      <w:r w:rsidRPr="00EF2DDF">
        <w:rPr>
          <w:noProof/>
        </w:rPr>
        <w:t>Revision of the Industrial Emissions Directive (2010/75/EU)</w:t>
      </w:r>
    </w:p>
    <w:p w14:paraId="238DE6E0" w14:textId="77777777" w:rsidR="000A7D9D" w:rsidRPr="00EF2DDF" w:rsidRDefault="000A7D9D" w:rsidP="000A7D9D">
      <w:pPr>
        <w:pStyle w:val="BodyText"/>
        <w:jc w:val="both"/>
        <w:rPr>
          <w:b/>
          <w:bCs/>
          <w:noProof/>
        </w:rPr>
      </w:pPr>
      <w:r w:rsidRPr="00EF2DDF">
        <w:rPr>
          <w:b/>
          <w:bCs/>
          <w:noProof/>
        </w:rPr>
        <w:t xml:space="preserve">Type of task: </w:t>
      </w:r>
      <w:r w:rsidRPr="00EF2DDF">
        <w:rPr>
          <w:noProof/>
        </w:rPr>
        <w:t>new</w:t>
      </w:r>
    </w:p>
    <w:p w14:paraId="15DED630" w14:textId="77777777" w:rsidR="000A7D9D" w:rsidRPr="00EF2DDF" w:rsidRDefault="000A7D9D" w:rsidP="000A7D9D">
      <w:pPr>
        <w:pStyle w:val="BodyText"/>
        <w:jc w:val="both"/>
        <w:rPr>
          <w:noProof/>
        </w:rPr>
      </w:pPr>
      <w:r w:rsidRPr="00EF2DDF">
        <w:rPr>
          <w:b/>
          <w:bCs/>
          <w:noProof/>
        </w:rPr>
        <w:t xml:space="preserve">Brief task overview: </w:t>
      </w:r>
      <w:r w:rsidRPr="00EF2DDF">
        <w:rPr>
          <w:noProof/>
        </w:rPr>
        <w:t>ECHA has already for some time provided input to the Commission to the review of the Best Available Techniques Reference documents (BREF). Now ECHA's role has been formalised as part of this revised proposal. Overall, ECHA’s role would include routine support to BREF/BAT and support to design/ implementation of the Chemicals Management System (CMS) methodology.</w:t>
      </w:r>
    </w:p>
    <w:p w14:paraId="20CBB11D" w14:textId="77777777" w:rsidR="000A7D9D" w:rsidRPr="00EF2DDF" w:rsidRDefault="000A7D9D" w:rsidP="000A7D9D">
      <w:pPr>
        <w:pStyle w:val="BodyText"/>
        <w:jc w:val="both"/>
        <w:rPr>
          <w:b/>
          <w:bCs/>
          <w:noProof/>
        </w:rPr>
      </w:pPr>
      <w:r w:rsidRPr="00EF2DDF">
        <w:rPr>
          <w:b/>
          <w:bCs/>
          <w:noProof/>
        </w:rPr>
        <w:t>Detailed process description:</w:t>
      </w:r>
    </w:p>
    <w:p w14:paraId="4156742C" w14:textId="77777777" w:rsidR="000A7D9D" w:rsidRPr="00EF2DDF" w:rsidRDefault="000A7D9D" w:rsidP="000A7D9D">
      <w:pPr>
        <w:pStyle w:val="BodyText"/>
        <w:jc w:val="both"/>
        <w:rPr>
          <w:noProof/>
          <w:u w:val="single"/>
        </w:rPr>
      </w:pPr>
      <w:r w:rsidRPr="00EF2DDF">
        <w:rPr>
          <w:noProof/>
          <w:u w:val="single"/>
        </w:rPr>
        <w:t>Current process:</w:t>
      </w:r>
    </w:p>
    <w:p w14:paraId="2CB39AE2" w14:textId="77777777" w:rsidR="000A7D9D" w:rsidRPr="00EF2DDF" w:rsidRDefault="000A7D9D" w:rsidP="000A7D9D">
      <w:pPr>
        <w:pStyle w:val="BodyText"/>
        <w:jc w:val="both"/>
        <w:rPr>
          <w:noProof/>
        </w:rPr>
      </w:pPr>
      <w:r w:rsidRPr="00EF2DDF">
        <w:rPr>
          <w:noProof/>
        </w:rPr>
        <w:t>N/A, no process exists at EU level</w:t>
      </w:r>
    </w:p>
    <w:p w14:paraId="014998A3" w14:textId="77777777" w:rsidR="000A7D9D" w:rsidRPr="00EF2DDF" w:rsidRDefault="000A7D9D" w:rsidP="000A7D9D">
      <w:pPr>
        <w:pStyle w:val="BodyText"/>
        <w:jc w:val="both"/>
        <w:rPr>
          <w:noProof/>
          <w:u w:val="single"/>
        </w:rPr>
      </w:pPr>
      <w:r w:rsidRPr="00EF2DDF">
        <w:rPr>
          <w:noProof/>
          <w:u w:val="single"/>
        </w:rPr>
        <w:t>New process:</w:t>
      </w:r>
    </w:p>
    <w:p w14:paraId="7F715218" w14:textId="77777777" w:rsidR="000A7D9D" w:rsidRPr="00EF2DDF" w:rsidRDefault="000A7D9D" w:rsidP="000A7D9D">
      <w:pPr>
        <w:pStyle w:val="BodyText"/>
        <w:jc w:val="both"/>
        <w:rPr>
          <w:noProof/>
        </w:rPr>
      </w:pPr>
      <w:r w:rsidRPr="00EF2DDF">
        <w:rPr>
          <w:noProof/>
        </w:rPr>
        <w:t xml:space="preserve">While ECHA has already done some work in this area, the Commission has now proposed giving ECHA a formal role in drawing up BAT reference documents (BREFs). </w:t>
      </w:r>
    </w:p>
    <w:p w14:paraId="39675B5B" w14:textId="77777777" w:rsidR="000A7D9D" w:rsidRPr="00EF2DDF" w:rsidRDefault="000A7D9D" w:rsidP="000A7D9D">
      <w:pPr>
        <w:pStyle w:val="BodyText"/>
        <w:jc w:val="both"/>
        <w:rPr>
          <w:noProof/>
        </w:rPr>
      </w:pPr>
      <w:r w:rsidRPr="00EF2DDF">
        <w:rPr>
          <w:noProof/>
        </w:rPr>
        <w:t xml:space="preserve">The role of ECHA would be to ensure that: </w:t>
      </w:r>
    </w:p>
    <w:p w14:paraId="4D288202" w14:textId="77777777" w:rsidR="000A7D9D" w:rsidRPr="00EF2DDF" w:rsidRDefault="000A7D9D" w:rsidP="000A7D9D">
      <w:pPr>
        <w:pStyle w:val="BodyText"/>
        <w:widowControl w:val="0"/>
        <w:numPr>
          <w:ilvl w:val="0"/>
          <w:numId w:val="105"/>
        </w:numPr>
        <w:ind w:left="714" w:hanging="357"/>
        <w:jc w:val="both"/>
        <w:rPr>
          <w:noProof/>
        </w:rPr>
      </w:pPr>
      <w:r w:rsidRPr="00EF2DDF">
        <w:rPr>
          <w:noProof/>
        </w:rPr>
        <w:t xml:space="preserve">An appropriate identification (and if necessary selection) of relevant substances for each sector/BREF is made. This will include a characterisation of the uses of those substances by sectors covered by BREFs including definition of best practices to use the safest alternatives on the market. This will improve clarity and consistency of the various legislations (IED, REACH, CLP) </w:t>
      </w:r>
    </w:p>
    <w:p w14:paraId="2610594D" w14:textId="77777777" w:rsidR="000A7D9D" w:rsidRPr="00EF2DDF" w:rsidRDefault="000A7D9D" w:rsidP="000A7D9D">
      <w:pPr>
        <w:pStyle w:val="BodyText"/>
        <w:widowControl w:val="0"/>
        <w:numPr>
          <w:ilvl w:val="0"/>
          <w:numId w:val="105"/>
        </w:numPr>
        <w:ind w:left="714" w:hanging="357"/>
        <w:jc w:val="both"/>
        <w:rPr>
          <w:noProof/>
        </w:rPr>
      </w:pPr>
      <w:r w:rsidRPr="00EF2DDF">
        <w:rPr>
          <w:noProof/>
        </w:rPr>
        <w:t xml:space="preserve">The correct terminology is used in the BREF processes (e.g. substance, process chemical, raw material) </w:t>
      </w:r>
    </w:p>
    <w:p w14:paraId="5C3E98E4" w14:textId="77777777" w:rsidR="000A7D9D" w:rsidRPr="00EF2DDF" w:rsidRDefault="000A7D9D" w:rsidP="000A7D9D">
      <w:pPr>
        <w:pStyle w:val="BodyText"/>
        <w:widowControl w:val="0"/>
        <w:numPr>
          <w:ilvl w:val="0"/>
          <w:numId w:val="105"/>
        </w:numPr>
        <w:ind w:left="714" w:hanging="357"/>
        <w:jc w:val="both"/>
        <w:rPr>
          <w:noProof/>
        </w:rPr>
      </w:pPr>
      <w:r w:rsidRPr="00EF2DDF">
        <w:rPr>
          <w:noProof/>
        </w:rPr>
        <w:t xml:space="preserve">The chemicals-related BATs (such as substitution techniques) are technically sound </w:t>
      </w:r>
    </w:p>
    <w:p w14:paraId="687C4C53" w14:textId="77777777" w:rsidR="000A7D9D" w:rsidRPr="00EF2DDF" w:rsidRDefault="000A7D9D" w:rsidP="000A7D9D">
      <w:pPr>
        <w:pStyle w:val="BodyText"/>
        <w:widowControl w:val="0"/>
        <w:numPr>
          <w:ilvl w:val="0"/>
          <w:numId w:val="105"/>
        </w:numPr>
        <w:ind w:left="714" w:hanging="357"/>
        <w:jc w:val="both"/>
        <w:rPr>
          <w:noProof/>
        </w:rPr>
      </w:pPr>
      <w:r w:rsidRPr="00EF2DDF">
        <w:rPr>
          <w:noProof/>
        </w:rPr>
        <w:t xml:space="preserve">Background documents, for Kick off Meeting and final meeting, drafted by the EIPPCB are relevant regarding chemicals issue </w:t>
      </w:r>
    </w:p>
    <w:p w14:paraId="038902C5" w14:textId="77777777" w:rsidR="000A7D9D" w:rsidRPr="00EF2DDF" w:rsidRDefault="000A7D9D" w:rsidP="000A7D9D">
      <w:pPr>
        <w:pStyle w:val="BodyText"/>
        <w:widowControl w:val="0"/>
        <w:numPr>
          <w:ilvl w:val="0"/>
          <w:numId w:val="105"/>
        </w:numPr>
        <w:ind w:left="714" w:hanging="357"/>
        <w:jc w:val="both"/>
        <w:rPr>
          <w:noProof/>
        </w:rPr>
      </w:pPr>
      <w:r w:rsidRPr="00EF2DDF">
        <w:rPr>
          <w:noProof/>
        </w:rPr>
        <w:t xml:space="preserve">Assistance is provided to the EIPPCB to access the information on ECHA’s database </w:t>
      </w:r>
    </w:p>
    <w:p w14:paraId="3A3BE149" w14:textId="77777777" w:rsidR="000A7D9D" w:rsidRPr="00EF2DDF" w:rsidRDefault="000A7D9D" w:rsidP="000A7D9D">
      <w:pPr>
        <w:pStyle w:val="BodyText"/>
        <w:widowControl w:val="0"/>
        <w:numPr>
          <w:ilvl w:val="0"/>
          <w:numId w:val="105"/>
        </w:numPr>
        <w:jc w:val="both"/>
        <w:rPr>
          <w:noProof/>
        </w:rPr>
      </w:pPr>
      <w:r w:rsidRPr="00EF2DDF">
        <w:rPr>
          <w:noProof/>
        </w:rPr>
        <w:t>Assistance is provided to answer stakeholders questions or comments where a chemicals expertise is needed</w:t>
      </w:r>
    </w:p>
    <w:p w14:paraId="263E7D52" w14:textId="77777777" w:rsidR="000A7D9D" w:rsidRPr="00EF2DDF" w:rsidRDefault="000A7D9D" w:rsidP="000A7D9D">
      <w:pPr>
        <w:pStyle w:val="BodyText"/>
        <w:jc w:val="both"/>
        <w:rPr>
          <w:noProof/>
        </w:rPr>
      </w:pPr>
      <w:r w:rsidRPr="00EF2DDF">
        <w:rPr>
          <w:noProof/>
        </w:rPr>
        <w:t>The Commission would facilitate this work by organising an exchange of information between the concerned industries, Member States, NGOs and ECHA. In addition, by 2024, ECHA should start building a methodology for on-site risk assessment to actively manage input chemicals and resulting emissions.</w:t>
      </w:r>
    </w:p>
    <w:p w14:paraId="465A776C" w14:textId="77777777" w:rsidR="000A7D9D" w:rsidRPr="00EF2DDF" w:rsidRDefault="000A7D9D" w:rsidP="000A7D9D">
      <w:pPr>
        <w:pStyle w:val="BodyText"/>
        <w:jc w:val="both"/>
        <w:rPr>
          <w:noProof/>
        </w:rPr>
      </w:pPr>
      <w:r w:rsidRPr="00EF2DDF">
        <w:rPr>
          <w:noProof/>
        </w:rPr>
        <w:t>In short ECHA's new tasks would include the following:</w:t>
      </w:r>
    </w:p>
    <w:p w14:paraId="17A452C3" w14:textId="77777777" w:rsidR="000A7D9D" w:rsidRPr="00EF2DDF" w:rsidRDefault="000A7D9D" w:rsidP="000A7D9D">
      <w:pPr>
        <w:pStyle w:val="BodyText"/>
        <w:widowControl w:val="0"/>
        <w:numPr>
          <w:ilvl w:val="0"/>
          <w:numId w:val="101"/>
        </w:numPr>
        <w:jc w:val="both"/>
        <w:rPr>
          <w:noProof/>
        </w:rPr>
      </w:pPr>
      <w:r w:rsidRPr="00EF2DDF">
        <w:rPr>
          <w:noProof/>
        </w:rPr>
        <w:t xml:space="preserve">​Data mining of ECHA databases and generating a list of hazardous substances potentially used in BREF sectors; extract substance-related information (regulatory status, classification, substance identity), characterise the uses of those substances by sectors covered by BREFs including definition of best practices to use the safest alternatives on the market, and provide technical support to BREF revisions (TWG meetings, review, other technical inputs). </w:t>
      </w:r>
    </w:p>
    <w:p w14:paraId="1607C53B" w14:textId="77777777" w:rsidR="000A7D9D" w:rsidRPr="00EF2DDF" w:rsidRDefault="000A7D9D" w:rsidP="000A7D9D">
      <w:pPr>
        <w:pStyle w:val="BodyText"/>
        <w:widowControl w:val="0"/>
        <w:numPr>
          <w:ilvl w:val="0"/>
          <w:numId w:val="101"/>
        </w:numPr>
        <w:jc w:val="both"/>
        <w:rPr>
          <w:noProof/>
        </w:rPr>
      </w:pPr>
      <w:r w:rsidRPr="00EF2DDF">
        <w:rPr>
          <w:noProof/>
        </w:rPr>
        <w:t xml:space="preserve">Develop guiding principles for the Chemicals Management System focussing on data structure and methodologies for a site inventory of chemicals (substances and mixtures) associated with further development of a site-level risk assessment methodology and contribute to the development of guiding principles on how to conduct a comparative risk assessment between the substances an operator uses for his processes/products and potential alternatives. </w:t>
      </w:r>
    </w:p>
    <w:p w14:paraId="4326195D" w14:textId="77777777" w:rsidR="000A7D9D" w:rsidRPr="00EF2DDF" w:rsidRDefault="000A7D9D" w:rsidP="000A7D9D">
      <w:pPr>
        <w:pStyle w:val="BodyText"/>
        <w:jc w:val="both"/>
        <w:rPr>
          <w:noProof/>
        </w:rPr>
      </w:pPr>
      <w:r w:rsidRPr="00EF2DDF">
        <w:rPr>
          <w:b/>
          <w:bCs/>
          <w:noProof/>
        </w:rPr>
        <w:t>Proximity to ECHA mandate:</w:t>
      </w:r>
      <w:r w:rsidRPr="00EF2DDF">
        <w:rPr>
          <w:noProof/>
        </w:rPr>
        <w:t xml:space="preserve"> This new task would mainly be the formalisation of a task already performed by ECHA on an ad hoc basis, with the addition of support to design/ implement the CMS methodology. </w:t>
      </w:r>
    </w:p>
    <w:p w14:paraId="27A7CFB7" w14:textId="77777777" w:rsidR="000A7D9D" w:rsidRPr="00EF2DDF" w:rsidRDefault="000A7D9D" w:rsidP="000A7D9D">
      <w:pPr>
        <w:pStyle w:val="BodyText"/>
        <w:rPr>
          <w:b/>
          <w:noProof/>
        </w:rPr>
      </w:pPr>
      <w:r w:rsidRPr="00EF2DDF">
        <w:rPr>
          <w:b/>
          <w:noProof/>
        </w:rPr>
        <w:t>Projected synergies and added value of reattribution:</w:t>
      </w:r>
    </w:p>
    <w:tbl>
      <w:tblPr>
        <w:tblStyle w:val="TableGrid31"/>
        <w:tblW w:w="0" w:type="auto"/>
        <w:tblLook w:val="04A0" w:firstRow="1" w:lastRow="0" w:firstColumn="1" w:lastColumn="0" w:noHBand="0" w:noVBand="1"/>
      </w:tblPr>
      <w:tblGrid>
        <w:gridCol w:w="1728"/>
        <w:gridCol w:w="1119"/>
        <w:gridCol w:w="6782"/>
      </w:tblGrid>
      <w:tr w:rsidR="000A7D9D" w:rsidRPr="00EF2DDF" w14:paraId="2FEF3C87"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6BD86B88" w14:textId="77777777" w:rsidR="000A7D9D" w:rsidRPr="00EF2DDF" w:rsidRDefault="000A7D9D" w:rsidP="00F31937">
            <w:pPr>
              <w:spacing w:before="120" w:after="120"/>
              <w:rPr>
                <w:rFonts w:ascii="Times New Roman" w:hAnsi="Times New Roman"/>
                <w:b/>
                <w:bCs/>
                <w:noProof/>
                <w:color w:val="0046AD"/>
                <w:sz w:val="24"/>
                <w:szCs w:val="24"/>
              </w:rPr>
            </w:pPr>
            <w:r w:rsidRPr="00EF2DDF">
              <w:rPr>
                <w:rFonts w:ascii="Times New Roman" w:hAnsi="Times New Roman"/>
                <w:b/>
                <w:bCs/>
                <w:noProof/>
                <w:color w:val="0046AD"/>
                <w:sz w:val="24"/>
                <w:szCs w:val="24"/>
              </w:rPr>
              <w:t>Type</w:t>
            </w:r>
          </w:p>
        </w:tc>
        <w:tc>
          <w:tcPr>
            <w:tcW w:w="7901" w:type="dxa"/>
            <w:gridSpan w:val="2"/>
            <w:tcBorders>
              <w:top w:val="single" w:sz="4" w:space="0" w:color="auto"/>
              <w:left w:val="single" w:sz="4" w:space="0" w:color="auto"/>
              <w:bottom w:val="single" w:sz="4" w:space="0" w:color="auto"/>
              <w:right w:val="single" w:sz="4" w:space="0" w:color="auto"/>
            </w:tcBorders>
            <w:hideMark/>
          </w:tcPr>
          <w:p w14:paraId="68A22841" w14:textId="77777777" w:rsidR="000A7D9D" w:rsidRPr="00EF2DDF" w:rsidRDefault="000A7D9D" w:rsidP="00F31937">
            <w:pPr>
              <w:spacing w:before="120" w:after="120"/>
              <w:rPr>
                <w:rFonts w:ascii="Times New Roman" w:hAnsi="Times New Roman"/>
                <w:b/>
                <w:bCs/>
                <w:noProof/>
                <w:color w:val="0046AD"/>
                <w:sz w:val="24"/>
                <w:szCs w:val="24"/>
              </w:rPr>
            </w:pPr>
            <w:r w:rsidRPr="00EF2DDF">
              <w:rPr>
                <w:rFonts w:ascii="Times New Roman" w:hAnsi="Times New Roman"/>
                <w:b/>
                <w:bCs/>
                <w:noProof/>
                <w:color w:val="0046AD"/>
                <w:sz w:val="24"/>
                <w:szCs w:val="24"/>
              </w:rPr>
              <w:t>Synergies</w:t>
            </w:r>
          </w:p>
        </w:tc>
      </w:tr>
      <w:tr w:rsidR="000A7D9D" w:rsidRPr="00EF2DDF" w14:paraId="7675765F"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07F1C4A3"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Reuse of capabilities</w:t>
            </w:r>
          </w:p>
        </w:tc>
        <w:tc>
          <w:tcPr>
            <w:tcW w:w="1119" w:type="dxa"/>
            <w:tcBorders>
              <w:top w:val="single" w:sz="4" w:space="0" w:color="auto"/>
              <w:left w:val="single" w:sz="4" w:space="0" w:color="auto"/>
              <w:bottom w:val="single" w:sz="4" w:space="0" w:color="auto"/>
              <w:right w:val="single" w:sz="4" w:space="0" w:color="auto"/>
            </w:tcBorders>
            <w:hideMark/>
          </w:tcPr>
          <w:p w14:paraId="61116087"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72B10789"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Process and expertise: ECHA already provides scientific advice on chemical substances and as it has supported related ad hoc advice requests in the past, it already has the needed expertise. Several key capacities can be reused/reinforced:</w:t>
            </w:r>
          </w:p>
          <w:p w14:paraId="0C7B1393" w14:textId="77777777" w:rsidR="000A7D9D" w:rsidRPr="00EF2DDF" w:rsidRDefault="000A7D9D" w:rsidP="000A7D9D">
            <w:pPr>
              <w:numPr>
                <w:ilvl w:val="0"/>
                <w:numId w:val="21"/>
              </w:numPr>
              <w:snapToGrid w:val="0"/>
              <w:ind w:left="720"/>
              <w:contextualSpacing/>
              <w:rPr>
                <w:rFonts w:ascii="Times New Roman" w:hAnsi="Times New Roman"/>
                <w:noProof/>
                <w:sz w:val="24"/>
                <w:szCs w:val="24"/>
              </w:rPr>
            </w:pPr>
            <w:r w:rsidRPr="00EF2DDF">
              <w:rPr>
                <w:rFonts w:ascii="Times New Roman" w:hAnsi="Times New Roman"/>
                <w:noProof/>
                <w:sz w:val="24"/>
                <w:szCs w:val="24"/>
              </w:rPr>
              <w:t>Hazard, risk and exposure assessment</w:t>
            </w:r>
          </w:p>
          <w:p w14:paraId="68AAAB2B" w14:textId="77777777" w:rsidR="000A7D9D" w:rsidRPr="00EF2DDF"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EF2DDF">
              <w:rPr>
                <w:rFonts w:ascii="Times New Roman" w:hAnsi="Times New Roman"/>
                <w:noProof/>
                <w:color w:val="000000" w:themeColor="text1"/>
                <w:sz w:val="24"/>
                <w:szCs w:val="24"/>
              </w:rPr>
              <w:t>IT capabilities for stakeholder consultation and dissemination</w:t>
            </w:r>
          </w:p>
        </w:tc>
      </w:tr>
      <w:tr w:rsidR="000A7D9D" w:rsidRPr="00EF2DDF" w14:paraId="39F1E098"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134B0DFB"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Re-use of data</w:t>
            </w:r>
          </w:p>
        </w:tc>
        <w:tc>
          <w:tcPr>
            <w:tcW w:w="1119" w:type="dxa"/>
            <w:tcBorders>
              <w:top w:val="single" w:sz="4" w:space="0" w:color="auto"/>
              <w:left w:val="single" w:sz="4" w:space="0" w:color="auto"/>
              <w:bottom w:val="single" w:sz="4" w:space="0" w:color="auto"/>
              <w:right w:val="single" w:sz="4" w:space="0" w:color="auto"/>
            </w:tcBorders>
            <w:hideMark/>
          </w:tcPr>
          <w:p w14:paraId="41640636"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354F3004"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Reuse of data collected under other chemical legislation, especially also on substances in products via the SCIP database.</w:t>
            </w:r>
          </w:p>
        </w:tc>
      </w:tr>
      <w:tr w:rsidR="000A7D9D" w:rsidRPr="00EF2DDF" w14:paraId="6983C2A4"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0F420A94"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Workload balancing</w:t>
            </w:r>
          </w:p>
        </w:tc>
        <w:tc>
          <w:tcPr>
            <w:tcW w:w="1119" w:type="dxa"/>
            <w:tcBorders>
              <w:top w:val="single" w:sz="4" w:space="0" w:color="auto"/>
              <w:left w:val="single" w:sz="4" w:space="0" w:color="auto"/>
              <w:bottom w:val="single" w:sz="4" w:space="0" w:color="auto"/>
              <w:right w:val="single" w:sz="4" w:space="0" w:color="auto"/>
            </w:tcBorders>
            <w:hideMark/>
          </w:tcPr>
          <w:p w14:paraId="739C7DB2"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Medium</w:t>
            </w:r>
          </w:p>
        </w:tc>
        <w:tc>
          <w:tcPr>
            <w:tcW w:w="6782" w:type="dxa"/>
            <w:tcBorders>
              <w:top w:val="single" w:sz="4" w:space="0" w:color="auto"/>
              <w:left w:val="single" w:sz="4" w:space="0" w:color="auto"/>
              <w:bottom w:val="single" w:sz="4" w:space="0" w:color="auto"/>
              <w:right w:val="single" w:sz="4" w:space="0" w:color="auto"/>
            </w:tcBorders>
            <w:hideMark/>
          </w:tcPr>
          <w:p w14:paraId="558EFCC4"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With occasional requests, the workload of Agency experts can be balanced (although resource estimates are already annualised).</w:t>
            </w:r>
          </w:p>
        </w:tc>
      </w:tr>
      <w:tr w:rsidR="000A7D9D" w:rsidRPr="00EF2DDF" w14:paraId="23F78DBE"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7ECF0CCE"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IT tools: automation and economies of scale</w:t>
            </w:r>
          </w:p>
        </w:tc>
        <w:tc>
          <w:tcPr>
            <w:tcW w:w="1119" w:type="dxa"/>
            <w:tcBorders>
              <w:top w:val="single" w:sz="4" w:space="0" w:color="auto"/>
              <w:left w:val="single" w:sz="4" w:space="0" w:color="auto"/>
              <w:bottom w:val="single" w:sz="4" w:space="0" w:color="auto"/>
              <w:right w:val="single" w:sz="4" w:space="0" w:color="auto"/>
            </w:tcBorders>
            <w:hideMark/>
          </w:tcPr>
          <w:p w14:paraId="682B2502"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5A37A666"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Not an IT-intensive process, but reuse of IT capabilities for case management, public consultation, interaction with Member States and data dissemination.</w:t>
            </w:r>
          </w:p>
        </w:tc>
      </w:tr>
      <w:tr w:rsidR="000A7D9D" w:rsidRPr="00EF2DDF" w14:paraId="0ACD4177"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6B058112"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Support services: economies of scale</w:t>
            </w:r>
          </w:p>
        </w:tc>
        <w:tc>
          <w:tcPr>
            <w:tcW w:w="1119" w:type="dxa"/>
            <w:tcBorders>
              <w:top w:val="single" w:sz="4" w:space="0" w:color="auto"/>
              <w:left w:val="single" w:sz="4" w:space="0" w:color="auto"/>
              <w:bottom w:val="single" w:sz="4" w:space="0" w:color="auto"/>
              <w:right w:val="single" w:sz="4" w:space="0" w:color="auto"/>
            </w:tcBorders>
            <w:hideMark/>
          </w:tcPr>
          <w:p w14:paraId="4D358194"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18B8F64A"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Reuse of scientific support services (e.g. prioritisation and grouping of substances, substance identification, data management and dissemination). Reuse of administrative services.</w:t>
            </w:r>
          </w:p>
        </w:tc>
      </w:tr>
    </w:tbl>
    <w:p w14:paraId="7F5517C4" w14:textId="77777777" w:rsidR="000A7D9D" w:rsidRPr="00EF2DDF" w:rsidRDefault="000A7D9D" w:rsidP="000A7D9D">
      <w:pPr>
        <w:pStyle w:val="BodyText"/>
        <w:rPr>
          <w:noProof/>
          <w:u w:val="single"/>
        </w:rPr>
      </w:pPr>
    </w:p>
    <w:tbl>
      <w:tblPr>
        <w:tblStyle w:val="TableGrid"/>
        <w:tblW w:w="0" w:type="auto"/>
        <w:tblLook w:val="04A0" w:firstRow="1" w:lastRow="0" w:firstColumn="1" w:lastColumn="0" w:noHBand="0" w:noVBand="1"/>
      </w:tblPr>
      <w:tblGrid>
        <w:gridCol w:w="1822"/>
        <w:gridCol w:w="1057"/>
        <w:gridCol w:w="6750"/>
      </w:tblGrid>
      <w:tr w:rsidR="000A7D9D" w:rsidRPr="00EF2DDF" w14:paraId="03091A80"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7E7DBA7A" w14:textId="77777777" w:rsidR="000A7D9D" w:rsidRPr="00EF2DDF" w:rsidRDefault="000A7D9D" w:rsidP="00F31937">
            <w:pPr>
              <w:spacing w:before="120" w:after="120"/>
              <w:rPr>
                <w:b/>
                <w:bCs/>
                <w:noProof/>
                <w:color w:val="0046AD"/>
                <w:sz w:val="24"/>
                <w:szCs w:val="24"/>
              </w:rPr>
            </w:pPr>
            <w:r w:rsidRPr="00EF2DDF">
              <w:rPr>
                <w:b/>
                <w:bCs/>
                <w:noProof/>
                <w:color w:val="0046AD"/>
                <w:sz w:val="24"/>
                <w:szCs w:val="24"/>
              </w:rPr>
              <w:t>Type</w:t>
            </w:r>
          </w:p>
        </w:tc>
        <w:tc>
          <w:tcPr>
            <w:tcW w:w="7807" w:type="dxa"/>
            <w:gridSpan w:val="2"/>
            <w:tcBorders>
              <w:top w:val="single" w:sz="4" w:space="0" w:color="auto"/>
              <w:left w:val="single" w:sz="4" w:space="0" w:color="auto"/>
              <w:bottom w:val="single" w:sz="4" w:space="0" w:color="auto"/>
              <w:right w:val="single" w:sz="4" w:space="0" w:color="auto"/>
            </w:tcBorders>
            <w:hideMark/>
          </w:tcPr>
          <w:p w14:paraId="3867D953" w14:textId="77777777" w:rsidR="000A7D9D" w:rsidRPr="00EF2DDF" w:rsidRDefault="000A7D9D" w:rsidP="00F31937">
            <w:pPr>
              <w:spacing w:before="120" w:after="120"/>
              <w:rPr>
                <w:b/>
                <w:bCs/>
                <w:noProof/>
                <w:color w:val="0046AD"/>
                <w:sz w:val="24"/>
                <w:szCs w:val="24"/>
              </w:rPr>
            </w:pPr>
            <w:r w:rsidRPr="00EF2DDF">
              <w:rPr>
                <w:b/>
                <w:bCs/>
                <w:noProof/>
                <w:color w:val="0046AD"/>
                <w:sz w:val="24"/>
                <w:szCs w:val="24"/>
              </w:rPr>
              <w:t>Added value</w:t>
            </w:r>
          </w:p>
        </w:tc>
      </w:tr>
      <w:tr w:rsidR="000A7D9D" w:rsidRPr="00EF2DDF" w14:paraId="6ABECC38"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0F4A4FB5" w14:textId="77777777" w:rsidR="000A7D9D" w:rsidRPr="00EF2DDF" w:rsidRDefault="000A7D9D" w:rsidP="00F31937">
            <w:pPr>
              <w:spacing w:before="120" w:after="120"/>
              <w:rPr>
                <w:b/>
                <w:bCs/>
                <w:noProof/>
                <w:color w:val="000000" w:themeColor="text1"/>
                <w:sz w:val="24"/>
                <w:szCs w:val="24"/>
              </w:rPr>
            </w:pPr>
            <w:r w:rsidRPr="00EF2DDF">
              <w:rPr>
                <w:b/>
                <w:bCs/>
                <w:noProof/>
                <w:color w:val="000000" w:themeColor="text1"/>
                <w:sz w:val="24"/>
                <w:szCs w:val="24"/>
              </w:rPr>
              <w:t>Scientific consistency</w:t>
            </w:r>
          </w:p>
        </w:tc>
        <w:tc>
          <w:tcPr>
            <w:tcW w:w="1057" w:type="dxa"/>
            <w:tcBorders>
              <w:top w:val="single" w:sz="4" w:space="0" w:color="auto"/>
              <w:left w:val="single" w:sz="4" w:space="0" w:color="auto"/>
              <w:bottom w:val="single" w:sz="4" w:space="0" w:color="auto"/>
              <w:right w:val="single" w:sz="4" w:space="0" w:color="auto"/>
            </w:tcBorders>
            <w:hideMark/>
          </w:tcPr>
          <w:p w14:paraId="30E096DE" w14:textId="77777777" w:rsidR="000A7D9D" w:rsidRPr="00EF2DDF" w:rsidRDefault="000A7D9D" w:rsidP="00F31937">
            <w:pPr>
              <w:spacing w:before="120" w:after="120"/>
              <w:rPr>
                <w:noProof/>
                <w:color w:val="000000" w:themeColor="text1"/>
                <w:sz w:val="24"/>
                <w:szCs w:val="24"/>
              </w:rPr>
            </w:pPr>
            <w:r w:rsidRPr="00EF2DDF">
              <w:rPr>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33089166" w14:textId="77777777" w:rsidR="000A7D9D" w:rsidRPr="00EF2DDF" w:rsidRDefault="000A7D9D" w:rsidP="00F31937">
            <w:pPr>
              <w:spacing w:before="120" w:after="120"/>
              <w:rPr>
                <w:noProof/>
                <w:color w:val="000000" w:themeColor="text1"/>
                <w:sz w:val="24"/>
                <w:szCs w:val="24"/>
              </w:rPr>
            </w:pPr>
            <w:r w:rsidRPr="00EF2DDF">
              <w:rPr>
                <w:noProof/>
                <w:color w:val="000000" w:themeColor="text1"/>
                <w:sz w:val="24"/>
                <w:szCs w:val="24"/>
              </w:rPr>
              <w:t>Opportunity to align priority setting, timeline, process and methodology with other related legislation to improve coherence in the scientific advice provided to the Commission. Reuse of data collected under other chemical legislation.</w:t>
            </w:r>
          </w:p>
        </w:tc>
      </w:tr>
      <w:tr w:rsidR="000A7D9D" w:rsidRPr="00EF2DDF" w14:paraId="2E17F2A7"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34AD7C34" w14:textId="77777777" w:rsidR="000A7D9D" w:rsidRPr="00EF2DDF" w:rsidRDefault="000A7D9D" w:rsidP="00F31937">
            <w:pPr>
              <w:spacing w:before="120" w:after="120"/>
              <w:rPr>
                <w:b/>
                <w:bCs/>
                <w:noProof/>
                <w:color w:val="000000" w:themeColor="text1"/>
                <w:sz w:val="24"/>
                <w:szCs w:val="24"/>
              </w:rPr>
            </w:pPr>
            <w:r w:rsidRPr="00EF2DDF">
              <w:rPr>
                <w:b/>
                <w:bCs/>
                <w:noProof/>
                <w:color w:val="000000" w:themeColor="text1"/>
                <w:sz w:val="24"/>
                <w:szCs w:val="24"/>
              </w:rPr>
              <w:t>Robustness of assessment and acceptance</w:t>
            </w:r>
          </w:p>
        </w:tc>
        <w:tc>
          <w:tcPr>
            <w:tcW w:w="1057" w:type="dxa"/>
            <w:tcBorders>
              <w:top w:val="single" w:sz="4" w:space="0" w:color="auto"/>
              <w:left w:val="single" w:sz="4" w:space="0" w:color="auto"/>
              <w:bottom w:val="single" w:sz="4" w:space="0" w:color="auto"/>
              <w:right w:val="single" w:sz="4" w:space="0" w:color="auto"/>
            </w:tcBorders>
            <w:hideMark/>
          </w:tcPr>
          <w:p w14:paraId="7E829407" w14:textId="77777777" w:rsidR="000A7D9D" w:rsidRPr="00EF2DDF" w:rsidRDefault="000A7D9D" w:rsidP="00F31937">
            <w:pPr>
              <w:spacing w:before="120" w:after="120"/>
              <w:rPr>
                <w:noProof/>
                <w:color w:val="000000" w:themeColor="text1"/>
                <w:sz w:val="24"/>
                <w:szCs w:val="24"/>
              </w:rPr>
            </w:pPr>
            <w:r w:rsidRPr="00EF2DDF">
              <w:rPr>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7275D922" w14:textId="77777777" w:rsidR="000A7D9D" w:rsidRPr="00EF2DDF" w:rsidRDefault="000A7D9D" w:rsidP="00F31937">
            <w:pPr>
              <w:spacing w:before="120" w:after="120"/>
              <w:rPr>
                <w:noProof/>
                <w:color w:val="000000" w:themeColor="text1"/>
                <w:sz w:val="24"/>
                <w:szCs w:val="24"/>
              </w:rPr>
            </w:pPr>
            <w:r w:rsidRPr="00EF2DDF">
              <w:rPr>
                <w:noProof/>
                <w:color w:val="000000" w:themeColor="text1"/>
                <w:sz w:val="24"/>
                <w:szCs w:val="24"/>
              </w:rPr>
              <w:t xml:space="preserve">Centralising scientific work from dispersed Commission services to one central EU Agency and its experts. </w:t>
            </w:r>
          </w:p>
        </w:tc>
      </w:tr>
      <w:tr w:rsidR="000A7D9D" w:rsidRPr="00EF2DDF" w14:paraId="7136E6FF"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67C4A989" w14:textId="77777777" w:rsidR="000A7D9D" w:rsidRPr="00EF2DDF" w:rsidRDefault="000A7D9D" w:rsidP="00F31937">
            <w:pPr>
              <w:spacing w:before="120" w:after="120"/>
              <w:rPr>
                <w:b/>
                <w:bCs/>
                <w:noProof/>
                <w:color w:val="000000" w:themeColor="text1"/>
                <w:sz w:val="24"/>
                <w:szCs w:val="24"/>
              </w:rPr>
            </w:pPr>
            <w:r w:rsidRPr="00EF2DDF">
              <w:rPr>
                <w:b/>
                <w:bCs/>
                <w:noProof/>
                <w:color w:val="000000" w:themeColor="text1"/>
                <w:sz w:val="24"/>
                <w:szCs w:val="24"/>
              </w:rPr>
              <w:t>Independence</w:t>
            </w:r>
          </w:p>
        </w:tc>
        <w:tc>
          <w:tcPr>
            <w:tcW w:w="1057" w:type="dxa"/>
            <w:tcBorders>
              <w:top w:val="single" w:sz="4" w:space="0" w:color="auto"/>
              <w:left w:val="single" w:sz="4" w:space="0" w:color="auto"/>
              <w:bottom w:val="single" w:sz="4" w:space="0" w:color="auto"/>
              <w:right w:val="single" w:sz="4" w:space="0" w:color="auto"/>
            </w:tcBorders>
            <w:hideMark/>
          </w:tcPr>
          <w:p w14:paraId="7EA8E7CC" w14:textId="77777777" w:rsidR="000A7D9D" w:rsidRPr="00EF2DDF" w:rsidRDefault="000A7D9D" w:rsidP="00F31937">
            <w:pPr>
              <w:spacing w:before="120" w:after="120"/>
              <w:rPr>
                <w:noProof/>
                <w:color w:val="000000" w:themeColor="text1"/>
                <w:sz w:val="24"/>
                <w:szCs w:val="24"/>
              </w:rPr>
            </w:pPr>
            <w:r w:rsidRPr="00EF2DDF">
              <w:rPr>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30D1870E" w14:textId="77777777" w:rsidR="000A7D9D" w:rsidRPr="00EF2DDF" w:rsidRDefault="000A7D9D" w:rsidP="00F31937">
            <w:pPr>
              <w:spacing w:before="120" w:after="120"/>
              <w:rPr>
                <w:noProof/>
                <w:color w:val="000000" w:themeColor="text1"/>
                <w:sz w:val="24"/>
                <w:szCs w:val="24"/>
              </w:rPr>
            </w:pPr>
            <w:r w:rsidRPr="00EF2DDF">
              <w:rPr>
                <w:noProof/>
                <w:color w:val="000000" w:themeColor="text1"/>
                <w:sz w:val="24"/>
                <w:szCs w:val="24"/>
              </w:rPr>
              <w:t>Moving scientific work from dispersed Commission services to experts in the European Chemicals Agency with a stricter separation between science and policy. ECHA experts work under stricter conflict of interest avoidance rules, improving guarantees of independent scientific advice to the Commission.</w:t>
            </w:r>
          </w:p>
        </w:tc>
      </w:tr>
      <w:tr w:rsidR="000A7D9D" w:rsidRPr="00EF2DDF" w14:paraId="6687108A"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6248A657" w14:textId="77777777" w:rsidR="000A7D9D" w:rsidRPr="00EF2DDF" w:rsidRDefault="000A7D9D" w:rsidP="00F31937">
            <w:pPr>
              <w:spacing w:before="120" w:after="120"/>
              <w:rPr>
                <w:b/>
                <w:bCs/>
                <w:noProof/>
                <w:color w:val="000000" w:themeColor="text1"/>
                <w:sz w:val="24"/>
                <w:szCs w:val="24"/>
              </w:rPr>
            </w:pPr>
            <w:r w:rsidRPr="00EF2DDF">
              <w:rPr>
                <w:b/>
                <w:bCs/>
                <w:noProof/>
                <w:color w:val="000000" w:themeColor="text1"/>
                <w:sz w:val="24"/>
                <w:szCs w:val="24"/>
              </w:rPr>
              <w:t>Transparency</w:t>
            </w:r>
          </w:p>
        </w:tc>
        <w:tc>
          <w:tcPr>
            <w:tcW w:w="1057" w:type="dxa"/>
            <w:tcBorders>
              <w:top w:val="single" w:sz="4" w:space="0" w:color="auto"/>
              <w:left w:val="single" w:sz="4" w:space="0" w:color="auto"/>
              <w:bottom w:val="single" w:sz="4" w:space="0" w:color="auto"/>
              <w:right w:val="single" w:sz="4" w:space="0" w:color="auto"/>
            </w:tcBorders>
            <w:hideMark/>
          </w:tcPr>
          <w:p w14:paraId="1822526A" w14:textId="77777777" w:rsidR="000A7D9D" w:rsidRPr="00EF2DDF" w:rsidRDefault="000A7D9D" w:rsidP="00F31937">
            <w:pPr>
              <w:spacing w:before="120" w:after="120"/>
              <w:rPr>
                <w:noProof/>
                <w:color w:val="000000" w:themeColor="text1"/>
                <w:sz w:val="24"/>
                <w:szCs w:val="24"/>
              </w:rPr>
            </w:pPr>
            <w:r w:rsidRPr="00EF2DDF">
              <w:rPr>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77C07B2E" w14:textId="77777777" w:rsidR="000A7D9D" w:rsidRPr="00EF2DDF" w:rsidRDefault="000A7D9D" w:rsidP="00F31937">
            <w:pPr>
              <w:spacing w:before="120" w:after="120"/>
              <w:rPr>
                <w:noProof/>
                <w:color w:val="000000" w:themeColor="text1"/>
                <w:sz w:val="24"/>
                <w:szCs w:val="24"/>
              </w:rPr>
            </w:pPr>
            <w:r w:rsidRPr="00EF2DDF">
              <w:rPr>
                <w:noProof/>
                <w:color w:val="000000" w:themeColor="text1"/>
                <w:sz w:val="24"/>
                <w:szCs w:val="24"/>
              </w:rPr>
              <w:t>ECHA’s involvement will bring additional transparency to the process:</w:t>
            </w:r>
          </w:p>
          <w:p w14:paraId="2E428946" w14:textId="77777777" w:rsidR="000A7D9D" w:rsidRPr="00EF2DDF" w:rsidRDefault="000A7D9D" w:rsidP="000A7D9D">
            <w:pPr>
              <w:pStyle w:val="ListParagraph"/>
              <w:widowControl w:val="0"/>
              <w:numPr>
                <w:ilvl w:val="0"/>
                <w:numId w:val="21"/>
              </w:numPr>
              <w:snapToGrid w:val="0"/>
              <w:spacing w:before="120" w:after="120"/>
              <w:ind w:left="720"/>
              <w:rPr>
                <w:noProof/>
                <w:color w:val="000000" w:themeColor="text1"/>
              </w:rPr>
            </w:pPr>
            <w:r w:rsidRPr="00EF2DDF">
              <w:rPr>
                <w:noProof/>
                <w:color w:val="000000" w:themeColor="text1"/>
              </w:rPr>
              <w:t>Overall process transparency</w:t>
            </w:r>
          </w:p>
          <w:p w14:paraId="49991C1E" w14:textId="77777777" w:rsidR="000A7D9D" w:rsidRPr="00EF2DDF" w:rsidRDefault="000A7D9D" w:rsidP="000A7D9D">
            <w:pPr>
              <w:pStyle w:val="ListParagraph"/>
              <w:widowControl w:val="0"/>
              <w:numPr>
                <w:ilvl w:val="0"/>
                <w:numId w:val="21"/>
              </w:numPr>
              <w:snapToGrid w:val="0"/>
              <w:spacing w:before="120" w:after="120"/>
              <w:ind w:left="720"/>
              <w:rPr>
                <w:noProof/>
                <w:color w:val="000000" w:themeColor="text1"/>
              </w:rPr>
            </w:pPr>
            <w:r w:rsidRPr="00EF2DDF">
              <w:rPr>
                <w:noProof/>
                <w:color w:val="000000" w:themeColor="text1"/>
              </w:rPr>
              <w:t>Public consultation/call for evidence</w:t>
            </w:r>
          </w:p>
          <w:p w14:paraId="11D89500" w14:textId="77777777" w:rsidR="000A7D9D" w:rsidRPr="00EF2DDF" w:rsidRDefault="000A7D9D" w:rsidP="000A7D9D">
            <w:pPr>
              <w:pStyle w:val="ListParagraph"/>
              <w:widowControl w:val="0"/>
              <w:numPr>
                <w:ilvl w:val="0"/>
                <w:numId w:val="21"/>
              </w:numPr>
              <w:snapToGrid w:val="0"/>
              <w:spacing w:before="120" w:after="120"/>
              <w:ind w:left="720"/>
              <w:rPr>
                <w:noProof/>
                <w:color w:val="000000" w:themeColor="text1"/>
              </w:rPr>
            </w:pPr>
            <w:r w:rsidRPr="00EF2DDF">
              <w:rPr>
                <w:noProof/>
                <w:color w:val="000000" w:themeColor="text1"/>
              </w:rPr>
              <w:t>Stakeholder involvement</w:t>
            </w:r>
          </w:p>
          <w:p w14:paraId="3CD8DC45" w14:textId="77777777" w:rsidR="000A7D9D" w:rsidRPr="00EF2DDF" w:rsidRDefault="000A7D9D" w:rsidP="000A7D9D">
            <w:pPr>
              <w:pStyle w:val="ListParagraph"/>
              <w:widowControl w:val="0"/>
              <w:numPr>
                <w:ilvl w:val="0"/>
                <w:numId w:val="21"/>
              </w:numPr>
              <w:snapToGrid w:val="0"/>
              <w:spacing w:before="120" w:after="120"/>
              <w:ind w:left="720"/>
              <w:rPr>
                <w:noProof/>
                <w:color w:val="000000" w:themeColor="text1"/>
              </w:rPr>
            </w:pPr>
            <w:r w:rsidRPr="00EF2DDF">
              <w:rPr>
                <w:noProof/>
                <w:color w:val="000000" w:themeColor="text1"/>
              </w:rPr>
              <w:t>Dissemination of scientific data and outcomes</w:t>
            </w:r>
          </w:p>
        </w:tc>
      </w:tr>
    </w:tbl>
    <w:p w14:paraId="6692774A" w14:textId="77777777" w:rsidR="000A7D9D" w:rsidRPr="00EF2DDF" w:rsidRDefault="000A7D9D" w:rsidP="000A7D9D">
      <w:pPr>
        <w:pStyle w:val="BodyText"/>
        <w:rPr>
          <w:b/>
          <w:bCs/>
          <w:noProof/>
        </w:rPr>
      </w:pPr>
      <w:r w:rsidRPr="00EF2DDF">
        <w:rPr>
          <w:b/>
          <w:bCs/>
          <w:noProof/>
        </w:rPr>
        <w:br/>
        <w:t xml:space="preserve">Main risks and opportunities: </w:t>
      </w:r>
      <w:r w:rsidRPr="00EF2DDF">
        <w:rPr>
          <w:noProof/>
        </w:rPr>
        <w:t>N/A</w:t>
      </w:r>
    </w:p>
    <w:p w14:paraId="1BF74713" w14:textId="77777777" w:rsidR="000A7D9D" w:rsidRPr="00EF2DDF" w:rsidRDefault="000A7D9D" w:rsidP="000A7D9D">
      <w:pPr>
        <w:pStyle w:val="BodyText"/>
        <w:rPr>
          <w:b/>
          <w:bCs/>
          <w:noProof/>
        </w:rPr>
      </w:pPr>
      <w:r w:rsidRPr="00EF2DDF">
        <w:rPr>
          <w:b/>
          <w:bCs/>
          <w:noProof/>
        </w:rPr>
        <w:t>Projected impact on ECHA:</w:t>
      </w:r>
    </w:p>
    <w:p w14:paraId="786E5AAC" w14:textId="77777777" w:rsidR="000A7D9D" w:rsidRPr="00EF2DDF" w:rsidRDefault="000A7D9D" w:rsidP="000A7D9D">
      <w:pPr>
        <w:pStyle w:val="BodyText"/>
        <w:widowControl w:val="0"/>
        <w:numPr>
          <w:ilvl w:val="0"/>
          <w:numId w:val="88"/>
        </w:numPr>
        <w:jc w:val="both"/>
        <w:rPr>
          <w:b/>
          <w:bCs/>
          <w:iCs/>
          <w:noProof/>
        </w:rPr>
      </w:pPr>
      <w:r w:rsidRPr="00EF2DDF">
        <w:rPr>
          <w:iCs/>
          <w:noProof/>
        </w:rPr>
        <w:t xml:space="preserve">ECHA Committees/bodies: </w:t>
      </w:r>
      <w:r w:rsidRPr="00EF2DDF">
        <w:rPr>
          <w:b/>
          <w:bCs/>
          <w:iCs/>
          <w:noProof/>
        </w:rPr>
        <w:t>no impact</w:t>
      </w:r>
      <w:r w:rsidRPr="00EF2DDF">
        <w:rPr>
          <w:iCs/>
          <w:noProof/>
        </w:rPr>
        <w:t>. The task does not require involvement of ECHA Committees/bodies</w:t>
      </w:r>
    </w:p>
    <w:p w14:paraId="3C997038" w14:textId="77777777" w:rsidR="000A7D9D" w:rsidRPr="00EF2DDF" w:rsidRDefault="000A7D9D" w:rsidP="000A7D9D">
      <w:pPr>
        <w:pStyle w:val="BodyText"/>
        <w:widowControl w:val="0"/>
        <w:numPr>
          <w:ilvl w:val="0"/>
          <w:numId w:val="88"/>
        </w:numPr>
        <w:jc w:val="both"/>
        <w:rPr>
          <w:b/>
          <w:bCs/>
          <w:iCs/>
          <w:noProof/>
        </w:rPr>
      </w:pPr>
      <w:r w:rsidRPr="00EF2DDF">
        <w:rPr>
          <w:iCs/>
          <w:noProof/>
        </w:rPr>
        <w:t xml:space="preserve">ECHA data model and IT infrastructure: </w:t>
      </w:r>
      <w:r w:rsidRPr="00EF2DDF">
        <w:rPr>
          <w:b/>
          <w:bCs/>
          <w:iCs/>
          <w:noProof/>
        </w:rPr>
        <w:t>no impact</w:t>
      </w:r>
      <w:r w:rsidRPr="00EF2DDF">
        <w:rPr>
          <w:iCs/>
          <w:noProof/>
        </w:rPr>
        <w:t>. The task does not require adjustment of data structures and IT systems</w:t>
      </w:r>
    </w:p>
    <w:p w14:paraId="6572F85F" w14:textId="77777777" w:rsidR="000A7D9D" w:rsidRPr="00EF2DDF" w:rsidRDefault="000A7D9D" w:rsidP="000A7D9D">
      <w:pPr>
        <w:pStyle w:val="BodyText"/>
        <w:widowControl w:val="0"/>
        <w:numPr>
          <w:ilvl w:val="0"/>
          <w:numId w:val="88"/>
        </w:numPr>
        <w:jc w:val="both"/>
        <w:rPr>
          <w:b/>
          <w:bCs/>
          <w:iCs/>
          <w:noProof/>
        </w:rPr>
      </w:pPr>
      <w:r w:rsidRPr="00EF2DDF">
        <w:rPr>
          <w:iCs/>
          <w:noProof/>
        </w:rPr>
        <w:t xml:space="preserve">ECHA key experts: </w:t>
      </w:r>
      <w:r w:rsidRPr="00EF2DDF">
        <w:rPr>
          <w:b/>
          <w:bCs/>
          <w:iCs/>
          <w:noProof/>
        </w:rPr>
        <w:t>high impact</w:t>
      </w:r>
      <w:r w:rsidRPr="00EF2DDF">
        <w:rPr>
          <w:iCs/>
          <w:noProof/>
        </w:rPr>
        <w:t>. The task heavily relies on expert competencies, which are limited within ECHA and also critical to REACH/CLP/BPR regulatory tasks</w:t>
      </w:r>
    </w:p>
    <w:p w14:paraId="06AF4129" w14:textId="77777777" w:rsidR="000A7D9D" w:rsidRPr="00EF2DDF" w:rsidRDefault="000A7D9D" w:rsidP="000A7D9D">
      <w:pPr>
        <w:pStyle w:val="BodyText"/>
        <w:rPr>
          <w:noProof/>
        </w:rPr>
      </w:pPr>
      <w:r w:rsidRPr="00EF2DDF">
        <w:rPr>
          <w:b/>
          <w:bCs/>
          <w:noProof/>
        </w:rPr>
        <w:t>Workload and resource implications:</w:t>
      </w:r>
      <w:r w:rsidRPr="00EF2DDF">
        <w:rPr>
          <w:noProof/>
        </w:rPr>
        <w:t xml:space="preserve"> </w:t>
      </w:r>
    </w:p>
    <w:p w14:paraId="0C6383E9" w14:textId="77777777" w:rsidR="000A7D9D" w:rsidRPr="00EF2DDF" w:rsidRDefault="000A7D9D" w:rsidP="000A7D9D">
      <w:pPr>
        <w:spacing w:after="120"/>
        <w:rPr>
          <w:rFonts w:ascii="Times New Roman" w:hAnsi="Times New Roman" w:cs="Times New Roman"/>
          <w:noProof/>
          <w:sz w:val="24"/>
          <w:szCs w:val="24"/>
          <w:u w:val="single"/>
        </w:rPr>
      </w:pPr>
      <w:bookmarkStart w:id="50" w:name="_Hlk106751040"/>
      <w:r w:rsidRPr="00EF2DDF">
        <w:rPr>
          <w:rFonts w:ascii="Times New Roman" w:hAnsi="Times New Roman" w:cs="Times New Roman"/>
          <w:noProof/>
          <w:sz w:val="24"/>
          <w:szCs w:val="24"/>
          <w:u w:val="single"/>
        </w:rPr>
        <w:t>Current workload and resource use:</w:t>
      </w:r>
    </w:p>
    <w:p w14:paraId="60C83618" w14:textId="77777777" w:rsidR="000A7D9D" w:rsidRPr="00EF2DDF" w:rsidRDefault="000A7D9D" w:rsidP="000A7D9D">
      <w:pPr>
        <w:spacing w:after="120"/>
        <w:rPr>
          <w:rFonts w:ascii="Times New Roman" w:hAnsi="Times New Roman" w:cs="Times New Roman"/>
          <w:noProof/>
          <w:sz w:val="24"/>
          <w:szCs w:val="24"/>
        </w:rPr>
      </w:pPr>
      <w:r w:rsidRPr="00EF2DDF">
        <w:rPr>
          <w:rFonts w:ascii="Times New Roman" w:hAnsi="Times New Roman" w:cs="Times New Roman"/>
          <w:noProof/>
          <w:sz w:val="24"/>
          <w:szCs w:val="24"/>
        </w:rPr>
        <w:t>N/A, no current process</w:t>
      </w:r>
    </w:p>
    <w:p w14:paraId="7BD01640" w14:textId="77777777" w:rsidR="000A7D9D" w:rsidRPr="00EF2DDF" w:rsidRDefault="000A7D9D" w:rsidP="000A7D9D">
      <w:pPr>
        <w:spacing w:after="120"/>
        <w:rPr>
          <w:rFonts w:ascii="Times New Roman" w:hAnsi="Times New Roman" w:cs="Times New Roman"/>
          <w:noProof/>
          <w:sz w:val="24"/>
          <w:szCs w:val="24"/>
          <w:u w:val="single"/>
        </w:rPr>
      </w:pPr>
      <w:r w:rsidRPr="00EF2DDF">
        <w:rPr>
          <w:rFonts w:ascii="Times New Roman" w:hAnsi="Times New Roman" w:cs="Times New Roman"/>
          <w:noProof/>
          <w:sz w:val="24"/>
          <w:szCs w:val="24"/>
          <w:u w:val="single"/>
        </w:rPr>
        <w:t>Future workload and resource needs:</w:t>
      </w:r>
    </w:p>
    <w:p w14:paraId="78F285CA" w14:textId="77777777" w:rsidR="000A7D9D" w:rsidRPr="00EF2DDF" w:rsidRDefault="000A7D9D" w:rsidP="000A7D9D">
      <w:pPr>
        <w:pStyle w:val="BodyText"/>
        <w:rPr>
          <w:noProof/>
        </w:rPr>
      </w:pPr>
      <w:r w:rsidRPr="00EF2DDF">
        <w:rPr>
          <w:noProof/>
        </w:rPr>
        <w:t xml:space="preserve">ECHA costs include cost of new 3 FTEs, who </w:t>
      </w:r>
    </w:p>
    <w:p w14:paraId="0B038FFF" w14:textId="77777777" w:rsidR="000A7D9D" w:rsidRPr="00EF2DDF" w:rsidRDefault="000A7D9D" w:rsidP="000A7D9D">
      <w:pPr>
        <w:pStyle w:val="BodyText"/>
        <w:widowControl w:val="0"/>
        <w:numPr>
          <w:ilvl w:val="0"/>
          <w:numId w:val="108"/>
        </w:numPr>
        <w:jc w:val="both"/>
        <w:rPr>
          <w:noProof/>
        </w:rPr>
      </w:pPr>
      <w:r w:rsidRPr="00EF2DDF">
        <w:rPr>
          <w:noProof/>
        </w:rPr>
        <w:t xml:space="preserve">will do the data mining of ECHA databases and generate a list of hazardous substances potentially used in BREF sectors; extract substance-related information (regulatory status, classification, substance identity), characterise the uses of those substances by sectors covered by BREFs including definition of best practices to use the safest alternatives on the market, and provide technical support to BREF revisions (TWG meetings, review, other technical inputs) – 2 FTE </w:t>
      </w:r>
    </w:p>
    <w:p w14:paraId="22B7D59F" w14:textId="77777777" w:rsidR="000A7D9D" w:rsidRPr="00EF2DDF" w:rsidRDefault="000A7D9D" w:rsidP="000A7D9D">
      <w:pPr>
        <w:pStyle w:val="BodyText"/>
        <w:widowControl w:val="0"/>
        <w:numPr>
          <w:ilvl w:val="0"/>
          <w:numId w:val="108"/>
        </w:numPr>
        <w:jc w:val="both"/>
        <w:rPr>
          <w:noProof/>
        </w:rPr>
      </w:pPr>
      <w:r w:rsidRPr="00EF2DDF">
        <w:rPr>
          <w:noProof/>
        </w:rPr>
        <w:t>Develop guiding principles for the Chemicals Management System focussing on data structure for a site inventory of chemicals (substances and mixtures) associated with further development of a site-level risk assessment methodology and contribute to the development of guiding principles on how to conduct a comparative risk assessment between the substances an operator uses for his processes/products and potential alternatives - 1 FTE</w:t>
      </w:r>
    </w:p>
    <w:p w14:paraId="018B0025" w14:textId="77777777" w:rsidR="000A7D9D" w:rsidRPr="00EF2DDF" w:rsidRDefault="000A7D9D" w:rsidP="000A7D9D">
      <w:pPr>
        <w:pStyle w:val="BodyText"/>
        <w:rPr>
          <w:noProof/>
        </w:rPr>
      </w:pPr>
      <w:r w:rsidRPr="00EF2DDF">
        <w:rPr>
          <w:noProof/>
        </w:rPr>
        <w:t xml:space="preserve">In total, 3 TA posts </w:t>
      </w:r>
    </w:p>
    <w:p w14:paraId="4C913494" w14:textId="77777777" w:rsidR="000A7D9D" w:rsidRPr="00EF2DDF" w:rsidRDefault="000A7D9D" w:rsidP="000A7D9D">
      <w:pPr>
        <w:spacing w:after="120"/>
        <w:rPr>
          <w:rFonts w:ascii="Times New Roman" w:eastAsiaTheme="minorEastAsia" w:hAnsi="Times New Roman" w:cs="Times New Roman"/>
          <w:noProof/>
          <w:sz w:val="24"/>
          <w:szCs w:val="24"/>
          <w:lang w:val="en-US" w:eastAsia="en-GB"/>
        </w:rPr>
      </w:pPr>
      <w:r w:rsidRPr="00EF2DDF">
        <w:rPr>
          <w:rFonts w:ascii="Times New Roman" w:eastAsiaTheme="minorEastAsia" w:hAnsi="Times New Roman" w:cs="Times New Roman"/>
          <w:noProof/>
          <w:sz w:val="24"/>
          <w:szCs w:val="24"/>
          <w:lang w:val="en-US" w:eastAsia="en-GB"/>
        </w:rPr>
        <w:t>Summary of additional resource needs for industrial emissions directive:</w:t>
      </w:r>
    </w:p>
    <w:tbl>
      <w:tblPr>
        <w:tblStyle w:val="TableGrid"/>
        <w:tblW w:w="0" w:type="auto"/>
        <w:tblLook w:val="04A0" w:firstRow="1" w:lastRow="0" w:firstColumn="1" w:lastColumn="0" w:noHBand="0" w:noVBand="1"/>
      </w:tblPr>
      <w:tblGrid>
        <w:gridCol w:w="1454"/>
        <w:gridCol w:w="3930"/>
        <w:gridCol w:w="1965"/>
        <w:gridCol w:w="2280"/>
      </w:tblGrid>
      <w:tr w:rsidR="000A7D9D" w:rsidRPr="00C56424" w14:paraId="4A3DA67F" w14:textId="77777777" w:rsidTr="00F31937">
        <w:trPr>
          <w:trHeight w:val="300"/>
        </w:trPr>
        <w:tc>
          <w:tcPr>
            <w:tcW w:w="1454" w:type="dxa"/>
            <w:shd w:val="clear" w:color="auto" w:fill="D9D9D9" w:themeFill="background1" w:themeFillShade="D9"/>
          </w:tcPr>
          <w:p w14:paraId="799AE0E3"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930" w:type="dxa"/>
            <w:shd w:val="clear" w:color="auto" w:fill="D9D9D9" w:themeFill="background1" w:themeFillShade="D9"/>
          </w:tcPr>
          <w:p w14:paraId="45B268F0"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965" w:type="dxa"/>
            <w:shd w:val="clear" w:color="auto" w:fill="D9D9D9" w:themeFill="background1" w:themeFillShade="D9"/>
          </w:tcPr>
          <w:p w14:paraId="68709E6B"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280" w:type="dxa"/>
            <w:shd w:val="clear" w:color="auto" w:fill="D9D9D9" w:themeFill="background1" w:themeFillShade="D9"/>
          </w:tcPr>
          <w:p w14:paraId="437A69E7" w14:textId="77777777" w:rsidR="000A7D9D" w:rsidRPr="00C56424" w:rsidRDefault="000A7D9D" w:rsidP="00F31937">
            <w:pPr>
              <w:pStyle w:val="BodyText"/>
              <w:tabs>
                <w:tab w:val="left" w:pos="4170"/>
              </w:tabs>
              <w:spacing w:after="0"/>
              <w:rPr>
                <w:noProof/>
                <w:sz w:val="20"/>
                <w:szCs w:val="20"/>
              </w:rPr>
            </w:pPr>
          </w:p>
        </w:tc>
      </w:tr>
      <w:tr w:rsidR="000A7D9D" w:rsidRPr="00C56424" w14:paraId="38400EAD" w14:textId="77777777" w:rsidTr="00F31937">
        <w:trPr>
          <w:trHeight w:val="300"/>
        </w:trPr>
        <w:tc>
          <w:tcPr>
            <w:tcW w:w="1454" w:type="dxa"/>
            <w:vMerge w:val="restart"/>
            <w:shd w:val="clear" w:color="auto" w:fill="D9D9D9" w:themeFill="background1" w:themeFillShade="D9"/>
          </w:tcPr>
          <w:p w14:paraId="3A293F56" w14:textId="77777777" w:rsidR="000A7D9D" w:rsidRPr="00C56424" w:rsidRDefault="000A7D9D" w:rsidP="00F31937">
            <w:pPr>
              <w:pStyle w:val="BodyText"/>
              <w:spacing w:line="259" w:lineRule="auto"/>
              <w:rPr>
                <w:noProof/>
                <w:sz w:val="20"/>
                <w:szCs w:val="20"/>
              </w:rPr>
            </w:pPr>
            <w:r w:rsidRPr="00C56424">
              <w:rPr>
                <w:noProof/>
                <w:sz w:val="20"/>
                <w:szCs w:val="20"/>
              </w:rPr>
              <w:t>ECHA</w:t>
            </w:r>
          </w:p>
        </w:tc>
        <w:tc>
          <w:tcPr>
            <w:tcW w:w="3930" w:type="dxa"/>
            <w:vMerge w:val="restart"/>
            <w:shd w:val="clear" w:color="auto" w:fill="D9D9D9" w:themeFill="background1" w:themeFillShade="D9"/>
          </w:tcPr>
          <w:p w14:paraId="5B6FA0FB" w14:textId="77777777" w:rsidR="000A7D9D" w:rsidRPr="00C56424" w:rsidRDefault="000A7D9D" w:rsidP="000A7D9D">
            <w:pPr>
              <w:pStyle w:val="BodyText"/>
              <w:widowControl w:val="0"/>
              <w:numPr>
                <w:ilvl w:val="0"/>
                <w:numId w:val="88"/>
              </w:numPr>
              <w:spacing w:after="0"/>
              <w:ind w:left="284" w:hanging="283"/>
              <w:rPr>
                <w:noProof/>
                <w:sz w:val="20"/>
                <w:szCs w:val="20"/>
              </w:rPr>
            </w:pPr>
            <w:r w:rsidRPr="00C56424">
              <w:rPr>
                <w:noProof/>
                <w:sz w:val="20"/>
                <w:szCs w:val="20"/>
              </w:rPr>
              <w:t>Mining of ECHA databases and generate a list of hazardous substance potentially used in BREF;</w:t>
            </w:r>
          </w:p>
          <w:p w14:paraId="647F95BF" w14:textId="77777777" w:rsidR="000A7D9D" w:rsidRPr="00C56424" w:rsidRDefault="000A7D9D" w:rsidP="000A7D9D">
            <w:pPr>
              <w:pStyle w:val="BodyText"/>
              <w:widowControl w:val="0"/>
              <w:numPr>
                <w:ilvl w:val="0"/>
                <w:numId w:val="88"/>
              </w:numPr>
              <w:spacing w:after="0"/>
              <w:ind w:left="284" w:hanging="283"/>
              <w:rPr>
                <w:noProof/>
                <w:sz w:val="20"/>
                <w:szCs w:val="20"/>
              </w:rPr>
            </w:pPr>
            <w:r w:rsidRPr="00C56424">
              <w:rPr>
                <w:noProof/>
                <w:sz w:val="20"/>
                <w:szCs w:val="20"/>
              </w:rPr>
              <w:t>Extract substance-related information, characterise the uses</w:t>
            </w:r>
          </w:p>
          <w:p w14:paraId="0DA0B50E" w14:textId="77777777" w:rsidR="000A7D9D" w:rsidRPr="00C56424" w:rsidRDefault="000A7D9D" w:rsidP="000A7D9D">
            <w:pPr>
              <w:pStyle w:val="BodyText"/>
              <w:widowControl w:val="0"/>
              <w:numPr>
                <w:ilvl w:val="0"/>
                <w:numId w:val="88"/>
              </w:numPr>
              <w:spacing w:after="0"/>
              <w:ind w:left="284" w:hanging="283"/>
              <w:rPr>
                <w:noProof/>
                <w:sz w:val="20"/>
                <w:szCs w:val="20"/>
              </w:rPr>
            </w:pPr>
            <w:r w:rsidRPr="00C56424">
              <w:rPr>
                <w:noProof/>
                <w:sz w:val="20"/>
                <w:szCs w:val="20"/>
              </w:rPr>
              <w:t>Technical support to BREF revisions</w:t>
            </w:r>
          </w:p>
          <w:p w14:paraId="694E8671" w14:textId="77777777" w:rsidR="000A7D9D" w:rsidRPr="00C56424" w:rsidRDefault="000A7D9D" w:rsidP="000A7D9D">
            <w:pPr>
              <w:pStyle w:val="BodyText"/>
              <w:widowControl w:val="0"/>
              <w:numPr>
                <w:ilvl w:val="0"/>
                <w:numId w:val="88"/>
              </w:numPr>
              <w:spacing w:after="0"/>
              <w:ind w:left="284" w:hanging="283"/>
              <w:rPr>
                <w:noProof/>
                <w:sz w:val="20"/>
                <w:szCs w:val="20"/>
              </w:rPr>
            </w:pPr>
            <w:r w:rsidRPr="00C56424">
              <w:rPr>
                <w:noProof/>
                <w:sz w:val="20"/>
                <w:szCs w:val="20"/>
              </w:rPr>
              <w:t>Develop guiding principles for the Chemicals Management System</w:t>
            </w:r>
          </w:p>
          <w:p w14:paraId="04888B46" w14:textId="77777777" w:rsidR="000A7D9D" w:rsidRPr="00C56424" w:rsidRDefault="000A7D9D" w:rsidP="000A7D9D">
            <w:pPr>
              <w:pStyle w:val="BodyText"/>
              <w:widowControl w:val="0"/>
              <w:numPr>
                <w:ilvl w:val="0"/>
                <w:numId w:val="88"/>
              </w:numPr>
              <w:spacing w:after="0"/>
              <w:ind w:left="284" w:hanging="283"/>
              <w:rPr>
                <w:noProof/>
                <w:sz w:val="20"/>
                <w:szCs w:val="20"/>
              </w:rPr>
            </w:pPr>
            <w:r w:rsidRPr="00C56424">
              <w:rPr>
                <w:noProof/>
                <w:sz w:val="20"/>
                <w:szCs w:val="20"/>
              </w:rPr>
              <w:t>Contribute to the development of guiding principles on how to conduct a comparative risk assessment</w:t>
            </w:r>
          </w:p>
        </w:tc>
        <w:tc>
          <w:tcPr>
            <w:tcW w:w="1965" w:type="dxa"/>
            <w:shd w:val="clear" w:color="auto" w:fill="D9D9D9" w:themeFill="background1" w:themeFillShade="D9"/>
          </w:tcPr>
          <w:p w14:paraId="0553B754" w14:textId="77777777" w:rsidR="000A7D9D" w:rsidRPr="00C56424" w:rsidRDefault="000A7D9D" w:rsidP="00F31937">
            <w:pPr>
              <w:pStyle w:val="BodyText"/>
              <w:tabs>
                <w:tab w:val="left" w:pos="4170"/>
              </w:tabs>
              <w:rPr>
                <w:noProof/>
                <w:sz w:val="20"/>
                <w:szCs w:val="20"/>
              </w:rPr>
            </w:pPr>
            <w:r w:rsidRPr="00C56424">
              <w:rPr>
                <w:noProof/>
                <w:sz w:val="20"/>
                <w:szCs w:val="20"/>
              </w:rPr>
              <w:t>Operational resource needs:</w:t>
            </w:r>
          </w:p>
        </w:tc>
        <w:tc>
          <w:tcPr>
            <w:tcW w:w="2280" w:type="dxa"/>
            <w:shd w:val="clear" w:color="auto" w:fill="D9D9D9" w:themeFill="background1" w:themeFillShade="D9"/>
          </w:tcPr>
          <w:p w14:paraId="77ACBC26"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2024: </w:t>
            </w:r>
            <w:r w:rsidRPr="00C56424">
              <w:rPr>
                <w:b/>
                <w:noProof/>
                <w:sz w:val="20"/>
                <w:szCs w:val="20"/>
              </w:rPr>
              <w:t>EUR 0</w:t>
            </w:r>
            <w:r w:rsidRPr="00C56424">
              <w:rPr>
                <w:noProof/>
                <w:sz w:val="20"/>
                <w:szCs w:val="20"/>
              </w:rPr>
              <w:t xml:space="preserve"> </w:t>
            </w:r>
          </w:p>
          <w:p w14:paraId="38BAE535"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2025: </w:t>
            </w:r>
            <w:r w:rsidRPr="00C56424">
              <w:rPr>
                <w:b/>
                <w:noProof/>
                <w:sz w:val="20"/>
                <w:szCs w:val="20"/>
              </w:rPr>
              <w:t>EUR</w:t>
            </w:r>
            <w:r w:rsidRPr="00C56424">
              <w:rPr>
                <w:noProof/>
                <w:sz w:val="20"/>
                <w:szCs w:val="20"/>
              </w:rPr>
              <w:t xml:space="preserve"> </w:t>
            </w:r>
            <w:r w:rsidRPr="00C56424">
              <w:rPr>
                <w:b/>
                <w:noProof/>
                <w:sz w:val="20"/>
                <w:szCs w:val="20"/>
              </w:rPr>
              <w:t>0</w:t>
            </w:r>
          </w:p>
          <w:p w14:paraId="74F7EF34"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EUR</w:t>
            </w:r>
            <w:r w:rsidRPr="00C56424">
              <w:rPr>
                <w:noProof/>
                <w:sz w:val="20"/>
                <w:szCs w:val="20"/>
              </w:rPr>
              <w:t xml:space="preserve"> </w:t>
            </w:r>
            <w:r w:rsidRPr="00C56424">
              <w:rPr>
                <w:b/>
                <w:noProof/>
                <w:sz w:val="20"/>
                <w:szCs w:val="20"/>
              </w:rPr>
              <w:t>0</w:t>
            </w:r>
          </w:p>
          <w:p w14:paraId="66A08CA2"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EUR</w:t>
            </w:r>
            <w:r w:rsidRPr="00C56424">
              <w:rPr>
                <w:noProof/>
                <w:sz w:val="20"/>
                <w:szCs w:val="20"/>
              </w:rPr>
              <w:t xml:space="preserve"> </w:t>
            </w:r>
            <w:r w:rsidRPr="00C56424">
              <w:rPr>
                <w:b/>
                <w:noProof/>
                <w:sz w:val="20"/>
                <w:szCs w:val="20"/>
              </w:rPr>
              <w:t>0</w:t>
            </w:r>
          </w:p>
        </w:tc>
      </w:tr>
      <w:tr w:rsidR="000A7D9D" w:rsidRPr="00C56424" w14:paraId="6B215717" w14:textId="77777777" w:rsidTr="00F31937">
        <w:trPr>
          <w:trHeight w:val="300"/>
        </w:trPr>
        <w:tc>
          <w:tcPr>
            <w:tcW w:w="1454" w:type="dxa"/>
            <w:vMerge/>
            <w:shd w:val="clear" w:color="auto" w:fill="D9D9D9" w:themeFill="background1" w:themeFillShade="D9"/>
          </w:tcPr>
          <w:p w14:paraId="0C7FC4F0" w14:textId="77777777" w:rsidR="000A7D9D" w:rsidRPr="00C56424" w:rsidRDefault="000A7D9D" w:rsidP="00F31937">
            <w:pPr>
              <w:pStyle w:val="BodyText"/>
              <w:spacing w:line="259" w:lineRule="auto"/>
              <w:rPr>
                <w:b/>
                <w:bCs/>
                <w:noProof/>
                <w:sz w:val="20"/>
                <w:szCs w:val="20"/>
              </w:rPr>
            </w:pPr>
          </w:p>
        </w:tc>
        <w:tc>
          <w:tcPr>
            <w:tcW w:w="3930" w:type="dxa"/>
            <w:vMerge/>
            <w:shd w:val="clear" w:color="auto" w:fill="D9D9D9" w:themeFill="background1" w:themeFillShade="D9"/>
          </w:tcPr>
          <w:p w14:paraId="1CB2E69C" w14:textId="77777777" w:rsidR="000A7D9D" w:rsidRPr="00C56424" w:rsidRDefault="000A7D9D" w:rsidP="00F31937">
            <w:pPr>
              <w:pStyle w:val="BodyText"/>
              <w:rPr>
                <w:b/>
                <w:bCs/>
                <w:noProof/>
                <w:sz w:val="20"/>
                <w:szCs w:val="20"/>
              </w:rPr>
            </w:pPr>
          </w:p>
        </w:tc>
        <w:tc>
          <w:tcPr>
            <w:tcW w:w="1965" w:type="dxa"/>
            <w:shd w:val="clear" w:color="auto" w:fill="D9D9D9" w:themeFill="background1" w:themeFillShade="D9"/>
          </w:tcPr>
          <w:p w14:paraId="1645A3B9"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280" w:type="dxa"/>
            <w:shd w:val="clear" w:color="auto" w:fill="D9D9D9" w:themeFill="background1" w:themeFillShade="D9"/>
          </w:tcPr>
          <w:p w14:paraId="08A6BAC4"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bCs/>
                <w:noProof/>
                <w:sz w:val="20"/>
                <w:szCs w:val="20"/>
                <w:lang w:val="fr-BE"/>
              </w:rPr>
              <w:t>3 TAs, 0 CA</w:t>
            </w:r>
          </w:p>
          <w:p w14:paraId="7F579A69" w14:textId="77777777" w:rsidR="000A7D9D" w:rsidRPr="00C56424" w:rsidRDefault="000A7D9D" w:rsidP="00F31937">
            <w:pPr>
              <w:pStyle w:val="BodyText"/>
              <w:tabs>
                <w:tab w:val="left" w:pos="4170"/>
              </w:tabs>
              <w:spacing w:after="0"/>
              <w:rPr>
                <w:b/>
                <w:bCs/>
                <w:noProof/>
                <w:sz w:val="20"/>
                <w:szCs w:val="20"/>
                <w:lang w:val="fr-BE"/>
              </w:rPr>
            </w:pPr>
            <w:r w:rsidRPr="00C56424">
              <w:rPr>
                <w:noProof/>
                <w:sz w:val="20"/>
                <w:szCs w:val="20"/>
                <w:lang w:val="fr-BE"/>
              </w:rPr>
              <w:t xml:space="preserve">2025: </w:t>
            </w:r>
            <w:r w:rsidRPr="00C56424">
              <w:rPr>
                <w:b/>
                <w:bCs/>
                <w:noProof/>
                <w:sz w:val="20"/>
                <w:szCs w:val="20"/>
                <w:lang w:val="fr-BE"/>
              </w:rPr>
              <w:t>3 TAs, 0 CA</w:t>
            </w:r>
          </w:p>
          <w:p w14:paraId="5ECBAA99" w14:textId="77777777" w:rsidR="000A7D9D" w:rsidRPr="00C56424" w:rsidRDefault="000A7D9D" w:rsidP="00F31937">
            <w:pPr>
              <w:pStyle w:val="BodyText"/>
              <w:tabs>
                <w:tab w:val="left" w:pos="4170"/>
              </w:tabs>
              <w:spacing w:after="0"/>
              <w:rPr>
                <w:b/>
                <w:bCs/>
                <w:noProof/>
                <w:sz w:val="20"/>
                <w:szCs w:val="20"/>
                <w:lang w:val="fr-BE"/>
              </w:rPr>
            </w:pPr>
            <w:r w:rsidRPr="00C56424">
              <w:rPr>
                <w:noProof/>
                <w:sz w:val="20"/>
                <w:szCs w:val="20"/>
                <w:lang w:val="fr-BE"/>
              </w:rPr>
              <w:t xml:space="preserve">2026: </w:t>
            </w:r>
            <w:r w:rsidRPr="00C56424">
              <w:rPr>
                <w:b/>
                <w:bCs/>
                <w:noProof/>
                <w:sz w:val="20"/>
                <w:szCs w:val="20"/>
                <w:lang w:val="fr-BE"/>
              </w:rPr>
              <w:t>3 TAs, 0 CA</w:t>
            </w:r>
          </w:p>
          <w:p w14:paraId="465CA48C"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bCs/>
                <w:noProof/>
                <w:sz w:val="20"/>
                <w:szCs w:val="20"/>
              </w:rPr>
              <w:t>3 TAs, 0 CA</w:t>
            </w:r>
          </w:p>
        </w:tc>
      </w:tr>
    </w:tbl>
    <w:p w14:paraId="7916EB16" w14:textId="77777777" w:rsidR="000A7D9D" w:rsidRPr="00EF2DDF" w:rsidRDefault="000A7D9D" w:rsidP="000A7D9D">
      <w:pPr>
        <w:pStyle w:val="BodyText"/>
        <w:spacing w:before="120"/>
        <w:rPr>
          <w:noProof/>
        </w:rPr>
      </w:pPr>
      <w:r w:rsidRPr="00EF2DDF">
        <w:rPr>
          <w:noProof/>
          <w:u w:val="single"/>
        </w:rPr>
        <w:t>Future budget line:</w:t>
      </w:r>
      <w:r w:rsidRPr="00EF2DDF">
        <w:rPr>
          <w:noProof/>
        </w:rPr>
        <w:t xml:space="preserve"> DG Environment </w:t>
      </w:r>
    </w:p>
    <w:p w14:paraId="7F45B42F" w14:textId="77777777" w:rsidR="000A7D9D" w:rsidRDefault="000A7D9D" w:rsidP="000A7D9D">
      <w:pPr>
        <w:pStyle w:val="BodyText"/>
        <w:rPr>
          <w:noProof/>
        </w:rPr>
      </w:pPr>
      <w:r w:rsidRPr="00EF2DDF">
        <w:rPr>
          <w:noProof/>
          <w:u w:val="single"/>
        </w:rPr>
        <w:t>Candidate for fees:</w:t>
      </w:r>
      <w:r w:rsidRPr="00EF2DDF">
        <w:rPr>
          <w:noProof/>
        </w:rPr>
        <w:t xml:space="preserve"> No</w:t>
      </w:r>
      <w:bookmarkEnd w:id="50"/>
    </w:p>
    <w:p w14:paraId="301E5F65" w14:textId="77777777" w:rsidR="000A7D9D" w:rsidRPr="00EF2DDF" w:rsidRDefault="000A7D9D" w:rsidP="000A7D9D">
      <w:pPr>
        <w:spacing w:after="240"/>
        <w:jc w:val="both"/>
        <w:rPr>
          <w:caps/>
          <w:noProof/>
        </w:rPr>
      </w:pPr>
    </w:p>
    <w:p w14:paraId="183E63F6"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51" w:name="_Toc150499927"/>
      <w:r w:rsidRPr="00291F95">
        <w:rPr>
          <w:rFonts w:ascii="Times New Roman" w:hAnsi="Times New Roman"/>
          <w:smallCaps/>
          <w:noProof/>
          <w:color w:val="auto"/>
          <w:sz w:val="24"/>
          <w:szCs w:val="20"/>
          <w:lang w:eastAsia="en-US"/>
        </w:rPr>
        <w:t>Environmental Quality Standard Directive (2008/105/EC) + Water Framework Directive (2000/60/EC) + Groundwater Directive (2006/118/EC)</w:t>
      </w:r>
      <w:bookmarkEnd w:id="51"/>
    </w:p>
    <w:p w14:paraId="2C8D85AC" w14:textId="77777777" w:rsidR="000A7D9D" w:rsidRPr="00EF2DDF" w:rsidRDefault="000A7D9D" w:rsidP="000A7D9D">
      <w:pPr>
        <w:spacing w:after="120"/>
        <w:rPr>
          <w:rFonts w:ascii="Times New Roman" w:hAnsi="Times New Roman" w:cs="Times New Roman"/>
          <w:b/>
          <w:bCs/>
          <w:noProof/>
          <w:sz w:val="24"/>
          <w:szCs w:val="24"/>
        </w:rPr>
      </w:pPr>
      <w:r w:rsidRPr="00EF2DDF">
        <w:rPr>
          <w:rFonts w:ascii="Times New Roman" w:hAnsi="Times New Roman" w:cs="Times New Roman"/>
          <w:b/>
          <w:bCs/>
          <w:noProof/>
          <w:sz w:val="24"/>
          <w:szCs w:val="24"/>
        </w:rPr>
        <w:t>Responsible body:</w:t>
      </w:r>
    </w:p>
    <w:p w14:paraId="4C4DDEE4" w14:textId="77777777" w:rsidR="000A7D9D" w:rsidRPr="00EF2DDF" w:rsidRDefault="000A7D9D" w:rsidP="000A7D9D">
      <w:pPr>
        <w:spacing w:after="120"/>
        <w:rPr>
          <w:rFonts w:ascii="Times New Roman" w:hAnsi="Times New Roman" w:cs="Times New Roman"/>
          <w:noProof/>
          <w:sz w:val="24"/>
          <w:szCs w:val="24"/>
        </w:rPr>
      </w:pPr>
      <w:r w:rsidRPr="00EF2DDF">
        <w:rPr>
          <w:rFonts w:ascii="Times New Roman" w:hAnsi="Times New Roman" w:cs="Times New Roman"/>
          <w:noProof/>
          <w:sz w:val="24"/>
          <w:szCs w:val="24"/>
          <w:u w:val="single"/>
        </w:rPr>
        <w:t>Currently:</w:t>
      </w:r>
      <w:r w:rsidRPr="00EF2DDF">
        <w:rPr>
          <w:rFonts w:ascii="Times New Roman" w:hAnsi="Times New Roman" w:cs="Times New Roman"/>
          <w:noProof/>
          <w:sz w:val="24"/>
          <w:szCs w:val="24"/>
        </w:rPr>
        <w:t xml:space="preserve"> Commission with the support of the SCHEER committee, JRC and consultants</w:t>
      </w:r>
    </w:p>
    <w:p w14:paraId="626CAEA3" w14:textId="77777777" w:rsidR="000A7D9D" w:rsidRPr="00EF2DDF" w:rsidRDefault="000A7D9D" w:rsidP="000A7D9D">
      <w:pPr>
        <w:pStyle w:val="BodyText"/>
        <w:rPr>
          <w:noProof/>
        </w:rPr>
      </w:pPr>
      <w:r w:rsidRPr="00EF2DDF">
        <w:rPr>
          <w:noProof/>
          <w:u w:val="single"/>
        </w:rPr>
        <w:t>(Re-)attribution planned to</w:t>
      </w:r>
      <w:r w:rsidRPr="00EF2DDF">
        <w:rPr>
          <w:noProof/>
        </w:rPr>
        <w:t>: ECHA and EEA</w:t>
      </w:r>
    </w:p>
    <w:p w14:paraId="7E748CEF" w14:textId="77777777" w:rsidR="000A7D9D" w:rsidRPr="00EF2DDF" w:rsidRDefault="000A7D9D" w:rsidP="00B0412E">
      <w:pPr>
        <w:pStyle w:val="BodyText"/>
        <w:jc w:val="both"/>
        <w:rPr>
          <w:b/>
          <w:bCs/>
          <w:noProof/>
        </w:rPr>
      </w:pPr>
      <w:r w:rsidRPr="00EF2DDF">
        <w:rPr>
          <w:b/>
          <w:bCs/>
          <w:noProof/>
        </w:rPr>
        <w:t xml:space="preserve">Legal basis for reattribution: </w:t>
      </w:r>
      <w:r w:rsidRPr="00EF2DDF">
        <w:rPr>
          <w:noProof/>
        </w:rPr>
        <w:t>revision of Environmental Quality Standard Directive (2008/105/EC), Ground Water Directive (2006/118/EC) and Water Framework Directive (2000/60/EC) + Omnibus regulation.</w:t>
      </w:r>
    </w:p>
    <w:p w14:paraId="584FB857" w14:textId="77777777" w:rsidR="000A7D9D" w:rsidRPr="00EF2DDF" w:rsidRDefault="000A7D9D" w:rsidP="00B0412E">
      <w:pPr>
        <w:pStyle w:val="BodyText"/>
        <w:jc w:val="both"/>
        <w:rPr>
          <w:b/>
          <w:bCs/>
          <w:noProof/>
        </w:rPr>
      </w:pPr>
      <w:r w:rsidRPr="00EF2DDF">
        <w:rPr>
          <w:b/>
          <w:bCs/>
          <w:noProof/>
        </w:rPr>
        <w:t xml:space="preserve">Type of task: </w:t>
      </w:r>
      <w:r w:rsidRPr="00EF2DDF">
        <w:rPr>
          <w:noProof/>
        </w:rPr>
        <w:t>Existing + new</w:t>
      </w:r>
    </w:p>
    <w:p w14:paraId="055FC3D7" w14:textId="77777777" w:rsidR="000A7D9D" w:rsidRPr="00EF2DDF" w:rsidRDefault="000A7D9D" w:rsidP="00B0412E">
      <w:pPr>
        <w:pStyle w:val="BodyText"/>
        <w:jc w:val="both"/>
        <w:rPr>
          <w:b/>
          <w:bCs/>
          <w:noProof/>
        </w:rPr>
      </w:pPr>
      <w:r w:rsidRPr="00EF2DDF">
        <w:rPr>
          <w:b/>
          <w:bCs/>
          <w:noProof/>
        </w:rPr>
        <w:t>Brief task overview</w:t>
      </w:r>
    </w:p>
    <w:p w14:paraId="45E8C79A" w14:textId="77777777" w:rsidR="000A7D9D" w:rsidRPr="00EF2DDF" w:rsidRDefault="000A7D9D" w:rsidP="00B0412E">
      <w:pPr>
        <w:numPr>
          <w:ilvl w:val="0"/>
          <w:numId w:val="95"/>
        </w:numPr>
        <w:snapToGrid w:val="0"/>
        <w:spacing w:after="120" w:line="240" w:lineRule="auto"/>
        <w:jc w:val="both"/>
        <w:rPr>
          <w:rFonts w:ascii="Times New Roman" w:hAnsi="Times New Roman" w:cs="Times New Roman"/>
          <w:noProof/>
          <w:sz w:val="24"/>
          <w:szCs w:val="24"/>
        </w:rPr>
      </w:pPr>
      <w:r w:rsidRPr="00EF2DDF">
        <w:rPr>
          <w:rFonts w:ascii="Times New Roman" w:hAnsi="Times New Roman" w:cs="Times New Roman"/>
          <w:noProof/>
          <w:sz w:val="24"/>
          <w:szCs w:val="24"/>
        </w:rPr>
        <w:t>Assessments underpinning amendment of priority list of substances and derivation of Environmental Quality Standards under EQS Directive;</w:t>
      </w:r>
    </w:p>
    <w:p w14:paraId="0E3E3724" w14:textId="77777777" w:rsidR="000A7D9D" w:rsidRPr="00EF2DDF" w:rsidRDefault="000A7D9D" w:rsidP="00B0412E">
      <w:pPr>
        <w:numPr>
          <w:ilvl w:val="0"/>
          <w:numId w:val="95"/>
        </w:numPr>
        <w:snapToGrid w:val="0"/>
        <w:spacing w:after="120" w:line="240" w:lineRule="auto"/>
        <w:jc w:val="both"/>
        <w:rPr>
          <w:rFonts w:ascii="Times New Roman" w:hAnsi="Times New Roman" w:cs="Times New Roman"/>
          <w:noProof/>
          <w:sz w:val="24"/>
          <w:szCs w:val="24"/>
        </w:rPr>
      </w:pPr>
      <w:r w:rsidRPr="00EF2DDF">
        <w:rPr>
          <w:rFonts w:ascii="Times New Roman" w:hAnsi="Times New Roman" w:cs="Times New Roman"/>
          <w:noProof/>
          <w:sz w:val="24"/>
          <w:szCs w:val="24"/>
        </w:rPr>
        <w:t>New legal task: EU-wide EQS for substances listed in a (new) Annex II of the EQSD including the so-called ‘River Basin Specific Pollutants’ (two per year); EU-wide threshold values for groundwater pollutants (one per year) to be included in Annex II GWD</w:t>
      </w:r>
    </w:p>
    <w:p w14:paraId="03D60B8A" w14:textId="77777777" w:rsidR="000A7D9D" w:rsidRPr="00EF2DDF" w:rsidRDefault="000A7D9D" w:rsidP="00B0412E">
      <w:pPr>
        <w:numPr>
          <w:ilvl w:val="0"/>
          <w:numId w:val="95"/>
        </w:numPr>
        <w:snapToGrid w:val="0"/>
        <w:spacing w:after="120" w:line="240" w:lineRule="auto"/>
        <w:jc w:val="both"/>
        <w:rPr>
          <w:rFonts w:ascii="Times New Roman" w:hAnsi="Times New Roman" w:cs="Times New Roman"/>
          <w:noProof/>
          <w:sz w:val="24"/>
          <w:szCs w:val="24"/>
        </w:rPr>
      </w:pPr>
      <w:r w:rsidRPr="00EF2DDF">
        <w:rPr>
          <w:rFonts w:ascii="Times New Roman" w:hAnsi="Times New Roman" w:cs="Times New Roman"/>
          <w:noProof/>
          <w:sz w:val="24"/>
          <w:szCs w:val="24"/>
        </w:rPr>
        <w:t>Assessment underpinning review of Annexes I and II of the Groundwater Directive;</w:t>
      </w:r>
    </w:p>
    <w:p w14:paraId="45856E18" w14:textId="77777777" w:rsidR="000A7D9D" w:rsidRPr="00EF2DDF" w:rsidRDefault="000A7D9D" w:rsidP="00B0412E">
      <w:pPr>
        <w:numPr>
          <w:ilvl w:val="0"/>
          <w:numId w:val="95"/>
        </w:numPr>
        <w:snapToGrid w:val="0"/>
        <w:spacing w:after="120" w:line="240" w:lineRule="auto"/>
        <w:jc w:val="both"/>
        <w:rPr>
          <w:rFonts w:ascii="Times New Roman" w:hAnsi="Times New Roman" w:cs="Times New Roman"/>
          <w:noProof/>
          <w:sz w:val="24"/>
          <w:szCs w:val="24"/>
        </w:rPr>
      </w:pPr>
      <w:r w:rsidRPr="00EF2DDF">
        <w:rPr>
          <w:rFonts w:ascii="Times New Roman" w:hAnsi="Times New Roman" w:cs="Times New Roman"/>
          <w:noProof/>
          <w:sz w:val="24"/>
          <w:szCs w:val="24"/>
          <w:lang w:eastAsia="en-GB"/>
        </w:rPr>
        <w:t>Technical and scientific work related to amendment of ‘watch list’ and coordination of ‘watch list’ activities both under EQS and Groundwater Directives.</w:t>
      </w:r>
    </w:p>
    <w:p w14:paraId="2ADD7B11" w14:textId="77777777" w:rsidR="000A7D9D" w:rsidRPr="00EF2DDF" w:rsidRDefault="000A7D9D" w:rsidP="00B0412E">
      <w:pPr>
        <w:pStyle w:val="BodyText"/>
        <w:jc w:val="both"/>
        <w:rPr>
          <w:b/>
          <w:bCs/>
          <w:noProof/>
        </w:rPr>
      </w:pPr>
      <w:r w:rsidRPr="00EF2DDF">
        <w:rPr>
          <w:b/>
          <w:bCs/>
          <w:noProof/>
        </w:rPr>
        <w:t>Detailed process description:</w:t>
      </w:r>
    </w:p>
    <w:p w14:paraId="0DC707AE" w14:textId="77777777" w:rsidR="000A7D9D" w:rsidRPr="00EF2DDF" w:rsidRDefault="000A7D9D" w:rsidP="00B0412E">
      <w:pPr>
        <w:pStyle w:val="BodyText"/>
        <w:jc w:val="both"/>
        <w:rPr>
          <w:noProof/>
          <w:u w:val="single"/>
        </w:rPr>
      </w:pPr>
      <w:r w:rsidRPr="00EF2DDF">
        <w:rPr>
          <w:noProof/>
          <w:u w:val="single"/>
        </w:rPr>
        <w:t>Current process</w:t>
      </w:r>
    </w:p>
    <w:p w14:paraId="277E6326" w14:textId="77777777" w:rsidR="000A7D9D" w:rsidRPr="00EF2DDF" w:rsidRDefault="000A7D9D" w:rsidP="00B0412E">
      <w:pPr>
        <w:spacing w:after="120"/>
        <w:jc w:val="both"/>
        <w:rPr>
          <w:rFonts w:ascii="Times New Roman" w:hAnsi="Times New Roman" w:cs="Times New Roman"/>
          <w:i/>
          <w:iCs/>
          <w:noProof/>
          <w:sz w:val="24"/>
          <w:szCs w:val="24"/>
          <w:u w:val="single"/>
          <w:lang w:eastAsia="en-GB"/>
        </w:rPr>
      </w:pPr>
      <w:r w:rsidRPr="00EF2DDF">
        <w:rPr>
          <w:rFonts w:ascii="Times New Roman" w:hAnsi="Times New Roman" w:cs="Times New Roman"/>
          <w:i/>
          <w:iCs/>
          <w:noProof/>
          <w:color w:val="000000"/>
          <w:sz w:val="24"/>
          <w:szCs w:val="24"/>
          <w:u w:val="single"/>
        </w:rPr>
        <w:t>Summary p</w:t>
      </w:r>
      <w:r w:rsidRPr="00EF2DDF">
        <w:rPr>
          <w:rFonts w:ascii="Times New Roman" w:hAnsi="Times New Roman" w:cs="Times New Roman"/>
          <w:i/>
          <w:iCs/>
          <w:noProof/>
          <w:sz w:val="24"/>
          <w:szCs w:val="24"/>
          <w:u w:val="single"/>
          <w:lang w:eastAsia="en-GB"/>
        </w:rPr>
        <w:t>rocess description</w:t>
      </w:r>
    </w:p>
    <w:p w14:paraId="36AE607A" w14:textId="77777777" w:rsidR="000A7D9D" w:rsidRPr="00EF2DDF" w:rsidRDefault="000A7D9D" w:rsidP="00B0412E">
      <w:pPr>
        <w:spacing w:after="120"/>
        <w:jc w:val="both"/>
        <w:rPr>
          <w:rFonts w:ascii="Times New Roman" w:eastAsia="Calibri" w:hAnsi="Times New Roman" w:cs="Times New Roman"/>
          <w:noProof/>
          <w:sz w:val="24"/>
          <w:szCs w:val="24"/>
        </w:rPr>
      </w:pPr>
      <w:r w:rsidRPr="00EF2DDF">
        <w:rPr>
          <w:rFonts w:ascii="Times New Roman" w:eastAsia="Calibri" w:hAnsi="Times New Roman" w:cs="Times New Roman"/>
          <w:noProof/>
          <w:sz w:val="24"/>
          <w:szCs w:val="24"/>
        </w:rPr>
        <w:t>Surface water:</w:t>
      </w:r>
    </w:p>
    <w:p w14:paraId="5AB80096" w14:textId="77777777" w:rsidR="000A7D9D" w:rsidRPr="00EF2DDF" w:rsidRDefault="000A7D9D" w:rsidP="00B0412E">
      <w:pPr>
        <w:jc w:val="both"/>
        <w:rPr>
          <w:rFonts w:ascii="Times New Roman" w:eastAsia="Calibri" w:hAnsi="Times New Roman" w:cs="Times New Roman"/>
          <w:noProof/>
          <w:sz w:val="24"/>
          <w:szCs w:val="24"/>
        </w:rPr>
      </w:pPr>
      <w:r w:rsidRPr="00EF2DDF">
        <w:rPr>
          <w:rFonts w:ascii="Times New Roman" w:eastAsia="Calibri" w:hAnsi="Times New Roman" w:cs="Times New Roman"/>
          <w:noProof/>
          <w:sz w:val="24"/>
          <w:szCs w:val="24"/>
        </w:rPr>
        <w:t xml:space="preserve">Watchlist and priority list work currently done by JRC and after that a SCHEER opinion. IA </w:t>
      </w:r>
      <w:r w:rsidRPr="00EF2DDF">
        <w:rPr>
          <w:rFonts w:ascii="Times New Roman" w:hAnsi="Times New Roman" w:cs="Times New Roman"/>
          <w:noProof/>
          <w:sz w:val="24"/>
          <w:szCs w:val="24"/>
        </w:rPr>
        <w:t>of EQS proposals for new substances on the Priority Substance (PS) list</w:t>
      </w:r>
      <w:r w:rsidRPr="00EF2DDF">
        <w:rPr>
          <w:rFonts w:ascii="Times New Roman" w:eastAsia="Calibri" w:hAnsi="Times New Roman" w:cs="Times New Roman"/>
          <w:noProof/>
          <w:sz w:val="24"/>
          <w:szCs w:val="24"/>
        </w:rPr>
        <w:t xml:space="preserve"> outsourced to contractor. For future: Risk Assessment Committee (RAC) not needed for identification of substances for monitoring (watch list). ECHA involvement lighter, but heavier for 6y priority setting, including RAC.</w:t>
      </w:r>
    </w:p>
    <w:p w14:paraId="5FFB5348" w14:textId="77777777" w:rsidR="000A7D9D" w:rsidRPr="00EF2DDF" w:rsidRDefault="000A7D9D" w:rsidP="00B0412E">
      <w:pPr>
        <w:pStyle w:val="ListParagraph"/>
        <w:numPr>
          <w:ilvl w:val="0"/>
          <w:numId w:val="96"/>
        </w:numPr>
        <w:spacing w:after="120"/>
        <w:ind w:left="714" w:hanging="357"/>
        <w:contextualSpacing w:val="0"/>
        <w:jc w:val="both"/>
        <w:rPr>
          <w:rFonts w:eastAsia="Calibri"/>
          <w:noProof/>
        </w:rPr>
      </w:pPr>
      <w:r w:rsidRPr="00EF2DDF">
        <w:rPr>
          <w:noProof/>
        </w:rPr>
        <w:t>Watch List: identifying new substances for and removing substances from the Watch List (amendment needed every 2 years (EQSD Article 8b(2)). The Commission is considering moving to a three-year review cycle)</w:t>
      </w:r>
    </w:p>
    <w:p w14:paraId="47B6D45C" w14:textId="77777777" w:rsidR="000A7D9D" w:rsidRPr="00EF2DDF" w:rsidRDefault="000A7D9D" w:rsidP="00B0412E">
      <w:pPr>
        <w:widowControl w:val="0"/>
        <w:numPr>
          <w:ilvl w:val="1"/>
          <w:numId w:val="97"/>
        </w:numPr>
        <w:snapToGrid w:val="0"/>
        <w:spacing w:after="0" w:line="240" w:lineRule="auto"/>
        <w:jc w:val="both"/>
        <w:rPr>
          <w:rFonts w:ascii="Times New Roman" w:hAnsi="Times New Roman" w:cs="Times New Roman"/>
          <w:noProof/>
          <w:color w:val="000000" w:themeColor="text1"/>
          <w:sz w:val="24"/>
          <w:szCs w:val="24"/>
        </w:rPr>
      </w:pPr>
      <w:r w:rsidRPr="00EF2DDF">
        <w:rPr>
          <w:rFonts w:ascii="Times New Roman" w:hAnsi="Times New Roman" w:cs="Times New Roman"/>
          <w:noProof/>
          <w:color w:val="000000" w:themeColor="text1"/>
          <w:sz w:val="24"/>
          <w:szCs w:val="24"/>
        </w:rPr>
        <w:t>Proposals for adding and removing substances (including mixtures)</w:t>
      </w:r>
      <w:r w:rsidRPr="00EF2DDF">
        <w:rPr>
          <w:rFonts w:ascii="Times New Roman" w:eastAsia="Calibri" w:hAnsi="Times New Roman" w:cs="Times New Roman"/>
          <w:noProof/>
          <w:sz w:val="24"/>
          <w:szCs w:val="24"/>
        </w:rPr>
        <w:t>: usually ca. 10 substances / mixtures on watch list (based on literature overviews, information resulting from other legislation)</w:t>
      </w:r>
    </w:p>
    <w:p w14:paraId="4BFDBA24" w14:textId="77777777" w:rsidR="000A7D9D" w:rsidRPr="00EF2DDF" w:rsidRDefault="000A7D9D" w:rsidP="00B0412E">
      <w:pPr>
        <w:pStyle w:val="ListParagraph"/>
        <w:numPr>
          <w:ilvl w:val="1"/>
          <w:numId w:val="97"/>
        </w:numPr>
        <w:contextualSpacing w:val="0"/>
        <w:jc w:val="both"/>
        <w:rPr>
          <w:rFonts w:eastAsia="Calibri"/>
          <w:noProof/>
        </w:rPr>
      </w:pPr>
      <w:r w:rsidRPr="00EF2DDF">
        <w:rPr>
          <w:noProof/>
        </w:rPr>
        <w:t>Establishment/identification of the related PNECs. No RAC involvement.</w:t>
      </w:r>
    </w:p>
    <w:p w14:paraId="5FDAE66C" w14:textId="77777777" w:rsidR="000A7D9D" w:rsidRPr="00EF2DDF" w:rsidRDefault="000A7D9D" w:rsidP="00B0412E">
      <w:pPr>
        <w:pStyle w:val="ListParagraph"/>
        <w:numPr>
          <w:ilvl w:val="1"/>
          <w:numId w:val="97"/>
        </w:numPr>
        <w:contextualSpacing w:val="0"/>
        <w:jc w:val="both"/>
        <w:rPr>
          <w:rFonts w:eastAsia="Calibri"/>
          <w:noProof/>
        </w:rPr>
      </w:pPr>
      <w:r w:rsidRPr="00EF2DDF">
        <w:rPr>
          <w:noProof/>
        </w:rPr>
        <w:t xml:space="preserve">Verification of the suitability and availability of monitoring and analytical methods not entailing significant costs, and compilation of information on these for Member States;  </w:t>
      </w:r>
    </w:p>
    <w:p w14:paraId="6BC693ED" w14:textId="77777777" w:rsidR="000A7D9D" w:rsidRPr="00EF2DDF" w:rsidRDefault="000A7D9D" w:rsidP="00B0412E">
      <w:pPr>
        <w:ind w:left="1440"/>
        <w:jc w:val="both"/>
        <w:rPr>
          <w:rFonts w:ascii="Times New Roman" w:eastAsia="Calibri" w:hAnsi="Times New Roman" w:cs="Times New Roman"/>
          <w:noProof/>
          <w:sz w:val="24"/>
          <w:szCs w:val="24"/>
        </w:rPr>
      </w:pPr>
      <w:r w:rsidRPr="00EF2DDF">
        <w:rPr>
          <w:rFonts w:ascii="Times New Roman" w:eastAsia="Calibri" w:hAnsi="Times New Roman" w:cs="Times New Roman"/>
          <w:noProof/>
          <w:sz w:val="24"/>
          <w:szCs w:val="24"/>
        </w:rPr>
        <w:t>Issue is often absence of monitoring methods, otherwise nothing can be monitored. ECHA to check availability and suitability of tests. This work we haven’t done much in the past. Registrants have to supply appropriate analytical methods for their substances, follow-up more now. ECHA could run a consultation to identify available analytical methods. However, ECHA does not have the expertise to also test their suitability, so it would preferably outsource such task to a scientific institute.</w:t>
      </w:r>
    </w:p>
    <w:p w14:paraId="3C25CB02" w14:textId="77777777" w:rsidR="000A7D9D" w:rsidRPr="00EF2DDF" w:rsidRDefault="000A7D9D" w:rsidP="00B0412E">
      <w:pPr>
        <w:pStyle w:val="ListParagraph"/>
        <w:numPr>
          <w:ilvl w:val="1"/>
          <w:numId w:val="97"/>
        </w:numPr>
        <w:spacing w:after="120"/>
        <w:ind w:left="1434" w:hanging="357"/>
        <w:contextualSpacing w:val="0"/>
        <w:jc w:val="both"/>
        <w:rPr>
          <w:rFonts w:eastAsia="Calibri"/>
          <w:noProof/>
        </w:rPr>
      </w:pPr>
      <w:r w:rsidRPr="00EF2DDF">
        <w:rPr>
          <w:noProof/>
        </w:rPr>
        <w:t xml:space="preserve">Assessment of monitoring results in view of identifying the need for setting EU wide or national EQS </w:t>
      </w:r>
      <w:r w:rsidRPr="00EF2DDF">
        <w:rPr>
          <w:noProof/>
          <w:lang w:val="en-US" w:eastAsia="en-GB"/>
        </w:rPr>
        <w:t>(based on importance, frequency, impact of exceedances)</w:t>
      </w:r>
    </w:p>
    <w:p w14:paraId="10E9D263" w14:textId="77777777" w:rsidR="000A7D9D" w:rsidRPr="00EF2DDF" w:rsidRDefault="000A7D9D" w:rsidP="00B0412E">
      <w:pPr>
        <w:pStyle w:val="ListParagraph"/>
        <w:numPr>
          <w:ilvl w:val="0"/>
          <w:numId w:val="96"/>
        </w:numPr>
        <w:contextualSpacing w:val="0"/>
        <w:jc w:val="both"/>
        <w:rPr>
          <w:rFonts w:eastAsia="Calibri"/>
          <w:noProof/>
        </w:rPr>
      </w:pPr>
      <w:r w:rsidRPr="00EF2DDF">
        <w:rPr>
          <w:rFonts w:eastAsia="Calibri"/>
          <w:noProof/>
        </w:rPr>
        <w:t xml:space="preserve">Priority List: </w:t>
      </w:r>
      <w:r w:rsidRPr="00EF2DDF">
        <w:rPr>
          <w:noProof/>
        </w:rPr>
        <w:t>technical work on reviewing the PS list (six-year review cycle; through delegated acts)</w:t>
      </w:r>
    </w:p>
    <w:p w14:paraId="7538DE74" w14:textId="77777777" w:rsidR="000A7D9D" w:rsidRPr="00EF2DDF" w:rsidRDefault="000A7D9D" w:rsidP="00B0412E">
      <w:pPr>
        <w:pStyle w:val="ListParagraph"/>
        <w:numPr>
          <w:ilvl w:val="1"/>
          <w:numId w:val="96"/>
        </w:numPr>
        <w:contextualSpacing w:val="0"/>
        <w:jc w:val="both"/>
        <w:rPr>
          <w:rFonts w:eastAsia="Calibri"/>
          <w:noProof/>
        </w:rPr>
      </w:pPr>
      <w:r w:rsidRPr="00EF2DDF">
        <w:rPr>
          <w:noProof/>
        </w:rPr>
        <w:t>Prioritisation work</w:t>
      </w:r>
    </w:p>
    <w:p w14:paraId="21BAF4B7" w14:textId="77777777" w:rsidR="000A7D9D" w:rsidRPr="00EF2DDF" w:rsidRDefault="000A7D9D" w:rsidP="00B0412E">
      <w:pPr>
        <w:pStyle w:val="ListParagraph"/>
        <w:numPr>
          <w:ilvl w:val="1"/>
          <w:numId w:val="96"/>
        </w:numPr>
        <w:contextualSpacing w:val="0"/>
        <w:jc w:val="both"/>
        <w:rPr>
          <w:rFonts w:eastAsia="Calibri"/>
          <w:noProof/>
        </w:rPr>
      </w:pPr>
      <w:r w:rsidRPr="00EF2DDF">
        <w:rPr>
          <w:noProof/>
        </w:rPr>
        <w:t>Establishment of EQSs for new (groups of) PS or trigger values for (effect-based) groups of PS</w:t>
      </w:r>
    </w:p>
    <w:p w14:paraId="1C4ACB9A" w14:textId="77777777" w:rsidR="000A7D9D" w:rsidRPr="00EF2DDF" w:rsidRDefault="000A7D9D" w:rsidP="00B0412E">
      <w:pPr>
        <w:pStyle w:val="ListParagraph"/>
        <w:numPr>
          <w:ilvl w:val="1"/>
          <w:numId w:val="96"/>
        </w:numPr>
        <w:contextualSpacing w:val="0"/>
        <w:jc w:val="both"/>
        <w:rPr>
          <w:noProof/>
        </w:rPr>
      </w:pPr>
      <w:r w:rsidRPr="00EF2DDF">
        <w:rPr>
          <w:noProof/>
        </w:rPr>
        <w:t>Development of a final proposal (on new and revised PS/PHS, EQS), supported by an opinion from the Risk Assessment Committee (RAC) and from the Committee for Socio-Economic Assessment</w:t>
      </w:r>
    </w:p>
    <w:p w14:paraId="7C71927B" w14:textId="77777777" w:rsidR="000A7D9D" w:rsidRPr="00EF2DDF" w:rsidRDefault="000A7D9D" w:rsidP="00B0412E">
      <w:pPr>
        <w:pStyle w:val="ListParagraph"/>
        <w:numPr>
          <w:ilvl w:val="1"/>
          <w:numId w:val="96"/>
        </w:numPr>
        <w:contextualSpacing w:val="0"/>
        <w:jc w:val="both"/>
        <w:rPr>
          <w:rFonts w:eastAsia="Calibri"/>
          <w:noProof/>
        </w:rPr>
      </w:pPr>
      <w:r w:rsidRPr="00EF2DDF">
        <w:rPr>
          <w:rFonts w:eastAsia="Calibri"/>
          <w:noProof/>
        </w:rPr>
        <w:t>Regular discussion and presentation in the WG Chemicals or related subgroup</w:t>
      </w:r>
    </w:p>
    <w:p w14:paraId="2C0D7A16" w14:textId="77777777" w:rsidR="000A7D9D" w:rsidRPr="00EF2DDF" w:rsidRDefault="000A7D9D" w:rsidP="00B0412E">
      <w:pPr>
        <w:pStyle w:val="ListParagraph"/>
        <w:ind w:left="1440"/>
        <w:contextualSpacing w:val="0"/>
        <w:jc w:val="both"/>
        <w:rPr>
          <w:rFonts w:eastAsia="Calibri"/>
          <w:noProof/>
        </w:rPr>
      </w:pPr>
    </w:p>
    <w:p w14:paraId="1C116C25" w14:textId="77777777" w:rsidR="000A7D9D" w:rsidRPr="00EF2DDF" w:rsidRDefault="000A7D9D" w:rsidP="00B0412E">
      <w:pPr>
        <w:pStyle w:val="ListParagraph"/>
        <w:numPr>
          <w:ilvl w:val="0"/>
          <w:numId w:val="96"/>
        </w:numPr>
        <w:contextualSpacing w:val="0"/>
        <w:jc w:val="both"/>
        <w:rPr>
          <w:noProof/>
        </w:rPr>
      </w:pPr>
      <w:r w:rsidRPr="00EF2DDF">
        <w:rPr>
          <w:noProof/>
        </w:rPr>
        <w:t>New 1 (similar to current task 2 under GWD): EU-wide EQS for substances listed in a (new) Annex II of the EQSD including the so-called ‘River Basin Specific Pollutants’ (RBSP) formerly part of the ‘ecological status’ component of surface water status. The intention is that MS will apply the listed EQS (rather than national EQS) if they identify the substances as posing a risk; MS will be asked to upload/send these national EQS for uploading in the EU wide Repository to be established by ECHA; this will enable ECHA to assist EC in prioritising RBSPs for which the largest divergences have been identified without those being justified; and develop the EU-wide EQS; the latter would be adopted through delegated acts; timeline: one EQS per year, adoption by delegated act every six years. Difference with EU EQS for priority substances apply in all cases, i.e. the substances are prioritised because of their overall EU concern; for EQS for RBSPs, MS should in principle establish themselves EQS whenever an RBSP is of national/local concern; but even for these, where it appears that divergences are too wide between MS without this being justified; there is a need to set EU wide EQS, to be applied however only when there is a national or local issuer</w:t>
      </w:r>
    </w:p>
    <w:p w14:paraId="636E8C39" w14:textId="77777777" w:rsidR="000A7D9D" w:rsidRPr="00EF2DDF" w:rsidRDefault="000A7D9D" w:rsidP="00B0412E">
      <w:pPr>
        <w:pStyle w:val="ListParagraph"/>
        <w:contextualSpacing w:val="0"/>
        <w:jc w:val="both"/>
        <w:rPr>
          <w:noProof/>
        </w:rPr>
      </w:pPr>
    </w:p>
    <w:p w14:paraId="23065D2C" w14:textId="77777777" w:rsidR="000A7D9D" w:rsidRPr="00EF2DDF" w:rsidRDefault="000A7D9D" w:rsidP="00B0412E">
      <w:pPr>
        <w:pStyle w:val="ListParagraph"/>
        <w:numPr>
          <w:ilvl w:val="0"/>
          <w:numId w:val="96"/>
        </w:numPr>
        <w:contextualSpacing w:val="0"/>
        <w:jc w:val="both"/>
        <w:rPr>
          <w:rFonts w:eastAsia="Calibri"/>
          <w:noProof/>
        </w:rPr>
      </w:pPr>
      <w:r w:rsidRPr="00EF2DDF">
        <w:rPr>
          <w:rFonts w:eastAsia="Calibri"/>
          <w:noProof/>
        </w:rPr>
        <w:t>New 2: identification of suitable monitoring methods for monitoring and analysis of PFAS, by 2 years after entry into force and for microplastics (2 years) and Antimicrobiotical resistance genes (AMR) (2 years).</w:t>
      </w:r>
    </w:p>
    <w:p w14:paraId="46311B21" w14:textId="77777777" w:rsidR="000A7D9D" w:rsidRPr="00EF2DDF" w:rsidRDefault="000A7D9D" w:rsidP="00B0412E">
      <w:pPr>
        <w:jc w:val="both"/>
        <w:rPr>
          <w:rFonts w:ascii="Times New Roman" w:eastAsia="Calibri" w:hAnsi="Times New Roman" w:cs="Times New Roman"/>
          <w:noProof/>
          <w:sz w:val="24"/>
          <w:szCs w:val="24"/>
        </w:rPr>
      </w:pPr>
    </w:p>
    <w:p w14:paraId="64EA9907" w14:textId="77777777" w:rsidR="000A7D9D" w:rsidRPr="00EF2DDF" w:rsidRDefault="000A7D9D" w:rsidP="00B0412E">
      <w:pPr>
        <w:jc w:val="both"/>
        <w:rPr>
          <w:rFonts w:ascii="Times New Roman" w:eastAsia="Calibri" w:hAnsi="Times New Roman" w:cs="Times New Roman"/>
          <w:noProof/>
          <w:sz w:val="24"/>
          <w:szCs w:val="24"/>
        </w:rPr>
      </w:pPr>
      <w:r w:rsidRPr="00EF2DDF">
        <w:rPr>
          <w:rFonts w:ascii="Times New Roman" w:eastAsia="Calibri" w:hAnsi="Times New Roman" w:cs="Times New Roman"/>
          <w:noProof/>
          <w:sz w:val="24"/>
          <w:szCs w:val="24"/>
        </w:rPr>
        <w:t>Groundwater:</w:t>
      </w:r>
    </w:p>
    <w:p w14:paraId="16FD8BCB" w14:textId="77777777" w:rsidR="000A7D9D" w:rsidRPr="00EF2DDF" w:rsidRDefault="000A7D9D" w:rsidP="00B0412E">
      <w:pPr>
        <w:jc w:val="both"/>
        <w:rPr>
          <w:rFonts w:ascii="Times New Roman" w:eastAsia="Calibri" w:hAnsi="Times New Roman" w:cs="Times New Roman"/>
          <w:noProof/>
          <w:sz w:val="24"/>
          <w:szCs w:val="24"/>
        </w:rPr>
      </w:pPr>
      <w:r w:rsidRPr="00EF2DDF">
        <w:rPr>
          <w:rFonts w:ascii="Times New Roman" w:eastAsia="Calibri" w:hAnsi="Times New Roman" w:cs="Times New Roman"/>
          <w:noProof/>
          <w:sz w:val="24"/>
          <w:szCs w:val="24"/>
        </w:rPr>
        <w:t>Groundwater: no JRC involvement currently, most work done by Member State expert group and contractor and outcome sent to SCHEER</w:t>
      </w:r>
    </w:p>
    <w:p w14:paraId="17E8B3F4" w14:textId="77777777" w:rsidR="000A7D9D" w:rsidRPr="00EF2DDF" w:rsidRDefault="000A7D9D" w:rsidP="00B0412E">
      <w:pPr>
        <w:numPr>
          <w:ilvl w:val="0"/>
          <w:numId w:val="96"/>
        </w:numPr>
        <w:spacing w:after="0" w:line="240" w:lineRule="auto"/>
        <w:jc w:val="both"/>
        <w:rPr>
          <w:rFonts w:ascii="Times New Roman" w:eastAsia="Calibri" w:hAnsi="Times New Roman" w:cs="Times New Roman"/>
          <w:noProof/>
          <w:sz w:val="24"/>
          <w:szCs w:val="24"/>
        </w:rPr>
      </w:pPr>
      <w:r w:rsidRPr="00EF2DDF">
        <w:rPr>
          <w:rFonts w:ascii="Times New Roman" w:hAnsi="Times New Roman" w:cs="Times New Roman"/>
          <w:noProof/>
          <w:sz w:val="24"/>
          <w:szCs w:val="24"/>
        </w:rPr>
        <w:t xml:space="preserve">Specific technical work on six-yearly reviewing the pollutants and quality standards in Annex I </w:t>
      </w:r>
    </w:p>
    <w:p w14:paraId="554C5CE0" w14:textId="77777777" w:rsidR="000A7D9D" w:rsidRPr="00EF2DDF" w:rsidRDefault="000A7D9D" w:rsidP="00B0412E">
      <w:pPr>
        <w:numPr>
          <w:ilvl w:val="0"/>
          <w:numId w:val="96"/>
        </w:numPr>
        <w:spacing w:after="0" w:line="240" w:lineRule="auto"/>
        <w:jc w:val="both"/>
        <w:rPr>
          <w:rFonts w:ascii="Times New Roman" w:eastAsia="Calibri" w:hAnsi="Times New Roman" w:cs="Times New Roman"/>
          <w:noProof/>
          <w:sz w:val="24"/>
          <w:szCs w:val="24"/>
        </w:rPr>
      </w:pPr>
      <w:r w:rsidRPr="00EF2DDF">
        <w:rPr>
          <w:rFonts w:ascii="Times New Roman" w:hAnsi="Times New Roman" w:cs="Times New Roman"/>
          <w:noProof/>
          <w:sz w:val="24"/>
          <w:szCs w:val="24"/>
        </w:rPr>
        <w:t>New: Six yearly review of list of pollutants in Annex II for which MS must consider setting national thresholds if there is a local/regional/national problem (difference with Annex I which relates to pollutants of EU wide concern)</w:t>
      </w:r>
    </w:p>
    <w:p w14:paraId="6D93D0EB" w14:textId="77777777" w:rsidR="000A7D9D" w:rsidRPr="00EF2DDF" w:rsidRDefault="000A7D9D" w:rsidP="00B0412E">
      <w:pPr>
        <w:numPr>
          <w:ilvl w:val="0"/>
          <w:numId w:val="96"/>
        </w:numPr>
        <w:spacing w:after="0" w:line="240" w:lineRule="auto"/>
        <w:jc w:val="both"/>
        <w:rPr>
          <w:rFonts w:ascii="Times New Roman" w:eastAsia="Calibri" w:hAnsi="Times New Roman" w:cs="Times New Roman"/>
          <w:noProof/>
          <w:sz w:val="24"/>
          <w:szCs w:val="24"/>
        </w:rPr>
      </w:pPr>
      <w:r w:rsidRPr="00EF2DDF">
        <w:rPr>
          <w:rFonts w:ascii="Times New Roman" w:hAnsi="Times New Roman" w:cs="Times New Roman"/>
          <w:noProof/>
          <w:sz w:val="24"/>
          <w:szCs w:val="24"/>
        </w:rPr>
        <w:t>New: develop/identify EU wide threshold values for pollutants currently covered by a national threshold value (in Annex II), where necessary to ensure better and more harmonised implementation: one per year, threshold values to be adopted by delegated act once every six years</w:t>
      </w:r>
    </w:p>
    <w:p w14:paraId="5AC2B584" w14:textId="77777777" w:rsidR="000A7D9D" w:rsidRPr="00EF2DDF" w:rsidRDefault="000A7D9D" w:rsidP="00B0412E">
      <w:pPr>
        <w:numPr>
          <w:ilvl w:val="0"/>
          <w:numId w:val="96"/>
        </w:numPr>
        <w:spacing w:after="0" w:line="240" w:lineRule="auto"/>
        <w:jc w:val="both"/>
        <w:rPr>
          <w:rFonts w:ascii="Times New Roman" w:eastAsia="Calibri" w:hAnsi="Times New Roman" w:cs="Times New Roman"/>
          <w:noProof/>
          <w:sz w:val="24"/>
          <w:szCs w:val="24"/>
        </w:rPr>
      </w:pPr>
      <w:r w:rsidRPr="00EF2DDF">
        <w:rPr>
          <w:rFonts w:ascii="Times New Roman" w:hAnsi="Times New Roman" w:cs="Times New Roman"/>
          <w:noProof/>
          <w:sz w:val="24"/>
          <w:szCs w:val="24"/>
        </w:rPr>
        <w:t>In summary, r</w:t>
      </w:r>
      <w:r w:rsidRPr="00EF2DDF">
        <w:rPr>
          <w:rFonts w:ascii="Times New Roman" w:hAnsi="Times New Roman" w:cs="Times New Roman"/>
          <w:bCs/>
          <w:noProof/>
          <w:sz w:val="24"/>
          <w:szCs w:val="24"/>
        </w:rPr>
        <w:t>eview of the pollutants listed in the two annexes and of the quality standards in Annex I and d</w:t>
      </w:r>
      <w:r w:rsidRPr="00EF2DDF">
        <w:rPr>
          <w:rFonts w:ascii="Times New Roman" w:hAnsi="Times New Roman" w:cs="Times New Roman"/>
          <w:noProof/>
          <w:sz w:val="24"/>
          <w:szCs w:val="24"/>
        </w:rPr>
        <w:t>evelopment of EU wide threshold values for pollutants listed in Annex II. proposals for the amendment of Annexes I and II, based on scientific and technical evidence; Development of proposals for the amendment of Annexes I and II, based on scientific and technical evidence; Opinion development via the RAC and SEAC committee; regular presentation and discussion in the WG Groundwater.</w:t>
      </w:r>
    </w:p>
    <w:p w14:paraId="7ABA6363" w14:textId="77777777" w:rsidR="000A7D9D" w:rsidRPr="00EF2DDF" w:rsidRDefault="000A7D9D" w:rsidP="00B0412E">
      <w:pPr>
        <w:numPr>
          <w:ilvl w:val="0"/>
          <w:numId w:val="96"/>
        </w:numPr>
        <w:spacing w:after="0" w:line="240" w:lineRule="auto"/>
        <w:jc w:val="both"/>
        <w:rPr>
          <w:rFonts w:ascii="Times New Roman" w:eastAsia="Calibri" w:hAnsi="Times New Roman" w:cs="Times New Roman"/>
          <w:noProof/>
          <w:sz w:val="24"/>
          <w:szCs w:val="24"/>
        </w:rPr>
      </w:pPr>
      <w:r w:rsidRPr="00EF2DDF">
        <w:rPr>
          <w:rFonts w:ascii="Times New Roman" w:hAnsi="Times New Roman" w:cs="Times New Roman"/>
          <w:bCs/>
          <w:noProof/>
          <w:sz w:val="24"/>
          <w:szCs w:val="24"/>
        </w:rPr>
        <w:t xml:space="preserve">New: mandatory Watch List: </w:t>
      </w:r>
    </w:p>
    <w:p w14:paraId="5B83D662" w14:textId="77777777" w:rsidR="000A7D9D" w:rsidRPr="00EF2DDF" w:rsidRDefault="000A7D9D" w:rsidP="00B0412E">
      <w:pPr>
        <w:widowControl w:val="0"/>
        <w:numPr>
          <w:ilvl w:val="1"/>
          <w:numId w:val="96"/>
        </w:numPr>
        <w:snapToGrid w:val="0"/>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Proposals for adding and removing substances</w:t>
      </w:r>
    </w:p>
    <w:p w14:paraId="6BC44C89" w14:textId="77777777" w:rsidR="000A7D9D" w:rsidRPr="00EF2DDF" w:rsidRDefault="000A7D9D" w:rsidP="00B0412E">
      <w:pPr>
        <w:numPr>
          <w:ilvl w:val="1"/>
          <w:numId w:val="96"/>
        </w:numPr>
        <w:spacing w:after="0" w:line="240" w:lineRule="auto"/>
        <w:jc w:val="both"/>
        <w:rPr>
          <w:rFonts w:ascii="Times New Roman" w:eastAsia="Calibri" w:hAnsi="Times New Roman" w:cs="Times New Roman"/>
          <w:noProof/>
          <w:sz w:val="24"/>
          <w:szCs w:val="24"/>
        </w:rPr>
      </w:pPr>
      <w:r w:rsidRPr="00EF2DDF">
        <w:rPr>
          <w:rFonts w:ascii="Times New Roman" w:hAnsi="Times New Roman" w:cs="Times New Roman"/>
          <w:noProof/>
          <w:sz w:val="24"/>
          <w:szCs w:val="24"/>
        </w:rPr>
        <w:t>Verification of the suitability and availability of monitoring and analytical methods not entailing significant costs, and compilation of information on these for MS</w:t>
      </w:r>
    </w:p>
    <w:p w14:paraId="64B902ED" w14:textId="77777777" w:rsidR="000A7D9D" w:rsidRPr="00EF2DDF" w:rsidRDefault="000A7D9D" w:rsidP="00B0412E">
      <w:pPr>
        <w:numPr>
          <w:ilvl w:val="1"/>
          <w:numId w:val="96"/>
        </w:numPr>
        <w:spacing w:after="0" w:line="240" w:lineRule="auto"/>
        <w:jc w:val="both"/>
        <w:rPr>
          <w:rFonts w:ascii="Times New Roman" w:eastAsia="Calibri" w:hAnsi="Times New Roman" w:cs="Times New Roman"/>
          <w:noProof/>
          <w:sz w:val="24"/>
          <w:szCs w:val="24"/>
        </w:rPr>
      </w:pPr>
      <w:r w:rsidRPr="00EF2DDF">
        <w:rPr>
          <w:rFonts w:ascii="Times New Roman" w:hAnsi="Times New Roman" w:cs="Times New Roman"/>
          <w:bCs/>
          <w:noProof/>
          <w:sz w:val="24"/>
          <w:szCs w:val="24"/>
        </w:rPr>
        <w:t>Development of the related PNECs. No RAC involvement</w:t>
      </w:r>
    </w:p>
    <w:p w14:paraId="28B23250" w14:textId="77777777" w:rsidR="000A7D9D" w:rsidRPr="00EF2DDF" w:rsidRDefault="000A7D9D" w:rsidP="00B0412E">
      <w:pPr>
        <w:numPr>
          <w:ilvl w:val="0"/>
          <w:numId w:val="96"/>
        </w:numPr>
        <w:spacing w:after="0" w:line="240" w:lineRule="auto"/>
        <w:jc w:val="both"/>
        <w:rPr>
          <w:rFonts w:ascii="Times New Roman" w:eastAsia="Calibri" w:hAnsi="Times New Roman" w:cs="Times New Roman"/>
          <w:noProof/>
          <w:sz w:val="24"/>
          <w:szCs w:val="24"/>
        </w:rPr>
      </w:pPr>
      <w:r w:rsidRPr="00EF2DDF">
        <w:rPr>
          <w:rFonts w:ascii="Times New Roman" w:hAnsi="Times New Roman" w:cs="Times New Roman"/>
          <w:noProof/>
          <w:sz w:val="24"/>
          <w:szCs w:val="24"/>
        </w:rPr>
        <w:t>New:  identification of suitable monitoring methods for monitoring and analysis of PFAS, by 2 years after entry into force and for microplastics (2 years) and Antimicrobiotical resistance genes (AMR) [2 years].</w:t>
      </w:r>
    </w:p>
    <w:p w14:paraId="5740F656" w14:textId="77777777" w:rsidR="000A7D9D" w:rsidRPr="00EF2DDF" w:rsidRDefault="000A7D9D" w:rsidP="00B0412E">
      <w:pPr>
        <w:jc w:val="both"/>
        <w:rPr>
          <w:rFonts w:ascii="Times New Roman" w:hAnsi="Times New Roman" w:cs="Times New Roman"/>
          <w:noProof/>
          <w:sz w:val="24"/>
          <w:szCs w:val="24"/>
        </w:rPr>
      </w:pPr>
    </w:p>
    <w:p w14:paraId="723721D2" w14:textId="77777777" w:rsidR="000A7D9D" w:rsidRPr="00207447" w:rsidRDefault="000A7D9D" w:rsidP="00B0412E">
      <w:pPr>
        <w:jc w:val="both"/>
        <w:rPr>
          <w:rFonts w:ascii="Times New Roman" w:hAnsi="Times New Roman" w:cs="Times New Roman"/>
          <w:i/>
          <w:iCs/>
          <w:noProof/>
          <w:color w:val="000000"/>
          <w:sz w:val="24"/>
          <w:szCs w:val="24"/>
          <w:u w:val="single"/>
        </w:rPr>
      </w:pPr>
      <w:r w:rsidRPr="00EF2DDF">
        <w:rPr>
          <w:rFonts w:ascii="Times New Roman" w:hAnsi="Times New Roman" w:cs="Times New Roman"/>
          <w:i/>
          <w:iCs/>
          <w:noProof/>
          <w:color w:val="000000"/>
          <w:sz w:val="24"/>
          <w:szCs w:val="24"/>
          <w:u w:val="single"/>
        </w:rPr>
        <w:t>Detailed description of current process</w:t>
      </w:r>
    </w:p>
    <w:p w14:paraId="48197AA9" w14:textId="77777777" w:rsidR="000A7D9D" w:rsidRPr="00EF2DDF" w:rsidRDefault="000A7D9D" w:rsidP="00B0412E">
      <w:pPr>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Amendment of the list of priority substances for surface waters and development of Environmental Quality Standards (EQS), including designation of Priority Hazardous Substances (from Water Framework Directive (2000/60/EC) and its daughter directive EQS Directive (2008/105/EC) as amended by 2013/39/EU):</w:t>
      </w:r>
    </w:p>
    <w:p w14:paraId="14838B86"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The amendment (and associated technical and scientific work) is initiated by the Commission.</w:t>
      </w:r>
    </w:p>
    <w:p w14:paraId="158C5D43"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Consultant and/or JRC prioritises substances to be included in the list of priority substance (PS-list) using a combination of monitoring-based approach and modelling-based approach, including the results of the watch-list monitoring. Their work is regularly discussed in a sub-group of the CIS WG Chemicals known as the Sub-Group on Review (SG-R) of the PS list. The outcome is a ranking of substances based on their potential risks. (~ REACH prioritisation of candidate substances for further risk management)</w:t>
      </w:r>
    </w:p>
    <w:p w14:paraId="44E2950D"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Consultant and/or JRC reviews the existing PS-list with a view to determine whether some should be taken off the PS-list. A document has been drafted identifying potential criteria for removing substances, considering that even if existing PS no longer pose a risk, removing them could result in them again becoming a risk, unless their use has been banned.</w:t>
      </w:r>
    </w:p>
    <w:p w14:paraId="437CF907"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Commission (DG ENV) in consultation with WG Chemicals selects substances for which EQS are derived and which of the listed substances should be designated as priority hazardous substances.</w:t>
      </w:r>
    </w:p>
    <w:p w14:paraId="2C6A4B33"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Commission (consultants, JRC) or volunteer Member States derive EQS for newly selected PS (groups of PS), and review EQS for existing PS if new data are available. The work is organised in subgroups for specific substances, led by the consultants, JRC or volunteer Member State experts and are also discussed in WG Chemicals, subject to public open and targeted consultation and specific technical workshops with experts under the IA support contract. (~derivation of/proposal for Exposure Limits) (~stakeholder and public consultation) (~Adaptation to Technical Progress)</w:t>
      </w:r>
    </w:p>
    <w:p w14:paraId="04D3AC36"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Commission consults SCHEER on EQS derivation. (~RAC opinions)</w:t>
      </w:r>
    </w:p>
    <w:p w14:paraId="47824E70"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Consultants prepare an impact assessment study of listing of a substance in the PS-list. (~Socio-economic Assessment – SEAC opinion)</w:t>
      </w:r>
    </w:p>
    <w:p w14:paraId="6D07E8B7"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Commission makes a proposal for listing the substances in the PS-list and for setting EQS values. The proposal goes through the ordinary legislative procedure.</w:t>
      </w:r>
    </w:p>
    <w:p w14:paraId="6377A000"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Updated Annexes are published by the Commission.</w:t>
      </w:r>
    </w:p>
    <w:p w14:paraId="7F421303" w14:textId="77777777" w:rsidR="000A7D9D" w:rsidRPr="00EF2DDF" w:rsidRDefault="000A7D9D" w:rsidP="00B0412E">
      <w:pPr>
        <w:jc w:val="both"/>
        <w:rPr>
          <w:rFonts w:ascii="Times New Roman" w:hAnsi="Times New Roman" w:cs="Times New Roman"/>
          <w:noProof/>
          <w:color w:val="000000"/>
          <w:sz w:val="24"/>
          <w:szCs w:val="24"/>
        </w:rPr>
      </w:pPr>
    </w:p>
    <w:p w14:paraId="24E05353" w14:textId="77777777" w:rsidR="000A7D9D" w:rsidRPr="00EF2DDF" w:rsidRDefault="000A7D9D" w:rsidP="00B0412E">
      <w:pPr>
        <w:keepNext/>
        <w:keepLines/>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Review and amendment of the surface-water watch-list (from EQS Directive (2008/105/EC) as amended by 2013/39/EU):</w:t>
      </w:r>
    </w:p>
    <w:p w14:paraId="4CE96D18" w14:textId="77777777" w:rsidR="000A7D9D" w:rsidRPr="00EF2DDF" w:rsidRDefault="000A7D9D" w:rsidP="00B0412E">
      <w:pPr>
        <w:keepNext/>
        <w:keepLines/>
        <w:widowControl w:val="0"/>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The amendment (and associated technical and scientific work) is initiated by the Commission.</w:t>
      </w:r>
    </w:p>
    <w:p w14:paraId="320B18AC"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Consultant and/or JRC performs prioritisation exercise. EQSD Article 8b(1) specifies the information to be taken into account. It is important to have an estimate of the PNEC (~derivation of PNEC) and to ensure that an adequately sensitive analytical method is available.</w:t>
      </w:r>
    </w:p>
    <w:p w14:paraId="6EBE47FD"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JRC reviews the existing watch-list with a view to taking substances off the list. The substances can only stay on for up to 4 years, but if sufficient high-quality monitoring data are obtained sooner, they should be removed (~hazard assessment?) (~proposal for identification of candidate substances).</w:t>
      </w:r>
    </w:p>
    <w:p w14:paraId="14DC9605"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The review of the watch-list is carried out in consultation with WG Chemicals.</w:t>
      </w:r>
    </w:p>
    <w:p w14:paraId="6D7400E0"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The Commission adopts a new watch-list in the form of an Implementing Act subject to agreement in the WFD Regulatory Committee.</w:t>
      </w:r>
    </w:p>
    <w:p w14:paraId="16528105"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 xml:space="preserve">Member States performs the monitoring and report data to EEA. </w:t>
      </w:r>
    </w:p>
    <w:p w14:paraId="762C692A"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JRC analyses the monitoring data whether there is an EU-wide risk.</w:t>
      </w:r>
    </w:p>
    <w:p w14:paraId="20CB73FC" w14:textId="77777777" w:rsidR="000A7D9D" w:rsidRPr="00EF2DDF" w:rsidRDefault="000A7D9D" w:rsidP="00B0412E">
      <w:pPr>
        <w:jc w:val="both"/>
        <w:rPr>
          <w:rFonts w:ascii="Times New Roman" w:hAnsi="Times New Roman" w:cs="Times New Roman"/>
          <w:noProof/>
          <w:color w:val="000000"/>
          <w:sz w:val="24"/>
          <w:szCs w:val="24"/>
        </w:rPr>
      </w:pPr>
    </w:p>
    <w:p w14:paraId="382D4A9D" w14:textId="77777777" w:rsidR="000A7D9D" w:rsidRPr="00EF2DDF" w:rsidRDefault="000A7D9D" w:rsidP="00B0412E">
      <w:pPr>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Review of Annexes I and II and Voluntary groundwater watch-list (from Ground water directive (2006/118/EC)):</w:t>
      </w:r>
    </w:p>
    <w:p w14:paraId="3C942820"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The amendment (and associated technical and scientific work) is initiated by the Commission under its legal obligation (GWD art. 10). This was initiated after the WFD fitness check conclusions (2019), but technical works of the watch list started already in 2015.</w:t>
      </w:r>
    </w:p>
    <w:p w14:paraId="1AD42B38"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Commission and CIS WG Groundwater consultant with the technical and scientific support of the specific subgroup collects data and prioritises substances to be included in the annexes using an agreed methodology (2018). These are included in a ‘List facilitating the review’. (When there are insufficient monitoring data, substances are proposed for the voluntary watch-list). Prioritization and selection process involves several steps, and relies upon aggregate data from national entities across Europe on substance occurrence in groundwater, as well as available data on substance persistence, mobility, toxicity, and bioaccumulation behaviour. The work is regularly shared with CIS WG Chemicals and JRC.</w:t>
      </w:r>
    </w:p>
    <w:p w14:paraId="588AC3C8"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Based on updated monitoring data, the consultant reviews the existing voluntary watch-list and list facilitating the review with a view of adding substances to the lists. Outcomes are provided to Commission and shared/discussed with WG Groundwater experts.</w:t>
      </w:r>
    </w:p>
    <w:p w14:paraId="5E85B196"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Commission proposes substances for potential inclusion in the two annexes. These are also considered in the Impact Assessment (IA) Support Study policy options and corresponding economic analysis (consultants).</w:t>
      </w:r>
    </w:p>
    <w:p w14:paraId="49FAB0D7"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 xml:space="preserve">Commission (JRC or consultant) propose potential quality standards for newly proposed substances for Annex I and II. These are also shared with WG Groundwater experts, subject to public open and targeted consultation and specific technical workshop with groundwater experts under the IA support contract.  </w:t>
      </w:r>
    </w:p>
    <w:p w14:paraId="315F10C8"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The Commission consults the SCHEER on selection of substances and the derivation of EU quality standards (also consulting whether any of the proposed substances should be considered for Annex II, in which case MS are to derive threshold values).</w:t>
      </w:r>
    </w:p>
    <w:p w14:paraId="271398FB"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Consultants carry out an impact assessment support study of policy options that consider listing substances in Annex I (with EU quality standard) or Annex II.</w:t>
      </w:r>
    </w:p>
    <w:p w14:paraId="35E0A43C"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Commission makes a proposal for listing the substances in Annex I of the Groundwater Directive (and EU quality standards if proposed for Annex I) or for adding substances in Annex II. The proposal for Annex I goes through the ordinary legislative procedure; the proposal for Annex II goes through ‘comitology: regulatory procedure with scrutiny’ (last review took place in 2014).</w:t>
      </w:r>
    </w:p>
    <w:p w14:paraId="06095D7A"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Updated Annexes are published by the Commission.</w:t>
      </w:r>
    </w:p>
    <w:p w14:paraId="3053D655" w14:textId="77777777" w:rsidR="000A7D9D" w:rsidRPr="00EF2DDF" w:rsidRDefault="000A7D9D" w:rsidP="00B0412E">
      <w:pPr>
        <w:jc w:val="both"/>
        <w:rPr>
          <w:rFonts w:ascii="Times New Roman" w:hAnsi="Times New Roman" w:cs="Times New Roman"/>
          <w:noProof/>
          <w:color w:val="000000"/>
          <w:sz w:val="24"/>
          <w:szCs w:val="24"/>
        </w:rPr>
      </w:pPr>
    </w:p>
    <w:p w14:paraId="1B523986" w14:textId="77777777" w:rsidR="000A7D9D" w:rsidRPr="00EF2DDF" w:rsidRDefault="000A7D9D" w:rsidP="00B0412E">
      <w:pPr>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 xml:space="preserve">Additional details for the voluntary groundwater watch list mechanism (progresses and outcomes regularly shared with WG Chemicals and JRC).  </w:t>
      </w:r>
    </w:p>
    <w:p w14:paraId="3C757776"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 xml:space="preserve">Consultant and group of volunteers within CIS WG Groundwater performs prioritisation exercise (groups of substances), collects data and runs agreed methodology. </w:t>
      </w:r>
    </w:p>
    <w:p w14:paraId="0174C309"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 xml:space="preserve">Consultant reviews the existing voluntary watch list and list facilitating (substances with enough monitoring information that can be proposed for the GWD Annexes review) with a view adding substances to the lists. </w:t>
      </w:r>
    </w:p>
    <w:p w14:paraId="776AE996"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 xml:space="preserve">The review of the voluntary WL list and list facilitating is carried out in consultation with the group of volunteers (within WG Groundwater). </w:t>
      </w:r>
    </w:p>
    <w:p w14:paraId="5B901DF9"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 xml:space="preserve">The Commission agrees (Water Directors acknowledge) on a new voluntary watch list. The Commission considers list facilitating for the formal process of the GWD Annexes review. </w:t>
      </w:r>
    </w:p>
    <w:p w14:paraId="42DAAFD9"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 xml:space="preserve">Member States perform monitoring on voluntary basis for the watch list and list facilitating substances and report data to consultant. For quality standards and threshold values MS report on pollutants causing failure and risk, exceedances and trends (among other) though established WFD reporting system. </w:t>
      </w:r>
    </w:p>
    <w:p w14:paraId="5A99023B" w14:textId="77777777" w:rsidR="000A7D9D" w:rsidRPr="00EF2DDF" w:rsidRDefault="000A7D9D" w:rsidP="00B0412E">
      <w:pPr>
        <w:numPr>
          <w:ilvl w:val="0"/>
          <w:numId w:val="98"/>
        </w:numPr>
        <w:spacing w:after="0" w:line="240" w:lineRule="auto"/>
        <w:contextualSpacing/>
        <w:jc w:val="both"/>
        <w:rPr>
          <w:rFonts w:ascii="Times New Roman" w:hAnsi="Times New Roman" w:cs="Times New Roman"/>
          <w:noProof/>
          <w:color w:val="000000"/>
          <w:sz w:val="24"/>
          <w:szCs w:val="24"/>
        </w:rPr>
      </w:pPr>
      <w:r w:rsidRPr="00EF2DDF">
        <w:rPr>
          <w:rFonts w:ascii="Times New Roman" w:hAnsi="Times New Roman" w:cs="Times New Roman"/>
          <w:noProof/>
          <w:color w:val="000000"/>
          <w:sz w:val="24"/>
          <w:szCs w:val="24"/>
        </w:rPr>
        <w:t>Consultant assesses data provided on voluntary basis. EEA analyses the reported monitoring data under WFD scheme.</w:t>
      </w:r>
    </w:p>
    <w:p w14:paraId="3AF76893" w14:textId="77777777" w:rsidR="000A7D9D" w:rsidRPr="00EF2DDF" w:rsidRDefault="000A7D9D" w:rsidP="00B0412E">
      <w:pPr>
        <w:jc w:val="both"/>
        <w:rPr>
          <w:rFonts w:ascii="Times New Roman" w:hAnsi="Times New Roman" w:cs="Times New Roman"/>
          <w:noProof/>
          <w:color w:val="000000"/>
          <w:sz w:val="24"/>
          <w:szCs w:val="24"/>
        </w:rPr>
      </w:pPr>
    </w:p>
    <w:p w14:paraId="4073B2C2" w14:textId="77777777" w:rsidR="000A7D9D" w:rsidRPr="00EF2DDF" w:rsidRDefault="000A7D9D" w:rsidP="00B0412E">
      <w:pPr>
        <w:jc w:val="both"/>
        <w:rPr>
          <w:rFonts w:ascii="Times New Roman" w:hAnsi="Times New Roman" w:cs="Times New Roman"/>
          <w:noProof/>
          <w:sz w:val="24"/>
          <w:szCs w:val="24"/>
        </w:rPr>
      </w:pPr>
      <w:r w:rsidRPr="00EF2DDF">
        <w:rPr>
          <w:rFonts w:ascii="Times New Roman" w:hAnsi="Times New Roman" w:cs="Times New Roman"/>
          <w:noProof/>
          <w:sz w:val="24"/>
          <w:szCs w:val="24"/>
          <w:u w:val="single"/>
        </w:rPr>
        <w:t>Changes envisaged as part of reattribution:</w:t>
      </w:r>
      <w:r w:rsidRPr="00EF2DDF">
        <w:rPr>
          <w:rFonts w:ascii="Times New Roman" w:hAnsi="Times New Roman" w:cs="Times New Roman"/>
          <w:noProof/>
          <w:sz w:val="24"/>
          <w:szCs w:val="24"/>
        </w:rPr>
        <w:t xml:space="preserve"> Yes</w:t>
      </w:r>
    </w:p>
    <w:p w14:paraId="319D90C6" w14:textId="77777777" w:rsidR="000A7D9D" w:rsidRPr="00EF2DDF" w:rsidRDefault="000A7D9D" w:rsidP="00B0412E">
      <w:pPr>
        <w:widowControl w:val="0"/>
        <w:numPr>
          <w:ilvl w:val="0"/>
          <w:numId w:val="96"/>
        </w:numPr>
        <w:spacing w:before="120" w:after="120" w:line="240" w:lineRule="auto"/>
        <w:contextualSpacing/>
        <w:jc w:val="both"/>
        <w:rPr>
          <w:rFonts w:ascii="Times New Roman" w:hAnsi="Times New Roman" w:cs="Times New Roman"/>
          <w:noProof/>
          <w:sz w:val="24"/>
          <w:szCs w:val="24"/>
        </w:rPr>
      </w:pPr>
      <w:r w:rsidRPr="00EF2DDF">
        <w:rPr>
          <w:rFonts w:ascii="Times New Roman" w:hAnsi="Times New Roman" w:cs="Times New Roman"/>
          <w:noProof/>
          <w:sz w:val="24"/>
          <w:szCs w:val="24"/>
        </w:rPr>
        <w:t>In the past only voluntary watch list under groundwater directive. Obligatory watch list would be new.</w:t>
      </w:r>
    </w:p>
    <w:p w14:paraId="04C7BCAC" w14:textId="77777777" w:rsidR="000A7D9D" w:rsidRPr="00EF2DDF" w:rsidRDefault="000A7D9D" w:rsidP="00B0412E">
      <w:pPr>
        <w:widowControl w:val="0"/>
        <w:numPr>
          <w:ilvl w:val="0"/>
          <w:numId w:val="96"/>
        </w:numPr>
        <w:spacing w:after="0" w:line="240" w:lineRule="auto"/>
        <w:ind w:left="714" w:hanging="357"/>
        <w:contextualSpacing/>
        <w:jc w:val="both"/>
        <w:rPr>
          <w:rFonts w:ascii="Times New Roman" w:hAnsi="Times New Roman" w:cs="Times New Roman"/>
          <w:noProof/>
          <w:sz w:val="24"/>
          <w:szCs w:val="24"/>
        </w:rPr>
      </w:pPr>
      <w:r w:rsidRPr="00EF2DDF">
        <w:rPr>
          <w:rFonts w:ascii="Times New Roman" w:hAnsi="Times New Roman" w:cs="Times New Roman"/>
          <w:noProof/>
          <w:sz w:val="24"/>
          <w:szCs w:val="24"/>
        </w:rPr>
        <w:t>New legal task: EU-wide EQS for substances listed in a (new) Annex II of the EQSD including the so-called ‘River Basin Specific Pollutants’;</w:t>
      </w:r>
    </w:p>
    <w:p w14:paraId="7D9DC38F" w14:textId="77777777" w:rsidR="000A7D9D" w:rsidRPr="00EF2DDF" w:rsidRDefault="000A7D9D" w:rsidP="00B0412E">
      <w:pPr>
        <w:pStyle w:val="ListParagraph"/>
        <w:widowControl w:val="0"/>
        <w:numPr>
          <w:ilvl w:val="0"/>
          <w:numId w:val="96"/>
        </w:numPr>
        <w:ind w:left="714" w:hanging="357"/>
        <w:jc w:val="both"/>
        <w:rPr>
          <w:noProof/>
        </w:rPr>
      </w:pPr>
      <w:r w:rsidRPr="00EF2DDF">
        <w:rPr>
          <w:noProof/>
        </w:rPr>
        <w:t>New legal task: EU wide threshold values for pollutants listed in Annex II GWD (where too wide divergences exist between national standards);</w:t>
      </w:r>
    </w:p>
    <w:p w14:paraId="2864442E" w14:textId="77777777" w:rsidR="000A7D9D" w:rsidRPr="00EF2DDF" w:rsidRDefault="000A7D9D" w:rsidP="00B0412E">
      <w:pPr>
        <w:pStyle w:val="ListParagraph"/>
        <w:widowControl w:val="0"/>
        <w:numPr>
          <w:ilvl w:val="0"/>
          <w:numId w:val="96"/>
        </w:numPr>
        <w:ind w:left="714" w:hanging="357"/>
        <w:jc w:val="both"/>
        <w:rPr>
          <w:noProof/>
        </w:rPr>
      </w:pPr>
      <w:r w:rsidRPr="00EF2DDF">
        <w:rPr>
          <w:noProof/>
        </w:rPr>
        <w:t xml:space="preserve">Explicit identification, within 2 years of entry into force, of suitable monitoring methods for monitoring and analysis of PFAS, and for microplastics and Antimicrobiotical resistance genes (AMR)[2 years], for both SW and GW (in addition to the regular verification of the suitability and availability of monitoring and analytical methods not entailing significant costs for substances proposed to be listed in the Watch Lists under both directives) </w:t>
      </w:r>
    </w:p>
    <w:p w14:paraId="29985CAC" w14:textId="77777777" w:rsidR="000A7D9D" w:rsidRPr="00EF2DDF" w:rsidRDefault="000A7D9D" w:rsidP="00B0412E">
      <w:pPr>
        <w:widowControl w:val="0"/>
        <w:numPr>
          <w:ilvl w:val="0"/>
          <w:numId w:val="96"/>
        </w:numPr>
        <w:spacing w:after="0" w:line="240" w:lineRule="auto"/>
        <w:contextualSpacing/>
        <w:jc w:val="both"/>
        <w:rPr>
          <w:rFonts w:ascii="Times New Roman" w:hAnsi="Times New Roman" w:cs="Times New Roman"/>
          <w:bCs/>
          <w:noProof/>
          <w:color w:val="000000"/>
          <w:sz w:val="24"/>
          <w:szCs w:val="24"/>
        </w:rPr>
      </w:pPr>
      <w:r w:rsidRPr="00EF2DDF">
        <w:rPr>
          <w:rFonts w:ascii="Times New Roman" w:hAnsi="Times New Roman" w:cs="Times New Roman"/>
          <w:bCs/>
          <w:noProof/>
          <w:color w:val="000000"/>
          <w:sz w:val="24"/>
          <w:szCs w:val="24"/>
        </w:rPr>
        <w:t>Groundwater Directive: verification of the suitability and availability of monitoring and analytical methods not entailing significant costs, and compilation of information on these for MS. This task existed, but was never performed.</w:t>
      </w:r>
    </w:p>
    <w:p w14:paraId="552802A8" w14:textId="77777777" w:rsidR="000A7D9D" w:rsidRPr="00EF2DDF" w:rsidRDefault="000A7D9D" w:rsidP="00B0412E">
      <w:pPr>
        <w:jc w:val="both"/>
        <w:rPr>
          <w:rFonts w:ascii="Times New Roman" w:eastAsia="Calibri" w:hAnsi="Times New Roman" w:cs="Times New Roman"/>
          <w:noProof/>
          <w:sz w:val="24"/>
          <w:szCs w:val="24"/>
        </w:rPr>
      </w:pPr>
    </w:p>
    <w:p w14:paraId="7AFACE81" w14:textId="77777777" w:rsidR="000A7D9D" w:rsidRPr="00EF2DDF" w:rsidRDefault="000A7D9D" w:rsidP="00B0412E">
      <w:pPr>
        <w:pStyle w:val="BodyText"/>
        <w:jc w:val="both"/>
        <w:rPr>
          <w:noProof/>
        </w:rPr>
      </w:pPr>
      <w:r w:rsidRPr="00EF2DDF">
        <w:rPr>
          <w:b/>
          <w:bCs/>
          <w:noProof/>
        </w:rPr>
        <w:t>Proximity to ECHA mandate:</w:t>
      </w:r>
      <w:r w:rsidRPr="00EF2DDF">
        <w:rPr>
          <w:noProof/>
        </w:rPr>
        <w:t xml:space="preserve"> The works seems close to the ECHA core mandate, especially for the EQSD / priority setting. ECHA already has the required expertise/competence for deriving EQSD (PNECs). </w:t>
      </w:r>
    </w:p>
    <w:p w14:paraId="02D12526" w14:textId="77777777" w:rsidR="000A7D9D" w:rsidRPr="00EF2DDF" w:rsidRDefault="000A7D9D" w:rsidP="000A7D9D">
      <w:pPr>
        <w:pStyle w:val="BodyText"/>
        <w:rPr>
          <w:noProof/>
          <w:u w:val="single"/>
        </w:rPr>
      </w:pPr>
      <w:r w:rsidRPr="00EF2DDF">
        <w:rPr>
          <w:noProof/>
          <w:u w:val="single"/>
        </w:rPr>
        <w:t>Projected synergies and added value of reattribution:</w:t>
      </w:r>
    </w:p>
    <w:tbl>
      <w:tblPr>
        <w:tblStyle w:val="TableGrid24"/>
        <w:tblW w:w="0" w:type="auto"/>
        <w:tblLook w:val="04A0" w:firstRow="1" w:lastRow="0" w:firstColumn="1" w:lastColumn="0" w:noHBand="0" w:noVBand="1"/>
      </w:tblPr>
      <w:tblGrid>
        <w:gridCol w:w="1728"/>
        <w:gridCol w:w="1119"/>
        <w:gridCol w:w="6782"/>
      </w:tblGrid>
      <w:tr w:rsidR="000A7D9D" w:rsidRPr="00EF2DDF" w14:paraId="145EB1EB"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2C8AE711" w14:textId="77777777" w:rsidR="000A7D9D" w:rsidRPr="00EF2DDF" w:rsidRDefault="000A7D9D" w:rsidP="00F31937">
            <w:pPr>
              <w:spacing w:before="120" w:after="120"/>
              <w:rPr>
                <w:rFonts w:ascii="Times New Roman" w:hAnsi="Times New Roman"/>
                <w:b/>
                <w:bCs/>
                <w:noProof/>
                <w:color w:val="0046AD"/>
                <w:sz w:val="24"/>
                <w:szCs w:val="24"/>
              </w:rPr>
            </w:pPr>
            <w:r w:rsidRPr="00EF2DDF">
              <w:rPr>
                <w:rFonts w:ascii="Times New Roman" w:hAnsi="Times New Roman"/>
                <w:b/>
                <w:bCs/>
                <w:noProof/>
                <w:color w:val="0046AD"/>
                <w:sz w:val="24"/>
                <w:szCs w:val="24"/>
              </w:rPr>
              <w:t>Type</w:t>
            </w:r>
          </w:p>
        </w:tc>
        <w:tc>
          <w:tcPr>
            <w:tcW w:w="7901" w:type="dxa"/>
            <w:gridSpan w:val="2"/>
            <w:tcBorders>
              <w:top w:val="single" w:sz="4" w:space="0" w:color="auto"/>
              <w:left w:val="single" w:sz="4" w:space="0" w:color="auto"/>
              <w:bottom w:val="single" w:sz="4" w:space="0" w:color="auto"/>
              <w:right w:val="single" w:sz="4" w:space="0" w:color="auto"/>
            </w:tcBorders>
            <w:hideMark/>
          </w:tcPr>
          <w:p w14:paraId="67CF3CDC" w14:textId="77777777" w:rsidR="000A7D9D" w:rsidRPr="00EF2DDF" w:rsidRDefault="000A7D9D" w:rsidP="00F31937">
            <w:pPr>
              <w:spacing w:before="120" w:after="120"/>
              <w:rPr>
                <w:rFonts w:ascii="Times New Roman" w:hAnsi="Times New Roman"/>
                <w:b/>
                <w:bCs/>
                <w:noProof/>
                <w:color w:val="0046AD"/>
                <w:sz w:val="24"/>
                <w:szCs w:val="24"/>
              </w:rPr>
            </w:pPr>
            <w:r w:rsidRPr="00EF2DDF">
              <w:rPr>
                <w:rFonts w:ascii="Times New Roman" w:hAnsi="Times New Roman"/>
                <w:b/>
                <w:bCs/>
                <w:noProof/>
                <w:color w:val="0046AD"/>
                <w:sz w:val="24"/>
                <w:szCs w:val="24"/>
              </w:rPr>
              <w:t>Synergies</w:t>
            </w:r>
          </w:p>
        </w:tc>
      </w:tr>
      <w:tr w:rsidR="000A7D9D" w:rsidRPr="00EF2DDF" w14:paraId="345AFFB8"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0FDC50BA"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Reuse of capabilities</w:t>
            </w:r>
          </w:p>
        </w:tc>
        <w:tc>
          <w:tcPr>
            <w:tcW w:w="1119" w:type="dxa"/>
            <w:tcBorders>
              <w:top w:val="single" w:sz="4" w:space="0" w:color="auto"/>
              <w:left w:val="single" w:sz="4" w:space="0" w:color="auto"/>
              <w:bottom w:val="single" w:sz="4" w:space="0" w:color="auto"/>
              <w:right w:val="single" w:sz="4" w:space="0" w:color="auto"/>
            </w:tcBorders>
            <w:hideMark/>
          </w:tcPr>
          <w:p w14:paraId="1211A692"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4A2FEEF4"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Process and expertise: ECHA already supports similar work on substance restrictions, including safe limit value setting under REACH and other legislation. Several key capacities can be reused/reinforced:</w:t>
            </w:r>
          </w:p>
          <w:p w14:paraId="2BEEDE29" w14:textId="77777777" w:rsidR="000A7D9D" w:rsidRPr="00EF2DDF" w:rsidRDefault="000A7D9D" w:rsidP="000A7D9D">
            <w:pPr>
              <w:numPr>
                <w:ilvl w:val="0"/>
                <w:numId w:val="21"/>
              </w:numPr>
              <w:snapToGrid w:val="0"/>
              <w:ind w:left="720"/>
              <w:contextualSpacing/>
              <w:rPr>
                <w:rFonts w:ascii="Times New Roman" w:hAnsi="Times New Roman"/>
                <w:noProof/>
                <w:sz w:val="24"/>
                <w:szCs w:val="24"/>
              </w:rPr>
            </w:pPr>
            <w:r w:rsidRPr="00EF2DDF">
              <w:rPr>
                <w:rFonts w:ascii="Times New Roman" w:hAnsi="Times New Roman"/>
                <w:noProof/>
                <w:sz w:val="24"/>
                <w:szCs w:val="24"/>
              </w:rPr>
              <w:t>Hazard, risk, exposure and socio-economic assessment</w:t>
            </w:r>
          </w:p>
          <w:p w14:paraId="05CD845E" w14:textId="77777777" w:rsidR="000A7D9D" w:rsidRPr="00EF2DDF"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EF2DDF">
              <w:rPr>
                <w:rFonts w:ascii="Times New Roman" w:hAnsi="Times New Roman"/>
                <w:noProof/>
                <w:sz w:val="24"/>
                <w:szCs w:val="24"/>
              </w:rPr>
              <w:t>Committee opinion development</w:t>
            </w:r>
          </w:p>
          <w:p w14:paraId="385BC9D7" w14:textId="77777777" w:rsidR="000A7D9D" w:rsidRPr="00EF2DDF"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EF2DDF">
              <w:rPr>
                <w:rFonts w:ascii="Times New Roman" w:hAnsi="Times New Roman"/>
                <w:noProof/>
                <w:color w:val="000000" w:themeColor="text1"/>
                <w:sz w:val="24"/>
                <w:szCs w:val="24"/>
              </w:rPr>
              <w:t>IT capabilities for stakeholder consultation and dissemination (including regulatory intentions)</w:t>
            </w:r>
          </w:p>
        </w:tc>
      </w:tr>
      <w:tr w:rsidR="000A7D9D" w:rsidRPr="00EF2DDF" w14:paraId="05689BE2"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2210FBAE"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Re-use of data</w:t>
            </w:r>
          </w:p>
        </w:tc>
        <w:tc>
          <w:tcPr>
            <w:tcW w:w="1119" w:type="dxa"/>
            <w:tcBorders>
              <w:top w:val="single" w:sz="4" w:space="0" w:color="auto"/>
              <w:left w:val="single" w:sz="4" w:space="0" w:color="auto"/>
              <w:bottom w:val="single" w:sz="4" w:space="0" w:color="auto"/>
              <w:right w:val="single" w:sz="4" w:space="0" w:color="auto"/>
            </w:tcBorders>
            <w:hideMark/>
          </w:tcPr>
          <w:p w14:paraId="009400C8"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48EE9F78"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Reuse of data collected under other chemical legislation.</w:t>
            </w:r>
          </w:p>
        </w:tc>
      </w:tr>
      <w:tr w:rsidR="000A7D9D" w:rsidRPr="00EF2DDF" w14:paraId="76F00C50"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1930F184"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Workload balancing</w:t>
            </w:r>
          </w:p>
        </w:tc>
        <w:tc>
          <w:tcPr>
            <w:tcW w:w="1119" w:type="dxa"/>
            <w:tcBorders>
              <w:top w:val="single" w:sz="4" w:space="0" w:color="auto"/>
              <w:left w:val="single" w:sz="4" w:space="0" w:color="auto"/>
              <w:bottom w:val="single" w:sz="4" w:space="0" w:color="auto"/>
              <w:right w:val="single" w:sz="4" w:space="0" w:color="auto"/>
            </w:tcBorders>
            <w:hideMark/>
          </w:tcPr>
          <w:p w14:paraId="05AE0237"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Medium</w:t>
            </w:r>
          </w:p>
        </w:tc>
        <w:tc>
          <w:tcPr>
            <w:tcW w:w="6782" w:type="dxa"/>
            <w:tcBorders>
              <w:top w:val="single" w:sz="4" w:space="0" w:color="auto"/>
              <w:left w:val="single" w:sz="4" w:space="0" w:color="auto"/>
              <w:bottom w:val="single" w:sz="4" w:space="0" w:color="auto"/>
              <w:right w:val="single" w:sz="4" w:space="0" w:color="auto"/>
            </w:tcBorders>
            <w:hideMark/>
          </w:tcPr>
          <w:p w14:paraId="7F97A05D"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With work culminating in 3 and 6-year cycles, the workload of Agency experts and Committee experts can be balanced (although work will be permanently ongoing and resource estimates are already annualised).</w:t>
            </w:r>
          </w:p>
        </w:tc>
      </w:tr>
      <w:tr w:rsidR="000A7D9D" w:rsidRPr="00EF2DDF" w14:paraId="36F8D856"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72155511"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IT tools: automation and economies of scale</w:t>
            </w:r>
          </w:p>
        </w:tc>
        <w:tc>
          <w:tcPr>
            <w:tcW w:w="1119" w:type="dxa"/>
            <w:tcBorders>
              <w:top w:val="single" w:sz="4" w:space="0" w:color="auto"/>
              <w:left w:val="single" w:sz="4" w:space="0" w:color="auto"/>
              <w:bottom w:val="single" w:sz="4" w:space="0" w:color="auto"/>
              <w:right w:val="single" w:sz="4" w:space="0" w:color="auto"/>
            </w:tcBorders>
            <w:hideMark/>
          </w:tcPr>
          <w:p w14:paraId="376D5EB1"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79D68D54"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Not an IT-intensive process, but reuse of IT capabilities for case management, public consultation, interaction with Member States, regulatory intentions management and data dissemination. ECHA is also requested to build an EU repository of health limit values, including EU and national EQS, building further on existing tools.</w:t>
            </w:r>
          </w:p>
        </w:tc>
      </w:tr>
      <w:tr w:rsidR="000A7D9D" w:rsidRPr="00EF2DDF" w14:paraId="30E24BC2"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039028CC"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Support services: economies of scale</w:t>
            </w:r>
          </w:p>
        </w:tc>
        <w:tc>
          <w:tcPr>
            <w:tcW w:w="1119" w:type="dxa"/>
            <w:tcBorders>
              <w:top w:val="single" w:sz="4" w:space="0" w:color="auto"/>
              <w:left w:val="single" w:sz="4" w:space="0" w:color="auto"/>
              <w:bottom w:val="single" w:sz="4" w:space="0" w:color="auto"/>
              <w:right w:val="single" w:sz="4" w:space="0" w:color="auto"/>
            </w:tcBorders>
            <w:hideMark/>
          </w:tcPr>
          <w:p w14:paraId="4C79CD82"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77CDE54A"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Reuse of scientific support services (e.g. committee secretariat, prioritisation and grouping of substances, substance identification, data management and dissemination). Reuse of administrative services.</w:t>
            </w:r>
          </w:p>
        </w:tc>
      </w:tr>
    </w:tbl>
    <w:p w14:paraId="74811F53" w14:textId="77777777" w:rsidR="000A7D9D" w:rsidRPr="00EF2DDF" w:rsidRDefault="000A7D9D" w:rsidP="000A7D9D">
      <w:pPr>
        <w:pStyle w:val="BodyText"/>
        <w:rPr>
          <w:noProof/>
          <w:u w:val="single"/>
        </w:rPr>
      </w:pPr>
    </w:p>
    <w:tbl>
      <w:tblPr>
        <w:tblStyle w:val="TableGrid25"/>
        <w:tblW w:w="0" w:type="auto"/>
        <w:tblLook w:val="04A0" w:firstRow="1" w:lastRow="0" w:firstColumn="1" w:lastColumn="0" w:noHBand="0" w:noVBand="1"/>
      </w:tblPr>
      <w:tblGrid>
        <w:gridCol w:w="1822"/>
        <w:gridCol w:w="1057"/>
        <w:gridCol w:w="6750"/>
      </w:tblGrid>
      <w:tr w:rsidR="000A7D9D" w:rsidRPr="00EF2DDF" w14:paraId="76A0FB7A"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189BA8CB" w14:textId="77777777" w:rsidR="000A7D9D" w:rsidRPr="00EF2DDF" w:rsidRDefault="000A7D9D" w:rsidP="00F31937">
            <w:pPr>
              <w:spacing w:before="120" w:after="120"/>
              <w:rPr>
                <w:rFonts w:ascii="Times New Roman" w:hAnsi="Times New Roman"/>
                <w:b/>
                <w:bCs/>
                <w:noProof/>
                <w:color w:val="0046AD"/>
                <w:sz w:val="24"/>
                <w:szCs w:val="24"/>
              </w:rPr>
            </w:pPr>
            <w:r w:rsidRPr="00EF2DDF">
              <w:rPr>
                <w:rFonts w:ascii="Times New Roman" w:hAnsi="Times New Roman"/>
                <w:b/>
                <w:bCs/>
                <w:noProof/>
                <w:color w:val="0046AD"/>
                <w:sz w:val="24"/>
                <w:szCs w:val="24"/>
              </w:rPr>
              <w:t>Type</w:t>
            </w:r>
          </w:p>
        </w:tc>
        <w:tc>
          <w:tcPr>
            <w:tcW w:w="7807" w:type="dxa"/>
            <w:gridSpan w:val="2"/>
            <w:tcBorders>
              <w:top w:val="single" w:sz="4" w:space="0" w:color="auto"/>
              <w:left w:val="single" w:sz="4" w:space="0" w:color="auto"/>
              <w:bottom w:val="single" w:sz="4" w:space="0" w:color="auto"/>
              <w:right w:val="single" w:sz="4" w:space="0" w:color="auto"/>
            </w:tcBorders>
            <w:hideMark/>
          </w:tcPr>
          <w:p w14:paraId="26A72E1E" w14:textId="77777777" w:rsidR="000A7D9D" w:rsidRPr="00EF2DDF" w:rsidRDefault="000A7D9D" w:rsidP="00F31937">
            <w:pPr>
              <w:spacing w:before="120" w:after="120"/>
              <w:rPr>
                <w:rFonts w:ascii="Times New Roman" w:hAnsi="Times New Roman"/>
                <w:b/>
                <w:bCs/>
                <w:noProof/>
                <w:color w:val="0046AD"/>
                <w:sz w:val="24"/>
                <w:szCs w:val="24"/>
              </w:rPr>
            </w:pPr>
            <w:r w:rsidRPr="00EF2DDF">
              <w:rPr>
                <w:rFonts w:ascii="Times New Roman" w:hAnsi="Times New Roman"/>
                <w:b/>
                <w:bCs/>
                <w:noProof/>
                <w:color w:val="0046AD"/>
                <w:sz w:val="24"/>
                <w:szCs w:val="24"/>
              </w:rPr>
              <w:t>Added value</w:t>
            </w:r>
          </w:p>
        </w:tc>
      </w:tr>
      <w:tr w:rsidR="000A7D9D" w:rsidRPr="00EF2DDF" w14:paraId="7BAD960E"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18DC7B92"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Scientific consistency</w:t>
            </w:r>
          </w:p>
        </w:tc>
        <w:tc>
          <w:tcPr>
            <w:tcW w:w="1057" w:type="dxa"/>
            <w:tcBorders>
              <w:top w:val="single" w:sz="4" w:space="0" w:color="auto"/>
              <w:left w:val="single" w:sz="4" w:space="0" w:color="auto"/>
              <w:bottom w:val="single" w:sz="4" w:space="0" w:color="auto"/>
              <w:right w:val="single" w:sz="4" w:space="0" w:color="auto"/>
            </w:tcBorders>
            <w:hideMark/>
          </w:tcPr>
          <w:p w14:paraId="5D7D5A71"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2D03890D"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Opportunity to align priority setting, timeline, process and methodology with other related legislation to improve coherence in the scientific advice provided to the Commission. Reuse of data collected under other chemical legislation.</w:t>
            </w:r>
          </w:p>
        </w:tc>
      </w:tr>
      <w:tr w:rsidR="000A7D9D" w:rsidRPr="00EF2DDF" w14:paraId="5261C61C"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4D628B39"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Robustness of assessment and acceptance</w:t>
            </w:r>
          </w:p>
        </w:tc>
        <w:tc>
          <w:tcPr>
            <w:tcW w:w="1057" w:type="dxa"/>
            <w:tcBorders>
              <w:top w:val="single" w:sz="4" w:space="0" w:color="auto"/>
              <w:left w:val="single" w:sz="4" w:space="0" w:color="auto"/>
              <w:bottom w:val="single" w:sz="4" w:space="0" w:color="auto"/>
              <w:right w:val="single" w:sz="4" w:space="0" w:color="auto"/>
            </w:tcBorders>
            <w:hideMark/>
          </w:tcPr>
          <w:p w14:paraId="5883F886"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59E21F52"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Insourcing of scientific work from consultants and dispersed Commission services to one central EU Agency and its experts. Involvement of RAC and SEAC committees adds more scientific robustness to the process.</w:t>
            </w:r>
          </w:p>
          <w:p w14:paraId="52D8632E" w14:textId="77777777" w:rsidR="000A7D9D" w:rsidRPr="00EF2DDF" w:rsidRDefault="000A7D9D" w:rsidP="00F31937">
            <w:pPr>
              <w:spacing w:after="240"/>
              <w:rPr>
                <w:rFonts w:ascii="Times New Roman" w:hAnsi="Times New Roman"/>
                <w:i/>
                <w:iCs/>
                <w:noProof/>
                <w:sz w:val="24"/>
                <w:szCs w:val="24"/>
              </w:rPr>
            </w:pPr>
            <w:r w:rsidRPr="00EF2DDF">
              <w:rPr>
                <w:rFonts w:ascii="Times New Roman" w:hAnsi="Times New Roman"/>
                <w:i/>
                <w:iCs/>
                <w:noProof/>
                <w:sz w:val="24"/>
                <w:szCs w:val="24"/>
              </w:rPr>
              <w:t xml:space="preserve">(See also </w:t>
            </w:r>
            <w:hyperlink r:id="rId70" w:history="1">
              <w:r w:rsidRPr="00EF2DDF">
                <w:rPr>
                  <w:rFonts w:ascii="Times New Roman" w:hAnsi="Times New Roman"/>
                  <w:i/>
                  <w:iCs/>
                  <w:noProof/>
                  <w:color w:val="0563C1"/>
                  <w:sz w:val="24"/>
                  <w:szCs w:val="24"/>
                  <w:u w:val="single"/>
                </w:rPr>
                <w:t>European Court of Auditors: External consultants at the European Commission - Scope for reform).</w:t>
              </w:r>
            </w:hyperlink>
          </w:p>
        </w:tc>
      </w:tr>
      <w:tr w:rsidR="000A7D9D" w:rsidRPr="00EF2DDF" w14:paraId="1B1F2E5D"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0BF9F751"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Independence</w:t>
            </w:r>
          </w:p>
        </w:tc>
        <w:tc>
          <w:tcPr>
            <w:tcW w:w="1057" w:type="dxa"/>
            <w:tcBorders>
              <w:top w:val="single" w:sz="4" w:space="0" w:color="auto"/>
              <w:left w:val="single" w:sz="4" w:space="0" w:color="auto"/>
              <w:bottom w:val="single" w:sz="4" w:space="0" w:color="auto"/>
              <w:right w:val="single" w:sz="4" w:space="0" w:color="auto"/>
            </w:tcBorders>
            <w:hideMark/>
          </w:tcPr>
          <w:p w14:paraId="0F919B6C"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60042C2A"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Moving scientific work from consultants and dispersed Commission committees to Agency experts and well-established committees in the European Chemicals Agency with a stricter separation between science and policy. ECHA and its committees work under stricter conflict of interest avoidance rules, improving guarantees of independent scientific advice to the Commission.</w:t>
            </w:r>
          </w:p>
        </w:tc>
      </w:tr>
      <w:tr w:rsidR="000A7D9D" w:rsidRPr="00EF2DDF" w14:paraId="02C3B609"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164256DE" w14:textId="77777777" w:rsidR="000A7D9D" w:rsidRPr="00EF2DDF" w:rsidRDefault="000A7D9D" w:rsidP="00F31937">
            <w:pPr>
              <w:spacing w:before="120" w:after="120"/>
              <w:rPr>
                <w:rFonts w:ascii="Times New Roman" w:hAnsi="Times New Roman"/>
                <w:b/>
                <w:bCs/>
                <w:noProof/>
                <w:color w:val="000000"/>
                <w:sz w:val="24"/>
                <w:szCs w:val="24"/>
              </w:rPr>
            </w:pPr>
            <w:r w:rsidRPr="00EF2DDF">
              <w:rPr>
                <w:rFonts w:ascii="Times New Roman" w:hAnsi="Times New Roman"/>
                <w:b/>
                <w:bCs/>
                <w:noProof/>
                <w:color w:val="000000"/>
                <w:sz w:val="24"/>
                <w:szCs w:val="24"/>
              </w:rPr>
              <w:t>Transparency</w:t>
            </w:r>
          </w:p>
        </w:tc>
        <w:tc>
          <w:tcPr>
            <w:tcW w:w="1057" w:type="dxa"/>
            <w:tcBorders>
              <w:top w:val="single" w:sz="4" w:space="0" w:color="auto"/>
              <w:left w:val="single" w:sz="4" w:space="0" w:color="auto"/>
              <w:bottom w:val="single" w:sz="4" w:space="0" w:color="auto"/>
              <w:right w:val="single" w:sz="4" w:space="0" w:color="auto"/>
            </w:tcBorders>
            <w:hideMark/>
          </w:tcPr>
          <w:p w14:paraId="0A0B3527"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6B02DCFA" w14:textId="77777777" w:rsidR="000A7D9D" w:rsidRPr="00EF2DDF" w:rsidRDefault="000A7D9D" w:rsidP="00F31937">
            <w:pPr>
              <w:spacing w:before="120" w:after="120"/>
              <w:rPr>
                <w:rFonts w:ascii="Times New Roman" w:hAnsi="Times New Roman"/>
                <w:noProof/>
                <w:color w:val="000000"/>
                <w:sz w:val="24"/>
                <w:szCs w:val="24"/>
              </w:rPr>
            </w:pPr>
            <w:r w:rsidRPr="00EF2DDF">
              <w:rPr>
                <w:rFonts w:ascii="Times New Roman" w:hAnsi="Times New Roman"/>
                <w:noProof/>
                <w:color w:val="000000"/>
                <w:sz w:val="24"/>
                <w:szCs w:val="24"/>
              </w:rPr>
              <w:t>ECHA’s involvement will bring additional transparency to the process:</w:t>
            </w:r>
          </w:p>
          <w:p w14:paraId="67E44B6B" w14:textId="77777777" w:rsidR="000A7D9D" w:rsidRPr="00EF2DDF"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EF2DDF">
              <w:rPr>
                <w:rFonts w:ascii="Times New Roman" w:hAnsi="Times New Roman"/>
                <w:noProof/>
                <w:color w:val="000000" w:themeColor="text1"/>
                <w:sz w:val="24"/>
                <w:szCs w:val="24"/>
              </w:rPr>
              <w:t>Overall process transparency</w:t>
            </w:r>
          </w:p>
          <w:p w14:paraId="3C2E3797" w14:textId="77777777" w:rsidR="000A7D9D" w:rsidRPr="00EF2DDF"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EF2DDF">
              <w:rPr>
                <w:rFonts w:ascii="Times New Roman" w:hAnsi="Times New Roman"/>
                <w:noProof/>
                <w:color w:val="000000" w:themeColor="text1"/>
                <w:sz w:val="24"/>
                <w:szCs w:val="24"/>
              </w:rPr>
              <w:t>Publication of regulatory intentions of EU authorities improves predictability for industry stakeholders</w:t>
            </w:r>
          </w:p>
          <w:p w14:paraId="54176F06" w14:textId="77777777" w:rsidR="000A7D9D" w:rsidRPr="00EF2DDF"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EF2DDF">
              <w:rPr>
                <w:rFonts w:ascii="Times New Roman" w:hAnsi="Times New Roman"/>
                <w:noProof/>
                <w:color w:val="000000" w:themeColor="text1"/>
                <w:sz w:val="24"/>
                <w:szCs w:val="24"/>
              </w:rPr>
              <w:t>Public consultation/call for evidence</w:t>
            </w:r>
          </w:p>
          <w:p w14:paraId="220B2AD9" w14:textId="77777777" w:rsidR="000A7D9D" w:rsidRPr="00EF2DDF"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EF2DDF">
              <w:rPr>
                <w:rFonts w:ascii="Times New Roman" w:hAnsi="Times New Roman"/>
                <w:noProof/>
                <w:color w:val="000000" w:themeColor="text1"/>
                <w:sz w:val="24"/>
                <w:szCs w:val="24"/>
              </w:rPr>
              <w:t>Stakeholder involvement/observer status</w:t>
            </w:r>
          </w:p>
          <w:p w14:paraId="21778F5D" w14:textId="77777777" w:rsidR="000A7D9D" w:rsidRPr="00EF2DDF"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EF2DDF">
              <w:rPr>
                <w:rFonts w:ascii="Times New Roman" w:hAnsi="Times New Roman"/>
                <w:noProof/>
                <w:color w:val="000000" w:themeColor="text1"/>
                <w:sz w:val="24"/>
                <w:szCs w:val="24"/>
              </w:rPr>
              <w:t>Dissemination of scientific data and outcomes</w:t>
            </w:r>
          </w:p>
        </w:tc>
      </w:tr>
    </w:tbl>
    <w:p w14:paraId="292B232E" w14:textId="77777777" w:rsidR="000A7D9D" w:rsidRPr="00EF2DDF" w:rsidRDefault="000A7D9D" w:rsidP="000A7D9D">
      <w:pPr>
        <w:pStyle w:val="BodyText"/>
        <w:jc w:val="both"/>
        <w:rPr>
          <w:b/>
          <w:bCs/>
          <w:noProof/>
        </w:rPr>
      </w:pPr>
    </w:p>
    <w:p w14:paraId="76F1601F" w14:textId="77777777" w:rsidR="000A7D9D" w:rsidRPr="00EF2DDF" w:rsidRDefault="000A7D9D" w:rsidP="000A7D9D">
      <w:pPr>
        <w:pStyle w:val="BodyText"/>
        <w:jc w:val="both"/>
        <w:rPr>
          <w:i/>
          <w:iCs/>
          <w:noProof/>
        </w:rPr>
      </w:pPr>
      <w:r w:rsidRPr="00EF2DDF">
        <w:rPr>
          <w:b/>
          <w:bCs/>
          <w:noProof/>
        </w:rPr>
        <w:t xml:space="preserve">Main risks and opportunities: </w:t>
      </w:r>
      <w:r w:rsidRPr="00EF2DDF">
        <w:rPr>
          <w:noProof/>
        </w:rPr>
        <w:t>The scope of EQSD / priority setting includes all chemicals, also pesticides, pharmaceuticals, etc. ECHA will need to see how it collects data on pesticides and pharmaceuticals in practice.</w:t>
      </w:r>
    </w:p>
    <w:p w14:paraId="25016FE3" w14:textId="77777777" w:rsidR="000A7D9D" w:rsidRPr="00EF2DDF" w:rsidRDefault="000A7D9D" w:rsidP="000A7D9D">
      <w:pPr>
        <w:pStyle w:val="BodyText"/>
        <w:rPr>
          <w:b/>
          <w:bCs/>
          <w:noProof/>
        </w:rPr>
      </w:pPr>
      <w:r w:rsidRPr="00EF2DDF">
        <w:rPr>
          <w:b/>
          <w:bCs/>
          <w:noProof/>
        </w:rPr>
        <w:t xml:space="preserve">Projected impact on ECHA: </w:t>
      </w:r>
    </w:p>
    <w:p w14:paraId="432E1D39" w14:textId="77777777" w:rsidR="000A7D9D" w:rsidRPr="00EF2DDF" w:rsidRDefault="000A7D9D" w:rsidP="000A7D9D">
      <w:pPr>
        <w:pStyle w:val="BodyText"/>
        <w:widowControl w:val="0"/>
        <w:numPr>
          <w:ilvl w:val="0"/>
          <w:numId w:val="88"/>
        </w:numPr>
        <w:ind w:left="714" w:hanging="357"/>
        <w:jc w:val="both"/>
        <w:rPr>
          <w:b/>
          <w:bCs/>
          <w:noProof/>
        </w:rPr>
      </w:pPr>
      <w:r w:rsidRPr="00EF2DDF">
        <w:rPr>
          <w:iCs/>
          <w:noProof/>
        </w:rPr>
        <w:t xml:space="preserve">ECHA Committees/bodies: </w:t>
      </w:r>
      <w:r w:rsidRPr="00EF2DDF">
        <w:rPr>
          <w:b/>
          <w:bCs/>
          <w:iCs/>
          <w:noProof/>
        </w:rPr>
        <w:t>high impact</w:t>
      </w:r>
      <w:r w:rsidRPr="00EF2DDF">
        <w:rPr>
          <w:iCs/>
          <w:noProof/>
        </w:rPr>
        <w:t>. The task generates major impact on the setup / organisation / staffing of Committees/bodies due to the additional workload.</w:t>
      </w:r>
      <w:r w:rsidRPr="00EF2DDF">
        <w:rPr>
          <w:bCs/>
          <w:noProof/>
        </w:rPr>
        <w:t xml:space="preserve"> The committees expertise is adequate. No new expertise of the committee is needed.</w:t>
      </w:r>
    </w:p>
    <w:tbl>
      <w:tblPr>
        <w:tblStyle w:val="TableGrid"/>
        <w:tblW w:w="9072" w:type="dxa"/>
        <w:tblInd w:w="562" w:type="dxa"/>
        <w:tblLook w:val="04A0" w:firstRow="1" w:lastRow="0" w:firstColumn="1" w:lastColumn="0" w:noHBand="0" w:noVBand="1"/>
      </w:tblPr>
      <w:tblGrid>
        <w:gridCol w:w="1675"/>
        <w:gridCol w:w="1084"/>
        <w:gridCol w:w="1363"/>
        <w:gridCol w:w="1131"/>
        <w:gridCol w:w="1133"/>
        <w:gridCol w:w="1417"/>
        <w:gridCol w:w="1269"/>
      </w:tblGrid>
      <w:tr w:rsidR="000A7D9D" w:rsidRPr="00EF2DDF" w14:paraId="3C8F102A" w14:textId="77777777" w:rsidTr="00F31937">
        <w:tc>
          <w:tcPr>
            <w:tcW w:w="1696" w:type="dxa"/>
          </w:tcPr>
          <w:p w14:paraId="5B23F1AA" w14:textId="77777777" w:rsidR="000A7D9D" w:rsidRPr="00EF2DDF" w:rsidRDefault="000A7D9D" w:rsidP="00F31937">
            <w:pPr>
              <w:pStyle w:val="BodyText"/>
              <w:rPr>
                <w:b/>
                <w:bCs/>
                <w:noProof/>
              </w:rPr>
            </w:pPr>
          </w:p>
        </w:tc>
        <w:tc>
          <w:tcPr>
            <w:tcW w:w="1076" w:type="dxa"/>
          </w:tcPr>
          <w:p w14:paraId="0CFAFE6C" w14:textId="77777777" w:rsidR="000A7D9D" w:rsidRPr="00EF2DDF" w:rsidRDefault="000A7D9D" w:rsidP="00F31937">
            <w:pPr>
              <w:pStyle w:val="BodyText"/>
              <w:rPr>
                <w:b/>
                <w:bCs/>
                <w:noProof/>
              </w:rPr>
            </w:pPr>
            <w:r w:rsidRPr="00EF2DDF">
              <w:rPr>
                <w:b/>
                <w:bCs/>
                <w:noProof/>
              </w:rPr>
              <w:t>RAC</w:t>
            </w:r>
          </w:p>
        </w:tc>
        <w:tc>
          <w:tcPr>
            <w:tcW w:w="1338" w:type="dxa"/>
          </w:tcPr>
          <w:p w14:paraId="13FF2BC9" w14:textId="77777777" w:rsidR="000A7D9D" w:rsidRPr="00EF2DDF" w:rsidRDefault="000A7D9D" w:rsidP="00F31937">
            <w:pPr>
              <w:pStyle w:val="BodyText"/>
              <w:rPr>
                <w:b/>
                <w:bCs/>
                <w:noProof/>
              </w:rPr>
            </w:pPr>
          </w:p>
        </w:tc>
        <w:tc>
          <w:tcPr>
            <w:tcW w:w="1134" w:type="dxa"/>
          </w:tcPr>
          <w:p w14:paraId="3F3F7A7D" w14:textId="77777777" w:rsidR="000A7D9D" w:rsidRPr="00EF2DDF" w:rsidRDefault="000A7D9D" w:rsidP="00F31937">
            <w:pPr>
              <w:pStyle w:val="BodyText"/>
              <w:rPr>
                <w:b/>
                <w:bCs/>
                <w:noProof/>
              </w:rPr>
            </w:pPr>
          </w:p>
        </w:tc>
        <w:tc>
          <w:tcPr>
            <w:tcW w:w="1134" w:type="dxa"/>
          </w:tcPr>
          <w:p w14:paraId="014AD74B" w14:textId="77777777" w:rsidR="000A7D9D" w:rsidRPr="00EF2DDF" w:rsidRDefault="000A7D9D" w:rsidP="00F31937">
            <w:pPr>
              <w:pStyle w:val="BodyText"/>
              <w:rPr>
                <w:b/>
                <w:bCs/>
                <w:noProof/>
              </w:rPr>
            </w:pPr>
            <w:r w:rsidRPr="00EF2DDF">
              <w:rPr>
                <w:b/>
                <w:bCs/>
                <w:noProof/>
              </w:rPr>
              <w:t>SEAC</w:t>
            </w:r>
          </w:p>
        </w:tc>
        <w:tc>
          <w:tcPr>
            <w:tcW w:w="1418" w:type="dxa"/>
          </w:tcPr>
          <w:p w14:paraId="2F320F78" w14:textId="77777777" w:rsidR="000A7D9D" w:rsidRPr="00EF2DDF" w:rsidRDefault="000A7D9D" w:rsidP="00F31937">
            <w:pPr>
              <w:pStyle w:val="BodyText"/>
              <w:rPr>
                <w:b/>
                <w:bCs/>
                <w:noProof/>
              </w:rPr>
            </w:pPr>
          </w:p>
        </w:tc>
        <w:tc>
          <w:tcPr>
            <w:tcW w:w="1276" w:type="dxa"/>
          </w:tcPr>
          <w:p w14:paraId="2E88436A" w14:textId="77777777" w:rsidR="000A7D9D" w:rsidRPr="00EF2DDF" w:rsidRDefault="000A7D9D" w:rsidP="00F31937">
            <w:pPr>
              <w:pStyle w:val="BodyText"/>
              <w:rPr>
                <w:b/>
                <w:bCs/>
                <w:noProof/>
              </w:rPr>
            </w:pPr>
          </w:p>
        </w:tc>
      </w:tr>
      <w:tr w:rsidR="000A7D9D" w:rsidRPr="00EF2DDF" w14:paraId="745940A7" w14:textId="77777777" w:rsidTr="00F31937">
        <w:tc>
          <w:tcPr>
            <w:tcW w:w="1696" w:type="dxa"/>
          </w:tcPr>
          <w:p w14:paraId="576BE480" w14:textId="77777777" w:rsidR="000A7D9D" w:rsidRPr="00EF2DDF" w:rsidRDefault="000A7D9D" w:rsidP="00F31937">
            <w:pPr>
              <w:pStyle w:val="BodyText"/>
              <w:rPr>
                <w:b/>
                <w:bCs/>
                <w:noProof/>
              </w:rPr>
            </w:pPr>
          </w:p>
        </w:tc>
        <w:tc>
          <w:tcPr>
            <w:tcW w:w="1076" w:type="dxa"/>
          </w:tcPr>
          <w:p w14:paraId="6129DE5C" w14:textId="77777777" w:rsidR="000A7D9D" w:rsidRPr="00EF2DDF" w:rsidRDefault="000A7D9D" w:rsidP="00F31937">
            <w:pPr>
              <w:pStyle w:val="BodyText"/>
              <w:rPr>
                <w:b/>
                <w:bCs/>
                <w:noProof/>
              </w:rPr>
            </w:pPr>
            <w:r w:rsidRPr="00EF2DDF">
              <w:rPr>
                <w:b/>
                <w:bCs/>
                <w:noProof/>
              </w:rPr>
              <w:t># of opinions per year</w:t>
            </w:r>
          </w:p>
        </w:tc>
        <w:tc>
          <w:tcPr>
            <w:tcW w:w="1338" w:type="dxa"/>
          </w:tcPr>
          <w:p w14:paraId="1E4463CA" w14:textId="77777777" w:rsidR="000A7D9D" w:rsidRPr="00EF2DDF" w:rsidRDefault="000A7D9D" w:rsidP="00F31937">
            <w:pPr>
              <w:pStyle w:val="BodyText"/>
              <w:rPr>
                <w:b/>
                <w:bCs/>
                <w:noProof/>
              </w:rPr>
            </w:pPr>
            <w:r w:rsidRPr="00EF2DDF">
              <w:rPr>
                <w:b/>
                <w:bCs/>
                <w:noProof/>
              </w:rPr>
              <w:t>rapportuer</w:t>
            </w:r>
          </w:p>
        </w:tc>
        <w:tc>
          <w:tcPr>
            <w:tcW w:w="1134" w:type="dxa"/>
          </w:tcPr>
          <w:p w14:paraId="40B4F33B" w14:textId="77777777" w:rsidR="000A7D9D" w:rsidRPr="00EF2DDF" w:rsidRDefault="000A7D9D" w:rsidP="00F31937">
            <w:pPr>
              <w:pStyle w:val="BodyText"/>
              <w:rPr>
                <w:b/>
                <w:bCs/>
                <w:noProof/>
              </w:rPr>
            </w:pPr>
            <w:r w:rsidRPr="00EF2DDF">
              <w:rPr>
                <w:b/>
                <w:bCs/>
                <w:noProof/>
              </w:rPr>
              <w:t>Type of opinion</w:t>
            </w:r>
          </w:p>
        </w:tc>
        <w:tc>
          <w:tcPr>
            <w:tcW w:w="1134" w:type="dxa"/>
          </w:tcPr>
          <w:p w14:paraId="78E3F6C5" w14:textId="77777777" w:rsidR="000A7D9D" w:rsidRPr="00EF2DDF" w:rsidRDefault="000A7D9D" w:rsidP="00F31937">
            <w:pPr>
              <w:pStyle w:val="BodyText"/>
              <w:rPr>
                <w:b/>
                <w:bCs/>
                <w:noProof/>
              </w:rPr>
            </w:pPr>
            <w:r w:rsidRPr="00EF2DDF">
              <w:rPr>
                <w:b/>
                <w:bCs/>
                <w:noProof/>
              </w:rPr>
              <w:t># of opinions per year</w:t>
            </w:r>
          </w:p>
        </w:tc>
        <w:tc>
          <w:tcPr>
            <w:tcW w:w="1418" w:type="dxa"/>
          </w:tcPr>
          <w:p w14:paraId="5C7EE9B0" w14:textId="77777777" w:rsidR="000A7D9D" w:rsidRPr="00EF2DDF" w:rsidRDefault="000A7D9D" w:rsidP="00F31937">
            <w:pPr>
              <w:pStyle w:val="BodyText"/>
              <w:rPr>
                <w:b/>
                <w:bCs/>
                <w:noProof/>
              </w:rPr>
            </w:pPr>
            <w:r w:rsidRPr="00EF2DDF">
              <w:rPr>
                <w:b/>
                <w:bCs/>
                <w:noProof/>
              </w:rPr>
              <w:t>rapporteur</w:t>
            </w:r>
          </w:p>
        </w:tc>
        <w:tc>
          <w:tcPr>
            <w:tcW w:w="1276" w:type="dxa"/>
          </w:tcPr>
          <w:p w14:paraId="0BD7E42D" w14:textId="77777777" w:rsidR="000A7D9D" w:rsidRPr="00EF2DDF" w:rsidRDefault="000A7D9D" w:rsidP="00F31937">
            <w:pPr>
              <w:pStyle w:val="BodyText"/>
              <w:rPr>
                <w:b/>
                <w:bCs/>
                <w:noProof/>
              </w:rPr>
            </w:pPr>
            <w:r w:rsidRPr="00EF2DDF">
              <w:rPr>
                <w:b/>
                <w:bCs/>
                <w:noProof/>
              </w:rPr>
              <w:t>Type of opinion</w:t>
            </w:r>
          </w:p>
        </w:tc>
      </w:tr>
      <w:tr w:rsidR="000A7D9D" w:rsidRPr="00EF2DDF" w14:paraId="2A7F863B" w14:textId="77777777" w:rsidTr="00F31937">
        <w:tc>
          <w:tcPr>
            <w:tcW w:w="1696" w:type="dxa"/>
          </w:tcPr>
          <w:p w14:paraId="1F122A40" w14:textId="77777777" w:rsidR="000A7D9D" w:rsidRPr="00EF2DDF" w:rsidRDefault="000A7D9D" w:rsidP="00F31937">
            <w:pPr>
              <w:pStyle w:val="BodyText"/>
              <w:rPr>
                <w:bCs/>
                <w:noProof/>
              </w:rPr>
            </w:pPr>
            <w:r w:rsidRPr="00EF2DDF">
              <w:rPr>
                <w:bCs/>
                <w:noProof/>
              </w:rPr>
              <w:t xml:space="preserve">GWD Annex I </w:t>
            </w:r>
          </w:p>
        </w:tc>
        <w:tc>
          <w:tcPr>
            <w:tcW w:w="1076" w:type="dxa"/>
          </w:tcPr>
          <w:p w14:paraId="16EB9C2A" w14:textId="77777777" w:rsidR="000A7D9D" w:rsidRPr="00EF2DDF" w:rsidRDefault="000A7D9D" w:rsidP="00F31937">
            <w:pPr>
              <w:pStyle w:val="BodyText"/>
              <w:rPr>
                <w:bCs/>
                <w:noProof/>
              </w:rPr>
            </w:pPr>
            <w:r w:rsidRPr="00EF2DDF">
              <w:rPr>
                <w:bCs/>
                <w:noProof/>
              </w:rPr>
              <w:t xml:space="preserve">1 </w:t>
            </w:r>
          </w:p>
        </w:tc>
        <w:tc>
          <w:tcPr>
            <w:tcW w:w="1338" w:type="dxa"/>
          </w:tcPr>
          <w:p w14:paraId="67D2B299" w14:textId="77777777" w:rsidR="000A7D9D" w:rsidRPr="00EF2DDF" w:rsidRDefault="000A7D9D" w:rsidP="00F31937">
            <w:pPr>
              <w:pStyle w:val="BodyText"/>
              <w:rPr>
                <w:bCs/>
                <w:noProof/>
              </w:rPr>
            </w:pPr>
            <w:r w:rsidRPr="00EF2DDF">
              <w:rPr>
                <w:bCs/>
                <w:noProof/>
              </w:rPr>
              <w:t>ECHA</w:t>
            </w:r>
          </w:p>
        </w:tc>
        <w:tc>
          <w:tcPr>
            <w:tcW w:w="1134" w:type="dxa"/>
          </w:tcPr>
          <w:p w14:paraId="191A9264" w14:textId="77777777" w:rsidR="000A7D9D" w:rsidRPr="00EF2DDF" w:rsidRDefault="000A7D9D" w:rsidP="00F31937">
            <w:pPr>
              <w:pStyle w:val="BodyText"/>
              <w:rPr>
                <w:bCs/>
                <w:noProof/>
              </w:rPr>
            </w:pPr>
          </w:p>
        </w:tc>
        <w:tc>
          <w:tcPr>
            <w:tcW w:w="1134" w:type="dxa"/>
          </w:tcPr>
          <w:p w14:paraId="2B6ED501" w14:textId="77777777" w:rsidR="000A7D9D" w:rsidRPr="00EF2DDF" w:rsidRDefault="000A7D9D" w:rsidP="00F31937">
            <w:pPr>
              <w:pStyle w:val="BodyText"/>
              <w:rPr>
                <w:bCs/>
                <w:noProof/>
              </w:rPr>
            </w:pPr>
            <w:r w:rsidRPr="00EF2DDF">
              <w:rPr>
                <w:bCs/>
                <w:noProof/>
              </w:rPr>
              <w:t xml:space="preserve">1 </w:t>
            </w:r>
          </w:p>
        </w:tc>
        <w:tc>
          <w:tcPr>
            <w:tcW w:w="1418" w:type="dxa"/>
          </w:tcPr>
          <w:p w14:paraId="55EE5690" w14:textId="77777777" w:rsidR="000A7D9D" w:rsidRPr="00EF2DDF" w:rsidRDefault="000A7D9D" w:rsidP="00F31937">
            <w:pPr>
              <w:pStyle w:val="BodyText"/>
              <w:rPr>
                <w:bCs/>
                <w:noProof/>
              </w:rPr>
            </w:pPr>
            <w:r w:rsidRPr="00EF2DDF">
              <w:rPr>
                <w:bCs/>
                <w:noProof/>
              </w:rPr>
              <w:t>ECHA</w:t>
            </w:r>
          </w:p>
        </w:tc>
        <w:tc>
          <w:tcPr>
            <w:tcW w:w="1276" w:type="dxa"/>
          </w:tcPr>
          <w:p w14:paraId="337BABEE" w14:textId="77777777" w:rsidR="000A7D9D" w:rsidRPr="00EF2DDF" w:rsidRDefault="000A7D9D" w:rsidP="00F31937">
            <w:pPr>
              <w:pStyle w:val="BodyText"/>
              <w:rPr>
                <w:bCs/>
                <w:noProof/>
              </w:rPr>
            </w:pPr>
          </w:p>
        </w:tc>
      </w:tr>
      <w:tr w:rsidR="000A7D9D" w:rsidRPr="00EF2DDF" w14:paraId="4E786933" w14:textId="77777777" w:rsidTr="00F31937">
        <w:tc>
          <w:tcPr>
            <w:tcW w:w="1696" w:type="dxa"/>
          </w:tcPr>
          <w:p w14:paraId="794D44D2" w14:textId="77777777" w:rsidR="000A7D9D" w:rsidRPr="00EF2DDF" w:rsidRDefault="000A7D9D" w:rsidP="00F31937">
            <w:pPr>
              <w:pStyle w:val="BodyText"/>
              <w:rPr>
                <w:bCs/>
                <w:noProof/>
              </w:rPr>
            </w:pPr>
            <w:r w:rsidRPr="00EF2DDF">
              <w:rPr>
                <w:bCs/>
                <w:noProof/>
              </w:rPr>
              <w:t>GWD Annex II</w:t>
            </w:r>
          </w:p>
        </w:tc>
        <w:tc>
          <w:tcPr>
            <w:tcW w:w="1076" w:type="dxa"/>
          </w:tcPr>
          <w:p w14:paraId="24561FC1" w14:textId="77777777" w:rsidR="000A7D9D" w:rsidRPr="00EF2DDF" w:rsidRDefault="000A7D9D" w:rsidP="00F31937">
            <w:pPr>
              <w:pStyle w:val="BodyText"/>
              <w:rPr>
                <w:bCs/>
                <w:noProof/>
              </w:rPr>
            </w:pPr>
            <w:r w:rsidRPr="00EF2DDF">
              <w:rPr>
                <w:bCs/>
                <w:noProof/>
              </w:rPr>
              <w:t>1</w:t>
            </w:r>
          </w:p>
        </w:tc>
        <w:tc>
          <w:tcPr>
            <w:tcW w:w="1338" w:type="dxa"/>
          </w:tcPr>
          <w:p w14:paraId="170D0582" w14:textId="77777777" w:rsidR="000A7D9D" w:rsidRPr="00EF2DDF" w:rsidRDefault="000A7D9D" w:rsidP="00F31937">
            <w:pPr>
              <w:pStyle w:val="BodyText"/>
              <w:rPr>
                <w:bCs/>
                <w:noProof/>
              </w:rPr>
            </w:pPr>
            <w:r w:rsidRPr="00EF2DDF">
              <w:rPr>
                <w:bCs/>
                <w:noProof/>
              </w:rPr>
              <w:t>ECHA</w:t>
            </w:r>
          </w:p>
        </w:tc>
        <w:tc>
          <w:tcPr>
            <w:tcW w:w="1134" w:type="dxa"/>
          </w:tcPr>
          <w:p w14:paraId="69991042" w14:textId="77777777" w:rsidR="000A7D9D" w:rsidRPr="00EF2DDF" w:rsidRDefault="000A7D9D" w:rsidP="00F31937">
            <w:pPr>
              <w:pStyle w:val="BodyText"/>
              <w:rPr>
                <w:bCs/>
                <w:noProof/>
              </w:rPr>
            </w:pPr>
          </w:p>
        </w:tc>
        <w:tc>
          <w:tcPr>
            <w:tcW w:w="1134" w:type="dxa"/>
          </w:tcPr>
          <w:p w14:paraId="3011B17C" w14:textId="77777777" w:rsidR="000A7D9D" w:rsidRPr="00EF2DDF" w:rsidRDefault="000A7D9D" w:rsidP="00F31937">
            <w:pPr>
              <w:pStyle w:val="BodyText"/>
              <w:rPr>
                <w:bCs/>
                <w:noProof/>
              </w:rPr>
            </w:pPr>
            <w:r w:rsidRPr="00EF2DDF">
              <w:rPr>
                <w:bCs/>
                <w:noProof/>
              </w:rPr>
              <w:t>1</w:t>
            </w:r>
          </w:p>
        </w:tc>
        <w:tc>
          <w:tcPr>
            <w:tcW w:w="1418" w:type="dxa"/>
          </w:tcPr>
          <w:p w14:paraId="31D29F0A" w14:textId="77777777" w:rsidR="000A7D9D" w:rsidRPr="00EF2DDF" w:rsidRDefault="000A7D9D" w:rsidP="00F31937">
            <w:pPr>
              <w:pStyle w:val="BodyText"/>
              <w:rPr>
                <w:bCs/>
                <w:noProof/>
              </w:rPr>
            </w:pPr>
            <w:r w:rsidRPr="00EF2DDF">
              <w:rPr>
                <w:bCs/>
                <w:noProof/>
              </w:rPr>
              <w:t>ECHA</w:t>
            </w:r>
          </w:p>
        </w:tc>
        <w:tc>
          <w:tcPr>
            <w:tcW w:w="1276" w:type="dxa"/>
          </w:tcPr>
          <w:p w14:paraId="782C16ED" w14:textId="77777777" w:rsidR="000A7D9D" w:rsidRPr="00EF2DDF" w:rsidRDefault="000A7D9D" w:rsidP="00F31937">
            <w:pPr>
              <w:pStyle w:val="BodyText"/>
              <w:rPr>
                <w:bCs/>
                <w:noProof/>
              </w:rPr>
            </w:pPr>
          </w:p>
        </w:tc>
      </w:tr>
      <w:tr w:rsidR="000A7D9D" w:rsidRPr="00EF2DDF" w14:paraId="44C67E64" w14:textId="77777777" w:rsidTr="00F31937">
        <w:tc>
          <w:tcPr>
            <w:tcW w:w="1696" w:type="dxa"/>
          </w:tcPr>
          <w:p w14:paraId="7C68A0F7" w14:textId="77777777" w:rsidR="000A7D9D" w:rsidRPr="00EF2DDF" w:rsidRDefault="000A7D9D" w:rsidP="00F31937">
            <w:pPr>
              <w:pStyle w:val="BodyText"/>
              <w:rPr>
                <w:bCs/>
                <w:noProof/>
              </w:rPr>
            </w:pPr>
            <w:r w:rsidRPr="00EF2DDF">
              <w:rPr>
                <w:bCs/>
                <w:noProof/>
              </w:rPr>
              <w:t>EQSD Annex I</w:t>
            </w:r>
          </w:p>
        </w:tc>
        <w:tc>
          <w:tcPr>
            <w:tcW w:w="1076" w:type="dxa"/>
          </w:tcPr>
          <w:p w14:paraId="54F422F5" w14:textId="77777777" w:rsidR="000A7D9D" w:rsidRPr="00EF2DDF" w:rsidRDefault="000A7D9D" w:rsidP="00F31937">
            <w:pPr>
              <w:pStyle w:val="BodyText"/>
              <w:rPr>
                <w:bCs/>
                <w:noProof/>
              </w:rPr>
            </w:pPr>
            <w:r w:rsidRPr="00EF2DDF">
              <w:rPr>
                <w:bCs/>
                <w:noProof/>
              </w:rPr>
              <w:t>4</w:t>
            </w:r>
          </w:p>
        </w:tc>
        <w:tc>
          <w:tcPr>
            <w:tcW w:w="1338" w:type="dxa"/>
          </w:tcPr>
          <w:p w14:paraId="34EDFB54" w14:textId="77777777" w:rsidR="000A7D9D" w:rsidRPr="00EF2DDF" w:rsidRDefault="000A7D9D" w:rsidP="00F31937">
            <w:pPr>
              <w:pStyle w:val="BodyText"/>
              <w:rPr>
                <w:bCs/>
                <w:noProof/>
              </w:rPr>
            </w:pPr>
            <w:r w:rsidRPr="00EF2DDF">
              <w:rPr>
                <w:bCs/>
                <w:noProof/>
              </w:rPr>
              <w:t>ECHA</w:t>
            </w:r>
          </w:p>
        </w:tc>
        <w:tc>
          <w:tcPr>
            <w:tcW w:w="1134" w:type="dxa"/>
          </w:tcPr>
          <w:p w14:paraId="28CF95B1" w14:textId="77777777" w:rsidR="000A7D9D" w:rsidRPr="00EF2DDF" w:rsidRDefault="000A7D9D" w:rsidP="00F31937">
            <w:pPr>
              <w:pStyle w:val="BodyText"/>
              <w:rPr>
                <w:bCs/>
                <w:noProof/>
              </w:rPr>
            </w:pPr>
          </w:p>
        </w:tc>
        <w:tc>
          <w:tcPr>
            <w:tcW w:w="1134" w:type="dxa"/>
          </w:tcPr>
          <w:p w14:paraId="3EAE686A" w14:textId="77777777" w:rsidR="000A7D9D" w:rsidRPr="00EF2DDF" w:rsidRDefault="000A7D9D" w:rsidP="00F31937">
            <w:pPr>
              <w:pStyle w:val="BodyText"/>
              <w:rPr>
                <w:bCs/>
                <w:noProof/>
              </w:rPr>
            </w:pPr>
            <w:r w:rsidRPr="00EF2DDF">
              <w:rPr>
                <w:bCs/>
                <w:noProof/>
              </w:rPr>
              <w:t>4</w:t>
            </w:r>
          </w:p>
        </w:tc>
        <w:tc>
          <w:tcPr>
            <w:tcW w:w="1418" w:type="dxa"/>
          </w:tcPr>
          <w:p w14:paraId="43E87E6D" w14:textId="77777777" w:rsidR="000A7D9D" w:rsidRPr="00EF2DDF" w:rsidRDefault="000A7D9D" w:rsidP="00F31937">
            <w:pPr>
              <w:pStyle w:val="BodyText"/>
              <w:rPr>
                <w:bCs/>
                <w:noProof/>
              </w:rPr>
            </w:pPr>
            <w:r w:rsidRPr="00EF2DDF">
              <w:rPr>
                <w:bCs/>
                <w:noProof/>
              </w:rPr>
              <w:t>ECHA</w:t>
            </w:r>
          </w:p>
        </w:tc>
        <w:tc>
          <w:tcPr>
            <w:tcW w:w="1276" w:type="dxa"/>
          </w:tcPr>
          <w:p w14:paraId="49470638" w14:textId="77777777" w:rsidR="000A7D9D" w:rsidRPr="00EF2DDF" w:rsidRDefault="000A7D9D" w:rsidP="00F31937">
            <w:pPr>
              <w:pStyle w:val="BodyText"/>
              <w:rPr>
                <w:bCs/>
                <w:noProof/>
              </w:rPr>
            </w:pPr>
          </w:p>
        </w:tc>
      </w:tr>
      <w:tr w:rsidR="000A7D9D" w:rsidRPr="00EF2DDF" w14:paraId="75EAE09D" w14:textId="77777777" w:rsidTr="00F31937">
        <w:tc>
          <w:tcPr>
            <w:tcW w:w="1696" w:type="dxa"/>
          </w:tcPr>
          <w:p w14:paraId="0DEB9953" w14:textId="77777777" w:rsidR="000A7D9D" w:rsidRPr="00EF2DDF" w:rsidRDefault="000A7D9D" w:rsidP="00F31937">
            <w:pPr>
              <w:pStyle w:val="BodyText"/>
              <w:rPr>
                <w:bCs/>
                <w:noProof/>
              </w:rPr>
            </w:pPr>
            <w:r w:rsidRPr="00EF2DDF">
              <w:rPr>
                <w:bCs/>
                <w:noProof/>
              </w:rPr>
              <w:t>EQSD Annex II</w:t>
            </w:r>
          </w:p>
        </w:tc>
        <w:tc>
          <w:tcPr>
            <w:tcW w:w="1076" w:type="dxa"/>
          </w:tcPr>
          <w:p w14:paraId="2265B436" w14:textId="77777777" w:rsidR="000A7D9D" w:rsidRPr="00EF2DDF" w:rsidRDefault="000A7D9D" w:rsidP="00F31937">
            <w:pPr>
              <w:pStyle w:val="BodyText"/>
              <w:rPr>
                <w:bCs/>
                <w:noProof/>
              </w:rPr>
            </w:pPr>
            <w:r w:rsidRPr="00EF2DDF">
              <w:rPr>
                <w:bCs/>
                <w:noProof/>
              </w:rPr>
              <w:t>1</w:t>
            </w:r>
          </w:p>
        </w:tc>
        <w:tc>
          <w:tcPr>
            <w:tcW w:w="1338" w:type="dxa"/>
          </w:tcPr>
          <w:p w14:paraId="32BF31CB" w14:textId="77777777" w:rsidR="000A7D9D" w:rsidRPr="00EF2DDF" w:rsidRDefault="000A7D9D" w:rsidP="00F31937">
            <w:pPr>
              <w:pStyle w:val="BodyText"/>
              <w:rPr>
                <w:bCs/>
                <w:noProof/>
              </w:rPr>
            </w:pPr>
            <w:r w:rsidRPr="00EF2DDF">
              <w:rPr>
                <w:bCs/>
                <w:noProof/>
              </w:rPr>
              <w:t>ECHA</w:t>
            </w:r>
          </w:p>
        </w:tc>
        <w:tc>
          <w:tcPr>
            <w:tcW w:w="1134" w:type="dxa"/>
          </w:tcPr>
          <w:p w14:paraId="6BE5F8BC" w14:textId="77777777" w:rsidR="000A7D9D" w:rsidRPr="00EF2DDF" w:rsidRDefault="000A7D9D" w:rsidP="00F31937">
            <w:pPr>
              <w:pStyle w:val="BodyText"/>
              <w:rPr>
                <w:bCs/>
                <w:noProof/>
              </w:rPr>
            </w:pPr>
          </w:p>
        </w:tc>
        <w:tc>
          <w:tcPr>
            <w:tcW w:w="1134" w:type="dxa"/>
          </w:tcPr>
          <w:p w14:paraId="708422C7" w14:textId="77777777" w:rsidR="000A7D9D" w:rsidRPr="00EF2DDF" w:rsidRDefault="000A7D9D" w:rsidP="00F31937">
            <w:pPr>
              <w:pStyle w:val="BodyText"/>
              <w:rPr>
                <w:bCs/>
                <w:noProof/>
              </w:rPr>
            </w:pPr>
            <w:r w:rsidRPr="00EF2DDF">
              <w:rPr>
                <w:bCs/>
                <w:noProof/>
              </w:rPr>
              <w:t>1</w:t>
            </w:r>
          </w:p>
        </w:tc>
        <w:tc>
          <w:tcPr>
            <w:tcW w:w="1418" w:type="dxa"/>
          </w:tcPr>
          <w:p w14:paraId="18372E72" w14:textId="77777777" w:rsidR="000A7D9D" w:rsidRPr="00EF2DDF" w:rsidRDefault="000A7D9D" w:rsidP="00F31937">
            <w:pPr>
              <w:pStyle w:val="BodyText"/>
              <w:rPr>
                <w:bCs/>
                <w:noProof/>
              </w:rPr>
            </w:pPr>
            <w:r w:rsidRPr="00EF2DDF">
              <w:rPr>
                <w:bCs/>
                <w:noProof/>
              </w:rPr>
              <w:t>ECHA</w:t>
            </w:r>
          </w:p>
        </w:tc>
        <w:tc>
          <w:tcPr>
            <w:tcW w:w="1276" w:type="dxa"/>
          </w:tcPr>
          <w:p w14:paraId="17FD9286" w14:textId="77777777" w:rsidR="000A7D9D" w:rsidRPr="00EF2DDF" w:rsidRDefault="000A7D9D" w:rsidP="00F31937">
            <w:pPr>
              <w:pStyle w:val="BodyText"/>
              <w:rPr>
                <w:bCs/>
                <w:noProof/>
              </w:rPr>
            </w:pPr>
          </w:p>
        </w:tc>
      </w:tr>
    </w:tbl>
    <w:p w14:paraId="4EB7E13E" w14:textId="77777777" w:rsidR="000A7D9D" w:rsidRPr="00EF2DDF" w:rsidRDefault="000A7D9D" w:rsidP="000A7D9D">
      <w:pPr>
        <w:pStyle w:val="BodyText"/>
        <w:widowControl w:val="0"/>
        <w:numPr>
          <w:ilvl w:val="0"/>
          <w:numId w:val="88"/>
        </w:numPr>
        <w:spacing w:before="120"/>
        <w:ind w:left="714" w:hanging="357"/>
        <w:rPr>
          <w:iCs/>
          <w:noProof/>
        </w:rPr>
      </w:pPr>
      <w:r w:rsidRPr="00EF2DDF">
        <w:rPr>
          <w:iCs/>
          <w:noProof/>
        </w:rPr>
        <w:t xml:space="preserve">ECHA data model and IT infrastructure: </w:t>
      </w:r>
      <w:r w:rsidRPr="00EF2DDF">
        <w:rPr>
          <w:b/>
          <w:bCs/>
          <w:iCs/>
          <w:noProof/>
        </w:rPr>
        <w:t>low impact</w:t>
      </w:r>
      <w:r w:rsidRPr="00EF2DDF">
        <w:rPr>
          <w:iCs/>
          <w:noProof/>
        </w:rPr>
        <w:t>. The task can be implemented with adjustments / configuration of existing data structures and IT systems</w:t>
      </w:r>
    </w:p>
    <w:p w14:paraId="7F48EB40" w14:textId="77777777" w:rsidR="000A7D9D" w:rsidRPr="00EF2DDF" w:rsidRDefault="000A7D9D" w:rsidP="000A7D9D">
      <w:pPr>
        <w:pStyle w:val="BodyText"/>
        <w:widowControl w:val="0"/>
        <w:numPr>
          <w:ilvl w:val="0"/>
          <w:numId w:val="88"/>
        </w:numPr>
        <w:spacing w:after="240"/>
        <w:rPr>
          <w:b/>
          <w:bCs/>
          <w:noProof/>
        </w:rPr>
      </w:pPr>
      <w:r w:rsidRPr="00EF2DDF">
        <w:rPr>
          <w:iCs/>
          <w:noProof/>
        </w:rPr>
        <w:t xml:space="preserve">ECHA key experts: </w:t>
      </w:r>
      <w:r w:rsidRPr="00EF2DDF">
        <w:rPr>
          <w:b/>
          <w:bCs/>
          <w:iCs/>
          <w:noProof/>
        </w:rPr>
        <w:t>high impact</w:t>
      </w:r>
      <w:r w:rsidRPr="00EF2DDF">
        <w:rPr>
          <w:iCs/>
          <w:noProof/>
        </w:rPr>
        <w:t xml:space="preserve">. The task relies on existing expert competencies, </w:t>
      </w:r>
      <w:bookmarkStart w:id="52" w:name="_Hlk102512630"/>
      <w:r w:rsidRPr="00EF2DDF">
        <w:rPr>
          <w:iCs/>
          <w:noProof/>
        </w:rPr>
        <w:t xml:space="preserve">which are limited within ECHA and </w:t>
      </w:r>
      <w:bookmarkEnd w:id="52"/>
      <w:r w:rsidRPr="00EF2DDF">
        <w:rPr>
          <w:iCs/>
          <w:noProof/>
        </w:rPr>
        <w:t>also critical to REACH/CLP/BPR regulatory tasks</w:t>
      </w:r>
    </w:p>
    <w:p w14:paraId="2B75ED63" w14:textId="77777777" w:rsidR="000A7D9D" w:rsidRPr="00EF2DDF" w:rsidRDefault="000A7D9D" w:rsidP="000A7D9D">
      <w:pPr>
        <w:pStyle w:val="BodyText"/>
        <w:rPr>
          <w:noProof/>
        </w:rPr>
      </w:pPr>
      <w:r w:rsidRPr="00EF2DDF">
        <w:rPr>
          <w:b/>
          <w:bCs/>
          <w:noProof/>
        </w:rPr>
        <w:br/>
        <w:t>Projected workload and resource implications</w:t>
      </w:r>
      <w:r w:rsidRPr="00EF2DDF">
        <w:rPr>
          <w:noProof/>
        </w:rPr>
        <w:t xml:space="preserve"> </w:t>
      </w:r>
    </w:p>
    <w:tbl>
      <w:tblPr>
        <w:tblStyle w:val="TableGrid"/>
        <w:tblW w:w="0" w:type="auto"/>
        <w:tblLook w:val="04A0" w:firstRow="1" w:lastRow="0" w:firstColumn="1" w:lastColumn="0" w:noHBand="0" w:noVBand="1"/>
      </w:tblPr>
      <w:tblGrid>
        <w:gridCol w:w="4814"/>
        <w:gridCol w:w="4815"/>
      </w:tblGrid>
      <w:tr w:rsidR="000A7D9D" w:rsidRPr="00EF2DDF" w14:paraId="371C971D" w14:textId="77777777" w:rsidTr="00F31937">
        <w:tc>
          <w:tcPr>
            <w:tcW w:w="4814" w:type="dxa"/>
            <w:shd w:val="clear" w:color="auto" w:fill="FFFFFF" w:themeFill="background1"/>
          </w:tcPr>
          <w:p w14:paraId="6620C19C" w14:textId="77777777" w:rsidR="000A7D9D" w:rsidRPr="00EF2DDF" w:rsidRDefault="000A7D9D" w:rsidP="00F31937">
            <w:pPr>
              <w:pStyle w:val="BodyText"/>
              <w:rPr>
                <w:noProof/>
              </w:rPr>
            </w:pPr>
            <w:bookmarkStart w:id="53" w:name="_Hlk107333835"/>
            <w:r w:rsidRPr="00EF2DDF">
              <w:rPr>
                <w:noProof/>
              </w:rPr>
              <w:t>Financial resource needs</w:t>
            </w:r>
          </w:p>
        </w:tc>
        <w:tc>
          <w:tcPr>
            <w:tcW w:w="4815" w:type="dxa"/>
            <w:shd w:val="clear" w:color="auto" w:fill="FFFFFF" w:themeFill="background1"/>
          </w:tcPr>
          <w:p w14:paraId="11B064ED" w14:textId="77777777" w:rsidR="000A7D9D" w:rsidRPr="00EF2DDF" w:rsidRDefault="000A7D9D" w:rsidP="00F31937">
            <w:pPr>
              <w:pStyle w:val="BodyText"/>
              <w:rPr>
                <w:noProof/>
              </w:rPr>
            </w:pPr>
          </w:p>
        </w:tc>
      </w:tr>
      <w:tr w:rsidR="000A7D9D" w:rsidRPr="00EF2DDF" w14:paraId="20D80CB3" w14:textId="77777777" w:rsidTr="00F31937">
        <w:tc>
          <w:tcPr>
            <w:tcW w:w="4814" w:type="dxa"/>
            <w:shd w:val="clear" w:color="auto" w:fill="FFFFFF" w:themeFill="background1"/>
          </w:tcPr>
          <w:p w14:paraId="5EDE0428" w14:textId="77777777" w:rsidR="000A7D9D" w:rsidRPr="00EF2DDF" w:rsidRDefault="000A7D9D" w:rsidP="00F31937">
            <w:pPr>
              <w:pStyle w:val="BodyText"/>
              <w:rPr>
                <w:noProof/>
              </w:rPr>
            </w:pPr>
            <w:r w:rsidRPr="00EF2DDF">
              <w:rPr>
                <w:noProof/>
              </w:rPr>
              <w:t>Human resource needs</w:t>
            </w:r>
          </w:p>
        </w:tc>
        <w:tc>
          <w:tcPr>
            <w:tcW w:w="4815" w:type="dxa"/>
            <w:shd w:val="clear" w:color="auto" w:fill="FFFFFF" w:themeFill="background1"/>
          </w:tcPr>
          <w:p w14:paraId="06525D75" w14:textId="77777777" w:rsidR="000A7D9D" w:rsidRPr="00EF2DDF" w:rsidRDefault="000A7D9D" w:rsidP="00F31937">
            <w:pPr>
              <w:pStyle w:val="BodyText"/>
              <w:rPr>
                <w:noProof/>
              </w:rPr>
            </w:pPr>
            <w:r w:rsidRPr="00EF2DDF">
              <w:rPr>
                <w:noProof/>
              </w:rPr>
              <w:t>Approximately: 11 FTEs</w:t>
            </w:r>
          </w:p>
        </w:tc>
      </w:tr>
      <w:tr w:rsidR="000A7D9D" w:rsidRPr="00EF2DDF" w14:paraId="70DEB163" w14:textId="77777777" w:rsidTr="00F31937">
        <w:tc>
          <w:tcPr>
            <w:tcW w:w="4814" w:type="dxa"/>
            <w:shd w:val="clear" w:color="auto" w:fill="FFFFFF" w:themeFill="background1"/>
          </w:tcPr>
          <w:p w14:paraId="1B6BF58A" w14:textId="77777777" w:rsidR="000A7D9D" w:rsidRPr="00EF2DDF" w:rsidRDefault="000A7D9D" w:rsidP="00F31937">
            <w:pPr>
              <w:pStyle w:val="BodyText"/>
              <w:rPr>
                <w:noProof/>
              </w:rPr>
            </w:pPr>
            <w:r w:rsidRPr="00EF2DDF">
              <w:rPr>
                <w:noProof/>
              </w:rPr>
              <w:t>Candidate for funding from fees?</w:t>
            </w:r>
          </w:p>
        </w:tc>
        <w:tc>
          <w:tcPr>
            <w:tcW w:w="4815" w:type="dxa"/>
            <w:shd w:val="clear" w:color="auto" w:fill="FFFFFF" w:themeFill="background1"/>
          </w:tcPr>
          <w:p w14:paraId="17B75FB0" w14:textId="77777777" w:rsidR="000A7D9D" w:rsidRPr="00EF2DDF" w:rsidRDefault="000A7D9D" w:rsidP="00F31937">
            <w:pPr>
              <w:pStyle w:val="BodyText"/>
              <w:rPr>
                <w:noProof/>
              </w:rPr>
            </w:pPr>
            <w:r w:rsidRPr="00EF2DDF">
              <w:rPr>
                <w:noProof/>
              </w:rPr>
              <w:t>No</w:t>
            </w:r>
          </w:p>
        </w:tc>
      </w:tr>
    </w:tbl>
    <w:bookmarkEnd w:id="53"/>
    <w:p w14:paraId="2A4803A0" w14:textId="77777777" w:rsidR="000A7D9D" w:rsidRPr="00EF2DDF" w:rsidRDefault="000A7D9D" w:rsidP="000A7D9D">
      <w:pPr>
        <w:spacing w:after="240"/>
        <w:rPr>
          <w:rFonts w:ascii="Times New Roman" w:hAnsi="Times New Roman" w:cs="Times New Roman"/>
          <w:noProof/>
          <w:sz w:val="24"/>
          <w:szCs w:val="24"/>
          <w:u w:val="single"/>
        </w:rPr>
      </w:pPr>
      <w:r w:rsidRPr="00EF2DDF">
        <w:rPr>
          <w:rFonts w:ascii="Times New Roman" w:hAnsi="Times New Roman" w:cs="Times New Roman"/>
          <w:noProof/>
          <w:sz w:val="24"/>
          <w:szCs w:val="24"/>
          <w:u w:val="single"/>
        </w:rPr>
        <w:br/>
        <w:t>Current workload volume and resources spent in Commission</w:t>
      </w:r>
    </w:p>
    <w:p w14:paraId="27BFD0E4" w14:textId="77777777" w:rsidR="000A7D9D" w:rsidRPr="00EF2DDF" w:rsidRDefault="000A7D9D" w:rsidP="000A7D9D">
      <w:pPr>
        <w:snapToGrid w:val="0"/>
        <w:spacing w:after="120"/>
        <w:contextualSpacing/>
        <w:jc w:val="both"/>
        <w:rPr>
          <w:rFonts w:ascii="Times New Roman" w:hAnsi="Times New Roman" w:cs="Times New Roman"/>
          <w:noProof/>
          <w:sz w:val="24"/>
          <w:szCs w:val="24"/>
          <w:lang w:val="en-US"/>
        </w:rPr>
      </w:pPr>
      <w:r w:rsidRPr="00EF2DDF">
        <w:rPr>
          <w:rFonts w:ascii="Times New Roman" w:hAnsi="Times New Roman" w:cs="Times New Roman"/>
          <w:noProof/>
          <w:sz w:val="24"/>
          <w:szCs w:val="24"/>
          <w:lang w:val="en-US"/>
        </w:rPr>
        <w:t>In summary the current resources spent are:</w:t>
      </w:r>
    </w:p>
    <w:p w14:paraId="04BD8469" w14:textId="77777777" w:rsidR="000A7D9D" w:rsidRPr="00EF2DDF" w:rsidRDefault="000A7D9D" w:rsidP="000A7D9D">
      <w:pPr>
        <w:snapToGrid w:val="0"/>
        <w:spacing w:after="120"/>
        <w:contextualSpacing/>
        <w:jc w:val="both"/>
        <w:rPr>
          <w:rFonts w:ascii="Times New Roman" w:hAnsi="Times New Roman" w:cs="Times New Roman"/>
          <w:noProof/>
          <w:sz w:val="24"/>
          <w:szCs w:val="24"/>
          <w:lang w:val="en-US"/>
        </w:rPr>
      </w:pPr>
    </w:p>
    <w:tbl>
      <w:tblPr>
        <w:tblStyle w:val="TableGrid4"/>
        <w:tblW w:w="0" w:type="auto"/>
        <w:tblLook w:val="04A0" w:firstRow="1" w:lastRow="0" w:firstColumn="1" w:lastColumn="0" w:noHBand="0" w:noVBand="1"/>
      </w:tblPr>
      <w:tblGrid>
        <w:gridCol w:w="4816"/>
        <w:gridCol w:w="4813"/>
      </w:tblGrid>
      <w:tr w:rsidR="000A7D9D" w:rsidRPr="00EF2DDF" w14:paraId="1A74EC3C" w14:textId="77777777" w:rsidTr="00F31937">
        <w:tc>
          <w:tcPr>
            <w:tcW w:w="4816" w:type="dxa"/>
          </w:tcPr>
          <w:p w14:paraId="758D71DB" w14:textId="77777777" w:rsidR="000A7D9D" w:rsidRPr="00EF2DDF" w:rsidRDefault="000A7D9D" w:rsidP="00F31937">
            <w:pPr>
              <w:rPr>
                <w:rFonts w:ascii="Times New Roman" w:hAnsi="Times New Roman"/>
                <w:i/>
                <w:iCs/>
                <w:noProof/>
                <w:color w:val="000000"/>
                <w:sz w:val="24"/>
                <w:szCs w:val="24"/>
              </w:rPr>
            </w:pPr>
            <w:r w:rsidRPr="00EF2DDF">
              <w:rPr>
                <w:rFonts w:ascii="Times New Roman" w:hAnsi="Times New Roman"/>
                <w:bCs/>
                <w:i/>
                <w:iCs/>
                <w:noProof/>
                <w:color w:val="000000"/>
                <w:sz w:val="24"/>
                <w:szCs w:val="24"/>
              </w:rPr>
              <w:t>Current budget line</w:t>
            </w:r>
          </w:p>
          <w:p w14:paraId="4E55C3DC" w14:textId="77777777" w:rsidR="000A7D9D" w:rsidRPr="00EF2DDF" w:rsidRDefault="000A7D9D" w:rsidP="00F31937">
            <w:pPr>
              <w:widowControl/>
              <w:snapToGrid w:val="0"/>
              <w:spacing w:after="120" w:line="259" w:lineRule="auto"/>
              <w:contextualSpacing/>
              <w:jc w:val="both"/>
              <w:rPr>
                <w:rFonts w:ascii="Times New Roman" w:hAnsi="Times New Roman"/>
                <w:i/>
                <w:iCs/>
                <w:noProof/>
                <w:sz w:val="24"/>
                <w:szCs w:val="24"/>
                <w:lang w:val="en-US"/>
              </w:rPr>
            </w:pPr>
          </w:p>
        </w:tc>
        <w:tc>
          <w:tcPr>
            <w:tcW w:w="4813" w:type="dxa"/>
          </w:tcPr>
          <w:p w14:paraId="4B47BEF0" w14:textId="77777777" w:rsidR="000A7D9D" w:rsidRPr="00EF2DDF" w:rsidRDefault="000A7D9D" w:rsidP="00F31937">
            <w:pPr>
              <w:widowControl/>
              <w:snapToGrid w:val="0"/>
              <w:spacing w:after="120" w:line="259" w:lineRule="auto"/>
              <w:contextualSpacing/>
              <w:jc w:val="both"/>
              <w:rPr>
                <w:rFonts w:ascii="Times New Roman" w:hAnsi="Times New Roman"/>
                <w:i/>
                <w:iCs/>
                <w:noProof/>
                <w:sz w:val="24"/>
                <w:szCs w:val="24"/>
                <w:lang w:val="en-US"/>
              </w:rPr>
            </w:pPr>
            <w:r w:rsidRPr="00EF2DDF">
              <w:rPr>
                <w:rFonts w:ascii="Times New Roman" w:hAnsi="Times New Roman"/>
                <w:bCs/>
                <w:i/>
                <w:iCs/>
                <w:noProof/>
                <w:color w:val="000000"/>
                <w:sz w:val="24"/>
                <w:szCs w:val="24"/>
              </w:rPr>
              <w:t>Budget line of DG ENV (+JRC) + budget line of DG SANTE</w:t>
            </w:r>
          </w:p>
        </w:tc>
      </w:tr>
      <w:tr w:rsidR="000A7D9D" w:rsidRPr="00EF2DDF" w14:paraId="5694901E" w14:textId="77777777" w:rsidTr="00F31937">
        <w:tc>
          <w:tcPr>
            <w:tcW w:w="4816" w:type="dxa"/>
          </w:tcPr>
          <w:p w14:paraId="1297749E" w14:textId="77777777" w:rsidR="000A7D9D" w:rsidRPr="00EF2DDF" w:rsidRDefault="000A7D9D" w:rsidP="00F31937">
            <w:pPr>
              <w:widowControl/>
              <w:snapToGrid w:val="0"/>
              <w:spacing w:after="120" w:line="259" w:lineRule="auto"/>
              <w:contextualSpacing/>
              <w:jc w:val="both"/>
              <w:rPr>
                <w:rFonts w:ascii="Times New Roman" w:hAnsi="Times New Roman"/>
                <w:noProof/>
                <w:sz w:val="24"/>
                <w:szCs w:val="24"/>
                <w:lang w:val="en-US"/>
              </w:rPr>
            </w:pPr>
            <w:r w:rsidRPr="00EF2DDF">
              <w:rPr>
                <w:rFonts w:ascii="Times New Roman" w:hAnsi="Times New Roman"/>
                <w:noProof/>
                <w:sz w:val="24"/>
                <w:szCs w:val="24"/>
                <w:lang w:val="en-US"/>
              </w:rPr>
              <w:t>JRC + JRC consultants for EQS surface water and Watch List surface water</w:t>
            </w:r>
          </w:p>
        </w:tc>
        <w:tc>
          <w:tcPr>
            <w:tcW w:w="4813" w:type="dxa"/>
          </w:tcPr>
          <w:p w14:paraId="57619B6D" w14:textId="77777777" w:rsidR="000A7D9D" w:rsidRPr="00EF2DDF" w:rsidRDefault="000A7D9D" w:rsidP="00F31937">
            <w:pPr>
              <w:widowControl/>
              <w:snapToGrid w:val="0"/>
              <w:spacing w:after="120" w:line="259" w:lineRule="auto"/>
              <w:contextualSpacing/>
              <w:jc w:val="both"/>
              <w:rPr>
                <w:rFonts w:ascii="Times New Roman" w:hAnsi="Times New Roman"/>
                <w:noProof/>
                <w:sz w:val="24"/>
                <w:szCs w:val="24"/>
                <w:lang w:val="en-US"/>
              </w:rPr>
            </w:pPr>
            <w:r w:rsidRPr="00EF2DDF">
              <w:rPr>
                <w:rFonts w:ascii="Times New Roman" w:hAnsi="Times New Roman"/>
                <w:noProof/>
                <w:color w:val="000000"/>
                <w:sz w:val="24"/>
                <w:szCs w:val="24"/>
                <w:lang w:val="en-US" w:eastAsia="en-US"/>
              </w:rPr>
              <w:t>Ca. 4</w:t>
            </w:r>
            <w:r>
              <w:rPr>
                <w:rFonts w:ascii="Times New Roman" w:hAnsi="Times New Roman"/>
                <w:noProof/>
                <w:color w:val="000000"/>
                <w:sz w:val="24"/>
                <w:szCs w:val="24"/>
                <w:lang w:val="en-US" w:eastAsia="en-US"/>
              </w:rPr>
              <w:t>.</w:t>
            </w:r>
            <w:r w:rsidRPr="00EF2DDF">
              <w:rPr>
                <w:rFonts w:ascii="Times New Roman" w:hAnsi="Times New Roman"/>
                <w:noProof/>
                <w:color w:val="000000"/>
                <w:sz w:val="24"/>
                <w:szCs w:val="24"/>
                <w:lang w:val="en-US" w:eastAsia="en-US"/>
              </w:rPr>
              <w:t>5 FTE (1 FTE regular JRC staff + 3</w:t>
            </w:r>
            <w:r>
              <w:rPr>
                <w:rFonts w:ascii="Times New Roman" w:hAnsi="Times New Roman"/>
                <w:noProof/>
                <w:color w:val="000000"/>
                <w:sz w:val="24"/>
                <w:szCs w:val="24"/>
                <w:lang w:val="en-US" w:eastAsia="en-US"/>
              </w:rPr>
              <w:t>.</w:t>
            </w:r>
            <w:r w:rsidRPr="00EF2DDF">
              <w:rPr>
                <w:rFonts w:ascii="Times New Roman" w:hAnsi="Times New Roman"/>
                <w:noProof/>
                <w:color w:val="000000"/>
                <w:sz w:val="24"/>
                <w:szCs w:val="24"/>
                <w:lang w:val="en-US" w:eastAsia="en-US"/>
              </w:rPr>
              <w:t xml:space="preserve">5 FTE contracted by </w:t>
            </w:r>
            <w:r>
              <w:rPr>
                <w:rFonts w:ascii="Times New Roman" w:hAnsi="Times New Roman"/>
                <w:noProof/>
                <w:color w:val="000000"/>
                <w:sz w:val="24"/>
                <w:szCs w:val="24"/>
                <w:lang w:val="en-US" w:eastAsia="en-US"/>
              </w:rPr>
              <w:t xml:space="preserve">EUR </w:t>
            </w:r>
            <w:r w:rsidRPr="00EF2DDF">
              <w:rPr>
                <w:rFonts w:ascii="Times New Roman" w:eastAsia="Calibri" w:hAnsi="Times New Roman"/>
                <w:noProof/>
                <w:sz w:val="24"/>
                <w:szCs w:val="24"/>
              </w:rPr>
              <w:t>232</w:t>
            </w:r>
            <w:r>
              <w:rPr>
                <w:rFonts w:ascii="Times New Roman" w:eastAsia="Calibri" w:hAnsi="Times New Roman"/>
                <w:noProof/>
                <w:sz w:val="24"/>
                <w:szCs w:val="24"/>
              </w:rPr>
              <w:t xml:space="preserve"> </w:t>
            </w:r>
            <w:r w:rsidRPr="00EF2DDF">
              <w:rPr>
                <w:rFonts w:ascii="Times New Roman" w:eastAsia="Calibri" w:hAnsi="Times New Roman"/>
                <w:noProof/>
                <w:sz w:val="24"/>
                <w:szCs w:val="24"/>
              </w:rPr>
              <w:t>030 per year)</w:t>
            </w:r>
          </w:p>
        </w:tc>
      </w:tr>
      <w:tr w:rsidR="000A7D9D" w:rsidRPr="00EF2DDF" w14:paraId="0A8523A5" w14:textId="77777777" w:rsidTr="00F31937">
        <w:tc>
          <w:tcPr>
            <w:tcW w:w="4816" w:type="dxa"/>
          </w:tcPr>
          <w:p w14:paraId="1C69C1D7" w14:textId="77777777" w:rsidR="000A7D9D" w:rsidRPr="00EF2DDF" w:rsidRDefault="000A7D9D" w:rsidP="00F31937">
            <w:pPr>
              <w:widowControl/>
              <w:snapToGrid w:val="0"/>
              <w:spacing w:after="120" w:line="259" w:lineRule="auto"/>
              <w:contextualSpacing/>
              <w:jc w:val="both"/>
              <w:rPr>
                <w:rFonts w:ascii="Times New Roman" w:hAnsi="Times New Roman"/>
                <w:noProof/>
                <w:sz w:val="24"/>
                <w:szCs w:val="24"/>
                <w:lang w:val="en-US"/>
              </w:rPr>
            </w:pPr>
            <w:r w:rsidRPr="00EF2DDF">
              <w:rPr>
                <w:rFonts w:ascii="Times New Roman" w:hAnsi="Times New Roman"/>
                <w:noProof/>
                <w:sz w:val="24"/>
                <w:szCs w:val="24"/>
                <w:lang w:val="en-US"/>
              </w:rPr>
              <w:t>DG ENV consultants for impact assessment for EQS surface water</w:t>
            </w:r>
          </w:p>
        </w:tc>
        <w:tc>
          <w:tcPr>
            <w:tcW w:w="4813" w:type="dxa"/>
          </w:tcPr>
          <w:p w14:paraId="203E2103" w14:textId="77777777" w:rsidR="000A7D9D" w:rsidRPr="00EF2DDF" w:rsidRDefault="000A7D9D" w:rsidP="00F31937">
            <w:pPr>
              <w:widowControl/>
              <w:snapToGrid w:val="0"/>
              <w:spacing w:after="120" w:line="259" w:lineRule="auto"/>
              <w:contextualSpacing/>
              <w:jc w:val="both"/>
              <w:rPr>
                <w:rFonts w:ascii="Times New Roman" w:hAnsi="Times New Roman"/>
                <w:noProof/>
                <w:sz w:val="24"/>
                <w:szCs w:val="24"/>
                <w:lang w:val="en-US"/>
              </w:rPr>
            </w:pPr>
            <w:r w:rsidRPr="00EF2DDF">
              <w:rPr>
                <w:rFonts w:ascii="Times New Roman" w:hAnsi="Times New Roman"/>
                <w:noProof/>
                <w:sz w:val="24"/>
                <w:szCs w:val="24"/>
                <w:lang w:val="en-US"/>
              </w:rPr>
              <w:t>Ca. 0</w:t>
            </w:r>
            <w:r>
              <w:rPr>
                <w:rFonts w:ascii="Times New Roman" w:hAnsi="Times New Roman"/>
                <w:noProof/>
                <w:sz w:val="24"/>
                <w:szCs w:val="24"/>
                <w:lang w:val="en-US"/>
              </w:rPr>
              <w:t>.</w:t>
            </w:r>
            <w:r w:rsidRPr="00EF2DDF">
              <w:rPr>
                <w:rFonts w:ascii="Times New Roman" w:hAnsi="Times New Roman"/>
                <w:noProof/>
                <w:sz w:val="24"/>
                <w:szCs w:val="24"/>
                <w:lang w:val="en-US"/>
              </w:rPr>
              <w:t xml:space="preserve">25 FTE (contracted by </w:t>
            </w:r>
            <w:r>
              <w:rPr>
                <w:rFonts w:ascii="Times New Roman" w:hAnsi="Times New Roman"/>
                <w:noProof/>
                <w:sz w:val="24"/>
                <w:szCs w:val="24"/>
                <w:lang w:val="en-US"/>
              </w:rPr>
              <w:t xml:space="preserve">EUR </w:t>
            </w:r>
            <w:r w:rsidRPr="00EF2DDF">
              <w:rPr>
                <w:rFonts w:ascii="Times New Roman" w:hAnsi="Times New Roman"/>
                <w:noProof/>
                <w:sz w:val="24"/>
                <w:szCs w:val="24"/>
                <w:lang w:val="en-US"/>
              </w:rPr>
              <w:t>16</w:t>
            </w:r>
            <w:r>
              <w:rPr>
                <w:rFonts w:ascii="Times New Roman" w:hAnsi="Times New Roman"/>
                <w:noProof/>
                <w:sz w:val="24"/>
                <w:szCs w:val="24"/>
                <w:lang w:val="en-US"/>
              </w:rPr>
              <w:t xml:space="preserve"> </w:t>
            </w:r>
            <w:r w:rsidRPr="00EF2DDF">
              <w:rPr>
                <w:rFonts w:ascii="Times New Roman" w:hAnsi="Times New Roman"/>
                <w:noProof/>
                <w:sz w:val="24"/>
                <w:szCs w:val="24"/>
                <w:lang w:val="en-US"/>
              </w:rPr>
              <w:t>700 per year)</w:t>
            </w:r>
          </w:p>
        </w:tc>
      </w:tr>
      <w:tr w:rsidR="000A7D9D" w:rsidRPr="00EF2DDF" w14:paraId="2E5F85A3" w14:textId="77777777" w:rsidTr="00F31937">
        <w:tc>
          <w:tcPr>
            <w:tcW w:w="4816" w:type="dxa"/>
          </w:tcPr>
          <w:p w14:paraId="30B52338" w14:textId="77777777" w:rsidR="000A7D9D" w:rsidRPr="00EF2DDF" w:rsidRDefault="000A7D9D" w:rsidP="00F31937">
            <w:pPr>
              <w:widowControl/>
              <w:snapToGrid w:val="0"/>
              <w:spacing w:after="120" w:line="259" w:lineRule="auto"/>
              <w:contextualSpacing/>
              <w:jc w:val="both"/>
              <w:rPr>
                <w:rFonts w:ascii="Times New Roman" w:hAnsi="Times New Roman"/>
                <w:noProof/>
                <w:sz w:val="24"/>
                <w:szCs w:val="24"/>
                <w:lang w:val="en-US"/>
              </w:rPr>
            </w:pPr>
            <w:r w:rsidRPr="00EF2DDF">
              <w:rPr>
                <w:rFonts w:ascii="Times New Roman" w:hAnsi="Times New Roman"/>
                <w:noProof/>
                <w:sz w:val="24"/>
                <w:szCs w:val="24"/>
                <w:lang w:val="en-US"/>
              </w:rPr>
              <w:t xml:space="preserve">DG ENV consultants for voluntary watch list groundwater </w:t>
            </w:r>
          </w:p>
        </w:tc>
        <w:tc>
          <w:tcPr>
            <w:tcW w:w="4813" w:type="dxa"/>
          </w:tcPr>
          <w:p w14:paraId="3014F09D" w14:textId="77777777" w:rsidR="000A7D9D" w:rsidRPr="00EF2DDF" w:rsidRDefault="000A7D9D" w:rsidP="00F31937">
            <w:pPr>
              <w:widowControl/>
              <w:snapToGrid w:val="0"/>
              <w:spacing w:after="120" w:line="259" w:lineRule="auto"/>
              <w:contextualSpacing/>
              <w:jc w:val="both"/>
              <w:rPr>
                <w:rFonts w:ascii="Times New Roman" w:hAnsi="Times New Roman"/>
                <w:noProof/>
                <w:sz w:val="24"/>
                <w:szCs w:val="24"/>
                <w:lang w:val="en-US"/>
              </w:rPr>
            </w:pPr>
            <w:r w:rsidRPr="00EF2DDF">
              <w:rPr>
                <w:rFonts w:ascii="Times New Roman" w:hAnsi="Times New Roman"/>
                <w:noProof/>
                <w:sz w:val="24"/>
                <w:szCs w:val="24"/>
                <w:lang w:val="en-US"/>
              </w:rPr>
              <w:t>Ca. 0</w:t>
            </w:r>
            <w:r>
              <w:rPr>
                <w:rFonts w:ascii="Times New Roman" w:hAnsi="Times New Roman"/>
                <w:noProof/>
                <w:sz w:val="24"/>
                <w:szCs w:val="24"/>
                <w:lang w:val="en-US"/>
              </w:rPr>
              <w:t>.</w:t>
            </w:r>
            <w:r w:rsidRPr="00EF2DDF">
              <w:rPr>
                <w:rFonts w:ascii="Times New Roman" w:hAnsi="Times New Roman"/>
                <w:noProof/>
                <w:sz w:val="24"/>
                <w:szCs w:val="24"/>
                <w:lang w:val="en-US"/>
              </w:rPr>
              <w:t xml:space="preserve">16 FTE (contracted by </w:t>
            </w:r>
            <w:r>
              <w:rPr>
                <w:rFonts w:ascii="Times New Roman" w:hAnsi="Times New Roman"/>
                <w:noProof/>
                <w:sz w:val="24"/>
                <w:szCs w:val="24"/>
                <w:lang w:val="en-US"/>
              </w:rPr>
              <w:t xml:space="preserve">EUR </w:t>
            </w:r>
            <w:r w:rsidRPr="00EF2DDF">
              <w:rPr>
                <w:rFonts w:ascii="Times New Roman" w:hAnsi="Times New Roman"/>
                <w:noProof/>
                <w:sz w:val="24"/>
                <w:szCs w:val="24"/>
                <w:lang w:val="en-US"/>
              </w:rPr>
              <w:t>10</w:t>
            </w:r>
            <w:r>
              <w:rPr>
                <w:rFonts w:ascii="Times New Roman" w:hAnsi="Times New Roman"/>
                <w:noProof/>
                <w:sz w:val="24"/>
                <w:szCs w:val="24"/>
                <w:lang w:val="en-US"/>
              </w:rPr>
              <w:t xml:space="preserve"> </w:t>
            </w:r>
            <w:r w:rsidRPr="00EF2DDF">
              <w:rPr>
                <w:rFonts w:ascii="Times New Roman" w:hAnsi="Times New Roman"/>
                <w:noProof/>
                <w:sz w:val="24"/>
                <w:szCs w:val="24"/>
                <w:lang w:val="en-US"/>
              </w:rPr>
              <w:t xml:space="preserve">560 per year) </w:t>
            </w:r>
          </w:p>
        </w:tc>
      </w:tr>
      <w:tr w:rsidR="000A7D9D" w:rsidRPr="00EF2DDF" w14:paraId="1965843A" w14:textId="77777777" w:rsidTr="00F31937">
        <w:tc>
          <w:tcPr>
            <w:tcW w:w="4816" w:type="dxa"/>
          </w:tcPr>
          <w:p w14:paraId="21968673" w14:textId="77777777" w:rsidR="000A7D9D" w:rsidRPr="00EF2DDF" w:rsidRDefault="000A7D9D" w:rsidP="00F31937">
            <w:pPr>
              <w:widowControl/>
              <w:snapToGrid w:val="0"/>
              <w:spacing w:after="120" w:line="259" w:lineRule="auto"/>
              <w:contextualSpacing/>
              <w:jc w:val="both"/>
              <w:rPr>
                <w:rFonts w:ascii="Times New Roman" w:hAnsi="Times New Roman"/>
                <w:noProof/>
                <w:sz w:val="24"/>
                <w:szCs w:val="24"/>
                <w:lang w:val="en-US"/>
              </w:rPr>
            </w:pPr>
            <w:r w:rsidRPr="00EF2DDF">
              <w:rPr>
                <w:rFonts w:ascii="Times New Roman" w:hAnsi="Times New Roman"/>
                <w:noProof/>
                <w:sz w:val="24"/>
                <w:szCs w:val="24"/>
                <w:lang w:val="en-US"/>
              </w:rPr>
              <w:t>SCHEER Committee members + external experts</w:t>
            </w:r>
          </w:p>
        </w:tc>
        <w:tc>
          <w:tcPr>
            <w:tcW w:w="4813" w:type="dxa"/>
          </w:tcPr>
          <w:p w14:paraId="26B0A127" w14:textId="77777777" w:rsidR="000A7D9D" w:rsidRPr="00EF2DDF" w:rsidRDefault="000A7D9D" w:rsidP="00F31937">
            <w:pPr>
              <w:widowControl/>
              <w:snapToGrid w:val="0"/>
              <w:spacing w:after="120" w:line="259" w:lineRule="auto"/>
              <w:contextualSpacing/>
              <w:jc w:val="both"/>
              <w:rPr>
                <w:rFonts w:ascii="Times New Roman" w:hAnsi="Times New Roman"/>
                <w:noProof/>
                <w:sz w:val="24"/>
                <w:szCs w:val="24"/>
                <w:lang w:val="en-US"/>
              </w:rPr>
            </w:pPr>
            <w:r w:rsidRPr="00EF2DDF">
              <w:rPr>
                <w:rFonts w:ascii="Times New Roman" w:hAnsi="Times New Roman"/>
                <w:noProof/>
                <w:sz w:val="24"/>
                <w:szCs w:val="24"/>
                <w:lang w:val="en-US"/>
              </w:rPr>
              <w:t xml:space="preserve">Ca. 30% of work time </w:t>
            </w:r>
            <w:r w:rsidRPr="00EF2DDF">
              <w:rPr>
                <w:rFonts w:ascii="Times New Roman" w:hAnsi="Times New Roman"/>
                <w:noProof/>
                <w:color w:val="000000"/>
                <w:sz w:val="24"/>
                <w:szCs w:val="24"/>
                <w:lang w:val="en-US" w:eastAsia="en-US"/>
              </w:rPr>
              <w:t xml:space="preserve">(average over all the years) </w:t>
            </w:r>
            <w:r w:rsidRPr="00EF2DDF">
              <w:rPr>
                <w:rFonts w:ascii="Times New Roman" w:hAnsi="Times New Roman"/>
                <w:noProof/>
                <w:sz w:val="24"/>
                <w:szCs w:val="24"/>
                <w:lang w:val="en-US"/>
              </w:rPr>
              <w:t xml:space="preserve">of SCHEER membership </w:t>
            </w:r>
          </w:p>
          <w:p w14:paraId="6123118F" w14:textId="77777777" w:rsidR="000A7D9D" w:rsidRPr="00EF2DDF" w:rsidRDefault="000A7D9D" w:rsidP="000A7D9D">
            <w:pPr>
              <w:pStyle w:val="ListParagraph"/>
              <w:widowControl/>
              <w:numPr>
                <w:ilvl w:val="0"/>
                <w:numId w:val="88"/>
              </w:numPr>
              <w:snapToGrid w:val="0"/>
              <w:spacing w:after="120" w:line="259" w:lineRule="auto"/>
              <w:jc w:val="both"/>
              <w:rPr>
                <w:noProof/>
                <w:lang w:val="en-US"/>
              </w:rPr>
            </w:pPr>
            <w:r>
              <w:rPr>
                <w:noProof/>
                <w:lang w:val="en-US"/>
              </w:rPr>
              <w:t xml:space="preserve">EUR </w:t>
            </w:r>
            <w:r w:rsidRPr="00EF2DDF">
              <w:rPr>
                <w:noProof/>
                <w:lang w:val="en-US"/>
              </w:rPr>
              <w:t>79</w:t>
            </w:r>
            <w:r>
              <w:rPr>
                <w:noProof/>
                <w:lang w:val="en-US"/>
              </w:rPr>
              <w:t xml:space="preserve"> </w:t>
            </w:r>
            <w:r w:rsidRPr="00EF2DDF">
              <w:rPr>
                <w:noProof/>
                <w:lang w:val="en-US"/>
              </w:rPr>
              <w:t xml:space="preserve">200 for reimbursement (30% of </w:t>
            </w:r>
            <w:r>
              <w:rPr>
                <w:noProof/>
                <w:lang w:val="en-US"/>
              </w:rPr>
              <w:t xml:space="preserve">EUR </w:t>
            </w:r>
            <w:r w:rsidRPr="00EF2DDF">
              <w:rPr>
                <w:noProof/>
                <w:lang w:val="en-US"/>
              </w:rPr>
              <w:t>240</w:t>
            </w:r>
            <w:r>
              <w:rPr>
                <w:noProof/>
                <w:lang w:val="en-US"/>
              </w:rPr>
              <w:t xml:space="preserve"> </w:t>
            </w:r>
            <w:r w:rsidRPr="00EF2DDF">
              <w:rPr>
                <w:noProof/>
                <w:lang w:val="en-US"/>
              </w:rPr>
              <w:t xml:space="preserve">000) or up to </w:t>
            </w:r>
            <w:r>
              <w:rPr>
                <w:noProof/>
                <w:lang w:val="en-US"/>
              </w:rPr>
              <w:t xml:space="preserve">EUR </w:t>
            </w:r>
            <w:r w:rsidRPr="00EF2DDF">
              <w:rPr>
                <w:noProof/>
                <w:lang w:val="en-US"/>
              </w:rPr>
              <w:t>93</w:t>
            </w:r>
            <w:r>
              <w:rPr>
                <w:noProof/>
                <w:lang w:val="en-US"/>
              </w:rPr>
              <w:t xml:space="preserve"> </w:t>
            </w:r>
            <w:r w:rsidRPr="00EF2DDF">
              <w:rPr>
                <w:noProof/>
                <w:lang w:val="en-US"/>
              </w:rPr>
              <w:t>134 for the year at the peak</w:t>
            </w:r>
          </w:p>
        </w:tc>
      </w:tr>
      <w:tr w:rsidR="000A7D9D" w:rsidRPr="00EF2DDF" w14:paraId="7A4CDD50" w14:textId="77777777" w:rsidTr="00F31937">
        <w:tc>
          <w:tcPr>
            <w:tcW w:w="4816" w:type="dxa"/>
          </w:tcPr>
          <w:p w14:paraId="668E6069" w14:textId="77777777" w:rsidR="000A7D9D" w:rsidRPr="00EF2DDF" w:rsidRDefault="000A7D9D" w:rsidP="00F31937">
            <w:pPr>
              <w:widowControl/>
              <w:snapToGrid w:val="0"/>
              <w:spacing w:after="120" w:line="259" w:lineRule="auto"/>
              <w:contextualSpacing/>
              <w:jc w:val="both"/>
              <w:rPr>
                <w:rFonts w:ascii="Times New Roman" w:hAnsi="Times New Roman"/>
                <w:noProof/>
                <w:sz w:val="24"/>
                <w:szCs w:val="24"/>
                <w:lang w:val="en-US"/>
              </w:rPr>
            </w:pPr>
            <w:r w:rsidRPr="00EF2DDF">
              <w:rPr>
                <w:rFonts w:ascii="Times New Roman" w:hAnsi="Times New Roman"/>
                <w:noProof/>
                <w:sz w:val="24"/>
                <w:szCs w:val="24"/>
                <w:lang w:val="en-US"/>
              </w:rPr>
              <w:t>DG SANTE SCHEER Committee secretariat</w:t>
            </w:r>
          </w:p>
        </w:tc>
        <w:tc>
          <w:tcPr>
            <w:tcW w:w="4813" w:type="dxa"/>
          </w:tcPr>
          <w:p w14:paraId="7F1596F3" w14:textId="77777777" w:rsidR="000A7D9D" w:rsidRPr="00EF2DDF" w:rsidRDefault="000A7D9D" w:rsidP="00F31937">
            <w:pPr>
              <w:widowControl/>
              <w:snapToGrid w:val="0"/>
              <w:spacing w:after="120" w:line="259" w:lineRule="auto"/>
              <w:contextualSpacing/>
              <w:jc w:val="both"/>
              <w:rPr>
                <w:rFonts w:ascii="Times New Roman" w:hAnsi="Times New Roman"/>
                <w:noProof/>
                <w:sz w:val="24"/>
                <w:szCs w:val="24"/>
                <w:lang w:val="en-US"/>
              </w:rPr>
            </w:pPr>
            <w:r w:rsidRPr="00EF2DDF">
              <w:rPr>
                <w:rFonts w:ascii="Times New Roman" w:hAnsi="Times New Roman"/>
                <w:noProof/>
                <w:sz w:val="24"/>
                <w:szCs w:val="24"/>
                <w:lang w:val="en-US"/>
              </w:rPr>
              <w:t>Ca. 1</w:t>
            </w:r>
            <w:r>
              <w:rPr>
                <w:rFonts w:ascii="Times New Roman" w:hAnsi="Times New Roman"/>
                <w:noProof/>
                <w:sz w:val="24"/>
                <w:szCs w:val="24"/>
                <w:lang w:val="en-US"/>
              </w:rPr>
              <w:t>.</w:t>
            </w:r>
            <w:r w:rsidRPr="00EF2DDF">
              <w:rPr>
                <w:rFonts w:ascii="Times New Roman" w:hAnsi="Times New Roman"/>
                <w:noProof/>
                <w:sz w:val="24"/>
                <w:szCs w:val="24"/>
                <w:lang w:val="en-US"/>
              </w:rPr>
              <w:t xml:space="preserve">00 FTE (ca. 30% of work time </w:t>
            </w:r>
            <w:r w:rsidRPr="00EF2DDF">
              <w:rPr>
                <w:rFonts w:ascii="Times New Roman" w:hAnsi="Times New Roman"/>
                <w:noProof/>
                <w:color w:val="000000"/>
                <w:sz w:val="24"/>
                <w:szCs w:val="24"/>
                <w:lang w:val="en-US" w:eastAsia="en-US"/>
              </w:rPr>
              <w:t xml:space="preserve">(average over all the years) </w:t>
            </w:r>
            <w:r w:rsidRPr="00EF2DDF">
              <w:rPr>
                <w:rFonts w:ascii="Times New Roman" w:hAnsi="Times New Roman"/>
                <w:noProof/>
                <w:sz w:val="24"/>
                <w:szCs w:val="24"/>
                <w:lang w:val="en-US"/>
              </w:rPr>
              <w:t>of 2 + 1 FTE)</w:t>
            </w:r>
          </w:p>
        </w:tc>
      </w:tr>
      <w:tr w:rsidR="000A7D9D" w:rsidRPr="00EF2DDF" w14:paraId="21D3E385" w14:textId="77777777" w:rsidTr="00F31937">
        <w:tc>
          <w:tcPr>
            <w:tcW w:w="4816" w:type="dxa"/>
          </w:tcPr>
          <w:p w14:paraId="71D33BC6" w14:textId="77777777" w:rsidR="000A7D9D" w:rsidRPr="00EF2DDF" w:rsidRDefault="000A7D9D" w:rsidP="00F31937">
            <w:pPr>
              <w:widowControl/>
              <w:snapToGrid w:val="0"/>
              <w:spacing w:after="120" w:line="259" w:lineRule="auto"/>
              <w:contextualSpacing/>
              <w:jc w:val="both"/>
              <w:rPr>
                <w:rFonts w:ascii="Times New Roman" w:hAnsi="Times New Roman"/>
                <w:b/>
                <w:bCs/>
                <w:noProof/>
                <w:sz w:val="24"/>
                <w:szCs w:val="24"/>
                <w:lang w:val="en-US"/>
              </w:rPr>
            </w:pPr>
            <w:r w:rsidRPr="00EF2DDF">
              <w:rPr>
                <w:rFonts w:ascii="Times New Roman" w:hAnsi="Times New Roman"/>
                <w:b/>
                <w:bCs/>
                <w:noProof/>
                <w:sz w:val="24"/>
                <w:szCs w:val="24"/>
                <w:lang w:val="en-US"/>
              </w:rPr>
              <w:t>Total</w:t>
            </w:r>
          </w:p>
        </w:tc>
        <w:tc>
          <w:tcPr>
            <w:tcW w:w="4813" w:type="dxa"/>
          </w:tcPr>
          <w:p w14:paraId="4FA9028E" w14:textId="77777777" w:rsidR="000A7D9D" w:rsidRPr="00EF2DDF" w:rsidRDefault="000A7D9D" w:rsidP="00F31937">
            <w:pPr>
              <w:widowControl/>
              <w:snapToGrid w:val="0"/>
              <w:spacing w:after="120" w:line="259" w:lineRule="auto"/>
              <w:contextualSpacing/>
              <w:jc w:val="both"/>
              <w:rPr>
                <w:rFonts w:ascii="Times New Roman" w:hAnsi="Times New Roman"/>
                <w:b/>
                <w:bCs/>
                <w:noProof/>
                <w:sz w:val="24"/>
                <w:szCs w:val="24"/>
                <w:lang w:val="en-US"/>
              </w:rPr>
            </w:pPr>
            <w:r w:rsidRPr="00EF2DDF">
              <w:rPr>
                <w:rFonts w:ascii="Times New Roman" w:hAnsi="Times New Roman"/>
                <w:b/>
                <w:bCs/>
                <w:noProof/>
                <w:sz w:val="24"/>
                <w:szCs w:val="24"/>
                <w:lang w:val="en-US"/>
              </w:rPr>
              <w:t>Ca. 6</w:t>
            </w:r>
            <w:r>
              <w:rPr>
                <w:rFonts w:ascii="Times New Roman" w:hAnsi="Times New Roman"/>
                <w:b/>
                <w:bCs/>
                <w:noProof/>
                <w:sz w:val="24"/>
                <w:szCs w:val="24"/>
                <w:lang w:val="en-US"/>
              </w:rPr>
              <w:t>.</w:t>
            </w:r>
            <w:r w:rsidRPr="00EF2DDF">
              <w:rPr>
                <w:rFonts w:ascii="Times New Roman" w:hAnsi="Times New Roman"/>
                <w:b/>
                <w:bCs/>
                <w:noProof/>
                <w:sz w:val="24"/>
                <w:szCs w:val="24"/>
                <w:lang w:val="en-US"/>
              </w:rPr>
              <w:t>00 FTE</w:t>
            </w:r>
          </w:p>
        </w:tc>
      </w:tr>
    </w:tbl>
    <w:p w14:paraId="58CC284D" w14:textId="77777777" w:rsidR="000A7D9D" w:rsidRPr="00EF2DDF" w:rsidRDefault="000A7D9D" w:rsidP="000A7D9D">
      <w:pPr>
        <w:rPr>
          <w:rFonts w:ascii="Times New Roman" w:hAnsi="Times New Roman" w:cs="Times New Roman"/>
          <w:i/>
          <w:iCs/>
          <w:noProof/>
          <w:sz w:val="24"/>
          <w:szCs w:val="24"/>
          <w:lang w:val="en-US"/>
        </w:rPr>
      </w:pPr>
      <w:r w:rsidRPr="00EF2DDF">
        <w:rPr>
          <w:rFonts w:ascii="Times New Roman" w:hAnsi="Times New Roman" w:cs="Times New Roman"/>
          <w:i/>
          <w:iCs/>
          <w:noProof/>
          <w:sz w:val="24"/>
          <w:szCs w:val="24"/>
          <w:lang w:val="en-US"/>
        </w:rPr>
        <w:t xml:space="preserve">(to convert the cost of consultants into FTEs, the cost of 1 FTE consultant is estimated at ca. </w:t>
      </w:r>
      <w:r>
        <w:rPr>
          <w:rFonts w:ascii="Times New Roman" w:hAnsi="Times New Roman" w:cs="Times New Roman"/>
          <w:i/>
          <w:iCs/>
          <w:noProof/>
          <w:sz w:val="24"/>
          <w:szCs w:val="24"/>
          <w:lang w:val="en-US"/>
        </w:rPr>
        <w:t xml:space="preserve">EUR </w:t>
      </w:r>
      <w:r w:rsidRPr="00EF2DDF">
        <w:rPr>
          <w:rFonts w:ascii="Times New Roman" w:hAnsi="Times New Roman" w:cs="Times New Roman"/>
          <w:i/>
          <w:iCs/>
          <w:noProof/>
          <w:sz w:val="24"/>
          <w:szCs w:val="24"/>
          <w:lang w:val="en-US"/>
        </w:rPr>
        <w:t>66</w:t>
      </w:r>
      <w:r>
        <w:rPr>
          <w:rFonts w:ascii="Times New Roman" w:hAnsi="Times New Roman" w:cs="Times New Roman"/>
          <w:i/>
          <w:iCs/>
          <w:noProof/>
          <w:sz w:val="24"/>
          <w:szCs w:val="24"/>
          <w:lang w:val="en-US"/>
        </w:rPr>
        <w:t xml:space="preserve"> </w:t>
      </w:r>
      <w:r w:rsidRPr="00EF2DDF">
        <w:rPr>
          <w:rFonts w:ascii="Times New Roman" w:hAnsi="Times New Roman" w:cs="Times New Roman"/>
          <w:i/>
          <w:iCs/>
          <w:noProof/>
          <w:sz w:val="24"/>
          <w:szCs w:val="24"/>
          <w:lang w:val="en-US"/>
        </w:rPr>
        <w:t>000 EUR annually)</w:t>
      </w:r>
    </w:p>
    <w:p w14:paraId="2B32FAA6" w14:textId="77777777" w:rsidR="000A7D9D" w:rsidRPr="00207447" w:rsidRDefault="000A7D9D" w:rsidP="000A7D9D">
      <w:pPr>
        <w:jc w:val="both"/>
        <w:rPr>
          <w:rFonts w:ascii="Times New Roman" w:hAnsi="Times New Roman" w:cs="Times New Roman"/>
          <w:noProof/>
          <w:sz w:val="24"/>
          <w:szCs w:val="24"/>
        </w:rPr>
      </w:pPr>
      <w:r w:rsidRPr="00EF2DDF">
        <w:rPr>
          <w:rFonts w:ascii="Times New Roman" w:hAnsi="Times New Roman" w:cs="Times New Roman"/>
          <w:noProof/>
          <w:sz w:val="24"/>
          <w:szCs w:val="24"/>
        </w:rPr>
        <w:t>Such Commission resources do not include contributions to the administrative overhead of the Commission (HR, Finance, IT tools, etc.).</w:t>
      </w:r>
    </w:p>
    <w:p w14:paraId="5DC682A0" w14:textId="77777777" w:rsidR="000A7D9D" w:rsidRPr="00EF2DDF" w:rsidRDefault="000A7D9D" w:rsidP="000A7D9D">
      <w:pPr>
        <w:rPr>
          <w:rFonts w:ascii="Times New Roman" w:hAnsi="Times New Roman" w:cs="Times New Roman"/>
          <w:i/>
          <w:iCs/>
          <w:noProof/>
          <w:sz w:val="24"/>
          <w:szCs w:val="24"/>
        </w:rPr>
      </w:pPr>
      <w:r w:rsidRPr="00EF2DDF">
        <w:rPr>
          <w:rFonts w:ascii="Times New Roman" w:hAnsi="Times New Roman" w:cs="Times New Roman"/>
          <w:i/>
          <w:iCs/>
          <w:noProof/>
          <w:sz w:val="24"/>
          <w:szCs w:val="24"/>
        </w:rPr>
        <w:t xml:space="preserve">Past workload for EQSD (surface water) (Budget line of ENV and SANTE) </w:t>
      </w:r>
    </w:p>
    <w:p w14:paraId="238E298A" w14:textId="77777777" w:rsidR="000A7D9D" w:rsidRPr="00EF2DDF" w:rsidRDefault="000A7D9D" w:rsidP="000A7D9D">
      <w:pPr>
        <w:rPr>
          <w:rFonts w:ascii="Times New Roman" w:hAnsi="Times New Roman" w:cs="Times New Roman"/>
          <w:iCs/>
          <w:noProof/>
          <w:sz w:val="24"/>
          <w:szCs w:val="24"/>
        </w:rPr>
      </w:pPr>
      <w:r w:rsidRPr="00EF2DDF">
        <w:rPr>
          <w:rFonts w:ascii="Times New Roman" w:hAnsi="Times New Roman" w:cs="Times New Roman"/>
          <w:iCs/>
          <w:noProof/>
          <w:sz w:val="24"/>
          <w:szCs w:val="24"/>
        </w:rPr>
        <w:t>Watchlist surface water:</w:t>
      </w:r>
    </w:p>
    <w:p w14:paraId="1FDC5ED0" w14:textId="77777777" w:rsidR="000A7D9D" w:rsidRPr="00EF2DDF" w:rsidRDefault="000A7D9D" w:rsidP="000A7D9D">
      <w:pPr>
        <w:widowControl w:val="0"/>
        <w:numPr>
          <w:ilvl w:val="0"/>
          <w:numId w:val="96"/>
        </w:numPr>
        <w:spacing w:after="0" w:line="240" w:lineRule="auto"/>
        <w:contextualSpacing/>
        <w:rPr>
          <w:rFonts w:ascii="Times New Roman" w:hAnsi="Times New Roman" w:cs="Times New Roman"/>
          <w:noProof/>
          <w:sz w:val="24"/>
          <w:szCs w:val="24"/>
        </w:rPr>
      </w:pPr>
      <w:r w:rsidRPr="00EF2DDF">
        <w:rPr>
          <w:rFonts w:ascii="Times New Roman" w:hAnsi="Times New Roman" w:cs="Times New Roman"/>
          <w:noProof/>
          <w:sz w:val="24"/>
          <w:szCs w:val="24"/>
        </w:rPr>
        <w:t>Review of ca. 10 substances / every 2 years</w:t>
      </w:r>
    </w:p>
    <w:p w14:paraId="642E1692" w14:textId="77777777" w:rsidR="000A7D9D" w:rsidRPr="00EF2DDF" w:rsidRDefault="000A7D9D" w:rsidP="000A7D9D">
      <w:pPr>
        <w:rPr>
          <w:rFonts w:ascii="Times New Roman" w:hAnsi="Times New Roman" w:cs="Times New Roman"/>
          <w:noProof/>
          <w:sz w:val="24"/>
          <w:szCs w:val="24"/>
        </w:rPr>
      </w:pPr>
    </w:p>
    <w:p w14:paraId="5724C40B" w14:textId="77777777" w:rsidR="000A7D9D" w:rsidRPr="00EF2DDF" w:rsidRDefault="000A7D9D" w:rsidP="000A7D9D">
      <w:pPr>
        <w:rPr>
          <w:rFonts w:ascii="Times New Roman" w:hAnsi="Times New Roman" w:cs="Times New Roman"/>
          <w:iCs/>
          <w:noProof/>
          <w:sz w:val="24"/>
          <w:szCs w:val="24"/>
        </w:rPr>
      </w:pPr>
      <w:r w:rsidRPr="00EF2DDF">
        <w:rPr>
          <w:rFonts w:ascii="Times New Roman" w:hAnsi="Times New Roman" w:cs="Times New Roman"/>
          <w:iCs/>
          <w:noProof/>
          <w:sz w:val="24"/>
          <w:szCs w:val="24"/>
        </w:rPr>
        <w:t xml:space="preserve">Prioritisation and EQS derivation </w:t>
      </w:r>
    </w:p>
    <w:p w14:paraId="3881AE24" w14:textId="77777777" w:rsidR="000A7D9D" w:rsidRPr="00EF2DDF" w:rsidRDefault="000A7D9D" w:rsidP="000A7D9D">
      <w:pPr>
        <w:jc w:val="both"/>
        <w:rPr>
          <w:rFonts w:ascii="Times New Roman" w:hAnsi="Times New Roman" w:cs="Times New Roman"/>
          <w:noProof/>
          <w:sz w:val="24"/>
          <w:szCs w:val="24"/>
        </w:rPr>
      </w:pPr>
      <w:r w:rsidRPr="00EF2DDF">
        <w:rPr>
          <w:rFonts w:ascii="Times New Roman" w:hAnsi="Times New Roman" w:cs="Times New Roman"/>
          <w:noProof/>
          <w:sz w:val="24"/>
          <w:szCs w:val="24"/>
        </w:rPr>
        <w:t>The Priority List went from 33 to 45 substances in 2013 and will grow with an additional 22 substances in 2022. From that list the SCHEER provided opinions on a total of 45 EQS during the last 10-12 years (average of 4 EQS per year) as follows:</w:t>
      </w:r>
    </w:p>
    <w:p w14:paraId="6202743E" w14:textId="77777777" w:rsidR="000A7D9D" w:rsidRPr="00EF2DDF" w:rsidRDefault="000A7D9D" w:rsidP="000A7D9D">
      <w:pPr>
        <w:widowControl w:val="0"/>
        <w:numPr>
          <w:ilvl w:val="0"/>
          <w:numId w:val="99"/>
        </w:numPr>
        <w:spacing w:after="0" w:line="240" w:lineRule="auto"/>
        <w:contextualSpacing/>
        <w:rPr>
          <w:rFonts w:ascii="Times New Roman" w:hAnsi="Times New Roman" w:cs="Times New Roman"/>
          <w:noProof/>
          <w:sz w:val="24"/>
          <w:szCs w:val="24"/>
        </w:rPr>
      </w:pPr>
      <w:r w:rsidRPr="00EF2DDF">
        <w:rPr>
          <w:rFonts w:ascii="Times New Roman" w:hAnsi="Times New Roman" w:cs="Times New Roman"/>
          <w:noProof/>
          <w:sz w:val="24"/>
          <w:szCs w:val="24"/>
        </w:rPr>
        <w:t>2022: EQS for 14 priority substances + 4 pending + groundwater standards pending for several substances</w:t>
      </w:r>
    </w:p>
    <w:p w14:paraId="13324E36" w14:textId="77777777" w:rsidR="000A7D9D" w:rsidRPr="00EF2DDF" w:rsidRDefault="000A7D9D" w:rsidP="000A7D9D">
      <w:pPr>
        <w:widowControl w:val="0"/>
        <w:numPr>
          <w:ilvl w:val="0"/>
          <w:numId w:val="99"/>
        </w:numPr>
        <w:spacing w:after="0" w:line="240" w:lineRule="auto"/>
        <w:contextualSpacing/>
        <w:rPr>
          <w:rFonts w:ascii="Times New Roman" w:hAnsi="Times New Roman" w:cs="Times New Roman"/>
          <w:noProof/>
          <w:sz w:val="24"/>
          <w:szCs w:val="24"/>
        </w:rPr>
      </w:pPr>
      <w:r w:rsidRPr="00EF2DDF">
        <w:rPr>
          <w:rFonts w:ascii="Times New Roman" w:hAnsi="Times New Roman" w:cs="Times New Roman"/>
          <w:noProof/>
          <w:sz w:val="24"/>
          <w:szCs w:val="24"/>
        </w:rPr>
        <w:t>2021: EQS for 3 priority substances</w:t>
      </w:r>
    </w:p>
    <w:p w14:paraId="0BEF1F60" w14:textId="77777777" w:rsidR="000A7D9D" w:rsidRPr="00EF2DDF" w:rsidRDefault="000A7D9D" w:rsidP="000A7D9D">
      <w:pPr>
        <w:widowControl w:val="0"/>
        <w:numPr>
          <w:ilvl w:val="0"/>
          <w:numId w:val="99"/>
        </w:numPr>
        <w:spacing w:after="0" w:line="240" w:lineRule="auto"/>
        <w:contextualSpacing/>
        <w:rPr>
          <w:rFonts w:ascii="Times New Roman" w:hAnsi="Times New Roman" w:cs="Times New Roman"/>
          <w:noProof/>
          <w:sz w:val="24"/>
          <w:szCs w:val="24"/>
        </w:rPr>
      </w:pPr>
      <w:r w:rsidRPr="00EF2DDF">
        <w:rPr>
          <w:rFonts w:ascii="Times New Roman" w:hAnsi="Times New Roman" w:cs="Times New Roman"/>
          <w:noProof/>
          <w:sz w:val="24"/>
          <w:szCs w:val="24"/>
        </w:rPr>
        <w:t>2012: EQS for 1 substance</w:t>
      </w:r>
    </w:p>
    <w:p w14:paraId="6F934A5D" w14:textId="77777777" w:rsidR="000A7D9D" w:rsidRPr="00EF2DDF" w:rsidRDefault="000A7D9D" w:rsidP="000A7D9D">
      <w:pPr>
        <w:widowControl w:val="0"/>
        <w:numPr>
          <w:ilvl w:val="0"/>
          <w:numId w:val="99"/>
        </w:numPr>
        <w:spacing w:after="0" w:line="240" w:lineRule="auto"/>
        <w:contextualSpacing/>
        <w:rPr>
          <w:rFonts w:ascii="Times New Roman" w:hAnsi="Times New Roman" w:cs="Times New Roman"/>
          <w:noProof/>
          <w:sz w:val="24"/>
          <w:szCs w:val="24"/>
        </w:rPr>
      </w:pPr>
      <w:r w:rsidRPr="00EF2DDF">
        <w:rPr>
          <w:rFonts w:ascii="Times New Roman" w:hAnsi="Times New Roman" w:cs="Times New Roman"/>
          <w:noProof/>
          <w:sz w:val="24"/>
          <w:szCs w:val="24"/>
        </w:rPr>
        <w:t>2011: EQS for 23 substances</w:t>
      </w:r>
    </w:p>
    <w:p w14:paraId="0098BD3D" w14:textId="77777777" w:rsidR="000A7D9D" w:rsidRPr="00EF2DDF" w:rsidRDefault="000A7D9D" w:rsidP="000A7D9D">
      <w:pPr>
        <w:jc w:val="both"/>
        <w:rPr>
          <w:rFonts w:ascii="Times New Roman" w:hAnsi="Times New Roman" w:cs="Times New Roman"/>
          <w:noProof/>
          <w:sz w:val="24"/>
          <w:szCs w:val="24"/>
        </w:rPr>
      </w:pPr>
      <w:r w:rsidRPr="00EF2DDF">
        <w:rPr>
          <w:rFonts w:ascii="Times New Roman" w:hAnsi="Times New Roman" w:cs="Times New Roman"/>
          <w:noProof/>
          <w:sz w:val="24"/>
          <w:szCs w:val="24"/>
        </w:rPr>
        <w:t>Also, if one looks at the last 6-year review cycle in 2022 when 22 substances were added to the Priority List, one comes to an average of 4 substances per year if the workload needs to be annualised.</w:t>
      </w:r>
    </w:p>
    <w:p w14:paraId="7EA06C8D" w14:textId="77777777" w:rsidR="000A7D9D" w:rsidRPr="00EF2DDF" w:rsidRDefault="000A7D9D" w:rsidP="000A7D9D">
      <w:pPr>
        <w:ind w:left="720"/>
        <w:contextualSpacing/>
        <w:rPr>
          <w:rFonts w:ascii="Times New Roman" w:hAnsi="Times New Roman" w:cs="Times New Roman"/>
          <w:noProof/>
          <w:sz w:val="24"/>
          <w:szCs w:val="24"/>
        </w:rPr>
      </w:pPr>
    </w:p>
    <w:p w14:paraId="6B71618B" w14:textId="77777777" w:rsidR="000A7D9D" w:rsidRPr="00EF2DDF" w:rsidRDefault="000A7D9D" w:rsidP="000A7D9D">
      <w:pPr>
        <w:rPr>
          <w:rFonts w:ascii="Times New Roman" w:hAnsi="Times New Roman" w:cs="Times New Roman"/>
          <w:i/>
          <w:iCs/>
          <w:noProof/>
          <w:sz w:val="24"/>
          <w:szCs w:val="24"/>
        </w:rPr>
      </w:pPr>
      <w:r w:rsidRPr="00EF2DDF">
        <w:rPr>
          <w:rFonts w:ascii="Times New Roman" w:hAnsi="Times New Roman" w:cs="Times New Roman"/>
          <w:i/>
          <w:iCs/>
          <w:noProof/>
          <w:sz w:val="24"/>
          <w:szCs w:val="24"/>
        </w:rPr>
        <w:t>Past workload for groundwater:</w:t>
      </w:r>
    </w:p>
    <w:p w14:paraId="77B814B1" w14:textId="77777777" w:rsidR="000A7D9D" w:rsidRPr="00EF2DDF" w:rsidRDefault="000A7D9D" w:rsidP="000A7D9D">
      <w:pPr>
        <w:spacing w:after="240"/>
        <w:jc w:val="both"/>
        <w:rPr>
          <w:rFonts w:ascii="Times New Roman" w:hAnsi="Times New Roman" w:cs="Times New Roman"/>
          <w:noProof/>
          <w:sz w:val="24"/>
          <w:szCs w:val="24"/>
        </w:rPr>
      </w:pPr>
      <w:r w:rsidRPr="00EF2DDF">
        <w:rPr>
          <w:rFonts w:ascii="Times New Roman" w:hAnsi="Times New Roman" w:cs="Times New Roman"/>
          <w:noProof/>
          <w:sz w:val="24"/>
          <w:szCs w:val="24"/>
        </w:rPr>
        <w:t>In the past only voluntary watch list under groundwater directive. Obligatory watch list would be new, align two directives. Currently only 2 pharmaceuticals for EU standard</w:t>
      </w:r>
      <w:r>
        <w:rPr>
          <w:rFonts w:ascii="Times New Roman" w:hAnsi="Times New Roman" w:cs="Times New Roman"/>
          <w:noProof/>
          <w:sz w:val="24"/>
          <w:szCs w:val="24"/>
        </w:rPr>
        <w:t xml:space="preserve"> and 1 for MS monitoring. A few </w:t>
      </w:r>
      <w:r w:rsidRPr="00EF2DDF">
        <w:rPr>
          <w:rFonts w:ascii="Times New Roman" w:hAnsi="Times New Roman" w:cs="Times New Roman"/>
          <w:noProof/>
          <w:sz w:val="24"/>
          <w:szCs w:val="24"/>
        </w:rPr>
        <w:t>substances will be added in 2022.</w:t>
      </w:r>
    </w:p>
    <w:p w14:paraId="6BFECC99" w14:textId="77777777" w:rsidR="000A7D9D" w:rsidRPr="00EF2DDF" w:rsidRDefault="000A7D9D" w:rsidP="000A7D9D">
      <w:pPr>
        <w:spacing w:after="240"/>
        <w:jc w:val="both"/>
        <w:rPr>
          <w:rFonts w:ascii="Times New Roman" w:hAnsi="Times New Roman" w:cs="Times New Roman"/>
          <w:i/>
          <w:iCs/>
          <w:noProof/>
          <w:sz w:val="24"/>
          <w:szCs w:val="24"/>
        </w:rPr>
      </w:pPr>
      <w:bookmarkStart w:id="54" w:name="_Hlk106273747"/>
      <w:r w:rsidRPr="00EF2DDF">
        <w:rPr>
          <w:rFonts w:ascii="Times New Roman" w:hAnsi="Times New Roman" w:cs="Times New Roman"/>
          <w:i/>
          <w:iCs/>
          <w:noProof/>
          <w:sz w:val="24"/>
          <w:szCs w:val="24"/>
        </w:rPr>
        <w:t>Resources used currently for EQSD (surface water):</w:t>
      </w:r>
    </w:p>
    <w:p w14:paraId="28FC04FE" w14:textId="77777777" w:rsidR="000A7D9D" w:rsidRPr="00EF2DDF" w:rsidRDefault="000A7D9D" w:rsidP="000A7D9D">
      <w:pPr>
        <w:spacing w:after="240"/>
        <w:jc w:val="both"/>
        <w:rPr>
          <w:rFonts w:ascii="Times New Roman" w:hAnsi="Times New Roman" w:cs="Times New Roman"/>
          <w:noProof/>
          <w:sz w:val="24"/>
          <w:szCs w:val="24"/>
        </w:rPr>
      </w:pPr>
      <w:r w:rsidRPr="00EF2DDF">
        <w:rPr>
          <w:rFonts w:ascii="Times New Roman" w:eastAsia="Calibri" w:hAnsi="Times New Roman" w:cs="Times New Roman"/>
          <w:noProof/>
          <w:sz w:val="24"/>
          <w:szCs w:val="24"/>
        </w:rPr>
        <w:t xml:space="preserve">Watchlist and derivation of EQS for new Priority (hazardous) substances is currently led by JRC (in house and contractors) and the list of P(H)S and related EQS are submitted to a SCHEER opinion. SCHEER has delivered 45 opinions in the period between 2011 – 2022 (average of 4/year). IA </w:t>
      </w:r>
      <w:r w:rsidRPr="00EF2DDF">
        <w:rPr>
          <w:rFonts w:ascii="Times New Roman" w:hAnsi="Times New Roman" w:cs="Times New Roman"/>
          <w:noProof/>
          <w:sz w:val="24"/>
          <w:szCs w:val="24"/>
        </w:rPr>
        <w:t>of EQS proposals for new substances on the PS list</w:t>
      </w:r>
      <w:r w:rsidRPr="00EF2DDF">
        <w:rPr>
          <w:rFonts w:ascii="Times New Roman" w:eastAsia="Calibri" w:hAnsi="Times New Roman" w:cs="Times New Roman"/>
          <w:noProof/>
          <w:sz w:val="24"/>
          <w:szCs w:val="24"/>
        </w:rPr>
        <w:t xml:space="preserve"> outsourced to contractor; regular discussion and presentation in Working Group Chemicals.</w:t>
      </w:r>
    </w:p>
    <w:p w14:paraId="67583E0B" w14:textId="77777777" w:rsidR="000A7D9D" w:rsidRPr="00EF2DDF" w:rsidRDefault="000A7D9D" w:rsidP="000A7D9D">
      <w:pPr>
        <w:jc w:val="both"/>
        <w:rPr>
          <w:rFonts w:ascii="Times New Roman" w:eastAsia="Calibri" w:hAnsi="Times New Roman" w:cs="Times New Roman"/>
          <w:noProof/>
          <w:sz w:val="24"/>
          <w:szCs w:val="24"/>
        </w:rPr>
      </w:pPr>
      <w:r w:rsidRPr="00EF2DDF">
        <w:rPr>
          <w:rFonts w:ascii="Times New Roman" w:eastAsia="Calibri" w:hAnsi="Times New Roman" w:cs="Times New Roman"/>
          <w:noProof/>
          <w:sz w:val="24"/>
          <w:szCs w:val="24"/>
        </w:rPr>
        <w:t xml:space="preserve">JRC staff permanent+ JRC consultant work Watch List and </w:t>
      </w:r>
      <w:r>
        <w:rPr>
          <w:rFonts w:ascii="Times New Roman" w:eastAsia="Calibri" w:hAnsi="Times New Roman" w:cs="Times New Roman"/>
          <w:noProof/>
          <w:sz w:val="24"/>
          <w:szCs w:val="24"/>
        </w:rPr>
        <w:t xml:space="preserve">Annex I EQS list PS and EQS = EUR 1 </w:t>
      </w:r>
      <w:r w:rsidRPr="00EF2DDF">
        <w:rPr>
          <w:rFonts w:ascii="Times New Roman" w:eastAsia="Calibri" w:hAnsi="Times New Roman" w:cs="Times New Roman"/>
          <w:noProof/>
          <w:sz w:val="24"/>
          <w:szCs w:val="24"/>
        </w:rPr>
        <w:t>392</w:t>
      </w:r>
      <w:r>
        <w:rPr>
          <w:rFonts w:ascii="Times New Roman" w:eastAsia="Calibri" w:hAnsi="Times New Roman" w:cs="Times New Roman"/>
          <w:noProof/>
          <w:sz w:val="24"/>
          <w:szCs w:val="24"/>
        </w:rPr>
        <w:t xml:space="preserve"> </w:t>
      </w:r>
      <w:r w:rsidRPr="00EF2DDF">
        <w:rPr>
          <w:rFonts w:ascii="Times New Roman" w:eastAsia="Calibri" w:hAnsi="Times New Roman" w:cs="Times New Roman"/>
          <w:noProof/>
          <w:sz w:val="24"/>
          <w:szCs w:val="24"/>
        </w:rPr>
        <w:t xml:space="preserve">181 (AAs with JRC) over 6 years, i.e. </w:t>
      </w:r>
      <w:r>
        <w:rPr>
          <w:rFonts w:ascii="Times New Roman" w:eastAsia="Calibri" w:hAnsi="Times New Roman" w:cs="Times New Roman"/>
          <w:noProof/>
          <w:sz w:val="24"/>
          <w:szCs w:val="24"/>
        </w:rPr>
        <w:t xml:space="preserve">EUR </w:t>
      </w:r>
      <w:r w:rsidRPr="00EF2DDF">
        <w:rPr>
          <w:rFonts w:ascii="Times New Roman" w:eastAsia="Calibri" w:hAnsi="Times New Roman" w:cs="Times New Roman"/>
          <w:noProof/>
          <w:sz w:val="24"/>
          <w:szCs w:val="24"/>
        </w:rPr>
        <w:t>232</w:t>
      </w:r>
      <w:r>
        <w:rPr>
          <w:rFonts w:ascii="Times New Roman" w:eastAsia="Calibri" w:hAnsi="Times New Roman" w:cs="Times New Roman"/>
          <w:noProof/>
          <w:sz w:val="24"/>
          <w:szCs w:val="24"/>
        </w:rPr>
        <w:t xml:space="preserve"> </w:t>
      </w:r>
      <w:r w:rsidRPr="00EF2DDF">
        <w:rPr>
          <w:rFonts w:ascii="Times New Roman" w:eastAsia="Calibri" w:hAnsi="Times New Roman" w:cs="Times New Roman"/>
          <w:noProof/>
          <w:sz w:val="24"/>
          <w:szCs w:val="24"/>
        </w:rPr>
        <w:t xml:space="preserve">030 per year; if we calculate yearly consultant cost at </w:t>
      </w:r>
      <w:r>
        <w:rPr>
          <w:rFonts w:ascii="Times New Roman" w:eastAsia="Calibri" w:hAnsi="Times New Roman" w:cs="Times New Roman"/>
          <w:noProof/>
          <w:sz w:val="24"/>
          <w:szCs w:val="24"/>
        </w:rPr>
        <w:t xml:space="preserve">EUR </w:t>
      </w:r>
      <w:r w:rsidRPr="00EF2DDF">
        <w:rPr>
          <w:rFonts w:ascii="Times New Roman" w:eastAsia="Calibri" w:hAnsi="Times New Roman" w:cs="Times New Roman"/>
          <w:noProof/>
          <w:sz w:val="24"/>
          <w:szCs w:val="24"/>
        </w:rPr>
        <w:t>66</w:t>
      </w:r>
      <w:r>
        <w:rPr>
          <w:rFonts w:ascii="Times New Roman" w:eastAsia="Calibri" w:hAnsi="Times New Roman" w:cs="Times New Roman"/>
          <w:noProof/>
          <w:sz w:val="24"/>
          <w:szCs w:val="24"/>
        </w:rPr>
        <w:t xml:space="preserve"> </w:t>
      </w:r>
      <w:r w:rsidRPr="00EF2DDF">
        <w:rPr>
          <w:rFonts w:ascii="Times New Roman" w:eastAsia="Calibri" w:hAnsi="Times New Roman" w:cs="Times New Roman"/>
          <w:noProof/>
          <w:sz w:val="24"/>
          <w:szCs w:val="24"/>
        </w:rPr>
        <w:t xml:space="preserve">000, this would make </w:t>
      </w:r>
      <w:r w:rsidRPr="00EF2DDF">
        <w:rPr>
          <w:rFonts w:ascii="Times New Roman" w:eastAsia="Calibri" w:hAnsi="Times New Roman" w:cs="Times New Roman"/>
          <w:b/>
          <w:noProof/>
          <w:sz w:val="24"/>
          <w:szCs w:val="24"/>
        </w:rPr>
        <w:t>ca 3</w:t>
      </w:r>
      <w:r>
        <w:rPr>
          <w:rFonts w:ascii="Times New Roman" w:eastAsia="Calibri" w:hAnsi="Times New Roman" w:cs="Times New Roman"/>
          <w:b/>
          <w:noProof/>
          <w:sz w:val="24"/>
          <w:szCs w:val="24"/>
        </w:rPr>
        <w:t>.</w:t>
      </w:r>
      <w:r w:rsidRPr="00EF2DDF">
        <w:rPr>
          <w:rFonts w:ascii="Times New Roman" w:eastAsia="Calibri" w:hAnsi="Times New Roman" w:cs="Times New Roman"/>
          <w:b/>
          <w:noProof/>
          <w:sz w:val="24"/>
          <w:szCs w:val="24"/>
        </w:rPr>
        <w:t>5 FTE plus 1 FTE</w:t>
      </w:r>
      <w:r w:rsidRPr="00EF2DDF">
        <w:rPr>
          <w:rFonts w:ascii="Times New Roman" w:eastAsia="Calibri" w:hAnsi="Times New Roman" w:cs="Times New Roman"/>
          <w:noProof/>
          <w:sz w:val="24"/>
          <w:szCs w:val="24"/>
        </w:rPr>
        <w:t xml:space="preserve"> (one permanent staff)/year. </w:t>
      </w:r>
    </w:p>
    <w:p w14:paraId="3F51078F" w14:textId="77777777" w:rsidR="000A7D9D" w:rsidRPr="00EF2DDF" w:rsidRDefault="000A7D9D" w:rsidP="000A7D9D">
      <w:pPr>
        <w:spacing w:after="240"/>
        <w:jc w:val="both"/>
        <w:rPr>
          <w:rFonts w:ascii="Times New Roman" w:hAnsi="Times New Roman" w:cs="Times New Roman"/>
          <w:noProof/>
          <w:sz w:val="24"/>
          <w:szCs w:val="24"/>
        </w:rPr>
      </w:pPr>
      <w:r w:rsidRPr="00EF2DDF">
        <w:rPr>
          <w:rFonts w:ascii="Times New Roman" w:eastAsia="Calibri" w:hAnsi="Times New Roman" w:cs="Times New Roman"/>
          <w:noProof/>
          <w:sz w:val="24"/>
          <w:szCs w:val="24"/>
        </w:rPr>
        <w:t>In addition, part of the impact assessment was carried out under IA contract DG ENV = relevant pa</w:t>
      </w:r>
      <w:r>
        <w:rPr>
          <w:rFonts w:ascii="Times New Roman" w:eastAsia="Calibri" w:hAnsi="Times New Roman" w:cs="Times New Roman"/>
          <w:noProof/>
          <w:sz w:val="24"/>
          <w:szCs w:val="24"/>
        </w:rPr>
        <w:t xml:space="preserve">rt of IA contract was about EUR 100 </w:t>
      </w:r>
      <w:r w:rsidRPr="00EF2DDF">
        <w:rPr>
          <w:rFonts w:ascii="Times New Roman" w:eastAsia="Calibri" w:hAnsi="Times New Roman" w:cs="Times New Roman"/>
          <w:noProof/>
          <w:sz w:val="24"/>
          <w:szCs w:val="24"/>
        </w:rPr>
        <w:t>000; i.e. Ca. 1</w:t>
      </w:r>
      <w:r>
        <w:rPr>
          <w:rFonts w:ascii="Times New Roman" w:eastAsia="Calibri" w:hAnsi="Times New Roman" w:cs="Times New Roman"/>
          <w:noProof/>
          <w:sz w:val="24"/>
          <w:szCs w:val="24"/>
        </w:rPr>
        <w:t>.</w:t>
      </w:r>
      <w:r w:rsidRPr="00EF2DDF">
        <w:rPr>
          <w:rFonts w:ascii="Times New Roman" w:eastAsia="Calibri" w:hAnsi="Times New Roman" w:cs="Times New Roman"/>
          <w:noProof/>
          <w:sz w:val="24"/>
          <w:szCs w:val="24"/>
        </w:rPr>
        <w:t xml:space="preserve">5 FTE over six years = </w:t>
      </w:r>
      <w:r w:rsidRPr="00EF2DDF">
        <w:rPr>
          <w:rFonts w:ascii="Times New Roman" w:eastAsia="Calibri" w:hAnsi="Times New Roman" w:cs="Times New Roman"/>
          <w:b/>
          <w:noProof/>
          <w:sz w:val="24"/>
          <w:szCs w:val="24"/>
        </w:rPr>
        <w:t>0</w:t>
      </w:r>
      <w:r>
        <w:rPr>
          <w:rFonts w:ascii="Times New Roman" w:eastAsia="Calibri" w:hAnsi="Times New Roman" w:cs="Times New Roman"/>
          <w:b/>
          <w:noProof/>
          <w:sz w:val="24"/>
          <w:szCs w:val="24"/>
        </w:rPr>
        <w:t>.</w:t>
      </w:r>
      <w:r w:rsidRPr="00EF2DDF">
        <w:rPr>
          <w:rFonts w:ascii="Times New Roman" w:eastAsia="Calibri" w:hAnsi="Times New Roman" w:cs="Times New Roman"/>
          <w:b/>
          <w:noProof/>
          <w:sz w:val="24"/>
          <w:szCs w:val="24"/>
        </w:rPr>
        <w:t>25 FTE</w:t>
      </w:r>
      <w:r w:rsidRPr="00EF2DDF">
        <w:rPr>
          <w:rFonts w:ascii="Times New Roman" w:eastAsia="Calibri" w:hAnsi="Times New Roman" w:cs="Times New Roman"/>
          <w:noProof/>
          <w:sz w:val="24"/>
          <w:szCs w:val="24"/>
        </w:rPr>
        <w:t xml:space="preserve"> per year</w:t>
      </w:r>
    </w:p>
    <w:p w14:paraId="229BD171" w14:textId="77777777" w:rsidR="000A7D9D" w:rsidRPr="00EF2DDF" w:rsidRDefault="000A7D9D" w:rsidP="000A7D9D">
      <w:pPr>
        <w:spacing w:after="240"/>
        <w:jc w:val="both"/>
        <w:rPr>
          <w:rFonts w:ascii="Times New Roman" w:hAnsi="Times New Roman" w:cs="Times New Roman"/>
          <w:noProof/>
          <w:sz w:val="24"/>
          <w:szCs w:val="24"/>
        </w:rPr>
      </w:pPr>
      <w:r w:rsidRPr="00EF2DDF">
        <w:rPr>
          <w:rFonts w:ascii="Times New Roman" w:hAnsi="Times New Roman" w:cs="Times New Roman"/>
          <w:noProof/>
          <w:sz w:val="24"/>
          <w:szCs w:val="24"/>
        </w:rPr>
        <w:t>The SCHEER Committee serves water legislation for approximately 1/3</w:t>
      </w:r>
      <w:r w:rsidRPr="00EF2DDF">
        <w:rPr>
          <w:rFonts w:ascii="Times New Roman" w:hAnsi="Times New Roman" w:cs="Times New Roman"/>
          <w:noProof/>
          <w:sz w:val="24"/>
          <w:szCs w:val="24"/>
          <w:vertAlign w:val="superscript"/>
        </w:rPr>
        <w:t>rd</w:t>
      </w:r>
      <w:r w:rsidRPr="00EF2DDF">
        <w:rPr>
          <w:rFonts w:ascii="Times New Roman" w:hAnsi="Times New Roman" w:cs="Times New Roman"/>
          <w:noProof/>
          <w:sz w:val="24"/>
          <w:szCs w:val="24"/>
        </w:rPr>
        <w:t xml:space="preserve"> of its capacity (17 opinions out of 51 during 2016-2022). SCHEER has 17 (external) scientists per mandate that are remunerated for their work. DG SANTE provides the secretariat to the SCCS and SCHEER that consists of 4 FTE + 2 FTE for technical and administrative support (literature search, editing and proofreading of opinions, website mastering, assistance for the Health-EU newsletter, dissemination activities). </w:t>
      </w:r>
      <w:r w:rsidRPr="00EF2DDF">
        <w:rPr>
          <w:rFonts w:ascii="Times New Roman" w:hAnsi="Times New Roman" w:cs="Times New Roman"/>
          <w:b/>
          <w:bCs/>
          <w:noProof/>
          <w:sz w:val="24"/>
          <w:szCs w:val="24"/>
        </w:rPr>
        <w:t>Costs for renumeration of members of the committee are ca. EUR 93</w:t>
      </w:r>
      <w:r>
        <w:rPr>
          <w:rFonts w:ascii="Times New Roman" w:hAnsi="Times New Roman" w:cs="Times New Roman"/>
          <w:b/>
          <w:bCs/>
          <w:noProof/>
          <w:sz w:val="24"/>
          <w:szCs w:val="24"/>
        </w:rPr>
        <w:t xml:space="preserve"> </w:t>
      </w:r>
      <w:r w:rsidRPr="00EF2DDF">
        <w:rPr>
          <w:rFonts w:ascii="Times New Roman" w:hAnsi="Times New Roman" w:cs="Times New Roman"/>
          <w:b/>
          <w:bCs/>
          <w:noProof/>
          <w:sz w:val="24"/>
          <w:szCs w:val="24"/>
        </w:rPr>
        <w:t xml:space="preserve">134 per year </w:t>
      </w:r>
      <w:r w:rsidRPr="00EF2DDF">
        <w:rPr>
          <w:rFonts w:ascii="Times New Roman" w:hAnsi="Times New Roman" w:cs="Times New Roman"/>
          <w:noProof/>
          <w:sz w:val="24"/>
          <w:szCs w:val="24"/>
        </w:rPr>
        <w:t>(30% of 310</w:t>
      </w:r>
      <w:r>
        <w:rPr>
          <w:rFonts w:ascii="Times New Roman" w:hAnsi="Times New Roman" w:cs="Times New Roman"/>
          <w:noProof/>
          <w:sz w:val="24"/>
          <w:szCs w:val="24"/>
        </w:rPr>
        <w:t xml:space="preserve"> </w:t>
      </w:r>
      <w:r w:rsidRPr="00EF2DDF">
        <w:rPr>
          <w:rFonts w:ascii="Times New Roman" w:hAnsi="Times New Roman" w:cs="Times New Roman"/>
          <w:noProof/>
          <w:sz w:val="24"/>
          <w:szCs w:val="24"/>
        </w:rPr>
        <w:t xml:space="preserve">447,08 (the total cost of SCHEER activities in 2019 consisting of indemnities, travel cost and daily allowances for the members). </w:t>
      </w:r>
    </w:p>
    <w:p w14:paraId="4EBEA362" w14:textId="77777777" w:rsidR="000A7D9D" w:rsidRPr="00EF2DDF" w:rsidRDefault="000A7D9D" w:rsidP="000A7D9D">
      <w:pPr>
        <w:spacing w:after="240"/>
        <w:jc w:val="both"/>
        <w:rPr>
          <w:rFonts w:ascii="Times New Roman" w:hAnsi="Times New Roman" w:cs="Times New Roman"/>
          <w:b/>
          <w:bCs/>
          <w:noProof/>
          <w:sz w:val="24"/>
          <w:szCs w:val="24"/>
        </w:rPr>
      </w:pPr>
      <w:r w:rsidRPr="00EF2DDF">
        <w:rPr>
          <w:rFonts w:ascii="Times New Roman" w:hAnsi="Times New Roman" w:cs="Times New Roman"/>
          <w:b/>
          <w:bCs/>
          <w:noProof/>
          <w:sz w:val="24"/>
          <w:szCs w:val="24"/>
        </w:rPr>
        <w:t>The total resources used</w:t>
      </w:r>
      <w:r w:rsidRPr="00EF2DDF">
        <w:rPr>
          <w:rFonts w:ascii="Times New Roman" w:hAnsi="Times New Roman" w:cs="Times New Roman"/>
          <w:noProof/>
          <w:sz w:val="24"/>
          <w:szCs w:val="24"/>
        </w:rPr>
        <w:t xml:space="preserve">: </w:t>
      </w:r>
      <w:r w:rsidRPr="00EF2DDF">
        <w:rPr>
          <w:rFonts w:ascii="Times New Roman" w:hAnsi="Times New Roman" w:cs="Times New Roman"/>
          <w:b/>
          <w:bCs/>
          <w:noProof/>
          <w:sz w:val="24"/>
          <w:szCs w:val="24"/>
        </w:rPr>
        <w:t>6</w:t>
      </w:r>
      <w:r>
        <w:rPr>
          <w:rFonts w:ascii="Times New Roman" w:hAnsi="Times New Roman" w:cs="Times New Roman"/>
          <w:b/>
          <w:bCs/>
          <w:noProof/>
          <w:sz w:val="24"/>
          <w:szCs w:val="24"/>
        </w:rPr>
        <w:t>.</w:t>
      </w:r>
      <w:r w:rsidRPr="00EF2DDF">
        <w:rPr>
          <w:rFonts w:ascii="Times New Roman" w:hAnsi="Times New Roman" w:cs="Times New Roman"/>
          <w:b/>
          <w:bCs/>
          <w:noProof/>
          <w:sz w:val="24"/>
          <w:szCs w:val="24"/>
        </w:rPr>
        <w:t>1 FTEs</w:t>
      </w:r>
      <w:r w:rsidRPr="00EF2DDF">
        <w:rPr>
          <w:rFonts w:ascii="Times New Roman" w:hAnsi="Times New Roman" w:cs="Times New Roman"/>
          <w:noProof/>
          <w:sz w:val="24"/>
          <w:szCs w:val="24"/>
        </w:rPr>
        <w:t xml:space="preserve"> (4.5 FTE/year (Scientific work) + 1.35 FTE/year (committee secretariat) + 0</w:t>
      </w:r>
      <w:r>
        <w:rPr>
          <w:rFonts w:ascii="Times New Roman" w:hAnsi="Times New Roman" w:cs="Times New Roman"/>
          <w:noProof/>
          <w:sz w:val="24"/>
          <w:szCs w:val="24"/>
        </w:rPr>
        <w:t>.</w:t>
      </w:r>
      <w:r w:rsidRPr="00EF2DDF">
        <w:rPr>
          <w:rFonts w:ascii="Times New Roman" w:hAnsi="Times New Roman" w:cs="Times New Roman"/>
          <w:noProof/>
          <w:sz w:val="24"/>
          <w:szCs w:val="24"/>
        </w:rPr>
        <w:t xml:space="preserve">25 FTE/year (impact assessment via contract)) + </w:t>
      </w:r>
      <w:r w:rsidRPr="00EF2DDF">
        <w:rPr>
          <w:rFonts w:ascii="Times New Roman" w:hAnsi="Times New Roman" w:cs="Times New Roman"/>
          <w:b/>
          <w:bCs/>
          <w:noProof/>
          <w:sz w:val="24"/>
          <w:szCs w:val="24"/>
        </w:rPr>
        <w:t>costs of renumeration of members of the committee of ca. EUR 93</w:t>
      </w:r>
      <w:r>
        <w:rPr>
          <w:rFonts w:ascii="Times New Roman" w:hAnsi="Times New Roman" w:cs="Times New Roman"/>
          <w:b/>
          <w:bCs/>
          <w:noProof/>
          <w:sz w:val="24"/>
          <w:szCs w:val="24"/>
        </w:rPr>
        <w:t xml:space="preserve"> </w:t>
      </w:r>
      <w:r w:rsidRPr="00EF2DDF">
        <w:rPr>
          <w:rFonts w:ascii="Times New Roman" w:hAnsi="Times New Roman" w:cs="Times New Roman"/>
          <w:b/>
          <w:bCs/>
          <w:noProof/>
          <w:sz w:val="24"/>
          <w:szCs w:val="24"/>
        </w:rPr>
        <w:t>134 per year</w:t>
      </w:r>
    </w:p>
    <w:p w14:paraId="028EBD73" w14:textId="77777777" w:rsidR="000A7D9D" w:rsidRPr="00EF2DDF" w:rsidRDefault="000A7D9D" w:rsidP="000A7D9D">
      <w:pPr>
        <w:spacing w:after="240"/>
        <w:rPr>
          <w:rFonts w:ascii="Times New Roman" w:hAnsi="Times New Roman" w:cs="Times New Roman"/>
          <w:noProof/>
          <w:sz w:val="24"/>
          <w:szCs w:val="24"/>
        </w:rPr>
      </w:pPr>
      <w:r w:rsidRPr="00EF2DDF">
        <w:rPr>
          <w:rFonts w:ascii="Times New Roman" w:hAnsi="Times New Roman" w:cs="Times New Roman"/>
          <w:i/>
          <w:iCs/>
          <w:noProof/>
          <w:sz w:val="24"/>
          <w:szCs w:val="24"/>
        </w:rPr>
        <w:t>Resources used currently for GWD (ground water)</w:t>
      </w:r>
    </w:p>
    <w:p w14:paraId="390685E5" w14:textId="77777777" w:rsidR="000A7D9D" w:rsidRPr="00EF2DDF" w:rsidRDefault="000A7D9D" w:rsidP="000A7D9D">
      <w:pPr>
        <w:jc w:val="both"/>
        <w:rPr>
          <w:rFonts w:ascii="Times New Roman" w:eastAsia="Calibri" w:hAnsi="Times New Roman" w:cs="Times New Roman"/>
          <w:noProof/>
          <w:sz w:val="24"/>
          <w:szCs w:val="24"/>
        </w:rPr>
      </w:pPr>
      <w:r w:rsidRPr="00EF2DDF">
        <w:rPr>
          <w:rFonts w:ascii="Times New Roman" w:eastAsia="Calibri" w:hAnsi="Times New Roman" w:cs="Times New Roman"/>
          <w:noProof/>
          <w:sz w:val="24"/>
          <w:szCs w:val="24"/>
        </w:rPr>
        <w:t>No JRC involvement currently, most work on voluntary watch list mechanism is done by MS expert group and contractor; outcome of that work is sent to SCHEER for updating of Annex I; for the current proposal of additional 4 groups of substances one single opinion was provided (one file covering all pollutants).</w:t>
      </w:r>
    </w:p>
    <w:p w14:paraId="4A4B86F9" w14:textId="77777777" w:rsidR="000A7D9D" w:rsidRPr="00EF2DDF" w:rsidRDefault="000A7D9D" w:rsidP="000A7D9D">
      <w:pPr>
        <w:jc w:val="both"/>
        <w:rPr>
          <w:rFonts w:ascii="Times New Roman" w:eastAsia="Calibri" w:hAnsi="Times New Roman" w:cs="Times New Roman"/>
          <w:noProof/>
          <w:sz w:val="24"/>
          <w:szCs w:val="24"/>
        </w:rPr>
      </w:pPr>
      <w:r w:rsidRPr="00EF2DDF">
        <w:rPr>
          <w:rFonts w:ascii="Times New Roman" w:eastAsia="Calibri" w:hAnsi="Times New Roman" w:cs="Times New Roman"/>
          <w:noProof/>
          <w:sz w:val="24"/>
          <w:szCs w:val="24"/>
        </w:rPr>
        <w:t xml:space="preserve">DG ENV consultants for voluntary watch list groundwater = 4 low volume contracts at cost of </w:t>
      </w:r>
      <w:r>
        <w:rPr>
          <w:rFonts w:ascii="Times New Roman" w:eastAsia="Calibri" w:hAnsi="Times New Roman" w:cs="Times New Roman"/>
          <w:noProof/>
          <w:sz w:val="24"/>
          <w:szCs w:val="24"/>
        </w:rPr>
        <w:t xml:space="preserve">EUR </w:t>
      </w:r>
      <w:r w:rsidRPr="00EF2DDF">
        <w:rPr>
          <w:rFonts w:ascii="Times New Roman" w:eastAsia="Calibri" w:hAnsi="Times New Roman" w:cs="Times New Roman"/>
          <w:noProof/>
          <w:sz w:val="24"/>
          <w:szCs w:val="24"/>
        </w:rPr>
        <w:t>57</w:t>
      </w:r>
      <w:r>
        <w:rPr>
          <w:rFonts w:ascii="Times New Roman" w:eastAsia="Calibri" w:hAnsi="Times New Roman" w:cs="Times New Roman"/>
          <w:noProof/>
          <w:sz w:val="24"/>
          <w:szCs w:val="24"/>
        </w:rPr>
        <w:t xml:space="preserve"> </w:t>
      </w:r>
      <w:r w:rsidRPr="00EF2DDF">
        <w:rPr>
          <w:rFonts w:ascii="Times New Roman" w:eastAsia="Calibri" w:hAnsi="Times New Roman" w:cs="Times New Roman"/>
          <w:noProof/>
          <w:sz w:val="24"/>
          <w:szCs w:val="24"/>
        </w:rPr>
        <w:t xml:space="preserve">000  = approximately 1 FTE over six years = </w:t>
      </w:r>
      <w:r>
        <w:rPr>
          <w:rFonts w:ascii="Times New Roman" w:eastAsia="Calibri" w:hAnsi="Times New Roman" w:cs="Times New Roman"/>
          <w:b/>
          <w:noProof/>
          <w:sz w:val="24"/>
          <w:szCs w:val="24"/>
        </w:rPr>
        <w:t>0.</w:t>
      </w:r>
      <w:r w:rsidRPr="00EF2DDF">
        <w:rPr>
          <w:rFonts w:ascii="Times New Roman" w:eastAsia="Calibri" w:hAnsi="Times New Roman" w:cs="Times New Roman"/>
          <w:b/>
          <w:noProof/>
          <w:sz w:val="24"/>
          <w:szCs w:val="24"/>
        </w:rPr>
        <w:t>16 FTE</w:t>
      </w:r>
      <w:r w:rsidRPr="00EF2DDF">
        <w:rPr>
          <w:rFonts w:ascii="Times New Roman" w:eastAsia="Calibri" w:hAnsi="Times New Roman" w:cs="Times New Roman"/>
          <w:noProof/>
          <w:sz w:val="24"/>
          <w:szCs w:val="24"/>
        </w:rPr>
        <w:t xml:space="preserve"> per year</w:t>
      </w:r>
    </w:p>
    <w:p w14:paraId="4E85D4B3" w14:textId="77777777" w:rsidR="000A7D9D" w:rsidRPr="00EF2DDF" w:rsidRDefault="000A7D9D" w:rsidP="000A7D9D">
      <w:pPr>
        <w:spacing w:after="240"/>
        <w:jc w:val="both"/>
        <w:rPr>
          <w:rFonts w:ascii="Times New Roman" w:hAnsi="Times New Roman" w:cs="Times New Roman"/>
          <w:noProof/>
          <w:sz w:val="24"/>
          <w:szCs w:val="24"/>
        </w:rPr>
      </w:pPr>
      <w:r w:rsidRPr="00EF2DDF">
        <w:rPr>
          <w:rFonts w:ascii="Times New Roman" w:eastAsia="Calibri" w:hAnsi="Times New Roman" w:cs="Times New Roman"/>
          <w:noProof/>
          <w:sz w:val="24"/>
          <w:szCs w:val="24"/>
        </w:rPr>
        <w:t xml:space="preserve">In addition: contributions from MS; EC and JRC permanent staff (already estimated under ‘Surface water’ and SCHEER opinion (one opinion on total amount of substances proposed for Annex I). </w:t>
      </w:r>
    </w:p>
    <w:bookmarkEnd w:id="54"/>
    <w:p w14:paraId="7F3DB37C" w14:textId="77777777" w:rsidR="000A7D9D" w:rsidRPr="00EF2DDF" w:rsidRDefault="000A7D9D" w:rsidP="000A7D9D">
      <w:pPr>
        <w:spacing w:after="240"/>
        <w:rPr>
          <w:rFonts w:ascii="Times New Roman" w:hAnsi="Times New Roman" w:cs="Times New Roman"/>
          <w:noProof/>
          <w:sz w:val="24"/>
          <w:szCs w:val="24"/>
          <w:u w:val="single"/>
        </w:rPr>
      </w:pPr>
      <w:r w:rsidRPr="00EF2DDF">
        <w:rPr>
          <w:rFonts w:ascii="Times New Roman" w:hAnsi="Times New Roman" w:cs="Times New Roman"/>
          <w:noProof/>
          <w:sz w:val="24"/>
          <w:szCs w:val="24"/>
          <w:u w:val="single"/>
        </w:rPr>
        <w:t>Future policy trends, workload drivers and ECHA resource needs</w:t>
      </w:r>
    </w:p>
    <w:p w14:paraId="7D1BA1CA" w14:textId="77777777" w:rsidR="000A7D9D" w:rsidRPr="00207447" w:rsidRDefault="000A7D9D" w:rsidP="000A7D9D">
      <w:pPr>
        <w:jc w:val="both"/>
        <w:rPr>
          <w:rFonts w:ascii="Times New Roman" w:eastAsia="Calibri" w:hAnsi="Times New Roman" w:cs="Times New Roman"/>
          <w:i/>
          <w:noProof/>
          <w:sz w:val="24"/>
          <w:szCs w:val="24"/>
        </w:rPr>
      </w:pPr>
      <w:r w:rsidRPr="00EF2DDF">
        <w:rPr>
          <w:rFonts w:ascii="Times New Roman" w:eastAsia="Calibri" w:hAnsi="Times New Roman" w:cs="Times New Roman"/>
          <w:i/>
          <w:noProof/>
          <w:sz w:val="24"/>
          <w:szCs w:val="24"/>
        </w:rPr>
        <w:t>Commission’s calculation method:</w:t>
      </w:r>
    </w:p>
    <w:p w14:paraId="281ACB6E" w14:textId="77777777" w:rsidR="000A7D9D" w:rsidRPr="00EF2DDF" w:rsidRDefault="000A7D9D" w:rsidP="000A7D9D">
      <w:pPr>
        <w:jc w:val="both"/>
        <w:rPr>
          <w:rFonts w:ascii="Times New Roman" w:eastAsia="Calibri" w:hAnsi="Times New Roman" w:cs="Times New Roman"/>
          <w:noProof/>
          <w:sz w:val="24"/>
          <w:szCs w:val="24"/>
        </w:rPr>
      </w:pPr>
      <w:r w:rsidRPr="00EF2DDF">
        <w:rPr>
          <w:rFonts w:ascii="Times New Roman" w:eastAsia="Calibri" w:hAnsi="Times New Roman" w:cs="Times New Roman"/>
          <w:noProof/>
          <w:sz w:val="24"/>
          <w:szCs w:val="24"/>
        </w:rPr>
        <w:t>If we estimate the additional cost of the new tasks introduced under the proposal, i.e. additional 2 EQS per year for Annex II EQSD and GWD and additional 1,5 substances/pollutants to be identified per year for Watch List GW (proposed 5 substances every 3 years, i.e. 10 over</w:t>
      </w:r>
      <w:r>
        <w:rPr>
          <w:rFonts w:ascii="Times New Roman" w:eastAsia="Calibri" w:hAnsi="Times New Roman" w:cs="Times New Roman"/>
          <w:noProof/>
          <w:sz w:val="24"/>
          <w:szCs w:val="24"/>
        </w:rPr>
        <w:t xml:space="preserve"> six years i.e. approximately 1.</w:t>
      </w:r>
      <w:r w:rsidRPr="00EF2DDF">
        <w:rPr>
          <w:rFonts w:ascii="Times New Roman" w:eastAsia="Calibri" w:hAnsi="Times New Roman" w:cs="Times New Roman"/>
          <w:noProof/>
          <w:sz w:val="24"/>
          <w:szCs w:val="24"/>
        </w:rPr>
        <w:t>5 per year): so this would add up to app</w:t>
      </w:r>
      <w:r>
        <w:rPr>
          <w:rFonts w:ascii="Times New Roman" w:eastAsia="Calibri" w:hAnsi="Times New Roman" w:cs="Times New Roman"/>
          <w:noProof/>
          <w:sz w:val="24"/>
          <w:szCs w:val="24"/>
        </w:rPr>
        <w:t>roximately 35% of the current 6.</w:t>
      </w:r>
      <w:r w:rsidRPr="00EF2DDF">
        <w:rPr>
          <w:rFonts w:ascii="Times New Roman" w:eastAsia="Calibri" w:hAnsi="Times New Roman" w:cs="Times New Roman"/>
          <w:noProof/>
          <w:sz w:val="24"/>
          <w:szCs w:val="24"/>
        </w:rPr>
        <w:t>26 FTE (4 opinions per year, plus Watch List with double amount of substances), i.e. in total 6</w:t>
      </w:r>
      <w:r>
        <w:rPr>
          <w:rFonts w:ascii="Times New Roman" w:eastAsia="Calibri" w:hAnsi="Times New Roman" w:cs="Times New Roman"/>
          <w:noProof/>
          <w:sz w:val="24"/>
          <w:szCs w:val="24"/>
        </w:rPr>
        <w:t>.</w:t>
      </w:r>
      <w:r w:rsidRPr="00EF2DDF">
        <w:rPr>
          <w:rFonts w:ascii="Times New Roman" w:eastAsia="Calibri" w:hAnsi="Times New Roman" w:cs="Times New Roman"/>
          <w:noProof/>
          <w:sz w:val="24"/>
          <w:szCs w:val="24"/>
        </w:rPr>
        <w:t>26 FTE plus 2</w:t>
      </w:r>
      <w:r>
        <w:rPr>
          <w:rFonts w:ascii="Times New Roman" w:eastAsia="Calibri" w:hAnsi="Times New Roman" w:cs="Times New Roman"/>
          <w:noProof/>
          <w:sz w:val="24"/>
          <w:szCs w:val="24"/>
        </w:rPr>
        <w:t>.</w:t>
      </w:r>
      <w:r w:rsidRPr="00EF2DDF">
        <w:rPr>
          <w:rFonts w:ascii="Times New Roman" w:eastAsia="Calibri" w:hAnsi="Times New Roman" w:cs="Times New Roman"/>
          <w:noProof/>
          <w:sz w:val="24"/>
          <w:szCs w:val="24"/>
        </w:rPr>
        <w:t xml:space="preserve">25 FTE which </w:t>
      </w:r>
      <w:r>
        <w:rPr>
          <w:rFonts w:ascii="Times New Roman" w:eastAsia="Calibri" w:hAnsi="Times New Roman" w:cs="Times New Roman"/>
          <w:b/>
          <w:bCs/>
          <w:noProof/>
          <w:sz w:val="24"/>
          <w:szCs w:val="24"/>
        </w:rPr>
        <w:t>would make approximately 8.</w:t>
      </w:r>
      <w:r w:rsidRPr="00EF2DDF">
        <w:rPr>
          <w:rFonts w:ascii="Times New Roman" w:eastAsia="Calibri" w:hAnsi="Times New Roman" w:cs="Times New Roman"/>
          <w:b/>
          <w:bCs/>
          <w:noProof/>
          <w:sz w:val="24"/>
          <w:szCs w:val="24"/>
        </w:rPr>
        <w:t>5 FTE</w:t>
      </w:r>
      <w:r w:rsidRPr="00EF2DDF">
        <w:rPr>
          <w:rFonts w:ascii="Times New Roman" w:eastAsia="Calibri" w:hAnsi="Times New Roman" w:cs="Times New Roman"/>
          <w:noProof/>
          <w:sz w:val="24"/>
          <w:szCs w:val="24"/>
        </w:rPr>
        <w:t>.</w:t>
      </w:r>
    </w:p>
    <w:p w14:paraId="26FAF6FB" w14:textId="77777777" w:rsidR="000A7D9D" w:rsidRPr="00EF2DDF" w:rsidRDefault="000A7D9D" w:rsidP="000A7D9D">
      <w:pPr>
        <w:jc w:val="both"/>
        <w:rPr>
          <w:rFonts w:ascii="Times New Roman" w:eastAsia="Calibri" w:hAnsi="Times New Roman" w:cs="Times New Roman"/>
          <w:noProof/>
          <w:sz w:val="24"/>
          <w:szCs w:val="24"/>
        </w:rPr>
      </w:pPr>
      <w:r w:rsidRPr="00EF2DDF">
        <w:rPr>
          <w:rFonts w:ascii="Times New Roman" w:eastAsia="Calibri" w:hAnsi="Times New Roman" w:cs="Times New Roman"/>
          <w:noProof/>
          <w:sz w:val="24"/>
          <w:szCs w:val="24"/>
        </w:rPr>
        <w:t>To compare this estimate of current expenditure with the proposal from ECHA we would need to add the estimated amount for the development and/or identification of monitoring and analysis methods for total PFAS (note that for microplastics and for AMR, since these will be part of the ‘normal’ Watch list mechanism, the identification of methodologies would supposedly be covered by the normal ‘Watch list support’);</w:t>
      </w:r>
    </w:p>
    <w:p w14:paraId="04E1C19F" w14:textId="77777777" w:rsidR="000A7D9D" w:rsidRPr="00EF2DDF" w:rsidRDefault="000A7D9D" w:rsidP="000A7D9D">
      <w:pPr>
        <w:spacing w:after="240"/>
        <w:jc w:val="both"/>
        <w:rPr>
          <w:rFonts w:ascii="Times New Roman" w:hAnsi="Times New Roman" w:cs="Times New Roman"/>
          <w:noProof/>
          <w:sz w:val="24"/>
          <w:szCs w:val="24"/>
        </w:rPr>
      </w:pPr>
      <w:r w:rsidRPr="00EF2DDF">
        <w:rPr>
          <w:rFonts w:ascii="Times New Roman" w:eastAsia="Calibri" w:hAnsi="Times New Roman" w:cs="Times New Roman"/>
          <w:noProof/>
          <w:sz w:val="24"/>
          <w:szCs w:val="24"/>
        </w:rPr>
        <w:t>For JRC is currently working on a methodology for measuring microplastics in drinking water (budget of EUR 300 000), to be adopted by delegated act in Jan 2024. A contract is being launched for the development of technical guidelines on analytical methods for PFAS (mainly ‘PFAS Total’) in drinking water (budget EUR 200 000); also to be established by Jan 2024. It is likely that the work required for developing or identifying methodologies for microplastics and total PFAS in surface and in groundwater bodies will benefit from the work carried out under the drinking water directive, possibly resulting in slightly lower estimates.</w:t>
      </w:r>
    </w:p>
    <w:p w14:paraId="63CD9A58" w14:textId="77777777" w:rsidR="000A7D9D" w:rsidRPr="00EF2DDF" w:rsidRDefault="000A7D9D" w:rsidP="000A7D9D">
      <w:pPr>
        <w:spacing w:after="240"/>
        <w:rPr>
          <w:rFonts w:ascii="Times New Roman" w:hAnsi="Times New Roman" w:cs="Times New Roman"/>
          <w:i/>
          <w:noProof/>
          <w:sz w:val="24"/>
          <w:szCs w:val="24"/>
        </w:rPr>
      </w:pPr>
      <w:r w:rsidRPr="00EF2DDF">
        <w:rPr>
          <w:rFonts w:ascii="Times New Roman" w:hAnsi="Times New Roman" w:cs="Times New Roman"/>
          <w:i/>
          <w:noProof/>
          <w:sz w:val="24"/>
          <w:szCs w:val="24"/>
        </w:rPr>
        <w:t>ECHA’s calculation method:</w:t>
      </w:r>
    </w:p>
    <w:p w14:paraId="61A71AE7" w14:textId="77777777" w:rsidR="000A7D9D" w:rsidRPr="00EF2DDF" w:rsidRDefault="000A7D9D" w:rsidP="000A7D9D">
      <w:pPr>
        <w:spacing w:after="240"/>
        <w:jc w:val="both"/>
        <w:rPr>
          <w:rFonts w:ascii="Times New Roman" w:hAnsi="Times New Roman" w:cs="Times New Roman"/>
          <w:noProof/>
          <w:sz w:val="24"/>
          <w:szCs w:val="24"/>
        </w:rPr>
      </w:pPr>
      <w:r w:rsidRPr="00EF2DDF">
        <w:rPr>
          <w:rFonts w:ascii="Times New Roman" w:hAnsi="Times New Roman" w:cs="Times New Roman"/>
          <w:noProof/>
          <w:sz w:val="24"/>
          <w:szCs w:val="24"/>
        </w:rPr>
        <w:t>The priority setting process is similar work to REACH Annex XIV prioritisation, while the setting of EQS as well as reviewing the substances and quality standards in Annexes I and II to the GWD) is assumed similar to deriving Occupational Exposure Limits (OELs), with an average cost in ECHA of 0</w:t>
      </w:r>
      <w:r>
        <w:rPr>
          <w:rFonts w:ascii="Times New Roman" w:hAnsi="Times New Roman" w:cs="Times New Roman"/>
          <w:noProof/>
          <w:sz w:val="24"/>
          <w:szCs w:val="24"/>
        </w:rPr>
        <w:t>.</w:t>
      </w:r>
      <w:r w:rsidRPr="00EF2DDF">
        <w:rPr>
          <w:rFonts w:ascii="Times New Roman" w:hAnsi="Times New Roman" w:cs="Times New Roman"/>
          <w:noProof/>
          <w:sz w:val="24"/>
          <w:szCs w:val="24"/>
        </w:rPr>
        <w:t>7 FTE / substance. This however does not yet include the provision of a socio-economic analysis / impact assessment via the SEAC committee, which would add an additional 0</w:t>
      </w:r>
      <w:r>
        <w:rPr>
          <w:rFonts w:ascii="Times New Roman" w:hAnsi="Times New Roman" w:cs="Times New Roman"/>
          <w:noProof/>
          <w:sz w:val="24"/>
          <w:szCs w:val="24"/>
        </w:rPr>
        <w:t>.</w:t>
      </w:r>
      <w:r w:rsidRPr="00EF2DDF">
        <w:rPr>
          <w:rFonts w:ascii="Times New Roman" w:hAnsi="Times New Roman" w:cs="Times New Roman"/>
          <w:noProof/>
          <w:sz w:val="24"/>
          <w:szCs w:val="24"/>
        </w:rPr>
        <w:t>3-0</w:t>
      </w:r>
      <w:r>
        <w:rPr>
          <w:rFonts w:ascii="Times New Roman" w:hAnsi="Times New Roman" w:cs="Times New Roman"/>
          <w:noProof/>
          <w:sz w:val="24"/>
          <w:szCs w:val="24"/>
        </w:rPr>
        <w:t>.</w:t>
      </w:r>
      <w:r w:rsidRPr="00EF2DDF">
        <w:rPr>
          <w:rFonts w:ascii="Times New Roman" w:hAnsi="Times New Roman" w:cs="Times New Roman"/>
          <w:noProof/>
          <w:sz w:val="24"/>
          <w:szCs w:val="24"/>
        </w:rPr>
        <w:t>5 FTE (estimate made in the past for possible socio-economic assessment work for OELs).</w:t>
      </w:r>
    </w:p>
    <w:p w14:paraId="62BFF033" w14:textId="77777777" w:rsidR="000A7D9D" w:rsidRPr="00EF2DDF" w:rsidRDefault="000A7D9D" w:rsidP="000A7D9D">
      <w:pPr>
        <w:spacing w:after="240"/>
        <w:jc w:val="both"/>
        <w:rPr>
          <w:rFonts w:ascii="Times New Roman" w:hAnsi="Times New Roman" w:cs="Times New Roman"/>
          <w:noProof/>
          <w:sz w:val="24"/>
          <w:szCs w:val="24"/>
        </w:rPr>
      </w:pPr>
      <w:r w:rsidRPr="00EF2DDF">
        <w:rPr>
          <w:rFonts w:ascii="Times New Roman" w:hAnsi="Times New Roman" w:cs="Times New Roman"/>
          <w:noProof/>
          <w:sz w:val="24"/>
          <w:szCs w:val="24"/>
        </w:rPr>
        <w:t>Also, the surface water and groundwater watchlist process, and especially the setting of PNECs, is assumed similar to deriving OELs, with an average cost in ECHA of 0</w:t>
      </w:r>
      <w:r>
        <w:rPr>
          <w:rFonts w:ascii="Times New Roman" w:hAnsi="Times New Roman" w:cs="Times New Roman"/>
          <w:noProof/>
          <w:sz w:val="24"/>
          <w:szCs w:val="24"/>
        </w:rPr>
        <w:t>.</w:t>
      </w:r>
      <w:r w:rsidRPr="00EF2DDF">
        <w:rPr>
          <w:rFonts w:ascii="Times New Roman" w:hAnsi="Times New Roman" w:cs="Times New Roman"/>
          <w:noProof/>
          <w:sz w:val="24"/>
          <w:szCs w:val="24"/>
        </w:rPr>
        <w:t>7 FTE / substance. However, this process would potentially not include committee opinion forming, so the cost is estimated to be half lighter at 0</w:t>
      </w:r>
      <w:r>
        <w:rPr>
          <w:rFonts w:ascii="Times New Roman" w:hAnsi="Times New Roman" w:cs="Times New Roman"/>
          <w:noProof/>
          <w:sz w:val="24"/>
          <w:szCs w:val="24"/>
        </w:rPr>
        <w:t>.</w:t>
      </w:r>
      <w:r w:rsidRPr="00EF2DDF">
        <w:rPr>
          <w:rFonts w:ascii="Times New Roman" w:hAnsi="Times New Roman" w:cs="Times New Roman"/>
          <w:noProof/>
          <w:sz w:val="24"/>
          <w:szCs w:val="24"/>
        </w:rPr>
        <w:t>35 FTE / substance.</w:t>
      </w:r>
    </w:p>
    <w:p w14:paraId="786EBE06" w14:textId="77777777" w:rsidR="000A7D9D" w:rsidRPr="00EF2DDF" w:rsidRDefault="000A7D9D" w:rsidP="00B0412E">
      <w:pPr>
        <w:spacing w:after="240"/>
        <w:jc w:val="both"/>
        <w:rPr>
          <w:rFonts w:ascii="Times New Roman" w:hAnsi="Times New Roman" w:cs="Times New Roman"/>
          <w:noProof/>
          <w:sz w:val="24"/>
          <w:szCs w:val="24"/>
        </w:rPr>
      </w:pPr>
      <w:r w:rsidRPr="00EF2DDF">
        <w:rPr>
          <w:rFonts w:ascii="Times New Roman" w:hAnsi="Times New Roman" w:cs="Times New Roman"/>
          <w:noProof/>
          <w:sz w:val="24"/>
          <w:szCs w:val="24"/>
        </w:rPr>
        <w:t>Annual ECHA resource needs:</w:t>
      </w:r>
    </w:p>
    <w:p w14:paraId="4B7CE2CA" w14:textId="77777777" w:rsidR="000A7D9D" w:rsidRPr="00EF2DDF" w:rsidRDefault="000A7D9D" w:rsidP="00B0412E">
      <w:pPr>
        <w:widowControl w:val="0"/>
        <w:numPr>
          <w:ilvl w:val="0"/>
          <w:numId w:val="92"/>
        </w:numPr>
        <w:spacing w:after="0" w:line="240" w:lineRule="auto"/>
        <w:contextualSpacing/>
        <w:jc w:val="both"/>
        <w:rPr>
          <w:rFonts w:ascii="Times New Roman" w:hAnsi="Times New Roman" w:cs="Times New Roman"/>
          <w:noProof/>
          <w:sz w:val="24"/>
          <w:szCs w:val="24"/>
        </w:rPr>
      </w:pPr>
      <w:r w:rsidRPr="00EF2DDF">
        <w:rPr>
          <w:rFonts w:ascii="Times New Roman" w:hAnsi="Times New Roman" w:cs="Times New Roman"/>
          <w:noProof/>
          <w:sz w:val="24"/>
          <w:szCs w:val="24"/>
        </w:rPr>
        <w:t>The following resource estimates correspond to the “ECHA way”, i.e. implementing similar processes and similar level of digitalisation to what is in place for ECHA’s current tasks. Such examples would be the creation of registries of intentions and the dissemination of lists (watch lists, priority lists) as structured data. The benefit of this approach is to ensure a consistent standard of scientific quality, transparency, data searchability and interoperability.</w:t>
      </w:r>
    </w:p>
    <w:p w14:paraId="11154DE8" w14:textId="77777777" w:rsidR="000A7D9D" w:rsidRPr="00EF2DDF" w:rsidRDefault="000A7D9D" w:rsidP="00B0412E">
      <w:pPr>
        <w:widowControl w:val="0"/>
        <w:numPr>
          <w:ilvl w:val="0"/>
          <w:numId w:val="92"/>
        </w:numPr>
        <w:spacing w:after="0" w:line="240" w:lineRule="auto"/>
        <w:contextualSpacing/>
        <w:jc w:val="both"/>
        <w:rPr>
          <w:rFonts w:ascii="Times New Roman" w:hAnsi="Times New Roman" w:cs="Times New Roman"/>
          <w:noProof/>
          <w:sz w:val="24"/>
          <w:szCs w:val="24"/>
        </w:rPr>
      </w:pPr>
      <w:r w:rsidRPr="00EF2DDF">
        <w:rPr>
          <w:rFonts w:ascii="Times New Roman" w:hAnsi="Times New Roman" w:cs="Times New Roman"/>
          <w:b/>
          <w:bCs/>
          <w:noProof/>
          <w:sz w:val="24"/>
          <w:szCs w:val="24"/>
        </w:rPr>
        <w:t>Both for Groundwater and surface water</w:t>
      </w:r>
      <w:r w:rsidRPr="00EF2DDF">
        <w:rPr>
          <w:rFonts w:ascii="Times New Roman" w:hAnsi="Times New Roman" w:cs="Times New Roman"/>
          <w:noProof/>
          <w:sz w:val="24"/>
          <w:szCs w:val="24"/>
        </w:rPr>
        <w:t xml:space="preserve">: verification of the suitability and availability of monitoring and analytical methods not entailing significant costs, and compilation of information on these for MS: </w:t>
      </w:r>
      <w:r w:rsidRPr="00EF2DDF">
        <w:rPr>
          <w:rFonts w:ascii="Times New Roman" w:hAnsi="Times New Roman" w:cs="Times New Roman"/>
          <w:b/>
          <w:noProof/>
          <w:sz w:val="24"/>
          <w:szCs w:val="24"/>
        </w:rPr>
        <w:t>0</w:t>
      </w:r>
      <w:r>
        <w:rPr>
          <w:rFonts w:ascii="Times New Roman" w:hAnsi="Times New Roman" w:cs="Times New Roman"/>
          <w:b/>
          <w:noProof/>
          <w:sz w:val="24"/>
          <w:szCs w:val="24"/>
        </w:rPr>
        <w:t>.</w:t>
      </w:r>
      <w:r w:rsidRPr="00EF2DDF">
        <w:rPr>
          <w:rFonts w:ascii="Times New Roman" w:hAnsi="Times New Roman" w:cs="Times New Roman"/>
          <w:b/>
          <w:noProof/>
          <w:sz w:val="24"/>
          <w:szCs w:val="24"/>
        </w:rPr>
        <w:t>5 FTE</w:t>
      </w:r>
      <w:r w:rsidRPr="00EF2DDF">
        <w:rPr>
          <w:rFonts w:ascii="Times New Roman" w:hAnsi="Times New Roman" w:cs="Times New Roman"/>
          <w:noProof/>
          <w:sz w:val="24"/>
          <w:szCs w:val="24"/>
        </w:rPr>
        <w:t xml:space="preserve"> for running a public consultation on available methods, scientific support and contract management of the second part of the task to assess suitability of analytical methods which would be outsourced to a scientific institute at ca. </w:t>
      </w:r>
      <w:r>
        <w:rPr>
          <w:rFonts w:ascii="Times New Roman" w:hAnsi="Times New Roman" w:cs="Times New Roman"/>
          <w:noProof/>
          <w:sz w:val="24"/>
          <w:szCs w:val="24"/>
        </w:rPr>
        <w:t xml:space="preserve">EUR </w:t>
      </w:r>
      <w:r w:rsidRPr="00EF2DDF">
        <w:rPr>
          <w:rFonts w:ascii="Times New Roman" w:hAnsi="Times New Roman" w:cs="Times New Roman"/>
          <w:noProof/>
          <w:sz w:val="24"/>
          <w:szCs w:val="24"/>
        </w:rPr>
        <w:t>70</w:t>
      </w:r>
      <w:r>
        <w:rPr>
          <w:rFonts w:ascii="Times New Roman" w:hAnsi="Times New Roman" w:cs="Times New Roman"/>
          <w:noProof/>
          <w:sz w:val="24"/>
          <w:szCs w:val="24"/>
        </w:rPr>
        <w:t xml:space="preserve"> 000</w:t>
      </w:r>
      <w:r w:rsidRPr="00EF2DDF">
        <w:rPr>
          <w:rFonts w:ascii="Times New Roman" w:hAnsi="Times New Roman" w:cs="Times New Roman"/>
          <w:noProof/>
          <w:sz w:val="24"/>
          <w:szCs w:val="24"/>
        </w:rPr>
        <w:t xml:space="preserve"> annually;</w:t>
      </w:r>
    </w:p>
    <w:p w14:paraId="795A6DAF" w14:textId="77777777" w:rsidR="000A7D9D" w:rsidRPr="00EF2DDF" w:rsidRDefault="000A7D9D" w:rsidP="00B0412E">
      <w:pPr>
        <w:widowControl w:val="0"/>
        <w:numPr>
          <w:ilvl w:val="0"/>
          <w:numId w:val="92"/>
        </w:numPr>
        <w:spacing w:after="0" w:line="240" w:lineRule="auto"/>
        <w:contextualSpacing/>
        <w:jc w:val="both"/>
        <w:rPr>
          <w:rFonts w:ascii="Times New Roman" w:hAnsi="Times New Roman" w:cs="Times New Roman"/>
          <w:noProof/>
          <w:sz w:val="24"/>
          <w:szCs w:val="24"/>
        </w:rPr>
      </w:pPr>
      <w:r w:rsidRPr="00EF2DDF">
        <w:rPr>
          <w:rFonts w:ascii="Times New Roman" w:hAnsi="Times New Roman" w:cs="Times New Roman"/>
          <w:noProof/>
          <w:color w:val="000000"/>
          <w:sz w:val="24"/>
          <w:szCs w:val="24"/>
        </w:rPr>
        <w:t>Identification of suitable monitoring and analytical methods for microplastics, PFAS and AMR within two years after entry into force: resource needs covered under the bullet point above;</w:t>
      </w:r>
    </w:p>
    <w:p w14:paraId="1D2EB974" w14:textId="77777777" w:rsidR="000A7D9D" w:rsidRPr="00EF2DDF" w:rsidRDefault="000A7D9D" w:rsidP="00B0412E">
      <w:pPr>
        <w:widowControl w:val="0"/>
        <w:numPr>
          <w:ilvl w:val="0"/>
          <w:numId w:val="92"/>
        </w:numPr>
        <w:spacing w:after="0" w:line="240" w:lineRule="auto"/>
        <w:contextualSpacing/>
        <w:jc w:val="both"/>
        <w:rPr>
          <w:rFonts w:ascii="Times New Roman" w:hAnsi="Times New Roman" w:cs="Times New Roman"/>
          <w:noProof/>
          <w:sz w:val="24"/>
          <w:szCs w:val="24"/>
        </w:rPr>
      </w:pPr>
      <w:r w:rsidRPr="00EF2DDF">
        <w:rPr>
          <w:rFonts w:ascii="Times New Roman" w:hAnsi="Times New Roman" w:cs="Times New Roman"/>
          <w:noProof/>
          <w:sz w:val="24"/>
          <w:szCs w:val="24"/>
        </w:rPr>
        <w:t xml:space="preserve">Identifying and setting PNECs for 5 </w:t>
      </w:r>
      <w:r w:rsidRPr="00EF2DDF">
        <w:rPr>
          <w:rFonts w:ascii="Times New Roman" w:hAnsi="Times New Roman" w:cs="Times New Roman"/>
          <w:b/>
          <w:bCs/>
          <w:noProof/>
          <w:sz w:val="24"/>
          <w:szCs w:val="24"/>
        </w:rPr>
        <w:t>groundwater</w:t>
      </w:r>
      <w:r w:rsidRPr="00EF2DDF">
        <w:rPr>
          <w:rFonts w:ascii="Times New Roman" w:hAnsi="Times New Roman" w:cs="Times New Roman"/>
          <w:noProof/>
          <w:sz w:val="24"/>
          <w:szCs w:val="24"/>
        </w:rPr>
        <w:t xml:space="preserve"> watch list substances every 3 years: </w:t>
      </w:r>
      <w:r>
        <w:rPr>
          <w:rFonts w:ascii="Times New Roman" w:hAnsi="Times New Roman" w:cs="Times New Roman"/>
          <w:b/>
          <w:noProof/>
          <w:sz w:val="24"/>
          <w:szCs w:val="24"/>
        </w:rPr>
        <w:t>0.</w:t>
      </w:r>
      <w:r w:rsidRPr="00EF2DDF">
        <w:rPr>
          <w:rFonts w:ascii="Times New Roman" w:hAnsi="Times New Roman" w:cs="Times New Roman"/>
          <w:b/>
          <w:noProof/>
          <w:sz w:val="24"/>
          <w:szCs w:val="24"/>
        </w:rPr>
        <w:t>5 FTE annually</w:t>
      </w:r>
      <w:r w:rsidRPr="00EF2DDF">
        <w:rPr>
          <w:rFonts w:ascii="Times New Roman" w:hAnsi="Times New Roman" w:cs="Times New Roman"/>
          <w:noProof/>
          <w:sz w:val="24"/>
          <w:szCs w:val="24"/>
        </w:rPr>
        <w:t xml:space="preserve"> (~unit cost of 1 ‘light’ OEL wi</w:t>
      </w:r>
      <w:r>
        <w:rPr>
          <w:rFonts w:ascii="Times New Roman" w:hAnsi="Times New Roman" w:cs="Times New Roman"/>
          <w:noProof/>
          <w:sz w:val="24"/>
          <w:szCs w:val="24"/>
        </w:rPr>
        <w:t>thout committee involvement = 0.</w:t>
      </w:r>
      <w:r w:rsidRPr="00EF2DDF">
        <w:rPr>
          <w:rFonts w:ascii="Times New Roman" w:hAnsi="Times New Roman" w:cs="Times New Roman"/>
          <w:noProof/>
          <w:sz w:val="24"/>
          <w:szCs w:val="24"/>
        </w:rPr>
        <w:t>35 FTE);</w:t>
      </w:r>
    </w:p>
    <w:p w14:paraId="248D59C1" w14:textId="77777777" w:rsidR="000A7D9D" w:rsidRPr="00EF2DDF" w:rsidRDefault="000A7D9D" w:rsidP="00B0412E">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00EF2DDF">
        <w:rPr>
          <w:rFonts w:ascii="Times New Roman" w:hAnsi="Times New Roman" w:cs="Times New Roman"/>
          <w:b/>
          <w:bCs/>
          <w:noProof/>
          <w:sz w:val="24"/>
          <w:szCs w:val="24"/>
        </w:rPr>
        <w:t>Groundwater</w:t>
      </w:r>
      <w:r w:rsidRPr="00EF2DDF">
        <w:rPr>
          <w:rFonts w:ascii="Times New Roman" w:hAnsi="Times New Roman" w:cs="Times New Roman"/>
          <w:noProof/>
          <w:sz w:val="24"/>
          <w:szCs w:val="24"/>
        </w:rPr>
        <w:t xml:space="preserve">: Specific technical work on six-yearly review of the pollutants and quality standards in Annex I and possible updating of Annex II (listing pollutants for which MS must set national thresholds) to the GWD: six year cycle review of the pollutants listed in the two annexes and of the quality standards in Annex I. Development of proposals for the amendment of Annexes I and II, based on scientific and technical evidence: review 1 substance annually: </w:t>
      </w:r>
      <w:r w:rsidRPr="00EF2DDF">
        <w:rPr>
          <w:rFonts w:ascii="Times New Roman" w:hAnsi="Times New Roman" w:cs="Times New Roman"/>
          <w:b/>
          <w:noProof/>
          <w:sz w:val="24"/>
          <w:szCs w:val="24"/>
        </w:rPr>
        <w:t>1 FTE</w:t>
      </w:r>
      <w:r w:rsidRPr="00EF2DDF">
        <w:rPr>
          <w:rFonts w:ascii="Times New Roman" w:hAnsi="Times New Roman" w:cs="Times New Roman"/>
          <w:noProof/>
          <w:sz w:val="24"/>
          <w:szCs w:val="24"/>
        </w:rPr>
        <w:t xml:space="preserve"> </w:t>
      </w:r>
      <w:r w:rsidRPr="00EF2DDF">
        <w:rPr>
          <w:rFonts w:ascii="Times New Roman" w:hAnsi="Times New Roman" w:cs="Times New Roman"/>
          <w:b/>
          <w:noProof/>
          <w:sz w:val="24"/>
          <w:szCs w:val="24"/>
        </w:rPr>
        <w:t>annually</w:t>
      </w:r>
      <w:r w:rsidRPr="00EF2DDF">
        <w:rPr>
          <w:rFonts w:ascii="Times New Roman" w:hAnsi="Times New Roman" w:cs="Times New Roman"/>
          <w:noProof/>
          <w:sz w:val="24"/>
          <w:szCs w:val="24"/>
        </w:rPr>
        <w:t xml:space="preserve"> (~unit cost of 1 OEL, incl. RAC + SEAC = 1 FTE);</w:t>
      </w:r>
    </w:p>
    <w:p w14:paraId="5DB906F2" w14:textId="77777777" w:rsidR="000A7D9D" w:rsidRPr="00EF2DDF" w:rsidRDefault="000A7D9D" w:rsidP="00B0412E">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00EF2DDF">
        <w:rPr>
          <w:rFonts w:ascii="Times New Roman" w:hAnsi="Times New Roman" w:cs="Times New Roman"/>
          <w:noProof/>
          <w:sz w:val="24"/>
          <w:szCs w:val="24"/>
        </w:rPr>
        <w:t xml:space="preserve">Priority setting process </w:t>
      </w:r>
      <w:r w:rsidRPr="00EF2DDF">
        <w:rPr>
          <w:rFonts w:ascii="Times New Roman" w:hAnsi="Times New Roman" w:cs="Times New Roman"/>
          <w:b/>
          <w:bCs/>
          <w:noProof/>
          <w:sz w:val="24"/>
          <w:szCs w:val="24"/>
        </w:rPr>
        <w:t>groundwater</w:t>
      </w:r>
      <w:r w:rsidRPr="00EF2DDF">
        <w:rPr>
          <w:rFonts w:ascii="Times New Roman" w:hAnsi="Times New Roman" w:cs="Times New Roman"/>
          <w:noProof/>
          <w:sz w:val="24"/>
          <w:szCs w:val="24"/>
        </w:rPr>
        <w:t xml:space="preserve">, identifying substances where national thresholds apply but wide divergences exist, identification of EU wide thresholds for pollutants in Annex II; one per year, to be included in a delegated act every six years: </w:t>
      </w:r>
      <w:r w:rsidRPr="00EF2DDF">
        <w:rPr>
          <w:rFonts w:ascii="Times New Roman" w:hAnsi="Times New Roman" w:cs="Times New Roman"/>
          <w:b/>
          <w:bCs/>
          <w:noProof/>
          <w:sz w:val="24"/>
          <w:szCs w:val="24"/>
        </w:rPr>
        <w:t>1 FTE annually</w:t>
      </w:r>
      <w:r w:rsidRPr="00EF2DDF">
        <w:rPr>
          <w:rFonts w:ascii="Times New Roman" w:hAnsi="Times New Roman" w:cs="Times New Roman"/>
          <w:noProof/>
          <w:sz w:val="24"/>
          <w:szCs w:val="24"/>
        </w:rPr>
        <w:t xml:space="preserve"> (~unit cost of 1 OEL, incl. RAC + SEAC = 1 FTE);</w:t>
      </w:r>
    </w:p>
    <w:p w14:paraId="1E4C56D8" w14:textId="77777777" w:rsidR="000A7D9D" w:rsidRPr="00EF2DDF" w:rsidRDefault="000A7D9D" w:rsidP="00B0412E">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00EF2DDF">
        <w:rPr>
          <w:rFonts w:ascii="Times New Roman" w:hAnsi="Times New Roman" w:cs="Times New Roman"/>
          <w:noProof/>
          <w:sz w:val="24"/>
          <w:szCs w:val="24"/>
        </w:rPr>
        <w:t xml:space="preserve">Identifying and setting PNECs for 10 </w:t>
      </w:r>
      <w:r w:rsidRPr="00EF2DDF">
        <w:rPr>
          <w:rFonts w:ascii="Times New Roman" w:hAnsi="Times New Roman" w:cs="Times New Roman"/>
          <w:b/>
          <w:bCs/>
          <w:noProof/>
          <w:sz w:val="24"/>
          <w:szCs w:val="24"/>
        </w:rPr>
        <w:t>surface water</w:t>
      </w:r>
      <w:r w:rsidRPr="00EF2DDF">
        <w:rPr>
          <w:rFonts w:ascii="Times New Roman" w:hAnsi="Times New Roman" w:cs="Times New Roman"/>
          <w:noProof/>
          <w:sz w:val="24"/>
          <w:szCs w:val="24"/>
        </w:rPr>
        <w:t xml:space="preserve"> watch list substances every 3 years: </w:t>
      </w:r>
      <w:r>
        <w:rPr>
          <w:rFonts w:ascii="Times New Roman" w:hAnsi="Times New Roman" w:cs="Times New Roman"/>
          <w:b/>
          <w:noProof/>
          <w:sz w:val="24"/>
          <w:szCs w:val="24"/>
        </w:rPr>
        <w:t>1.</w:t>
      </w:r>
      <w:r w:rsidRPr="00EF2DDF">
        <w:rPr>
          <w:rFonts w:ascii="Times New Roman" w:hAnsi="Times New Roman" w:cs="Times New Roman"/>
          <w:b/>
          <w:noProof/>
          <w:sz w:val="24"/>
          <w:szCs w:val="24"/>
        </w:rPr>
        <w:t>05 FTE annually</w:t>
      </w:r>
      <w:r w:rsidRPr="00EF2DDF">
        <w:rPr>
          <w:rFonts w:ascii="Times New Roman" w:hAnsi="Times New Roman" w:cs="Times New Roman"/>
          <w:noProof/>
          <w:sz w:val="24"/>
          <w:szCs w:val="24"/>
        </w:rPr>
        <w:t xml:space="preserve"> (~unit cost of 1 ‘light’ OEL without committee involvement = 0</w:t>
      </w:r>
      <w:r>
        <w:rPr>
          <w:rFonts w:ascii="Times New Roman" w:hAnsi="Times New Roman" w:cs="Times New Roman"/>
          <w:noProof/>
          <w:sz w:val="24"/>
          <w:szCs w:val="24"/>
        </w:rPr>
        <w:t>.</w:t>
      </w:r>
      <w:r w:rsidRPr="00EF2DDF">
        <w:rPr>
          <w:rFonts w:ascii="Times New Roman" w:hAnsi="Times New Roman" w:cs="Times New Roman"/>
          <w:noProof/>
          <w:sz w:val="24"/>
          <w:szCs w:val="24"/>
        </w:rPr>
        <w:t>35 FTE);</w:t>
      </w:r>
    </w:p>
    <w:p w14:paraId="71AC69A4" w14:textId="77777777" w:rsidR="000A7D9D" w:rsidRPr="00EF2DDF" w:rsidRDefault="000A7D9D" w:rsidP="00B0412E">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00EF2DDF">
        <w:rPr>
          <w:rFonts w:ascii="Times New Roman" w:hAnsi="Times New Roman" w:cs="Times New Roman"/>
          <w:noProof/>
          <w:sz w:val="24"/>
          <w:szCs w:val="24"/>
        </w:rPr>
        <w:t xml:space="preserve">Setting of EQS for Priority List substances for ca. 4 </w:t>
      </w:r>
      <w:r w:rsidRPr="00EF2DDF">
        <w:rPr>
          <w:rFonts w:ascii="Times New Roman" w:hAnsi="Times New Roman" w:cs="Times New Roman"/>
          <w:b/>
          <w:bCs/>
          <w:noProof/>
          <w:sz w:val="24"/>
          <w:szCs w:val="24"/>
        </w:rPr>
        <w:t>surface water</w:t>
      </w:r>
      <w:r w:rsidRPr="00EF2DDF">
        <w:rPr>
          <w:rFonts w:ascii="Times New Roman" w:hAnsi="Times New Roman" w:cs="Times New Roman"/>
          <w:noProof/>
          <w:sz w:val="24"/>
          <w:szCs w:val="24"/>
        </w:rPr>
        <w:t xml:space="preserve"> substances annually + RAC committee opinion forming + SEAC committee opinion forming: </w:t>
      </w:r>
      <w:r w:rsidRPr="00EF2DDF">
        <w:rPr>
          <w:rFonts w:ascii="Times New Roman" w:hAnsi="Times New Roman" w:cs="Times New Roman"/>
          <w:b/>
          <w:noProof/>
          <w:sz w:val="24"/>
          <w:szCs w:val="24"/>
        </w:rPr>
        <w:t>4 FTE annually</w:t>
      </w:r>
      <w:r w:rsidRPr="00EF2DDF">
        <w:rPr>
          <w:rFonts w:ascii="Times New Roman" w:hAnsi="Times New Roman" w:cs="Times New Roman"/>
          <w:noProof/>
          <w:sz w:val="24"/>
          <w:szCs w:val="24"/>
        </w:rPr>
        <w:t xml:space="preserve"> (~unit cost of 1 OEL, incl. RAC + SEAC = 1 FTE);</w:t>
      </w:r>
    </w:p>
    <w:p w14:paraId="7E5DBC39" w14:textId="77777777" w:rsidR="000A7D9D" w:rsidRPr="00EF2DDF" w:rsidRDefault="000A7D9D" w:rsidP="00B0412E">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00EF2DDF">
        <w:rPr>
          <w:rFonts w:ascii="Times New Roman" w:hAnsi="Times New Roman" w:cs="Times New Roman"/>
          <w:noProof/>
          <w:sz w:val="24"/>
          <w:szCs w:val="24"/>
        </w:rPr>
        <w:t xml:space="preserve">Technical work under </w:t>
      </w:r>
      <w:r w:rsidRPr="00EF2DDF">
        <w:rPr>
          <w:rFonts w:ascii="Times New Roman" w:hAnsi="Times New Roman" w:cs="Times New Roman"/>
          <w:b/>
          <w:bCs/>
          <w:noProof/>
          <w:sz w:val="24"/>
          <w:szCs w:val="24"/>
        </w:rPr>
        <w:t>surface water</w:t>
      </w:r>
      <w:r w:rsidRPr="00EF2DDF">
        <w:rPr>
          <w:rFonts w:ascii="Times New Roman" w:hAnsi="Times New Roman" w:cs="Times New Roman"/>
          <w:noProof/>
          <w:sz w:val="24"/>
          <w:szCs w:val="24"/>
        </w:rPr>
        <w:t xml:space="preserve"> on establishing EU-wide EQS for substances listed in a (new) Annex II of the EQSD including the so-called ‘River Basin Specific Pollutants’ formerly part of the ‘ecological status’ component of surface water status: assumption of setting EQS for 1 substance per year: </w:t>
      </w:r>
      <w:r w:rsidRPr="00EF2DDF">
        <w:rPr>
          <w:rFonts w:ascii="Times New Roman" w:hAnsi="Times New Roman" w:cs="Times New Roman"/>
          <w:b/>
          <w:noProof/>
          <w:sz w:val="24"/>
          <w:szCs w:val="24"/>
        </w:rPr>
        <w:t>1 FTE annually</w:t>
      </w:r>
      <w:r w:rsidRPr="00EF2DDF">
        <w:rPr>
          <w:rFonts w:ascii="Times New Roman" w:hAnsi="Times New Roman" w:cs="Times New Roman"/>
          <w:noProof/>
          <w:sz w:val="24"/>
          <w:szCs w:val="24"/>
        </w:rPr>
        <w:t xml:space="preserve"> (~unit cost of 1 OEL, including RAC + SEAC = 1 FTE);</w:t>
      </w:r>
    </w:p>
    <w:p w14:paraId="6D0ADC74" w14:textId="77777777" w:rsidR="000A7D9D" w:rsidRPr="00EF2DDF" w:rsidRDefault="000A7D9D" w:rsidP="00B0412E">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00EF2DDF">
        <w:rPr>
          <w:rFonts w:ascii="Times New Roman" w:hAnsi="Times New Roman" w:cs="Times New Roman"/>
          <w:noProof/>
          <w:sz w:val="24"/>
          <w:szCs w:val="24"/>
        </w:rPr>
        <w:t xml:space="preserve">IT tools and infrastructure development and run cost (data submission, processing, </w:t>
      </w:r>
      <w:r w:rsidRPr="00EF2DDF">
        <w:rPr>
          <w:rFonts w:ascii="Times New Roman" w:hAnsi="Times New Roman" w:cs="Times New Roman"/>
          <w:noProof/>
          <w:color w:val="000000"/>
          <w:sz w:val="24"/>
          <w:szCs w:val="24"/>
        </w:rPr>
        <w:t>output</w:t>
      </w:r>
      <w:r w:rsidRPr="00EF2DDF">
        <w:rPr>
          <w:rFonts w:ascii="Times New Roman" w:hAnsi="Times New Roman" w:cs="Times New Roman"/>
          <w:noProof/>
          <w:sz w:val="24"/>
          <w:szCs w:val="24"/>
        </w:rPr>
        <w:t>): contribution of 10% for common components and customisations;</w:t>
      </w:r>
    </w:p>
    <w:p w14:paraId="54B830D2" w14:textId="77777777" w:rsidR="000A7D9D" w:rsidRPr="00EF2DDF" w:rsidRDefault="000A7D9D" w:rsidP="00B0412E">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00EF2DDF">
        <w:rPr>
          <w:rFonts w:ascii="Times New Roman" w:hAnsi="Times New Roman" w:cs="Times New Roman"/>
          <w:noProof/>
          <w:sz w:val="24"/>
          <w:szCs w:val="24"/>
        </w:rPr>
        <w:t>Horizontal support (governance &amp; enablers / administrative overhead): contribution of 15%.</w:t>
      </w:r>
    </w:p>
    <w:p w14:paraId="3935CAAC" w14:textId="77777777" w:rsidR="000A7D9D" w:rsidRPr="00EF2DDF" w:rsidRDefault="000A7D9D" w:rsidP="00B0412E">
      <w:pPr>
        <w:spacing w:after="240"/>
        <w:jc w:val="both"/>
        <w:rPr>
          <w:rFonts w:ascii="Times New Roman" w:hAnsi="Times New Roman" w:cs="Times New Roman"/>
          <w:noProof/>
          <w:sz w:val="24"/>
          <w:szCs w:val="24"/>
        </w:rPr>
      </w:pPr>
      <w:r w:rsidRPr="00EF2DDF">
        <w:rPr>
          <w:rFonts w:ascii="Times New Roman" w:hAnsi="Times New Roman" w:cs="Times New Roman"/>
          <w:noProof/>
          <w:sz w:val="24"/>
          <w:szCs w:val="24"/>
        </w:rPr>
        <w:t>-----------</w:t>
      </w:r>
    </w:p>
    <w:p w14:paraId="5FACEEEA" w14:textId="77777777" w:rsidR="000A7D9D" w:rsidRPr="00EF2DDF" w:rsidRDefault="000A7D9D" w:rsidP="000A7D9D">
      <w:pPr>
        <w:spacing w:after="240"/>
        <w:rPr>
          <w:rFonts w:ascii="Times New Roman" w:hAnsi="Times New Roman" w:cs="Times New Roman"/>
          <w:noProof/>
          <w:sz w:val="24"/>
          <w:szCs w:val="24"/>
        </w:rPr>
      </w:pPr>
      <w:r w:rsidRPr="00EF2DDF">
        <w:rPr>
          <w:rFonts w:ascii="Times New Roman" w:hAnsi="Times New Roman" w:cs="Times New Roman"/>
          <w:noProof/>
          <w:sz w:val="24"/>
          <w:szCs w:val="24"/>
        </w:rPr>
        <w:t>Ca. 2</w:t>
      </w:r>
      <w:r>
        <w:rPr>
          <w:rFonts w:ascii="Times New Roman" w:hAnsi="Times New Roman" w:cs="Times New Roman"/>
          <w:noProof/>
          <w:sz w:val="24"/>
          <w:szCs w:val="24"/>
        </w:rPr>
        <w:t>.</w:t>
      </w:r>
      <w:r w:rsidRPr="00EF2DDF">
        <w:rPr>
          <w:rFonts w:ascii="Times New Roman" w:hAnsi="Times New Roman" w:cs="Times New Roman"/>
          <w:noProof/>
          <w:sz w:val="24"/>
          <w:szCs w:val="24"/>
        </w:rPr>
        <w:t>5 FTE for groundwater</w:t>
      </w:r>
    </w:p>
    <w:p w14:paraId="08567D53" w14:textId="77777777" w:rsidR="000A7D9D" w:rsidRPr="00EF2DDF" w:rsidRDefault="000A7D9D" w:rsidP="000A7D9D">
      <w:pPr>
        <w:spacing w:after="240"/>
        <w:rPr>
          <w:rFonts w:ascii="Times New Roman" w:hAnsi="Times New Roman" w:cs="Times New Roman"/>
          <w:noProof/>
          <w:sz w:val="24"/>
          <w:szCs w:val="24"/>
        </w:rPr>
      </w:pPr>
      <w:r>
        <w:rPr>
          <w:rFonts w:ascii="Times New Roman" w:hAnsi="Times New Roman" w:cs="Times New Roman"/>
          <w:noProof/>
          <w:sz w:val="24"/>
          <w:szCs w:val="24"/>
        </w:rPr>
        <w:t>Ca. 6.</w:t>
      </w:r>
      <w:r w:rsidRPr="00EF2DDF">
        <w:rPr>
          <w:rFonts w:ascii="Times New Roman" w:hAnsi="Times New Roman" w:cs="Times New Roman"/>
          <w:noProof/>
          <w:sz w:val="24"/>
          <w:szCs w:val="24"/>
        </w:rPr>
        <w:t>05 FTE for surface water</w:t>
      </w:r>
    </w:p>
    <w:p w14:paraId="7912855B" w14:textId="77777777" w:rsidR="000A7D9D" w:rsidRPr="00EF2DDF" w:rsidRDefault="000A7D9D" w:rsidP="000A7D9D">
      <w:pPr>
        <w:spacing w:after="240"/>
        <w:rPr>
          <w:rFonts w:ascii="Times New Roman" w:hAnsi="Times New Roman" w:cs="Times New Roman"/>
          <w:noProof/>
          <w:sz w:val="24"/>
          <w:szCs w:val="24"/>
        </w:rPr>
      </w:pPr>
      <w:r>
        <w:rPr>
          <w:rFonts w:ascii="Times New Roman" w:hAnsi="Times New Roman" w:cs="Times New Roman"/>
          <w:noProof/>
          <w:sz w:val="24"/>
          <w:szCs w:val="24"/>
        </w:rPr>
        <w:t>+ 0.</w:t>
      </w:r>
      <w:r w:rsidRPr="00EF2DDF">
        <w:rPr>
          <w:rFonts w:ascii="Times New Roman" w:hAnsi="Times New Roman" w:cs="Times New Roman"/>
          <w:noProof/>
          <w:sz w:val="24"/>
          <w:szCs w:val="24"/>
        </w:rPr>
        <w:t>5 FTE + 70k EUR for analytical methods for both groundwater and surface water</w:t>
      </w:r>
    </w:p>
    <w:p w14:paraId="5692FAB4" w14:textId="77777777" w:rsidR="000A7D9D" w:rsidRPr="00EF2DDF" w:rsidRDefault="000A7D9D" w:rsidP="000A7D9D">
      <w:pPr>
        <w:spacing w:after="240"/>
        <w:rPr>
          <w:rFonts w:ascii="Times New Roman" w:hAnsi="Times New Roman" w:cs="Times New Roman"/>
          <w:noProof/>
          <w:sz w:val="24"/>
          <w:szCs w:val="24"/>
        </w:rPr>
      </w:pPr>
      <w:r w:rsidRPr="00EF2DDF">
        <w:rPr>
          <w:rFonts w:ascii="Times New Roman" w:hAnsi="Times New Roman" w:cs="Times New Roman"/>
          <w:noProof/>
          <w:sz w:val="24"/>
          <w:szCs w:val="24"/>
        </w:rPr>
        <w:t>+ 10% IT tools and infrastructure (would be approximately 1 FTE)</w:t>
      </w:r>
    </w:p>
    <w:p w14:paraId="5FA8B4F7" w14:textId="77777777" w:rsidR="000A7D9D" w:rsidRPr="00EF2DDF" w:rsidRDefault="000A7D9D" w:rsidP="000A7D9D">
      <w:pPr>
        <w:spacing w:after="240"/>
        <w:rPr>
          <w:rFonts w:ascii="Times New Roman" w:hAnsi="Times New Roman" w:cs="Times New Roman"/>
          <w:noProof/>
          <w:sz w:val="24"/>
          <w:szCs w:val="24"/>
        </w:rPr>
      </w:pPr>
      <w:r w:rsidRPr="00EF2DDF">
        <w:rPr>
          <w:rFonts w:ascii="Times New Roman" w:hAnsi="Times New Roman" w:cs="Times New Roman"/>
          <w:noProof/>
          <w:sz w:val="24"/>
          <w:szCs w:val="24"/>
        </w:rPr>
        <w:t>+ 15% administrative ove</w:t>
      </w:r>
      <w:r>
        <w:rPr>
          <w:rFonts w:ascii="Times New Roman" w:hAnsi="Times New Roman" w:cs="Times New Roman"/>
          <w:noProof/>
          <w:sz w:val="24"/>
          <w:szCs w:val="24"/>
        </w:rPr>
        <w:t>rhead (would be approximately 1.</w:t>
      </w:r>
      <w:r w:rsidRPr="00EF2DDF">
        <w:rPr>
          <w:rFonts w:ascii="Times New Roman" w:hAnsi="Times New Roman" w:cs="Times New Roman"/>
          <w:noProof/>
          <w:sz w:val="24"/>
          <w:szCs w:val="24"/>
        </w:rPr>
        <w:t>5 FTE)</w:t>
      </w:r>
    </w:p>
    <w:p w14:paraId="66333EF2" w14:textId="77777777" w:rsidR="000A7D9D" w:rsidRPr="00EF2DDF" w:rsidRDefault="000A7D9D" w:rsidP="000A7D9D">
      <w:pPr>
        <w:pStyle w:val="BodyText"/>
        <w:jc w:val="both"/>
        <w:rPr>
          <w:noProof/>
        </w:rPr>
      </w:pPr>
      <w:r w:rsidRPr="00EF2DDF">
        <w:rPr>
          <w:noProof/>
        </w:rPr>
        <w:t>--------</w:t>
      </w:r>
      <w:r w:rsidRPr="00EF2DDF">
        <w:rPr>
          <w:noProof/>
        </w:rPr>
        <w:br/>
      </w:r>
      <w:r w:rsidRPr="00EF2DDF">
        <w:rPr>
          <w:b/>
          <w:bCs/>
          <w:noProof/>
        </w:rPr>
        <w:t xml:space="preserve">Total: ca. 11 FTEs </w:t>
      </w:r>
      <w:r w:rsidRPr="00EF2DDF">
        <w:rPr>
          <w:bCs/>
          <w:noProof/>
        </w:rPr>
        <w:t>plus</w:t>
      </w:r>
      <w:r w:rsidRPr="00EF2DDF">
        <w:rPr>
          <w:b/>
          <w:bCs/>
          <w:noProof/>
        </w:rPr>
        <w:t xml:space="preserve"> </w:t>
      </w:r>
      <w:r w:rsidRPr="00B26080">
        <w:rPr>
          <w:bCs/>
          <w:noProof/>
        </w:rPr>
        <w:t>EUR</w:t>
      </w:r>
      <w:r>
        <w:rPr>
          <w:b/>
          <w:bCs/>
          <w:noProof/>
        </w:rPr>
        <w:t xml:space="preserve"> </w:t>
      </w:r>
      <w:r w:rsidRPr="00EF2DDF">
        <w:rPr>
          <w:noProof/>
        </w:rPr>
        <w:t>70</w:t>
      </w:r>
      <w:r>
        <w:rPr>
          <w:noProof/>
        </w:rPr>
        <w:t xml:space="preserve"> 000 </w:t>
      </w:r>
      <w:r w:rsidRPr="00EF2DDF">
        <w:rPr>
          <w:noProof/>
        </w:rPr>
        <w:t>for outsourcing of identification of monitoring methodologies</w:t>
      </w:r>
    </w:p>
    <w:p w14:paraId="5702B43C" w14:textId="77777777" w:rsidR="000A7D9D" w:rsidRPr="00EF2DDF" w:rsidRDefault="000A7D9D" w:rsidP="000A7D9D">
      <w:pPr>
        <w:spacing w:after="120"/>
        <w:rPr>
          <w:rFonts w:ascii="Times New Roman" w:eastAsiaTheme="minorEastAsia" w:hAnsi="Times New Roman" w:cs="Times New Roman"/>
          <w:noProof/>
          <w:sz w:val="24"/>
          <w:szCs w:val="24"/>
          <w:lang w:val="en-US" w:eastAsia="en-GB"/>
        </w:rPr>
      </w:pPr>
      <w:r w:rsidRPr="00EF2DDF">
        <w:rPr>
          <w:rFonts w:ascii="Times New Roman" w:eastAsiaTheme="minorEastAsia" w:hAnsi="Times New Roman" w:cs="Times New Roman"/>
          <w:noProof/>
          <w:sz w:val="24"/>
          <w:szCs w:val="24"/>
          <w:lang w:val="en-US" w:eastAsia="en-GB"/>
        </w:rPr>
        <w:t xml:space="preserve">Summary of additional resource needs for </w:t>
      </w:r>
      <w:r w:rsidRPr="00EF2DDF">
        <w:rPr>
          <w:rFonts w:ascii="Times New Roman" w:hAnsi="Times New Roman" w:cs="Times New Roman"/>
          <w:noProof/>
          <w:sz w:val="24"/>
          <w:szCs w:val="24"/>
        </w:rPr>
        <w:t>Environmental Quality Standard Directive (2008/105/EC) + Water Framework Directive (2000/60/EC) + Groundwater Directive (2006/118/EC)</w:t>
      </w:r>
      <w:r w:rsidRPr="00EF2DDF">
        <w:rPr>
          <w:rFonts w:ascii="Times New Roman" w:eastAsiaTheme="minorEastAsia" w:hAnsi="Times New Roman" w:cs="Times New Roman"/>
          <w:noProof/>
          <w:sz w:val="24"/>
          <w:szCs w:val="24"/>
          <w:lang w:val="en-US" w:eastAsia="en-GB"/>
        </w:rPr>
        <w:t>:</w:t>
      </w:r>
    </w:p>
    <w:tbl>
      <w:tblPr>
        <w:tblStyle w:val="TableGrid"/>
        <w:tblW w:w="0" w:type="auto"/>
        <w:tblLook w:val="04A0" w:firstRow="1" w:lastRow="0" w:firstColumn="1" w:lastColumn="0" w:noHBand="0" w:noVBand="1"/>
      </w:tblPr>
      <w:tblGrid>
        <w:gridCol w:w="1454"/>
        <w:gridCol w:w="3361"/>
        <w:gridCol w:w="2551"/>
        <w:gridCol w:w="2263"/>
      </w:tblGrid>
      <w:tr w:rsidR="000A7D9D" w:rsidRPr="00C56424" w14:paraId="611ECA2C" w14:textId="77777777" w:rsidTr="00F31937">
        <w:trPr>
          <w:trHeight w:val="300"/>
        </w:trPr>
        <w:tc>
          <w:tcPr>
            <w:tcW w:w="1454" w:type="dxa"/>
            <w:shd w:val="clear" w:color="auto" w:fill="D9D9D9" w:themeFill="background1" w:themeFillShade="D9"/>
          </w:tcPr>
          <w:p w14:paraId="1DC95856"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361" w:type="dxa"/>
            <w:shd w:val="clear" w:color="auto" w:fill="D9D9D9" w:themeFill="background1" w:themeFillShade="D9"/>
          </w:tcPr>
          <w:p w14:paraId="504E9C5B"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2551" w:type="dxa"/>
            <w:shd w:val="clear" w:color="auto" w:fill="D9D9D9" w:themeFill="background1" w:themeFillShade="D9"/>
          </w:tcPr>
          <w:p w14:paraId="72D122FA"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263" w:type="dxa"/>
            <w:shd w:val="clear" w:color="auto" w:fill="D9D9D9" w:themeFill="background1" w:themeFillShade="D9"/>
          </w:tcPr>
          <w:p w14:paraId="5C37BB71" w14:textId="77777777" w:rsidR="000A7D9D" w:rsidRPr="00C56424" w:rsidRDefault="000A7D9D" w:rsidP="00F31937">
            <w:pPr>
              <w:pStyle w:val="BodyText"/>
              <w:tabs>
                <w:tab w:val="left" w:pos="4170"/>
              </w:tabs>
              <w:spacing w:after="0"/>
              <w:rPr>
                <w:noProof/>
                <w:sz w:val="20"/>
                <w:szCs w:val="20"/>
              </w:rPr>
            </w:pPr>
          </w:p>
        </w:tc>
      </w:tr>
      <w:tr w:rsidR="000A7D9D" w:rsidRPr="00C56424" w14:paraId="78BA1463" w14:textId="77777777" w:rsidTr="00F31937">
        <w:trPr>
          <w:trHeight w:val="300"/>
        </w:trPr>
        <w:tc>
          <w:tcPr>
            <w:tcW w:w="1454" w:type="dxa"/>
            <w:vMerge w:val="restart"/>
            <w:shd w:val="clear" w:color="auto" w:fill="D9D9D9" w:themeFill="background1" w:themeFillShade="D9"/>
          </w:tcPr>
          <w:p w14:paraId="753ED7F1" w14:textId="77777777" w:rsidR="000A7D9D" w:rsidRPr="00C56424" w:rsidRDefault="000A7D9D" w:rsidP="00F31937">
            <w:pPr>
              <w:pStyle w:val="BodyText"/>
              <w:spacing w:line="259" w:lineRule="auto"/>
              <w:rPr>
                <w:bCs/>
                <w:noProof/>
                <w:sz w:val="20"/>
                <w:szCs w:val="20"/>
              </w:rPr>
            </w:pPr>
            <w:r w:rsidRPr="00C56424">
              <w:rPr>
                <w:bCs/>
                <w:noProof/>
                <w:sz w:val="20"/>
                <w:szCs w:val="20"/>
              </w:rPr>
              <w:t>EEA</w:t>
            </w:r>
          </w:p>
        </w:tc>
        <w:tc>
          <w:tcPr>
            <w:tcW w:w="3361" w:type="dxa"/>
            <w:vMerge w:val="restart"/>
            <w:shd w:val="clear" w:color="auto" w:fill="D9D9D9" w:themeFill="background1" w:themeFillShade="D9"/>
          </w:tcPr>
          <w:p w14:paraId="06EF3037" w14:textId="77777777" w:rsidR="000A7D9D" w:rsidRPr="00C56424" w:rsidRDefault="000A7D9D" w:rsidP="00F31937">
            <w:pPr>
              <w:pStyle w:val="BodyText"/>
              <w:rPr>
                <w:b/>
                <w:bCs/>
                <w:noProof/>
                <w:sz w:val="20"/>
                <w:szCs w:val="20"/>
              </w:rPr>
            </w:pPr>
          </w:p>
        </w:tc>
        <w:tc>
          <w:tcPr>
            <w:tcW w:w="2551" w:type="dxa"/>
            <w:shd w:val="clear" w:color="auto" w:fill="D9D9D9" w:themeFill="background1" w:themeFillShade="D9"/>
          </w:tcPr>
          <w:p w14:paraId="2119649B" w14:textId="77777777" w:rsidR="000A7D9D" w:rsidRPr="00C56424" w:rsidRDefault="000A7D9D" w:rsidP="00F31937">
            <w:pPr>
              <w:pStyle w:val="BodyText"/>
              <w:tabs>
                <w:tab w:val="left" w:pos="4170"/>
              </w:tabs>
              <w:spacing w:after="0"/>
              <w:rPr>
                <w:b/>
                <w:bCs/>
                <w:noProof/>
                <w:sz w:val="20"/>
                <w:szCs w:val="20"/>
              </w:rPr>
            </w:pPr>
            <w:r w:rsidRPr="00C56424">
              <w:rPr>
                <w:noProof/>
                <w:sz w:val="20"/>
                <w:szCs w:val="20"/>
              </w:rPr>
              <w:t>Operational resource needs:</w:t>
            </w:r>
          </w:p>
        </w:tc>
        <w:tc>
          <w:tcPr>
            <w:tcW w:w="2263" w:type="dxa"/>
            <w:shd w:val="clear" w:color="auto" w:fill="D9D9D9" w:themeFill="background1" w:themeFillShade="D9"/>
          </w:tcPr>
          <w:p w14:paraId="663551BE"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2024: </w:t>
            </w:r>
            <w:r w:rsidRPr="00C56424">
              <w:rPr>
                <w:b/>
                <w:noProof/>
                <w:sz w:val="20"/>
                <w:szCs w:val="20"/>
              </w:rPr>
              <w:t>EUR</w:t>
            </w:r>
            <w:r w:rsidRPr="00C56424">
              <w:rPr>
                <w:noProof/>
                <w:sz w:val="20"/>
                <w:szCs w:val="20"/>
              </w:rPr>
              <w:t xml:space="preserve"> </w:t>
            </w:r>
            <w:r w:rsidRPr="00C56424">
              <w:rPr>
                <w:b/>
                <w:noProof/>
                <w:sz w:val="20"/>
                <w:szCs w:val="20"/>
              </w:rPr>
              <w:t>130 000</w:t>
            </w:r>
            <w:r w:rsidRPr="00C56424">
              <w:rPr>
                <w:noProof/>
                <w:sz w:val="20"/>
                <w:szCs w:val="20"/>
              </w:rPr>
              <w:t xml:space="preserve"> </w:t>
            </w:r>
          </w:p>
          <w:p w14:paraId="268DD226"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2025: </w:t>
            </w:r>
            <w:r w:rsidRPr="00C56424">
              <w:rPr>
                <w:b/>
                <w:noProof/>
                <w:sz w:val="20"/>
                <w:szCs w:val="20"/>
              </w:rPr>
              <w:t>EUR</w:t>
            </w:r>
            <w:r w:rsidRPr="00C56424">
              <w:rPr>
                <w:noProof/>
                <w:sz w:val="20"/>
                <w:szCs w:val="20"/>
              </w:rPr>
              <w:t xml:space="preserve"> </w:t>
            </w:r>
            <w:r w:rsidRPr="00C56424">
              <w:rPr>
                <w:b/>
                <w:noProof/>
                <w:sz w:val="20"/>
                <w:szCs w:val="20"/>
              </w:rPr>
              <w:t>80 000</w:t>
            </w:r>
          </w:p>
          <w:p w14:paraId="29C3B367"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EUR</w:t>
            </w:r>
            <w:r w:rsidRPr="00C56424">
              <w:rPr>
                <w:noProof/>
                <w:sz w:val="20"/>
                <w:szCs w:val="20"/>
              </w:rPr>
              <w:t xml:space="preserve"> </w:t>
            </w:r>
            <w:r w:rsidRPr="00C56424">
              <w:rPr>
                <w:b/>
                <w:noProof/>
                <w:sz w:val="20"/>
                <w:szCs w:val="20"/>
              </w:rPr>
              <w:t>80 000</w:t>
            </w:r>
          </w:p>
          <w:p w14:paraId="53C647B7"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EUR</w:t>
            </w:r>
            <w:r w:rsidRPr="00C56424">
              <w:rPr>
                <w:noProof/>
                <w:sz w:val="20"/>
                <w:szCs w:val="20"/>
              </w:rPr>
              <w:t xml:space="preserve"> </w:t>
            </w:r>
            <w:r w:rsidRPr="00C56424">
              <w:rPr>
                <w:b/>
                <w:noProof/>
                <w:sz w:val="20"/>
                <w:szCs w:val="20"/>
              </w:rPr>
              <w:t>80 000</w:t>
            </w:r>
          </w:p>
        </w:tc>
      </w:tr>
      <w:tr w:rsidR="000A7D9D" w:rsidRPr="00C56424" w14:paraId="2F2746BB" w14:textId="77777777" w:rsidTr="00F31937">
        <w:trPr>
          <w:trHeight w:val="300"/>
        </w:trPr>
        <w:tc>
          <w:tcPr>
            <w:tcW w:w="1454" w:type="dxa"/>
            <w:vMerge/>
            <w:shd w:val="clear" w:color="auto" w:fill="D9D9D9" w:themeFill="background1" w:themeFillShade="D9"/>
          </w:tcPr>
          <w:p w14:paraId="15AD2329" w14:textId="77777777" w:rsidR="000A7D9D" w:rsidRPr="00C56424" w:rsidRDefault="000A7D9D" w:rsidP="00F31937">
            <w:pPr>
              <w:pStyle w:val="BodyText"/>
              <w:spacing w:line="259" w:lineRule="auto"/>
              <w:rPr>
                <w:b/>
                <w:bCs/>
                <w:noProof/>
                <w:sz w:val="20"/>
                <w:szCs w:val="20"/>
              </w:rPr>
            </w:pPr>
          </w:p>
        </w:tc>
        <w:tc>
          <w:tcPr>
            <w:tcW w:w="3361" w:type="dxa"/>
            <w:vMerge/>
            <w:shd w:val="clear" w:color="auto" w:fill="D9D9D9" w:themeFill="background1" w:themeFillShade="D9"/>
          </w:tcPr>
          <w:p w14:paraId="2E2AA5DA" w14:textId="77777777" w:rsidR="000A7D9D" w:rsidRPr="00C56424" w:rsidRDefault="000A7D9D" w:rsidP="00F31937">
            <w:pPr>
              <w:pStyle w:val="BodyText"/>
              <w:rPr>
                <w:b/>
                <w:bCs/>
                <w:noProof/>
                <w:sz w:val="20"/>
                <w:szCs w:val="20"/>
              </w:rPr>
            </w:pPr>
          </w:p>
        </w:tc>
        <w:tc>
          <w:tcPr>
            <w:tcW w:w="2551" w:type="dxa"/>
            <w:shd w:val="clear" w:color="auto" w:fill="D9D9D9" w:themeFill="background1" w:themeFillShade="D9"/>
          </w:tcPr>
          <w:p w14:paraId="35295A63" w14:textId="77777777" w:rsidR="000A7D9D" w:rsidRPr="00C56424" w:rsidRDefault="000A7D9D" w:rsidP="00F31937">
            <w:pPr>
              <w:pStyle w:val="BodyText"/>
              <w:tabs>
                <w:tab w:val="left" w:pos="4170"/>
              </w:tabs>
              <w:spacing w:after="0"/>
              <w:rPr>
                <w:b/>
                <w:bCs/>
                <w:noProof/>
                <w:sz w:val="20"/>
                <w:szCs w:val="20"/>
              </w:rPr>
            </w:pPr>
            <w:r w:rsidRPr="00C56424">
              <w:rPr>
                <w:noProof/>
                <w:sz w:val="20"/>
                <w:szCs w:val="20"/>
              </w:rPr>
              <w:t>Human resource needs:</w:t>
            </w:r>
          </w:p>
        </w:tc>
        <w:tc>
          <w:tcPr>
            <w:tcW w:w="2263" w:type="dxa"/>
            <w:shd w:val="clear" w:color="auto" w:fill="D9D9D9" w:themeFill="background1" w:themeFillShade="D9"/>
          </w:tcPr>
          <w:p w14:paraId="0E7D58AA"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bCs/>
                <w:noProof/>
                <w:sz w:val="20"/>
                <w:szCs w:val="20"/>
                <w:lang w:val="fr-BE"/>
              </w:rPr>
              <w:t>3 TAs, 0 CA</w:t>
            </w:r>
          </w:p>
          <w:p w14:paraId="79BF3D48" w14:textId="77777777" w:rsidR="000A7D9D" w:rsidRPr="00C56424" w:rsidRDefault="000A7D9D" w:rsidP="00F31937">
            <w:pPr>
              <w:pStyle w:val="BodyText"/>
              <w:tabs>
                <w:tab w:val="left" w:pos="4170"/>
              </w:tabs>
              <w:spacing w:after="0"/>
              <w:rPr>
                <w:b/>
                <w:bCs/>
                <w:noProof/>
                <w:sz w:val="20"/>
                <w:szCs w:val="20"/>
                <w:lang w:val="fr-BE"/>
              </w:rPr>
            </w:pPr>
            <w:r w:rsidRPr="00C56424">
              <w:rPr>
                <w:noProof/>
                <w:sz w:val="20"/>
                <w:szCs w:val="20"/>
                <w:lang w:val="fr-BE"/>
              </w:rPr>
              <w:t xml:space="preserve">2025: </w:t>
            </w:r>
            <w:r w:rsidRPr="00C56424">
              <w:rPr>
                <w:b/>
                <w:bCs/>
                <w:noProof/>
                <w:sz w:val="20"/>
                <w:szCs w:val="20"/>
                <w:lang w:val="fr-BE"/>
              </w:rPr>
              <w:t>3 TAs, 0 CA</w:t>
            </w:r>
          </w:p>
          <w:p w14:paraId="389EF6F5" w14:textId="77777777" w:rsidR="000A7D9D" w:rsidRPr="00C56424" w:rsidRDefault="000A7D9D" w:rsidP="00F31937">
            <w:pPr>
              <w:pStyle w:val="BodyText"/>
              <w:tabs>
                <w:tab w:val="left" w:pos="4170"/>
              </w:tabs>
              <w:spacing w:after="0"/>
              <w:rPr>
                <w:b/>
                <w:bCs/>
                <w:noProof/>
                <w:sz w:val="20"/>
                <w:szCs w:val="20"/>
                <w:lang w:val="fr-BE"/>
              </w:rPr>
            </w:pPr>
            <w:r w:rsidRPr="00C56424">
              <w:rPr>
                <w:noProof/>
                <w:sz w:val="20"/>
                <w:szCs w:val="20"/>
                <w:lang w:val="fr-BE"/>
              </w:rPr>
              <w:t xml:space="preserve">2026: </w:t>
            </w:r>
            <w:r w:rsidRPr="00C56424">
              <w:rPr>
                <w:b/>
                <w:bCs/>
                <w:noProof/>
                <w:sz w:val="20"/>
                <w:szCs w:val="20"/>
                <w:lang w:val="fr-BE"/>
              </w:rPr>
              <w:t>3 TAs, 0 CA</w:t>
            </w:r>
          </w:p>
          <w:p w14:paraId="4574DBF6"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bCs/>
                <w:noProof/>
                <w:sz w:val="20"/>
                <w:szCs w:val="20"/>
              </w:rPr>
              <w:t>3 TAs, 0 CA</w:t>
            </w:r>
          </w:p>
        </w:tc>
      </w:tr>
      <w:tr w:rsidR="000A7D9D" w:rsidRPr="00C56424" w14:paraId="2538563C" w14:textId="77777777" w:rsidTr="00F31937">
        <w:trPr>
          <w:trHeight w:val="300"/>
        </w:trPr>
        <w:tc>
          <w:tcPr>
            <w:tcW w:w="1454" w:type="dxa"/>
            <w:vMerge w:val="restart"/>
            <w:shd w:val="clear" w:color="auto" w:fill="D9D9D9" w:themeFill="background1" w:themeFillShade="D9"/>
          </w:tcPr>
          <w:p w14:paraId="10D15006" w14:textId="77777777" w:rsidR="000A7D9D" w:rsidRPr="00C56424" w:rsidRDefault="000A7D9D" w:rsidP="00F31937">
            <w:pPr>
              <w:pStyle w:val="BodyText"/>
              <w:spacing w:line="259" w:lineRule="auto"/>
              <w:rPr>
                <w:noProof/>
                <w:sz w:val="20"/>
                <w:szCs w:val="20"/>
              </w:rPr>
            </w:pPr>
            <w:r w:rsidRPr="00C56424">
              <w:rPr>
                <w:noProof/>
                <w:sz w:val="20"/>
                <w:szCs w:val="20"/>
              </w:rPr>
              <w:t>ECHA</w:t>
            </w:r>
          </w:p>
        </w:tc>
        <w:tc>
          <w:tcPr>
            <w:tcW w:w="3361" w:type="dxa"/>
            <w:vMerge w:val="restart"/>
            <w:shd w:val="clear" w:color="auto" w:fill="D9D9D9" w:themeFill="background1" w:themeFillShade="D9"/>
          </w:tcPr>
          <w:p w14:paraId="48F7B2B9" w14:textId="77777777" w:rsidR="000A7D9D" w:rsidRPr="00C56424" w:rsidRDefault="000A7D9D" w:rsidP="00F31937">
            <w:pPr>
              <w:pStyle w:val="BodyText"/>
              <w:widowControl w:val="0"/>
              <w:spacing w:after="240"/>
              <w:rPr>
                <w:noProof/>
                <w:sz w:val="20"/>
                <w:szCs w:val="20"/>
              </w:rPr>
            </w:pPr>
          </w:p>
        </w:tc>
        <w:tc>
          <w:tcPr>
            <w:tcW w:w="2551" w:type="dxa"/>
            <w:shd w:val="clear" w:color="auto" w:fill="D9D9D9" w:themeFill="background1" w:themeFillShade="D9"/>
          </w:tcPr>
          <w:p w14:paraId="6190340E" w14:textId="77777777" w:rsidR="000A7D9D" w:rsidRPr="00C56424" w:rsidRDefault="000A7D9D" w:rsidP="00F31937">
            <w:pPr>
              <w:pStyle w:val="BodyText"/>
              <w:tabs>
                <w:tab w:val="left" w:pos="4170"/>
              </w:tabs>
              <w:rPr>
                <w:noProof/>
                <w:sz w:val="20"/>
                <w:szCs w:val="20"/>
              </w:rPr>
            </w:pPr>
            <w:r w:rsidRPr="00C56424">
              <w:rPr>
                <w:noProof/>
                <w:sz w:val="20"/>
                <w:szCs w:val="20"/>
              </w:rPr>
              <w:t>Operational resource needs:</w:t>
            </w:r>
          </w:p>
        </w:tc>
        <w:tc>
          <w:tcPr>
            <w:tcW w:w="2263" w:type="dxa"/>
            <w:shd w:val="clear" w:color="auto" w:fill="D9D9D9" w:themeFill="background1" w:themeFillShade="D9"/>
          </w:tcPr>
          <w:p w14:paraId="7429D68C"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2024: </w:t>
            </w:r>
            <w:r w:rsidRPr="00C56424">
              <w:rPr>
                <w:b/>
                <w:noProof/>
                <w:sz w:val="20"/>
                <w:szCs w:val="20"/>
              </w:rPr>
              <w:t>EUR</w:t>
            </w:r>
            <w:r w:rsidRPr="00C56424">
              <w:rPr>
                <w:noProof/>
                <w:sz w:val="20"/>
                <w:szCs w:val="20"/>
              </w:rPr>
              <w:t xml:space="preserve"> </w:t>
            </w:r>
            <w:r w:rsidRPr="00C56424">
              <w:rPr>
                <w:b/>
                <w:noProof/>
                <w:sz w:val="20"/>
                <w:szCs w:val="20"/>
              </w:rPr>
              <w:t>673 000</w:t>
            </w:r>
            <w:r w:rsidRPr="00C56424">
              <w:rPr>
                <w:noProof/>
                <w:sz w:val="20"/>
                <w:szCs w:val="20"/>
              </w:rPr>
              <w:t xml:space="preserve"> </w:t>
            </w:r>
          </w:p>
          <w:p w14:paraId="0418B46C"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2025: </w:t>
            </w:r>
            <w:r w:rsidRPr="00C56424">
              <w:rPr>
                <w:b/>
                <w:noProof/>
                <w:sz w:val="20"/>
                <w:szCs w:val="20"/>
              </w:rPr>
              <w:t>EUR</w:t>
            </w:r>
            <w:r w:rsidRPr="00C56424">
              <w:rPr>
                <w:noProof/>
                <w:sz w:val="20"/>
                <w:szCs w:val="20"/>
              </w:rPr>
              <w:t xml:space="preserve"> </w:t>
            </w:r>
            <w:r w:rsidRPr="00C56424">
              <w:rPr>
                <w:b/>
                <w:noProof/>
                <w:sz w:val="20"/>
                <w:szCs w:val="20"/>
              </w:rPr>
              <w:t>686 000</w:t>
            </w:r>
          </w:p>
          <w:p w14:paraId="42CE3494"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EUR</w:t>
            </w:r>
            <w:r w:rsidRPr="00C56424">
              <w:rPr>
                <w:noProof/>
                <w:sz w:val="20"/>
                <w:szCs w:val="20"/>
              </w:rPr>
              <w:t xml:space="preserve"> </w:t>
            </w:r>
            <w:r w:rsidRPr="00C56424">
              <w:rPr>
                <w:b/>
                <w:noProof/>
                <w:sz w:val="20"/>
                <w:szCs w:val="20"/>
              </w:rPr>
              <w:t>702 000</w:t>
            </w:r>
          </w:p>
          <w:p w14:paraId="7BC3E515"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EUR</w:t>
            </w:r>
            <w:r w:rsidRPr="00C56424">
              <w:rPr>
                <w:noProof/>
                <w:sz w:val="20"/>
                <w:szCs w:val="20"/>
              </w:rPr>
              <w:t xml:space="preserve"> </w:t>
            </w:r>
            <w:r w:rsidRPr="00C56424">
              <w:rPr>
                <w:b/>
                <w:noProof/>
                <w:sz w:val="20"/>
                <w:szCs w:val="20"/>
              </w:rPr>
              <w:t>718 000</w:t>
            </w:r>
          </w:p>
        </w:tc>
      </w:tr>
      <w:tr w:rsidR="000A7D9D" w:rsidRPr="00C56424" w14:paraId="7A5D7CE1" w14:textId="77777777" w:rsidTr="00F31937">
        <w:trPr>
          <w:trHeight w:val="300"/>
        </w:trPr>
        <w:tc>
          <w:tcPr>
            <w:tcW w:w="1454" w:type="dxa"/>
            <w:vMerge/>
            <w:shd w:val="clear" w:color="auto" w:fill="D9D9D9" w:themeFill="background1" w:themeFillShade="D9"/>
          </w:tcPr>
          <w:p w14:paraId="7D50FC28" w14:textId="77777777" w:rsidR="000A7D9D" w:rsidRPr="00C56424" w:rsidRDefault="000A7D9D" w:rsidP="00F31937">
            <w:pPr>
              <w:pStyle w:val="BodyText"/>
              <w:spacing w:line="259" w:lineRule="auto"/>
              <w:rPr>
                <w:b/>
                <w:bCs/>
                <w:noProof/>
                <w:sz w:val="20"/>
                <w:szCs w:val="20"/>
              </w:rPr>
            </w:pPr>
          </w:p>
        </w:tc>
        <w:tc>
          <w:tcPr>
            <w:tcW w:w="3361" w:type="dxa"/>
            <w:vMerge/>
            <w:shd w:val="clear" w:color="auto" w:fill="D9D9D9" w:themeFill="background1" w:themeFillShade="D9"/>
          </w:tcPr>
          <w:p w14:paraId="26E68BDC" w14:textId="77777777" w:rsidR="000A7D9D" w:rsidRPr="00C56424" w:rsidRDefault="000A7D9D" w:rsidP="00F31937">
            <w:pPr>
              <w:pStyle w:val="BodyText"/>
              <w:rPr>
                <w:b/>
                <w:bCs/>
                <w:noProof/>
                <w:sz w:val="20"/>
                <w:szCs w:val="20"/>
              </w:rPr>
            </w:pPr>
          </w:p>
        </w:tc>
        <w:tc>
          <w:tcPr>
            <w:tcW w:w="2551" w:type="dxa"/>
            <w:shd w:val="clear" w:color="auto" w:fill="D9D9D9" w:themeFill="background1" w:themeFillShade="D9"/>
          </w:tcPr>
          <w:p w14:paraId="75903E2D"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263" w:type="dxa"/>
            <w:shd w:val="clear" w:color="auto" w:fill="D9D9D9" w:themeFill="background1" w:themeFillShade="D9"/>
          </w:tcPr>
          <w:p w14:paraId="39AE3A96" w14:textId="77777777" w:rsidR="000A7D9D" w:rsidRPr="00187DBF" w:rsidRDefault="000A7D9D" w:rsidP="00F31937">
            <w:pPr>
              <w:pStyle w:val="BodyText"/>
              <w:tabs>
                <w:tab w:val="left" w:pos="4170"/>
              </w:tabs>
              <w:spacing w:after="0"/>
              <w:rPr>
                <w:noProof/>
                <w:sz w:val="20"/>
                <w:szCs w:val="20"/>
                <w:lang w:val="fr-BE"/>
              </w:rPr>
            </w:pPr>
            <w:r w:rsidRPr="00187DBF">
              <w:rPr>
                <w:noProof/>
                <w:sz w:val="20"/>
                <w:szCs w:val="20"/>
                <w:lang w:val="fr-BE"/>
              </w:rPr>
              <w:t xml:space="preserve">2024: </w:t>
            </w:r>
            <w:r w:rsidRPr="00187DBF">
              <w:rPr>
                <w:b/>
                <w:bCs/>
                <w:noProof/>
                <w:sz w:val="20"/>
                <w:szCs w:val="20"/>
                <w:lang w:val="fr-BE"/>
              </w:rPr>
              <w:t>7 TAs, 4 CA</w:t>
            </w:r>
          </w:p>
          <w:p w14:paraId="6C0A583E" w14:textId="77777777" w:rsidR="000A7D9D" w:rsidRPr="00187DBF" w:rsidRDefault="000A7D9D" w:rsidP="00F31937">
            <w:pPr>
              <w:pStyle w:val="BodyText"/>
              <w:tabs>
                <w:tab w:val="left" w:pos="4170"/>
              </w:tabs>
              <w:spacing w:after="0"/>
              <w:rPr>
                <w:b/>
                <w:bCs/>
                <w:noProof/>
                <w:sz w:val="20"/>
                <w:szCs w:val="20"/>
                <w:lang w:val="fr-BE"/>
              </w:rPr>
            </w:pPr>
            <w:r w:rsidRPr="00187DBF">
              <w:rPr>
                <w:noProof/>
                <w:sz w:val="20"/>
                <w:szCs w:val="20"/>
                <w:lang w:val="fr-BE"/>
              </w:rPr>
              <w:t xml:space="preserve">2025: </w:t>
            </w:r>
            <w:r w:rsidRPr="00187DBF">
              <w:rPr>
                <w:b/>
                <w:bCs/>
                <w:noProof/>
                <w:sz w:val="20"/>
                <w:szCs w:val="20"/>
                <w:lang w:val="fr-BE"/>
              </w:rPr>
              <w:t>7 TAs, 4 CA</w:t>
            </w:r>
          </w:p>
          <w:p w14:paraId="63E834DD" w14:textId="77777777" w:rsidR="000A7D9D" w:rsidRPr="00187DBF" w:rsidRDefault="000A7D9D" w:rsidP="00F31937">
            <w:pPr>
              <w:pStyle w:val="BodyText"/>
              <w:tabs>
                <w:tab w:val="left" w:pos="4170"/>
              </w:tabs>
              <w:spacing w:after="0"/>
              <w:rPr>
                <w:b/>
                <w:bCs/>
                <w:noProof/>
                <w:sz w:val="20"/>
                <w:szCs w:val="20"/>
                <w:lang w:val="fr-BE"/>
              </w:rPr>
            </w:pPr>
            <w:r w:rsidRPr="00187DBF">
              <w:rPr>
                <w:noProof/>
                <w:sz w:val="20"/>
                <w:szCs w:val="20"/>
                <w:lang w:val="fr-BE"/>
              </w:rPr>
              <w:t xml:space="preserve">2026: </w:t>
            </w:r>
            <w:r w:rsidRPr="00187DBF">
              <w:rPr>
                <w:b/>
                <w:bCs/>
                <w:noProof/>
                <w:sz w:val="20"/>
                <w:szCs w:val="20"/>
                <w:lang w:val="fr-BE"/>
              </w:rPr>
              <w:t>7 TAs, 4 CA</w:t>
            </w:r>
          </w:p>
          <w:p w14:paraId="5E40E351"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bCs/>
                <w:noProof/>
                <w:sz w:val="20"/>
                <w:szCs w:val="20"/>
              </w:rPr>
              <w:t>7 TAs, 4 CA</w:t>
            </w:r>
          </w:p>
        </w:tc>
      </w:tr>
    </w:tbl>
    <w:p w14:paraId="6F8CB780" w14:textId="77777777" w:rsidR="000A7D9D" w:rsidRPr="00EF2DDF" w:rsidRDefault="000A7D9D" w:rsidP="000A7D9D">
      <w:pPr>
        <w:pStyle w:val="BodyText"/>
        <w:tabs>
          <w:tab w:val="left" w:pos="4170"/>
        </w:tabs>
        <w:spacing w:before="120"/>
        <w:rPr>
          <w:noProof/>
          <w:color w:val="000000" w:themeColor="text1"/>
        </w:rPr>
      </w:pPr>
      <w:r w:rsidRPr="00EF2DDF">
        <w:rPr>
          <w:noProof/>
          <w:u w:val="single"/>
        </w:rPr>
        <w:t>Future budget line:</w:t>
      </w:r>
      <w:r w:rsidRPr="00EF2DDF">
        <w:rPr>
          <w:noProof/>
        </w:rPr>
        <w:t xml:space="preserve"> DG Environment </w:t>
      </w:r>
    </w:p>
    <w:p w14:paraId="04689BC5" w14:textId="77777777" w:rsidR="000A7D9D" w:rsidRPr="00EF2DDF" w:rsidRDefault="000A7D9D" w:rsidP="000A7D9D">
      <w:pPr>
        <w:pStyle w:val="BodyText"/>
        <w:tabs>
          <w:tab w:val="left" w:pos="4170"/>
        </w:tabs>
        <w:rPr>
          <w:noProof/>
        </w:rPr>
      </w:pPr>
      <w:r w:rsidRPr="00EF2DDF">
        <w:rPr>
          <w:noProof/>
          <w:u w:val="single"/>
        </w:rPr>
        <w:t>Candidate for fees:</w:t>
      </w:r>
      <w:r w:rsidRPr="00EF2DDF">
        <w:rPr>
          <w:noProof/>
        </w:rPr>
        <w:t xml:space="preserve"> No</w:t>
      </w:r>
    </w:p>
    <w:p w14:paraId="3C2C8831" w14:textId="77777777" w:rsidR="000A7D9D" w:rsidRDefault="000A7D9D" w:rsidP="000A7D9D">
      <w:pPr>
        <w:rPr>
          <w:noProof/>
        </w:rPr>
      </w:pPr>
    </w:p>
    <w:p w14:paraId="13719F6A"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55" w:name="_Toc150499928"/>
      <w:r w:rsidRPr="00291F95">
        <w:rPr>
          <w:rFonts w:ascii="Times New Roman" w:hAnsi="Times New Roman"/>
          <w:smallCaps/>
          <w:noProof/>
          <w:color w:val="auto"/>
          <w:sz w:val="24"/>
          <w:szCs w:val="20"/>
          <w:lang w:eastAsia="en-US"/>
        </w:rPr>
        <w:t>CLP Regulation (1272/2008)</w:t>
      </w:r>
      <w:bookmarkEnd w:id="55"/>
    </w:p>
    <w:p w14:paraId="08FD504C" w14:textId="77777777" w:rsidR="000A7D9D" w:rsidRPr="00207447" w:rsidRDefault="000A7D9D" w:rsidP="000A7D9D">
      <w:pPr>
        <w:pStyle w:val="BodyText"/>
        <w:rPr>
          <w:b/>
          <w:bCs/>
          <w:noProof/>
        </w:rPr>
      </w:pPr>
      <w:r w:rsidRPr="00207447">
        <w:rPr>
          <w:b/>
          <w:bCs/>
          <w:noProof/>
        </w:rPr>
        <w:t>Responsible body:</w:t>
      </w:r>
    </w:p>
    <w:p w14:paraId="78FE1C38" w14:textId="77777777" w:rsidR="000A7D9D" w:rsidRPr="00207447" w:rsidRDefault="000A7D9D" w:rsidP="000A7D9D">
      <w:pPr>
        <w:pStyle w:val="BodyText"/>
        <w:rPr>
          <w:noProof/>
        </w:rPr>
      </w:pPr>
      <w:r w:rsidRPr="00207447">
        <w:rPr>
          <w:noProof/>
          <w:u w:val="single"/>
        </w:rPr>
        <w:t>Currently:</w:t>
      </w:r>
      <w:r w:rsidRPr="00207447">
        <w:rPr>
          <w:noProof/>
        </w:rPr>
        <w:t xml:space="preserve"> N/A</w:t>
      </w:r>
    </w:p>
    <w:p w14:paraId="478D7B6B" w14:textId="77777777" w:rsidR="000A7D9D" w:rsidRPr="00207447" w:rsidRDefault="000A7D9D" w:rsidP="000A7D9D">
      <w:pPr>
        <w:pStyle w:val="BodyText"/>
        <w:rPr>
          <w:noProof/>
        </w:rPr>
      </w:pPr>
      <w:r w:rsidRPr="00207447">
        <w:rPr>
          <w:noProof/>
          <w:u w:val="single"/>
        </w:rPr>
        <w:t>(Re-)attribution planned to:</w:t>
      </w:r>
      <w:r w:rsidRPr="00207447">
        <w:rPr>
          <w:noProof/>
        </w:rPr>
        <w:t xml:space="preserve"> ECHA, EFSA</w:t>
      </w:r>
    </w:p>
    <w:p w14:paraId="19C48114" w14:textId="77777777" w:rsidR="000A7D9D" w:rsidRPr="00207447" w:rsidRDefault="000A7D9D" w:rsidP="000A7D9D">
      <w:pPr>
        <w:pStyle w:val="BodyText"/>
        <w:rPr>
          <w:noProof/>
        </w:rPr>
      </w:pPr>
      <w:r w:rsidRPr="00207447">
        <w:rPr>
          <w:b/>
          <w:bCs/>
          <w:noProof/>
        </w:rPr>
        <w:t xml:space="preserve">Legal basis for reattribution: </w:t>
      </w:r>
      <w:r w:rsidRPr="00207447">
        <w:rPr>
          <w:noProof/>
        </w:rPr>
        <w:t xml:space="preserve">Revision of the CLP Regulation </w:t>
      </w:r>
    </w:p>
    <w:p w14:paraId="2298A180" w14:textId="77777777" w:rsidR="000A7D9D" w:rsidRPr="00207447" w:rsidRDefault="000A7D9D" w:rsidP="000A7D9D">
      <w:pPr>
        <w:pStyle w:val="BodyText"/>
        <w:rPr>
          <w:noProof/>
        </w:rPr>
      </w:pPr>
      <w:r w:rsidRPr="00207447">
        <w:rPr>
          <w:b/>
          <w:bCs/>
          <w:noProof/>
        </w:rPr>
        <w:t xml:space="preserve">Type of task: </w:t>
      </w:r>
      <w:r w:rsidRPr="00207447">
        <w:rPr>
          <w:noProof/>
        </w:rPr>
        <w:t>New</w:t>
      </w:r>
    </w:p>
    <w:p w14:paraId="54787F0B" w14:textId="77777777" w:rsidR="000A7D9D" w:rsidRPr="00207447" w:rsidRDefault="000A7D9D" w:rsidP="000A7D9D">
      <w:pPr>
        <w:pStyle w:val="BodyText"/>
        <w:jc w:val="both"/>
        <w:rPr>
          <w:noProof/>
        </w:rPr>
      </w:pPr>
      <w:r w:rsidRPr="00207447">
        <w:rPr>
          <w:b/>
          <w:bCs/>
          <w:noProof/>
        </w:rPr>
        <w:t xml:space="preserve">Brief task overview: </w:t>
      </w:r>
    </w:p>
    <w:p w14:paraId="2DAEB724" w14:textId="77777777" w:rsidR="000A7D9D" w:rsidRPr="00207447" w:rsidRDefault="000A7D9D" w:rsidP="000A7D9D">
      <w:pPr>
        <w:pStyle w:val="BodyText"/>
        <w:widowControl w:val="0"/>
        <w:numPr>
          <w:ilvl w:val="0"/>
          <w:numId w:val="52"/>
        </w:numPr>
        <w:jc w:val="both"/>
        <w:rPr>
          <w:noProof/>
        </w:rPr>
      </w:pPr>
      <w:r w:rsidRPr="00207447">
        <w:rPr>
          <w:noProof/>
        </w:rPr>
        <w:t>Developing a proposal for harmonised classification</w:t>
      </w:r>
    </w:p>
    <w:p w14:paraId="22B4BA5E" w14:textId="77777777" w:rsidR="000A7D9D" w:rsidRPr="00207447" w:rsidRDefault="000A7D9D" w:rsidP="000A7D9D">
      <w:pPr>
        <w:pStyle w:val="BodyText"/>
        <w:widowControl w:val="0"/>
        <w:numPr>
          <w:ilvl w:val="0"/>
          <w:numId w:val="52"/>
        </w:numPr>
        <w:jc w:val="both"/>
        <w:rPr>
          <w:noProof/>
        </w:rPr>
      </w:pPr>
      <w:r w:rsidRPr="00207447">
        <w:rPr>
          <w:noProof/>
        </w:rPr>
        <w:t xml:space="preserve">Opinion on a proposal for harmonised classification </w:t>
      </w:r>
    </w:p>
    <w:p w14:paraId="0A5E7D45" w14:textId="77777777" w:rsidR="000A7D9D" w:rsidRPr="00207447" w:rsidRDefault="000A7D9D" w:rsidP="000A7D9D">
      <w:pPr>
        <w:pStyle w:val="BodyText"/>
        <w:rPr>
          <w:b/>
          <w:bCs/>
          <w:noProof/>
        </w:rPr>
      </w:pPr>
      <w:r w:rsidRPr="00207447">
        <w:rPr>
          <w:b/>
          <w:bCs/>
          <w:noProof/>
        </w:rPr>
        <w:t>Detailed process description:</w:t>
      </w:r>
    </w:p>
    <w:p w14:paraId="65F880BA" w14:textId="77777777" w:rsidR="000A7D9D" w:rsidRPr="00207447" w:rsidRDefault="000A7D9D" w:rsidP="000A7D9D">
      <w:pPr>
        <w:pStyle w:val="BodyText"/>
        <w:rPr>
          <w:noProof/>
          <w:u w:val="single"/>
        </w:rPr>
      </w:pPr>
      <w:r w:rsidRPr="00207447">
        <w:rPr>
          <w:noProof/>
          <w:u w:val="single"/>
        </w:rPr>
        <w:t>Current process:</w:t>
      </w:r>
    </w:p>
    <w:p w14:paraId="096F5669" w14:textId="77777777" w:rsidR="000A7D9D" w:rsidRPr="00207447" w:rsidRDefault="000A7D9D" w:rsidP="000A7D9D">
      <w:pPr>
        <w:pStyle w:val="BodyText"/>
        <w:spacing w:line="259" w:lineRule="auto"/>
        <w:jc w:val="both"/>
        <w:rPr>
          <w:rFonts w:eastAsiaTheme="minorEastAsia"/>
          <w:noProof/>
        </w:rPr>
      </w:pPr>
      <w:r w:rsidRPr="00207447">
        <w:rPr>
          <w:rFonts w:eastAsiaTheme="minorEastAsia"/>
          <w:noProof/>
          <w:color w:val="000000" w:themeColor="text1"/>
        </w:rPr>
        <w:t>For hazards of highest concern (carcinogenicity, mutagenicity, reproductive toxicity (CMR) and respiratory sensitisers) and for other substances on a case-by-case basis, classification and labelling should be harmonised throughout the EU to ensure an adequate risk management. This is done through harmonised classification and labelling (CLH). Harmonised classifications are listed in Annex VI to the CLP Regulation.</w:t>
      </w:r>
    </w:p>
    <w:p w14:paraId="0F52B0C5" w14:textId="77777777" w:rsidR="000A7D9D" w:rsidRPr="00207447" w:rsidRDefault="000A7D9D" w:rsidP="000A7D9D">
      <w:pPr>
        <w:pStyle w:val="BodyText"/>
        <w:spacing w:line="259" w:lineRule="auto"/>
        <w:jc w:val="both"/>
        <w:rPr>
          <w:rFonts w:eastAsiaTheme="minorEastAsia"/>
          <w:noProof/>
          <w:color w:val="000000" w:themeColor="text1"/>
        </w:rPr>
      </w:pPr>
      <w:r w:rsidRPr="00207447">
        <w:rPr>
          <w:rFonts w:eastAsiaTheme="minorEastAsia"/>
          <w:noProof/>
          <w:color w:val="000000" w:themeColor="text1"/>
        </w:rPr>
        <w:t>The process for harmonised classification is as follows:</w:t>
      </w:r>
    </w:p>
    <w:p w14:paraId="72543900" w14:textId="77777777" w:rsidR="000A7D9D" w:rsidRPr="00207447" w:rsidRDefault="000A7D9D" w:rsidP="000A7D9D">
      <w:pPr>
        <w:pStyle w:val="ListParagraph"/>
        <w:widowControl w:val="0"/>
        <w:numPr>
          <w:ilvl w:val="0"/>
          <w:numId w:val="51"/>
        </w:numPr>
        <w:rPr>
          <w:noProof/>
          <w:color w:val="000000" w:themeColor="text1"/>
        </w:rPr>
      </w:pPr>
      <w:r w:rsidRPr="00207447">
        <w:rPr>
          <w:noProof/>
          <w:color w:val="000000" w:themeColor="text1"/>
        </w:rPr>
        <w:t xml:space="preserve">Member State (or industry under certain conditions) submits proposal for harmonised classification to ECHA. There is no legal obligation to do this; it is at the MS’ (or industry’s) discretion. </w:t>
      </w:r>
    </w:p>
    <w:p w14:paraId="241BA120" w14:textId="77777777" w:rsidR="000A7D9D" w:rsidRPr="00207447" w:rsidRDefault="000A7D9D" w:rsidP="000A7D9D">
      <w:pPr>
        <w:pStyle w:val="ListParagraph"/>
        <w:widowControl w:val="0"/>
        <w:numPr>
          <w:ilvl w:val="0"/>
          <w:numId w:val="51"/>
        </w:numPr>
        <w:rPr>
          <w:noProof/>
          <w:color w:val="000000" w:themeColor="text1"/>
        </w:rPr>
      </w:pPr>
      <w:r w:rsidRPr="00207447">
        <w:rPr>
          <w:noProof/>
          <w:color w:val="000000" w:themeColor="text1"/>
        </w:rPr>
        <w:t xml:space="preserve">RAC provides an opinion on harmonised classification. </w:t>
      </w:r>
    </w:p>
    <w:p w14:paraId="5301004C" w14:textId="77777777" w:rsidR="000A7D9D" w:rsidRPr="00207447" w:rsidRDefault="000A7D9D" w:rsidP="000A7D9D">
      <w:pPr>
        <w:pStyle w:val="ListParagraph"/>
        <w:widowControl w:val="0"/>
        <w:numPr>
          <w:ilvl w:val="0"/>
          <w:numId w:val="51"/>
        </w:numPr>
        <w:rPr>
          <w:noProof/>
          <w:color w:val="000000" w:themeColor="text1"/>
        </w:rPr>
      </w:pPr>
      <w:r w:rsidRPr="00207447">
        <w:rPr>
          <w:noProof/>
          <w:color w:val="000000" w:themeColor="text1"/>
        </w:rPr>
        <w:t>ECHA sends opinion to COM</w:t>
      </w:r>
    </w:p>
    <w:p w14:paraId="68753BDF" w14:textId="77777777" w:rsidR="000A7D9D" w:rsidRPr="00207447" w:rsidRDefault="000A7D9D" w:rsidP="000A7D9D">
      <w:pPr>
        <w:pStyle w:val="ListParagraph"/>
        <w:widowControl w:val="0"/>
        <w:numPr>
          <w:ilvl w:val="0"/>
          <w:numId w:val="51"/>
        </w:numPr>
        <w:spacing w:after="120"/>
        <w:rPr>
          <w:noProof/>
          <w:color w:val="000000" w:themeColor="text1"/>
        </w:rPr>
      </w:pPr>
      <w:r w:rsidRPr="00207447">
        <w:rPr>
          <w:noProof/>
          <w:color w:val="000000" w:themeColor="text1"/>
        </w:rPr>
        <w:t>‘Where appropriate’, COM formalises classification through addition of substance to Annex VI to CLP</w:t>
      </w:r>
    </w:p>
    <w:p w14:paraId="7486D92A" w14:textId="77777777" w:rsidR="000A7D9D" w:rsidRPr="00207447" w:rsidRDefault="000A7D9D" w:rsidP="000A7D9D">
      <w:pPr>
        <w:spacing w:after="120"/>
        <w:jc w:val="both"/>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Future process:</w:t>
      </w:r>
    </w:p>
    <w:p w14:paraId="74460376" w14:textId="77777777" w:rsidR="000A7D9D" w:rsidRPr="00207447" w:rsidRDefault="000A7D9D" w:rsidP="000A7D9D">
      <w:pPr>
        <w:pStyle w:val="BodyText"/>
        <w:spacing w:line="259" w:lineRule="auto"/>
        <w:jc w:val="both"/>
        <w:rPr>
          <w:noProof/>
        </w:rPr>
      </w:pPr>
      <w:r w:rsidRPr="00207447">
        <w:rPr>
          <w:noProof/>
        </w:rPr>
        <w:t xml:space="preserve">ECHA or EFSA, on the request of the Commission, will be obliged to develop a proposal for harmonised classification. </w:t>
      </w:r>
    </w:p>
    <w:p w14:paraId="3CFFB297" w14:textId="77777777" w:rsidR="000A7D9D" w:rsidRPr="00207447" w:rsidRDefault="000A7D9D" w:rsidP="000A7D9D">
      <w:pPr>
        <w:pStyle w:val="BodyText"/>
        <w:jc w:val="both"/>
        <w:rPr>
          <w:noProof/>
        </w:rPr>
      </w:pPr>
      <w:r w:rsidRPr="00207447">
        <w:rPr>
          <w:b/>
          <w:bCs/>
          <w:noProof/>
        </w:rPr>
        <w:t xml:space="preserve">Proximity to Agency mandate: </w:t>
      </w:r>
      <w:r w:rsidRPr="00207447">
        <w:rPr>
          <w:noProof/>
        </w:rPr>
        <w:t xml:space="preserve">The task fits well with the mandates of ECHA and EFSA. Both agencies are already involved in hazard and risk assessment of chemicals. ECHA already manages the process of RAC opinion making on proposals for harmonised classification and other provisions of CLP regulation. </w:t>
      </w:r>
    </w:p>
    <w:p w14:paraId="387313E9" w14:textId="77777777" w:rsidR="000A7D9D" w:rsidRPr="00207447" w:rsidRDefault="000A7D9D" w:rsidP="000A7D9D">
      <w:pPr>
        <w:pStyle w:val="BodyText"/>
        <w:jc w:val="both"/>
        <w:rPr>
          <w:noProof/>
        </w:rPr>
      </w:pPr>
      <w:r w:rsidRPr="00207447">
        <w:rPr>
          <w:b/>
          <w:bCs/>
          <w:noProof/>
        </w:rPr>
        <w:t xml:space="preserve">Projected synergies and added value of reattribution: </w:t>
      </w:r>
      <w:r w:rsidRPr="00207447">
        <w:rPr>
          <w:noProof/>
        </w:rPr>
        <w:t xml:space="preserve">Higher capacity to agree on harmonised classification for substances and the possibility to solve divergent opinions among agencies as regards hazard assessment is the key added value. </w:t>
      </w:r>
    </w:p>
    <w:tbl>
      <w:tblPr>
        <w:tblStyle w:val="TableGrid22"/>
        <w:tblW w:w="0" w:type="auto"/>
        <w:tblLook w:val="04A0" w:firstRow="1" w:lastRow="0" w:firstColumn="1" w:lastColumn="0" w:noHBand="0" w:noVBand="1"/>
      </w:tblPr>
      <w:tblGrid>
        <w:gridCol w:w="1656"/>
        <w:gridCol w:w="1080"/>
        <w:gridCol w:w="6893"/>
      </w:tblGrid>
      <w:tr w:rsidR="000A7D9D" w:rsidRPr="00207447" w14:paraId="5C9C6F5D"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tcPr>
          <w:p w14:paraId="31CFAF4E" w14:textId="77777777" w:rsidR="000A7D9D" w:rsidRPr="00207447" w:rsidRDefault="000A7D9D" w:rsidP="00F31937">
            <w:pPr>
              <w:spacing w:before="120" w:after="120"/>
              <w:jc w:val="both"/>
              <w:rPr>
                <w:rFonts w:ascii="Times New Roman" w:hAnsi="Times New Roman"/>
                <w:b/>
                <w:bCs/>
                <w:noProof/>
                <w:color w:val="4472C4" w:themeColor="accent1"/>
                <w:sz w:val="24"/>
                <w:szCs w:val="24"/>
              </w:rPr>
            </w:pPr>
            <w:r w:rsidRPr="00207447">
              <w:rPr>
                <w:rFonts w:ascii="Times New Roman" w:hAnsi="Times New Roman"/>
                <w:b/>
                <w:bCs/>
                <w:noProof/>
                <w:color w:val="4472C4" w:themeColor="accent1"/>
                <w:sz w:val="24"/>
                <w:szCs w:val="24"/>
              </w:rPr>
              <w:t>Type</w:t>
            </w:r>
          </w:p>
        </w:tc>
        <w:tc>
          <w:tcPr>
            <w:tcW w:w="7973" w:type="dxa"/>
            <w:gridSpan w:val="2"/>
            <w:tcBorders>
              <w:top w:val="single" w:sz="4" w:space="0" w:color="auto"/>
              <w:left w:val="single" w:sz="4" w:space="0" w:color="auto"/>
              <w:bottom w:val="single" w:sz="4" w:space="0" w:color="auto"/>
              <w:right w:val="single" w:sz="4" w:space="0" w:color="auto"/>
            </w:tcBorders>
          </w:tcPr>
          <w:p w14:paraId="07851F20" w14:textId="77777777" w:rsidR="000A7D9D" w:rsidRPr="00207447" w:rsidRDefault="000A7D9D" w:rsidP="00F31937">
            <w:pPr>
              <w:spacing w:before="120" w:after="120"/>
              <w:jc w:val="both"/>
              <w:rPr>
                <w:rFonts w:ascii="Times New Roman" w:hAnsi="Times New Roman"/>
                <w:b/>
                <w:bCs/>
                <w:noProof/>
                <w:color w:val="4472C4" w:themeColor="accent1"/>
                <w:sz w:val="24"/>
                <w:szCs w:val="24"/>
              </w:rPr>
            </w:pPr>
            <w:r w:rsidRPr="00207447">
              <w:rPr>
                <w:rFonts w:ascii="Times New Roman" w:hAnsi="Times New Roman"/>
                <w:b/>
                <w:bCs/>
                <w:noProof/>
                <w:color w:val="4472C4" w:themeColor="accent1"/>
                <w:sz w:val="24"/>
                <w:szCs w:val="24"/>
              </w:rPr>
              <w:t>Synergies</w:t>
            </w:r>
          </w:p>
          <w:p w14:paraId="1907D5A9" w14:textId="77777777" w:rsidR="000A7D9D" w:rsidRPr="00207447" w:rsidRDefault="000A7D9D" w:rsidP="00F31937">
            <w:pPr>
              <w:spacing w:before="120" w:after="120"/>
              <w:jc w:val="both"/>
              <w:rPr>
                <w:rFonts w:ascii="Times New Roman" w:hAnsi="Times New Roman"/>
                <w:b/>
                <w:bCs/>
                <w:noProof/>
                <w:color w:val="4472C4" w:themeColor="accent1"/>
                <w:sz w:val="24"/>
                <w:szCs w:val="24"/>
              </w:rPr>
            </w:pPr>
          </w:p>
        </w:tc>
      </w:tr>
      <w:tr w:rsidR="000A7D9D" w:rsidRPr="00207447" w14:paraId="395F3795"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tcPr>
          <w:p w14:paraId="78691ABF" w14:textId="77777777" w:rsidR="000A7D9D" w:rsidRPr="00207447" w:rsidRDefault="000A7D9D" w:rsidP="00F31937">
            <w:pPr>
              <w:spacing w:before="120" w:after="120"/>
              <w:rPr>
                <w:rFonts w:ascii="Times New Roman" w:hAnsi="Times New Roman"/>
                <w:b/>
                <w:bCs/>
                <w:noProof/>
                <w:color w:val="000000" w:themeColor="text1"/>
                <w:sz w:val="24"/>
                <w:szCs w:val="24"/>
              </w:rPr>
            </w:pPr>
            <w:r w:rsidRPr="00207447">
              <w:rPr>
                <w:rFonts w:ascii="Times New Roman" w:hAnsi="Times New Roman"/>
                <w:b/>
                <w:bCs/>
                <w:noProof/>
                <w:color w:val="000000" w:themeColor="text1"/>
                <w:sz w:val="24"/>
                <w:szCs w:val="24"/>
              </w:rPr>
              <w:t>Reuse of capabilities</w:t>
            </w:r>
          </w:p>
        </w:tc>
        <w:tc>
          <w:tcPr>
            <w:tcW w:w="1080" w:type="dxa"/>
            <w:tcBorders>
              <w:top w:val="single" w:sz="4" w:space="0" w:color="auto"/>
              <w:left w:val="single" w:sz="4" w:space="0" w:color="auto"/>
              <w:bottom w:val="single" w:sz="4" w:space="0" w:color="auto"/>
              <w:right w:val="single" w:sz="4" w:space="0" w:color="auto"/>
            </w:tcBorders>
          </w:tcPr>
          <w:p w14:paraId="73341B07"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High</w:t>
            </w:r>
          </w:p>
        </w:tc>
        <w:tc>
          <w:tcPr>
            <w:tcW w:w="6893" w:type="dxa"/>
            <w:tcBorders>
              <w:top w:val="single" w:sz="4" w:space="0" w:color="auto"/>
              <w:left w:val="single" w:sz="4" w:space="0" w:color="auto"/>
              <w:bottom w:val="single" w:sz="4" w:space="0" w:color="auto"/>
              <w:right w:val="single" w:sz="4" w:space="0" w:color="auto"/>
            </w:tcBorders>
          </w:tcPr>
          <w:p w14:paraId="30FDCF4F"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Process and expertise: ECHA already supports work under the CLP regulation including opinion making on harmonised classification and performs risk and hazard assessment under other pieces of legislation. Several key capacities can be reused/reinforced:</w:t>
            </w:r>
          </w:p>
          <w:p w14:paraId="1406D59B" w14:textId="77777777" w:rsidR="000A7D9D" w:rsidRPr="00207447" w:rsidRDefault="000A7D9D" w:rsidP="000A7D9D">
            <w:pPr>
              <w:numPr>
                <w:ilvl w:val="0"/>
                <w:numId w:val="21"/>
              </w:numPr>
              <w:ind w:left="720"/>
              <w:contextualSpacing/>
              <w:jc w:val="both"/>
              <w:rPr>
                <w:rFonts w:ascii="Times New Roman" w:hAnsi="Times New Roman"/>
                <w:noProof/>
                <w:sz w:val="24"/>
                <w:szCs w:val="24"/>
              </w:rPr>
            </w:pPr>
            <w:r w:rsidRPr="00207447">
              <w:rPr>
                <w:rFonts w:ascii="Times New Roman" w:hAnsi="Times New Roman"/>
                <w:noProof/>
                <w:sz w:val="24"/>
                <w:szCs w:val="24"/>
              </w:rPr>
              <w:t>Hazard assessment</w:t>
            </w:r>
          </w:p>
          <w:p w14:paraId="653D4EDB" w14:textId="77777777" w:rsidR="000A7D9D" w:rsidRPr="00207447" w:rsidRDefault="000A7D9D" w:rsidP="000A7D9D">
            <w:pPr>
              <w:numPr>
                <w:ilvl w:val="0"/>
                <w:numId w:val="21"/>
              </w:numPr>
              <w:spacing w:before="120" w:after="120"/>
              <w:ind w:left="720"/>
              <w:contextualSpacing/>
              <w:jc w:val="both"/>
              <w:rPr>
                <w:rFonts w:ascii="Times New Roman" w:hAnsi="Times New Roman"/>
                <w:noProof/>
                <w:color w:val="000000" w:themeColor="text1"/>
                <w:sz w:val="24"/>
                <w:szCs w:val="24"/>
              </w:rPr>
            </w:pPr>
            <w:r w:rsidRPr="00207447">
              <w:rPr>
                <w:rFonts w:ascii="Times New Roman" w:hAnsi="Times New Roman"/>
                <w:noProof/>
                <w:sz w:val="24"/>
                <w:szCs w:val="24"/>
              </w:rPr>
              <w:t>Committee opinion development</w:t>
            </w:r>
          </w:p>
          <w:p w14:paraId="7C07268F" w14:textId="77777777" w:rsidR="000A7D9D" w:rsidRPr="00207447" w:rsidRDefault="000A7D9D" w:rsidP="000A7D9D">
            <w:pPr>
              <w:numPr>
                <w:ilvl w:val="0"/>
                <w:numId w:val="21"/>
              </w:numPr>
              <w:spacing w:before="120" w:after="120"/>
              <w:ind w:left="720"/>
              <w:contextualSpacing/>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Existing IT capabilities for dossier submission, stakeholder consultation and dissemination</w:t>
            </w:r>
          </w:p>
        </w:tc>
      </w:tr>
      <w:tr w:rsidR="000A7D9D" w:rsidRPr="00207447" w14:paraId="7AED6A6E"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tcPr>
          <w:p w14:paraId="14E41DE2" w14:textId="77777777" w:rsidR="000A7D9D" w:rsidRPr="00207447" w:rsidRDefault="000A7D9D" w:rsidP="00F31937">
            <w:pPr>
              <w:spacing w:before="120" w:after="120"/>
              <w:rPr>
                <w:rFonts w:ascii="Times New Roman" w:hAnsi="Times New Roman"/>
                <w:b/>
                <w:bCs/>
                <w:noProof/>
                <w:color w:val="000000" w:themeColor="text1"/>
                <w:sz w:val="24"/>
                <w:szCs w:val="24"/>
              </w:rPr>
            </w:pPr>
            <w:r w:rsidRPr="00207447">
              <w:rPr>
                <w:rFonts w:ascii="Times New Roman" w:hAnsi="Times New Roman"/>
                <w:b/>
                <w:bCs/>
                <w:noProof/>
                <w:color w:val="000000" w:themeColor="text1"/>
                <w:sz w:val="24"/>
                <w:szCs w:val="24"/>
              </w:rPr>
              <w:t>Re-use of data</w:t>
            </w:r>
          </w:p>
        </w:tc>
        <w:tc>
          <w:tcPr>
            <w:tcW w:w="1080" w:type="dxa"/>
            <w:tcBorders>
              <w:top w:val="single" w:sz="4" w:space="0" w:color="auto"/>
              <w:left w:val="single" w:sz="4" w:space="0" w:color="auto"/>
              <w:bottom w:val="single" w:sz="4" w:space="0" w:color="auto"/>
              <w:right w:val="single" w:sz="4" w:space="0" w:color="auto"/>
            </w:tcBorders>
          </w:tcPr>
          <w:p w14:paraId="0E5B16E9"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Medium</w:t>
            </w:r>
          </w:p>
        </w:tc>
        <w:tc>
          <w:tcPr>
            <w:tcW w:w="6893" w:type="dxa"/>
            <w:tcBorders>
              <w:top w:val="single" w:sz="4" w:space="0" w:color="auto"/>
              <w:left w:val="single" w:sz="4" w:space="0" w:color="auto"/>
              <w:bottom w:val="single" w:sz="4" w:space="0" w:color="auto"/>
              <w:right w:val="single" w:sz="4" w:space="0" w:color="auto"/>
            </w:tcBorders>
          </w:tcPr>
          <w:p w14:paraId="578A97C6"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 xml:space="preserve">Reuse of substance identification and hazard data collected under other chemical legislation. </w:t>
            </w:r>
          </w:p>
        </w:tc>
      </w:tr>
      <w:tr w:rsidR="000A7D9D" w:rsidRPr="00207447" w14:paraId="36828E7C"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tcPr>
          <w:p w14:paraId="0119068F" w14:textId="77777777" w:rsidR="000A7D9D" w:rsidRPr="00207447" w:rsidRDefault="000A7D9D" w:rsidP="00F31937">
            <w:pPr>
              <w:spacing w:before="120" w:after="120"/>
              <w:rPr>
                <w:rFonts w:ascii="Times New Roman" w:hAnsi="Times New Roman"/>
                <w:b/>
                <w:bCs/>
                <w:noProof/>
                <w:color w:val="000000" w:themeColor="text1"/>
                <w:sz w:val="24"/>
                <w:szCs w:val="24"/>
              </w:rPr>
            </w:pPr>
            <w:r w:rsidRPr="00207447">
              <w:rPr>
                <w:rFonts w:ascii="Times New Roman" w:hAnsi="Times New Roman"/>
                <w:b/>
                <w:bCs/>
                <w:noProof/>
                <w:color w:val="000000" w:themeColor="text1"/>
                <w:sz w:val="24"/>
                <w:szCs w:val="24"/>
              </w:rPr>
              <w:t>Workload balancing</w:t>
            </w:r>
          </w:p>
        </w:tc>
        <w:tc>
          <w:tcPr>
            <w:tcW w:w="1080" w:type="dxa"/>
            <w:tcBorders>
              <w:top w:val="single" w:sz="4" w:space="0" w:color="auto"/>
              <w:left w:val="single" w:sz="4" w:space="0" w:color="auto"/>
              <w:bottom w:val="single" w:sz="4" w:space="0" w:color="auto"/>
              <w:right w:val="single" w:sz="4" w:space="0" w:color="auto"/>
            </w:tcBorders>
          </w:tcPr>
          <w:p w14:paraId="381D5485"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Low</w:t>
            </w:r>
          </w:p>
        </w:tc>
        <w:tc>
          <w:tcPr>
            <w:tcW w:w="6893" w:type="dxa"/>
            <w:tcBorders>
              <w:top w:val="single" w:sz="4" w:space="0" w:color="auto"/>
              <w:left w:val="single" w:sz="4" w:space="0" w:color="auto"/>
              <w:bottom w:val="single" w:sz="4" w:space="0" w:color="auto"/>
              <w:right w:val="single" w:sz="4" w:space="0" w:color="auto"/>
            </w:tcBorders>
          </w:tcPr>
          <w:p w14:paraId="5840517A"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With an estimated workload of developing 5 proposals annually, there is little room for workload balancing.</w:t>
            </w:r>
          </w:p>
        </w:tc>
      </w:tr>
      <w:tr w:rsidR="000A7D9D" w:rsidRPr="00207447" w14:paraId="3E7D1BDA"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tcPr>
          <w:p w14:paraId="49A10ABB" w14:textId="77777777" w:rsidR="000A7D9D" w:rsidRPr="00207447" w:rsidRDefault="000A7D9D" w:rsidP="00F31937">
            <w:pPr>
              <w:spacing w:before="120" w:after="120"/>
              <w:rPr>
                <w:rFonts w:ascii="Times New Roman" w:hAnsi="Times New Roman"/>
                <w:b/>
                <w:bCs/>
                <w:noProof/>
                <w:color w:val="000000" w:themeColor="text1"/>
                <w:sz w:val="24"/>
                <w:szCs w:val="24"/>
              </w:rPr>
            </w:pPr>
            <w:r w:rsidRPr="00207447">
              <w:rPr>
                <w:rFonts w:ascii="Times New Roman" w:hAnsi="Times New Roman"/>
                <w:b/>
                <w:bCs/>
                <w:noProof/>
                <w:color w:val="000000" w:themeColor="text1"/>
                <w:sz w:val="24"/>
                <w:szCs w:val="24"/>
              </w:rPr>
              <w:t>IT tools: automation and economies of scale</w:t>
            </w:r>
          </w:p>
        </w:tc>
        <w:tc>
          <w:tcPr>
            <w:tcW w:w="1080" w:type="dxa"/>
            <w:tcBorders>
              <w:top w:val="single" w:sz="4" w:space="0" w:color="auto"/>
              <w:left w:val="single" w:sz="4" w:space="0" w:color="auto"/>
              <w:bottom w:val="single" w:sz="4" w:space="0" w:color="auto"/>
              <w:right w:val="single" w:sz="4" w:space="0" w:color="auto"/>
            </w:tcBorders>
          </w:tcPr>
          <w:p w14:paraId="4225800D"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High</w:t>
            </w:r>
          </w:p>
        </w:tc>
        <w:tc>
          <w:tcPr>
            <w:tcW w:w="6893" w:type="dxa"/>
            <w:tcBorders>
              <w:top w:val="single" w:sz="4" w:space="0" w:color="auto"/>
              <w:left w:val="single" w:sz="4" w:space="0" w:color="auto"/>
              <w:bottom w:val="single" w:sz="4" w:space="0" w:color="auto"/>
              <w:right w:val="single" w:sz="4" w:space="0" w:color="auto"/>
            </w:tcBorders>
          </w:tcPr>
          <w:p w14:paraId="33AE3D94"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Reuse of IT capabilities for case management, public consultation, interaction with Member States, regulatory intentions management and data dissemination.</w:t>
            </w:r>
          </w:p>
        </w:tc>
      </w:tr>
      <w:tr w:rsidR="000A7D9D" w:rsidRPr="00207447" w14:paraId="3FEE5108"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tcPr>
          <w:p w14:paraId="60A23FCD" w14:textId="77777777" w:rsidR="000A7D9D" w:rsidRPr="00207447" w:rsidRDefault="000A7D9D" w:rsidP="00F31937">
            <w:pPr>
              <w:spacing w:before="120" w:after="120"/>
              <w:rPr>
                <w:rFonts w:ascii="Times New Roman" w:hAnsi="Times New Roman"/>
                <w:b/>
                <w:bCs/>
                <w:noProof/>
                <w:color w:val="000000" w:themeColor="text1"/>
                <w:sz w:val="24"/>
                <w:szCs w:val="24"/>
              </w:rPr>
            </w:pPr>
            <w:r w:rsidRPr="00207447">
              <w:rPr>
                <w:rFonts w:ascii="Times New Roman" w:hAnsi="Times New Roman"/>
                <w:b/>
                <w:bCs/>
                <w:noProof/>
                <w:color w:val="000000" w:themeColor="text1"/>
                <w:sz w:val="24"/>
                <w:szCs w:val="24"/>
              </w:rPr>
              <w:t>Support services: economies of scale</w:t>
            </w:r>
          </w:p>
        </w:tc>
        <w:tc>
          <w:tcPr>
            <w:tcW w:w="1080" w:type="dxa"/>
            <w:tcBorders>
              <w:top w:val="single" w:sz="4" w:space="0" w:color="auto"/>
              <w:left w:val="single" w:sz="4" w:space="0" w:color="auto"/>
              <w:bottom w:val="single" w:sz="4" w:space="0" w:color="auto"/>
              <w:right w:val="single" w:sz="4" w:space="0" w:color="auto"/>
            </w:tcBorders>
          </w:tcPr>
          <w:p w14:paraId="4B7691DC"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High</w:t>
            </w:r>
          </w:p>
        </w:tc>
        <w:tc>
          <w:tcPr>
            <w:tcW w:w="6893" w:type="dxa"/>
            <w:tcBorders>
              <w:top w:val="single" w:sz="4" w:space="0" w:color="auto"/>
              <w:left w:val="single" w:sz="4" w:space="0" w:color="auto"/>
              <w:bottom w:val="single" w:sz="4" w:space="0" w:color="auto"/>
              <w:right w:val="single" w:sz="4" w:space="0" w:color="auto"/>
            </w:tcBorders>
          </w:tcPr>
          <w:p w14:paraId="1EC67E77"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Reuse of scientific support services (e.g. committee secretariat, prioritisation and grouping of substances, substance identification, data management and dissemination). Reuse of administrative services.</w:t>
            </w:r>
          </w:p>
        </w:tc>
      </w:tr>
    </w:tbl>
    <w:p w14:paraId="34A7636B" w14:textId="77777777" w:rsidR="000A7D9D" w:rsidRPr="00207447" w:rsidRDefault="000A7D9D" w:rsidP="000A7D9D">
      <w:pPr>
        <w:pStyle w:val="BodyText"/>
        <w:jc w:val="both"/>
        <w:rPr>
          <w:noProof/>
        </w:rPr>
      </w:pPr>
    </w:p>
    <w:tbl>
      <w:tblPr>
        <w:tblStyle w:val="TableGrid23"/>
        <w:tblW w:w="0" w:type="auto"/>
        <w:tblLook w:val="04A0" w:firstRow="1" w:lastRow="0" w:firstColumn="1" w:lastColumn="0" w:noHBand="0" w:noVBand="1"/>
      </w:tblPr>
      <w:tblGrid>
        <w:gridCol w:w="1822"/>
        <w:gridCol w:w="1065"/>
        <w:gridCol w:w="6742"/>
      </w:tblGrid>
      <w:tr w:rsidR="000A7D9D" w:rsidRPr="00207447" w14:paraId="472FD8AC"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tcPr>
          <w:p w14:paraId="149DCC9A" w14:textId="77777777" w:rsidR="000A7D9D" w:rsidRPr="00207447" w:rsidRDefault="000A7D9D" w:rsidP="00F31937">
            <w:pPr>
              <w:spacing w:before="120" w:after="120"/>
              <w:jc w:val="both"/>
              <w:rPr>
                <w:rFonts w:ascii="Times New Roman" w:hAnsi="Times New Roman"/>
                <w:b/>
                <w:bCs/>
                <w:noProof/>
                <w:color w:val="4472C4" w:themeColor="accent1"/>
                <w:sz w:val="24"/>
                <w:szCs w:val="24"/>
              </w:rPr>
            </w:pPr>
            <w:r w:rsidRPr="00207447">
              <w:rPr>
                <w:rFonts w:ascii="Times New Roman" w:hAnsi="Times New Roman"/>
                <w:b/>
                <w:bCs/>
                <w:noProof/>
                <w:color w:val="4472C4" w:themeColor="accent1"/>
                <w:sz w:val="24"/>
                <w:szCs w:val="24"/>
              </w:rPr>
              <w:t>Type</w:t>
            </w:r>
          </w:p>
        </w:tc>
        <w:tc>
          <w:tcPr>
            <w:tcW w:w="7807" w:type="dxa"/>
            <w:gridSpan w:val="2"/>
            <w:tcBorders>
              <w:top w:val="single" w:sz="4" w:space="0" w:color="auto"/>
              <w:left w:val="single" w:sz="4" w:space="0" w:color="auto"/>
              <w:bottom w:val="single" w:sz="4" w:space="0" w:color="auto"/>
              <w:right w:val="single" w:sz="4" w:space="0" w:color="auto"/>
            </w:tcBorders>
          </w:tcPr>
          <w:p w14:paraId="04BEE36D" w14:textId="77777777" w:rsidR="000A7D9D" w:rsidRPr="00207447" w:rsidRDefault="000A7D9D" w:rsidP="00F31937">
            <w:pPr>
              <w:spacing w:before="120" w:after="120"/>
              <w:jc w:val="both"/>
              <w:rPr>
                <w:rFonts w:ascii="Times New Roman" w:hAnsi="Times New Roman"/>
                <w:b/>
                <w:bCs/>
                <w:noProof/>
                <w:color w:val="4472C4" w:themeColor="accent1"/>
                <w:sz w:val="24"/>
                <w:szCs w:val="24"/>
              </w:rPr>
            </w:pPr>
            <w:r w:rsidRPr="00207447">
              <w:rPr>
                <w:rFonts w:ascii="Times New Roman" w:hAnsi="Times New Roman"/>
                <w:b/>
                <w:bCs/>
                <w:noProof/>
                <w:color w:val="4472C4" w:themeColor="accent1"/>
                <w:sz w:val="24"/>
                <w:szCs w:val="24"/>
              </w:rPr>
              <w:t>Added value</w:t>
            </w:r>
          </w:p>
          <w:p w14:paraId="2A2777E8" w14:textId="77777777" w:rsidR="000A7D9D" w:rsidRPr="00207447" w:rsidRDefault="000A7D9D" w:rsidP="00F31937">
            <w:pPr>
              <w:spacing w:before="120" w:after="120"/>
              <w:jc w:val="both"/>
              <w:rPr>
                <w:rFonts w:ascii="Times New Roman" w:hAnsi="Times New Roman"/>
                <w:b/>
                <w:bCs/>
                <w:noProof/>
                <w:color w:val="4472C4" w:themeColor="accent1"/>
                <w:sz w:val="24"/>
                <w:szCs w:val="24"/>
              </w:rPr>
            </w:pPr>
          </w:p>
        </w:tc>
      </w:tr>
      <w:tr w:rsidR="000A7D9D" w:rsidRPr="00207447" w14:paraId="725AFDCA"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tcPr>
          <w:p w14:paraId="11980CB6" w14:textId="77777777" w:rsidR="000A7D9D" w:rsidRPr="00207447" w:rsidRDefault="000A7D9D" w:rsidP="00F31937">
            <w:pPr>
              <w:spacing w:before="120" w:after="120"/>
              <w:jc w:val="both"/>
              <w:rPr>
                <w:rFonts w:ascii="Times New Roman" w:hAnsi="Times New Roman"/>
                <w:b/>
                <w:bCs/>
                <w:noProof/>
                <w:color w:val="000000" w:themeColor="text1"/>
                <w:sz w:val="24"/>
                <w:szCs w:val="24"/>
              </w:rPr>
            </w:pPr>
            <w:r w:rsidRPr="00207447">
              <w:rPr>
                <w:rFonts w:ascii="Times New Roman" w:hAnsi="Times New Roman"/>
                <w:b/>
                <w:bCs/>
                <w:noProof/>
                <w:color w:val="000000" w:themeColor="text1"/>
                <w:sz w:val="24"/>
                <w:szCs w:val="24"/>
              </w:rPr>
              <w:t>Scientific consistency</w:t>
            </w:r>
          </w:p>
        </w:tc>
        <w:tc>
          <w:tcPr>
            <w:tcW w:w="1065" w:type="dxa"/>
            <w:tcBorders>
              <w:top w:val="single" w:sz="4" w:space="0" w:color="auto"/>
              <w:left w:val="single" w:sz="4" w:space="0" w:color="auto"/>
              <w:bottom w:val="single" w:sz="4" w:space="0" w:color="auto"/>
              <w:right w:val="single" w:sz="4" w:space="0" w:color="auto"/>
            </w:tcBorders>
          </w:tcPr>
          <w:p w14:paraId="112C6DDF"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High</w:t>
            </w:r>
          </w:p>
        </w:tc>
        <w:tc>
          <w:tcPr>
            <w:tcW w:w="6742" w:type="dxa"/>
            <w:tcBorders>
              <w:top w:val="single" w:sz="4" w:space="0" w:color="auto"/>
              <w:left w:val="single" w:sz="4" w:space="0" w:color="auto"/>
              <w:bottom w:val="single" w:sz="4" w:space="0" w:color="auto"/>
              <w:right w:val="single" w:sz="4" w:space="0" w:color="auto"/>
            </w:tcBorders>
          </w:tcPr>
          <w:p w14:paraId="707FCFFD" w14:textId="77777777" w:rsidR="000A7D9D" w:rsidRPr="00207447" w:rsidRDefault="000A7D9D" w:rsidP="00F31937">
            <w:pPr>
              <w:spacing w:before="120" w:after="120"/>
              <w:jc w:val="both"/>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 xml:space="preserve">Opportunity </w:t>
            </w:r>
            <w:r w:rsidRPr="00207447">
              <w:rPr>
                <w:rFonts w:ascii="Times New Roman" w:hAnsi="Times New Roman"/>
                <w:noProof/>
                <w:sz w:val="24"/>
                <w:szCs w:val="24"/>
              </w:rPr>
              <w:t xml:space="preserve">to solve divergent opinions among agencies as regards hazard assessment. </w:t>
            </w:r>
          </w:p>
        </w:tc>
      </w:tr>
    </w:tbl>
    <w:p w14:paraId="27C72958" w14:textId="77777777" w:rsidR="000A7D9D" w:rsidRPr="00207447" w:rsidRDefault="000A7D9D" w:rsidP="000A7D9D">
      <w:pPr>
        <w:pStyle w:val="BodyText"/>
        <w:jc w:val="both"/>
        <w:rPr>
          <w:noProof/>
        </w:rPr>
      </w:pPr>
    </w:p>
    <w:p w14:paraId="1E89CB4B" w14:textId="77777777" w:rsidR="000A7D9D" w:rsidRPr="00207447" w:rsidRDefault="000A7D9D" w:rsidP="000A7D9D">
      <w:pPr>
        <w:pStyle w:val="BodyText"/>
        <w:rPr>
          <w:b/>
          <w:bCs/>
          <w:noProof/>
        </w:rPr>
      </w:pPr>
      <w:r w:rsidRPr="00207447">
        <w:rPr>
          <w:b/>
          <w:bCs/>
          <w:noProof/>
        </w:rPr>
        <w:t>Projected impact on ECHA and EFSA:</w:t>
      </w:r>
    </w:p>
    <w:p w14:paraId="2748CA2C" w14:textId="77777777" w:rsidR="000A7D9D" w:rsidRPr="00207447" w:rsidRDefault="000A7D9D" w:rsidP="000A7D9D">
      <w:pPr>
        <w:pStyle w:val="BodyText"/>
        <w:widowControl w:val="0"/>
        <w:numPr>
          <w:ilvl w:val="0"/>
          <w:numId w:val="88"/>
        </w:numPr>
        <w:jc w:val="both"/>
        <w:rPr>
          <w:noProof/>
        </w:rPr>
      </w:pPr>
      <w:r w:rsidRPr="00207447">
        <w:rPr>
          <w:noProof/>
        </w:rPr>
        <w:t xml:space="preserve">ECHA Committees/bodies: </w:t>
      </w:r>
      <w:r w:rsidRPr="00207447">
        <w:rPr>
          <w:b/>
          <w:bCs/>
          <w:noProof/>
        </w:rPr>
        <w:t>high impact</w:t>
      </w:r>
      <w:r w:rsidRPr="00207447">
        <w:rPr>
          <w:noProof/>
        </w:rPr>
        <w:t xml:space="preserve">. The task requires involvement of ECHA committee RAC. EFSA Committees/bodies: </w:t>
      </w:r>
      <w:r w:rsidRPr="00207447">
        <w:rPr>
          <w:b/>
          <w:bCs/>
          <w:noProof/>
        </w:rPr>
        <w:t>no impact</w:t>
      </w:r>
      <w:r w:rsidRPr="00207447">
        <w:rPr>
          <w:noProof/>
        </w:rPr>
        <w:t xml:space="preserve">. No involvement of EFSA’s committees </w:t>
      </w:r>
    </w:p>
    <w:tbl>
      <w:tblPr>
        <w:tblStyle w:val="TableGrid"/>
        <w:tblW w:w="0" w:type="auto"/>
        <w:tblInd w:w="-5" w:type="dxa"/>
        <w:tblLook w:val="04A0" w:firstRow="1" w:lastRow="0" w:firstColumn="1" w:lastColumn="0" w:noHBand="0" w:noVBand="1"/>
      </w:tblPr>
      <w:tblGrid>
        <w:gridCol w:w="2253"/>
        <w:gridCol w:w="1084"/>
        <w:gridCol w:w="1363"/>
        <w:gridCol w:w="1127"/>
        <w:gridCol w:w="1131"/>
        <w:gridCol w:w="1415"/>
        <w:gridCol w:w="1261"/>
      </w:tblGrid>
      <w:tr w:rsidR="000A7D9D" w:rsidRPr="00207447" w14:paraId="0D6F3E7C" w14:textId="77777777" w:rsidTr="00F31937">
        <w:trPr>
          <w:trHeight w:val="300"/>
        </w:trPr>
        <w:tc>
          <w:tcPr>
            <w:tcW w:w="2253" w:type="dxa"/>
          </w:tcPr>
          <w:p w14:paraId="2E80D03A" w14:textId="77777777" w:rsidR="000A7D9D" w:rsidRPr="00207447" w:rsidRDefault="000A7D9D" w:rsidP="00F31937">
            <w:pPr>
              <w:pStyle w:val="BodyText"/>
              <w:rPr>
                <w:b/>
                <w:bCs/>
                <w:noProof/>
              </w:rPr>
            </w:pPr>
          </w:p>
        </w:tc>
        <w:tc>
          <w:tcPr>
            <w:tcW w:w="1084" w:type="dxa"/>
          </w:tcPr>
          <w:p w14:paraId="1EC11D89" w14:textId="77777777" w:rsidR="000A7D9D" w:rsidRPr="00207447" w:rsidRDefault="000A7D9D" w:rsidP="00F31937">
            <w:pPr>
              <w:pStyle w:val="BodyText"/>
              <w:rPr>
                <w:b/>
                <w:bCs/>
                <w:noProof/>
              </w:rPr>
            </w:pPr>
            <w:r w:rsidRPr="00207447">
              <w:rPr>
                <w:b/>
                <w:bCs/>
                <w:noProof/>
              </w:rPr>
              <w:t>RAC</w:t>
            </w:r>
          </w:p>
        </w:tc>
        <w:tc>
          <w:tcPr>
            <w:tcW w:w="1363" w:type="dxa"/>
          </w:tcPr>
          <w:p w14:paraId="7196C9CA" w14:textId="77777777" w:rsidR="000A7D9D" w:rsidRPr="00207447" w:rsidRDefault="000A7D9D" w:rsidP="00F31937">
            <w:pPr>
              <w:pStyle w:val="BodyText"/>
              <w:rPr>
                <w:b/>
                <w:bCs/>
                <w:noProof/>
              </w:rPr>
            </w:pPr>
          </w:p>
        </w:tc>
        <w:tc>
          <w:tcPr>
            <w:tcW w:w="1127" w:type="dxa"/>
          </w:tcPr>
          <w:p w14:paraId="40C82CFD" w14:textId="77777777" w:rsidR="000A7D9D" w:rsidRPr="00207447" w:rsidRDefault="000A7D9D" w:rsidP="00F31937">
            <w:pPr>
              <w:pStyle w:val="BodyText"/>
              <w:rPr>
                <w:b/>
                <w:bCs/>
                <w:noProof/>
              </w:rPr>
            </w:pPr>
          </w:p>
        </w:tc>
        <w:tc>
          <w:tcPr>
            <w:tcW w:w="1131" w:type="dxa"/>
          </w:tcPr>
          <w:p w14:paraId="5A72C13F" w14:textId="77777777" w:rsidR="000A7D9D" w:rsidRPr="00207447" w:rsidRDefault="000A7D9D" w:rsidP="00F31937">
            <w:pPr>
              <w:pStyle w:val="BodyText"/>
              <w:rPr>
                <w:b/>
                <w:bCs/>
                <w:noProof/>
              </w:rPr>
            </w:pPr>
            <w:r w:rsidRPr="00207447">
              <w:rPr>
                <w:b/>
                <w:bCs/>
                <w:noProof/>
              </w:rPr>
              <w:t>SEAC</w:t>
            </w:r>
          </w:p>
        </w:tc>
        <w:tc>
          <w:tcPr>
            <w:tcW w:w="1415" w:type="dxa"/>
          </w:tcPr>
          <w:p w14:paraId="7F6C77D5" w14:textId="77777777" w:rsidR="000A7D9D" w:rsidRPr="00207447" w:rsidRDefault="000A7D9D" w:rsidP="00F31937">
            <w:pPr>
              <w:pStyle w:val="BodyText"/>
              <w:rPr>
                <w:b/>
                <w:bCs/>
                <w:noProof/>
              </w:rPr>
            </w:pPr>
          </w:p>
        </w:tc>
        <w:tc>
          <w:tcPr>
            <w:tcW w:w="1261" w:type="dxa"/>
          </w:tcPr>
          <w:p w14:paraId="7F3E206F" w14:textId="77777777" w:rsidR="000A7D9D" w:rsidRPr="00207447" w:rsidRDefault="000A7D9D" w:rsidP="00F31937">
            <w:pPr>
              <w:pStyle w:val="BodyText"/>
              <w:rPr>
                <w:b/>
                <w:bCs/>
                <w:noProof/>
              </w:rPr>
            </w:pPr>
          </w:p>
        </w:tc>
      </w:tr>
      <w:tr w:rsidR="000A7D9D" w:rsidRPr="00207447" w14:paraId="69245792" w14:textId="77777777" w:rsidTr="00F31937">
        <w:trPr>
          <w:trHeight w:val="300"/>
        </w:trPr>
        <w:tc>
          <w:tcPr>
            <w:tcW w:w="2253" w:type="dxa"/>
          </w:tcPr>
          <w:p w14:paraId="7FBCCDC5" w14:textId="77777777" w:rsidR="000A7D9D" w:rsidRPr="00207447" w:rsidRDefault="000A7D9D" w:rsidP="00F31937">
            <w:pPr>
              <w:pStyle w:val="BodyText"/>
              <w:rPr>
                <w:b/>
                <w:bCs/>
                <w:noProof/>
              </w:rPr>
            </w:pPr>
          </w:p>
        </w:tc>
        <w:tc>
          <w:tcPr>
            <w:tcW w:w="1084" w:type="dxa"/>
          </w:tcPr>
          <w:p w14:paraId="092EFDA6" w14:textId="77777777" w:rsidR="000A7D9D" w:rsidRPr="00207447" w:rsidRDefault="000A7D9D" w:rsidP="00F31937">
            <w:pPr>
              <w:pStyle w:val="BodyText"/>
              <w:rPr>
                <w:b/>
                <w:bCs/>
                <w:noProof/>
              </w:rPr>
            </w:pPr>
            <w:r w:rsidRPr="00207447">
              <w:rPr>
                <w:b/>
                <w:bCs/>
                <w:noProof/>
              </w:rPr>
              <w:t># of opinions per year</w:t>
            </w:r>
          </w:p>
        </w:tc>
        <w:tc>
          <w:tcPr>
            <w:tcW w:w="1363" w:type="dxa"/>
          </w:tcPr>
          <w:p w14:paraId="6AC57F2D" w14:textId="77777777" w:rsidR="000A7D9D" w:rsidRPr="00207447" w:rsidRDefault="000A7D9D" w:rsidP="00F31937">
            <w:pPr>
              <w:pStyle w:val="BodyText"/>
              <w:rPr>
                <w:b/>
                <w:bCs/>
                <w:noProof/>
              </w:rPr>
            </w:pPr>
            <w:r w:rsidRPr="00207447">
              <w:rPr>
                <w:b/>
                <w:bCs/>
                <w:noProof/>
              </w:rPr>
              <w:t>rapporteur</w:t>
            </w:r>
          </w:p>
        </w:tc>
        <w:tc>
          <w:tcPr>
            <w:tcW w:w="1127" w:type="dxa"/>
          </w:tcPr>
          <w:p w14:paraId="35ACD231" w14:textId="77777777" w:rsidR="000A7D9D" w:rsidRPr="00207447" w:rsidRDefault="000A7D9D" w:rsidP="00F31937">
            <w:pPr>
              <w:pStyle w:val="BodyText"/>
              <w:rPr>
                <w:b/>
                <w:bCs/>
                <w:noProof/>
              </w:rPr>
            </w:pPr>
            <w:r w:rsidRPr="00207447">
              <w:rPr>
                <w:b/>
                <w:bCs/>
                <w:noProof/>
              </w:rPr>
              <w:t>Type of opinion</w:t>
            </w:r>
          </w:p>
        </w:tc>
        <w:tc>
          <w:tcPr>
            <w:tcW w:w="1131" w:type="dxa"/>
          </w:tcPr>
          <w:p w14:paraId="42086A8E" w14:textId="77777777" w:rsidR="000A7D9D" w:rsidRPr="00207447" w:rsidRDefault="000A7D9D" w:rsidP="00F31937">
            <w:pPr>
              <w:pStyle w:val="BodyText"/>
              <w:rPr>
                <w:b/>
                <w:bCs/>
                <w:noProof/>
              </w:rPr>
            </w:pPr>
            <w:r w:rsidRPr="00207447">
              <w:rPr>
                <w:b/>
                <w:bCs/>
                <w:noProof/>
              </w:rPr>
              <w:t># of opinions per year</w:t>
            </w:r>
          </w:p>
        </w:tc>
        <w:tc>
          <w:tcPr>
            <w:tcW w:w="1415" w:type="dxa"/>
          </w:tcPr>
          <w:p w14:paraId="57ECB1BC" w14:textId="77777777" w:rsidR="000A7D9D" w:rsidRPr="00207447" w:rsidRDefault="000A7D9D" w:rsidP="00F31937">
            <w:pPr>
              <w:pStyle w:val="BodyText"/>
              <w:rPr>
                <w:b/>
                <w:bCs/>
                <w:noProof/>
              </w:rPr>
            </w:pPr>
            <w:r w:rsidRPr="00207447">
              <w:rPr>
                <w:b/>
                <w:bCs/>
                <w:noProof/>
              </w:rPr>
              <w:t>rapporteur</w:t>
            </w:r>
          </w:p>
        </w:tc>
        <w:tc>
          <w:tcPr>
            <w:tcW w:w="1261" w:type="dxa"/>
          </w:tcPr>
          <w:p w14:paraId="2E6B6592" w14:textId="77777777" w:rsidR="000A7D9D" w:rsidRPr="00207447" w:rsidRDefault="000A7D9D" w:rsidP="00F31937">
            <w:pPr>
              <w:pStyle w:val="BodyText"/>
              <w:rPr>
                <w:b/>
                <w:bCs/>
                <w:noProof/>
              </w:rPr>
            </w:pPr>
            <w:r w:rsidRPr="00207447">
              <w:rPr>
                <w:b/>
                <w:bCs/>
                <w:noProof/>
              </w:rPr>
              <w:t>Type of opinion</w:t>
            </w:r>
          </w:p>
        </w:tc>
      </w:tr>
      <w:tr w:rsidR="000A7D9D" w:rsidRPr="00207447" w14:paraId="457B0917" w14:textId="77777777" w:rsidTr="00F31937">
        <w:trPr>
          <w:trHeight w:val="300"/>
        </w:trPr>
        <w:tc>
          <w:tcPr>
            <w:tcW w:w="2253" w:type="dxa"/>
          </w:tcPr>
          <w:p w14:paraId="32406B75" w14:textId="77777777" w:rsidR="000A7D9D" w:rsidRPr="00207447" w:rsidRDefault="000A7D9D" w:rsidP="00F31937">
            <w:pPr>
              <w:pStyle w:val="BodyText"/>
              <w:spacing w:line="259" w:lineRule="auto"/>
              <w:rPr>
                <w:noProof/>
              </w:rPr>
            </w:pPr>
            <w:r w:rsidRPr="00207447">
              <w:rPr>
                <w:noProof/>
              </w:rPr>
              <w:t xml:space="preserve">Harmonised classification </w:t>
            </w:r>
          </w:p>
        </w:tc>
        <w:tc>
          <w:tcPr>
            <w:tcW w:w="1084" w:type="dxa"/>
          </w:tcPr>
          <w:p w14:paraId="6C674529" w14:textId="77777777" w:rsidR="000A7D9D" w:rsidRPr="00207447" w:rsidRDefault="000A7D9D" w:rsidP="00F31937">
            <w:pPr>
              <w:pStyle w:val="BodyText"/>
              <w:spacing w:line="259" w:lineRule="auto"/>
              <w:rPr>
                <w:noProof/>
              </w:rPr>
            </w:pPr>
            <w:r w:rsidRPr="00207447">
              <w:rPr>
                <w:noProof/>
              </w:rPr>
              <w:t>6</w:t>
            </w:r>
          </w:p>
        </w:tc>
        <w:tc>
          <w:tcPr>
            <w:tcW w:w="1363" w:type="dxa"/>
          </w:tcPr>
          <w:p w14:paraId="50D5380B" w14:textId="77777777" w:rsidR="000A7D9D" w:rsidRPr="00207447" w:rsidRDefault="000A7D9D" w:rsidP="00F31937">
            <w:pPr>
              <w:pStyle w:val="BodyText"/>
              <w:spacing w:line="259" w:lineRule="auto"/>
              <w:rPr>
                <w:noProof/>
              </w:rPr>
            </w:pPr>
            <w:r w:rsidRPr="00207447">
              <w:rPr>
                <w:noProof/>
              </w:rPr>
              <w:t>ECHA staff</w:t>
            </w:r>
          </w:p>
        </w:tc>
        <w:tc>
          <w:tcPr>
            <w:tcW w:w="1127" w:type="dxa"/>
          </w:tcPr>
          <w:p w14:paraId="1ED3EB78" w14:textId="77777777" w:rsidR="000A7D9D" w:rsidRPr="00207447" w:rsidRDefault="000A7D9D" w:rsidP="00F31937">
            <w:pPr>
              <w:pStyle w:val="BodyText"/>
              <w:rPr>
                <w:noProof/>
              </w:rPr>
            </w:pPr>
          </w:p>
        </w:tc>
        <w:tc>
          <w:tcPr>
            <w:tcW w:w="1131" w:type="dxa"/>
          </w:tcPr>
          <w:p w14:paraId="42FD1C88" w14:textId="77777777" w:rsidR="000A7D9D" w:rsidRPr="00207447" w:rsidRDefault="000A7D9D" w:rsidP="00F31937">
            <w:pPr>
              <w:pStyle w:val="BodyText"/>
              <w:spacing w:line="259" w:lineRule="auto"/>
              <w:rPr>
                <w:noProof/>
              </w:rPr>
            </w:pPr>
            <w:r w:rsidRPr="00207447">
              <w:rPr>
                <w:noProof/>
              </w:rPr>
              <w:t>0</w:t>
            </w:r>
          </w:p>
        </w:tc>
        <w:tc>
          <w:tcPr>
            <w:tcW w:w="1415" w:type="dxa"/>
          </w:tcPr>
          <w:p w14:paraId="033C6141" w14:textId="77777777" w:rsidR="000A7D9D" w:rsidRPr="00207447" w:rsidRDefault="000A7D9D" w:rsidP="00F31937">
            <w:pPr>
              <w:pStyle w:val="BodyText"/>
              <w:rPr>
                <w:noProof/>
              </w:rPr>
            </w:pPr>
          </w:p>
        </w:tc>
        <w:tc>
          <w:tcPr>
            <w:tcW w:w="1261" w:type="dxa"/>
          </w:tcPr>
          <w:p w14:paraId="3E6BB7E8" w14:textId="77777777" w:rsidR="000A7D9D" w:rsidRPr="00207447" w:rsidRDefault="000A7D9D" w:rsidP="00F31937">
            <w:pPr>
              <w:pStyle w:val="BodyText"/>
              <w:rPr>
                <w:noProof/>
              </w:rPr>
            </w:pPr>
          </w:p>
        </w:tc>
      </w:tr>
    </w:tbl>
    <w:p w14:paraId="1C187E9D" w14:textId="77777777" w:rsidR="000A7D9D" w:rsidRPr="00207447" w:rsidRDefault="000A7D9D" w:rsidP="000A7D9D">
      <w:pPr>
        <w:pStyle w:val="BodyText"/>
        <w:jc w:val="both"/>
        <w:rPr>
          <w:noProof/>
        </w:rPr>
      </w:pPr>
    </w:p>
    <w:p w14:paraId="72BE1CE8" w14:textId="77777777" w:rsidR="000A7D9D" w:rsidRPr="00207447" w:rsidRDefault="000A7D9D" w:rsidP="000A7D9D">
      <w:pPr>
        <w:pStyle w:val="BodyText"/>
        <w:widowControl w:val="0"/>
        <w:numPr>
          <w:ilvl w:val="0"/>
          <w:numId w:val="88"/>
        </w:numPr>
        <w:jc w:val="both"/>
        <w:rPr>
          <w:noProof/>
        </w:rPr>
      </w:pPr>
      <w:r w:rsidRPr="00207447">
        <w:rPr>
          <w:noProof/>
        </w:rPr>
        <w:t xml:space="preserve">ECHA data model and IT infrastructure: </w:t>
      </w:r>
      <w:r w:rsidRPr="00207447">
        <w:rPr>
          <w:b/>
          <w:bCs/>
          <w:noProof/>
        </w:rPr>
        <w:t>low impact</w:t>
      </w:r>
      <w:r w:rsidRPr="00207447">
        <w:rPr>
          <w:noProof/>
        </w:rPr>
        <w:t xml:space="preserve">. The task can be implemented with adjustments / configuration of existing data structures and IT systems; EFSA data model and IT infrastructure: </w:t>
      </w:r>
      <w:r w:rsidRPr="00207447">
        <w:rPr>
          <w:b/>
          <w:bCs/>
          <w:noProof/>
        </w:rPr>
        <w:t>no impact</w:t>
      </w:r>
      <w:r w:rsidRPr="00207447">
        <w:rPr>
          <w:noProof/>
        </w:rPr>
        <w:t xml:space="preserve">. The task does not require use of IT infrastructure. </w:t>
      </w:r>
    </w:p>
    <w:p w14:paraId="0267E240" w14:textId="77777777" w:rsidR="000A7D9D" w:rsidRPr="00207447" w:rsidRDefault="000A7D9D" w:rsidP="000A7D9D">
      <w:pPr>
        <w:pStyle w:val="BodyText"/>
        <w:widowControl w:val="0"/>
        <w:numPr>
          <w:ilvl w:val="0"/>
          <w:numId w:val="88"/>
        </w:numPr>
        <w:jc w:val="both"/>
        <w:rPr>
          <w:noProof/>
        </w:rPr>
      </w:pPr>
      <w:r w:rsidRPr="00207447">
        <w:rPr>
          <w:noProof/>
        </w:rPr>
        <w:t>ECHA key experts:</w:t>
      </w:r>
      <w:r w:rsidRPr="00207447">
        <w:rPr>
          <w:b/>
          <w:bCs/>
          <w:noProof/>
        </w:rPr>
        <w:t xml:space="preserve"> high impact</w:t>
      </w:r>
      <w:r w:rsidRPr="00207447">
        <w:rPr>
          <w:noProof/>
        </w:rPr>
        <w:t xml:space="preserve">. The task relies on expert competencies, which are limited in ECHA and also critical to other regulatory tasks. EFSA key experts: </w:t>
      </w:r>
      <w:r w:rsidRPr="00207447">
        <w:rPr>
          <w:b/>
          <w:bCs/>
          <w:noProof/>
        </w:rPr>
        <w:t xml:space="preserve">high impact. </w:t>
      </w:r>
      <w:r w:rsidRPr="00207447">
        <w:rPr>
          <w:noProof/>
        </w:rPr>
        <w:t xml:space="preserve">The task relies on expert competencies, which are limited in EFSA and also critical to other regulatory tasks. </w:t>
      </w:r>
    </w:p>
    <w:p w14:paraId="665F6F5D" w14:textId="77777777" w:rsidR="000A7D9D" w:rsidRPr="00207447" w:rsidRDefault="000A7D9D" w:rsidP="000A7D9D">
      <w:pPr>
        <w:pStyle w:val="BodyText"/>
        <w:rPr>
          <w:noProof/>
        </w:rPr>
      </w:pPr>
      <w:r w:rsidRPr="00207447">
        <w:rPr>
          <w:b/>
          <w:bCs/>
          <w:noProof/>
        </w:rPr>
        <w:t>Workload and resource implications:</w:t>
      </w:r>
    </w:p>
    <w:p w14:paraId="764032E1" w14:textId="77777777" w:rsidR="000A7D9D" w:rsidRPr="00207447" w:rsidRDefault="000A7D9D" w:rsidP="000A7D9D">
      <w:pPr>
        <w:spacing w:after="120"/>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Current workload and resource use:</w:t>
      </w:r>
    </w:p>
    <w:p w14:paraId="17ECC865" w14:textId="77777777" w:rsidR="000A7D9D" w:rsidRPr="00207447" w:rsidRDefault="000A7D9D" w:rsidP="000A7D9D">
      <w:pPr>
        <w:spacing w:after="120"/>
        <w:rPr>
          <w:rFonts w:ascii="Times New Roman" w:hAnsi="Times New Roman" w:cs="Times New Roman"/>
          <w:noProof/>
          <w:sz w:val="24"/>
          <w:szCs w:val="24"/>
          <w:u w:val="single"/>
        </w:rPr>
      </w:pPr>
      <w:r w:rsidRPr="00207447">
        <w:rPr>
          <w:rFonts w:ascii="Times New Roman" w:hAnsi="Times New Roman" w:cs="Times New Roman"/>
          <w:noProof/>
          <w:sz w:val="24"/>
          <w:szCs w:val="24"/>
        </w:rPr>
        <w:t xml:space="preserve">Number of RAC opinions on harmonised classifications managed by ECHA varies per year, with an average of 47 opinions per year: </w:t>
      </w:r>
    </w:p>
    <w:tbl>
      <w:tblPr>
        <w:tblStyle w:val="TableGrid"/>
        <w:tblW w:w="0" w:type="auto"/>
        <w:tblInd w:w="105" w:type="dxa"/>
        <w:tblLayout w:type="fixed"/>
        <w:tblLook w:val="04A0" w:firstRow="1" w:lastRow="0" w:firstColumn="1" w:lastColumn="0" w:noHBand="0" w:noVBand="1"/>
      </w:tblPr>
      <w:tblGrid>
        <w:gridCol w:w="2310"/>
        <w:gridCol w:w="645"/>
        <w:gridCol w:w="645"/>
        <w:gridCol w:w="645"/>
        <w:gridCol w:w="720"/>
        <w:gridCol w:w="720"/>
        <w:gridCol w:w="645"/>
      </w:tblGrid>
      <w:tr w:rsidR="000A7D9D" w:rsidRPr="00207447" w14:paraId="5BDAEC18" w14:textId="77777777" w:rsidTr="00F31937">
        <w:trPr>
          <w:trHeight w:val="300"/>
        </w:trPr>
        <w:tc>
          <w:tcPr>
            <w:tcW w:w="2310" w:type="dxa"/>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tcPr>
          <w:p w14:paraId="71D07878" w14:textId="77777777" w:rsidR="000A7D9D" w:rsidRPr="00207447" w:rsidRDefault="000A7D9D" w:rsidP="00F31937">
            <w:pPr>
              <w:jc w:val="both"/>
              <w:rPr>
                <w:rFonts w:eastAsia="Calibri"/>
                <w:b/>
                <w:bCs/>
                <w:noProof/>
              </w:rPr>
            </w:pPr>
          </w:p>
        </w:tc>
        <w:tc>
          <w:tcPr>
            <w:tcW w:w="4020" w:type="dxa"/>
            <w:gridSpan w:val="6"/>
            <w:tcBorders>
              <w:top w:val="single" w:sz="8"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65AA931F" w14:textId="77777777" w:rsidR="000A7D9D" w:rsidRPr="00207447" w:rsidRDefault="000A7D9D" w:rsidP="00F31937">
            <w:pPr>
              <w:jc w:val="both"/>
              <w:rPr>
                <w:rFonts w:eastAsia="Calibri"/>
                <w:b/>
                <w:bCs/>
                <w:noProof/>
              </w:rPr>
            </w:pPr>
            <w:r w:rsidRPr="00207447">
              <w:rPr>
                <w:rFonts w:eastAsia="Calibri"/>
                <w:b/>
                <w:bCs/>
                <w:noProof/>
              </w:rPr>
              <w:t>Number of opinions per year</w:t>
            </w:r>
          </w:p>
        </w:tc>
      </w:tr>
      <w:tr w:rsidR="000A7D9D" w:rsidRPr="00207447" w14:paraId="72C5F5CE" w14:textId="77777777" w:rsidTr="00F31937">
        <w:trPr>
          <w:trHeight w:val="300"/>
        </w:trPr>
        <w:tc>
          <w:tcPr>
            <w:tcW w:w="2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8A03AC5" w14:textId="77777777" w:rsidR="000A7D9D" w:rsidRPr="00207447" w:rsidRDefault="000A7D9D" w:rsidP="00F31937">
            <w:pPr>
              <w:jc w:val="both"/>
              <w:rPr>
                <w:noProof/>
              </w:rPr>
            </w:pPr>
            <w:r w:rsidRPr="00207447">
              <w:rPr>
                <w:rFonts w:eastAsia="Calibri"/>
                <w:b/>
                <w:bCs/>
                <w:noProof/>
              </w:rPr>
              <w:t>Opinions on</w:t>
            </w:r>
          </w:p>
        </w:tc>
        <w:tc>
          <w:tcPr>
            <w:tcW w:w="6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FB808B" w14:textId="77777777" w:rsidR="000A7D9D" w:rsidRPr="00207447" w:rsidRDefault="000A7D9D" w:rsidP="00F31937">
            <w:pPr>
              <w:jc w:val="both"/>
              <w:rPr>
                <w:noProof/>
              </w:rPr>
            </w:pPr>
            <w:r w:rsidRPr="00207447">
              <w:rPr>
                <w:rFonts w:eastAsia="Calibri"/>
                <w:b/>
                <w:bCs/>
                <w:noProof/>
              </w:rPr>
              <w:t>2016</w:t>
            </w:r>
          </w:p>
        </w:tc>
        <w:tc>
          <w:tcPr>
            <w:tcW w:w="64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C7F1A68" w14:textId="77777777" w:rsidR="000A7D9D" w:rsidRPr="00207447" w:rsidRDefault="000A7D9D" w:rsidP="00F31937">
            <w:pPr>
              <w:jc w:val="both"/>
              <w:rPr>
                <w:noProof/>
              </w:rPr>
            </w:pPr>
            <w:r w:rsidRPr="00207447">
              <w:rPr>
                <w:rFonts w:eastAsia="Calibri"/>
                <w:b/>
                <w:bCs/>
                <w:noProof/>
              </w:rPr>
              <w:t>2017</w:t>
            </w:r>
          </w:p>
        </w:tc>
        <w:tc>
          <w:tcPr>
            <w:tcW w:w="64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24CD52" w14:textId="77777777" w:rsidR="000A7D9D" w:rsidRPr="00207447" w:rsidRDefault="000A7D9D" w:rsidP="00F31937">
            <w:pPr>
              <w:jc w:val="both"/>
              <w:rPr>
                <w:noProof/>
              </w:rPr>
            </w:pPr>
            <w:r w:rsidRPr="00207447">
              <w:rPr>
                <w:rFonts w:eastAsia="Calibri"/>
                <w:b/>
                <w:bCs/>
                <w:noProof/>
              </w:rPr>
              <w:t>2018</w:t>
            </w:r>
          </w:p>
        </w:tc>
        <w:tc>
          <w:tcPr>
            <w:tcW w:w="720"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E5657B" w14:textId="77777777" w:rsidR="000A7D9D" w:rsidRPr="00207447" w:rsidRDefault="000A7D9D" w:rsidP="00F31937">
            <w:pPr>
              <w:jc w:val="both"/>
              <w:rPr>
                <w:noProof/>
              </w:rPr>
            </w:pPr>
            <w:r w:rsidRPr="00207447">
              <w:rPr>
                <w:rFonts w:eastAsia="Calibri"/>
                <w:b/>
                <w:bCs/>
                <w:noProof/>
              </w:rPr>
              <w:t>2019</w:t>
            </w:r>
          </w:p>
        </w:tc>
        <w:tc>
          <w:tcPr>
            <w:tcW w:w="720"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72FD59" w14:textId="77777777" w:rsidR="000A7D9D" w:rsidRPr="00207447" w:rsidRDefault="000A7D9D" w:rsidP="00F31937">
            <w:pPr>
              <w:jc w:val="both"/>
              <w:rPr>
                <w:noProof/>
              </w:rPr>
            </w:pPr>
            <w:r w:rsidRPr="00207447">
              <w:rPr>
                <w:rFonts w:eastAsia="Calibri"/>
                <w:b/>
                <w:bCs/>
                <w:noProof/>
              </w:rPr>
              <w:t>2020</w:t>
            </w:r>
          </w:p>
        </w:tc>
        <w:tc>
          <w:tcPr>
            <w:tcW w:w="64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6E0BC3" w14:textId="77777777" w:rsidR="000A7D9D" w:rsidRPr="00207447" w:rsidRDefault="000A7D9D" w:rsidP="00F31937">
            <w:pPr>
              <w:jc w:val="both"/>
              <w:rPr>
                <w:noProof/>
              </w:rPr>
            </w:pPr>
            <w:r w:rsidRPr="00207447">
              <w:rPr>
                <w:rFonts w:eastAsia="Calibri"/>
                <w:b/>
                <w:bCs/>
                <w:noProof/>
              </w:rPr>
              <w:t>2021</w:t>
            </w:r>
          </w:p>
        </w:tc>
      </w:tr>
      <w:tr w:rsidR="000A7D9D" w:rsidRPr="00207447" w14:paraId="02304660" w14:textId="77777777" w:rsidTr="00F31937">
        <w:trPr>
          <w:trHeight w:val="300"/>
        </w:trPr>
        <w:tc>
          <w:tcPr>
            <w:tcW w:w="2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F73C1FE" w14:textId="77777777" w:rsidR="000A7D9D" w:rsidRPr="00207447" w:rsidRDefault="000A7D9D" w:rsidP="00F31937">
            <w:pPr>
              <w:jc w:val="both"/>
              <w:rPr>
                <w:noProof/>
              </w:rPr>
            </w:pPr>
            <w:r w:rsidRPr="00207447">
              <w:rPr>
                <w:rFonts w:eastAsia="Calibri"/>
                <w:noProof/>
              </w:rPr>
              <w:t>Classification (CLH)</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06E60551" w14:textId="77777777" w:rsidR="000A7D9D" w:rsidRPr="00207447" w:rsidRDefault="000A7D9D" w:rsidP="00F31937">
            <w:pPr>
              <w:jc w:val="both"/>
              <w:rPr>
                <w:noProof/>
              </w:rPr>
            </w:pPr>
            <w:r w:rsidRPr="00207447">
              <w:rPr>
                <w:rFonts w:eastAsia="Calibri"/>
                <w:noProof/>
              </w:rPr>
              <w:t>35</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4166B850" w14:textId="77777777" w:rsidR="000A7D9D" w:rsidRPr="00207447" w:rsidRDefault="000A7D9D" w:rsidP="00F31937">
            <w:pPr>
              <w:jc w:val="both"/>
              <w:rPr>
                <w:noProof/>
              </w:rPr>
            </w:pPr>
            <w:r w:rsidRPr="00207447">
              <w:rPr>
                <w:rFonts w:eastAsia="Calibri"/>
                <w:noProof/>
              </w:rPr>
              <w:t>33</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1CB99E45" w14:textId="77777777" w:rsidR="000A7D9D" w:rsidRPr="00207447" w:rsidRDefault="000A7D9D" w:rsidP="00F31937">
            <w:pPr>
              <w:jc w:val="both"/>
              <w:rPr>
                <w:noProof/>
              </w:rPr>
            </w:pPr>
            <w:r w:rsidRPr="00207447">
              <w:rPr>
                <w:rFonts w:eastAsia="Calibri"/>
                <w:noProof/>
              </w:rPr>
              <w:t>61</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17F9824E" w14:textId="77777777" w:rsidR="000A7D9D" w:rsidRPr="00207447" w:rsidRDefault="000A7D9D" w:rsidP="00F31937">
            <w:pPr>
              <w:jc w:val="both"/>
              <w:rPr>
                <w:noProof/>
              </w:rPr>
            </w:pPr>
            <w:r w:rsidRPr="00207447">
              <w:rPr>
                <w:rFonts w:eastAsia="Calibri"/>
                <w:noProof/>
              </w:rPr>
              <w:t>51</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5A089784" w14:textId="77777777" w:rsidR="000A7D9D" w:rsidRPr="00207447" w:rsidRDefault="000A7D9D" w:rsidP="00F31937">
            <w:pPr>
              <w:jc w:val="both"/>
              <w:rPr>
                <w:noProof/>
              </w:rPr>
            </w:pPr>
            <w:r w:rsidRPr="00207447">
              <w:rPr>
                <w:rFonts w:eastAsia="Calibri"/>
                <w:noProof/>
              </w:rPr>
              <w:t>49</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16A9911A" w14:textId="77777777" w:rsidR="000A7D9D" w:rsidRPr="00207447" w:rsidRDefault="000A7D9D" w:rsidP="00F31937">
            <w:pPr>
              <w:jc w:val="both"/>
              <w:rPr>
                <w:noProof/>
              </w:rPr>
            </w:pPr>
            <w:r w:rsidRPr="00207447">
              <w:rPr>
                <w:rFonts w:eastAsia="Calibri"/>
                <w:noProof/>
              </w:rPr>
              <w:t>53</w:t>
            </w:r>
          </w:p>
        </w:tc>
      </w:tr>
    </w:tbl>
    <w:p w14:paraId="11087FA2" w14:textId="77777777" w:rsidR="000A7D9D" w:rsidRPr="00207447" w:rsidRDefault="000A7D9D" w:rsidP="000A7D9D">
      <w:pPr>
        <w:spacing w:before="120" w:after="120"/>
        <w:jc w:val="both"/>
        <w:rPr>
          <w:rFonts w:ascii="Times New Roman" w:hAnsi="Times New Roman" w:cs="Times New Roman"/>
          <w:noProof/>
          <w:sz w:val="24"/>
          <w:szCs w:val="24"/>
        </w:rPr>
      </w:pPr>
      <w:r w:rsidRPr="00207447">
        <w:rPr>
          <w:rFonts w:ascii="Times New Roman" w:hAnsi="Times New Roman" w:cs="Times New Roman"/>
          <w:noProof/>
          <w:sz w:val="24"/>
          <w:szCs w:val="24"/>
        </w:rPr>
        <w:t>Based on the analysis provided by ECHA (which was based on the analysis of ECHA and MSs spending on preparation of classification dossiers), the dossier for harmonised classification which is of average complexity requires 0,5 FTE and 95k EUR:</w:t>
      </w:r>
    </w:p>
    <w:tbl>
      <w:tblPr>
        <w:tblStyle w:val="TableGrid"/>
        <w:tblW w:w="0" w:type="auto"/>
        <w:tblLook w:val="04A0" w:firstRow="1" w:lastRow="0" w:firstColumn="1" w:lastColumn="0" w:noHBand="0" w:noVBand="1"/>
      </w:tblPr>
      <w:tblGrid>
        <w:gridCol w:w="6534"/>
        <w:gridCol w:w="2412"/>
      </w:tblGrid>
      <w:tr w:rsidR="000A7D9D" w:rsidRPr="00207447" w14:paraId="5D0CF16D" w14:textId="77777777" w:rsidTr="00F31937">
        <w:tc>
          <w:tcPr>
            <w:tcW w:w="8946" w:type="dxa"/>
            <w:gridSpan w:val="2"/>
            <w:tcBorders>
              <w:top w:val="single" w:sz="4" w:space="0" w:color="auto"/>
              <w:left w:val="single" w:sz="4" w:space="0" w:color="auto"/>
              <w:bottom w:val="single" w:sz="4" w:space="0" w:color="auto"/>
              <w:right w:val="single" w:sz="4" w:space="0" w:color="auto"/>
            </w:tcBorders>
            <w:shd w:val="clear" w:color="auto" w:fill="003399"/>
          </w:tcPr>
          <w:p w14:paraId="0E152A85" w14:textId="77777777" w:rsidR="000A7D9D" w:rsidRPr="00207447" w:rsidRDefault="000A7D9D" w:rsidP="00F31937">
            <w:pPr>
              <w:pStyle w:val="MOVEFigureTable"/>
              <w:rPr>
                <w:rFonts w:eastAsiaTheme="minorEastAsia"/>
              </w:rPr>
            </w:pPr>
            <w:r w:rsidRPr="00207447">
              <w:rPr>
                <w:rFonts w:eastAsiaTheme="minorEastAsia"/>
              </w:rPr>
              <w:t>ECHA’s estimate of resources for supporting the preparation of a CLH dossier of medium complexity</w:t>
            </w:r>
          </w:p>
        </w:tc>
      </w:tr>
      <w:tr w:rsidR="000A7D9D" w:rsidRPr="00207447" w14:paraId="55F64B78" w14:textId="77777777" w:rsidTr="00F31937">
        <w:tc>
          <w:tcPr>
            <w:tcW w:w="6534" w:type="dxa"/>
            <w:tcBorders>
              <w:top w:val="single" w:sz="4" w:space="0" w:color="auto"/>
              <w:left w:val="single" w:sz="4" w:space="0" w:color="auto"/>
              <w:bottom w:val="single" w:sz="4" w:space="0" w:color="auto"/>
              <w:right w:val="single" w:sz="4" w:space="0" w:color="auto"/>
            </w:tcBorders>
          </w:tcPr>
          <w:p w14:paraId="5496DCE1" w14:textId="77777777" w:rsidR="000A7D9D" w:rsidRPr="00207447" w:rsidRDefault="000A7D9D" w:rsidP="00F31937">
            <w:pPr>
              <w:spacing w:line="259" w:lineRule="auto"/>
              <w:rPr>
                <w:rFonts w:eastAsiaTheme="minorEastAsia"/>
                <w:noProof/>
              </w:rPr>
            </w:pPr>
          </w:p>
        </w:tc>
        <w:tc>
          <w:tcPr>
            <w:tcW w:w="2412" w:type="dxa"/>
            <w:tcBorders>
              <w:top w:val="single" w:sz="4" w:space="0" w:color="auto"/>
              <w:left w:val="single" w:sz="4" w:space="0" w:color="auto"/>
              <w:bottom w:val="single" w:sz="4" w:space="0" w:color="auto"/>
              <w:right w:val="single" w:sz="4" w:space="0" w:color="auto"/>
            </w:tcBorders>
            <w:vAlign w:val="center"/>
          </w:tcPr>
          <w:p w14:paraId="3AA48E5D" w14:textId="77777777" w:rsidR="000A7D9D" w:rsidRPr="00207447" w:rsidRDefault="000A7D9D" w:rsidP="00F31937">
            <w:pPr>
              <w:spacing w:line="259" w:lineRule="auto"/>
              <w:jc w:val="center"/>
              <w:rPr>
                <w:rFonts w:eastAsiaTheme="minorEastAsia"/>
                <w:b/>
                <w:bCs/>
                <w:noProof/>
              </w:rPr>
            </w:pPr>
            <w:r w:rsidRPr="00207447">
              <w:rPr>
                <w:rFonts w:eastAsiaTheme="minorEastAsia"/>
                <w:b/>
                <w:bCs/>
                <w:noProof/>
              </w:rPr>
              <w:t>estimate for CLH</w:t>
            </w:r>
          </w:p>
        </w:tc>
      </w:tr>
      <w:tr w:rsidR="000A7D9D" w:rsidRPr="00207447" w14:paraId="5861D32E" w14:textId="77777777" w:rsidTr="00F31937">
        <w:tc>
          <w:tcPr>
            <w:tcW w:w="6534" w:type="dxa"/>
            <w:tcBorders>
              <w:top w:val="single" w:sz="4" w:space="0" w:color="auto"/>
              <w:left w:val="single" w:sz="4" w:space="0" w:color="auto"/>
              <w:bottom w:val="single" w:sz="4" w:space="0" w:color="auto"/>
              <w:right w:val="single" w:sz="4" w:space="0" w:color="auto"/>
            </w:tcBorders>
            <w:vAlign w:val="center"/>
          </w:tcPr>
          <w:p w14:paraId="64BA1195" w14:textId="77777777" w:rsidR="000A7D9D" w:rsidRPr="00207447" w:rsidRDefault="000A7D9D" w:rsidP="00F31937">
            <w:pPr>
              <w:spacing w:line="259" w:lineRule="auto"/>
              <w:rPr>
                <w:rFonts w:eastAsiaTheme="minorEastAsia"/>
                <w:noProof/>
              </w:rPr>
            </w:pPr>
            <w:r w:rsidRPr="00207447">
              <w:rPr>
                <w:rFonts w:eastAsiaTheme="minorEastAsia"/>
                <w:noProof/>
              </w:rPr>
              <w:t>Dossier development</w:t>
            </w:r>
          </w:p>
        </w:tc>
        <w:tc>
          <w:tcPr>
            <w:tcW w:w="2412" w:type="dxa"/>
            <w:tcBorders>
              <w:top w:val="single" w:sz="4" w:space="0" w:color="auto"/>
              <w:left w:val="single" w:sz="4" w:space="0" w:color="auto"/>
              <w:bottom w:val="single" w:sz="4" w:space="0" w:color="auto"/>
              <w:right w:val="single" w:sz="4" w:space="0" w:color="auto"/>
            </w:tcBorders>
            <w:vAlign w:val="center"/>
          </w:tcPr>
          <w:p w14:paraId="51417CE9" w14:textId="77777777" w:rsidR="000A7D9D" w:rsidRPr="00207447" w:rsidRDefault="000A7D9D" w:rsidP="00F31937">
            <w:pPr>
              <w:spacing w:line="259" w:lineRule="auto"/>
              <w:jc w:val="center"/>
              <w:rPr>
                <w:rFonts w:eastAsiaTheme="minorEastAsia"/>
                <w:noProof/>
              </w:rPr>
            </w:pPr>
            <w:r w:rsidRPr="00207447">
              <w:rPr>
                <w:rFonts w:eastAsiaTheme="minorEastAsia"/>
                <w:noProof/>
              </w:rPr>
              <w:t>0.35 FTE</w:t>
            </w:r>
          </w:p>
        </w:tc>
      </w:tr>
      <w:tr w:rsidR="000A7D9D" w:rsidRPr="00207447" w14:paraId="17E67553" w14:textId="77777777" w:rsidTr="00F31937">
        <w:tc>
          <w:tcPr>
            <w:tcW w:w="6534" w:type="dxa"/>
            <w:tcBorders>
              <w:top w:val="single" w:sz="4" w:space="0" w:color="auto"/>
              <w:left w:val="single" w:sz="4" w:space="0" w:color="auto"/>
              <w:bottom w:val="single" w:sz="4" w:space="0" w:color="auto"/>
              <w:right w:val="single" w:sz="4" w:space="0" w:color="auto"/>
            </w:tcBorders>
            <w:vAlign w:val="center"/>
          </w:tcPr>
          <w:p w14:paraId="3BEF7210" w14:textId="77777777" w:rsidR="000A7D9D" w:rsidRPr="00207447" w:rsidRDefault="000A7D9D" w:rsidP="00F31937">
            <w:pPr>
              <w:spacing w:line="259" w:lineRule="auto"/>
              <w:rPr>
                <w:rFonts w:eastAsiaTheme="minorEastAsia"/>
                <w:noProof/>
              </w:rPr>
            </w:pPr>
            <w:r w:rsidRPr="00207447">
              <w:rPr>
                <w:rFonts w:eastAsiaTheme="minorEastAsia"/>
                <w:noProof/>
              </w:rPr>
              <w:t>RAC opinion making</w:t>
            </w:r>
          </w:p>
        </w:tc>
        <w:tc>
          <w:tcPr>
            <w:tcW w:w="2412" w:type="dxa"/>
            <w:tcBorders>
              <w:top w:val="single" w:sz="4" w:space="0" w:color="auto"/>
              <w:left w:val="single" w:sz="4" w:space="0" w:color="auto"/>
              <w:bottom w:val="single" w:sz="4" w:space="0" w:color="auto"/>
              <w:right w:val="single" w:sz="4" w:space="0" w:color="auto"/>
            </w:tcBorders>
            <w:vAlign w:val="center"/>
          </w:tcPr>
          <w:p w14:paraId="6BF7AE4B" w14:textId="77777777" w:rsidR="000A7D9D" w:rsidRPr="00207447" w:rsidRDefault="000A7D9D" w:rsidP="00F31937">
            <w:pPr>
              <w:spacing w:line="259" w:lineRule="auto"/>
              <w:jc w:val="center"/>
              <w:rPr>
                <w:rFonts w:eastAsiaTheme="minorEastAsia"/>
                <w:noProof/>
              </w:rPr>
            </w:pPr>
            <w:r w:rsidRPr="00207447">
              <w:rPr>
                <w:rFonts w:eastAsiaTheme="minorEastAsia"/>
                <w:noProof/>
              </w:rPr>
              <w:t>0.1 FTE</w:t>
            </w:r>
          </w:p>
        </w:tc>
      </w:tr>
      <w:tr w:rsidR="000A7D9D" w:rsidRPr="00207447" w14:paraId="361C2A11" w14:textId="77777777" w:rsidTr="00F31937">
        <w:tc>
          <w:tcPr>
            <w:tcW w:w="6534" w:type="dxa"/>
            <w:tcBorders>
              <w:top w:val="single" w:sz="4" w:space="0" w:color="auto"/>
              <w:left w:val="single" w:sz="4" w:space="0" w:color="auto"/>
              <w:bottom w:val="single" w:sz="4" w:space="0" w:color="auto"/>
              <w:right w:val="single" w:sz="4" w:space="0" w:color="auto"/>
            </w:tcBorders>
            <w:vAlign w:val="center"/>
          </w:tcPr>
          <w:p w14:paraId="7F2FB136" w14:textId="77777777" w:rsidR="000A7D9D" w:rsidRPr="00207447" w:rsidRDefault="000A7D9D" w:rsidP="00F31937">
            <w:pPr>
              <w:spacing w:line="259" w:lineRule="auto"/>
              <w:rPr>
                <w:rFonts w:eastAsiaTheme="minorEastAsia"/>
                <w:noProof/>
              </w:rPr>
            </w:pPr>
            <w:r w:rsidRPr="00207447">
              <w:rPr>
                <w:rFonts w:eastAsiaTheme="minorEastAsia"/>
                <w:noProof/>
              </w:rPr>
              <w:t>Support services</w:t>
            </w:r>
          </w:p>
        </w:tc>
        <w:tc>
          <w:tcPr>
            <w:tcW w:w="2412" w:type="dxa"/>
            <w:tcBorders>
              <w:top w:val="single" w:sz="4" w:space="0" w:color="auto"/>
              <w:left w:val="single" w:sz="4" w:space="0" w:color="auto"/>
              <w:bottom w:val="single" w:sz="4" w:space="0" w:color="auto"/>
              <w:right w:val="single" w:sz="4" w:space="0" w:color="auto"/>
            </w:tcBorders>
            <w:vAlign w:val="center"/>
          </w:tcPr>
          <w:p w14:paraId="63AE706E" w14:textId="77777777" w:rsidR="000A7D9D" w:rsidRPr="00207447" w:rsidRDefault="000A7D9D" w:rsidP="00F31937">
            <w:pPr>
              <w:spacing w:line="259" w:lineRule="auto"/>
              <w:jc w:val="center"/>
              <w:rPr>
                <w:rFonts w:eastAsiaTheme="minorEastAsia"/>
                <w:noProof/>
              </w:rPr>
            </w:pPr>
            <w:r w:rsidRPr="00207447">
              <w:rPr>
                <w:rFonts w:eastAsiaTheme="minorEastAsia"/>
                <w:noProof/>
              </w:rPr>
              <w:t>0.05 FTE</w:t>
            </w:r>
          </w:p>
        </w:tc>
      </w:tr>
      <w:tr w:rsidR="000A7D9D" w:rsidRPr="00207447" w14:paraId="698022D1" w14:textId="77777777" w:rsidTr="00F31937">
        <w:tc>
          <w:tcPr>
            <w:tcW w:w="6534" w:type="dxa"/>
            <w:tcBorders>
              <w:top w:val="single" w:sz="4" w:space="0" w:color="auto"/>
              <w:left w:val="single" w:sz="4" w:space="0" w:color="auto"/>
              <w:bottom w:val="single" w:sz="4" w:space="0" w:color="auto"/>
              <w:right w:val="single" w:sz="4" w:space="0" w:color="auto"/>
            </w:tcBorders>
            <w:vAlign w:val="center"/>
          </w:tcPr>
          <w:p w14:paraId="71869C8C" w14:textId="77777777" w:rsidR="000A7D9D" w:rsidRPr="00207447" w:rsidRDefault="000A7D9D" w:rsidP="00F31937">
            <w:pPr>
              <w:spacing w:line="259" w:lineRule="auto"/>
              <w:rPr>
                <w:rFonts w:eastAsiaTheme="minorEastAsia"/>
                <w:noProof/>
              </w:rPr>
            </w:pPr>
            <w:r w:rsidRPr="00207447">
              <w:rPr>
                <w:rFonts w:eastAsiaTheme="minorEastAsia"/>
                <w:noProof/>
              </w:rPr>
              <w:t>Total FTE</w:t>
            </w:r>
          </w:p>
        </w:tc>
        <w:tc>
          <w:tcPr>
            <w:tcW w:w="2412" w:type="dxa"/>
            <w:tcBorders>
              <w:top w:val="single" w:sz="4" w:space="0" w:color="auto"/>
              <w:left w:val="single" w:sz="4" w:space="0" w:color="auto"/>
              <w:bottom w:val="single" w:sz="4" w:space="0" w:color="auto"/>
              <w:right w:val="single" w:sz="4" w:space="0" w:color="auto"/>
            </w:tcBorders>
            <w:vAlign w:val="center"/>
          </w:tcPr>
          <w:p w14:paraId="5430A6E9" w14:textId="77777777" w:rsidR="000A7D9D" w:rsidRPr="00207447" w:rsidRDefault="000A7D9D" w:rsidP="00F31937">
            <w:pPr>
              <w:spacing w:line="259" w:lineRule="auto"/>
              <w:jc w:val="center"/>
              <w:rPr>
                <w:rFonts w:eastAsiaTheme="minorEastAsia"/>
                <w:noProof/>
              </w:rPr>
            </w:pPr>
            <w:r w:rsidRPr="00207447">
              <w:rPr>
                <w:rFonts w:eastAsiaTheme="minorEastAsia"/>
                <w:noProof/>
              </w:rPr>
              <w:t>0.5</w:t>
            </w:r>
          </w:p>
        </w:tc>
      </w:tr>
    </w:tbl>
    <w:p w14:paraId="73C49486" w14:textId="77777777" w:rsidR="000A7D9D" w:rsidRPr="00207447" w:rsidRDefault="000A7D9D" w:rsidP="000A7D9D">
      <w:pPr>
        <w:spacing w:before="120" w:after="120"/>
        <w:rPr>
          <w:rFonts w:ascii="Times New Roman" w:hAnsi="Times New Roman" w:cs="Times New Roman"/>
          <w:noProof/>
        </w:rPr>
      </w:pPr>
      <w:r w:rsidRPr="00207447">
        <w:rPr>
          <w:rFonts w:ascii="Times New Roman" w:hAnsi="Times New Roman" w:cs="Times New Roman"/>
          <w:noProof/>
        </w:rPr>
        <w:t>95K EUR:</w:t>
      </w:r>
    </w:p>
    <w:p w14:paraId="5782C866" w14:textId="77777777" w:rsidR="000A7D9D" w:rsidRPr="00207447" w:rsidRDefault="000A7D9D" w:rsidP="000A7D9D">
      <w:pPr>
        <w:pStyle w:val="ListParagraph"/>
        <w:widowControl w:val="0"/>
        <w:numPr>
          <w:ilvl w:val="0"/>
          <w:numId w:val="135"/>
        </w:numPr>
        <w:spacing w:before="120" w:after="120"/>
        <w:rPr>
          <w:noProof/>
        </w:rPr>
      </w:pPr>
      <w:r w:rsidRPr="00207447">
        <w:rPr>
          <w:noProof/>
        </w:rPr>
        <w:t xml:space="preserve">Title 1 Staff expenditure: </w:t>
      </w:r>
      <w:r>
        <w:rPr>
          <w:noProof/>
        </w:rPr>
        <w:t xml:space="preserve">EUR </w:t>
      </w:r>
      <w:r w:rsidRPr="00207447">
        <w:rPr>
          <w:noProof/>
        </w:rPr>
        <w:t>85</w:t>
      </w:r>
      <w:r>
        <w:rPr>
          <w:noProof/>
        </w:rPr>
        <w:t xml:space="preserve"> 000</w:t>
      </w:r>
      <w:r w:rsidRPr="00207447">
        <w:rPr>
          <w:noProof/>
        </w:rPr>
        <w:t>, including 19% overhead cost</w:t>
      </w:r>
    </w:p>
    <w:p w14:paraId="4F4EC44D" w14:textId="77777777" w:rsidR="000A7D9D" w:rsidRPr="00207447" w:rsidRDefault="000A7D9D" w:rsidP="000A7D9D">
      <w:pPr>
        <w:pStyle w:val="ListParagraph"/>
        <w:widowControl w:val="0"/>
        <w:numPr>
          <w:ilvl w:val="0"/>
          <w:numId w:val="135"/>
        </w:numPr>
        <w:spacing w:before="120" w:after="120"/>
        <w:rPr>
          <w:noProof/>
        </w:rPr>
      </w:pPr>
      <w:r w:rsidRPr="00207447">
        <w:rPr>
          <w:noProof/>
        </w:rPr>
        <w:t>Title 2 Infrastructure: included under Title 1 above</w:t>
      </w:r>
    </w:p>
    <w:p w14:paraId="1BCD903F" w14:textId="77777777" w:rsidR="000A7D9D" w:rsidRPr="00207447" w:rsidRDefault="000A7D9D" w:rsidP="000A7D9D">
      <w:pPr>
        <w:pStyle w:val="ListParagraph"/>
        <w:widowControl w:val="0"/>
        <w:numPr>
          <w:ilvl w:val="0"/>
          <w:numId w:val="135"/>
        </w:numPr>
        <w:spacing w:before="120" w:after="120"/>
        <w:rPr>
          <w:noProof/>
        </w:rPr>
      </w:pPr>
      <w:r w:rsidRPr="00207447">
        <w:rPr>
          <w:noProof/>
        </w:rPr>
        <w:t xml:space="preserve">Title 3 Operational costs: </w:t>
      </w:r>
      <w:r>
        <w:rPr>
          <w:noProof/>
        </w:rPr>
        <w:t xml:space="preserve">EUR </w:t>
      </w:r>
      <w:r w:rsidRPr="00207447">
        <w:rPr>
          <w:noProof/>
        </w:rPr>
        <w:t>10</w:t>
      </w:r>
      <w:r>
        <w:rPr>
          <w:noProof/>
        </w:rPr>
        <w:t xml:space="preserve"> 000 </w:t>
      </w:r>
    </w:p>
    <w:p w14:paraId="3823854C" w14:textId="77777777" w:rsidR="000A7D9D" w:rsidRPr="00207447" w:rsidRDefault="000A7D9D" w:rsidP="000A7D9D">
      <w:pPr>
        <w:spacing w:before="120" w:after="120"/>
        <w:rPr>
          <w:rFonts w:ascii="Times New Roman" w:hAnsi="Times New Roman" w:cs="Times New Roman"/>
          <w:noProof/>
        </w:rPr>
      </w:pPr>
      <w:r w:rsidRPr="00207447">
        <w:rPr>
          <w:rFonts w:ascii="Times New Roman" w:hAnsi="Times New Roman" w:cs="Times New Roman"/>
          <w:noProof/>
        </w:rPr>
        <w:t>The dossier</w:t>
      </w:r>
      <w:r>
        <w:rPr>
          <w:rFonts w:ascii="Times New Roman" w:hAnsi="Times New Roman" w:cs="Times New Roman"/>
          <w:noProof/>
        </w:rPr>
        <w:t xml:space="preserve"> of high complexity, requires 0.</w:t>
      </w:r>
      <w:r w:rsidRPr="00207447">
        <w:rPr>
          <w:rFonts w:ascii="Times New Roman" w:hAnsi="Times New Roman" w:cs="Times New Roman"/>
          <w:noProof/>
        </w:rPr>
        <w:t xml:space="preserve">65 FTE and </w:t>
      </w:r>
      <w:r>
        <w:rPr>
          <w:rFonts w:ascii="Times New Roman" w:hAnsi="Times New Roman" w:cs="Times New Roman"/>
          <w:noProof/>
        </w:rPr>
        <w:t xml:space="preserve">EUR </w:t>
      </w:r>
      <w:r w:rsidRPr="00207447">
        <w:rPr>
          <w:rFonts w:ascii="Times New Roman" w:hAnsi="Times New Roman" w:cs="Times New Roman"/>
          <w:noProof/>
        </w:rPr>
        <w:t>120</w:t>
      </w:r>
      <w:r>
        <w:rPr>
          <w:rFonts w:ascii="Times New Roman" w:hAnsi="Times New Roman" w:cs="Times New Roman"/>
          <w:noProof/>
        </w:rPr>
        <w:t xml:space="preserve"> 000</w:t>
      </w:r>
      <w:r w:rsidRPr="00207447">
        <w:rPr>
          <w:rFonts w:ascii="Times New Roman" w:hAnsi="Times New Roman" w:cs="Times New Roman"/>
          <w:noProof/>
        </w:rPr>
        <w:t xml:space="preserve">: </w:t>
      </w:r>
    </w:p>
    <w:tbl>
      <w:tblPr>
        <w:tblStyle w:val="TableGrid"/>
        <w:tblW w:w="0" w:type="auto"/>
        <w:tblLayout w:type="fixed"/>
        <w:tblLook w:val="04A0" w:firstRow="1" w:lastRow="0" w:firstColumn="1" w:lastColumn="0" w:noHBand="0" w:noVBand="1"/>
      </w:tblPr>
      <w:tblGrid>
        <w:gridCol w:w="6062"/>
        <w:gridCol w:w="2953"/>
      </w:tblGrid>
      <w:tr w:rsidR="000A7D9D" w:rsidRPr="00207447" w14:paraId="13200E30" w14:textId="77777777" w:rsidTr="00F31937">
        <w:tc>
          <w:tcPr>
            <w:tcW w:w="9015" w:type="dxa"/>
            <w:gridSpan w:val="2"/>
            <w:tcBorders>
              <w:top w:val="single" w:sz="8" w:space="0" w:color="auto"/>
              <w:left w:val="single" w:sz="8" w:space="0" w:color="auto"/>
              <w:bottom w:val="single" w:sz="8" w:space="0" w:color="auto"/>
              <w:right w:val="single" w:sz="8" w:space="0" w:color="auto"/>
            </w:tcBorders>
            <w:shd w:val="clear" w:color="auto" w:fill="003399"/>
          </w:tcPr>
          <w:p w14:paraId="45BD883B" w14:textId="77777777" w:rsidR="000A7D9D" w:rsidRPr="00207447" w:rsidRDefault="000A7D9D" w:rsidP="00F31937">
            <w:pPr>
              <w:pStyle w:val="MOVEFigureTable"/>
              <w:rPr>
                <w:rFonts w:eastAsiaTheme="minorEastAsia"/>
              </w:rPr>
            </w:pPr>
            <w:bookmarkStart w:id="56" w:name="_Toc98939755"/>
            <w:r w:rsidRPr="00207447">
              <w:rPr>
                <w:rFonts w:eastAsia="Calibri"/>
              </w:rPr>
              <w:t>ECHA’s estimate of resources for supporting the preparation of a complex CLH dossier</w:t>
            </w:r>
            <w:bookmarkEnd w:id="56"/>
          </w:p>
        </w:tc>
      </w:tr>
      <w:tr w:rsidR="000A7D9D" w:rsidRPr="00207447" w14:paraId="7E200BF4" w14:textId="77777777" w:rsidTr="00F31937">
        <w:tc>
          <w:tcPr>
            <w:tcW w:w="6062" w:type="dxa"/>
            <w:tcBorders>
              <w:top w:val="single" w:sz="8" w:space="0" w:color="auto"/>
              <w:left w:val="single" w:sz="8" w:space="0" w:color="auto"/>
              <w:bottom w:val="single" w:sz="8" w:space="0" w:color="auto"/>
              <w:right w:val="single" w:sz="8" w:space="0" w:color="auto"/>
            </w:tcBorders>
          </w:tcPr>
          <w:p w14:paraId="4FCCF73E" w14:textId="77777777" w:rsidR="000A7D9D" w:rsidRPr="00207447" w:rsidRDefault="000A7D9D" w:rsidP="00F31937">
            <w:pPr>
              <w:rPr>
                <w:rFonts w:eastAsiaTheme="minorEastAsia"/>
                <w:noProof/>
              </w:rPr>
            </w:pPr>
            <w:r w:rsidRPr="00207447">
              <w:rPr>
                <w:rFonts w:eastAsiaTheme="minorEastAsia"/>
                <w:noProof/>
              </w:rPr>
              <w:t xml:space="preserve"> </w:t>
            </w:r>
          </w:p>
        </w:tc>
        <w:tc>
          <w:tcPr>
            <w:tcW w:w="2953" w:type="dxa"/>
            <w:tcBorders>
              <w:top w:val="nil"/>
              <w:left w:val="single" w:sz="8" w:space="0" w:color="auto"/>
              <w:bottom w:val="single" w:sz="8" w:space="0" w:color="auto"/>
              <w:right w:val="single" w:sz="8" w:space="0" w:color="auto"/>
            </w:tcBorders>
            <w:vAlign w:val="center"/>
          </w:tcPr>
          <w:p w14:paraId="0535DB05" w14:textId="77777777" w:rsidR="000A7D9D" w:rsidRPr="00207447" w:rsidRDefault="000A7D9D" w:rsidP="00F31937">
            <w:pPr>
              <w:jc w:val="center"/>
              <w:rPr>
                <w:rFonts w:eastAsiaTheme="minorEastAsia"/>
                <w:b/>
                <w:noProof/>
              </w:rPr>
            </w:pPr>
            <w:r w:rsidRPr="00207447">
              <w:rPr>
                <w:rFonts w:eastAsiaTheme="minorEastAsia"/>
                <w:b/>
                <w:noProof/>
              </w:rPr>
              <w:t>ECHA estimate for CLH</w:t>
            </w:r>
          </w:p>
        </w:tc>
      </w:tr>
      <w:tr w:rsidR="000A7D9D" w:rsidRPr="00207447" w14:paraId="5FE02917" w14:textId="77777777" w:rsidTr="00F31937">
        <w:tc>
          <w:tcPr>
            <w:tcW w:w="6062" w:type="dxa"/>
            <w:tcBorders>
              <w:top w:val="single" w:sz="8" w:space="0" w:color="auto"/>
              <w:left w:val="single" w:sz="8" w:space="0" w:color="auto"/>
              <w:bottom w:val="single" w:sz="8" w:space="0" w:color="auto"/>
              <w:right w:val="single" w:sz="8" w:space="0" w:color="auto"/>
            </w:tcBorders>
            <w:vAlign w:val="center"/>
          </w:tcPr>
          <w:p w14:paraId="2E77983C" w14:textId="77777777" w:rsidR="000A7D9D" w:rsidRPr="00207447" w:rsidRDefault="000A7D9D" w:rsidP="00F31937">
            <w:pPr>
              <w:rPr>
                <w:rFonts w:eastAsiaTheme="minorEastAsia"/>
                <w:noProof/>
              </w:rPr>
            </w:pPr>
            <w:r w:rsidRPr="00207447">
              <w:rPr>
                <w:rFonts w:eastAsiaTheme="minorEastAsia"/>
                <w:noProof/>
              </w:rPr>
              <w:t>Dossier development</w:t>
            </w:r>
          </w:p>
        </w:tc>
        <w:tc>
          <w:tcPr>
            <w:tcW w:w="2953" w:type="dxa"/>
            <w:tcBorders>
              <w:top w:val="single" w:sz="8" w:space="0" w:color="auto"/>
              <w:left w:val="single" w:sz="8" w:space="0" w:color="auto"/>
              <w:bottom w:val="single" w:sz="8" w:space="0" w:color="auto"/>
              <w:right w:val="single" w:sz="8" w:space="0" w:color="auto"/>
            </w:tcBorders>
            <w:vAlign w:val="center"/>
          </w:tcPr>
          <w:p w14:paraId="3D1814BB" w14:textId="77777777" w:rsidR="000A7D9D" w:rsidRPr="00207447" w:rsidRDefault="000A7D9D" w:rsidP="00F31937">
            <w:pPr>
              <w:jc w:val="center"/>
              <w:rPr>
                <w:rFonts w:eastAsiaTheme="minorEastAsia"/>
                <w:noProof/>
              </w:rPr>
            </w:pPr>
            <w:r w:rsidRPr="00207447">
              <w:rPr>
                <w:rFonts w:eastAsiaTheme="minorEastAsia"/>
                <w:noProof/>
              </w:rPr>
              <w:t>0.5 FTE</w:t>
            </w:r>
          </w:p>
        </w:tc>
      </w:tr>
      <w:tr w:rsidR="000A7D9D" w:rsidRPr="00207447" w14:paraId="7FDCDCDC" w14:textId="77777777" w:rsidTr="00F31937">
        <w:tc>
          <w:tcPr>
            <w:tcW w:w="6062" w:type="dxa"/>
            <w:tcBorders>
              <w:top w:val="single" w:sz="8" w:space="0" w:color="auto"/>
              <w:left w:val="single" w:sz="8" w:space="0" w:color="auto"/>
              <w:bottom w:val="single" w:sz="8" w:space="0" w:color="auto"/>
              <w:right w:val="single" w:sz="8" w:space="0" w:color="auto"/>
            </w:tcBorders>
            <w:vAlign w:val="center"/>
          </w:tcPr>
          <w:p w14:paraId="35954B6C" w14:textId="77777777" w:rsidR="000A7D9D" w:rsidRPr="00207447" w:rsidRDefault="000A7D9D" w:rsidP="00F31937">
            <w:pPr>
              <w:rPr>
                <w:rFonts w:eastAsiaTheme="minorEastAsia"/>
                <w:noProof/>
              </w:rPr>
            </w:pPr>
            <w:r w:rsidRPr="00207447">
              <w:rPr>
                <w:rFonts w:eastAsiaTheme="minorEastAsia"/>
                <w:noProof/>
              </w:rPr>
              <w:t>RAC opinion making</w:t>
            </w:r>
          </w:p>
        </w:tc>
        <w:tc>
          <w:tcPr>
            <w:tcW w:w="2953" w:type="dxa"/>
            <w:tcBorders>
              <w:top w:val="single" w:sz="8" w:space="0" w:color="auto"/>
              <w:left w:val="single" w:sz="8" w:space="0" w:color="auto"/>
              <w:bottom w:val="single" w:sz="8" w:space="0" w:color="auto"/>
              <w:right w:val="single" w:sz="8" w:space="0" w:color="auto"/>
            </w:tcBorders>
            <w:vAlign w:val="center"/>
          </w:tcPr>
          <w:p w14:paraId="3B7B2F93" w14:textId="77777777" w:rsidR="000A7D9D" w:rsidRPr="00207447" w:rsidRDefault="000A7D9D" w:rsidP="00F31937">
            <w:pPr>
              <w:jc w:val="center"/>
              <w:rPr>
                <w:rFonts w:eastAsiaTheme="minorEastAsia"/>
                <w:noProof/>
              </w:rPr>
            </w:pPr>
            <w:r w:rsidRPr="00207447">
              <w:rPr>
                <w:rFonts w:eastAsiaTheme="minorEastAsia"/>
                <w:noProof/>
              </w:rPr>
              <w:t>0.1 FTE</w:t>
            </w:r>
          </w:p>
        </w:tc>
      </w:tr>
      <w:tr w:rsidR="000A7D9D" w:rsidRPr="00207447" w14:paraId="266C714B" w14:textId="77777777" w:rsidTr="00F31937">
        <w:tc>
          <w:tcPr>
            <w:tcW w:w="6062" w:type="dxa"/>
            <w:tcBorders>
              <w:top w:val="single" w:sz="8" w:space="0" w:color="auto"/>
              <w:left w:val="single" w:sz="8" w:space="0" w:color="auto"/>
              <w:bottom w:val="single" w:sz="8" w:space="0" w:color="auto"/>
              <w:right w:val="single" w:sz="8" w:space="0" w:color="auto"/>
            </w:tcBorders>
            <w:vAlign w:val="center"/>
          </w:tcPr>
          <w:p w14:paraId="5711E88B" w14:textId="77777777" w:rsidR="000A7D9D" w:rsidRPr="00207447" w:rsidRDefault="000A7D9D" w:rsidP="00F31937">
            <w:pPr>
              <w:rPr>
                <w:rFonts w:eastAsiaTheme="minorEastAsia"/>
                <w:noProof/>
              </w:rPr>
            </w:pPr>
            <w:r w:rsidRPr="00207447">
              <w:rPr>
                <w:rFonts w:eastAsiaTheme="minorEastAsia"/>
                <w:noProof/>
              </w:rPr>
              <w:t>Support services</w:t>
            </w:r>
          </w:p>
        </w:tc>
        <w:tc>
          <w:tcPr>
            <w:tcW w:w="2953" w:type="dxa"/>
            <w:tcBorders>
              <w:top w:val="single" w:sz="8" w:space="0" w:color="auto"/>
              <w:left w:val="single" w:sz="8" w:space="0" w:color="auto"/>
              <w:bottom w:val="single" w:sz="8" w:space="0" w:color="auto"/>
              <w:right w:val="single" w:sz="8" w:space="0" w:color="auto"/>
            </w:tcBorders>
            <w:vAlign w:val="center"/>
          </w:tcPr>
          <w:p w14:paraId="651309D1" w14:textId="77777777" w:rsidR="000A7D9D" w:rsidRPr="00207447" w:rsidRDefault="000A7D9D" w:rsidP="00F31937">
            <w:pPr>
              <w:jc w:val="center"/>
              <w:rPr>
                <w:rFonts w:eastAsiaTheme="minorEastAsia"/>
                <w:noProof/>
              </w:rPr>
            </w:pPr>
            <w:r w:rsidRPr="00207447">
              <w:rPr>
                <w:rFonts w:eastAsiaTheme="minorEastAsia"/>
                <w:noProof/>
              </w:rPr>
              <w:t>0.05 FTE</w:t>
            </w:r>
          </w:p>
        </w:tc>
      </w:tr>
      <w:tr w:rsidR="000A7D9D" w:rsidRPr="00207447" w14:paraId="0706C0DA" w14:textId="77777777" w:rsidTr="00F31937">
        <w:tc>
          <w:tcPr>
            <w:tcW w:w="6062" w:type="dxa"/>
            <w:tcBorders>
              <w:top w:val="single" w:sz="8" w:space="0" w:color="auto"/>
              <w:left w:val="single" w:sz="8" w:space="0" w:color="auto"/>
              <w:bottom w:val="single" w:sz="8" w:space="0" w:color="auto"/>
              <w:right w:val="single" w:sz="8" w:space="0" w:color="auto"/>
            </w:tcBorders>
            <w:vAlign w:val="center"/>
          </w:tcPr>
          <w:p w14:paraId="2942FFF9" w14:textId="77777777" w:rsidR="000A7D9D" w:rsidRPr="00207447" w:rsidRDefault="000A7D9D" w:rsidP="00F31937">
            <w:pPr>
              <w:rPr>
                <w:rFonts w:eastAsiaTheme="minorEastAsia"/>
                <w:noProof/>
              </w:rPr>
            </w:pPr>
            <w:r w:rsidRPr="00207447">
              <w:rPr>
                <w:rFonts w:eastAsiaTheme="minorEastAsia"/>
                <w:noProof/>
              </w:rPr>
              <w:t>Total FTE</w:t>
            </w:r>
          </w:p>
        </w:tc>
        <w:tc>
          <w:tcPr>
            <w:tcW w:w="2953" w:type="dxa"/>
            <w:tcBorders>
              <w:top w:val="single" w:sz="8" w:space="0" w:color="auto"/>
              <w:left w:val="single" w:sz="8" w:space="0" w:color="auto"/>
              <w:bottom w:val="single" w:sz="8" w:space="0" w:color="auto"/>
              <w:right w:val="single" w:sz="8" w:space="0" w:color="auto"/>
            </w:tcBorders>
            <w:vAlign w:val="center"/>
          </w:tcPr>
          <w:p w14:paraId="0A62B001" w14:textId="77777777" w:rsidR="000A7D9D" w:rsidRPr="00207447" w:rsidRDefault="000A7D9D" w:rsidP="00F31937">
            <w:pPr>
              <w:jc w:val="center"/>
              <w:rPr>
                <w:rFonts w:eastAsiaTheme="minorEastAsia"/>
                <w:noProof/>
              </w:rPr>
            </w:pPr>
            <w:r w:rsidRPr="00207447">
              <w:rPr>
                <w:rFonts w:eastAsiaTheme="minorEastAsia"/>
                <w:noProof/>
              </w:rPr>
              <w:t>0.65</w:t>
            </w:r>
          </w:p>
        </w:tc>
      </w:tr>
    </w:tbl>
    <w:p w14:paraId="29211E4C" w14:textId="77777777" w:rsidR="000A7D9D" w:rsidRPr="00207447" w:rsidRDefault="000A7D9D" w:rsidP="000A7D9D">
      <w:pPr>
        <w:spacing w:before="120" w:after="120"/>
        <w:rPr>
          <w:rFonts w:ascii="Times New Roman" w:hAnsi="Times New Roman" w:cs="Times New Roman"/>
          <w:noProof/>
        </w:rPr>
      </w:pPr>
      <w:r>
        <w:rPr>
          <w:rFonts w:ascii="Times New Roman" w:hAnsi="Times New Roman" w:cs="Times New Roman"/>
          <w:noProof/>
        </w:rPr>
        <w:t xml:space="preserve">EUR </w:t>
      </w:r>
      <w:r w:rsidRPr="00207447">
        <w:rPr>
          <w:rFonts w:ascii="Times New Roman" w:hAnsi="Times New Roman" w:cs="Times New Roman"/>
          <w:noProof/>
        </w:rPr>
        <w:t>120</w:t>
      </w:r>
      <w:r>
        <w:rPr>
          <w:rFonts w:ascii="Times New Roman" w:hAnsi="Times New Roman" w:cs="Times New Roman"/>
          <w:noProof/>
        </w:rPr>
        <w:t xml:space="preserve"> </w:t>
      </w:r>
      <w:r w:rsidRPr="00207447">
        <w:rPr>
          <w:rFonts w:ascii="Times New Roman" w:hAnsi="Times New Roman" w:cs="Times New Roman"/>
          <w:noProof/>
        </w:rPr>
        <w:t>5</w:t>
      </w:r>
      <w:r>
        <w:rPr>
          <w:rFonts w:ascii="Times New Roman" w:hAnsi="Times New Roman" w:cs="Times New Roman"/>
          <w:noProof/>
        </w:rPr>
        <w:t>00</w:t>
      </w:r>
      <w:r w:rsidRPr="00207447">
        <w:rPr>
          <w:rFonts w:ascii="Times New Roman" w:hAnsi="Times New Roman" w:cs="Times New Roman"/>
          <w:noProof/>
        </w:rPr>
        <w:t>:</w:t>
      </w:r>
    </w:p>
    <w:p w14:paraId="76941ECD" w14:textId="77777777" w:rsidR="000A7D9D" w:rsidRPr="00207447" w:rsidRDefault="000A7D9D" w:rsidP="000A7D9D">
      <w:pPr>
        <w:pStyle w:val="ListParagraph"/>
        <w:widowControl w:val="0"/>
        <w:numPr>
          <w:ilvl w:val="0"/>
          <w:numId w:val="135"/>
        </w:numPr>
        <w:spacing w:before="120" w:after="120"/>
        <w:rPr>
          <w:noProof/>
        </w:rPr>
      </w:pPr>
      <w:r w:rsidRPr="00207447">
        <w:rPr>
          <w:noProof/>
        </w:rPr>
        <w:t xml:space="preserve">Title 1 Staff expenditure: </w:t>
      </w:r>
      <w:r>
        <w:rPr>
          <w:noProof/>
        </w:rPr>
        <w:t xml:space="preserve">EUR </w:t>
      </w:r>
      <w:r w:rsidRPr="00207447">
        <w:rPr>
          <w:noProof/>
        </w:rPr>
        <w:t>110</w:t>
      </w:r>
      <w:r>
        <w:rPr>
          <w:noProof/>
        </w:rPr>
        <w:t xml:space="preserve"> </w:t>
      </w:r>
      <w:r w:rsidRPr="00207447">
        <w:rPr>
          <w:noProof/>
        </w:rPr>
        <w:t>5</w:t>
      </w:r>
      <w:r>
        <w:rPr>
          <w:noProof/>
        </w:rPr>
        <w:t>00</w:t>
      </w:r>
      <w:r w:rsidRPr="00207447">
        <w:rPr>
          <w:noProof/>
        </w:rPr>
        <w:t>, including 19% overhead cost</w:t>
      </w:r>
    </w:p>
    <w:p w14:paraId="2B6E8C78" w14:textId="77777777" w:rsidR="000A7D9D" w:rsidRPr="00207447" w:rsidRDefault="000A7D9D" w:rsidP="000A7D9D">
      <w:pPr>
        <w:pStyle w:val="ListParagraph"/>
        <w:widowControl w:val="0"/>
        <w:numPr>
          <w:ilvl w:val="0"/>
          <w:numId w:val="135"/>
        </w:numPr>
        <w:spacing w:before="120" w:after="120"/>
        <w:rPr>
          <w:noProof/>
        </w:rPr>
      </w:pPr>
      <w:r w:rsidRPr="00207447">
        <w:rPr>
          <w:noProof/>
        </w:rPr>
        <w:t>Title 2 Infrastructure: included under Title 1 above</w:t>
      </w:r>
    </w:p>
    <w:p w14:paraId="4B0FA3F2" w14:textId="77777777" w:rsidR="000A7D9D" w:rsidRPr="00207447" w:rsidRDefault="000A7D9D" w:rsidP="000A7D9D">
      <w:pPr>
        <w:pStyle w:val="ListParagraph"/>
        <w:widowControl w:val="0"/>
        <w:numPr>
          <w:ilvl w:val="0"/>
          <w:numId w:val="135"/>
        </w:numPr>
        <w:spacing w:before="120" w:after="120"/>
        <w:rPr>
          <w:noProof/>
        </w:rPr>
      </w:pPr>
      <w:r w:rsidRPr="00207447">
        <w:rPr>
          <w:noProof/>
        </w:rPr>
        <w:t xml:space="preserve">Title 3 Operational costs: </w:t>
      </w:r>
      <w:r>
        <w:rPr>
          <w:noProof/>
        </w:rPr>
        <w:t xml:space="preserve">EUR </w:t>
      </w:r>
      <w:r w:rsidRPr="00207447">
        <w:rPr>
          <w:noProof/>
        </w:rPr>
        <w:t>10</w:t>
      </w:r>
      <w:r>
        <w:rPr>
          <w:noProof/>
        </w:rPr>
        <w:t xml:space="preserve"> 000</w:t>
      </w:r>
    </w:p>
    <w:p w14:paraId="32115847" w14:textId="77777777" w:rsidR="000A7D9D" w:rsidRPr="00207447" w:rsidRDefault="000A7D9D" w:rsidP="000A7D9D">
      <w:pPr>
        <w:spacing w:before="120" w:after="120"/>
        <w:rPr>
          <w:rFonts w:ascii="Times New Roman" w:hAnsi="Times New Roman" w:cs="Times New Roman"/>
          <w:noProof/>
          <w:sz w:val="24"/>
          <w:szCs w:val="24"/>
        </w:rPr>
      </w:pPr>
      <w:r w:rsidRPr="00207447">
        <w:rPr>
          <w:rFonts w:ascii="Times New Roman" w:hAnsi="Times New Roman" w:cs="Times New Roman"/>
          <w:noProof/>
          <w:sz w:val="24"/>
          <w:szCs w:val="24"/>
        </w:rPr>
        <w:t xml:space="preserve">The CLH dossier of low complexity requires 0.35 FTE and </w:t>
      </w:r>
      <w:r>
        <w:rPr>
          <w:rFonts w:ascii="Times New Roman" w:hAnsi="Times New Roman" w:cs="Times New Roman"/>
          <w:noProof/>
          <w:sz w:val="24"/>
          <w:szCs w:val="24"/>
        </w:rPr>
        <w:t xml:space="preserve">EUR </w:t>
      </w:r>
      <w:r w:rsidRPr="00207447">
        <w:rPr>
          <w:rFonts w:ascii="Times New Roman" w:hAnsi="Times New Roman" w:cs="Times New Roman"/>
          <w:noProof/>
          <w:sz w:val="24"/>
          <w:szCs w:val="24"/>
        </w:rPr>
        <w:t>69</w:t>
      </w:r>
      <w:r>
        <w:rPr>
          <w:rFonts w:ascii="Times New Roman" w:hAnsi="Times New Roman" w:cs="Times New Roman"/>
          <w:noProof/>
          <w:sz w:val="24"/>
          <w:szCs w:val="24"/>
        </w:rPr>
        <w:t xml:space="preserve"> </w:t>
      </w:r>
      <w:r w:rsidRPr="00207447">
        <w:rPr>
          <w:rFonts w:ascii="Times New Roman" w:hAnsi="Times New Roman" w:cs="Times New Roman"/>
          <w:noProof/>
          <w:sz w:val="24"/>
          <w:szCs w:val="24"/>
        </w:rPr>
        <w:t>5</w:t>
      </w:r>
      <w:r>
        <w:rPr>
          <w:rFonts w:ascii="Times New Roman" w:hAnsi="Times New Roman" w:cs="Times New Roman"/>
          <w:noProof/>
          <w:sz w:val="24"/>
          <w:szCs w:val="24"/>
        </w:rPr>
        <w:t>00</w:t>
      </w:r>
    </w:p>
    <w:tbl>
      <w:tblPr>
        <w:tblStyle w:val="TableGrid"/>
        <w:tblW w:w="0" w:type="auto"/>
        <w:tblLook w:val="04A0" w:firstRow="1" w:lastRow="0" w:firstColumn="1" w:lastColumn="0" w:noHBand="0" w:noVBand="1"/>
      </w:tblPr>
      <w:tblGrid>
        <w:gridCol w:w="6534"/>
        <w:gridCol w:w="2412"/>
      </w:tblGrid>
      <w:tr w:rsidR="000A7D9D" w:rsidRPr="00207447" w14:paraId="30EF0645" w14:textId="77777777" w:rsidTr="00F31937">
        <w:tc>
          <w:tcPr>
            <w:tcW w:w="8946" w:type="dxa"/>
            <w:gridSpan w:val="2"/>
            <w:tcBorders>
              <w:top w:val="single" w:sz="4" w:space="0" w:color="auto"/>
              <w:left w:val="single" w:sz="4" w:space="0" w:color="auto"/>
              <w:bottom w:val="single" w:sz="4" w:space="0" w:color="auto"/>
              <w:right w:val="single" w:sz="4" w:space="0" w:color="auto"/>
            </w:tcBorders>
            <w:shd w:val="clear" w:color="auto" w:fill="003399"/>
          </w:tcPr>
          <w:p w14:paraId="5E745BB5" w14:textId="77777777" w:rsidR="000A7D9D" w:rsidRPr="00207447" w:rsidRDefault="000A7D9D" w:rsidP="00F31937">
            <w:pPr>
              <w:pStyle w:val="MOVEFigureTable"/>
              <w:rPr>
                <w:rFonts w:eastAsiaTheme="minorEastAsia"/>
              </w:rPr>
            </w:pPr>
            <w:r w:rsidRPr="00207447">
              <w:rPr>
                <w:rFonts w:eastAsiaTheme="minorEastAsia"/>
              </w:rPr>
              <w:t>ECHA’s estimate of resources for supporting the preparation of a CLH dossier of low complexity</w:t>
            </w:r>
          </w:p>
        </w:tc>
      </w:tr>
      <w:tr w:rsidR="000A7D9D" w:rsidRPr="00207447" w14:paraId="58997048" w14:textId="77777777" w:rsidTr="00F31937">
        <w:tc>
          <w:tcPr>
            <w:tcW w:w="6534" w:type="dxa"/>
            <w:tcBorders>
              <w:top w:val="single" w:sz="4" w:space="0" w:color="auto"/>
              <w:left w:val="single" w:sz="4" w:space="0" w:color="auto"/>
              <w:bottom w:val="single" w:sz="4" w:space="0" w:color="auto"/>
              <w:right w:val="single" w:sz="4" w:space="0" w:color="auto"/>
            </w:tcBorders>
          </w:tcPr>
          <w:p w14:paraId="5CD064E6" w14:textId="77777777" w:rsidR="000A7D9D" w:rsidRPr="00207447" w:rsidRDefault="000A7D9D" w:rsidP="00F31937">
            <w:pPr>
              <w:spacing w:line="259" w:lineRule="auto"/>
              <w:rPr>
                <w:rFonts w:eastAsiaTheme="minorEastAsia"/>
                <w:noProof/>
              </w:rPr>
            </w:pPr>
          </w:p>
        </w:tc>
        <w:tc>
          <w:tcPr>
            <w:tcW w:w="2412" w:type="dxa"/>
            <w:tcBorders>
              <w:top w:val="single" w:sz="4" w:space="0" w:color="auto"/>
              <w:left w:val="single" w:sz="4" w:space="0" w:color="auto"/>
              <w:bottom w:val="single" w:sz="4" w:space="0" w:color="auto"/>
              <w:right w:val="single" w:sz="4" w:space="0" w:color="auto"/>
            </w:tcBorders>
            <w:vAlign w:val="center"/>
          </w:tcPr>
          <w:p w14:paraId="41BBB19B" w14:textId="77777777" w:rsidR="000A7D9D" w:rsidRPr="00207447" w:rsidRDefault="000A7D9D" w:rsidP="00F31937">
            <w:pPr>
              <w:spacing w:line="259" w:lineRule="auto"/>
              <w:jc w:val="center"/>
              <w:rPr>
                <w:rFonts w:eastAsiaTheme="minorEastAsia"/>
                <w:b/>
                <w:bCs/>
                <w:noProof/>
              </w:rPr>
            </w:pPr>
            <w:r w:rsidRPr="00207447">
              <w:rPr>
                <w:rFonts w:eastAsiaTheme="minorEastAsia"/>
                <w:b/>
                <w:bCs/>
                <w:noProof/>
              </w:rPr>
              <w:t>estimate for CLH</w:t>
            </w:r>
          </w:p>
        </w:tc>
      </w:tr>
      <w:tr w:rsidR="000A7D9D" w:rsidRPr="00207447" w14:paraId="599B1A4D" w14:textId="77777777" w:rsidTr="00F31937">
        <w:tc>
          <w:tcPr>
            <w:tcW w:w="6534" w:type="dxa"/>
            <w:tcBorders>
              <w:top w:val="single" w:sz="4" w:space="0" w:color="auto"/>
              <w:left w:val="single" w:sz="4" w:space="0" w:color="auto"/>
              <w:bottom w:val="single" w:sz="4" w:space="0" w:color="auto"/>
              <w:right w:val="single" w:sz="4" w:space="0" w:color="auto"/>
            </w:tcBorders>
            <w:vAlign w:val="center"/>
          </w:tcPr>
          <w:p w14:paraId="1175665B" w14:textId="77777777" w:rsidR="000A7D9D" w:rsidRPr="00207447" w:rsidRDefault="000A7D9D" w:rsidP="00F31937">
            <w:pPr>
              <w:spacing w:line="259" w:lineRule="auto"/>
              <w:rPr>
                <w:rFonts w:eastAsiaTheme="minorEastAsia"/>
                <w:noProof/>
              </w:rPr>
            </w:pPr>
            <w:r w:rsidRPr="00207447">
              <w:rPr>
                <w:rFonts w:eastAsiaTheme="minorEastAsia"/>
                <w:noProof/>
              </w:rPr>
              <w:t>Dossier development</w:t>
            </w:r>
          </w:p>
        </w:tc>
        <w:tc>
          <w:tcPr>
            <w:tcW w:w="2412" w:type="dxa"/>
            <w:tcBorders>
              <w:top w:val="single" w:sz="4" w:space="0" w:color="auto"/>
              <w:left w:val="single" w:sz="4" w:space="0" w:color="auto"/>
              <w:bottom w:val="single" w:sz="4" w:space="0" w:color="auto"/>
              <w:right w:val="single" w:sz="4" w:space="0" w:color="auto"/>
            </w:tcBorders>
            <w:vAlign w:val="center"/>
          </w:tcPr>
          <w:p w14:paraId="5FE46F9F" w14:textId="77777777" w:rsidR="000A7D9D" w:rsidRPr="00207447" w:rsidRDefault="000A7D9D" w:rsidP="00F31937">
            <w:pPr>
              <w:spacing w:line="259" w:lineRule="auto"/>
              <w:jc w:val="center"/>
              <w:rPr>
                <w:rFonts w:eastAsiaTheme="minorEastAsia"/>
                <w:noProof/>
              </w:rPr>
            </w:pPr>
            <w:r w:rsidRPr="00207447">
              <w:rPr>
                <w:rFonts w:eastAsiaTheme="minorEastAsia"/>
                <w:noProof/>
              </w:rPr>
              <w:t>0.2 FTE</w:t>
            </w:r>
          </w:p>
        </w:tc>
      </w:tr>
      <w:tr w:rsidR="000A7D9D" w:rsidRPr="00207447" w14:paraId="50DA0428" w14:textId="77777777" w:rsidTr="00F31937">
        <w:tc>
          <w:tcPr>
            <w:tcW w:w="6534" w:type="dxa"/>
            <w:tcBorders>
              <w:top w:val="single" w:sz="4" w:space="0" w:color="auto"/>
              <w:left w:val="single" w:sz="4" w:space="0" w:color="auto"/>
              <w:bottom w:val="single" w:sz="4" w:space="0" w:color="auto"/>
              <w:right w:val="single" w:sz="4" w:space="0" w:color="auto"/>
            </w:tcBorders>
            <w:vAlign w:val="center"/>
          </w:tcPr>
          <w:p w14:paraId="2E4CD943" w14:textId="77777777" w:rsidR="000A7D9D" w:rsidRPr="00207447" w:rsidRDefault="000A7D9D" w:rsidP="00F31937">
            <w:pPr>
              <w:spacing w:line="259" w:lineRule="auto"/>
              <w:rPr>
                <w:rFonts w:eastAsiaTheme="minorEastAsia"/>
                <w:noProof/>
              </w:rPr>
            </w:pPr>
            <w:r w:rsidRPr="00207447">
              <w:rPr>
                <w:rFonts w:eastAsiaTheme="minorEastAsia"/>
                <w:noProof/>
              </w:rPr>
              <w:t>RAC opinion making</w:t>
            </w:r>
          </w:p>
        </w:tc>
        <w:tc>
          <w:tcPr>
            <w:tcW w:w="2412" w:type="dxa"/>
            <w:tcBorders>
              <w:top w:val="single" w:sz="4" w:space="0" w:color="auto"/>
              <w:left w:val="single" w:sz="4" w:space="0" w:color="auto"/>
              <w:bottom w:val="single" w:sz="4" w:space="0" w:color="auto"/>
              <w:right w:val="single" w:sz="4" w:space="0" w:color="auto"/>
            </w:tcBorders>
            <w:vAlign w:val="center"/>
          </w:tcPr>
          <w:p w14:paraId="55379849" w14:textId="77777777" w:rsidR="000A7D9D" w:rsidRPr="00207447" w:rsidRDefault="000A7D9D" w:rsidP="00F31937">
            <w:pPr>
              <w:spacing w:line="259" w:lineRule="auto"/>
              <w:jc w:val="center"/>
              <w:rPr>
                <w:rFonts w:eastAsiaTheme="minorEastAsia"/>
                <w:noProof/>
              </w:rPr>
            </w:pPr>
            <w:r w:rsidRPr="00207447">
              <w:rPr>
                <w:rFonts w:eastAsiaTheme="minorEastAsia"/>
                <w:noProof/>
              </w:rPr>
              <w:t>0.1 FTE</w:t>
            </w:r>
          </w:p>
        </w:tc>
      </w:tr>
      <w:tr w:rsidR="000A7D9D" w:rsidRPr="00207447" w14:paraId="4D42AC43" w14:textId="77777777" w:rsidTr="00F31937">
        <w:tc>
          <w:tcPr>
            <w:tcW w:w="6534" w:type="dxa"/>
            <w:tcBorders>
              <w:top w:val="single" w:sz="4" w:space="0" w:color="auto"/>
              <w:left w:val="single" w:sz="4" w:space="0" w:color="auto"/>
              <w:bottom w:val="single" w:sz="4" w:space="0" w:color="auto"/>
              <w:right w:val="single" w:sz="4" w:space="0" w:color="auto"/>
            </w:tcBorders>
            <w:vAlign w:val="center"/>
          </w:tcPr>
          <w:p w14:paraId="56DE51FD" w14:textId="77777777" w:rsidR="000A7D9D" w:rsidRPr="00207447" w:rsidRDefault="000A7D9D" w:rsidP="00F31937">
            <w:pPr>
              <w:spacing w:line="259" w:lineRule="auto"/>
              <w:rPr>
                <w:rFonts w:eastAsiaTheme="minorEastAsia"/>
                <w:noProof/>
              </w:rPr>
            </w:pPr>
            <w:r w:rsidRPr="00207447">
              <w:rPr>
                <w:rFonts w:eastAsiaTheme="minorEastAsia"/>
                <w:noProof/>
              </w:rPr>
              <w:t>Support services</w:t>
            </w:r>
          </w:p>
        </w:tc>
        <w:tc>
          <w:tcPr>
            <w:tcW w:w="2412" w:type="dxa"/>
            <w:tcBorders>
              <w:top w:val="single" w:sz="4" w:space="0" w:color="auto"/>
              <w:left w:val="single" w:sz="4" w:space="0" w:color="auto"/>
              <w:bottom w:val="single" w:sz="4" w:space="0" w:color="auto"/>
              <w:right w:val="single" w:sz="4" w:space="0" w:color="auto"/>
            </w:tcBorders>
            <w:vAlign w:val="center"/>
          </w:tcPr>
          <w:p w14:paraId="29FC407C" w14:textId="77777777" w:rsidR="000A7D9D" w:rsidRPr="00207447" w:rsidRDefault="000A7D9D" w:rsidP="00F31937">
            <w:pPr>
              <w:spacing w:line="259" w:lineRule="auto"/>
              <w:jc w:val="center"/>
              <w:rPr>
                <w:rFonts w:eastAsiaTheme="minorEastAsia"/>
                <w:noProof/>
              </w:rPr>
            </w:pPr>
            <w:r w:rsidRPr="00207447">
              <w:rPr>
                <w:rFonts w:eastAsiaTheme="minorEastAsia"/>
                <w:noProof/>
              </w:rPr>
              <w:t>0.05 FTE</w:t>
            </w:r>
          </w:p>
        </w:tc>
      </w:tr>
      <w:tr w:rsidR="000A7D9D" w:rsidRPr="00207447" w14:paraId="46C606F0" w14:textId="77777777" w:rsidTr="00F31937">
        <w:tc>
          <w:tcPr>
            <w:tcW w:w="6534" w:type="dxa"/>
            <w:tcBorders>
              <w:top w:val="single" w:sz="4" w:space="0" w:color="auto"/>
              <w:left w:val="single" w:sz="4" w:space="0" w:color="auto"/>
              <w:bottom w:val="single" w:sz="4" w:space="0" w:color="auto"/>
              <w:right w:val="single" w:sz="4" w:space="0" w:color="auto"/>
            </w:tcBorders>
            <w:vAlign w:val="center"/>
          </w:tcPr>
          <w:p w14:paraId="11D770AB" w14:textId="77777777" w:rsidR="000A7D9D" w:rsidRPr="00207447" w:rsidRDefault="000A7D9D" w:rsidP="00F31937">
            <w:pPr>
              <w:spacing w:line="259" w:lineRule="auto"/>
              <w:rPr>
                <w:rFonts w:eastAsiaTheme="minorEastAsia"/>
                <w:noProof/>
              </w:rPr>
            </w:pPr>
            <w:r w:rsidRPr="00207447">
              <w:rPr>
                <w:rFonts w:eastAsiaTheme="minorEastAsia"/>
                <w:noProof/>
              </w:rPr>
              <w:t>Total FTE</w:t>
            </w:r>
          </w:p>
        </w:tc>
        <w:tc>
          <w:tcPr>
            <w:tcW w:w="2412" w:type="dxa"/>
            <w:tcBorders>
              <w:top w:val="single" w:sz="4" w:space="0" w:color="auto"/>
              <w:left w:val="single" w:sz="4" w:space="0" w:color="auto"/>
              <w:bottom w:val="single" w:sz="4" w:space="0" w:color="auto"/>
              <w:right w:val="single" w:sz="4" w:space="0" w:color="auto"/>
            </w:tcBorders>
            <w:vAlign w:val="center"/>
          </w:tcPr>
          <w:p w14:paraId="1109F9EF" w14:textId="77777777" w:rsidR="000A7D9D" w:rsidRPr="00207447" w:rsidRDefault="000A7D9D" w:rsidP="00F31937">
            <w:pPr>
              <w:spacing w:line="259" w:lineRule="auto"/>
              <w:jc w:val="center"/>
              <w:rPr>
                <w:rFonts w:eastAsiaTheme="minorEastAsia"/>
                <w:noProof/>
              </w:rPr>
            </w:pPr>
            <w:r w:rsidRPr="00207447">
              <w:rPr>
                <w:rFonts w:eastAsiaTheme="minorEastAsia"/>
                <w:noProof/>
              </w:rPr>
              <w:t>0.35</w:t>
            </w:r>
          </w:p>
        </w:tc>
      </w:tr>
    </w:tbl>
    <w:p w14:paraId="3604F91C" w14:textId="77777777" w:rsidR="000A7D9D" w:rsidRPr="00207447" w:rsidRDefault="000A7D9D" w:rsidP="000A7D9D">
      <w:pPr>
        <w:spacing w:before="120" w:after="120"/>
        <w:rPr>
          <w:rFonts w:ascii="Times New Roman" w:hAnsi="Times New Roman" w:cs="Times New Roman"/>
          <w:noProof/>
          <w:sz w:val="24"/>
          <w:szCs w:val="24"/>
        </w:rPr>
      </w:pPr>
      <w:r>
        <w:rPr>
          <w:rFonts w:ascii="Times New Roman" w:hAnsi="Times New Roman" w:cs="Times New Roman"/>
          <w:noProof/>
          <w:sz w:val="24"/>
          <w:szCs w:val="24"/>
        </w:rPr>
        <w:t xml:space="preserve">EUR </w:t>
      </w:r>
      <w:r w:rsidRPr="00207447">
        <w:rPr>
          <w:rFonts w:ascii="Times New Roman" w:hAnsi="Times New Roman" w:cs="Times New Roman"/>
          <w:noProof/>
          <w:sz w:val="24"/>
          <w:szCs w:val="24"/>
        </w:rPr>
        <w:t>69</w:t>
      </w:r>
      <w:r>
        <w:rPr>
          <w:rFonts w:ascii="Times New Roman" w:hAnsi="Times New Roman" w:cs="Times New Roman"/>
          <w:noProof/>
          <w:sz w:val="24"/>
          <w:szCs w:val="24"/>
        </w:rPr>
        <w:t xml:space="preserve"> </w:t>
      </w:r>
      <w:r w:rsidRPr="00207447">
        <w:rPr>
          <w:rFonts w:ascii="Times New Roman" w:hAnsi="Times New Roman" w:cs="Times New Roman"/>
          <w:noProof/>
          <w:sz w:val="24"/>
          <w:szCs w:val="24"/>
        </w:rPr>
        <w:t>5</w:t>
      </w:r>
      <w:r>
        <w:rPr>
          <w:rFonts w:ascii="Times New Roman" w:hAnsi="Times New Roman" w:cs="Times New Roman"/>
          <w:noProof/>
          <w:sz w:val="24"/>
          <w:szCs w:val="24"/>
        </w:rPr>
        <w:t>00</w:t>
      </w:r>
      <w:r w:rsidRPr="00207447">
        <w:rPr>
          <w:rFonts w:ascii="Times New Roman" w:hAnsi="Times New Roman" w:cs="Times New Roman"/>
          <w:noProof/>
          <w:sz w:val="24"/>
          <w:szCs w:val="24"/>
        </w:rPr>
        <w:t>:</w:t>
      </w:r>
    </w:p>
    <w:p w14:paraId="77D56B6E" w14:textId="77777777" w:rsidR="000A7D9D" w:rsidRPr="00207447" w:rsidRDefault="000A7D9D" w:rsidP="000A7D9D">
      <w:pPr>
        <w:pStyle w:val="ListParagraph"/>
        <w:widowControl w:val="0"/>
        <w:numPr>
          <w:ilvl w:val="0"/>
          <w:numId w:val="135"/>
        </w:numPr>
        <w:spacing w:before="120" w:after="120"/>
        <w:rPr>
          <w:noProof/>
        </w:rPr>
      </w:pPr>
      <w:r w:rsidRPr="00207447">
        <w:rPr>
          <w:noProof/>
        </w:rPr>
        <w:t xml:space="preserve">Title 1 Staff expenditure: </w:t>
      </w:r>
      <w:r>
        <w:rPr>
          <w:noProof/>
        </w:rPr>
        <w:t xml:space="preserve">EUR </w:t>
      </w:r>
      <w:r w:rsidRPr="00207447">
        <w:rPr>
          <w:noProof/>
        </w:rPr>
        <w:t>59</w:t>
      </w:r>
      <w:r>
        <w:rPr>
          <w:noProof/>
        </w:rPr>
        <w:t xml:space="preserve"> </w:t>
      </w:r>
      <w:r w:rsidRPr="00207447">
        <w:rPr>
          <w:noProof/>
        </w:rPr>
        <w:t>5</w:t>
      </w:r>
      <w:r>
        <w:rPr>
          <w:noProof/>
        </w:rPr>
        <w:t>00</w:t>
      </w:r>
      <w:r w:rsidRPr="00207447">
        <w:rPr>
          <w:noProof/>
        </w:rPr>
        <w:t>, including 19% overhead cost</w:t>
      </w:r>
    </w:p>
    <w:p w14:paraId="51874702" w14:textId="77777777" w:rsidR="000A7D9D" w:rsidRPr="00207447" w:rsidRDefault="000A7D9D" w:rsidP="000A7D9D">
      <w:pPr>
        <w:pStyle w:val="ListParagraph"/>
        <w:widowControl w:val="0"/>
        <w:numPr>
          <w:ilvl w:val="0"/>
          <w:numId w:val="135"/>
        </w:numPr>
        <w:spacing w:before="120" w:after="120"/>
        <w:rPr>
          <w:noProof/>
        </w:rPr>
      </w:pPr>
      <w:r w:rsidRPr="00207447">
        <w:rPr>
          <w:noProof/>
        </w:rPr>
        <w:t>Title 2 Infrastructure: included under Title 1 above</w:t>
      </w:r>
    </w:p>
    <w:p w14:paraId="4DBBEEDE" w14:textId="77777777" w:rsidR="000A7D9D" w:rsidRPr="00207447" w:rsidRDefault="000A7D9D" w:rsidP="000A7D9D">
      <w:pPr>
        <w:pStyle w:val="ListParagraph"/>
        <w:widowControl w:val="0"/>
        <w:numPr>
          <w:ilvl w:val="0"/>
          <w:numId w:val="135"/>
        </w:numPr>
        <w:spacing w:before="120" w:after="120"/>
        <w:rPr>
          <w:noProof/>
        </w:rPr>
      </w:pPr>
      <w:r w:rsidRPr="00207447">
        <w:rPr>
          <w:noProof/>
        </w:rPr>
        <w:t xml:space="preserve">Title 3 Operational costs: </w:t>
      </w:r>
      <w:r>
        <w:rPr>
          <w:noProof/>
        </w:rPr>
        <w:t xml:space="preserve">EUR </w:t>
      </w:r>
      <w:r w:rsidRPr="00207447">
        <w:rPr>
          <w:noProof/>
        </w:rPr>
        <w:t>10</w:t>
      </w:r>
      <w:r>
        <w:rPr>
          <w:noProof/>
        </w:rPr>
        <w:t xml:space="preserve"> 000</w:t>
      </w:r>
    </w:p>
    <w:p w14:paraId="3DC79E01" w14:textId="77777777" w:rsidR="000A7D9D" w:rsidRPr="00207447" w:rsidRDefault="000A7D9D" w:rsidP="000A7D9D">
      <w:pPr>
        <w:spacing w:before="120" w:after="120"/>
        <w:rPr>
          <w:rFonts w:ascii="Times New Roman" w:hAnsi="Times New Roman" w:cs="Times New Roman"/>
          <w:noProof/>
          <w:sz w:val="24"/>
          <w:szCs w:val="24"/>
          <w:u w:val="single"/>
        </w:rPr>
      </w:pPr>
      <w:r w:rsidRPr="00207447">
        <w:rPr>
          <w:rFonts w:ascii="Times New Roman" w:hAnsi="Times New Roman" w:cs="Times New Roman"/>
          <w:noProof/>
          <w:sz w:val="24"/>
          <w:szCs w:val="24"/>
        </w:rPr>
        <w:t>ECHA and EFSA do not prepare any proposals for harmonised classifications.</w:t>
      </w:r>
    </w:p>
    <w:p w14:paraId="2E0560A9" w14:textId="77777777" w:rsidR="000A7D9D" w:rsidRPr="00207447" w:rsidRDefault="000A7D9D" w:rsidP="000A7D9D">
      <w:pPr>
        <w:spacing w:after="120"/>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Future workload and resource needs:</w:t>
      </w:r>
    </w:p>
    <w:p w14:paraId="1F59F423" w14:textId="77777777" w:rsidR="000A7D9D" w:rsidRPr="00207447" w:rsidRDefault="000A7D9D" w:rsidP="000A7D9D">
      <w:pPr>
        <w:pStyle w:val="BodyText"/>
        <w:jc w:val="both"/>
        <w:rPr>
          <w:noProof/>
          <w:color w:val="000000" w:themeColor="text1"/>
        </w:rPr>
      </w:pPr>
      <w:r w:rsidRPr="00207447">
        <w:rPr>
          <w:noProof/>
          <w:color w:val="000000" w:themeColor="text1"/>
        </w:rPr>
        <w:t xml:space="preserve">Based on the impact assessment, it is expected that additional 250 dossiers will have to be prepared over the next 20 years, i.e. 12.5 dossiers per year. It is expected that the dossiers to be prepared are to be of lower complexity than medium, but higher than low complexity dossiers, i.e. having an average resource requirement of 0.4 FTE per dossier. This would result in the need of 5 FTEs per year to process 12.5 dossiers/year. Normally, there is a need for the contribution of 15% for the development and maintenance of common IT components (0.75 FTE) and for the </w:t>
      </w:r>
      <w:r w:rsidRPr="00207447">
        <w:rPr>
          <w:noProof/>
        </w:rPr>
        <w:t>contribution of 15% for the horizontal support (governance &amp; enablers / administrative overhead) (0.75 FTE per year). However, as this is an extension of existing CLH process in the agency and the process and structures are fully in place, there is no need for these addi</w:t>
      </w:r>
      <w:r>
        <w:rPr>
          <w:noProof/>
        </w:rPr>
        <w:t>ti</w:t>
      </w:r>
      <w:r w:rsidRPr="00207447">
        <w:rPr>
          <w:noProof/>
        </w:rPr>
        <w:t xml:space="preserve">onal overhead contributions. Therefore, in total, there is a need of </w:t>
      </w:r>
      <w:r w:rsidRPr="00207447">
        <w:rPr>
          <w:b/>
          <w:noProof/>
        </w:rPr>
        <w:t>5 FTEs per year</w:t>
      </w:r>
      <w:r w:rsidRPr="00207447">
        <w:rPr>
          <w:noProof/>
        </w:rPr>
        <w:t xml:space="preserve">. </w:t>
      </w:r>
    </w:p>
    <w:p w14:paraId="58F793CB" w14:textId="77777777" w:rsidR="000A7D9D" w:rsidRPr="00207447" w:rsidRDefault="000A7D9D" w:rsidP="000A7D9D">
      <w:pPr>
        <w:pStyle w:val="BodyText"/>
        <w:jc w:val="both"/>
        <w:rPr>
          <w:noProof/>
          <w:color w:val="000000" w:themeColor="text1"/>
        </w:rPr>
      </w:pPr>
      <w:r w:rsidRPr="00207447">
        <w:rPr>
          <w:noProof/>
          <w:color w:val="000000" w:themeColor="text1"/>
        </w:rPr>
        <w:t xml:space="preserve">EFSA will need to prepare up to 1 dossier per year, which is possible to be absorbed by its resources for the plant protection products. </w:t>
      </w:r>
    </w:p>
    <w:p w14:paraId="2CEDAB9D" w14:textId="77777777" w:rsidR="000A7D9D" w:rsidRPr="00207447" w:rsidRDefault="000A7D9D" w:rsidP="000A7D9D">
      <w:pPr>
        <w:spacing w:after="120"/>
        <w:rPr>
          <w:rFonts w:ascii="Times New Roman" w:hAnsi="Times New Roman" w:cs="Times New Roman"/>
          <w:noProof/>
          <w:color w:val="000000" w:themeColor="text1"/>
          <w:sz w:val="24"/>
          <w:szCs w:val="24"/>
        </w:rPr>
      </w:pPr>
      <w:r w:rsidRPr="00207447">
        <w:rPr>
          <w:rFonts w:ascii="Times New Roman" w:hAnsi="Times New Roman" w:cs="Times New Roman"/>
          <w:noProof/>
          <w:color w:val="000000" w:themeColor="text1"/>
          <w:sz w:val="24"/>
          <w:szCs w:val="24"/>
        </w:rPr>
        <w:t>Summary of additional resource needs for the CLP regulation:</w:t>
      </w:r>
    </w:p>
    <w:tbl>
      <w:tblPr>
        <w:tblStyle w:val="TableGrid"/>
        <w:tblW w:w="9629" w:type="dxa"/>
        <w:tblLook w:val="04A0" w:firstRow="1" w:lastRow="0" w:firstColumn="1" w:lastColumn="0" w:noHBand="0" w:noVBand="1"/>
      </w:tblPr>
      <w:tblGrid>
        <w:gridCol w:w="1454"/>
        <w:gridCol w:w="3930"/>
        <w:gridCol w:w="1965"/>
        <w:gridCol w:w="2280"/>
      </w:tblGrid>
      <w:tr w:rsidR="000A7D9D" w:rsidRPr="00C56424" w14:paraId="36E57E17" w14:textId="77777777" w:rsidTr="00F31937">
        <w:trPr>
          <w:trHeight w:val="300"/>
        </w:trPr>
        <w:tc>
          <w:tcPr>
            <w:tcW w:w="1454" w:type="dxa"/>
            <w:shd w:val="clear" w:color="auto" w:fill="D9D9D9" w:themeFill="background1" w:themeFillShade="D9"/>
          </w:tcPr>
          <w:p w14:paraId="34DD69D9"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930" w:type="dxa"/>
            <w:shd w:val="clear" w:color="auto" w:fill="D9D9D9" w:themeFill="background1" w:themeFillShade="D9"/>
          </w:tcPr>
          <w:p w14:paraId="2D326C12"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965" w:type="dxa"/>
            <w:shd w:val="clear" w:color="auto" w:fill="D9D9D9" w:themeFill="background1" w:themeFillShade="D9"/>
          </w:tcPr>
          <w:p w14:paraId="0268B7E6"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280" w:type="dxa"/>
            <w:shd w:val="clear" w:color="auto" w:fill="D9D9D9" w:themeFill="background1" w:themeFillShade="D9"/>
          </w:tcPr>
          <w:p w14:paraId="06639F5E" w14:textId="77777777" w:rsidR="000A7D9D" w:rsidRPr="00C56424" w:rsidRDefault="000A7D9D" w:rsidP="00F31937">
            <w:pPr>
              <w:pStyle w:val="BodyText"/>
              <w:tabs>
                <w:tab w:val="left" w:pos="4170"/>
              </w:tabs>
              <w:spacing w:after="0"/>
              <w:rPr>
                <w:noProof/>
                <w:sz w:val="20"/>
                <w:szCs w:val="20"/>
              </w:rPr>
            </w:pPr>
          </w:p>
        </w:tc>
      </w:tr>
      <w:tr w:rsidR="000A7D9D" w:rsidRPr="00C56424" w14:paraId="663820EF" w14:textId="77777777" w:rsidTr="00F31937">
        <w:trPr>
          <w:trHeight w:val="300"/>
        </w:trPr>
        <w:tc>
          <w:tcPr>
            <w:tcW w:w="1454" w:type="dxa"/>
            <w:vMerge w:val="restart"/>
            <w:shd w:val="clear" w:color="auto" w:fill="D9D9D9" w:themeFill="background1" w:themeFillShade="D9"/>
          </w:tcPr>
          <w:p w14:paraId="1D2317E2" w14:textId="77777777" w:rsidR="000A7D9D" w:rsidRPr="00C56424" w:rsidRDefault="000A7D9D" w:rsidP="00F31937">
            <w:pPr>
              <w:pStyle w:val="BodyText"/>
              <w:spacing w:line="259" w:lineRule="auto"/>
              <w:rPr>
                <w:noProof/>
                <w:sz w:val="20"/>
                <w:szCs w:val="20"/>
              </w:rPr>
            </w:pPr>
            <w:r w:rsidRPr="00C56424">
              <w:rPr>
                <w:noProof/>
                <w:sz w:val="20"/>
                <w:szCs w:val="20"/>
              </w:rPr>
              <w:t>ECHA</w:t>
            </w:r>
          </w:p>
        </w:tc>
        <w:tc>
          <w:tcPr>
            <w:tcW w:w="3930" w:type="dxa"/>
            <w:vMerge w:val="restart"/>
            <w:shd w:val="clear" w:color="auto" w:fill="D9D9D9" w:themeFill="background1" w:themeFillShade="D9"/>
          </w:tcPr>
          <w:p w14:paraId="6657F3FE" w14:textId="77777777" w:rsidR="000A7D9D" w:rsidRPr="00C56424" w:rsidRDefault="000A7D9D" w:rsidP="00F31937">
            <w:pPr>
              <w:pStyle w:val="BodyText"/>
              <w:spacing w:after="0"/>
              <w:rPr>
                <w:noProof/>
                <w:sz w:val="20"/>
                <w:szCs w:val="20"/>
              </w:rPr>
            </w:pPr>
            <w:r w:rsidRPr="00C56424">
              <w:rPr>
                <w:noProof/>
                <w:sz w:val="20"/>
                <w:szCs w:val="20"/>
              </w:rPr>
              <w:t>- Preparing classification dossiers (12.5 per year)</w:t>
            </w:r>
          </w:p>
          <w:p w14:paraId="57384EA2" w14:textId="77777777" w:rsidR="000A7D9D" w:rsidRPr="00C56424" w:rsidRDefault="000A7D9D" w:rsidP="00F31937">
            <w:pPr>
              <w:pStyle w:val="BodyText"/>
              <w:spacing w:after="0"/>
              <w:rPr>
                <w:noProof/>
                <w:sz w:val="20"/>
                <w:szCs w:val="20"/>
              </w:rPr>
            </w:pPr>
            <w:r w:rsidRPr="00C56424">
              <w:rPr>
                <w:noProof/>
                <w:sz w:val="20"/>
                <w:szCs w:val="20"/>
              </w:rPr>
              <w:t>- Assessing classification dossiers (13.5 per year)</w:t>
            </w:r>
          </w:p>
        </w:tc>
        <w:tc>
          <w:tcPr>
            <w:tcW w:w="1965" w:type="dxa"/>
            <w:shd w:val="clear" w:color="auto" w:fill="D9D9D9" w:themeFill="background1" w:themeFillShade="D9"/>
          </w:tcPr>
          <w:p w14:paraId="262D8441"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280" w:type="dxa"/>
            <w:shd w:val="clear" w:color="auto" w:fill="D9D9D9" w:themeFill="background1" w:themeFillShade="D9"/>
          </w:tcPr>
          <w:p w14:paraId="3B377E91"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2024: </w:t>
            </w:r>
            <w:r w:rsidRPr="00C56424">
              <w:rPr>
                <w:b/>
                <w:noProof/>
                <w:sz w:val="20"/>
                <w:szCs w:val="20"/>
              </w:rPr>
              <w:t>EUR</w:t>
            </w:r>
            <w:r w:rsidRPr="00C56424">
              <w:rPr>
                <w:noProof/>
                <w:sz w:val="20"/>
                <w:szCs w:val="20"/>
              </w:rPr>
              <w:t xml:space="preserve"> </w:t>
            </w:r>
            <w:r w:rsidRPr="00C56424">
              <w:rPr>
                <w:b/>
                <w:noProof/>
                <w:sz w:val="20"/>
                <w:szCs w:val="20"/>
              </w:rPr>
              <w:t>0</w:t>
            </w:r>
            <w:r w:rsidRPr="00C56424">
              <w:rPr>
                <w:noProof/>
                <w:sz w:val="20"/>
                <w:szCs w:val="20"/>
              </w:rPr>
              <w:t xml:space="preserve"> </w:t>
            </w:r>
          </w:p>
          <w:p w14:paraId="5AFF490E"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2025: </w:t>
            </w:r>
            <w:r w:rsidRPr="00C56424">
              <w:rPr>
                <w:b/>
                <w:noProof/>
                <w:sz w:val="20"/>
                <w:szCs w:val="20"/>
              </w:rPr>
              <w:t>EUR</w:t>
            </w:r>
            <w:r w:rsidRPr="00C56424">
              <w:rPr>
                <w:noProof/>
                <w:sz w:val="20"/>
                <w:szCs w:val="20"/>
              </w:rPr>
              <w:t xml:space="preserve"> </w:t>
            </w:r>
            <w:r w:rsidRPr="00C56424">
              <w:rPr>
                <w:b/>
                <w:noProof/>
                <w:sz w:val="20"/>
                <w:szCs w:val="20"/>
              </w:rPr>
              <w:t>0</w:t>
            </w:r>
          </w:p>
          <w:p w14:paraId="0EA289C3"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EUR</w:t>
            </w:r>
            <w:r w:rsidRPr="00C56424">
              <w:rPr>
                <w:noProof/>
                <w:sz w:val="20"/>
                <w:szCs w:val="20"/>
              </w:rPr>
              <w:t xml:space="preserve"> </w:t>
            </w:r>
            <w:r w:rsidRPr="00C56424">
              <w:rPr>
                <w:b/>
                <w:noProof/>
                <w:sz w:val="20"/>
                <w:szCs w:val="20"/>
              </w:rPr>
              <w:t>0</w:t>
            </w:r>
          </w:p>
          <w:p w14:paraId="0C8BB1FE"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EUR 0</w:t>
            </w:r>
          </w:p>
        </w:tc>
      </w:tr>
      <w:tr w:rsidR="000A7D9D" w:rsidRPr="00C56424" w14:paraId="26913182" w14:textId="77777777" w:rsidTr="00F31937">
        <w:trPr>
          <w:trHeight w:val="300"/>
        </w:trPr>
        <w:tc>
          <w:tcPr>
            <w:tcW w:w="1454" w:type="dxa"/>
            <w:vMerge/>
            <w:shd w:val="clear" w:color="auto" w:fill="D9D9D9" w:themeFill="background1" w:themeFillShade="D9"/>
          </w:tcPr>
          <w:p w14:paraId="12544B7E" w14:textId="77777777" w:rsidR="000A7D9D" w:rsidRPr="00C56424" w:rsidRDefault="000A7D9D" w:rsidP="00F31937">
            <w:pPr>
              <w:pStyle w:val="BodyText"/>
              <w:spacing w:line="259" w:lineRule="auto"/>
              <w:rPr>
                <w:b/>
                <w:bCs/>
                <w:noProof/>
                <w:sz w:val="20"/>
                <w:szCs w:val="20"/>
              </w:rPr>
            </w:pPr>
          </w:p>
        </w:tc>
        <w:tc>
          <w:tcPr>
            <w:tcW w:w="3930" w:type="dxa"/>
            <w:vMerge/>
            <w:shd w:val="clear" w:color="auto" w:fill="D9D9D9" w:themeFill="background1" w:themeFillShade="D9"/>
          </w:tcPr>
          <w:p w14:paraId="46E0CC02" w14:textId="77777777" w:rsidR="000A7D9D" w:rsidRPr="00C56424" w:rsidRDefault="000A7D9D" w:rsidP="00F31937">
            <w:pPr>
              <w:pStyle w:val="BodyText"/>
              <w:rPr>
                <w:b/>
                <w:bCs/>
                <w:noProof/>
                <w:sz w:val="20"/>
                <w:szCs w:val="20"/>
              </w:rPr>
            </w:pPr>
          </w:p>
        </w:tc>
        <w:tc>
          <w:tcPr>
            <w:tcW w:w="1965" w:type="dxa"/>
            <w:shd w:val="clear" w:color="auto" w:fill="D9D9D9" w:themeFill="background1" w:themeFillShade="D9"/>
          </w:tcPr>
          <w:p w14:paraId="38FF3B26"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280" w:type="dxa"/>
            <w:shd w:val="clear" w:color="auto" w:fill="D9D9D9" w:themeFill="background1" w:themeFillShade="D9"/>
          </w:tcPr>
          <w:p w14:paraId="328CF327"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2024: </w:t>
            </w:r>
            <w:r w:rsidRPr="00C56424">
              <w:rPr>
                <w:b/>
                <w:bCs/>
                <w:noProof/>
                <w:sz w:val="20"/>
                <w:szCs w:val="20"/>
                <w:lang w:val="pl-PL"/>
              </w:rPr>
              <w:t>3 TA, 2 CA</w:t>
            </w:r>
          </w:p>
          <w:p w14:paraId="6458EA8B" w14:textId="77777777" w:rsidR="000A7D9D" w:rsidRPr="00C56424" w:rsidRDefault="000A7D9D" w:rsidP="00F31937">
            <w:pPr>
              <w:pStyle w:val="BodyText"/>
              <w:tabs>
                <w:tab w:val="left" w:pos="4170"/>
              </w:tabs>
              <w:spacing w:after="0"/>
              <w:rPr>
                <w:b/>
                <w:bCs/>
                <w:noProof/>
                <w:sz w:val="20"/>
                <w:szCs w:val="20"/>
                <w:lang w:val="pl-PL"/>
              </w:rPr>
            </w:pPr>
            <w:r w:rsidRPr="00C56424">
              <w:rPr>
                <w:noProof/>
                <w:sz w:val="20"/>
                <w:szCs w:val="20"/>
                <w:lang w:val="pl-PL"/>
              </w:rPr>
              <w:t xml:space="preserve">2025: </w:t>
            </w:r>
            <w:r w:rsidRPr="00C56424">
              <w:rPr>
                <w:b/>
                <w:bCs/>
                <w:noProof/>
                <w:sz w:val="20"/>
                <w:szCs w:val="20"/>
                <w:lang w:val="pl-PL"/>
              </w:rPr>
              <w:t>3 TA, 2 CA</w:t>
            </w:r>
          </w:p>
          <w:p w14:paraId="422ACC5C" w14:textId="77777777" w:rsidR="000A7D9D" w:rsidRPr="00C56424" w:rsidRDefault="000A7D9D" w:rsidP="00F31937">
            <w:pPr>
              <w:pStyle w:val="BodyText"/>
              <w:tabs>
                <w:tab w:val="left" w:pos="4170"/>
              </w:tabs>
              <w:spacing w:after="0"/>
              <w:rPr>
                <w:b/>
                <w:bCs/>
                <w:noProof/>
                <w:sz w:val="20"/>
                <w:szCs w:val="20"/>
                <w:lang w:val="pl-PL"/>
              </w:rPr>
            </w:pPr>
            <w:r w:rsidRPr="00C56424">
              <w:rPr>
                <w:noProof/>
                <w:sz w:val="20"/>
                <w:szCs w:val="20"/>
                <w:lang w:val="pl-PL"/>
              </w:rPr>
              <w:t xml:space="preserve">2026: </w:t>
            </w:r>
            <w:r w:rsidRPr="00C56424">
              <w:rPr>
                <w:b/>
                <w:bCs/>
                <w:noProof/>
                <w:sz w:val="20"/>
                <w:szCs w:val="20"/>
                <w:lang w:val="pl-PL"/>
              </w:rPr>
              <w:t>3 TA, 2 CA</w:t>
            </w:r>
          </w:p>
          <w:p w14:paraId="7EEEB48B"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bCs/>
                <w:noProof/>
                <w:sz w:val="20"/>
                <w:szCs w:val="20"/>
              </w:rPr>
              <w:t>3 TA, 2 CA</w:t>
            </w:r>
          </w:p>
        </w:tc>
      </w:tr>
      <w:tr w:rsidR="000A7D9D" w:rsidRPr="00C56424" w14:paraId="42AAF555" w14:textId="77777777" w:rsidTr="00F31937">
        <w:trPr>
          <w:trHeight w:val="300"/>
        </w:trPr>
        <w:tc>
          <w:tcPr>
            <w:tcW w:w="1454" w:type="dxa"/>
            <w:vMerge w:val="restart"/>
            <w:shd w:val="clear" w:color="auto" w:fill="D9D9D9" w:themeFill="background1" w:themeFillShade="D9"/>
          </w:tcPr>
          <w:p w14:paraId="2B250931" w14:textId="77777777" w:rsidR="000A7D9D" w:rsidRPr="00C56424" w:rsidRDefault="000A7D9D" w:rsidP="00F31937">
            <w:pPr>
              <w:pStyle w:val="BodyText"/>
              <w:spacing w:line="259" w:lineRule="auto"/>
              <w:rPr>
                <w:noProof/>
                <w:sz w:val="20"/>
                <w:szCs w:val="20"/>
              </w:rPr>
            </w:pPr>
            <w:r w:rsidRPr="00C56424">
              <w:rPr>
                <w:noProof/>
                <w:sz w:val="20"/>
                <w:szCs w:val="20"/>
              </w:rPr>
              <w:t>EFSA</w:t>
            </w:r>
          </w:p>
        </w:tc>
        <w:tc>
          <w:tcPr>
            <w:tcW w:w="3930" w:type="dxa"/>
            <w:vMerge w:val="restart"/>
            <w:shd w:val="clear" w:color="auto" w:fill="D9D9D9" w:themeFill="background1" w:themeFillShade="D9"/>
          </w:tcPr>
          <w:p w14:paraId="46DE62C9" w14:textId="77777777" w:rsidR="000A7D9D" w:rsidRPr="00C56424" w:rsidRDefault="000A7D9D" w:rsidP="00F31937">
            <w:pPr>
              <w:pStyle w:val="BodyText"/>
              <w:spacing w:after="0" w:line="259" w:lineRule="auto"/>
              <w:rPr>
                <w:noProof/>
                <w:sz w:val="20"/>
                <w:szCs w:val="20"/>
              </w:rPr>
            </w:pPr>
            <w:r w:rsidRPr="00C56424">
              <w:rPr>
                <w:noProof/>
                <w:sz w:val="20"/>
                <w:szCs w:val="20"/>
              </w:rPr>
              <w:t>- Preparing classification dossier (1 per year)</w:t>
            </w:r>
          </w:p>
        </w:tc>
        <w:tc>
          <w:tcPr>
            <w:tcW w:w="1965" w:type="dxa"/>
            <w:shd w:val="clear" w:color="auto" w:fill="D9D9D9" w:themeFill="background1" w:themeFillShade="D9"/>
          </w:tcPr>
          <w:p w14:paraId="5C808585"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280" w:type="dxa"/>
            <w:shd w:val="clear" w:color="auto" w:fill="D9D9D9" w:themeFill="background1" w:themeFillShade="D9"/>
          </w:tcPr>
          <w:p w14:paraId="498F2A9D"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2024: </w:t>
            </w:r>
            <w:r w:rsidRPr="00C56424">
              <w:rPr>
                <w:b/>
                <w:noProof/>
                <w:sz w:val="20"/>
                <w:szCs w:val="20"/>
              </w:rPr>
              <w:t>EUR</w:t>
            </w:r>
            <w:r w:rsidRPr="00C56424">
              <w:rPr>
                <w:noProof/>
                <w:sz w:val="20"/>
                <w:szCs w:val="20"/>
              </w:rPr>
              <w:t xml:space="preserve"> </w:t>
            </w:r>
            <w:r w:rsidRPr="00C56424">
              <w:rPr>
                <w:b/>
                <w:noProof/>
                <w:sz w:val="20"/>
                <w:szCs w:val="20"/>
              </w:rPr>
              <w:t>0</w:t>
            </w:r>
            <w:r w:rsidRPr="00C56424">
              <w:rPr>
                <w:noProof/>
                <w:sz w:val="20"/>
                <w:szCs w:val="20"/>
              </w:rPr>
              <w:t xml:space="preserve"> </w:t>
            </w:r>
          </w:p>
          <w:p w14:paraId="1462A713"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2025: </w:t>
            </w:r>
            <w:r w:rsidRPr="00C56424">
              <w:rPr>
                <w:b/>
                <w:noProof/>
                <w:sz w:val="20"/>
                <w:szCs w:val="20"/>
              </w:rPr>
              <w:t>EUR</w:t>
            </w:r>
            <w:r w:rsidRPr="00C56424">
              <w:rPr>
                <w:noProof/>
                <w:sz w:val="20"/>
                <w:szCs w:val="20"/>
              </w:rPr>
              <w:t xml:space="preserve"> </w:t>
            </w:r>
            <w:r w:rsidRPr="00C56424">
              <w:rPr>
                <w:b/>
                <w:noProof/>
                <w:sz w:val="20"/>
                <w:szCs w:val="20"/>
              </w:rPr>
              <w:t>0</w:t>
            </w:r>
          </w:p>
          <w:p w14:paraId="27B035CE"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EUR</w:t>
            </w:r>
            <w:r w:rsidRPr="00C56424">
              <w:rPr>
                <w:noProof/>
                <w:sz w:val="20"/>
                <w:szCs w:val="20"/>
              </w:rPr>
              <w:t xml:space="preserve"> </w:t>
            </w:r>
            <w:r w:rsidRPr="00C56424">
              <w:rPr>
                <w:b/>
                <w:noProof/>
                <w:sz w:val="20"/>
                <w:szCs w:val="20"/>
              </w:rPr>
              <w:t>0</w:t>
            </w:r>
          </w:p>
          <w:p w14:paraId="2E0CF8A1"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EUR</w:t>
            </w:r>
            <w:r w:rsidRPr="00C56424">
              <w:rPr>
                <w:noProof/>
                <w:sz w:val="20"/>
                <w:szCs w:val="20"/>
              </w:rPr>
              <w:t xml:space="preserve"> </w:t>
            </w:r>
            <w:r w:rsidRPr="00C56424">
              <w:rPr>
                <w:b/>
                <w:noProof/>
                <w:sz w:val="20"/>
                <w:szCs w:val="20"/>
              </w:rPr>
              <w:t>0</w:t>
            </w:r>
          </w:p>
        </w:tc>
      </w:tr>
      <w:tr w:rsidR="000A7D9D" w:rsidRPr="00C56424" w14:paraId="69DCC77E" w14:textId="77777777" w:rsidTr="00F31937">
        <w:trPr>
          <w:trHeight w:val="300"/>
        </w:trPr>
        <w:tc>
          <w:tcPr>
            <w:tcW w:w="1454" w:type="dxa"/>
            <w:vMerge/>
            <w:shd w:val="clear" w:color="auto" w:fill="D9D9D9" w:themeFill="background1" w:themeFillShade="D9"/>
          </w:tcPr>
          <w:p w14:paraId="3392843D" w14:textId="77777777" w:rsidR="000A7D9D" w:rsidRPr="00C56424" w:rsidRDefault="000A7D9D" w:rsidP="00F31937">
            <w:pPr>
              <w:pStyle w:val="BodyText"/>
              <w:rPr>
                <w:noProof/>
                <w:sz w:val="20"/>
                <w:szCs w:val="20"/>
              </w:rPr>
            </w:pPr>
          </w:p>
        </w:tc>
        <w:tc>
          <w:tcPr>
            <w:tcW w:w="3930" w:type="dxa"/>
            <w:vMerge/>
            <w:shd w:val="clear" w:color="auto" w:fill="D9D9D9" w:themeFill="background1" w:themeFillShade="D9"/>
          </w:tcPr>
          <w:p w14:paraId="16E7E125" w14:textId="77777777" w:rsidR="000A7D9D" w:rsidRPr="00C56424" w:rsidRDefault="000A7D9D" w:rsidP="00F31937">
            <w:pPr>
              <w:pStyle w:val="BodyText"/>
              <w:rPr>
                <w:noProof/>
                <w:sz w:val="20"/>
                <w:szCs w:val="20"/>
              </w:rPr>
            </w:pPr>
          </w:p>
        </w:tc>
        <w:tc>
          <w:tcPr>
            <w:tcW w:w="1965" w:type="dxa"/>
            <w:shd w:val="clear" w:color="auto" w:fill="D9D9D9" w:themeFill="background1" w:themeFillShade="D9"/>
          </w:tcPr>
          <w:p w14:paraId="58B4F8C5"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280" w:type="dxa"/>
            <w:shd w:val="clear" w:color="auto" w:fill="D9D9D9" w:themeFill="background1" w:themeFillShade="D9"/>
          </w:tcPr>
          <w:p w14:paraId="31B87D7A"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2024: </w:t>
            </w:r>
            <w:r w:rsidRPr="00C56424">
              <w:rPr>
                <w:b/>
                <w:noProof/>
                <w:sz w:val="20"/>
                <w:szCs w:val="20"/>
                <w:lang w:val="fr-BE"/>
              </w:rPr>
              <w:t>0 FTE</w:t>
            </w:r>
          </w:p>
          <w:p w14:paraId="0DB277FB"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2025: </w:t>
            </w:r>
            <w:r w:rsidRPr="00C56424">
              <w:rPr>
                <w:b/>
                <w:noProof/>
                <w:sz w:val="20"/>
                <w:szCs w:val="20"/>
                <w:lang w:val="fr-BE"/>
              </w:rPr>
              <w:t>0 FTE</w:t>
            </w:r>
          </w:p>
          <w:p w14:paraId="12B196AD"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2026: </w:t>
            </w:r>
            <w:r w:rsidRPr="00C56424">
              <w:rPr>
                <w:b/>
                <w:noProof/>
                <w:sz w:val="20"/>
                <w:szCs w:val="20"/>
                <w:lang w:val="fr-BE"/>
              </w:rPr>
              <w:t>0 FTE</w:t>
            </w:r>
          </w:p>
          <w:p w14:paraId="41EE310E"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noProof/>
                <w:sz w:val="20"/>
                <w:szCs w:val="20"/>
              </w:rPr>
              <w:t>0 FTE</w:t>
            </w:r>
          </w:p>
        </w:tc>
      </w:tr>
    </w:tbl>
    <w:p w14:paraId="55DE0BB5" w14:textId="77777777" w:rsidR="000A7D9D" w:rsidRPr="00207447" w:rsidRDefault="000A7D9D" w:rsidP="000A7D9D">
      <w:pPr>
        <w:pStyle w:val="BodyText"/>
        <w:tabs>
          <w:tab w:val="left" w:pos="4170"/>
        </w:tabs>
        <w:spacing w:before="120"/>
        <w:rPr>
          <w:noProof/>
          <w:color w:val="000000" w:themeColor="text1"/>
        </w:rPr>
      </w:pPr>
      <w:r w:rsidRPr="00207447">
        <w:rPr>
          <w:noProof/>
          <w:u w:val="single"/>
        </w:rPr>
        <w:t>Future budget line:</w:t>
      </w:r>
      <w:r w:rsidRPr="00207447">
        <w:rPr>
          <w:noProof/>
        </w:rPr>
        <w:t xml:space="preserve"> DG GROW </w:t>
      </w:r>
    </w:p>
    <w:p w14:paraId="4273FDEA" w14:textId="77777777" w:rsidR="000A7D9D" w:rsidRPr="00207447" w:rsidRDefault="000A7D9D" w:rsidP="000A7D9D">
      <w:pPr>
        <w:pStyle w:val="BodyText"/>
        <w:tabs>
          <w:tab w:val="left" w:pos="4170"/>
        </w:tabs>
        <w:rPr>
          <w:noProof/>
        </w:rPr>
      </w:pPr>
      <w:r w:rsidRPr="00207447">
        <w:rPr>
          <w:noProof/>
          <w:u w:val="single"/>
        </w:rPr>
        <w:t>Candidate for fees:</w:t>
      </w:r>
      <w:r w:rsidRPr="00207447">
        <w:rPr>
          <w:noProof/>
        </w:rPr>
        <w:t xml:space="preserve"> No</w:t>
      </w:r>
    </w:p>
    <w:p w14:paraId="76E0C7B5" w14:textId="77777777" w:rsidR="000A7D9D" w:rsidRDefault="000A7D9D" w:rsidP="000A7D9D">
      <w:pPr>
        <w:pStyle w:val="BodyText"/>
        <w:rPr>
          <w:i/>
          <w:iCs/>
          <w:noProof/>
        </w:rPr>
      </w:pPr>
      <w:r w:rsidRPr="7E882FA9">
        <w:rPr>
          <w:i/>
          <w:iCs/>
          <w:noProof/>
        </w:rPr>
        <w:t xml:space="preserve"> </w:t>
      </w:r>
    </w:p>
    <w:p w14:paraId="285A5275"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57" w:name="_Toc150499929"/>
      <w:r w:rsidRPr="00291F95">
        <w:rPr>
          <w:rFonts w:ascii="Times New Roman" w:hAnsi="Times New Roman"/>
          <w:smallCaps/>
          <w:noProof/>
          <w:color w:val="auto"/>
          <w:sz w:val="24"/>
          <w:szCs w:val="20"/>
          <w:lang w:eastAsia="en-US"/>
        </w:rPr>
        <w:t>Packaging and Packaging Waste Directive</w:t>
      </w:r>
      <w:bookmarkEnd w:id="57"/>
      <w:r w:rsidRPr="00291F95">
        <w:rPr>
          <w:rFonts w:ascii="Times New Roman" w:hAnsi="Times New Roman"/>
          <w:smallCaps/>
          <w:noProof/>
          <w:color w:val="auto"/>
          <w:sz w:val="24"/>
          <w:szCs w:val="20"/>
          <w:lang w:eastAsia="en-US"/>
        </w:rPr>
        <w:t xml:space="preserve"> </w:t>
      </w:r>
    </w:p>
    <w:p w14:paraId="2C1A14F8" w14:textId="77777777" w:rsidR="000A7D9D" w:rsidRPr="00207447" w:rsidRDefault="000A7D9D" w:rsidP="000A7D9D">
      <w:pPr>
        <w:spacing w:after="120"/>
        <w:rPr>
          <w:rFonts w:ascii="Times New Roman" w:hAnsi="Times New Roman" w:cs="Times New Roman"/>
          <w:b/>
          <w:bCs/>
          <w:noProof/>
          <w:sz w:val="24"/>
          <w:szCs w:val="24"/>
        </w:rPr>
      </w:pPr>
      <w:r w:rsidRPr="00207447">
        <w:rPr>
          <w:rFonts w:ascii="Times New Roman" w:hAnsi="Times New Roman" w:cs="Times New Roman"/>
          <w:b/>
          <w:bCs/>
          <w:noProof/>
          <w:sz w:val="24"/>
          <w:szCs w:val="24"/>
        </w:rPr>
        <w:t>Responsible body:</w:t>
      </w:r>
    </w:p>
    <w:p w14:paraId="7FA325FD" w14:textId="77777777" w:rsidR="000A7D9D" w:rsidRPr="00207447" w:rsidRDefault="000A7D9D" w:rsidP="000A7D9D">
      <w:pPr>
        <w:spacing w:after="120"/>
        <w:rPr>
          <w:rFonts w:ascii="Times New Roman" w:hAnsi="Times New Roman" w:cs="Times New Roman"/>
          <w:noProof/>
          <w:sz w:val="24"/>
          <w:szCs w:val="24"/>
        </w:rPr>
      </w:pPr>
      <w:r w:rsidRPr="00207447">
        <w:rPr>
          <w:rFonts w:ascii="Times New Roman" w:hAnsi="Times New Roman" w:cs="Times New Roman"/>
          <w:noProof/>
          <w:sz w:val="24"/>
          <w:szCs w:val="24"/>
          <w:u w:val="single"/>
        </w:rPr>
        <w:t>Currently:</w:t>
      </w:r>
      <w:r w:rsidRPr="00207447">
        <w:rPr>
          <w:rFonts w:ascii="Times New Roman" w:hAnsi="Times New Roman" w:cs="Times New Roman"/>
          <w:noProof/>
          <w:sz w:val="24"/>
          <w:szCs w:val="24"/>
        </w:rPr>
        <w:t xml:space="preserve"> N/A, no current process for hazardous substances</w:t>
      </w:r>
    </w:p>
    <w:p w14:paraId="30F54815" w14:textId="77777777" w:rsidR="000A7D9D" w:rsidRPr="00207447" w:rsidRDefault="000A7D9D" w:rsidP="000A7D9D">
      <w:pPr>
        <w:pStyle w:val="BodyText"/>
        <w:rPr>
          <w:b/>
          <w:bCs/>
          <w:noProof/>
        </w:rPr>
      </w:pPr>
      <w:r w:rsidRPr="00207447">
        <w:rPr>
          <w:noProof/>
          <w:u w:val="single"/>
        </w:rPr>
        <w:t>(Re-)attribution planned to:</w:t>
      </w:r>
      <w:r w:rsidRPr="00207447">
        <w:rPr>
          <w:noProof/>
        </w:rPr>
        <w:t xml:space="preserve"> ECHA</w:t>
      </w:r>
    </w:p>
    <w:p w14:paraId="4CDB1A21" w14:textId="77777777" w:rsidR="000A7D9D" w:rsidRPr="00207447" w:rsidRDefault="000A7D9D" w:rsidP="000A7D9D">
      <w:pPr>
        <w:pStyle w:val="BodyText"/>
        <w:rPr>
          <w:noProof/>
        </w:rPr>
      </w:pPr>
      <w:r w:rsidRPr="00207447">
        <w:rPr>
          <w:b/>
          <w:bCs/>
          <w:noProof/>
        </w:rPr>
        <w:t xml:space="preserve">Legal basis for reattribution: </w:t>
      </w:r>
      <w:r w:rsidRPr="00207447">
        <w:rPr>
          <w:noProof/>
        </w:rPr>
        <w:t>revision of the Packaging and Packaging Waste Directive (94/62/EC)</w:t>
      </w:r>
    </w:p>
    <w:p w14:paraId="0C864F4A" w14:textId="77777777" w:rsidR="000A7D9D" w:rsidRPr="00207447" w:rsidRDefault="000A7D9D" w:rsidP="000A7D9D">
      <w:pPr>
        <w:pStyle w:val="BodyText"/>
        <w:rPr>
          <w:noProof/>
        </w:rPr>
      </w:pPr>
      <w:r w:rsidRPr="00207447">
        <w:rPr>
          <w:b/>
          <w:bCs/>
          <w:noProof/>
        </w:rPr>
        <w:t>Type of task:</w:t>
      </w:r>
      <w:r w:rsidRPr="00207447">
        <w:rPr>
          <w:noProof/>
        </w:rPr>
        <w:t xml:space="preserve"> New – expanding the exis</w:t>
      </w:r>
      <w:r>
        <w:rPr>
          <w:noProof/>
        </w:rPr>
        <w:t>t</w:t>
      </w:r>
      <w:r w:rsidRPr="00207447">
        <w:rPr>
          <w:noProof/>
        </w:rPr>
        <w:t>ing REACH restriction process</w:t>
      </w:r>
      <w:r>
        <w:rPr>
          <w:noProof/>
        </w:rPr>
        <w:t xml:space="preserve"> and </w:t>
      </w:r>
    </w:p>
    <w:p w14:paraId="179C818F" w14:textId="77777777" w:rsidR="000A7D9D" w:rsidRPr="00207447" w:rsidRDefault="000A7D9D" w:rsidP="000A7D9D">
      <w:pPr>
        <w:pStyle w:val="BodyText"/>
        <w:rPr>
          <w:noProof/>
        </w:rPr>
      </w:pPr>
      <w:r w:rsidRPr="00207447">
        <w:rPr>
          <w:b/>
          <w:bCs/>
          <w:noProof/>
        </w:rPr>
        <w:t xml:space="preserve">Brief task overview: </w:t>
      </w:r>
      <w:r w:rsidRPr="00207447">
        <w:rPr>
          <w:noProof/>
        </w:rPr>
        <w:t>Assessments underpinning restrictions of substances in packaging</w:t>
      </w:r>
      <w:r>
        <w:rPr>
          <w:noProof/>
        </w:rPr>
        <w:t xml:space="preserve"> and performing a scoping study for substances in packaging that would be candidates for restriction.</w:t>
      </w:r>
    </w:p>
    <w:p w14:paraId="6A22FCD9" w14:textId="77777777" w:rsidR="000A7D9D" w:rsidRPr="00207447" w:rsidRDefault="000A7D9D" w:rsidP="000A7D9D">
      <w:pPr>
        <w:pStyle w:val="BodyText"/>
        <w:rPr>
          <w:b/>
          <w:bCs/>
          <w:noProof/>
        </w:rPr>
      </w:pPr>
      <w:r w:rsidRPr="00207447">
        <w:rPr>
          <w:b/>
          <w:bCs/>
          <w:noProof/>
        </w:rPr>
        <w:t>Detailed process description:</w:t>
      </w:r>
    </w:p>
    <w:p w14:paraId="5B4B0FFC" w14:textId="77777777" w:rsidR="000A7D9D" w:rsidRPr="00207447" w:rsidRDefault="000A7D9D" w:rsidP="000A7D9D">
      <w:pPr>
        <w:pStyle w:val="BodyText"/>
        <w:rPr>
          <w:noProof/>
          <w:u w:val="single"/>
        </w:rPr>
      </w:pPr>
      <w:r w:rsidRPr="00207447">
        <w:rPr>
          <w:noProof/>
          <w:u w:val="single"/>
        </w:rPr>
        <w:t>New process:</w:t>
      </w:r>
      <w:r w:rsidRPr="00207447">
        <w:rPr>
          <w:noProof/>
        </w:rPr>
        <w:t xml:space="preserve"> </w:t>
      </w:r>
    </w:p>
    <w:p w14:paraId="69B119C0" w14:textId="77777777" w:rsidR="000A7D9D" w:rsidRDefault="000A7D9D" w:rsidP="000A7D9D">
      <w:pPr>
        <w:pStyle w:val="BodyText"/>
        <w:jc w:val="both"/>
        <w:rPr>
          <w:noProof/>
        </w:rPr>
      </w:pPr>
      <w:r w:rsidRPr="00207447">
        <w:rPr>
          <w:noProof/>
        </w:rPr>
        <w:t xml:space="preserve">If there is a need to restrict a substance in packaging, restriction process under REACH shall be used for that purpose. </w:t>
      </w:r>
    </w:p>
    <w:p w14:paraId="4A35C778" w14:textId="77777777" w:rsidR="000A7D9D" w:rsidRPr="00207447" w:rsidRDefault="000A7D9D" w:rsidP="000A7D9D">
      <w:pPr>
        <w:pStyle w:val="BodyText"/>
        <w:jc w:val="both"/>
        <w:rPr>
          <w:noProof/>
        </w:rPr>
      </w:pPr>
      <w:r w:rsidRPr="00A67E2E">
        <w:rPr>
          <w:noProof/>
        </w:rPr>
        <w:t>The study will aim at collecting, identifying and prioritising relevant substances of concern in packaging for which potential limitations or restrictions could be envisaged. This study will draw on available information and registers covering substances of concern to enable an initial prioritisation for swift further restriction action, as appropriate. This study, will determine the conditions under which the concentration level of certain substances of concern, do not apply to recycled materials and to product loops which are in a closed and controlled chain. It will also detail the reasoning of setting exemptions from the requirements of the proposed regulation for certain types of packaging.</w:t>
      </w:r>
    </w:p>
    <w:p w14:paraId="0C3235F1" w14:textId="77777777" w:rsidR="000A7D9D" w:rsidRPr="00207447" w:rsidRDefault="000A7D9D" w:rsidP="000A7D9D">
      <w:pPr>
        <w:pStyle w:val="BodyText"/>
        <w:jc w:val="both"/>
        <w:rPr>
          <w:noProof/>
        </w:rPr>
      </w:pPr>
      <w:r w:rsidRPr="00207447">
        <w:rPr>
          <w:b/>
          <w:bCs/>
          <w:noProof/>
        </w:rPr>
        <w:t xml:space="preserve">Proximity to ECHA mandate: </w:t>
      </w:r>
      <w:r w:rsidRPr="00207447">
        <w:rPr>
          <w:noProof/>
        </w:rPr>
        <w:t>This task fits very well with the ECHA’s core mandate, as it is a REACH restriction. ECHA holds the right competences to manage the packaging restriction process, however, does not have sufficient information on the exact use of substances in packaging.</w:t>
      </w:r>
    </w:p>
    <w:p w14:paraId="7D4C0EE0" w14:textId="77777777" w:rsidR="000A7D9D" w:rsidRPr="00207447" w:rsidRDefault="000A7D9D" w:rsidP="000A7D9D">
      <w:pPr>
        <w:pStyle w:val="BodyText"/>
        <w:rPr>
          <w:b/>
          <w:bCs/>
          <w:noProof/>
        </w:rPr>
      </w:pPr>
      <w:r w:rsidRPr="00207447">
        <w:rPr>
          <w:b/>
          <w:bCs/>
          <w:noProof/>
        </w:rPr>
        <w:t>Projected synergies and added value of reattribution:</w:t>
      </w:r>
    </w:p>
    <w:p w14:paraId="69E3ADA5" w14:textId="77777777" w:rsidR="000A7D9D" w:rsidRPr="00207447" w:rsidRDefault="000A7D9D" w:rsidP="000A7D9D">
      <w:pPr>
        <w:pStyle w:val="BodyText"/>
        <w:jc w:val="both"/>
        <w:rPr>
          <w:b/>
          <w:bCs/>
          <w:noProof/>
        </w:rPr>
      </w:pPr>
      <w:r w:rsidRPr="00207447">
        <w:rPr>
          <w:noProof/>
        </w:rPr>
        <w:t>This reattribution ensures maximal synergies and coherence of scientific opinions. The same process and the same scientific methodologies as in REACH will be used. The substances under scrutiny are the same or similar to those under REACH (and other legislation supported by ECHA) and REACH (and other ECHA) data and processes can be reused for packaging restriction dossier development and opinion forming. All needed competencies for the task exist in ECHA.</w:t>
      </w:r>
    </w:p>
    <w:p w14:paraId="5E897FF6" w14:textId="77777777" w:rsidR="000A7D9D" w:rsidRPr="00207447" w:rsidRDefault="000A7D9D" w:rsidP="000A7D9D">
      <w:pPr>
        <w:pStyle w:val="BodyText"/>
        <w:rPr>
          <w:b/>
          <w:bCs/>
          <w:noProof/>
        </w:rPr>
      </w:pPr>
      <w:r w:rsidRPr="00207447">
        <w:rPr>
          <w:b/>
          <w:bCs/>
          <w:noProof/>
        </w:rPr>
        <w:t xml:space="preserve">Projected impact on ECHA </w:t>
      </w:r>
    </w:p>
    <w:p w14:paraId="5BFEE538" w14:textId="77777777" w:rsidR="000A7D9D" w:rsidRPr="00207447" w:rsidRDefault="000A7D9D" w:rsidP="000A7D9D">
      <w:pPr>
        <w:pStyle w:val="BodyText"/>
        <w:widowControl w:val="0"/>
        <w:numPr>
          <w:ilvl w:val="0"/>
          <w:numId w:val="87"/>
        </w:numPr>
        <w:rPr>
          <w:noProof/>
        </w:rPr>
      </w:pPr>
      <w:r w:rsidRPr="00207447">
        <w:rPr>
          <w:noProof/>
        </w:rPr>
        <w:t xml:space="preserve">ECHA Committees/bodies: </w:t>
      </w:r>
      <w:r w:rsidRPr="00207447">
        <w:rPr>
          <w:b/>
          <w:bCs/>
          <w:noProof/>
        </w:rPr>
        <w:t>medium impact</w:t>
      </w:r>
      <w:r w:rsidRPr="00207447">
        <w:rPr>
          <w:noProof/>
        </w:rPr>
        <w:t xml:space="preserve">. The task generates medium impact on the setup / organisation / staffing of Committees/bodies due to the additional use to be considered in the restriction </w:t>
      </w:r>
    </w:p>
    <w:tbl>
      <w:tblPr>
        <w:tblStyle w:val="TableGrid"/>
        <w:tblW w:w="0" w:type="auto"/>
        <w:tblInd w:w="562" w:type="dxa"/>
        <w:tblLook w:val="04A0" w:firstRow="1" w:lastRow="0" w:firstColumn="1" w:lastColumn="0" w:noHBand="0" w:noVBand="1"/>
      </w:tblPr>
      <w:tblGrid>
        <w:gridCol w:w="1679"/>
        <w:gridCol w:w="1084"/>
        <w:gridCol w:w="1363"/>
        <w:gridCol w:w="1128"/>
        <w:gridCol w:w="1132"/>
        <w:gridCol w:w="1416"/>
        <w:gridCol w:w="1265"/>
      </w:tblGrid>
      <w:tr w:rsidR="000A7D9D" w:rsidRPr="00207447" w14:paraId="0B12B67D" w14:textId="77777777" w:rsidTr="00F31937">
        <w:trPr>
          <w:trHeight w:val="300"/>
        </w:trPr>
        <w:tc>
          <w:tcPr>
            <w:tcW w:w="1696" w:type="dxa"/>
          </w:tcPr>
          <w:p w14:paraId="5CAC81EA" w14:textId="77777777" w:rsidR="000A7D9D" w:rsidRPr="00207447" w:rsidRDefault="000A7D9D" w:rsidP="00F31937">
            <w:pPr>
              <w:pStyle w:val="BodyText"/>
              <w:rPr>
                <w:b/>
                <w:bCs/>
                <w:noProof/>
              </w:rPr>
            </w:pPr>
          </w:p>
        </w:tc>
        <w:tc>
          <w:tcPr>
            <w:tcW w:w="1076" w:type="dxa"/>
          </w:tcPr>
          <w:p w14:paraId="6100CF6A" w14:textId="77777777" w:rsidR="000A7D9D" w:rsidRPr="00207447" w:rsidRDefault="000A7D9D" w:rsidP="00F31937">
            <w:pPr>
              <w:pStyle w:val="BodyText"/>
              <w:rPr>
                <w:b/>
                <w:bCs/>
                <w:noProof/>
              </w:rPr>
            </w:pPr>
            <w:r w:rsidRPr="00207447">
              <w:rPr>
                <w:b/>
                <w:bCs/>
                <w:noProof/>
              </w:rPr>
              <w:t>RAC</w:t>
            </w:r>
          </w:p>
        </w:tc>
        <w:tc>
          <w:tcPr>
            <w:tcW w:w="1338" w:type="dxa"/>
          </w:tcPr>
          <w:p w14:paraId="7721F470" w14:textId="77777777" w:rsidR="000A7D9D" w:rsidRPr="00207447" w:rsidRDefault="000A7D9D" w:rsidP="00F31937">
            <w:pPr>
              <w:pStyle w:val="BodyText"/>
              <w:rPr>
                <w:b/>
                <w:bCs/>
                <w:noProof/>
              </w:rPr>
            </w:pPr>
          </w:p>
        </w:tc>
        <w:tc>
          <w:tcPr>
            <w:tcW w:w="1134" w:type="dxa"/>
          </w:tcPr>
          <w:p w14:paraId="6CAB7235" w14:textId="77777777" w:rsidR="000A7D9D" w:rsidRPr="00207447" w:rsidRDefault="000A7D9D" w:rsidP="00F31937">
            <w:pPr>
              <w:pStyle w:val="BodyText"/>
              <w:rPr>
                <w:b/>
                <w:bCs/>
                <w:noProof/>
              </w:rPr>
            </w:pPr>
          </w:p>
        </w:tc>
        <w:tc>
          <w:tcPr>
            <w:tcW w:w="1134" w:type="dxa"/>
          </w:tcPr>
          <w:p w14:paraId="08494F79" w14:textId="77777777" w:rsidR="000A7D9D" w:rsidRPr="00207447" w:rsidRDefault="000A7D9D" w:rsidP="00F31937">
            <w:pPr>
              <w:pStyle w:val="BodyText"/>
              <w:rPr>
                <w:b/>
                <w:bCs/>
                <w:noProof/>
              </w:rPr>
            </w:pPr>
            <w:r w:rsidRPr="00207447">
              <w:rPr>
                <w:b/>
                <w:bCs/>
                <w:noProof/>
              </w:rPr>
              <w:t>SEAC</w:t>
            </w:r>
          </w:p>
        </w:tc>
        <w:tc>
          <w:tcPr>
            <w:tcW w:w="1418" w:type="dxa"/>
          </w:tcPr>
          <w:p w14:paraId="7F7A7DF0" w14:textId="77777777" w:rsidR="000A7D9D" w:rsidRPr="00207447" w:rsidRDefault="000A7D9D" w:rsidP="00F31937">
            <w:pPr>
              <w:pStyle w:val="BodyText"/>
              <w:rPr>
                <w:b/>
                <w:bCs/>
                <w:noProof/>
              </w:rPr>
            </w:pPr>
          </w:p>
        </w:tc>
        <w:tc>
          <w:tcPr>
            <w:tcW w:w="1276" w:type="dxa"/>
          </w:tcPr>
          <w:p w14:paraId="193E6E1B" w14:textId="77777777" w:rsidR="000A7D9D" w:rsidRPr="00207447" w:rsidRDefault="000A7D9D" w:rsidP="00F31937">
            <w:pPr>
              <w:pStyle w:val="BodyText"/>
              <w:rPr>
                <w:b/>
                <w:bCs/>
                <w:noProof/>
              </w:rPr>
            </w:pPr>
          </w:p>
        </w:tc>
      </w:tr>
      <w:tr w:rsidR="000A7D9D" w:rsidRPr="00207447" w14:paraId="10F3BC1B" w14:textId="77777777" w:rsidTr="00F31937">
        <w:trPr>
          <w:trHeight w:val="300"/>
        </w:trPr>
        <w:tc>
          <w:tcPr>
            <w:tcW w:w="1696" w:type="dxa"/>
          </w:tcPr>
          <w:p w14:paraId="67EF811F" w14:textId="77777777" w:rsidR="000A7D9D" w:rsidRPr="00207447" w:rsidRDefault="000A7D9D" w:rsidP="00F31937">
            <w:pPr>
              <w:pStyle w:val="BodyText"/>
              <w:rPr>
                <w:b/>
                <w:bCs/>
                <w:noProof/>
              </w:rPr>
            </w:pPr>
          </w:p>
        </w:tc>
        <w:tc>
          <w:tcPr>
            <w:tcW w:w="1076" w:type="dxa"/>
          </w:tcPr>
          <w:p w14:paraId="6A396670" w14:textId="77777777" w:rsidR="000A7D9D" w:rsidRPr="00207447" w:rsidRDefault="000A7D9D" w:rsidP="00F31937">
            <w:pPr>
              <w:pStyle w:val="BodyText"/>
              <w:rPr>
                <w:b/>
                <w:bCs/>
                <w:noProof/>
              </w:rPr>
            </w:pPr>
            <w:r w:rsidRPr="00207447">
              <w:rPr>
                <w:b/>
                <w:bCs/>
                <w:noProof/>
              </w:rPr>
              <w:t># of opinions per year</w:t>
            </w:r>
          </w:p>
        </w:tc>
        <w:tc>
          <w:tcPr>
            <w:tcW w:w="1338" w:type="dxa"/>
          </w:tcPr>
          <w:p w14:paraId="371BD145" w14:textId="77777777" w:rsidR="000A7D9D" w:rsidRPr="00207447" w:rsidRDefault="000A7D9D" w:rsidP="00F31937">
            <w:pPr>
              <w:pStyle w:val="BodyText"/>
              <w:rPr>
                <w:b/>
                <w:bCs/>
                <w:noProof/>
              </w:rPr>
            </w:pPr>
            <w:r w:rsidRPr="00207447">
              <w:rPr>
                <w:b/>
                <w:bCs/>
                <w:noProof/>
              </w:rPr>
              <w:t>rapporteur</w:t>
            </w:r>
          </w:p>
        </w:tc>
        <w:tc>
          <w:tcPr>
            <w:tcW w:w="1134" w:type="dxa"/>
          </w:tcPr>
          <w:p w14:paraId="41382433" w14:textId="77777777" w:rsidR="000A7D9D" w:rsidRPr="00207447" w:rsidRDefault="000A7D9D" w:rsidP="00F31937">
            <w:pPr>
              <w:pStyle w:val="BodyText"/>
              <w:rPr>
                <w:b/>
                <w:bCs/>
                <w:noProof/>
              </w:rPr>
            </w:pPr>
            <w:r w:rsidRPr="00207447">
              <w:rPr>
                <w:b/>
                <w:bCs/>
                <w:noProof/>
              </w:rPr>
              <w:t>Type of opinion</w:t>
            </w:r>
          </w:p>
        </w:tc>
        <w:tc>
          <w:tcPr>
            <w:tcW w:w="1134" w:type="dxa"/>
          </w:tcPr>
          <w:p w14:paraId="21D19418" w14:textId="77777777" w:rsidR="000A7D9D" w:rsidRPr="00207447" w:rsidRDefault="000A7D9D" w:rsidP="00F31937">
            <w:pPr>
              <w:pStyle w:val="BodyText"/>
              <w:rPr>
                <w:b/>
                <w:bCs/>
                <w:noProof/>
              </w:rPr>
            </w:pPr>
            <w:r w:rsidRPr="00207447">
              <w:rPr>
                <w:b/>
                <w:bCs/>
                <w:noProof/>
              </w:rPr>
              <w:t># of opinions per year</w:t>
            </w:r>
          </w:p>
        </w:tc>
        <w:tc>
          <w:tcPr>
            <w:tcW w:w="1418" w:type="dxa"/>
          </w:tcPr>
          <w:p w14:paraId="002B0EDA" w14:textId="77777777" w:rsidR="000A7D9D" w:rsidRPr="00207447" w:rsidRDefault="000A7D9D" w:rsidP="00F31937">
            <w:pPr>
              <w:pStyle w:val="BodyText"/>
              <w:rPr>
                <w:b/>
                <w:bCs/>
                <w:noProof/>
              </w:rPr>
            </w:pPr>
            <w:r w:rsidRPr="00207447">
              <w:rPr>
                <w:b/>
                <w:bCs/>
                <w:noProof/>
              </w:rPr>
              <w:t>rapporteur</w:t>
            </w:r>
          </w:p>
        </w:tc>
        <w:tc>
          <w:tcPr>
            <w:tcW w:w="1276" w:type="dxa"/>
          </w:tcPr>
          <w:p w14:paraId="0EE5622B" w14:textId="77777777" w:rsidR="000A7D9D" w:rsidRPr="00207447" w:rsidRDefault="000A7D9D" w:rsidP="00F31937">
            <w:pPr>
              <w:pStyle w:val="BodyText"/>
              <w:rPr>
                <w:b/>
                <w:bCs/>
                <w:noProof/>
              </w:rPr>
            </w:pPr>
            <w:r w:rsidRPr="00207447">
              <w:rPr>
                <w:b/>
                <w:bCs/>
                <w:noProof/>
              </w:rPr>
              <w:t>Type of opinion</w:t>
            </w:r>
          </w:p>
        </w:tc>
      </w:tr>
      <w:tr w:rsidR="000A7D9D" w:rsidRPr="00207447" w14:paraId="62DE943D" w14:textId="77777777" w:rsidTr="00F31937">
        <w:trPr>
          <w:trHeight w:val="300"/>
        </w:trPr>
        <w:tc>
          <w:tcPr>
            <w:tcW w:w="1696" w:type="dxa"/>
          </w:tcPr>
          <w:p w14:paraId="7184074B" w14:textId="77777777" w:rsidR="000A7D9D" w:rsidRPr="00207447" w:rsidRDefault="000A7D9D" w:rsidP="00F31937">
            <w:pPr>
              <w:pStyle w:val="BodyText"/>
              <w:spacing w:line="259" w:lineRule="auto"/>
              <w:rPr>
                <w:noProof/>
              </w:rPr>
            </w:pPr>
            <w:r w:rsidRPr="00207447">
              <w:rPr>
                <w:noProof/>
              </w:rPr>
              <w:t>Restriction in packaging and packaging waste</w:t>
            </w:r>
          </w:p>
        </w:tc>
        <w:tc>
          <w:tcPr>
            <w:tcW w:w="1076" w:type="dxa"/>
          </w:tcPr>
          <w:p w14:paraId="7118B013" w14:textId="77777777" w:rsidR="000A7D9D" w:rsidRPr="00207447" w:rsidRDefault="000A7D9D" w:rsidP="00F31937">
            <w:pPr>
              <w:pStyle w:val="BodyText"/>
              <w:spacing w:line="259" w:lineRule="auto"/>
              <w:rPr>
                <w:noProof/>
              </w:rPr>
            </w:pPr>
            <w:r w:rsidRPr="00207447">
              <w:rPr>
                <w:noProof/>
              </w:rPr>
              <w:t>0</w:t>
            </w:r>
          </w:p>
        </w:tc>
        <w:tc>
          <w:tcPr>
            <w:tcW w:w="1338" w:type="dxa"/>
          </w:tcPr>
          <w:p w14:paraId="5B27C79B" w14:textId="77777777" w:rsidR="000A7D9D" w:rsidRPr="00207447" w:rsidRDefault="000A7D9D" w:rsidP="00F31937">
            <w:pPr>
              <w:pStyle w:val="BodyText"/>
              <w:spacing w:line="259" w:lineRule="auto"/>
              <w:rPr>
                <w:noProof/>
              </w:rPr>
            </w:pPr>
            <w:r w:rsidRPr="00207447">
              <w:rPr>
                <w:noProof/>
              </w:rPr>
              <w:t>RAC member</w:t>
            </w:r>
          </w:p>
        </w:tc>
        <w:tc>
          <w:tcPr>
            <w:tcW w:w="1134" w:type="dxa"/>
          </w:tcPr>
          <w:p w14:paraId="20216525" w14:textId="77777777" w:rsidR="000A7D9D" w:rsidRPr="00207447" w:rsidRDefault="000A7D9D" w:rsidP="00F31937">
            <w:pPr>
              <w:pStyle w:val="BodyText"/>
              <w:rPr>
                <w:noProof/>
              </w:rPr>
            </w:pPr>
          </w:p>
        </w:tc>
        <w:tc>
          <w:tcPr>
            <w:tcW w:w="1134" w:type="dxa"/>
          </w:tcPr>
          <w:p w14:paraId="3C31FC22" w14:textId="77777777" w:rsidR="000A7D9D" w:rsidRPr="00207447" w:rsidRDefault="000A7D9D" w:rsidP="00F31937">
            <w:pPr>
              <w:pStyle w:val="BodyText"/>
              <w:spacing w:line="259" w:lineRule="auto"/>
              <w:rPr>
                <w:noProof/>
              </w:rPr>
            </w:pPr>
            <w:r w:rsidRPr="00207447">
              <w:rPr>
                <w:noProof/>
              </w:rPr>
              <w:t>0</w:t>
            </w:r>
          </w:p>
        </w:tc>
        <w:tc>
          <w:tcPr>
            <w:tcW w:w="1418" w:type="dxa"/>
          </w:tcPr>
          <w:p w14:paraId="64A266F6" w14:textId="77777777" w:rsidR="000A7D9D" w:rsidRPr="00207447" w:rsidRDefault="000A7D9D" w:rsidP="00F31937">
            <w:pPr>
              <w:pStyle w:val="BodyText"/>
              <w:rPr>
                <w:noProof/>
              </w:rPr>
            </w:pPr>
            <w:r w:rsidRPr="00207447">
              <w:rPr>
                <w:noProof/>
              </w:rPr>
              <w:t>SEAC member</w:t>
            </w:r>
          </w:p>
        </w:tc>
        <w:tc>
          <w:tcPr>
            <w:tcW w:w="1276" w:type="dxa"/>
          </w:tcPr>
          <w:p w14:paraId="4554D790" w14:textId="77777777" w:rsidR="000A7D9D" w:rsidRPr="00207447" w:rsidRDefault="000A7D9D" w:rsidP="00F31937">
            <w:pPr>
              <w:pStyle w:val="BodyText"/>
              <w:rPr>
                <w:noProof/>
              </w:rPr>
            </w:pPr>
          </w:p>
        </w:tc>
      </w:tr>
    </w:tbl>
    <w:p w14:paraId="0FE9DBB4" w14:textId="77777777" w:rsidR="000A7D9D" w:rsidRPr="00207447" w:rsidRDefault="000A7D9D" w:rsidP="000A7D9D">
      <w:pPr>
        <w:pStyle w:val="BodyText"/>
        <w:rPr>
          <w:noProof/>
        </w:rPr>
      </w:pPr>
    </w:p>
    <w:p w14:paraId="199E3F51" w14:textId="77777777" w:rsidR="000A7D9D" w:rsidRPr="00207447" w:rsidRDefault="000A7D9D" w:rsidP="000A7D9D">
      <w:pPr>
        <w:pStyle w:val="BodyText"/>
        <w:widowControl w:val="0"/>
        <w:numPr>
          <w:ilvl w:val="0"/>
          <w:numId w:val="87"/>
        </w:numPr>
        <w:rPr>
          <w:noProof/>
        </w:rPr>
      </w:pPr>
      <w:r w:rsidRPr="00207447">
        <w:rPr>
          <w:noProof/>
        </w:rPr>
        <w:t xml:space="preserve">ECHA data model and IT infrastructure: </w:t>
      </w:r>
      <w:r w:rsidRPr="00207447">
        <w:rPr>
          <w:b/>
          <w:bCs/>
          <w:noProof/>
        </w:rPr>
        <w:t>low impact</w:t>
      </w:r>
      <w:r w:rsidRPr="00207447">
        <w:rPr>
          <w:noProof/>
        </w:rPr>
        <w:t>. The task can be implemented with adjustments / configuration of existing data structures and IT systems</w:t>
      </w:r>
    </w:p>
    <w:p w14:paraId="66EFBF5F" w14:textId="77777777" w:rsidR="000A7D9D" w:rsidRPr="00207447" w:rsidRDefault="000A7D9D" w:rsidP="000A7D9D">
      <w:pPr>
        <w:pStyle w:val="BodyText"/>
        <w:widowControl w:val="0"/>
        <w:numPr>
          <w:ilvl w:val="0"/>
          <w:numId w:val="87"/>
        </w:numPr>
        <w:jc w:val="both"/>
        <w:rPr>
          <w:noProof/>
        </w:rPr>
      </w:pPr>
      <w:r w:rsidRPr="00207447">
        <w:rPr>
          <w:noProof/>
        </w:rPr>
        <w:t xml:space="preserve">ECHA key experts: </w:t>
      </w:r>
      <w:r w:rsidRPr="00207447">
        <w:rPr>
          <w:b/>
          <w:bCs/>
          <w:noProof/>
        </w:rPr>
        <w:t>medium impact</w:t>
      </w:r>
      <w:r w:rsidRPr="00207447">
        <w:rPr>
          <w:noProof/>
        </w:rPr>
        <w:t>. The task heavily relies on expert competencies, which are limited within ECHA and also critical to REACH/CLP/BPR regulatory tasks</w:t>
      </w:r>
    </w:p>
    <w:p w14:paraId="168D7B27" w14:textId="77777777" w:rsidR="000A7D9D" w:rsidRPr="00207447" w:rsidRDefault="000A7D9D" w:rsidP="000A7D9D">
      <w:pPr>
        <w:pStyle w:val="BodyText"/>
        <w:rPr>
          <w:noProof/>
        </w:rPr>
      </w:pPr>
      <w:r w:rsidRPr="00207447">
        <w:rPr>
          <w:b/>
          <w:bCs/>
          <w:noProof/>
        </w:rPr>
        <w:t>Projected workload and resource implications</w:t>
      </w:r>
      <w:r w:rsidRPr="00207447">
        <w:rPr>
          <w:noProof/>
        </w:rPr>
        <w:t xml:space="preserve"> </w:t>
      </w:r>
    </w:p>
    <w:p w14:paraId="4CBA4043" w14:textId="77777777" w:rsidR="000A7D9D" w:rsidRPr="00207447" w:rsidRDefault="000A7D9D" w:rsidP="000A7D9D">
      <w:pPr>
        <w:spacing w:after="120"/>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 xml:space="preserve">Current workload and resource use: </w:t>
      </w:r>
    </w:p>
    <w:p w14:paraId="204033EB" w14:textId="77777777" w:rsidR="000A7D9D" w:rsidRPr="00207447" w:rsidRDefault="000A7D9D" w:rsidP="000A7D9D">
      <w:pPr>
        <w:spacing w:after="120"/>
        <w:rPr>
          <w:rFonts w:ascii="Times New Roman" w:hAnsi="Times New Roman" w:cs="Times New Roman"/>
          <w:noProof/>
          <w:sz w:val="24"/>
          <w:szCs w:val="24"/>
          <w:u w:val="single"/>
        </w:rPr>
      </w:pPr>
      <w:r w:rsidRPr="00207447">
        <w:rPr>
          <w:rFonts w:ascii="Times New Roman" w:hAnsi="Times New Roman" w:cs="Times New Roman"/>
          <w:noProof/>
          <w:sz w:val="24"/>
          <w:szCs w:val="24"/>
        </w:rPr>
        <w:t>N/A, no current process for hazardous substances.</w:t>
      </w:r>
    </w:p>
    <w:p w14:paraId="5A146F39" w14:textId="77777777" w:rsidR="000A7D9D" w:rsidRPr="00207447" w:rsidRDefault="000A7D9D" w:rsidP="000A7D9D">
      <w:pPr>
        <w:spacing w:after="120"/>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Future workload and resource needs:</w:t>
      </w:r>
    </w:p>
    <w:p w14:paraId="5CFBC807" w14:textId="77777777" w:rsidR="000A7D9D" w:rsidRDefault="000A7D9D" w:rsidP="000A7D9D">
      <w:pPr>
        <w:pStyle w:val="BodyText"/>
        <w:jc w:val="both"/>
        <w:rPr>
          <w:noProof/>
        </w:rPr>
      </w:pPr>
      <w:r w:rsidRPr="00207447">
        <w:rPr>
          <w:noProof/>
        </w:rPr>
        <w:t>It can be expected that at most 1 restriction of a substance will be needed once per two years, i.e. 0.5 restriction per year.</w:t>
      </w:r>
      <w:r w:rsidRPr="00207447">
        <w:rPr>
          <w:noProof/>
          <w:color w:val="000000" w:themeColor="text1"/>
        </w:rPr>
        <w:t xml:space="preserve"> This would require 0.5 FTE per year. In addition, there is a need for the contribution of 15% for the development </w:t>
      </w:r>
      <w:r w:rsidRPr="00207447">
        <w:rPr>
          <w:noProof/>
        </w:rPr>
        <w:t xml:space="preserve">and maintenance of common IT components (0.1 FTE per year) and for the contribution of 15% for the horizontal support (governance &amp; enablers / administrative overhead): (0.1 FTE per year). In total, there is a need of </w:t>
      </w:r>
      <w:r w:rsidRPr="00207447">
        <w:rPr>
          <w:bCs/>
          <w:noProof/>
        </w:rPr>
        <w:t>0.7 FTE per year</w:t>
      </w:r>
      <w:r w:rsidRPr="00207447">
        <w:rPr>
          <w:noProof/>
        </w:rPr>
        <w:t>. Considering the fact that these restrictions will be performed as REACH restrictions, possibly merging restriction in packaging with restriction of the same substance in another uses, the work resources can be covered by the available resou</w:t>
      </w:r>
      <w:r>
        <w:rPr>
          <w:noProof/>
        </w:rPr>
        <w:t>r</w:t>
      </w:r>
      <w:r w:rsidRPr="00207447">
        <w:rPr>
          <w:noProof/>
        </w:rPr>
        <w:t xml:space="preserve">ces for REACH restriction. </w:t>
      </w:r>
    </w:p>
    <w:p w14:paraId="4235AB14" w14:textId="77777777" w:rsidR="000A7D9D" w:rsidRPr="00207447" w:rsidRDefault="000A7D9D" w:rsidP="000A7D9D">
      <w:pPr>
        <w:pStyle w:val="BodyText"/>
        <w:jc w:val="both"/>
        <w:rPr>
          <w:noProof/>
        </w:rPr>
      </w:pPr>
      <w:r>
        <w:rPr>
          <w:noProof/>
        </w:rPr>
        <w:t xml:space="preserve">The performing of the scoping study will require a dedicated person for 3 years to compile and analyse the necessary information leading to the identification and prioritisation of substances that need to be considered for the restriction in packaging. The work is the best to be performed by the large part by the internal ECHA staff as the access to all information on chemicals and materials is needed. It is estimated that 1 FTE for 3 years would be necessary to perform such study. Some subcontracting may be possible to get more information on the insight of the use of chemicals in packaging. </w:t>
      </w:r>
    </w:p>
    <w:p w14:paraId="1FF105BE" w14:textId="77777777" w:rsidR="000A7D9D" w:rsidRPr="00207447" w:rsidRDefault="000A7D9D" w:rsidP="000A7D9D">
      <w:pPr>
        <w:spacing w:after="120"/>
        <w:rPr>
          <w:rFonts w:ascii="Times New Roman" w:eastAsiaTheme="minorEastAsia" w:hAnsi="Times New Roman" w:cs="Times New Roman"/>
          <w:noProof/>
          <w:sz w:val="24"/>
          <w:szCs w:val="24"/>
          <w:lang w:val="en-US" w:eastAsia="en-GB"/>
        </w:rPr>
      </w:pPr>
      <w:r w:rsidRPr="00207447">
        <w:rPr>
          <w:rFonts w:ascii="Times New Roman" w:eastAsiaTheme="minorEastAsia" w:hAnsi="Times New Roman" w:cs="Times New Roman"/>
          <w:noProof/>
          <w:sz w:val="24"/>
          <w:szCs w:val="24"/>
          <w:lang w:val="en-US" w:eastAsia="en-GB"/>
        </w:rPr>
        <w:t>Summary of additional resource needs for packaging and packaging waste directive:</w:t>
      </w:r>
    </w:p>
    <w:tbl>
      <w:tblPr>
        <w:tblStyle w:val="TableGrid"/>
        <w:tblW w:w="0" w:type="auto"/>
        <w:tblLook w:val="04A0" w:firstRow="1" w:lastRow="0" w:firstColumn="1" w:lastColumn="0" w:noHBand="0" w:noVBand="1"/>
      </w:tblPr>
      <w:tblGrid>
        <w:gridCol w:w="1454"/>
        <w:gridCol w:w="3930"/>
        <w:gridCol w:w="1965"/>
        <w:gridCol w:w="2280"/>
      </w:tblGrid>
      <w:tr w:rsidR="000A7D9D" w:rsidRPr="00C56424" w14:paraId="49F974DD" w14:textId="77777777" w:rsidTr="00F31937">
        <w:trPr>
          <w:trHeight w:val="300"/>
        </w:trPr>
        <w:tc>
          <w:tcPr>
            <w:tcW w:w="1454" w:type="dxa"/>
            <w:shd w:val="clear" w:color="auto" w:fill="D9D9D9" w:themeFill="background1" w:themeFillShade="D9"/>
          </w:tcPr>
          <w:p w14:paraId="7C761DF1"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930" w:type="dxa"/>
            <w:shd w:val="clear" w:color="auto" w:fill="D9D9D9" w:themeFill="background1" w:themeFillShade="D9"/>
          </w:tcPr>
          <w:p w14:paraId="5A67912C"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965" w:type="dxa"/>
            <w:shd w:val="clear" w:color="auto" w:fill="D9D9D9" w:themeFill="background1" w:themeFillShade="D9"/>
          </w:tcPr>
          <w:p w14:paraId="5239311B"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280" w:type="dxa"/>
            <w:shd w:val="clear" w:color="auto" w:fill="D9D9D9" w:themeFill="background1" w:themeFillShade="D9"/>
          </w:tcPr>
          <w:p w14:paraId="771DB6C4" w14:textId="77777777" w:rsidR="000A7D9D" w:rsidRPr="00C56424" w:rsidRDefault="000A7D9D" w:rsidP="00F31937">
            <w:pPr>
              <w:pStyle w:val="BodyText"/>
              <w:tabs>
                <w:tab w:val="left" w:pos="4170"/>
              </w:tabs>
              <w:spacing w:after="0"/>
              <w:rPr>
                <w:noProof/>
                <w:sz w:val="20"/>
                <w:szCs w:val="20"/>
              </w:rPr>
            </w:pPr>
          </w:p>
        </w:tc>
      </w:tr>
      <w:tr w:rsidR="000A7D9D" w:rsidRPr="00187DBF" w14:paraId="5B13081E" w14:textId="77777777" w:rsidTr="00F31937">
        <w:trPr>
          <w:trHeight w:val="300"/>
        </w:trPr>
        <w:tc>
          <w:tcPr>
            <w:tcW w:w="1454" w:type="dxa"/>
            <w:vMerge w:val="restart"/>
            <w:shd w:val="clear" w:color="auto" w:fill="D9D9D9" w:themeFill="background1" w:themeFillShade="D9"/>
          </w:tcPr>
          <w:p w14:paraId="02051F46" w14:textId="77777777" w:rsidR="000A7D9D" w:rsidRPr="00C56424" w:rsidRDefault="000A7D9D" w:rsidP="00F31937">
            <w:pPr>
              <w:pStyle w:val="BodyText"/>
              <w:spacing w:line="259" w:lineRule="auto"/>
              <w:rPr>
                <w:noProof/>
                <w:sz w:val="20"/>
                <w:szCs w:val="20"/>
              </w:rPr>
            </w:pPr>
            <w:r w:rsidRPr="00C56424">
              <w:rPr>
                <w:noProof/>
                <w:sz w:val="20"/>
                <w:szCs w:val="20"/>
              </w:rPr>
              <w:t>ECHA</w:t>
            </w:r>
          </w:p>
        </w:tc>
        <w:tc>
          <w:tcPr>
            <w:tcW w:w="3930" w:type="dxa"/>
            <w:vMerge w:val="restart"/>
            <w:shd w:val="clear" w:color="auto" w:fill="D9D9D9" w:themeFill="background1" w:themeFillShade="D9"/>
          </w:tcPr>
          <w:p w14:paraId="198D83DE" w14:textId="77777777" w:rsidR="000A7D9D" w:rsidRPr="00C56424" w:rsidRDefault="000A7D9D" w:rsidP="00F31937">
            <w:pPr>
              <w:pStyle w:val="BodyText"/>
              <w:rPr>
                <w:noProof/>
                <w:sz w:val="20"/>
                <w:szCs w:val="20"/>
              </w:rPr>
            </w:pPr>
            <w:r w:rsidRPr="00C56424">
              <w:rPr>
                <w:noProof/>
                <w:sz w:val="20"/>
                <w:szCs w:val="20"/>
              </w:rPr>
              <w:t xml:space="preserve">- Processing at most 0.5 restriction dossiers per year (including RAC and SEAC opinion) as part of REACH restriction </w:t>
            </w:r>
          </w:p>
          <w:p w14:paraId="6508A168" w14:textId="77777777" w:rsidR="000A7D9D" w:rsidRPr="00C56424" w:rsidRDefault="000A7D9D" w:rsidP="00F31937">
            <w:pPr>
              <w:pStyle w:val="BodyText"/>
              <w:rPr>
                <w:noProof/>
                <w:sz w:val="20"/>
                <w:szCs w:val="20"/>
              </w:rPr>
            </w:pPr>
            <w:r w:rsidRPr="00C56424">
              <w:rPr>
                <w:noProof/>
                <w:sz w:val="20"/>
                <w:szCs w:val="20"/>
              </w:rPr>
              <w:t>- Performing a scoping exercise related to presence of chemicals in packaging</w:t>
            </w:r>
          </w:p>
        </w:tc>
        <w:tc>
          <w:tcPr>
            <w:tcW w:w="1965" w:type="dxa"/>
            <w:shd w:val="clear" w:color="auto" w:fill="D9D9D9" w:themeFill="background1" w:themeFillShade="D9"/>
          </w:tcPr>
          <w:p w14:paraId="172507BF"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280" w:type="dxa"/>
            <w:shd w:val="clear" w:color="auto" w:fill="D9D9D9" w:themeFill="background1" w:themeFillShade="D9"/>
          </w:tcPr>
          <w:p w14:paraId="02A6F29F"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r w:rsidRPr="00C56424">
              <w:rPr>
                <w:noProof/>
                <w:sz w:val="20"/>
                <w:szCs w:val="20"/>
                <w:lang w:val="fr-BE"/>
              </w:rPr>
              <w:t xml:space="preserve"> </w:t>
            </w:r>
          </w:p>
          <w:p w14:paraId="59B67522"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47B87C1C"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0B7E1817"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2027: </w:t>
            </w:r>
            <w:r w:rsidRPr="00C56424">
              <w:rPr>
                <w:b/>
                <w:noProof/>
                <w:sz w:val="20"/>
                <w:szCs w:val="20"/>
                <w:lang w:val="fr-BE"/>
              </w:rPr>
              <w:t>EUR 0</w:t>
            </w:r>
          </w:p>
          <w:p w14:paraId="7F6EDCA1"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2028:</w:t>
            </w:r>
            <w:r w:rsidRPr="00C56424">
              <w:rPr>
                <w:b/>
                <w:noProof/>
                <w:sz w:val="20"/>
                <w:szCs w:val="20"/>
                <w:lang w:val="fr-BE"/>
              </w:rPr>
              <w:t xml:space="preserve"> EUR 0</w:t>
            </w:r>
          </w:p>
        </w:tc>
      </w:tr>
      <w:tr w:rsidR="000A7D9D" w:rsidRPr="00C56424" w14:paraId="14AC91A5" w14:textId="77777777" w:rsidTr="00F31937">
        <w:trPr>
          <w:trHeight w:val="300"/>
        </w:trPr>
        <w:tc>
          <w:tcPr>
            <w:tcW w:w="1454" w:type="dxa"/>
            <w:vMerge/>
            <w:shd w:val="clear" w:color="auto" w:fill="D9D9D9" w:themeFill="background1" w:themeFillShade="D9"/>
          </w:tcPr>
          <w:p w14:paraId="042B5C04" w14:textId="77777777" w:rsidR="000A7D9D" w:rsidRPr="00C56424" w:rsidRDefault="000A7D9D" w:rsidP="00F31937">
            <w:pPr>
              <w:pStyle w:val="BodyText"/>
              <w:spacing w:line="259" w:lineRule="auto"/>
              <w:rPr>
                <w:b/>
                <w:bCs/>
                <w:noProof/>
                <w:sz w:val="20"/>
                <w:szCs w:val="20"/>
                <w:lang w:val="fr-BE"/>
              </w:rPr>
            </w:pPr>
          </w:p>
        </w:tc>
        <w:tc>
          <w:tcPr>
            <w:tcW w:w="3930" w:type="dxa"/>
            <w:vMerge/>
            <w:shd w:val="clear" w:color="auto" w:fill="D9D9D9" w:themeFill="background1" w:themeFillShade="D9"/>
          </w:tcPr>
          <w:p w14:paraId="0E75B543" w14:textId="77777777" w:rsidR="000A7D9D" w:rsidRPr="00C56424" w:rsidRDefault="000A7D9D" w:rsidP="00F31937">
            <w:pPr>
              <w:pStyle w:val="BodyText"/>
              <w:rPr>
                <w:b/>
                <w:bCs/>
                <w:noProof/>
                <w:sz w:val="20"/>
                <w:szCs w:val="20"/>
                <w:lang w:val="fr-BE"/>
              </w:rPr>
            </w:pPr>
          </w:p>
        </w:tc>
        <w:tc>
          <w:tcPr>
            <w:tcW w:w="1965" w:type="dxa"/>
            <w:shd w:val="clear" w:color="auto" w:fill="D9D9D9" w:themeFill="background1" w:themeFillShade="D9"/>
          </w:tcPr>
          <w:p w14:paraId="54B77A78"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280" w:type="dxa"/>
            <w:shd w:val="clear" w:color="auto" w:fill="D9D9D9" w:themeFill="background1" w:themeFillShade="D9"/>
          </w:tcPr>
          <w:p w14:paraId="1DE2311A" w14:textId="77777777" w:rsidR="000A7D9D" w:rsidRPr="00C56424" w:rsidRDefault="000A7D9D" w:rsidP="00F31937">
            <w:pPr>
              <w:pStyle w:val="BodyText"/>
              <w:tabs>
                <w:tab w:val="left" w:pos="4170"/>
              </w:tabs>
              <w:spacing w:after="0"/>
              <w:rPr>
                <w:noProof/>
                <w:sz w:val="20"/>
                <w:szCs w:val="20"/>
                <w:lang w:val="pl-PL"/>
              </w:rPr>
            </w:pPr>
            <w:r w:rsidRPr="00C56424">
              <w:rPr>
                <w:noProof/>
                <w:sz w:val="20"/>
                <w:szCs w:val="20"/>
                <w:lang w:val="pl-PL"/>
              </w:rPr>
              <w:t xml:space="preserve">2024:  </w:t>
            </w:r>
            <w:r w:rsidRPr="00C56424">
              <w:rPr>
                <w:b/>
                <w:bCs/>
                <w:noProof/>
                <w:sz w:val="20"/>
                <w:szCs w:val="20"/>
                <w:lang w:val="pl-PL"/>
              </w:rPr>
              <w:t>0 TA, 0 CA</w:t>
            </w:r>
          </w:p>
          <w:p w14:paraId="09826E51" w14:textId="77777777" w:rsidR="000A7D9D" w:rsidRPr="00C56424" w:rsidRDefault="000A7D9D" w:rsidP="00F31937">
            <w:pPr>
              <w:pStyle w:val="BodyText"/>
              <w:tabs>
                <w:tab w:val="left" w:pos="4170"/>
              </w:tabs>
              <w:spacing w:after="0"/>
              <w:rPr>
                <w:b/>
                <w:bCs/>
                <w:noProof/>
                <w:sz w:val="20"/>
                <w:szCs w:val="20"/>
                <w:lang w:val="pl-PL"/>
              </w:rPr>
            </w:pPr>
            <w:r w:rsidRPr="00C56424">
              <w:rPr>
                <w:noProof/>
                <w:sz w:val="20"/>
                <w:szCs w:val="20"/>
                <w:lang w:val="pl-PL"/>
              </w:rPr>
              <w:t xml:space="preserve">2025:  </w:t>
            </w:r>
            <w:r w:rsidRPr="00C56424">
              <w:rPr>
                <w:b/>
                <w:bCs/>
                <w:noProof/>
                <w:sz w:val="20"/>
                <w:szCs w:val="20"/>
                <w:lang w:val="pl-PL"/>
              </w:rPr>
              <w:t>1 TA, 0 CA</w:t>
            </w:r>
          </w:p>
          <w:p w14:paraId="6BCED1EB" w14:textId="77777777" w:rsidR="000A7D9D" w:rsidRPr="00C56424" w:rsidRDefault="000A7D9D" w:rsidP="00F31937">
            <w:pPr>
              <w:pStyle w:val="BodyText"/>
              <w:tabs>
                <w:tab w:val="left" w:pos="4170"/>
              </w:tabs>
              <w:spacing w:after="0"/>
              <w:rPr>
                <w:b/>
                <w:bCs/>
                <w:noProof/>
                <w:sz w:val="20"/>
                <w:szCs w:val="20"/>
                <w:lang w:val="pl-PL"/>
              </w:rPr>
            </w:pPr>
            <w:r w:rsidRPr="00C56424">
              <w:rPr>
                <w:noProof/>
                <w:sz w:val="20"/>
                <w:szCs w:val="20"/>
                <w:lang w:val="pl-PL"/>
              </w:rPr>
              <w:t xml:space="preserve">2026:  </w:t>
            </w:r>
            <w:r w:rsidRPr="00C56424">
              <w:rPr>
                <w:b/>
                <w:bCs/>
                <w:noProof/>
                <w:sz w:val="20"/>
                <w:szCs w:val="20"/>
                <w:lang w:val="pl-PL"/>
              </w:rPr>
              <w:t>1 TA, 0 CA</w:t>
            </w:r>
          </w:p>
          <w:p w14:paraId="785822EC" w14:textId="77777777" w:rsidR="000A7D9D" w:rsidRPr="00C56424" w:rsidRDefault="000A7D9D" w:rsidP="00F31937">
            <w:pPr>
              <w:pStyle w:val="BodyText"/>
              <w:tabs>
                <w:tab w:val="left" w:pos="4170"/>
              </w:tabs>
              <w:spacing w:after="0"/>
              <w:rPr>
                <w:b/>
                <w:bCs/>
                <w:noProof/>
                <w:sz w:val="20"/>
                <w:szCs w:val="20"/>
              </w:rPr>
            </w:pPr>
            <w:r w:rsidRPr="00C56424">
              <w:rPr>
                <w:noProof/>
                <w:sz w:val="20"/>
                <w:szCs w:val="20"/>
              </w:rPr>
              <w:t xml:space="preserve">2027:  </w:t>
            </w:r>
            <w:r w:rsidRPr="00C56424">
              <w:rPr>
                <w:b/>
                <w:bCs/>
                <w:noProof/>
                <w:sz w:val="20"/>
                <w:szCs w:val="20"/>
              </w:rPr>
              <w:t>1 TA, 0 CA</w:t>
            </w:r>
          </w:p>
          <w:p w14:paraId="6840AFFE" w14:textId="77777777" w:rsidR="000A7D9D" w:rsidRPr="00C56424" w:rsidRDefault="000A7D9D" w:rsidP="00F31937">
            <w:pPr>
              <w:pStyle w:val="BodyText"/>
              <w:tabs>
                <w:tab w:val="left" w:pos="4170"/>
              </w:tabs>
              <w:spacing w:after="0"/>
              <w:rPr>
                <w:noProof/>
                <w:sz w:val="20"/>
                <w:szCs w:val="20"/>
              </w:rPr>
            </w:pPr>
            <w:r w:rsidRPr="00C56424">
              <w:rPr>
                <w:bCs/>
                <w:noProof/>
                <w:sz w:val="20"/>
                <w:szCs w:val="20"/>
              </w:rPr>
              <w:t>2028:</w:t>
            </w:r>
            <w:r w:rsidRPr="00C56424">
              <w:rPr>
                <w:b/>
                <w:bCs/>
                <w:noProof/>
                <w:sz w:val="20"/>
                <w:szCs w:val="20"/>
              </w:rPr>
              <w:t xml:space="preserve">  0 TA, 0 CA</w:t>
            </w:r>
          </w:p>
        </w:tc>
      </w:tr>
    </w:tbl>
    <w:p w14:paraId="3B5C2FC6" w14:textId="77777777" w:rsidR="000A7D9D" w:rsidRPr="00207447" w:rsidRDefault="000A7D9D" w:rsidP="000A7D9D">
      <w:pPr>
        <w:pStyle w:val="BodyText"/>
        <w:spacing w:before="120"/>
        <w:rPr>
          <w:noProof/>
        </w:rPr>
      </w:pPr>
      <w:r w:rsidRPr="00207447">
        <w:rPr>
          <w:noProof/>
          <w:u w:val="single"/>
        </w:rPr>
        <w:t>Future budget line:</w:t>
      </w:r>
      <w:r w:rsidRPr="00207447">
        <w:rPr>
          <w:noProof/>
        </w:rPr>
        <w:t xml:space="preserve"> DG Environment</w:t>
      </w:r>
    </w:p>
    <w:p w14:paraId="5AA187AF" w14:textId="77777777" w:rsidR="000A7D9D" w:rsidRPr="00207447" w:rsidRDefault="000A7D9D" w:rsidP="000A7D9D">
      <w:pPr>
        <w:pStyle w:val="BodyText"/>
        <w:rPr>
          <w:noProof/>
        </w:rPr>
      </w:pPr>
      <w:r w:rsidRPr="00207447">
        <w:rPr>
          <w:noProof/>
          <w:u w:val="single"/>
        </w:rPr>
        <w:t>Candidate for fees:</w:t>
      </w:r>
      <w:r w:rsidRPr="00207447">
        <w:rPr>
          <w:noProof/>
        </w:rPr>
        <w:t xml:space="preserve"> No</w:t>
      </w:r>
    </w:p>
    <w:p w14:paraId="01DF2CBB" w14:textId="77777777" w:rsidR="000A7D9D" w:rsidRDefault="000A7D9D" w:rsidP="000A7D9D">
      <w:pPr>
        <w:rPr>
          <w:noProof/>
        </w:rPr>
      </w:pPr>
    </w:p>
    <w:p w14:paraId="69C3A17A"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58" w:name="_Toc150499930"/>
      <w:r>
        <w:rPr>
          <w:rFonts w:ascii="Times New Roman" w:hAnsi="Times New Roman"/>
          <w:smallCaps/>
          <w:noProof/>
          <w:color w:val="auto"/>
          <w:sz w:val="24"/>
          <w:szCs w:val="20"/>
          <w:lang w:eastAsia="en-US"/>
        </w:rPr>
        <w:t>Legislation on m</w:t>
      </w:r>
      <w:r w:rsidRPr="00291F95">
        <w:rPr>
          <w:rFonts w:ascii="Times New Roman" w:hAnsi="Times New Roman"/>
          <w:smallCaps/>
          <w:noProof/>
          <w:color w:val="auto"/>
          <w:sz w:val="24"/>
          <w:szCs w:val="20"/>
          <w:lang w:eastAsia="en-US"/>
        </w:rPr>
        <w:t xml:space="preserve">edicinal products </w:t>
      </w:r>
      <w:r>
        <w:rPr>
          <w:rFonts w:ascii="Times New Roman" w:hAnsi="Times New Roman"/>
          <w:smallCaps/>
          <w:noProof/>
          <w:color w:val="auto"/>
          <w:sz w:val="24"/>
          <w:szCs w:val="20"/>
          <w:lang w:eastAsia="en-US"/>
        </w:rPr>
        <w:t xml:space="preserve">for human use </w:t>
      </w:r>
      <w:r w:rsidRPr="00291F95">
        <w:rPr>
          <w:rFonts w:ascii="Times New Roman" w:hAnsi="Times New Roman"/>
          <w:smallCaps/>
          <w:noProof/>
          <w:color w:val="auto"/>
          <w:sz w:val="24"/>
          <w:szCs w:val="20"/>
          <w:lang w:eastAsia="en-US"/>
        </w:rPr>
        <w:t>(726/2004)</w:t>
      </w:r>
      <w:bookmarkEnd w:id="58"/>
    </w:p>
    <w:p w14:paraId="1116B139" w14:textId="77777777" w:rsidR="000A7D9D" w:rsidRPr="00207447" w:rsidRDefault="000A7D9D" w:rsidP="000A7D9D">
      <w:pPr>
        <w:pStyle w:val="BodyText"/>
        <w:rPr>
          <w:b/>
          <w:bCs/>
          <w:noProof/>
        </w:rPr>
      </w:pPr>
      <w:r w:rsidRPr="00207447">
        <w:rPr>
          <w:b/>
          <w:bCs/>
          <w:noProof/>
        </w:rPr>
        <w:t>Responsible body:</w:t>
      </w:r>
    </w:p>
    <w:p w14:paraId="2E999167" w14:textId="77777777" w:rsidR="000A7D9D" w:rsidRPr="00207447" w:rsidRDefault="000A7D9D" w:rsidP="00B0412E">
      <w:pPr>
        <w:pStyle w:val="BodyText"/>
        <w:jc w:val="both"/>
        <w:rPr>
          <w:noProof/>
        </w:rPr>
      </w:pPr>
      <w:r w:rsidRPr="00207447">
        <w:rPr>
          <w:noProof/>
          <w:u w:val="single"/>
        </w:rPr>
        <w:t>Currently:</w:t>
      </w:r>
      <w:r w:rsidRPr="00207447">
        <w:rPr>
          <w:noProof/>
        </w:rPr>
        <w:t xml:space="preserve"> EMA</w:t>
      </w:r>
    </w:p>
    <w:p w14:paraId="546BF103" w14:textId="21DCAB93" w:rsidR="000A7D9D" w:rsidRPr="00207447" w:rsidRDefault="000A7D9D" w:rsidP="00B0412E">
      <w:pPr>
        <w:pStyle w:val="BodyText"/>
        <w:jc w:val="both"/>
        <w:rPr>
          <w:noProof/>
        </w:rPr>
      </w:pPr>
      <w:r w:rsidRPr="00207447">
        <w:rPr>
          <w:noProof/>
          <w:u w:val="single"/>
        </w:rPr>
        <w:t>(Re-)attribution planned to:</w:t>
      </w:r>
      <w:r w:rsidRPr="00207447">
        <w:rPr>
          <w:noProof/>
        </w:rPr>
        <w:t xml:space="preserve"> EMA, expanding </w:t>
      </w:r>
      <w:r w:rsidR="00086C60">
        <w:rPr>
          <w:noProof/>
        </w:rPr>
        <w:t xml:space="preserve">and modifying </w:t>
      </w:r>
      <w:r w:rsidRPr="00207447">
        <w:rPr>
          <w:noProof/>
        </w:rPr>
        <w:t>the existing tasks</w:t>
      </w:r>
      <w:r w:rsidR="00086C60">
        <w:rPr>
          <w:noProof/>
        </w:rPr>
        <w:t xml:space="preserve"> and adding new tasks</w:t>
      </w:r>
    </w:p>
    <w:p w14:paraId="4C09DCB3" w14:textId="77777777" w:rsidR="000A7D9D" w:rsidRDefault="000A7D9D" w:rsidP="00B0412E">
      <w:pPr>
        <w:pStyle w:val="BodyText"/>
        <w:jc w:val="both"/>
        <w:rPr>
          <w:b/>
          <w:bCs/>
          <w:noProof/>
        </w:rPr>
      </w:pPr>
      <w:r w:rsidRPr="00207447">
        <w:rPr>
          <w:b/>
          <w:bCs/>
          <w:noProof/>
        </w:rPr>
        <w:t xml:space="preserve">Legal basis for reattribution: </w:t>
      </w:r>
    </w:p>
    <w:p w14:paraId="3164AC59" w14:textId="77777777" w:rsidR="000A7D9D" w:rsidRDefault="000A7D9D" w:rsidP="00B0412E">
      <w:pPr>
        <w:pStyle w:val="BodyText"/>
        <w:jc w:val="both"/>
        <w:rPr>
          <w:noProof/>
        </w:rPr>
      </w:pPr>
      <w:r>
        <w:rPr>
          <w:noProof/>
        </w:rPr>
        <w:t>Proposal for a Directive of the European Parliament and of the Council on the Union code relating to medicinal products for human use, and repealing Directive 2001/83/EC and Directive 2009/35/EC (COM (2023) 192 final)</w:t>
      </w:r>
    </w:p>
    <w:p w14:paraId="7E34ACB1" w14:textId="77777777" w:rsidR="000A7D9D" w:rsidRDefault="000A7D9D" w:rsidP="00B0412E">
      <w:pPr>
        <w:pStyle w:val="BodyText"/>
        <w:jc w:val="both"/>
        <w:rPr>
          <w:noProof/>
        </w:rPr>
      </w:pPr>
      <w:r>
        <w:rPr>
          <w:noProof/>
        </w:rPr>
        <w:t>Proposal for a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 (COM (2023) 193 final)</w:t>
      </w:r>
    </w:p>
    <w:p w14:paraId="45D204C0" w14:textId="4E01438C" w:rsidR="000A7D9D" w:rsidRPr="00207447" w:rsidRDefault="000A7D9D" w:rsidP="00B0412E">
      <w:pPr>
        <w:pStyle w:val="BodyText"/>
        <w:jc w:val="both"/>
        <w:rPr>
          <w:noProof/>
        </w:rPr>
      </w:pPr>
      <w:r w:rsidRPr="00207447">
        <w:rPr>
          <w:b/>
          <w:bCs/>
          <w:noProof/>
        </w:rPr>
        <w:t xml:space="preserve">Type of task: </w:t>
      </w:r>
      <w:r w:rsidR="00086C60" w:rsidRPr="00207447">
        <w:rPr>
          <w:noProof/>
        </w:rPr>
        <w:t>New</w:t>
      </w:r>
      <w:r w:rsidR="00086C60">
        <w:rPr>
          <w:noProof/>
        </w:rPr>
        <w:t xml:space="preserve"> and modified existing ones</w:t>
      </w:r>
    </w:p>
    <w:p w14:paraId="031409C1" w14:textId="04C44FB3" w:rsidR="000A7D9D" w:rsidRPr="00207447" w:rsidRDefault="00086C60" w:rsidP="00B0412E">
      <w:pPr>
        <w:pStyle w:val="BodyText"/>
        <w:jc w:val="both"/>
        <w:rPr>
          <w:b/>
          <w:bCs/>
          <w:noProof/>
        </w:rPr>
      </w:pPr>
      <w:r>
        <w:rPr>
          <w:b/>
          <w:bCs/>
          <w:noProof/>
        </w:rPr>
        <w:t>P</w:t>
      </w:r>
      <w:r w:rsidR="000A7D9D" w:rsidRPr="00207447">
        <w:rPr>
          <w:b/>
          <w:bCs/>
          <w:noProof/>
        </w:rPr>
        <w:t>rocess description:</w:t>
      </w:r>
    </w:p>
    <w:p w14:paraId="31E9C7FF" w14:textId="77777777" w:rsidR="000A7D9D" w:rsidRPr="00207447" w:rsidRDefault="000A7D9D" w:rsidP="00B0412E">
      <w:pPr>
        <w:pStyle w:val="BodyText"/>
        <w:jc w:val="both"/>
        <w:rPr>
          <w:noProof/>
          <w:u w:val="single"/>
        </w:rPr>
      </w:pPr>
      <w:r>
        <w:rPr>
          <w:noProof/>
          <w:u w:val="single"/>
        </w:rPr>
        <w:t xml:space="preserve">New/modified </w:t>
      </w:r>
      <w:r w:rsidRPr="00207447">
        <w:rPr>
          <w:noProof/>
          <w:u w:val="single"/>
        </w:rPr>
        <w:t>proces</w:t>
      </w:r>
      <w:r>
        <w:rPr>
          <w:noProof/>
          <w:u w:val="single"/>
        </w:rPr>
        <w:t>ses:</w:t>
      </w:r>
    </w:p>
    <w:p w14:paraId="5629BD1C" w14:textId="77777777" w:rsidR="00086C60" w:rsidRDefault="00086C60" w:rsidP="00086C60">
      <w:pPr>
        <w:pStyle w:val="BodyText"/>
        <w:jc w:val="both"/>
        <w:rPr>
          <w:noProof/>
        </w:rPr>
      </w:pPr>
      <w:r>
        <w:rPr>
          <w:noProof/>
        </w:rPr>
        <w:t>The details of the new and modified tasks are provided in the proposal for the directive</w:t>
      </w:r>
      <w:r>
        <w:rPr>
          <w:rStyle w:val="FootnoteReference"/>
          <w:noProof/>
        </w:rPr>
        <w:footnoteReference w:id="53"/>
      </w:r>
      <w:r>
        <w:rPr>
          <w:noProof/>
        </w:rPr>
        <w:t>, the regulation with accompanying legislative financial statement</w:t>
      </w:r>
      <w:r>
        <w:rPr>
          <w:rStyle w:val="FootnoteReference"/>
          <w:noProof/>
        </w:rPr>
        <w:footnoteReference w:id="54"/>
      </w:r>
      <w:r>
        <w:rPr>
          <w:noProof/>
        </w:rPr>
        <w:t xml:space="preserve"> and the accompanying staff working documents</w:t>
      </w:r>
      <w:r>
        <w:rPr>
          <w:rStyle w:val="FootnoteReference"/>
          <w:noProof/>
        </w:rPr>
        <w:footnoteReference w:id="55"/>
      </w:r>
      <w:r w:rsidRPr="004753C1">
        <w:rPr>
          <w:noProof/>
          <w:vertAlign w:val="superscript"/>
        </w:rPr>
        <w:t>,</w:t>
      </w:r>
      <w:r>
        <w:rPr>
          <w:rStyle w:val="FootnoteReference"/>
          <w:noProof/>
        </w:rPr>
        <w:footnoteReference w:id="56"/>
      </w:r>
      <w:r w:rsidRPr="004753C1">
        <w:rPr>
          <w:noProof/>
          <w:vertAlign w:val="superscript"/>
        </w:rPr>
        <w:t>,</w:t>
      </w:r>
      <w:r>
        <w:rPr>
          <w:rStyle w:val="FootnoteReference"/>
          <w:noProof/>
        </w:rPr>
        <w:footnoteReference w:id="57"/>
      </w:r>
      <w:r>
        <w:rPr>
          <w:noProof/>
        </w:rPr>
        <w:t xml:space="preserve">. </w:t>
      </w:r>
    </w:p>
    <w:p w14:paraId="1A48CF3D" w14:textId="77777777" w:rsidR="00086C60" w:rsidRDefault="00086C60" w:rsidP="00086C60">
      <w:pPr>
        <w:pStyle w:val="BodyText"/>
        <w:rPr>
          <w:noProof/>
        </w:rPr>
      </w:pPr>
      <w:r>
        <w:rPr>
          <w:noProof/>
        </w:rPr>
        <w:t xml:space="preserve">In short: </w:t>
      </w:r>
    </w:p>
    <w:p w14:paraId="7643187F" w14:textId="77777777" w:rsidR="00086C60" w:rsidRDefault="00086C60" w:rsidP="00086C60">
      <w:pPr>
        <w:pStyle w:val="BodyText"/>
        <w:rPr>
          <w:noProof/>
        </w:rPr>
      </w:pPr>
      <w:r>
        <w:rPr>
          <w:noProof/>
        </w:rPr>
        <w:t>Specific objectives of the legislative proposals are:</w:t>
      </w:r>
    </w:p>
    <w:p w14:paraId="070FA8F7" w14:textId="77777777" w:rsidR="00086C60" w:rsidRDefault="00086C60" w:rsidP="00086C60">
      <w:pPr>
        <w:pStyle w:val="BodyText"/>
        <w:numPr>
          <w:ilvl w:val="0"/>
          <w:numId w:val="151"/>
        </w:numPr>
        <w:rPr>
          <w:noProof/>
        </w:rPr>
      </w:pPr>
      <w:r>
        <w:rPr>
          <w:noProof/>
        </w:rPr>
        <w:t xml:space="preserve">Promote innovation, in particular for unmet medical needs, including for rare disease patients and children. </w:t>
      </w:r>
    </w:p>
    <w:p w14:paraId="7ED1C3B3" w14:textId="77777777" w:rsidR="00086C60" w:rsidRDefault="00086C60" w:rsidP="00086C60">
      <w:pPr>
        <w:pStyle w:val="BodyText"/>
        <w:numPr>
          <w:ilvl w:val="0"/>
          <w:numId w:val="151"/>
        </w:numPr>
        <w:rPr>
          <w:noProof/>
        </w:rPr>
      </w:pPr>
      <w:r>
        <w:rPr>
          <w:noProof/>
        </w:rPr>
        <w:t xml:space="preserve">Create a balanced system for pharmaceuticals in the EU that promotes affordability for health systems while rewarding innovation. </w:t>
      </w:r>
    </w:p>
    <w:p w14:paraId="504D9E2A" w14:textId="77777777" w:rsidR="00086C60" w:rsidRDefault="00086C60" w:rsidP="00086C60">
      <w:pPr>
        <w:pStyle w:val="BodyText"/>
        <w:numPr>
          <w:ilvl w:val="0"/>
          <w:numId w:val="151"/>
        </w:numPr>
        <w:rPr>
          <w:noProof/>
        </w:rPr>
      </w:pPr>
      <w:r>
        <w:rPr>
          <w:noProof/>
        </w:rPr>
        <w:t xml:space="preserve">Ensure access to innovative and established medicines for patients, with special attention to enhancing security of the supply across the EU. </w:t>
      </w:r>
    </w:p>
    <w:p w14:paraId="4CB9A014" w14:textId="77777777" w:rsidR="00086C60" w:rsidRDefault="00086C60" w:rsidP="00086C60">
      <w:pPr>
        <w:pStyle w:val="BodyText"/>
        <w:numPr>
          <w:ilvl w:val="0"/>
          <w:numId w:val="151"/>
        </w:numPr>
        <w:rPr>
          <w:noProof/>
        </w:rPr>
      </w:pPr>
      <w:r>
        <w:rPr>
          <w:noProof/>
        </w:rPr>
        <w:t xml:space="preserve">Reduce the environmental impact of the pharmaceutical product life cycle. </w:t>
      </w:r>
    </w:p>
    <w:p w14:paraId="083EEB8C" w14:textId="77777777" w:rsidR="00086C60" w:rsidRDefault="00086C60" w:rsidP="00086C60">
      <w:pPr>
        <w:pStyle w:val="BodyText"/>
        <w:numPr>
          <w:ilvl w:val="0"/>
          <w:numId w:val="151"/>
        </w:numPr>
        <w:rPr>
          <w:noProof/>
        </w:rPr>
      </w:pPr>
      <w:r>
        <w:rPr>
          <w:noProof/>
        </w:rPr>
        <w:t>Reduce the regulatory burden and provide a flexible regulatory framework.</w:t>
      </w:r>
    </w:p>
    <w:p w14:paraId="70DF09E3" w14:textId="77777777" w:rsidR="00086C60" w:rsidRDefault="00086C60" w:rsidP="00086C60">
      <w:pPr>
        <w:pStyle w:val="BodyText"/>
        <w:spacing w:line="259" w:lineRule="auto"/>
        <w:jc w:val="both"/>
        <w:rPr>
          <w:noProof/>
        </w:rPr>
      </w:pPr>
      <w:r>
        <w:rPr>
          <w:noProof/>
        </w:rPr>
        <w:t xml:space="preserve">The main requirements of the proposals to be met in the short and long term are: </w:t>
      </w:r>
    </w:p>
    <w:p w14:paraId="378B33DD" w14:textId="77777777" w:rsidR="00086C60" w:rsidRDefault="00086C60" w:rsidP="00086C60">
      <w:pPr>
        <w:pStyle w:val="BodyText"/>
        <w:numPr>
          <w:ilvl w:val="0"/>
          <w:numId w:val="152"/>
        </w:numPr>
        <w:spacing w:line="259" w:lineRule="auto"/>
        <w:jc w:val="both"/>
        <w:rPr>
          <w:noProof/>
        </w:rPr>
      </w:pPr>
      <w:r>
        <w:rPr>
          <w:noProof/>
        </w:rPr>
        <w:t xml:space="preserve">Upon the entry into force of the Regulation, the Agency should put in place the framework which will be used to enhance regulatory support and accelerated assessment, to address medicine shortages and supply chain challenges and to strengthen the environmental risk assessment under the marketing authorisation. </w:t>
      </w:r>
    </w:p>
    <w:p w14:paraId="72517C6D" w14:textId="77777777" w:rsidR="00086C60" w:rsidRDefault="00086C60" w:rsidP="00086C60">
      <w:pPr>
        <w:pStyle w:val="BodyText"/>
        <w:numPr>
          <w:ilvl w:val="0"/>
          <w:numId w:val="152"/>
        </w:numPr>
        <w:spacing w:line="259" w:lineRule="auto"/>
        <w:jc w:val="both"/>
        <w:rPr>
          <w:noProof/>
        </w:rPr>
      </w:pPr>
      <w:r>
        <w:rPr>
          <w:noProof/>
        </w:rPr>
        <w:t>Regarding the enhanced regulatory support, the Agency shall set up within 6 months of adoption a coordination mechanism to enable parallel scientific advice with health technology assessment and regulatory bodies for medical devices. Within the same period, the Agency shall create an Academia Office, a secretariat to support not-for-profit entities by providing them free of charge early scientific advice. Furthermore, the Agency shall establish an EU inspectorate within the Agency, to strengthen the network’s inspection capacity and deal with emergencies, similar what was needed during the pandemic.</w:t>
      </w:r>
    </w:p>
    <w:p w14:paraId="3B1F44F4" w14:textId="77777777" w:rsidR="00086C60" w:rsidRDefault="00086C60" w:rsidP="00086C60">
      <w:pPr>
        <w:pStyle w:val="BodyText"/>
        <w:numPr>
          <w:ilvl w:val="0"/>
          <w:numId w:val="152"/>
        </w:numPr>
        <w:spacing w:line="259" w:lineRule="auto"/>
        <w:jc w:val="both"/>
        <w:rPr>
          <w:noProof/>
        </w:rPr>
      </w:pPr>
      <w:r>
        <w:rPr>
          <w:noProof/>
        </w:rPr>
        <w:t xml:space="preserve">For addressing medicine shortages the Agency shall extend the monitoring and management capacity for all shortages, with a focus on critical shortages, and extend the EMA capacity to support would facilitate availability of critical medicinal products. This appropriate availability and access to medicinal products which may have a serious impact on public health. </w:t>
      </w:r>
    </w:p>
    <w:p w14:paraId="39A51916" w14:textId="77777777" w:rsidR="00086C60" w:rsidRDefault="00086C60" w:rsidP="00086C60">
      <w:pPr>
        <w:pStyle w:val="BodyText"/>
        <w:numPr>
          <w:ilvl w:val="0"/>
          <w:numId w:val="152"/>
        </w:numPr>
        <w:spacing w:line="259" w:lineRule="auto"/>
        <w:jc w:val="both"/>
        <w:rPr>
          <w:noProof/>
        </w:rPr>
      </w:pPr>
      <w:r>
        <w:rPr>
          <w:noProof/>
        </w:rPr>
        <w:t>The Agency shall also extend its capacity to support the enhanced environmental risk assessments.</w:t>
      </w:r>
    </w:p>
    <w:p w14:paraId="0DC02FAC" w14:textId="77777777" w:rsidR="00086C60" w:rsidRDefault="00086C60" w:rsidP="00086C60">
      <w:pPr>
        <w:pStyle w:val="BodyText"/>
        <w:jc w:val="both"/>
        <w:rPr>
          <w:noProof/>
        </w:rPr>
      </w:pPr>
      <w:r>
        <w:rPr>
          <w:noProof/>
        </w:rPr>
        <w:t xml:space="preserve">The modified or new tasks that are related to the one substance, one assessment approach are: </w:t>
      </w:r>
    </w:p>
    <w:p w14:paraId="20F18253" w14:textId="77777777" w:rsidR="00086C60" w:rsidRDefault="00086C60" w:rsidP="00086C60">
      <w:pPr>
        <w:pStyle w:val="BodyText"/>
        <w:numPr>
          <w:ilvl w:val="0"/>
          <w:numId w:val="153"/>
        </w:numPr>
        <w:jc w:val="both"/>
        <w:rPr>
          <w:noProof/>
        </w:rPr>
      </w:pPr>
      <w:r>
        <w:rPr>
          <w:noProof/>
        </w:rPr>
        <w:t>developing coherent scientific assessment methodologies in the fields falling within EMA mission;</w:t>
      </w:r>
    </w:p>
    <w:p w14:paraId="6C215D67" w14:textId="77777777" w:rsidR="00086C60" w:rsidRDefault="00086C60" w:rsidP="00086C60">
      <w:pPr>
        <w:pStyle w:val="BodyText"/>
        <w:numPr>
          <w:ilvl w:val="0"/>
          <w:numId w:val="153"/>
        </w:numPr>
        <w:spacing w:line="259" w:lineRule="auto"/>
        <w:ind w:left="357" w:hanging="357"/>
        <w:jc w:val="both"/>
        <w:rPr>
          <w:noProof/>
        </w:rPr>
      </w:pPr>
      <w:r>
        <w:rPr>
          <w:noProof/>
        </w:rPr>
        <w:t>cooperating with EU decentralised agencies and other scientific authorities and bodies established under Union law, notably the European Chemicals Agency, the European Food Safety Authority, the European Centre for Disease Prevention and Control and the European Environment Agency as regards the scientific assessment of relevant substances, exchange of data and information and development of coherent scientific methodologies, including replacing, reducing or refining animal testing, taking into account the specificities of the assessment of medicinal products;</w:t>
      </w:r>
    </w:p>
    <w:p w14:paraId="57091B8C" w14:textId="77777777" w:rsidR="00086C60" w:rsidRDefault="00086C60" w:rsidP="00086C60">
      <w:pPr>
        <w:pStyle w:val="BodyText"/>
        <w:numPr>
          <w:ilvl w:val="0"/>
          <w:numId w:val="153"/>
        </w:numPr>
        <w:spacing w:line="259" w:lineRule="auto"/>
        <w:ind w:left="357" w:hanging="357"/>
        <w:jc w:val="both"/>
        <w:rPr>
          <w:noProof/>
        </w:rPr>
      </w:pPr>
      <w:r>
        <w:rPr>
          <w:noProof/>
        </w:rPr>
        <w:t xml:space="preserve">take the necessary and appropriate measures to monitor and identify at an early stage any potential source of divergence between its scientific opinions and the scientific opinions issued by other Union bodies and agencies carrying out similar tasks in relation to issues of common concern. Where the Agency identifies a potential source of divergence, it shall contact the body or agency in question to ensure that all relevant scientific or technical information is shared and in order to identify potentially contentious scientific or technical issues. Where a substantive divergence over scientific or technical issues is identified and the body concerned is a Union Agency or a scientific committee, the Agency and the body concerned shall cooperate to resolve the divergence, and inform the Commission without undue delay. </w:t>
      </w:r>
    </w:p>
    <w:p w14:paraId="1372AFB1" w14:textId="77777777" w:rsidR="00086C60" w:rsidRDefault="00086C60" w:rsidP="00086C60">
      <w:pPr>
        <w:pStyle w:val="BodyText"/>
        <w:numPr>
          <w:ilvl w:val="0"/>
          <w:numId w:val="153"/>
        </w:numPr>
        <w:spacing w:line="259" w:lineRule="auto"/>
        <w:ind w:left="357" w:hanging="357"/>
        <w:jc w:val="both"/>
        <w:rPr>
          <w:noProof/>
        </w:rPr>
      </w:pPr>
      <w:r>
        <w:rPr>
          <w:noProof/>
        </w:rPr>
        <w:t>to enable coherence between scientific opinions and to avoid duplication of tests, EMA shall make arrangements with other bodies or agencies established under Union law for cooperation on scientific assessments and methodologies. EMA shall also make arrangements for the exchange of data and information on relevant substances with the Commission, Member States’ authorities and other Union Agencies, in particular for environmental risk assessments, non-clinical studies and maximum residue limits. These arrangements shall seek to ensure that exchanges of data and information are made available in electronic formats and shall protect the commercially confidential nature of the information exchanged and be without prejudice to the provisions on regulatory protection.</w:t>
      </w:r>
    </w:p>
    <w:p w14:paraId="31CAC702" w14:textId="77777777" w:rsidR="00086C60" w:rsidRDefault="00086C60" w:rsidP="00086C60">
      <w:pPr>
        <w:pStyle w:val="BodyText"/>
        <w:numPr>
          <w:ilvl w:val="0"/>
          <w:numId w:val="153"/>
        </w:numPr>
        <w:spacing w:line="259" w:lineRule="auto"/>
        <w:ind w:left="357" w:hanging="357"/>
        <w:jc w:val="both"/>
        <w:rPr>
          <w:noProof/>
        </w:rPr>
      </w:pPr>
      <w:r w:rsidRPr="001F32B1">
        <w:rPr>
          <w:noProof/>
        </w:rPr>
        <w:t>electronic applications for marketing authorisations and for variations to the terms of the marketing authorisations shall be introduced to avoid unnecessary administrative and financial burden both for the pharmaceutical industry and the competent authorities and EMA shall</w:t>
      </w:r>
      <w:r>
        <w:rPr>
          <w:noProof/>
        </w:rPr>
        <w:t xml:space="preserve"> make available such electronic formats.</w:t>
      </w:r>
    </w:p>
    <w:p w14:paraId="4B4169EC" w14:textId="77777777" w:rsidR="00086C60" w:rsidRDefault="00086C60" w:rsidP="00086C60">
      <w:pPr>
        <w:pStyle w:val="BodyText"/>
        <w:numPr>
          <w:ilvl w:val="0"/>
          <w:numId w:val="153"/>
        </w:numPr>
        <w:spacing w:line="259" w:lineRule="auto"/>
        <w:ind w:left="357" w:hanging="357"/>
        <w:jc w:val="both"/>
        <w:rPr>
          <w:noProof/>
        </w:rPr>
      </w:pPr>
      <w:r>
        <w:rPr>
          <w:noProof/>
        </w:rPr>
        <w:t xml:space="preserve">EMA shall set-up an active substance based review system of environmental risk assessments (‘ERA monographs’) for authorised medicinal products. An ERA monograph shall include a comprehensive set of physicochemical data, fate data and effect data based on an assessment of active substances. </w:t>
      </w:r>
    </w:p>
    <w:p w14:paraId="77AA73D9" w14:textId="40E60F97" w:rsidR="000A7D9D" w:rsidRPr="00207447" w:rsidRDefault="000A7D9D" w:rsidP="000A7D9D">
      <w:pPr>
        <w:pStyle w:val="BodyText"/>
        <w:jc w:val="both"/>
        <w:rPr>
          <w:noProof/>
        </w:rPr>
      </w:pPr>
      <w:r w:rsidRPr="00207447">
        <w:rPr>
          <w:b/>
          <w:bCs/>
          <w:noProof/>
        </w:rPr>
        <w:t xml:space="preserve">Proximity to Agency mandate: </w:t>
      </w:r>
      <w:r w:rsidRPr="00207447">
        <w:rPr>
          <w:noProof/>
        </w:rPr>
        <w:t xml:space="preserve">The tasks fit well with the mandate of EMA as all three tasks target the areas of the EMA mandate, and they are </w:t>
      </w:r>
      <w:r w:rsidR="00086C60">
        <w:rPr>
          <w:noProof/>
        </w:rPr>
        <w:t xml:space="preserve">either an </w:t>
      </w:r>
      <w:r w:rsidRPr="00207447">
        <w:rPr>
          <w:noProof/>
        </w:rPr>
        <w:t>expansion of existing tasks</w:t>
      </w:r>
      <w:r w:rsidR="00086C60">
        <w:rPr>
          <w:noProof/>
        </w:rPr>
        <w:t xml:space="preserve"> or addition of new tasks related to medicines</w:t>
      </w:r>
      <w:r w:rsidRPr="00207447">
        <w:rPr>
          <w:noProof/>
        </w:rPr>
        <w:t>.</w:t>
      </w:r>
    </w:p>
    <w:p w14:paraId="612B3D6C" w14:textId="77777777" w:rsidR="000A7D9D" w:rsidRPr="00207447" w:rsidRDefault="000A7D9D" w:rsidP="000A7D9D">
      <w:pPr>
        <w:pStyle w:val="BodyText"/>
        <w:jc w:val="both"/>
        <w:rPr>
          <w:noProof/>
        </w:rPr>
      </w:pPr>
      <w:r w:rsidRPr="00207447">
        <w:rPr>
          <w:b/>
          <w:bCs/>
          <w:noProof/>
        </w:rPr>
        <w:t xml:space="preserve">Projected synergies and added value of reattribution: </w:t>
      </w:r>
      <w:r w:rsidRPr="00207447">
        <w:rPr>
          <w:noProof/>
        </w:rPr>
        <w:t xml:space="preserve">Improving coherence, consistency and interoperability among the Agencies work is the key added value. </w:t>
      </w:r>
    </w:p>
    <w:p w14:paraId="6F810C37" w14:textId="77777777" w:rsidR="000A7D9D" w:rsidRPr="00207447" w:rsidRDefault="000A7D9D" w:rsidP="000A7D9D">
      <w:pPr>
        <w:pStyle w:val="BodyText"/>
        <w:rPr>
          <w:noProof/>
        </w:rPr>
      </w:pPr>
      <w:r w:rsidRPr="00207447">
        <w:rPr>
          <w:b/>
          <w:bCs/>
          <w:noProof/>
        </w:rPr>
        <w:t>Workload and resource implications:</w:t>
      </w:r>
    </w:p>
    <w:p w14:paraId="44BE8F78" w14:textId="77777777" w:rsidR="000A7D9D" w:rsidRPr="00207447" w:rsidRDefault="000A7D9D" w:rsidP="000A7D9D">
      <w:pPr>
        <w:spacing w:after="120"/>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Future workload and resource needs:</w:t>
      </w:r>
    </w:p>
    <w:p w14:paraId="7DC9A4AF" w14:textId="77777777" w:rsidR="00086C60" w:rsidRDefault="00086C60" w:rsidP="00086C60">
      <w:pPr>
        <w:pStyle w:val="BodyText"/>
        <w:spacing w:line="259" w:lineRule="auto"/>
        <w:jc w:val="both"/>
        <w:rPr>
          <w:noProof/>
        </w:rPr>
      </w:pPr>
      <w:r>
        <w:rPr>
          <w:noProof/>
        </w:rPr>
        <w:t xml:space="preserve">The new tasks require additional resources for EMA. The additional resource needs are mainly related to additional tasks to be carried out by EMA in terms of providing scientific, administrative and IT support in the following main areas: </w:t>
      </w:r>
    </w:p>
    <w:p w14:paraId="3BBFD87E" w14:textId="77777777" w:rsidR="00086C60" w:rsidRDefault="00086C60" w:rsidP="00086C60">
      <w:pPr>
        <w:pStyle w:val="BodyText"/>
        <w:numPr>
          <w:ilvl w:val="0"/>
          <w:numId w:val="154"/>
        </w:numPr>
        <w:spacing w:after="0" w:line="259" w:lineRule="auto"/>
        <w:ind w:left="714" w:hanging="357"/>
        <w:jc w:val="both"/>
        <w:rPr>
          <w:noProof/>
        </w:rPr>
      </w:pPr>
      <w:r>
        <w:rPr>
          <w:noProof/>
        </w:rPr>
        <w:t xml:space="preserve">enhanced pre-authorisation scientific and regulatory support; </w:t>
      </w:r>
    </w:p>
    <w:p w14:paraId="49E12A9F" w14:textId="77777777" w:rsidR="00086C60" w:rsidRDefault="00086C60" w:rsidP="00086C60">
      <w:pPr>
        <w:pStyle w:val="BodyText"/>
        <w:numPr>
          <w:ilvl w:val="0"/>
          <w:numId w:val="154"/>
        </w:numPr>
        <w:spacing w:after="0" w:line="259" w:lineRule="auto"/>
        <w:ind w:left="714" w:hanging="357"/>
        <w:jc w:val="both"/>
        <w:rPr>
          <w:noProof/>
        </w:rPr>
      </w:pPr>
      <w:r>
        <w:rPr>
          <w:noProof/>
        </w:rPr>
        <w:t xml:space="preserve">decision-making on orphan designations and management of the Union Register of designated orphan medicinal products; </w:t>
      </w:r>
    </w:p>
    <w:p w14:paraId="5E2CEF39" w14:textId="77777777" w:rsidR="00086C60" w:rsidRDefault="00086C60" w:rsidP="00086C60">
      <w:pPr>
        <w:pStyle w:val="BodyText"/>
        <w:numPr>
          <w:ilvl w:val="0"/>
          <w:numId w:val="154"/>
        </w:numPr>
        <w:spacing w:after="0" w:line="259" w:lineRule="auto"/>
        <w:ind w:left="714" w:hanging="357"/>
        <w:jc w:val="both"/>
        <w:rPr>
          <w:noProof/>
        </w:rPr>
      </w:pPr>
      <w:r>
        <w:rPr>
          <w:noProof/>
        </w:rPr>
        <w:t xml:space="preserve">active substance master file assessment and certification; </w:t>
      </w:r>
    </w:p>
    <w:p w14:paraId="7CE25943" w14:textId="77777777" w:rsidR="00086C60" w:rsidRDefault="00086C60" w:rsidP="00086C60">
      <w:pPr>
        <w:pStyle w:val="BodyText"/>
        <w:numPr>
          <w:ilvl w:val="0"/>
          <w:numId w:val="154"/>
        </w:numPr>
        <w:spacing w:after="0" w:line="259" w:lineRule="auto"/>
        <w:ind w:left="714" w:hanging="357"/>
        <w:jc w:val="both"/>
        <w:rPr>
          <w:noProof/>
        </w:rPr>
      </w:pPr>
      <w:r>
        <w:rPr>
          <w:noProof/>
        </w:rPr>
        <w:t xml:space="preserve">inspection capacities for inspections in third countries and support to Member States; </w:t>
      </w:r>
    </w:p>
    <w:p w14:paraId="12874D56" w14:textId="77777777" w:rsidR="00086C60" w:rsidRDefault="00086C60" w:rsidP="00086C60">
      <w:pPr>
        <w:pStyle w:val="BodyText"/>
        <w:numPr>
          <w:ilvl w:val="0"/>
          <w:numId w:val="154"/>
        </w:numPr>
        <w:spacing w:after="0" w:line="259" w:lineRule="auto"/>
        <w:ind w:left="714" w:hanging="357"/>
        <w:jc w:val="both"/>
        <w:rPr>
          <w:noProof/>
        </w:rPr>
      </w:pPr>
      <w:r>
        <w:rPr>
          <w:noProof/>
        </w:rPr>
        <w:t xml:space="preserve">environmental risk assessment strengthening; </w:t>
      </w:r>
    </w:p>
    <w:p w14:paraId="6BAEA897" w14:textId="77777777" w:rsidR="00086C60" w:rsidRDefault="00086C60" w:rsidP="00086C60">
      <w:pPr>
        <w:pStyle w:val="BodyText"/>
        <w:numPr>
          <w:ilvl w:val="0"/>
          <w:numId w:val="154"/>
        </w:numPr>
        <w:spacing w:line="259" w:lineRule="auto"/>
        <w:jc w:val="both"/>
        <w:rPr>
          <w:b/>
          <w:bCs/>
          <w:noProof/>
        </w:rPr>
      </w:pPr>
      <w:r>
        <w:rPr>
          <w:noProof/>
        </w:rPr>
        <w:t>shortage management and security of supply.</w:t>
      </w:r>
    </w:p>
    <w:p w14:paraId="2686AC95" w14:textId="77777777" w:rsidR="00086C60" w:rsidRDefault="00086C60" w:rsidP="00086C60">
      <w:pPr>
        <w:pStyle w:val="BodyText"/>
        <w:jc w:val="both"/>
        <w:rPr>
          <w:noProof/>
        </w:rPr>
      </w:pPr>
      <w:r>
        <w:rPr>
          <w:noProof/>
        </w:rPr>
        <w:t xml:space="preserve">As described in the legislative financial statement accompanying the proposals, the following resources are needed:  </w:t>
      </w:r>
    </w:p>
    <w:p w14:paraId="17979032" w14:textId="77777777" w:rsidR="00086C60" w:rsidRDefault="00086C60" w:rsidP="00086C60">
      <w:pPr>
        <w:pStyle w:val="BodyText"/>
        <w:numPr>
          <w:ilvl w:val="0"/>
          <w:numId w:val="88"/>
        </w:numPr>
        <w:spacing w:line="259" w:lineRule="auto"/>
        <w:ind w:left="714" w:hanging="357"/>
        <w:jc w:val="both"/>
        <w:rPr>
          <w:noProof/>
        </w:rPr>
      </w:pPr>
      <w:r>
        <w:rPr>
          <w:noProof/>
        </w:rPr>
        <w:t>6 FTEs (4 AD and 2 AST TAs) are necessary to set up the Academia Office at EMA that will be managing the procedures. The tasks of the office will be similar to the tasks of the SME office and will include procedural and administrative assistance to “not-for-profit” entities, including direct assistance and briefing meetings on regulatory strategy, providing fee waivers and reductions to eligible entities, provide free-of-charge translations of the product information in all EU languages for initial EU marketing authorisations, provide training and education to “not-for-profit” entities, etc</w:t>
      </w:r>
    </w:p>
    <w:p w14:paraId="2C838D41" w14:textId="77777777" w:rsidR="00086C60" w:rsidRDefault="00086C60" w:rsidP="00086C60">
      <w:pPr>
        <w:pStyle w:val="BodyText"/>
        <w:numPr>
          <w:ilvl w:val="0"/>
          <w:numId w:val="88"/>
        </w:numPr>
        <w:jc w:val="both"/>
        <w:rPr>
          <w:noProof/>
        </w:rPr>
      </w:pPr>
      <w:r>
        <w:rPr>
          <w:noProof/>
        </w:rPr>
        <w:t>54 FTEs:</w:t>
      </w:r>
    </w:p>
    <w:p w14:paraId="4DCECE34" w14:textId="77777777" w:rsidR="00086C60" w:rsidRDefault="00086C60" w:rsidP="00086C60">
      <w:pPr>
        <w:pStyle w:val="BodyText"/>
        <w:numPr>
          <w:ilvl w:val="1"/>
          <w:numId w:val="88"/>
        </w:numPr>
        <w:spacing w:line="259" w:lineRule="auto"/>
        <w:ind w:left="1434" w:hanging="357"/>
        <w:jc w:val="both"/>
        <w:rPr>
          <w:noProof/>
        </w:rPr>
      </w:pPr>
      <w:r>
        <w:rPr>
          <w:noProof/>
        </w:rPr>
        <w:t xml:space="preserve">managing (AD profiles) and providing support (AST profiles) to operational expert groups in the area of the Environmental Risk Assessment (ERA); </w:t>
      </w:r>
    </w:p>
    <w:p w14:paraId="11C987B2" w14:textId="77777777" w:rsidR="00086C60" w:rsidRDefault="00086C60" w:rsidP="00086C60">
      <w:pPr>
        <w:pStyle w:val="BodyText"/>
        <w:numPr>
          <w:ilvl w:val="1"/>
          <w:numId w:val="88"/>
        </w:numPr>
        <w:spacing w:line="259" w:lineRule="auto"/>
        <w:ind w:left="1434" w:hanging="357"/>
        <w:jc w:val="both"/>
        <w:rPr>
          <w:noProof/>
        </w:rPr>
      </w:pPr>
      <w:r>
        <w:rPr>
          <w:noProof/>
        </w:rPr>
        <w:t xml:space="preserve">with a scientific and regulatory profile to work in the shortages management and security of supply; </w:t>
      </w:r>
    </w:p>
    <w:p w14:paraId="7B67733B" w14:textId="77777777" w:rsidR="00086C60" w:rsidRDefault="00086C60" w:rsidP="00086C60">
      <w:pPr>
        <w:pStyle w:val="BodyText"/>
        <w:numPr>
          <w:ilvl w:val="1"/>
          <w:numId w:val="88"/>
        </w:numPr>
        <w:spacing w:line="259" w:lineRule="auto"/>
        <w:ind w:left="1434" w:hanging="357"/>
        <w:jc w:val="both"/>
        <w:rPr>
          <w:noProof/>
        </w:rPr>
      </w:pPr>
      <w:r>
        <w:rPr>
          <w:noProof/>
        </w:rPr>
        <w:t xml:space="preserve">Good Manufacturing Practice and Good Clinical Practice inspectors (AD) necessary to establish an EU inspectorate resourced by EMA staff that would provide help to the inspections done by Member States (lacking resources), and deal with emergency situations which require dedicated and dependable intervention (e.g., similar to inspections required during the pandemic); </w:t>
      </w:r>
    </w:p>
    <w:p w14:paraId="4ABC87C8" w14:textId="77777777" w:rsidR="00086C60" w:rsidRDefault="00086C60" w:rsidP="00086C60">
      <w:pPr>
        <w:pStyle w:val="BodyText"/>
        <w:numPr>
          <w:ilvl w:val="1"/>
          <w:numId w:val="88"/>
        </w:numPr>
        <w:spacing w:line="259" w:lineRule="auto"/>
        <w:ind w:left="1434" w:hanging="357"/>
        <w:jc w:val="both"/>
        <w:rPr>
          <w:noProof/>
        </w:rPr>
      </w:pPr>
      <w:r>
        <w:rPr>
          <w:noProof/>
        </w:rPr>
        <w:t xml:space="preserve">Legal officers (AD profiles), needed in the field of orphan designations that are already today a litigious topic and so it is assumed the proposed changes in the decision making on orphan designation would generate an increased in workload for even more legal queries and litigations; </w:t>
      </w:r>
    </w:p>
    <w:p w14:paraId="3DB1EC7B" w14:textId="77777777" w:rsidR="00086C60" w:rsidRDefault="00086C60" w:rsidP="00086C60">
      <w:pPr>
        <w:pStyle w:val="BodyText"/>
        <w:numPr>
          <w:ilvl w:val="1"/>
          <w:numId w:val="88"/>
        </w:numPr>
        <w:spacing w:line="259" w:lineRule="auto"/>
        <w:ind w:left="1434" w:hanging="357"/>
        <w:jc w:val="both"/>
        <w:rPr>
          <w:noProof/>
        </w:rPr>
      </w:pPr>
      <w:r>
        <w:rPr>
          <w:noProof/>
        </w:rPr>
        <w:t xml:space="preserve">defining business requirements for the data register, following up on the implementation and perform the related scientific activities when the register is live;, develop trainings on ERA, etc.; </w:t>
      </w:r>
    </w:p>
    <w:p w14:paraId="6DCA08F1" w14:textId="77777777" w:rsidR="00086C60" w:rsidRDefault="00086C60" w:rsidP="00086C60">
      <w:pPr>
        <w:pStyle w:val="BodyText"/>
        <w:numPr>
          <w:ilvl w:val="1"/>
          <w:numId w:val="88"/>
        </w:numPr>
        <w:spacing w:line="259" w:lineRule="auto"/>
        <w:ind w:left="1434" w:hanging="357"/>
        <w:jc w:val="both"/>
        <w:rPr>
          <w:noProof/>
        </w:rPr>
      </w:pPr>
      <w:r>
        <w:rPr>
          <w:noProof/>
        </w:rPr>
        <w:t xml:space="preserve">providing administrative support to the operational expert groups; </w:t>
      </w:r>
    </w:p>
    <w:p w14:paraId="274D8BD3" w14:textId="77777777" w:rsidR="00086C60" w:rsidRDefault="00086C60" w:rsidP="00086C60">
      <w:pPr>
        <w:pStyle w:val="BodyText"/>
        <w:numPr>
          <w:ilvl w:val="1"/>
          <w:numId w:val="88"/>
        </w:numPr>
        <w:spacing w:line="259" w:lineRule="auto"/>
        <w:ind w:left="1434" w:hanging="357"/>
        <w:jc w:val="both"/>
        <w:rPr>
          <w:noProof/>
        </w:rPr>
      </w:pPr>
      <w:r>
        <w:rPr>
          <w:noProof/>
        </w:rPr>
        <w:t xml:space="preserve">working in the area of inspection planning; </w:t>
      </w:r>
    </w:p>
    <w:p w14:paraId="3C5223C6" w14:textId="580A8999" w:rsidR="000A7D9D" w:rsidRPr="00086C60" w:rsidRDefault="00086C60" w:rsidP="00086C60">
      <w:pPr>
        <w:pStyle w:val="BodyText"/>
        <w:numPr>
          <w:ilvl w:val="1"/>
          <w:numId w:val="88"/>
        </w:numPr>
        <w:spacing w:line="259" w:lineRule="auto"/>
        <w:ind w:left="1434" w:hanging="357"/>
        <w:jc w:val="both"/>
        <w:rPr>
          <w:noProof/>
        </w:rPr>
      </w:pPr>
      <w:r>
        <w:rPr>
          <w:noProof/>
        </w:rPr>
        <w:t>general assistants, assistants, supporting on procedural aspects or working on document creation.</w:t>
      </w:r>
    </w:p>
    <w:p w14:paraId="363339C6" w14:textId="77777777" w:rsidR="000A7D9D" w:rsidRPr="00207447" w:rsidRDefault="000A7D9D" w:rsidP="000A7D9D">
      <w:pPr>
        <w:pStyle w:val="BodyText"/>
        <w:jc w:val="both"/>
        <w:rPr>
          <w:rFonts w:eastAsiaTheme="minorEastAsia"/>
          <w:noProof/>
          <w:lang w:val="en-US" w:eastAsia="en-GB"/>
        </w:rPr>
      </w:pPr>
      <w:r w:rsidRPr="00207447">
        <w:rPr>
          <w:rFonts w:eastAsiaTheme="minorEastAsia"/>
          <w:noProof/>
          <w:lang w:val="en-US" w:eastAsia="en-GB"/>
        </w:rPr>
        <w:t>Summary of additional resource needs for Medicinal Products Regulation:</w:t>
      </w:r>
    </w:p>
    <w:tbl>
      <w:tblPr>
        <w:tblStyle w:val="TableGrid"/>
        <w:tblW w:w="0" w:type="auto"/>
        <w:tblLook w:val="04A0" w:firstRow="1" w:lastRow="0" w:firstColumn="1" w:lastColumn="0" w:noHBand="0" w:noVBand="1"/>
      </w:tblPr>
      <w:tblGrid>
        <w:gridCol w:w="1454"/>
        <w:gridCol w:w="4575"/>
        <w:gridCol w:w="1763"/>
        <w:gridCol w:w="1837"/>
      </w:tblGrid>
      <w:tr w:rsidR="000A7D9D" w:rsidRPr="00C56424" w14:paraId="2E576F21" w14:textId="77777777" w:rsidTr="00F31937">
        <w:trPr>
          <w:trHeight w:val="300"/>
        </w:trPr>
        <w:tc>
          <w:tcPr>
            <w:tcW w:w="1454" w:type="dxa"/>
            <w:shd w:val="clear" w:color="auto" w:fill="D9D9D9" w:themeFill="background1" w:themeFillShade="D9"/>
          </w:tcPr>
          <w:p w14:paraId="663C2869"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4575" w:type="dxa"/>
            <w:shd w:val="clear" w:color="auto" w:fill="D9D9D9" w:themeFill="background1" w:themeFillShade="D9"/>
          </w:tcPr>
          <w:p w14:paraId="2CE728ED"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763" w:type="dxa"/>
            <w:shd w:val="clear" w:color="auto" w:fill="D9D9D9" w:themeFill="background1" w:themeFillShade="D9"/>
          </w:tcPr>
          <w:p w14:paraId="3B19CB56" w14:textId="77777777" w:rsidR="000A7D9D" w:rsidRPr="00C56424" w:rsidRDefault="000A7D9D" w:rsidP="00F31937">
            <w:pPr>
              <w:pStyle w:val="BodyText"/>
              <w:tabs>
                <w:tab w:val="left" w:pos="4170"/>
              </w:tabs>
              <w:rPr>
                <w:noProof/>
                <w:sz w:val="20"/>
                <w:szCs w:val="20"/>
              </w:rPr>
            </w:pPr>
          </w:p>
        </w:tc>
        <w:tc>
          <w:tcPr>
            <w:tcW w:w="1837" w:type="dxa"/>
            <w:shd w:val="clear" w:color="auto" w:fill="D9D9D9" w:themeFill="background1" w:themeFillShade="D9"/>
          </w:tcPr>
          <w:p w14:paraId="679A87C5" w14:textId="77777777" w:rsidR="000A7D9D" w:rsidRPr="00C56424" w:rsidRDefault="000A7D9D" w:rsidP="00F31937">
            <w:pPr>
              <w:pStyle w:val="BodyText"/>
              <w:tabs>
                <w:tab w:val="left" w:pos="4170"/>
              </w:tabs>
              <w:spacing w:after="0"/>
              <w:rPr>
                <w:noProof/>
                <w:sz w:val="20"/>
                <w:szCs w:val="20"/>
              </w:rPr>
            </w:pPr>
          </w:p>
        </w:tc>
      </w:tr>
      <w:tr w:rsidR="000A7D9D" w:rsidRPr="00187DBF" w14:paraId="69E69DAB" w14:textId="77777777" w:rsidTr="00F31937">
        <w:trPr>
          <w:trHeight w:val="300"/>
        </w:trPr>
        <w:tc>
          <w:tcPr>
            <w:tcW w:w="1454" w:type="dxa"/>
            <w:vMerge w:val="restart"/>
            <w:shd w:val="clear" w:color="auto" w:fill="D9D9D9" w:themeFill="background1" w:themeFillShade="D9"/>
          </w:tcPr>
          <w:p w14:paraId="6B4F014E" w14:textId="77777777" w:rsidR="000A7D9D" w:rsidRPr="00C56424" w:rsidRDefault="000A7D9D" w:rsidP="00F31937">
            <w:pPr>
              <w:pStyle w:val="BodyText"/>
              <w:spacing w:line="259" w:lineRule="auto"/>
              <w:rPr>
                <w:noProof/>
                <w:sz w:val="20"/>
                <w:szCs w:val="20"/>
              </w:rPr>
            </w:pPr>
            <w:r w:rsidRPr="00C56424">
              <w:rPr>
                <w:noProof/>
                <w:sz w:val="20"/>
                <w:szCs w:val="20"/>
              </w:rPr>
              <w:t>EMA</w:t>
            </w:r>
          </w:p>
        </w:tc>
        <w:tc>
          <w:tcPr>
            <w:tcW w:w="4575" w:type="dxa"/>
            <w:vMerge w:val="restart"/>
            <w:shd w:val="clear" w:color="auto" w:fill="D9D9D9" w:themeFill="background1" w:themeFillShade="D9"/>
          </w:tcPr>
          <w:p w14:paraId="041705DB" w14:textId="5D6C01D7" w:rsidR="000A7D9D" w:rsidRPr="00C56424" w:rsidRDefault="00086C60" w:rsidP="00F31937">
            <w:pPr>
              <w:pStyle w:val="BodyText"/>
              <w:spacing w:after="0"/>
              <w:rPr>
                <w:noProof/>
                <w:sz w:val="20"/>
                <w:szCs w:val="20"/>
              </w:rPr>
            </w:pPr>
            <w:r>
              <w:rPr>
                <w:noProof/>
                <w:sz w:val="20"/>
                <w:szCs w:val="20"/>
              </w:rPr>
              <w:t>See above</w:t>
            </w:r>
          </w:p>
        </w:tc>
        <w:tc>
          <w:tcPr>
            <w:tcW w:w="1763" w:type="dxa"/>
            <w:shd w:val="clear" w:color="auto" w:fill="D9D9D9" w:themeFill="background1" w:themeFillShade="D9"/>
          </w:tcPr>
          <w:p w14:paraId="02484E8C"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1837" w:type="dxa"/>
            <w:shd w:val="clear" w:color="auto" w:fill="D9D9D9" w:themeFill="background1" w:themeFillShade="D9"/>
          </w:tcPr>
          <w:p w14:paraId="2AF9F5E0" w14:textId="77777777" w:rsidR="000A7D9D" w:rsidRPr="00142420" w:rsidRDefault="000A7D9D" w:rsidP="00F31937">
            <w:pPr>
              <w:pStyle w:val="BodyText"/>
              <w:tabs>
                <w:tab w:val="left" w:pos="4170"/>
              </w:tabs>
              <w:spacing w:after="0"/>
              <w:rPr>
                <w:noProof/>
                <w:sz w:val="20"/>
                <w:szCs w:val="20"/>
                <w:lang w:val="fr-BE"/>
              </w:rPr>
            </w:pPr>
            <w:r w:rsidRPr="00142420">
              <w:rPr>
                <w:noProof/>
                <w:sz w:val="20"/>
                <w:szCs w:val="20"/>
                <w:lang w:val="fr-BE"/>
              </w:rPr>
              <w:t xml:space="preserve">2024: </w:t>
            </w:r>
            <w:r w:rsidRPr="00142420">
              <w:rPr>
                <w:b/>
                <w:noProof/>
                <w:sz w:val="20"/>
                <w:szCs w:val="20"/>
                <w:lang w:val="fr-BE"/>
              </w:rPr>
              <w:t>EUR</w:t>
            </w:r>
            <w:r w:rsidRPr="00142420">
              <w:rPr>
                <w:noProof/>
                <w:sz w:val="20"/>
                <w:szCs w:val="20"/>
                <w:lang w:val="fr-BE"/>
              </w:rPr>
              <w:t xml:space="preserve"> </w:t>
            </w:r>
            <w:r w:rsidRPr="00142420">
              <w:rPr>
                <w:b/>
                <w:noProof/>
                <w:sz w:val="20"/>
                <w:szCs w:val="20"/>
                <w:lang w:val="fr-BE"/>
              </w:rPr>
              <w:t>0</w:t>
            </w:r>
            <w:r w:rsidRPr="00142420">
              <w:rPr>
                <w:noProof/>
                <w:sz w:val="20"/>
                <w:szCs w:val="20"/>
                <w:lang w:val="fr-BE"/>
              </w:rPr>
              <w:t xml:space="preserve"> </w:t>
            </w:r>
          </w:p>
          <w:p w14:paraId="525A61E0" w14:textId="77777777" w:rsidR="000A7D9D" w:rsidRPr="00142420" w:rsidRDefault="000A7D9D" w:rsidP="00F31937">
            <w:pPr>
              <w:pStyle w:val="BodyText"/>
              <w:tabs>
                <w:tab w:val="left" w:pos="4170"/>
              </w:tabs>
              <w:spacing w:after="0"/>
              <w:rPr>
                <w:noProof/>
                <w:sz w:val="20"/>
                <w:szCs w:val="20"/>
                <w:lang w:val="fr-BE"/>
              </w:rPr>
            </w:pPr>
            <w:r w:rsidRPr="00142420">
              <w:rPr>
                <w:noProof/>
                <w:sz w:val="20"/>
                <w:szCs w:val="20"/>
                <w:lang w:val="fr-BE"/>
              </w:rPr>
              <w:t xml:space="preserve">2025: </w:t>
            </w:r>
            <w:r w:rsidRPr="00142420">
              <w:rPr>
                <w:b/>
                <w:noProof/>
                <w:sz w:val="20"/>
                <w:szCs w:val="20"/>
                <w:lang w:val="fr-BE"/>
              </w:rPr>
              <w:t>EUR</w:t>
            </w:r>
            <w:r w:rsidRPr="00142420">
              <w:rPr>
                <w:noProof/>
                <w:sz w:val="20"/>
                <w:szCs w:val="20"/>
                <w:lang w:val="fr-BE"/>
              </w:rPr>
              <w:t xml:space="preserve"> </w:t>
            </w:r>
            <w:r w:rsidRPr="00142420">
              <w:rPr>
                <w:b/>
                <w:noProof/>
                <w:sz w:val="20"/>
                <w:szCs w:val="20"/>
                <w:lang w:val="fr-BE"/>
              </w:rPr>
              <w:t>0</w:t>
            </w:r>
          </w:p>
          <w:p w14:paraId="7069B480" w14:textId="77777777" w:rsidR="000A7D9D" w:rsidRPr="00142420" w:rsidRDefault="000A7D9D" w:rsidP="00F31937">
            <w:pPr>
              <w:pStyle w:val="BodyText"/>
              <w:tabs>
                <w:tab w:val="left" w:pos="4170"/>
              </w:tabs>
              <w:spacing w:after="0"/>
              <w:rPr>
                <w:noProof/>
                <w:sz w:val="20"/>
                <w:szCs w:val="20"/>
                <w:lang w:val="fr-BE"/>
              </w:rPr>
            </w:pPr>
            <w:r w:rsidRPr="00142420">
              <w:rPr>
                <w:noProof/>
                <w:sz w:val="20"/>
                <w:szCs w:val="20"/>
                <w:lang w:val="fr-BE"/>
              </w:rPr>
              <w:t xml:space="preserve">2026: </w:t>
            </w:r>
            <w:r w:rsidRPr="00142420">
              <w:rPr>
                <w:b/>
                <w:noProof/>
                <w:sz w:val="20"/>
                <w:szCs w:val="20"/>
                <w:lang w:val="fr-BE"/>
              </w:rPr>
              <w:t>EUR</w:t>
            </w:r>
            <w:r w:rsidRPr="00142420">
              <w:rPr>
                <w:noProof/>
                <w:sz w:val="20"/>
                <w:szCs w:val="20"/>
                <w:lang w:val="fr-BE"/>
              </w:rPr>
              <w:t xml:space="preserve"> </w:t>
            </w:r>
            <w:r w:rsidRPr="00142420">
              <w:rPr>
                <w:b/>
                <w:noProof/>
                <w:sz w:val="20"/>
                <w:szCs w:val="20"/>
                <w:lang w:val="fr-BE"/>
              </w:rPr>
              <w:t>0</w:t>
            </w:r>
          </w:p>
          <w:p w14:paraId="223E8272" w14:textId="77777777" w:rsidR="000A7D9D" w:rsidRPr="00142420" w:rsidRDefault="000A7D9D" w:rsidP="00F31937">
            <w:pPr>
              <w:pStyle w:val="BodyText"/>
              <w:tabs>
                <w:tab w:val="left" w:pos="4170"/>
              </w:tabs>
              <w:spacing w:after="0"/>
              <w:rPr>
                <w:b/>
                <w:noProof/>
                <w:sz w:val="20"/>
                <w:szCs w:val="20"/>
                <w:lang w:val="fr-BE"/>
              </w:rPr>
            </w:pPr>
            <w:r w:rsidRPr="00142420">
              <w:rPr>
                <w:noProof/>
                <w:sz w:val="20"/>
                <w:szCs w:val="20"/>
                <w:lang w:val="fr-BE"/>
              </w:rPr>
              <w:t xml:space="preserve">2027: </w:t>
            </w:r>
            <w:r w:rsidRPr="00142420">
              <w:rPr>
                <w:b/>
                <w:noProof/>
                <w:sz w:val="20"/>
                <w:szCs w:val="20"/>
                <w:lang w:val="fr-BE"/>
              </w:rPr>
              <w:t>EUR</w:t>
            </w:r>
            <w:r w:rsidRPr="00142420">
              <w:rPr>
                <w:noProof/>
                <w:sz w:val="20"/>
                <w:szCs w:val="20"/>
                <w:lang w:val="fr-BE"/>
              </w:rPr>
              <w:t xml:space="preserve"> </w:t>
            </w:r>
            <w:r w:rsidRPr="00142420">
              <w:rPr>
                <w:b/>
                <w:noProof/>
                <w:sz w:val="20"/>
                <w:szCs w:val="20"/>
                <w:lang w:val="fr-BE"/>
              </w:rPr>
              <w:t>0</w:t>
            </w:r>
          </w:p>
          <w:p w14:paraId="531F1146" w14:textId="77777777" w:rsidR="000A7D9D" w:rsidRPr="00142420" w:rsidRDefault="000A7D9D" w:rsidP="00F31937">
            <w:pPr>
              <w:pStyle w:val="BodyText"/>
              <w:tabs>
                <w:tab w:val="left" w:pos="4170"/>
              </w:tabs>
              <w:spacing w:after="0"/>
              <w:rPr>
                <w:noProof/>
                <w:sz w:val="20"/>
                <w:szCs w:val="20"/>
                <w:lang w:val="fr-BE"/>
              </w:rPr>
            </w:pPr>
            <w:r w:rsidRPr="00142420">
              <w:rPr>
                <w:noProof/>
                <w:sz w:val="20"/>
                <w:szCs w:val="20"/>
                <w:lang w:val="fr-BE"/>
              </w:rPr>
              <w:t xml:space="preserve">2028: </w:t>
            </w:r>
            <w:r w:rsidRPr="00142420">
              <w:rPr>
                <w:b/>
                <w:noProof/>
                <w:sz w:val="20"/>
                <w:szCs w:val="20"/>
                <w:lang w:val="fr-BE"/>
              </w:rPr>
              <w:t>EUR 0</w:t>
            </w:r>
          </w:p>
        </w:tc>
      </w:tr>
      <w:tr w:rsidR="000A7D9D" w:rsidRPr="00C56424" w14:paraId="7DFF8766" w14:textId="77777777" w:rsidTr="00F31937">
        <w:trPr>
          <w:trHeight w:val="300"/>
        </w:trPr>
        <w:tc>
          <w:tcPr>
            <w:tcW w:w="1454" w:type="dxa"/>
            <w:vMerge/>
            <w:shd w:val="clear" w:color="auto" w:fill="D9D9D9" w:themeFill="background1" w:themeFillShade="D9"/>
          </w:tcPr>
          <w:p w14:paraId="4F3B90E5" w14:textId="77777777" w:rsidR="000A7D9D" w:rsidRPr="00142420" w:rsidRDefault="000A7D9D" w:rsidP="00F31937">
            <w:pPr>
              <w:pStyle w:val="BodyText"/>
              <w:rPr>
                <w:noProof/>
                <w:sz w:val="20"/>
                <w:szCs w:val="20"/>
                <w:lang w:val="fr-BE"/>
              </w:rPr>
            </w:pPr>
          </w:p>
        </w:tc>
        <w:tc>
          <w:tcPr>
            <w:tcW w:w="4575" w:type="dxa"/>
            <w:vMerge/>
            <w:shd w:val="clear" w:color="auto" w:fill="D9D9D9" w:themeFill="background1" w:themeFillShade="D9"/>
          </w:tcPr>
          <w:p w14:paraId="3B3290FC" w14:textId="77777777" w:rsidR="000A7D9D" w:rsidRPr="00142420" w:rsidRDefault="000A7D9D" w:rsidP="00F31937">
            <w:pPr>
              <w:pStyle w:val="BodyText"/>
              <w:rPr>
                <w:noProof/>
                <w:sz w:val="20"/>
                <w:szCs w:val="20"/>
                <w:lang w:val="fr-BE"/>
              </w:rPr>
            </w:pPr>
          </w:p>
        </w:tc>
        <w:tc>
          <w:tcPr>
            <w:tcW w:w="1763" w:type="dxa"/>
            <w:shd w:val="clear" w:color="auto" w:fill="D9D9D9" w:themeFill="background1" w:themeFillShade="D9"/>
          </w:tcPr>
          <w:p w14:paraId="1DF0EDB0"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1837" w:type="dxa"/>
            <w:shd w:val="clear" w:color="auto" w:fill="D9D9D9" w:themeFill="background1" w:themeFillShade="D9"/>
          </w:tcPr>
          <w:p w14:paraId="3EDB401F" w14:textId="77777777" w:rsidR="000A7D9D" w:rsidRPr="00EF7D70" w:rsidRDefault="000A7D9D" w:rsidP="00F31937">
            <w:pPr>
              <w:pStyle w:val="BodyText"/>
              <w:tabs>
                <w:tab w:val="left" w:pos="4170"/>
              </w:tabs>
              <w:spacing w:after="0"/>
              <w:rPr>
                <w:noProof/>
                <w:sz w:val="20"/>
                <w:szCs w:val="20"/>
              </w:rPr>
            </w:pPr>
            <w:r w:rsidRPr="00EF7D70">
              <w:rPr>
                <w:noProof/>
                <w:sz w:val="20"/>
                <w:szCs w:val="20"/>
              </w:rPr>
              <w:t xml:space="preserve">2024:  </w:t>
            </w:r>
            <w:r w:rsidRPr="00EF7D70">
              <w:rPr>
                <w:b/>
                <w:noProof/>
                <w:sz w:val="20"/>
                <w:szCs w:val="20"/>
              </w:rPr>
              <w:t>19 FTE</w:t>
            </w:r>
          </w:p>
          <w:p w14:paraId="7C37AE2A" w14:textId="77777777" w:rsidR="000A7D9D" w:rsidRPr="00EF7D70" w:rsidRDefault="000A7D9D" w:rsidP="00F31937">
            <w:pPr>
              <w:pStyle w:val="BodyText"/>
              <w:tabs>
                <w:tab w:val="left" w:pos="4170"/>
              </w:tabs>
              <w:spacing w:after="0"/>
              <w:rPr>
                <w:b/>
                <w:noProof/>
                <w:sz w:val="20"/>
                <w:szCs w:val="20"/>
              </w:rPr>
            </w:pPr>
            <w:r w:rsidRPr="00EF7D70">
              <w:rPr>
                <w:noProof/>
                <w:sz w:val="20"/>
                <w:szCs w:val="20"/>
              </w:rPr>
              <w:t xml:space="preserve">2025:  </w:t>
            </w:r>
            <w:r w:rsidRPr="00EF7D70">
              <w:rPr>
                <w:b/>
                <w:noProof/>
                <w:sz w:val="20"/>
                <w:szCs w:val="20"/>
              </w:rPr>
              <w:t>37 FTE</w:t>
            </w:r>
          </w:p>
          <w:p w14:paraId="7F217757" w14:textId="77777777" w:rsidR="000A7D9D" w:rsidRPr="00EF7D70" w:rsidRDefault="000A7D9D" w:rsidP="00F31937">
            <w:pPr>
              <w:pStyle w:val="BodyText"/>
              <w:tabs>
                <w:tab w:val="left" w:pos="4170"/>
              </w:tabs>
              <w:spacing w:after="0"/>
              <w:rPr>
                <w:noProof/>
                <w:sz w:val="20"/>
                <w:szCs w:val="20"/>
              </w:rPr>
            </w:pPr>
            <w:r w:rsidRPr="00EF7D70">
              <w:rPr>
                <w:noProof/>
                <w:sz w:val="20"/>
                <w:szCs w:val="20"/>
              </w:rPr>
              <w:t xml:space="preserve">2026:  </w:t>
            </w:r>
            <w:r w:rsidRPr="00EF7D70">
              <w:rPr>
                <w:b/>
                <w:noProof/>
                <w:sz w:val="20"/>
                <w:szCs w:val="20"/>
              </w:rPr>
              <w:t>52 FTE</w:t>
            </w:r>
          </w:p>
          <w:p w14:paraId="41EC4F00" w14:textId="77777777" w:rsidR="000A7D9D" w:rsidRDefault="000A7D9D" w:rsidP="00F31937">
            <w:pPr>
              <w:pStyle w:val="BodyText"/>
              <w:tabs>
                <w:tab w:val="left" w:pos="4170"/>
              </w:tabs>
              <w:spacing w:after="0"/>
              <w:rPr>
                <w:b/>
                <w:noProof/>
                <w:sz w:val="20"/>
                <w:szCs w:val="20"/>
              </w:rPr>
            </w:pPr>
            <w:r w:rsidRPr="00C56424">
              <w:rPr>
                <w:noProof/>
                <w:sz w:val="20"/>
                <w:szCs w:val="20"/>
              </w:rPr>
              <w:t xml:space="preserve">2027:  </w:t>
            </w:r>
            <w:r w:rsidRPr="00EF7D70">
              <w:rPr>
                <w:b/>
                <w:noProof/>
                <w:sz w:val="20"/>
                <w:szCs w:val="20"/>
              </w:rPr>
              <w:t>6</w:t>
            </w:r>
            <w:r w:rsidRPr="00C56424">
              <w:rPr>
                <w:b/>
                <w:noProof/>
                <w:sz w:val="20"/>
                <w:szCs w:val="20"/>
              </w:rPr>
              <w:t>0 FTE</w:t>
            </w:r>
          </w:p>
          <w:p w14:paraId="219F795C" w14:textId="77777777" w:rsidR="000A7D9D" w:rsidRPr="00C56424" w:rsidRDefault="000A7D9D" w:rsidP="00F31937">
            <w:pPr>
              <w:pStyle w:val="BodyText"/>
              <w:tabs>
                <w:tab w:val="left" w:pos="4170"/>
              </w:tabs>
              <w:spacing w:after="0"/>
              <w:rPr>
                <w:noProof/>
                <w:sz w:val="20"/>
                <w:szCs w:val="20"/>
              </w:rPr>
            </w:pPr>
            <w:r w:rsidRPr="00EF7D70">
              <w:rPr>
                <w:noProof/>
                <w:sz w:val="20"/>
                <w:szCs w:val="20"/>
              </w:rPr>
              <w:t>2028:</w:t>
            </w:r>
            <w:r>
              <w:rPr>
                <w:b/>
                <w:noProof/>
                <w:sz w:val="20"/>
                <w:szCs w:val="20"/>
              </w:rPr>
              <w:t xml:space="preserve">  60 FTE</w:t>
            </w:r>
          </w:p>
        </w:tc>
      </w:tr>
    </w:tbl>
    <w:p w14:paraId="4EFA511C" w14:textId="77777777" w:rsidR="000A7D9D" w:rsidRPr="00207447" w:rsidRDefault="000A7D9D" w:rsidP="000A7D9D">
      <w:pPr>
        <w:pStyle w:val="BodyText"/>
        <w:tabs>
          <w:tab w:val="left" w:pos="4170"/>
        </w:tabs>
        <w:spacing w:before="120"/>
        <w:rPr>
          <w:noProof/>
          <w:color w:val="000000" w:themeColor="text1"/>
        </w:rPr>
      </w:pPr>
      <w:r w:rsidRPr="00207447">
        <w:rPr>
          <w:noProof/>
          <w:u w:val="single"/>
        </w:rPr>
        <w:t>Future budget line:</w:t>
      </w:r>
      <w:r w:rsidRPr="00207447">
        <w:rPr>
          <w:noProof/>
        </w:rPr>
        <w:t xml:space="preserve"> DG SANTE </w:t>
      </w:r>
      <w:r w:rsidRPr="00207447">
        <w:rPr>
          <w:noProof/>
          <w:color w:val="000000" w:themeColor="text1"/>
        </w:rPr>
        <w:t>(EU4Health programme)</w:t>
      </w:r>
      <w:r>
        <w:rPr>
          <w:noProof/>
          <w:color w:val="000000" w:themeColor="text1"/>
        </w:rPr>
        <w:t xml:space="preserve"> + EMA fees</w:t>
      </w:r>
    </w:p>
    <w:p w14:paraId="74067F27" w14:textId="77777777" w:rsidR="000A7D9D" w:rsidRPr="007F38F4" w:rsidRDefault="000A7D9D" w:rsidP="000A7D9D">
      <w:pPr>
        <w:pStyle w:val="BodyText"/>
        <w:jc w:val="both"/>
        <w:rPr>
          <w:noProof/>
        </w:rPr>
      </w:pPr>
    </w:p>
    <w:p w14:paraId="3848EF28"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59" w:name="_Toc150499931"/>
      <w:r w:rsidRPr="00291F95">
        <w:rPr>
          <w:rFonts w:ascii="Times New Roman" w:hAnsi="Times New Roman"/>
          <w:smallCaps/>
          <w:noProof/>
          <w:color w:val="auto"/>
          <w:sz w:val="24"/>
          <w:szCs w:val="20"/>
          <w:lang w:eastAsia="en-US"/>
        </w:rPr>
        <w:t>End-of Life Vehicles (ELV) Directive</w:t>
      </w:r>
      <w:bookmarkEnd w:id="59"/>
    </w:p>
    <w:p w14:paraId="610BB243" w14:textId="77777777" w:rsidR="000A7D9D" w:rsidRPr="007F38F4" w:rsidRDefault="000A7D9D" w:rsidP="000A7D9D">
      <w:pPr>
        <w:pStyle w:val="BodyText"/>
        <w:rPr>
          <w:b/>
          <w:bCs/>
          <w:noProof/>
        </w:rPr>
      </w:pPr>
      <w:r w:rsidRPr="007F38F4">
        <w:rPr>
          <w:b/>
          <w:bCs/>
          <w:noProof/>
        </w:rPr>
        <w:t>Responsible body:</w:t>
      </w:r>
    </w:p>
    <w:p w14:paraId="18C2A14A" w14:textId="77777777" w:rsidR="000A7D9D" w:rsidRPr="007F38F4" w:rsidRDefault="000A7D9D" w:rsidP="000A7D9D">
      <w:pPr>
        <w:pStyle w:val="BodyText"/>
        <w:rPr>
          <w:noProof/>
        </w:rPr>
      </w:pPr>
      <w:r w:rsidRPr="007F38F4">
        <w:rPr>
          <w:noProof/>
          <w:u w:val="single"/>
        </w:rPr>
        <w:t>Currently:</w:t>
      </w:r>
      <w:r w:rsidRPr="007F38F4">
        <w:rPr>
          <w:noProof/>
        </w:rPr>
        <w:t xml:space="preserve"> Commission with the support of consultants</w:t>
      </w:r>
    </w:p>
    <w:p w14:paraId="7DB24B67" w14:textId="77777777" w:rsidR="000A7D9D" w:rsidRPr="007F38F4" w:rsidRDefault="000A7D9D" w:rsidP="000A7D9D">
      <w:pPr>
        <w:pStyle w:val="BodyText"/>
        <w:rPr>
          <w:noProof/>
        </w:rPr>
      </w:pPr>
      <w:r w:rsidRPr="007F38F4">
        <w:rPr>
          <w:noProof/>
          <w:u w:val="single"/>
        </w:rPr>
        <w:t>(Re-)attribution planned to:</w:t>
      </w:r>
      <w:r w:rsidRPr="007F38F4">
        <w:rPr>
          <w:noProof/>
        </w:rPr>
        <w:t xml:space="preserve"> ECHA</w:t>
      </w:r>
    </w:p>
    <w:p w14:paraId="3C039F1C" w14:textId="77777777" w:rsidR="000A7D9D" w:rsidRPr="007F38F4" w:rsidRDefault="000A7D9D" w:rsidP="000A7D9D">
      <w:pPr>
        <w:pStyle w:val="BodyText"/>
        <w:rPr>
          <w:noProof/>
        </w:rPr>
      </w:pPr>
      <w:r w:rsidRPr="007F38F4">
        <w:rPr>
          <w:b/>
          <w:bCs/>
          <w:noProof/>
        </w:rPr>
        <w:t xml:space="preserve">Legal basis for reattribution: </w:t>
      </w:r>
      <w:r w:rsidRPr="007F38F4">
        <w:rPr>
          <w:noProof/>
        </w:rPr>
        <w:t>revision of the Directive on end-of-life vehicles (2000/53/EC)</w:t>
      </w:r>
    </w:p>
    <w:p w14:paraId="71FBD634" w14:textId="77777777" w:rsidR="000A7D9D" w:rsidRPr="007F38F4" w:rsidRDefault="000A7D9D" w:rsidP="000A7D9D">
      <w:pPr>
        <w:pStyle w:val="BodyText"/>
        <w:rPr>
          <w:noProof/>
        </w:rPr>
      </w:pPr>
      <w:r w:rsidRPr="007F38F4">
        <w:rPr>
          <w:b/>
          <w:bCs/>
          <w:noProof/>
        </w:rPr>
        <w:t xml:space="preserve">Type of task: </w:t>
      </w:r>
      <w:r w:rsidRPr="007F38F4">
        <w:rPr>
          <w:noProof/>
        </w:rPr>
        <w:t>Existing</w:t>
      </w:r>
    </w:p>
    <w:p w14:paraId="65556B58" w14:textId="77777777" w:rsidR="000A7D9D" w:rsidRPr="007F38F4" w:rsidRDefault="000A7D9D" w:rsidP="000A7D9D">
      <w:pPr>
        <w:pStyle w:val="BodyText"/>
        <w:jc w:val="both"/>
        <w:rPr>
          <w:b/>
          <w:bCs/>
          <w:noProof/>
        </w:rPr>
      </w:pPr>
      <w:r w:rsidRPr="007F38F4">
        <w:rPr>
          <w:b/>
          <w:bCs/>
          <w:noProof/>
        </w:rPr>
        <w:t xml:space="preserve">Brief task overview: </w:t>
      </w:r>
    </w:p>
    <w:p w14:paraId="190402E3" w14:textId="77777777" w:rsidR="000A7D9D" w:rsidRPr="007F38F4" w:rsidRDefault="000A7D9D" w:rsidP="000A7D9D">
      <w:pPr>
        <w:pStyle w:val="BodyText"/>
        <w:widowControl w:val="0"/>
        <w:numPr>
          <w:ilvl w:val="0"/>
          <w:numId w:val="93"/>
        </w:numPr>
        <w:jc w:val="both"/>
        <w:rPr>
          <w:noProof/>
        </w:rPr>
      </w:pPr>
      <w:r w:rsidRPr="007F38F4">
        <w:rPr>
          <w:noProof/>
        </w:rPr>
        <w:t>Restriction of hazardous substances in end-of-life vehicles</w:t>
      </w:r>
    </w:p>
    <w:p w14:paraId="49EF71DE" w14:textId="77777777" w:rsidR="000A7D9D" w:rsidRPr="007F38F4" w:rsidRDefault="000A7D9D" w:rsidP="000A7D9D">
      <w:pPr>
        <w:pStyle w:val="BodyText"/>
        <w:widowControl w:val="0"/>
        <w:numPr>
          <w:ilvl w:val="0"/>
          <w:numId w:val="93"/>
        </w:numPr>
        <w:jc w:val="both"/>
        <w:rPr>
          <w:noProof/>
        </w:rPr>
      </w:pPr>
      <w:r w:rsidRPr="007F38F4">
        <w:rPr>
          <w:noProof/>
        </w:rPr>
        <w:t xml:space="preserve">Assessments underpinning review of exemptions from restriction on lead, mercury, cadmium, or hexavalent chromium. </w:t>
      </w:r>
    </w:p>
    <w:p w14:paraId="01F01C5B" w14:textId="77777777" w:rsidR="000A7D9D" w:rsidRPr="007F38F4" w:rsidRDefault="000A7D9D" w:rsidP="000A7D9D">
      <w:pPr>
        <w:pStyle w:val="BodyText"/>
        <w:rPr>
          <w:b/>
          <w:bCs/>
          <w:noProof/>
        </w:rPr>
      </w:pPr>
      <w:r w:rsidRPr="007F38F4">
        <w:rPr>
          <w:b/>
          <w:bCs/>
          <w:noProof/>
        </w:rPr>
        <w:t>Detailed process description:</w:t>
      </w:r>
    </w:p>
    <w:p w14:paraId="737C8634" w14:textId="77777777" w:rsidR="000A7D9D" w:rsidRPr="007F38F4" w:rsidRDefault="000A7D9D" w:rsidP="000A7D9D">
      <w:pPr>
        <w:spacing w:before="120" w:after="120"/>
        <w:rPr>
          <w:rFonts w:ascii="Times New Roman" w:hAnsi="Times New Roman" w:cs="Times New Roman"/>
          <w:noProof/>
          <w:sz w:val="24"/>
          <w:szCs w:val="24"/>
          <w:u w:val="single"/>
        </w:rPr>
      </w:pPr>
      <w:r w:rsidRPr="007F38F4">
        <w:rPr>
          <w:rFonts w:ascii="Times New Roman" w:hAnsi="Times New Roman" w:cs="Times New Roman"/>
          <w:noProof/>
          <w:sz w:val="24"/>
          <w:szCs w:val="24"/>
          <w:u w:val="single"/>
        </w:rPr>
        <w:t>Current process:</w:t>
      </w:r>
    </w:p>
    <w:p w14:paraId="0B356D1C"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The End-of-life Vehicle Directive bans the use of four heavy metals (lead, mercury, hexavalent chromium and cadmium) in vehicles put on the EU market after 1 July 2003. More substances could be prohibited, but in practice no substances have been added since the start of the directive. Annex II to the Directive lists the exemptions which allow the use of one of these heavy metals in specific applications where their use is “unavoidable”. The only criteria used is availability of alternatives. Environmental and socio-economic aspects are not considered. The Commission reviews the exemptions on a regular basis based on technical and scientific progress and as the dates of exemption validity expire. </w:t>
      </w:r>
    </w:p>
    <w:p w14:paraId="1BA78B17"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rPr>
        <w:t>1. Restricting (uses of) hazardous substances in vehicles: (~ REACH restriction):</w:t>
      </w:r>
    </w:p>
    <w:p w14:paraId="058FA283" w14:textId="77777777" w:rsidR="000A7D9D" w:rsidRPr="007F38F4" w:rsidRDefault="000A7D9D" w:rsidP="000A7D9D">
      <w:pPr>
        <w:widowControl w:val="0"/>
        <w:numPr>
          <w:ilvl w:val="0"/>
          <w:numId w:val="94"/>
        </w:numPr>
        <w:spacing w:after="120" w:line="240" w:lineRule="auto"/>
        <w:ind w:left="714" w:hanging="357"/>
        <w:rPr>
          <w:rFonts w:ascii="Times New Roman" w:hAnsi="Times New Roman" w:cs="Times New Roman"/>
          <w:noProof/>
          <w:sz w:val="24"/>
          <w:szCs w:val="24"/>
        </w:rPr>
      </w:pPr>
      <w:r w:rsidRPr="007F38F4">
        <w:rPr>
          <w:rFonts w:ascii="Times New Roman" w:hAnsi="Times New Roman" w:cs="Times New Roman"/>
          <w:noProof/>
          <w:sz w:val="24"/>
          <w:szCs w:val="24"/>
        </w:rPr>
        <w:t>Has not happened since the initial four heavy metals were placed on Annex II.</w:t>
      </w:r>
    </w:p>
    <w:p w14:paraId="725A350F"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rPr>
        <w:t>2. Review of exemptions from the restrictions (~ REACH authorisation)</w:t>
      </w:r>
    </w:p>
    <w:p w14:paraId="09B26681" w14:textId="77777777" w:rsidR="000A7D9D" w:rsidRPr="007F38F4" w:rsidRDefault="000A7D9D" w:rsidP="000A7D9D">
      <w:pPr>
        <w:widowControl w:val="0"/>
        <w:numPr>
          <w:ilvl w:val="0"/>
          <w:numId w:val="94"/>
        </w:numPr>
        <w:spacing w:after="120" w:line="240" w:lineRule="auto"/>
        <w:contextualSpacing/>
        <w:jc w:val="both"/>
        <w:rPr>
          <w:rFonts w:ascii="Times New Roman" w:hAnsi="Times New Roman" w:cs="Times New Roman"/>
          <w:noProof/>
          <w:sz w:val="24"/>
          <w:szCs w:val="24"/>
        </w:rPr>
      </w:pPr>
      <w:r w:rsidRPr="007F38F4">
        <w:rPr>
          <w:rFonts w:ascii="Times New Roman" w:hAnsi="Times New Roman" w:cs="Times New Roman"/>
          <w:noProof/>
          <w:sz w:val="24"/>
          <w:szCs w:val="24"/>
        </w:rPr>
        <w:t>Two years before the expiry date of an exemption, the Commission contracts a consultant to review the existing exemptions. The contractor is used also for new exemptions. Next review is in 2025.</w:t>
      </w:r>
    </w:p>
    <w:p w14:paraId="1C1325A0" w14:textId="77777777" w:rsidR="000A7D9D" w:rsidRPr="007F38F4" w:rsidRDefault="000A7D9D" w:rsidP="000A7D9D">
      <w:pPr>
        <w:widowControl w:val="0"/>
        <w:numPr>
          <w:ilvl w:val="0"/>
          <w:numId w:val="94"/>
        </w:numPr>
        <w:spacing w:after="120" w:line="240" w:lineRule="auto"/>
        <w:contextualSpacing/>
        <w:jc w:val="both"/>
        <w:rPr>
          <w:rFonts w:ascii="Times New Roman" w:hAnsi="Times New Roman" w:cs="Times New Roman"/>
          <w:noProof/>
          <w:sz w:val="24"/>
          <w:szCs w:val="24"/>
        </w:rPr>
      </w:pPr>
      <w:r w:rsidRPr="007F38F4">
        <w:rPr>
          <w:rFonts w:ascii="Times New Roman" w:hAnsi="Times New Roman" w:cs="Times New Roman"/>
          <w:noProof/>
          <w:sz w:val="24"/>
          <w:szCs w:val="24"/>
        </w:rPr>
        <w:t>Contractor makes a review of the exemption needs (</w:t>
      </w:r>
      <w:hyperlink r:id="rId71">
        <w:r w:rsidRPr="007F38F4">
          <w:rPr>
            <w:rFonts w:ascii="Times New Roman" w:hAnsi="Times New Roman" w:cs="Times New Roman"/>
            <w:noProof/>
            <w:color w:val="0000FF"/>
            <w:sz w:val="24"/>
            <w:szCs w:val="24"/>
            <w:u w:val="single"/>
          </w:rPr>
          <w:t>example</w:t>
        </w:r>
      </w:hyperlink>
      <w:r w:rsidRPr="007F38F4">
        <w:rPr>
          <w:rFonts w:ascii="Times New Roman" w:hAnsi="Times New Roman" w:cs="Times New Roman"/>
          <w:noProof/>
          <w:sz w:val="24"/>
          <w:szCs w:val="24"/>
        </w:rPr>
        <w:t xml:space="preserve">). The assessment focuses on determining whether the use of the substances in applications listed in Annex II is avoidable. The assessment includes stakeholder consultation. </w:t>
      </w:r>
    </w:p>
    <w:p w14:paraId="25973EE6" w14:textId="77777777" w:rsidR="000A7D9D" w:rsidRPr="007F38F4" w:rsidRDefault="000A7D9D" w:rsidP="000A7D9D">
      <w:pPr>
        <w:widowControl w:val="0"/>
        <w:numPr>
          <w:ilvl w:val="0"/>
          <w:numId w:val="94"/>
        </w:numPr>
        <w:spacing w:after="120" w:line="240" w:lineRule="auto"/>
        <w:contextualSpacing/>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Contractor concludes on whether the use of substances is avoidable and makes recommendation to the Commission. </w:t>
      </w:r>
    </w:p>
    <w:p w14:paraId="3654B3E1" w14:textId="77777777" w:rsidR="000A7D9D" w:rsidRPr="007F38F4" w:rsidRDefault="000A7D9D" w:rsidP="000A7D9D">
      <w:pPr>
        <w:widowControl w:val="0"/>
        <w:numPr>
          <w:ilvl w:val="0"/>
          <w:numId w:val="94"/>
        </w:numPr>
        <w:spacing w:before="120" w:after="120" w:line="240" w:lineRule="auto"/>
        <w:contextualSpacing/>
        <w:jc w:val="both"/>
        <w:rPr>
          <w:rFonts w:ascii="Times New Roman" w:hAnsi="Times New Roman" w:cs="Times New Roman"/>
          <w:noProof/>
          <w:sz w:val="24"/>
          <w:szCs w:val="24"/>
        </w:rPr>
      </w:pPr>
      <w:r w:rsidRPr="007F38F4">
        <w:rPr>
          <w:rFonts w:ascii="Times New Roman" w:hAnsi="Times New Roman" w:cs="Times New Roman"/>
          <w:noProof/>
          <w:sz w:val="24"/>
          <w:szCs w:val="24"/>
        </w:rPr>
        <w:t>The Commission consults a Commission expert group on the proposal, including MS and stakeholders.</w:t>
      </w:r>
    </w:p>
    <w:p w14:paraId="6A858CA9" w14:textId="77777777" w:rsidR="000A7D9D" w:rsidRPr="007F38F4" w:rsidRDefault="000A7D9D" w:rsidP="000A7D9D">
      <w:pPr>
        <w:widowControl w:val="0"/>
        <w:numPr>
          <w:ilvl w:val="0"/>
          <w:numId w:val="94"/>
        </w:numPr>
        <w:spacing w:before="120" w:after="120" w:line="240" w:lineRule="auto"/>
        <w:jc w:val="both"/>
        <w:rPr>
          <w:rFonts w:ascii="Times New Roman" w:hAnsi="Times New Roman" w:cs="Times New Roman"/>
          <w:noProof/>
          <w:sz w:val="24"/>
          <w:szCs w:val="24"/>
        </w:rPr>
      </w:pPr>
      <w:r w:rsidRPr="007F38F4">
        <w:rPr>
          <w:rFonts w:ascii="Times New Roman" w:hAnsi="Times New Roman" w:cs="Times New Roman"/>
          <w:noProof/>
          <w:sz w:val="24"/>
          <w:szCs w:val="24"/>
        </w:rPr>
        <w:t>The Commission drafts a delegated act, which is open for a 4-week commenting period, after which it adopts the delegated act amending Annex II.</w:t>
      </w:r>
    </w:p>
    <w:p w14:paraId="20722C01"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u w:val="single"/>
        </w:rPr>
        <w:t>Changes in the process:</w:t>
      </w:r>
      <w:r w:rsidRPr="007F38F4">
        <w:rPr>
          <w:rFonts w:ascii="Times New Roman" w:hAnsi="Times New Roman" w:cs="Times New Roman"/>
          <w:noProof/>
          <w:sz w:val="24"/>
          <w:szCs w:val="24"/>
        </w:rPr>
        <w:t xml:space="preserve"> Yes</w:t>
      </w:r>
    </w:p>
    <w:p w14:paraId="570ED876"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rPr>
        <w:t>As part of the revision of the directive, the following changes are envisaged.</w:t>
      </w:r>
    </w:p>
    <w:p w14:paraId="6F930640"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The scope of the Directive will be extended (from passengers’ cars and light commercial vehicles) to include also motorbikes, buses, lorries, etc. As a result, higher workload is expected in terms of exemption requests. </w:t>
      </w:r>
    </w:p>
    <w:p w14:paraId="7663A7DA"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Restricting (uses of) new hazardous substances in vehicles will be done via REACH regulation, similarly as proposed for packaging and packaging waste directive. </w:t>
      </w:r>
    </w:p>
    <w:p w14:paraId="682B57E5"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ECHA will be tasked to assess the need for exemptions for existing restrictions (4 heavy metals). </w:t>
      </w:r>
    </w:p>
    <w:p w14:paraId="61D7D637"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The criteria for exemptions from restriction of 4 heavy metals will be amended to be similar to the socio-economic assessment and analysis of alternatives performed under REACH. The only criterion currently used is availability of alternatives. Environmental and socio-economic aspects are not considered. This is criticised, so better alignment with assessments as done under REACH is envisaged. </w:t>
      </w:r>
    </w:p>
    <w:p w14:paraId="3041D6A5"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Restrictions of use of chemicals in batteries used in vehicles will not be within the scope of the directive. This is to be addressed under the Batteries Regulation (as lex specialis). </w:t>
      </w:r>
    </w:p>
    <w:p w14:paraId="68D44989" w14:textId="77777777" w:rsidR="000A7D9D" w:rsidRPr="007F38F4" w:rsidRDefault="000A7D9D" w:rsidP="000A7D9D">
      <w:pPr>
        <w:pStyle w:val="BodyText"/>
        <w:jc w:val="both"/>
        <w:rPr>
          <w:noProof/>
        </w:rPr>
      </w:pPr>
      <w:r w:rsidRPr="007F38F4">
        <w:rPr>
          <w:b/>
          <w:bCs/>
          <w:noProof/>
        </w:rPr>
        <w:t>Proximity to ECHA mandate:</w:t>
      </w:r>
      <w:r w:rsidRPr="007F38F4">
        <w:rPr>
          <w:noProof/>
        </w:rPr>
        <w:t xml:space="preserve"> All new restrictions of substances in vehicles will be done via the restriction process under REACH and the existing scientific methodologies used for REACH  restrictions can be applied. The ELV exemption process will become very similar to the authorisation process under REACH, including the criteria for assessment. The substances under scrutiny are the same or similar to those under REACH and existing ECHA data and processes can be reused for ELV restriction dossier development, exemption process and opinion forming. ECHA holds the appropriate competences to manage the process, however, does not have sufficient information on the exact use of substances in end-of-life vehicles. </w:t>
      </w:r>
    </w:p>
    <w:p w14:paraId="3316058E" w14:textId="77777777" w:rsidR="000A7D9D" w:rsidRPr="007F38F4" w:rsidRDefault="000A7D9D" w:rsidP="000A7D9D">
      <w:pPr>
        <w:pStyle w:val="BodyText"/>
        <w:rPr>
          <w:b/>
          <w:bCs/>
          <w:noProof/>
        </w:rPr>
      </w:pPr>
      <w:r w:rsidRPr="007F38F4">
        <w:rPr>
          <w:b/>
          <w:bCs/>
          <w:noProof/>
        </w:rPr>
        <w:t>Projected synergies and added value of reattribution:</w:t>
      </w:r>
    </w:p>
    <w:tbl>
      <w:tblPr>
        <w:tblStyle w:val="TableGrid20"/>
        <w:tblW w:w="0" w:type="auto"/>
        <w:tblLook w:val="04A0" w:firstRow="1" w:lastRow="0" w:firstColumn="1" w:lastColumn="0" w:noHBand="0" w:noVBand="1"/>
      </w:tblPr>
      <w:tblGrid>
        <w:gridCol w:w="1728"/>
        <w:gridCol w:w="1119"/>
        <w:gridCol w:w="6782"/>
      </w:tblGrid>
      <w:tr w:rsidR="000A7D9D" w:rsidRPr="007F38F4" w14:paraId="2676008B" w14:textId="77777777" w:rsidTr="00F31937">
        <w:trPr>
          <w:trHeight w:val="300"/>
        </w:trPr>
        <w:tc>
          <w:tcPr>
            <w:tcW w:w="1728" w:type="dxa"/>
            <w:tcBorders>
              <w:top w:val="single" w:sz="4" w:space="0" w:color="auto"/>
              <w:left w:val="single" w:sz="4" w:space="0" w:color="auto"/>
              <w:bottom w:val="single" w:sz="4" w:space="0" w:color="auto"/>
              <w:right w:val="single" w:sz="4" w:space="0" w:color="auto"/>
            </w:tcBorders>
            <w:hideMark/>
          </w:tcPr>
          <w:p w14:paraId="6EDFEAEE" w14:textId="77777777" w:rsidR="000A7D9D" w:rsidRPr="007F38F4" w:rsidRDefault="000A7D9D" w:rsidP="00F31937">
            <w:pPr>
              <w:spacing w:before="120" w:after="120"/>
              <w:rPr>
                <w:rFonts w:ascii="Times New Roman" w:hAnsi="Times New Roman"/>
                <w:b/>
                <w:bCs/>
                <w:noProof/>
                <w:color w:val="0046AD"/>
                <w:sz w:val="24"/>
                <w:szCs w:val="24"/>
              </w:rPr>
            </w:pPr>
            <w:r w:rsidRPr="007F38F4">
              <w:rPr>
                <w:rFonts w:ascii="Times New Roman" w:hAnsi="Times New Roman"/>
                <w:b/>
                <w:noProof/>
                <w:color w:val="4472C4" w:themeColor="accent1"/>
                <w:sz w:val="24"/>
                <w:szCs w:val="24"/>
              </w:rPr>
              <w:t>Type</w:t>
            </w:r>
          </w:p>
        </w:tc>
        <w:tc>
          <w:tcPr>
            <w:tcW w:w="7901" w:type="dxa"/>
            <w:gridSpan w:val="2"/>
            <w:tcBorders>
              <w:top w:val="single" w:sz="4" w:space="0" w:color="auto"/>
              <w:left w:val="single" w:sz="4" w:space="0" w:color="auto"/>
              <w:bottom w:val="single" w:sz="4" w:space="0" w:color="auto"/>
              <w:right w:val="single" w:sz="4" w:space="0" w:color="auto"/>
            </w:tcBorders>
            <w:hideMark/>
          </w:tcPr>
          <w:p w14:paraId="1F449E34" w14:textId="77777777" w:rsidR="000A7D9D" w:rsidRPr="007F38F4" w:rsidRDefault="000A7D9D" w:rsidP="00F31937">
            <w:pPr>
              <w:spacing w:before="120" w:after="120"/>
              <w:rPr>
                <w:rFonts w:ascii="Times New Roman" w:hAnsi="Times New Roman"/>
                <w:b/>
                <w:bCs/>
                <w:noProof/>
                <w:color w:val="0046AD"/>
                <w:sz w:val="24"/>
                <w:szCs w:val="24"/>
              </w:rPr>
            </w:pPr>
            <w:r w:rsidRPr="007F38F4">
              <w:rPr>
                <w:rFonts w:ascii="Times New Roman" w:hAnsi="Times New Roman"/>
                <w:b/>
                <w:bCs/>
                <w:noProof/>
                <w:color w:val="4472C4" w:themeColor="accent1"/>
                <w:sz w:val="24"/>
                <w:szCs w:val="24"/>
              </w:rPr>
              <w:t>Synergies</w:t>
            </w:r>
          </w:p>
        </w:tc>
      </w:tr>
      <w:tr w:rsidR="000A7D9D" w:rsidRPr="007F38F4" w14:paraId="5F1AE647"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17FF8B32" w14:textId="77777777" w:rsidR="000A7D9D" w:rsidRPr="007F38F4" w:rsidRDefault="000A7D9D" w:rsidP="00F31937">
            <w:pPr>
              <w:spacing w:before="120" w:after="120"/>
              <w:rPr>
                <w:rFonts w:ascii="Times New Roman" w:hAnsi="Times New Roman"/>
                <w:b/>
                <w:bCs/>
                <w:noProof/>
                <w:color w:val="000000"/>
                <w:sz w:val="24"/>
                <w:szCs w:val="24"/>
              </w:rPr>
            </w:pPr>
            <w:r w:rsidRPr="007F38F4">
              <w:rPr>
                <w:rFonts w:ascii="Times New Roman" w:hAnsi="Times New Roman"/>
                <w:b/>
                <w:noProof/>
                <w:color w:val="000000" w:themeColor="text1"/>
                <w:sz w:val="24"/>
                <w:szCs w:val="24"/>
              </w:rPr>
              <w:t>Reuse of capabilities</w:t>
            </w:r>
          </w:p>
        </w:tc>
        <w:tc>
          <w:tcPr>
            <w:tcW w:w="1119" w:type="dxa"/>
            <w:tcBorders>
              <w:top w:val="single" w:sz="4" w:space="0" w:color="auto"/>
              <w:left w:val="single" w:sz="4" w:space="0" w:color="auto"/>
              <w:bottom w:val="single" w:sz="4" w:space="0" w:color="auto"/>
              <w:right w:val="single" w:sz="4" w:space="0" w:color="auto"/>
            </w:tcBorders>
            <w:hideMark/>
          </w:tcPr>
          <w:p w14:paraId="418BC791"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2A73EDAE"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Process and expertise: ECHA already supports similar work on substance restrictions and exemptions under REACH and other legislation. Several key capacities can be reused/reinforced:</w:t>
            </w:r>
          </w:p>
          <w:p w14:paraId="3C71E42F" w14:textId="77777777" w:rsidR="000A7D9D" w:rsidRPr="007F38F4" w:rsidRDefault="000A7D9D" w:rsidP="000A7D9D">
            <w:pPr>
              <w:numPr>
                <w:ilvl w:val="0"/>
                <w:numId w:val="21"/>
              </w:numPr>
              <w:snapToGrid w:val="0"/>
              <w:ind w:left="720"/>
              <w:contextualSpacing/>
              <w:rPr>
                <w:rFonts w:ascii="Times New Roman" w:hAnsi="Times New Roman"/>
                <w:noProof/>
                <w:sz w:val="24"/>
                <w:szCs w:val="24"/>
              </w:rPr>
            </w:pPr>
            <w:r w:rsidRPr="007F38F4">
              <w:rPr>
                <w:rFonts w:ascii="Times New Roman" w:hAnsi="Times New Roman"/>
                <w:noProof/>
                <w:sz w:val="24"/>
                <w:szCs w:val="24"/>
              </w:rPr>
              <w:t>Hazard, risk, exposure and socio-economic assessment</w:t>
            </w:r>
          </w:p>
          <w:p w14:paraId="784BACD9" w14:textId="77777777" w:rsidR="000A7D9D" w:rsidRPr="007F38F4"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7F38F4">
              <w:rPr>
                <w:rFonts w:ascii="Times New Roman" w:hAnsi="Times New Roman"/>
                <w:noProof/>
                <w:sz w:val="24"/>
                <w:szCs w:val="24"/>
              </w:rPr>
              <w:t>Committee opinion development</w:t>
            </w:r>
          </w:p>
          <w:p w14:paraId="0A32EF81" w14:textId="77777777" w:rsidR="000A7D9D" w:rsidRPr="007F38F4"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7F38F4">
              <w:rPr>
                <w:rFonts w:ascii="Times New Roman" w:hAnsi="Times New Roman"/>
                <w:noProof/>
                <w:color w:val="000000" w:themeColor="text1"/>
                <w:sz w:val="24"/>
                <w:szCs w:val="24"/>
              </w:rPr>
              <w:t>Existing IT capabilities for industry dossier submission, stakeholder consultation and dissemination</w:t>
            </w:r>
          </w:p>
        </w:tc>
      </w:tr>
      <w:tr w:rsidR="000A7D9D" w:rsidRPr="007F38F4" w14:paraId="199C359A"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26011766" w14:textId="77777777" w:rsidR="000A7D9D" w:rsidRPr="007F38F4" w:rsidRDefault="000A7D9D" w:rsidP="00F31937">
            <w:pPr>
              <w:spacing w:before="120" w:after="120"/>
              <w:rPr>
                <w:rFonts w:ascii="Times New Roman" w:hAnsi="Times New Roman"/>
                <w:b/>
                <w:bCs/>
                <w:noProof/>
                <w:color w:val="000000"/>
                <w:sz w:val="24"/>
                <w:szCs w:val="24"/>
              </w:rPr>
            </w:pPr>
            <w:r w:rsidRPr="007F38F4">
              <w:rPr>
                <w:rFonts w:ascii="Times New Roman" w:hAnsi="Times New Roman"/>
                <w:b/>
                <w:noProof/>
                <w:color w:val="000000" w:themeColor="text1"/>
                <w:sz w:val="24"/>
                <w:szCs w:val="24"/>
              </w:rPr>
              <w:t>Re-use of data</w:t>
            </w:r>
          </w:p>
        </w:tc>
        <w:tc>
          <w:tcPr>
            <w:tcW w:w="1119" w:type="dxa"/>
            <w:tcBorders>
              <w:top w:val="single" w:sz="4" w:space="0" w:color="auto"/>
              <w:left w:val="single" w:sz="4" w:space="0" w:color="auto"/>
              <w:bottom w:val="single" w:sz="4" w:space="0" w:color="auto"/>
              <w:right w:val="single" w:sz="4" w:space="0" w:color="auto"/>
            </w:tcBorders>
            <w:hideMark/>
          </w:tcPr>
          <w:p w14:paraId="12EB6339"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Medium</w:t>
            </w:r>
          </w:p>
        </w:tc>
        <w:tc>
          <w:tcPr>
            <w:tcW w:w="6782" w:type="dxa"/>
            <w:tcBorders>
              <w:top w:val="single" w:sz="4" w:space="0" w:color="auto"/>
              <w:left w:val="single" w:sz="4" w:space="0" w:color="auto"/>
              <w:bottom w:val="single" w:sz="4" w:space="0" w:color="auto"/>
              <w:right w:val="single" w:sz="4" w:space="0" w:color="auto"/>
            </w:tcBorders>
            <w:hideMark/>
          </w:tcPr>
          <w:p w14:paraId="6B4A39E7"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Reuse of data collected under other chemical legislation, but low availability of data on substances in products and waste streams.</w:t>
            </w:r>
          </w:p>
        </w:tc>
      </w:tr>
      <w:tr w:rsidR="000A7D9D" w:rsidRPr="007F38F4" w14:paraId="19867CD4"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18C110F7" w14:textId="77777777" w:rsidR="000A7D9D" w:rsidRPr="007F38F4" w:rsidRDefault="000A7D9D" w:rsidP="00F31937">
            <w:pPr>
              <w:spacing w:before="120" w:after="120"/>
              <w:rPr>
                <w:rFonts w:ascii="Times New Roman" w:hAnsi="Times New Roman"/>
                <w:b/>
                <w:bCs/>
                <w:noProof/>
                <w:color w:val="000000"/>
                <w:sz w:val="24"/>
                <w:szCs w:val="24"/>
              </w:rPr>
            </w:pPr>
            <w:r w:rsidRPr="007F38F4">
              <w:rPr>
                <w:rFonts w:ascii="Times New Roman" w:hAnsi="Times New Roman"/>
                <w:b/>
                <w:noProof/>
                <w:color w:val="000000" w:themeColor="text1"/>
                <w:sz w:val="24"/>
                <w:szCs w:val="24"/>
              </w:rPr>
              <w:t>Workload balancing</w:t>
            </w:r>
          </w:p>
        </w:tc>
        <w:tc>
          <w:tcPr>
            <w:tcW w:w="1119" w:type="dxa"/>
            <w:tcBorders>
              <w:top w:val="single" w:sz="4" w:space="0" w:color="auto"/>
              <w:left w:val="single" w:sz="4" w:space="0" w:color="auto"/>
              <w:bottom w:val="single" w:sz="4" w:space="0" w:color="auto"/>
              <w:right w:val="single" w:sz="4" w:space="0" w:color="auto"/>
            </w:tcBorders>
            <w:hideMark/>
          </w:tcPr>
          <w:p w14:paraId="41B49A2A"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Medium</w:t>
            </w:r>
          </w:p>
        </w:tc>
        <w:tc>
          <w:tcPr>
            <w:tcW w:w="6782" w:type="dxa"/>
            <w:tcBorders>
              <w:top w:val="single" w:sz="4" w:space="0" w:color="auto"/>
              <w:left w:val="single" w:sz="4" w:space="0" w:color="auto"/>
              <w:bottom w:val="single" w:sz="4" w:space="0" w:color="auto"/>
              <w:right w:val="single" w:sz="4" w:space="0" w:color="auto"/>
            </w:tcBorders>
            <w:hideMark/>
          </w:tcPr>
          <w:p w14:paraId="488B0D35"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With an estimated workload of processing 5 exemption requests annually, while developing one new restriction every 5 years, the workload of Agency experts and Committee experts can be spread and balanced over the years (although resource estimates are already annualised).</w:t>
            </w:r>
          </w:p>
        </w:tc>
      </w:tr>
      <w:tr w:rsidR="000A7D9D" w:rsidRPr="007F38F4" w14:paraId="625A3392"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576F8AEF" w14:textId="77777777" w:rsidR="000A7D9D" w:rsidRPr="007F38F4" w:rsidRDefault="000A7D9D" w:rsidP="00F31937">
            <w:pPr>
              <w:spacing w:before="120" w:after="120"/>
              <w:rPr>
                <w:rFonts w:ascii="Times New Roman" w:hAnsi="Times New Roman"/>
                <w:b/>
                <w:bCs/>
                <w:noProof/>
                <w:color w:val="000000"/>
                <w:sz w:val="24"/>
                <w:szCs w:val="24"/>
              </w:rPr>
            </w:pPr>
            <w:r w:rsidRPr="007F38F4">
              <w:rPr>
                <w:rFonts w:ascii="Times New Roman" w:hAnsi="Times New Roman"/>
                <w:b/>
                <w:noProof/>
                <w:color w:val="000000" w:themeColor="text1"/>
                <w:sz w:val="24"/>
                <w:szCs w:val="24"/>
              </w:rPr>
              <w:t>IT tools: automation and economies of scale</w:t>
            </w:r>
          </w:p>
        </w:tc>
        <w:tc>
          <w:tcPr>
            <w:tcW w:w="1119" w:type="dxa"/>
            <w:tcBorders>
              <w:top w:val="single" w:sz="4" w:space="0" w:color="auto"/>
              <w:left w:val="single" w:sz="4" w:space="0" w:color="auto"/>
              <w:bottom w:val="single" w:sz="4" w:space="0" w:color="auto"/>
              <w:right w:val="single" w:sz="4" w:space="0" w:color="auto"/>
            </w:tcBorders>
            <w:hideMark/>
          </w:tcPr>
          <w:p w14:paraId="6D31DC52"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2CDE2C67"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Industry actors can submit their exemption requests reusing existing ECHA submission tools, at the same time automating the existing process. In addition, reuse of IT capabilities for case management, public consultation, interaction with Member States, regulatory intentions management and data dissemination.</w:t>
            </w:r>
          </w:p>
        </w:tc>
      </w:tr>
      <w:tr w:rsidR="000A7D9D" w:rsidRPr="007F38F4" w14:paraId="1ADDDC80"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3979652C" w14:textId="77777777" w:rsidR="000A7D9D" w:rsidRPr="007F38F4" w:rsidRDefault="000A7D9D" w:rsidP="00F31937">
            <w:pPr>
              <w:spacing w:before="120" w:after="120"/>
              <w:rPr>
                <w:rFonts w:ascii="Times New Roman" w:hAnsi="Times New Roman"/>
                <w:b/>
                <w:bCs/>
                <w:noProof/>
                <w:color w:val="000000"/>
                <w:sz w:val="24"/>
                <w:szCs w:val="24"/>
              </w:rPr>
            </w:pPr>
            <w:r w:rsidRPr="007F38F4">
              <w:rPr>
                <w:rFonts w:ascii="Times New Roman" w:hAnsi="Times New Roman"/>
                <w:b/>
                <w:noProof/>
                <w:color w:val="000000" w:themeColor="text1"/>
                <w:sz w:val="24"/>
                <w:szCs w:val="24"/>
              </w:rPr>
              <w:t>Support services: economies of scale</w:t>
            </w:r>
          </w:p>
        </w:tc>
        <w:tc>
          <w:tcPr>
            <w:tcW w:w="1119" w:type="dxa"/>
            <w:tcBorders>
              <w:top w:val="single" w:sz="4" w:space="0" w:color="auto"/>
              <w:left w:val="single" w:sz="4" w:space="0" w:color="auto"/>
              <w:bottom w:val="single" w:sz="4" w:space="0" w:color="auto"/>
              <w:right w:val="single" w:sz="4" w:space="0" w:color="auto"/>
            </w:tcBorders>
            <w:hideMark/>
          </w:tcPr>
          <w:p w14:paraId="012B0980"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6B183609"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Reuse of scientific support services (e.g. committee secretariat, prioritisation and grouping of substances, substance identification, data management and dissemination). Reuse of administrative services.</w:t>
            </w:r>
          </w:p>
        </w:tc>
      </w:tr>
    </w:tbl>
    <w:p w14:paraId="4C60E8CD" w14:textId="77777777" w:rsidR="000A7D9D" w:rsidRPr="007F38F4" w:rsidRDefault="000A7D9D" w:rsidP="000A7D9D">
      <w:pPr>
        <w:pStyle w:val="BodyText"/>
        <w:rPr>
          <w:noProof/>
        </w:rPr>
      </w:pPr>
    </w:p>
    <w:tbl>
      <w:tblPr>
        <w:tblStyle w:val="TableGrid21"/>
        <w:tblW w:w="0" w:type="auto"/>
        <w:tblLook w:val="04A0" w:firstRow="1" w:lastRow="0" w:firstColumn="1" w:lastColumn="0" w:noHBand="0" w:noVBand="1"/>
      </w:tblPr>
      <w:tblGrid>
        <w:gridCol w:w="1822"/>
        <w:gridCol w:w="1057"/>
        <w:gridCol w:w="6750"/>
      </w:tblGrid>
      <w:tr w:rsidR="000A7D9D" w:rsidRPr="007F38F4" w14:paraId="0EC2BA14"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3CCFD332" w14:textId="77777777" w:rsidR="000A7D9D" w:rsidRPr="007F38F4" w:rsidRDefault="000A7D9D" w:rsidP="00F31937">
            <w:pPr>
              <w:spacing w:before="120" w:after="120"/>
              <w:rPr>
                <w:rFonts w:ascii="Times New Roman" w:hAnsi="Times New Roman"/>
                <w:b/>
                <w:bCs/>
                <w:noProof/>
                <w:color w:val="0046AD"/>
                <w:sz w:val="24"/>
                <w:szCs w:val="24"/>
              </w:rPr>
            </w:pPr>
            <w:r w:rsidRPr="007F38F4">
              <w:rPr>
                <w:rFonts w:ascii="Times New Roman" w:hAnsi="Times New Roman"/>
                <w:b/>
                <w:noProof/>
                <w:color w:val="4472C4" w:themeColor="accent1"/>
                <w:sz w:val="24"/>
                <w:szCs w:val="24"/>
              </w:rPr>
              <w:t>Type</w:t>
            </w:r>
          </w:p>
        </w:tc>
        <w:tc>
          <w:tcPr>
            <w:tcW w:w="7807" w:type="dxa"/>
            <w:gridSpan w:val="2"/>
            <w:tcBorders>
              <w:top w:val="single" w:sz="4" w:space="0" w:color="auto"/>
              <w:left w:val="single" w:sz="4" w:space="0" w:color="auto"/>
              <w:bottom w:val="single" w:sz="4" w:space="0" w:color="auto"/>
              <w:right w:val="single" w:sz="4" w:space="0" w:color="auto"/>
            </w:tcBorders>
          </w:tcPr>
          <w:p w14:paraId="0BE5ED06" w14:textId="77777777" w:rsidR="000A7D9D" w:rsidRPr="007F38F4" w:rsidRDefault="000A7D9D" w:rsidP="00F31937">
            <w:pPr>
              <w:spacing w:before="120" w:after="120"/>
              <w:rPr>
                <w:rFonts w:ascii="Times New Roman" w:hAnsi="Times New Roman"/>
                <w:b/>
                <w:bCs/>
                <w:noProof/>
                <w:color w:val="0046AD"/>
                <w:sz w:val="24"/>
                <w:szCs w:val="24"/>
              </w:rPr>
            </w:pPr>
            <w:r w:rsidRPr="007F38F4">
              <w:rPr>
                <w:rFonts w:ascii="Times New Roman" w:hAnsi="Times New Roman"/>
                <w:b/>
                <w:bCs/>
                <w:noProof/>
                <w:color w:val="4472C4" w:themeColor="accent1"/>
                <w:sz w:val="24"/>
                <w:szCs w:val="24"/>
              </w:rPr>
              <w:t>Added value</w:t>
            </w:r>
          </w:p>
        </w:tc>
      </w:tr>
      <w:tr w:rsidR="000A7D9D" w:rsidRPr="007F38F4" w14:paraId="7C5D0B62"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5F693BE6" w14:textId="77777777" w:rsidR="000A7D9D" w:rsidRPr="007F38F4" w:rsidRDefault="000A7D9D" w:rsidP="00F31937">
            <w:pPr>
              <w:spacing w:before="120" w:after="120"/>
              <w:rPr>
                <w:rFonts w:ascii="Times New Roman" w:hAnsi="Times New Roman"/>
                <w:b/>
                <w:bCs/>
                <w:noProof/>
                <w:color w:val="000000"/>
                <w:sz w:val="24"/>
                <w:szCs w:val="24"/>
              </w:rPr>
            </w:pPr>
            <w:r w:rsidRPr="007F38F4">
              <w:rPr>
                <w:rFonts w:ascii="Times New Roman" w:hAnsi="Times New Roman"/>
                <w:b/>
                <w:noProof/>
                <w:color w:val="000000" w:themeColor="text1"/>
                <w:sz w:val="24"/>
                <w:szCs w:val="24"/>
              </w:rPr>
              <w:t>Scientific consistency</w:t>
            </w:r>
          </w:p>
        </w:tc>
        <w:tc>
          <w:tcPr>
            <w:tcW w:w="1057" w:type="dxa"/>
            <w:tcBorders>
              <w:top w:val="single" w:sz="4" w:space="0" w:color="auto"/>
              <w:left w:val="single" w:sz="4" w:space="0" w:color="auto"/>
              <w:bottom w:val="single" w:sz="4" w:space="0" w:color="auto"/>
              <w:right w:val="single" w:sz="4" w:space="0" w:color="auto"/>
            </w:tcBorders>
            <w:hideMark/>
          </w:tcPr>
          <w:p w14:paraId="632BCDF4"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2288FCF5"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Opportunity to align priority setting, timeline, process and methodology with other related legislation to improve coherence in the scientific advice provided to the Commission. Reuse of data collected under other chemical legislation.</w:t>
            </w:r>
          </w:p>
        </w:tc>
      </w:tr>
      <w:tr w:rsidR="000A7D9D" w:rsidRPr="007F38F4" w14:paraId="71C7B3F9"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188A9A47" w14:textId="77777777" w:rsidR="000A7D9D" w:rsidRPr="007F38F4" w:rsidRDefault="000A7D9D" w:rsidP="00F31937">
            <w:pPr>
              <w:spacing w:before="120" w:after="120"/>
              <w:rPr>
                <w:rFonts w:ascii="Times New Roman" w:hAnsi="Times New Roman"/>
                <w:b/>
                <w:bCs/>
                <w:noProof/>
                <w:color w:val="000000"/>
                <w:sz w:val="24"/>
                <w:szCs w:val="24"/>
              </w:rPr>
            </w:pPr>
            <w:r w:rsidRPr="007F38F4">
              <w:rPr>
                <w:rFonts w:ascii="Times New Roman" w:hAnsi="Times New Roman"/>
                <w:b/>
                <w:noProof/>
                <w:color w:val="000000" w:themeColor="text1"/>
                <w:sz w:val="24"/>
                <w:szCs w:val="24"/>
              </w:rPr>
              <w:t>Robustness of assessment and acceptance</w:t>
            </w:r>
          </w:p>
        </w:tc>
        <w:tc>
          <w:tcPr>
            <w:tcW w:w="1057" w:type="dxa"/>
            <w:tcBorders>
              <w:top w:val="single" w:sz="4" w:space="0" w:color="auto"/>
              <w:left w:val="single" w:sz="4" w:space="0" w:color="auto"/>
              <w:bottom w:val="single" w:sz="4" w:space="0" w:color="auto"/>
              <w:right w:val="single" w:sz="4" w:space="0" w:color="auto"/>
            </w:tcBorders>
            <w:hideMark/>
          </w:tcPr>
          <w:p w14:paraId="184D4A05"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681D6C71"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Insourcing of scientific work from consultants to Agency experts. Additional involvement of RAC and SEAC committees adds more scientific robustness to the process.</w:t>
            </w:r>
          </w:p>
          <w:p w14:paraId="4BD627F5" w14:textId="77777777" w:rsidR="000A7D9D" w:rsidRPr="007F38F4" w:rsidRDefault="000A7D9D" w:rsidP="00F31937">
            <w:pPr>
              <w:spacing w:after="240"/>
              <w:rPr>
                <w:rFonts w:ascii="Times New Roman" w:hAnsi="Times New Roman"/>
                <w:i/>
                <w:iCs/>
                <w:noProof/>
                <w:sz w:val="24"/>
                <w:szCs w:val="24"/>
              </w:rPr>
            </w:pPr>
            <w:r w:rsidRPr="007F38F4">
              <w:rPr>
                <w:rFonts w:ascii="Times New Roman" w:hAnsi="Times New Roman"/>
                <w:i/>
                <w:iCs/>
                <w:noProof/>
                <w:sz w:val="24"/>
                <w:szCs w:val="24"/>
              </w:rPr>
              <w:t xml:space="preserve">(See also </w:t>
            </w:r>
            <w:hyperlink r:id="rId72" w:history="1">
              <w:r w:rsidRPr="007F38F4">
                <w:rPr>
                  <w:rFonts w:ascii="Times New Roman" w:hAnsi="Times New Roman"/>
                  <w:i/>
                  <w:iCs/>
                  <w:noProof/>
                  <w:color w:val="0563C1"/>
                  <w:sz w:val="24"/>
                  <w:szCs w:val="24"/>
                  <w:u w:val="single"/>
                </w:rPr>
                <w:t>European Court of Auditors: External consultants at the European Commission - Scope for reform).</w:t>
              </w:r>
            </w:hyperlink>
          </w:p>
        </w:tc>
      </w:tr>
      <w:tr w:rsidR="000A7D9D" w:rsidRPr="007F38F4" w14:paraId="3E46A630"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15504CB9" w14:textId="77777777" w:rsidR="000A7D9D" w:rsidRPr="007F38F4" w:rsidRDefault="000A7D9D" w:rsidP="00F31937">
            <w:pPr>
              <w:spacing w:before="120" w:after="120"/>
              <w:rPr>
                <w:rFonts w:ascii="Times New Roman" w:hAnsi="Times New Roman"/>
                <w:b/>
                <w:bCs/>
                <w:noProof/>
                <w:color w:val="000000"/>
                <w:sz w:val="24"/>
                <w:szCs w:val="24"/>
              </w:rPr>
            </w:pPr>
            <w:r w:rsidRPr="007F38F4">
              <w:rPr>
                <w:rFonts w:ascii="Times New Roman" w:hAnsi="Times New Roman"/>
                <w:b/>
                <w:noProof/>
                <w:color w:val="000000" w:themeColor="text1"/>
                <w:sz w:val="24"/>
                <w:szCs w:val="24"/>
              </w:rPr>
              <w:t>Independence</w:t>
            </w:r>
          </w:p>
        </w:tc>
        <w:tc>
          <w:tcPr>
            <w:tcW w:w="1057" w:type="dxa"/>
            <w:tcBorders>
              <w:top w:val="single" w:sz="4" w:space="0" w:color="auto"/>
              <w:left w:val="single" w:sz="4" w:space="0" w:color="auto"/>
              <w:bottom w:val="single" w:sz="4" w:space="0" w:color="auto"/>
              <w:right w:val="single" w:sz="4" w:space="0" w:color="auto"/>
            </w:tcBorders>
            <w:hideMark/>
          </w:tcPr>
          <w:p w14:paraId="449C1306"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3292A166"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Moving scientific work from consultants to Agency experts and committees. ECHA and its committees work under strict conflict of interest avoidance rules, improving guarantees of independent scientific advice to the Commission.</w:t>
            </w:r>
          </w:p>
        </w:tc>
      </w:tr>
      <w:tr w:rsidR="000A7D9D" w:rsidRPr="007F38F4" w14:paraId="061F81BB"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37625B00" w14:textId="77777777" w:rsidR="000A7D9D" w:rsidRPr="007F38F4" w:rsidRDefault="000A7D9D" w:rsidP="00F31937">
            <w:pPr>
              <w:spacing w:before="120" w:after="120"/>
              <w:rPr>
                <w:rFonts w:ascii="Times New Roman" w:hAnsi="Times New Roman"/>
                <w:b/>
                <w:bCs/>
                <w:noProof/>
                <w:color w:val="000000"/>
                <w:sz w:val="24"/>
                <w:szCs w:val="24"/>
              </w:rPr>
            </w:pPr>
            <w:r w:rsidRPr="007F38F4">
              <w:rPr>
                <w:rFonts w:ascii="Times New Roman" w:hAnsi="Times New Roman"/>
                <w:b/>
                <w:noProof/>
                <w:color w:val="000000" w:themeColor="text1"/>
                <w:sz w:val="24"/>
                <w:szCs w:val="24"/>
              </w:rPr>
              <w:t>Transparency</w:t>
            </w:r>
          </w:p>
        </w:tc>
        <w:tc>
          <w:tcPr>
            <w:tcW w:w="1057" w:type="dxa"/>
            <w:tcBorders>
              <w:top w:val="single" w:sz="4" w:space="0" w:color="auto"/>
              <w:left w:val="single" w:sz="4" w:space="0" w:color="auto"/>
              <w:bottom w:val="single" w:sz="4" w:space="0" w:color="auto"/>
              <w:right w:val="single" w:sz="4" w:space="0" w:color="auto"/>
            </w:tcBorders>
            <w:hideMark/>
          </w:tcPr>
          <w:p w14:paraId="5349E77D"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5542941B" w14:textId="77777777" w:rsidR="000A7D9D" w:rsidRPr="007F38F4" w:rsidRDefault="000A7D9D" w:rsidP="00F31937">
            <w:pPr>
              <w:spacing w:before="120" w:after="120"/>
              <w:rPr>
                <w:rFonts w:ascii="Times New Roman" w:hAnsi="Times New Roman"/>
                <w:noProof/>
                <w:color w:val="000000"/>
                <w:sz w:val="24"/>
                <w:szCs w:val="24"/>
              </w:rPr>
            </w:pPr>
            <w:r w:rsidRPr="007F38F4">
              <w:rPr>
                <w:rFonts w:ascii="Times New Roman" w:hAnsi="Times New Roman"/>
                <w:noProof/>
                <w:color w:val="000000" w:themeColor="text1"/>
                <w:sz w:val="24"/>
                <w:szCs w:val="24"/>
              </w:rPr>
              <w:t>ECHA’s involvement will bring additional transparency to the process:</w:t>
            </w:r>
          </w:p>
          <w:p w14:paraId="7638A6A6" w14:textId="77777777" w:rsidR="000A7D9D" w:rsidRPr="007F38F4"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7F38F4">
              <w:rPr>
                <w:rFonts w:ascii="Times New Roman" w:hAnsi="Times New Roman"/>
                <w:noProof/>
                <w:color w:val="000000" w:themeColor="text1"/>
                <w:sz w:val="24"/>
                <w:szCs w:val="24"/>
              </w:rPr>
              <w:t>Overall process transparency</w:t>
            </w:r>
          </w:p>
          <w:p w14:paraId="765E1C26" w14:textId="77777777" w:rsidR="000A7D9D" w:rsidRPr="007F38F4"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7F38F4">
              <w:rPr>
                <w:rFonts w:ascii="Times New Roman" w:hAnsi="Times New Roman"/>
                <w:noProof/>
                <w:color w:val="000000" w:themeColor="text1"/>
                <w:sz w:val="24"/>
                <w:szCs w:val="24"/>
              </w:rPr>
              <w:t>Publication of regulatory intentions of EU authorities improves predictability for industry stakeholders</w:t>
            </w:r>
          </w:p>
          <w:p w14:paraId="136AC2BC" w14:textId="77777777" w:rsidR="000A7D9D" w:rsidRPr="007F38F4"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7F38F4">
              <w:rPr>
                <w:rFonts w:ascii="Times New Roman" w:hAnsi="Times New Roman"/>
                <w:noProof/>
                <w:color w:val="000000" w:themeColor="text1"/>
                <w:sz w:val="24"/>
                <w:szCs w:val="24"/>
              </w:rPr>
              <w:t>Public consultation/call for evidence</w:t>
            </w:r>
          </w:p>
          <w:p w14:paraId="01BD738D" w14:textId="77777777" w:rsidR="000A7D9D" w:rsidRPr="007F38F4"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7F38F4">
              <w:rPr>
                <w:rFonts w:ascii="Times New Roman" w:hAnsi="Times New Roman"/>
                <w:noProof/>
                <w:color w:val="000000" w:themeColor="text1"/>
                <w:sz w:val="24"/>
                <w:szCs w:val="24"/>
              </w:rPr>
              <w:t>Stakeholder involvement/observer status</w:t>
            </w:r>
          </w:p>
          <w:p w14:paraId="5C06A61D" w14:textId="77777777" w:rsidR="000A7D9D" w:rsidRPr="007F38F4"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7F38F4">
              <w:rPr>
                <w:rFonts w:ascii="Times New Roman" w:hAnsi="Times New Roman"/>
                <w:noProof/>
                <w:color w:val="000000" w:themeColor="text1"/>
                <w:sz w:val="24"/>
                <w:szCs w:val="24"/>
              </w:rPr>
              <w:t>Dissemination of scientific data and outcomes</w:t>
            </w:r>
          </w:p>
        </w:tc>
      </w:tr>
    </w:tbl>
    <w:p w14:paraId="01C0893A" w14:textId="77777777" w:rsidR="000A7D9D" w:rsidRPr="007F38F4" w:rsidRDefault="000A7D9D" w:rsidP="000A7D9D">
      <w:pPr>
        <w:pStyle w:val="BodyText"/>
        <w:rPr>
          <w:b/>
          <w:bCs/>
          <w:noProof/>
        </w:rPr>
      </w:pPr>
    </w:p>
    <w:p w14:paraId="525D2294" w14:textId="77777777" w:rsidR="000A7D9D" w:rsidRPr="007F38F4" w:rsidRDefault="000A7D9D" w:rsidP="000A7D9D">
      <w:pPr>
        <w:pStyle w:val="BodyText"/>
        <w:jc w:val="both"/>
        <w:rPr>
          <w:b/>
          <w:bCs/>
          <w:noProof/>
        </w:rPr>
      </w:pPr>
      <w:r w:rsidRPr="007F38F4">
        <w:rPr>
          <w:b/>
          <w:bCs/>
          <w:noProof/>
        </w:rPr>
        <w:t xml:space="preserve">Main risks and opportunities: </w:t>
      </w:r>
      <w:r w:rsidRPr="007F38F4">
        <w:rPr>
          <w:noProof/>
        </w:rPr>
        <w:t xml:space="preserve">No major concerns and there are certainly opportunities to find synergies with the REACH restriction process. </w:t>
      </w:r>
    </w:p>
    <w:p w14:paraId="5A045D8F" w14:textId="77777777" w:rsidR="000A7D9D" w:rsidRPr="007F38F4" w:rsidRDefault="000A7D9D" w:rsidP="000A7D9D">
      <w:pPr>
        <w:pStyle w:val="BodyText"/>
        <w:rPr>
          <w:b/>
          <w:bCs/>
          <w:noProof/>
        </w:rPr>
      </w:pPr>
      <w:r w:rsidRPr="007F38F4">
        <w:rPr>
          <w:b/>
          <w:bCs/>
          <w:noProof/>
        </w:rPr>
        <w:t xml:space="preserve">Projected impact on Agency: </w:t>
      </w:r>
    </w:p>
    <w:p w14:paraId="748626F7" w14:textId="77777777" w:rsidR="000A7D9D" w:rsidRPr="007F38F4" w:rsidRDefault="000A7D9D" w:rsidP="000A7D9D">
      <w:pPr>
        <w:pStyle w:val="BodyText"/>
        <w:widowControl w:val="0"/>
        <w:numPr>
          <w:ilvl w:val="0"/>
          <w:numId w:val="87"/>
        </w:numPr>
        <w:jc w:val="both"/>
        <w:rPr>
          <w:noProof/>
        </w:rPr>
      </w:pPr>
      <w:r w:rsidRPr="007F38F4">
        <w:rPr>
          <w:noProof/>
        </w:rPr>
        <w:t xml:space="preserve">ECHA Committees/bodies: </w:t>
      </w:r>
      <w:r w:rsidRPr="007F38F4">
        <w:rPr>
          <w:b/>
          <w:bCs/>
          <w:noProof/>
        </w:rPr>
        <w:t>medium impact</w:t>
      </w:r>
      <w:r w:rsidRPr="007F38F4">
        <w:rPr>
          <w:noProof/>
        </w:rPr>
        <w:t>. The task generates medium impact on the setup / organisation / staffing of Committees/bodies due to the additional workload</w:t>
      </w:r>
    </w:p>
    <w:tbl>
      <w:tblPr>
        <w:tblStyle w:val="TableGrid"/>
        <w:tblW w:w="9072" w:type="dxa"/>
        <w:tblInd w:w="562" w:type="dxa"/>
        <w:tblLook w:val="04A0" w:firstRow="1" w:lastRow="0" w:firstColumn="1" w:lastColumn="0" w:noHBand="0" w:noVBand="1"/>
      </w:tblPr>
      <w:tblGrid>
        <w:gridCol w:w="1682"/>
        <w:gridCol w:w="1084"/>
        <w:gridCol w:w="1363"/>
        <w:gridCol w:w="1129"/>
        <w:gridCol w:w="1132"/>
        <w:gridCol w:w="1416"/>
        <w:gridCol w:w="1266"/>
      </w:tblGrid>
      <w:tr w:rsidR="000A7D9D" w:rsidRPr="007F38F4" w14:paraId="459F4822" w14:textId="77777777" w:rsidTr="00F31937">
        <w:tc>
          <w:tcPr>
            <w:tcW w:w="1696" w:type="dxa"/>
          </w:tcPr>
          <w:p w14:paraId="5991C0C6" w14:textId="77777777" w:rsidR="000A7D9D" w:rsidRPr="007F38F4" w:rsidRDefault="000A7D9D" w:rsidP="00F31937">
            <w:pPr>
              <w:pStyle w:val="BodyText"/>
              <w:rPr>
                <w:b/>
                <w:bCs/>
                <w:noProof/>
              </w:rPr>
            </w:pPr>
          </w:p>
        </w:tc>
        <w:tc>
          <w:tcPr>
            <w:tcW w:w="1076" w:type="dxa"/>
          </w:tcPr>
          <w:p w14:paraId="479D4D43" w14:textId="77777777" w:rsidR="000A7D9D" w:rsidRPr="007F38F4" w:rsidRDefault="000A7D9D" w:rsidP="00F31937">
            <w:pPr>
              <w:pStyle w:val="BodyText"/>
              <w:rPr>
                <w:b/>
                <w:bCs/>
                <w:noProof/>
              </w:rPr>
            </w:pPr>
            <w:r w:rsidRPr="007F38F4">
              <w:rPr>
                <w:b/>
                <w:bCs/>
                <w:noProof/>
              </w:rPr>
              <w:t>RAC</w:t>
            </w:r>
          </w:p>
        </w:tc>
        <w:tc>
          <w:tcPr>
            <w:tcW w:w="1338" w:type="dxa"/>
          </w:tcPr>
          <w:p w14:paraId="78A9DB4D" w14:textId="77777777" w:rsidR="000A7D9D" w:rsidRPr="007F38F4" w:rsidRDefault="000A7D9D" w:rsidP="00F31937">
            <w:pPr>
              <w:pStyle w:val="BodyText"/>
              <w:rPr>
                <w:b/>
                <w:bCs/>
                <w:noProof/>
              </w:rPr>
            </w:pPr>
          </w:p>
        </w:tc>
        <w:tc>
          <w:tcPr>
            <w:tcW w:w="1134" w:type="dxa"/>
          </w:tcPr>
          <w:p w14:paraId="274F229E" w14:textId="77777777" w:rsidR="000A7D9D" w:rsidRPr="007F38F4" w:rsidRDefault="000A7D9D" w:rsidP="00F31937">
            <w:pPr>
              <w:pStyle w:val="BodyText"/>
              <w:rPr>
                <w:b/>
                <w:bCs/>
                <w:noProof/>
              </w:rPr>
            </w:pPr>
          </w:p>
        </w:tc>
        <w:tc>
          <w:tcPr>
            <w:tcW w:w="1134" w:type="dxa"/>
          </w:tcPr>
          <w:p w14:paraId="21EFD4CD" w14:textId="77777777" w:rsidR="000A7D9D" w:rsidRPr="007F38F4" w:rsidRDefault="000A7D9D" w:rsidP="00F31937">
            <w:pPr>
              <w:pStyle w:val="BodyText"/>
              <w:rPr>
                <w:b/>
                <w:bCs/>
                <w:noProof/>
              </w:rPr>
            </w:pPr>
            <w:r w:rsidRPr="007F38F4">
              <w:rPr>
                <w:b/>
                <w:bCs/>
                <w:noProof/>
              </w:rPr>
              <w:t>SEAC</w:t>
            </w:r>
          </w:p>
        </w:tc>
        <w:tc>
          <w:tcPr>
            <w:tcW w:w="1418" w:type="dxa"/>
          </w:tcPr>
          <w:p w14:paraId="08C3884E" w14:textId="77777777" w:rsidR="000A7D9D" w:rsidRPr="007F38F4" w:rsidRDefault="000A7D9D" w:rsidP="00F31937">
            <w:pPr>
              <w:pStyle w:val="BodyText"/>
              <w:rPr>
                <w:b/>
                <w:bCs/>
                <w:noProof/>
              </w:rPr>
            </w:pPr>
          </w:p>
        </w:tc>
        <w:tc>
          <w:tcPr>
            <w:tcW w:w="1276" w:type="dxa"/>
          </w:tcPr>
          <w:p w14:paraId="5050C4EB" w14:textId="77777777" w:rsidR="000A7D9D" w:rsidRPr="007F38F4" w:rsidRDefault="000A7D9D" w:rsidP="00F31937">
            <w:pPr>
              <w:pStyle w:val="BodyText"/>
              <w:rPr>
                <w:b/>
                <w:bCs/>
                <w:noProof/>
              </w:rPr>
            </w:pPr>
          </w:p>
        </w:tc>
      </w:tr>
      <w:tr w:rsidR="000A7D9D" w:rsidRPr="007F38F4" w14:paraId="6987DD80" w14:textId="77777777" w:rsidTr="00F31937">
        <w:tc>
          <w:tcPr>
            <w:tcW w:w="1696" w:type="dxa"/>
          </w:tcPr>
          <w:p w14:paraId="0A9F1540" w14:textId="77777777" w:rsidR="000A7D9D" w:rsidRPr="007F38F4" w:rsidRDefault="000A7D9D" w:rsidP="00F31937">
            <w:pPr>
              <w:pStyle w:val="BodyText"/>
              <w:rPr>
                <w:b/>
                <w:bCs/>
                <w:noProof/>
              </w:rPr>
            </w:pPr>
          </w:p>
        </w:tc>
        <w:tc>
          <w:tcPr>
            <w:tcW w:w="1076" w:type="dxa"/>
          </w:tcPr>
          <w:p w14:paraId="13FEE403" w14:textId="77777777" w:rsidR="000A7D9D" w:rsidRPr="007F38F4" w:rsidRDefault="000A7D9D" w:rsidP="00F31937">
            <w:pPr>
              <w:pStyle w:val="BodyText"/>
              <w:rPr>
                <w:b/>
                <w:bCs/>
                <w:noProof/>
              </w:rPr>
            </w:pPr>
            <w:r w:rsidRPr="007F38F4">
              <w:rPr>
                <w:b/>
                <w:bCs/>
                <w:noProof/>
              </w:rPr>
              <w:t># of opinions per year</w:t>
            </w:r>
          </w:p>
        </w:tc>
        <w:tc>
          <w:tcPr>
            <w:tcW w:w="1338" w:type="dxa"/>
          </w:tcPr>
          <w:p w14:paraId="347DFD90" w14:textId="77777777" w:rsidR="000A7D9D" w:rsidRPr="007F38F4" w:rsidRDefault="000A7D9D" w:rsidP="00F31937">
            <w:pPr>
              <w:pStyle w:val="BodyText"/>
              <w:rPr>
                <w:b/>
                <w:bCs/>
                <w:noProof/>
              </w:rPr>
            </w:pPr>
            <w:r w:rsidRPr="007F38F4">
              <w:rPr>
                <w:b/>
                <w:bCs/>
                <w:noProof/>
              </w:rPr>
              <w:t>rapportuer</w:t>
            </w:r>
          </w:p>
        </w:tc>
        <w:tc>
          <w:tcPr>
            <w:tcW w:w="1134" w:type="dxa"/>
          </w:tcPr>
          <w:p w14:paraId="6075592C" w14:textId="77777777" w:rsidR="000A7D9D" w:rsidRPr="007F38F4" w:rsidRDefault="000A7D9D" w:rsidP="00F31937">
            <w:pPr>
              <w:pStyle w:val="BodyText"/>
              <w:rPr>
                <w:b/>
                <w:bCs/>
                <w:noProof/>
              </w:rPr>
            </w:pPr>
            <w:r w:rsidRPr="007F38F4">
              <w:rPr>
                <w:b/>
                <w:bCs/>
                <w:noProof/>
              </w:rPr>
              <w:t>Type of opinion</w:t>
            </w:r>
          </w:p>
        </w:tc>
        <w:tc>
          <w:tcPr>
            <w:tcW w:w="1134" w:type="dxa"/>
          </w:tcPr>
          <w:p w14:paraId="10EAE15A" w14:textId="77777777" w:rsidR="000A7D9D" w:rsidRPr="007F38F4" w:rsidRDefault="000A7D9D" w:rsidP="00F31937">
            <w:pPr>
              <w:pStyle w:val="BodyText"/>
              <w:rPr>
                <w:b/>
                <w:bCs/>
                <w:noProof/>
              </w:rPr>
            </w:pPr>
            <w:r w:rsidRPr="007F38F4">
              <w:rPr>
                <w:b/>
                <w:bCs/>
                <w:noProof/>
              </w:rPr>
              <w:t># of opinions per year</w:t>
            </w:r>
          </w:p>
        </w:tc>
        <w:tc>
          <w:tcPr>
            <w:tcW w:w="1418" w:type="dxa"/>
          </w:tcPr>
          <w:p w14:paraId="1DD3F08C" w14:textId="77777777" w:rsidR="000A7D9D" w:rsidRPr="007F38F4" w:rsidRDefault="000A7D9D" w:rsidP="00F31937">
            <w:pPr>
              <w:pStyle w:val="BodyText"/>
              <w:rPr>
                <w:b/>
                <w:bCs/>
                <w:noProof/>
              </w:rPr>
            </w:pPr>
            <w:r w:rsidRPr="007F38F4">
              <w:rPr>
                <w:b/>
                <w:bCs/>
                <w:noProof/>
              </w:rPr>
              <w:t>rapporteur</w:t>
            </w:r>
          </w:p>
        </w:tc>
        <w:tc>
          <w:tcPr>
            <w:tcW w:w="1276" w:type="dxa"/>
          </w:tcPr>
          <w:p w14:paraId="66BFDCD6" w14:textId="77777777" w:rsidR="000A7D9D" w:rsidRPr="007F38F4" w:rsidRDefault="000A7D9D" w:rsidP="00F31937">
            <w:pPr>
              <w:pStyle w:val="BodyText"/>
              <w:rPr>
                <w:b/>
                <w:bCs/>
                <w:noProof/>
              </w:rPr>
            </w:pPr>
            <w:r w:rsidRPr="007F38F4">
              <w:rPr>
                <w:b/>
                <w:bCs/>
                <w:noProof/>
              </w:rPr>
              <w:t>Type of opinion</w:t>
            </w:r>
          </w:p>
        </w:tc>
      </w:tr>
      <w:tr w:rsidR="000A7D9D" w:rsidRPr="007F38F4" w14:paraId="6CD6FB28" w14:textId="77777777" w:rsidTr="00F31937">
        <w:tc>
          <w:tcPr>
            <w:tcW w:w="1696" w:type="dxa"/>
          </w:tcPr>
          <w:p w14:paraId="1C495696" w14:textId="77777777" w:rsidR="000A7D9D" w:rsidRPr="007F38F4" w:rsidRDefault="000A7D9D" w:rsidP="00F31937">
            <w:pPr>
              <w:pStyle w:val="BodyText"/>
              <w:rPr>
                <w:noProof/>
              </w:rPr>
            </w:pPr>
            <w:r w:rsidRPr="007F38F4">
              <w:rPr>
                <w:noProof/>
              </w:rPr>
              <w:t>Restriction (as part of REACH)</w:t>
            </w:r>
          </w:p>
        </w:tc>
        <w:tc>
          <w:tcPr>
            <w:tcW w:w="1076" w:type="dxa"/>
          </w:tcPr>
          <w:p w14:paraId="448B7F39" w14:textId="77777777" w:rsidR="000A7D9D" w:rsidRPr="007F38F4" w:rsidRDefault="000A7D9D" w:rsidP="00F31937">
            <w:pPr>
              <w:pStyle w:val="BodyText"/>
              <w:rPr>
                <w:noProof/>
              </w:rPr>
            </w:pPr>
            <w:r w:rsidRPr="007F38F4">
              <w:rPr>
                <w:noProof/>
              </w:rPr>
              <w:t>0</w:t>
            </w:r>
          </w:p>
        </w:tc>
        <w:tc>
          <w:tcPr>
            <w:tcW w:w="1338" w:type="dxa"/>
          </w:tcPr>
          <w:p w14:paraId="369C9988" w14:textId="77777777" w:rsidR="000A7D9D" w:rsidRPr="007F38F4" w:rsidRDefault="000A7D9D" w:rsidP="00F31937">
            <w:pPr>
              <w:pStyle w:val="BodyText"/>
              <w:rPr>
                <w:noProof/>
              </w:rPr>
            </w:pPr>
            <w:r w:rsidRPr="007F38F4">
              <w:rPr>
                <w:noProof/>
              </w:rPr>
              <w:t>RAC member</w:t>
            </w:r>
          </w:p>
        </w:tc>
        <w:tc>
          <w:tcPr>
            <w:tcW w:w="1134" w:type="dxa"/>
          </w:tcPr>
          <w:p w14:paraId="30BAB87F" w14:textId="77777777" w:rsidR="000A7D9D" w:rsidRPr="007F38F4" w:rsidRDefault="000A7D9D" w:rsidP="00F31937">
            <w:pPr>
              <w:pStyle w:val="BodyText"/>
              <w:rPr>
                <w:noProof/>
              </w:rPr>
            </w:pPr>
          </w:p>
        </w:tc>
        <w:tc>
          <w:tcPr>
            <w:tcW w:w="1134" w:type="dxa"/>
          </w:tcPr>
          <w:p w14:paraId="06449B8F" w14:textId="77777777" w:rsidR="000A7D9D" w:rsidRPr="007F38F4" w:rsidRDefault="000A7D9D" w:rsidP="00F31937">
            <w:pPr>
              <w:pStyle w:val="BodyText"/>
              <w:rPr>
                <w:noProof/>
              </w:rPr>
            </w:pPr>
            <w:r w:rsidRPr="007F38F4">
              <w:rPr>
                <w:noProof/>
              </w:rPr>
              <w:t>0</w:t>
            </w:r>
          </w:p>
        </w:tc>
        <w:tc>
          <w:tcPr>
            <w:tcW w:w="1418" w:type="dxa"/>
          </w:tcPr>
          <w:p w14:paraId="11107200" w14:textId="77777777" w:rsidR="000A7D9D" w:rsidRPr="007F38F4" w:rsidRDefault="000A7D9D" w:rsidP="00F31937">
            <w:pPr>
              <w:pStyle w:val="BodyText"/>
              <w:rPr>
                <w:noProof/>
              </w:rPr>
            </w:pPr>
            <w:r w:rsidRPr="007F38F4">
              <w:rPr>
                <w:noProof/>
              </w:rPr>
              <w:t>SEAC member</w:t>
            </w:r>
          </w:p>
        </w:tc>
        <w:tc>
          <w:tcPr>
            <w:tcW w:w="1276" w:type="dxa"/>
          </w:tcPr>
          <w:p w14:paraId="3EF2348E" w14:textId="77777777" w:rsidR="000A7D9D" w:rsidRPr="007F38F4" w:rsidRDefault="000A7D9D" w:rsidP="00F31937">
            <w:pPr>
              <w:pStyle w:val="BodyText"/>
              <w:rPr>
                <w:noProof/>
              </w:rPr>
            </w:pPr>
          </w:p>
        </w:tc>
      </w:tr>
      <w:tr w:rsidR="000A7D9D" w:rsidRPr="007F38F4" w14:paraId="31A8BF9C" w14:textId="77777777" w:rsidTr="00F31937">
        <w:tc>
          <w:tcPr>
            <w:tcW w:w="1696" w:type="dxa"/>
          </w:tcPr>
          <w:p w14:paraId="0E6E29FE" w14:textId="77777777" w:rsidR="000A7D9D" w:rsidRPr="007F38F4" w:rsidRDefault="000A7D9D" w:rsidP="00F31937">
            <w:pPr>
              <w:pStyle w:val="BodyText"/>
              <w:rPr>
                <w:noProof/>
              </w:rPr>
            </w:pPr>
            <w:r w:rsidRPr="007F38F4">
              <w:rPr>
                <w:noProof/>
              </w:rPr>
              <w:t xml:space="preserve">Review of exemption </w:t>
            </w:r>
          </w:p>
        </w:tc>
        <w:tc>
          <w:tcPr>
            <w:tcW w:w="1076" w:type="dxa"/>
          </w:tcPr>
          <w:p w14:paraId="334D9D83" w14:textId="77777777" w:rsidR="000A7D9D" w:rsidRPr="007F38F4" w:rsidRDefault="000A7D9D" w:rsidP="00F31937">
            <w:pPr>
              <w:pStyle w:val="BodyText"/>
              <w:rPr>
                <w:noProof/>
              </w:rPr>
            </w:pPr>
            <w:r w:rsidRPr="007F38F4">
              <w:rPr>
                <w:noProof/>
              </w:rPr>
              <w:t>0</w:t>
            </w:r>
          </w:p>
        </w:tc>
        <w:tc>
          <w:tcPr>
            <w:tcW w:w="1338" w:type="dxa"/>
          </w:tcPr>
          <w:p w14:paraId="43A072D2" w14:textId="77777777" w:rsidR="000A7D9D" w:rsidRPr="007F38F4" w:rsidRDefault="000A7D9D" w:rsidP="00F31937">
            <w:pPr>
              <w:pStyle w:val="BodyText"/>
              <w:rPr>
                <w:noProof/>
              </w:rPr>
            </w:pPr>
            <w:r w:rsidRPr="007F38F4">
              <w:rPr>
                <w:noProof/>
              </w:rPr>
              <w:t>-</w:t>
            </w:r>
          </w:p>
        </w:tc>
        <w:tc>
          <w:tcPr>
            <w:tcW w:w="1134" w:type="dxa"/>
          </w:tcPr>
          <w:p w14:paraId="7D61C005" w14:textId="77777777" w:rsidR="000A7D9D" w:rsidRPr="007F38F4" w:rsidRDefault="000A7D9D" w:rsidP="00F31937">
            <w:pPr>
              <w:pStyle w:val="BodyText"/>
              <w:rPr>
                <w:noProof/>
              </w:rPr>
            </w:pPr>
          </w:p>
        </w:tc>
        <w:tc>
          <w:tcPr>
            <w:tcW w:w="1134" w:type="dxa"/>
          </w:tcPr>
          <w:p w14:paraId="2A1088F0" w14:textId="77777777" w:rsidR="000A7D9D" w:rsidRPr="007F38F4" w:rsidRDefault="000A7D9D" w:rsidP="00F31937">
            <w:pPr>
              <w:pStyle w:val="BodyText"/>
              <w:rPr>
                <w:noProof/>
              </w:rPr>
            </w:pPr>
            <w:r w:rsidRPr="007F38F4">
              <w:rPr>
                <w:noProof/>
              </w:rPr>
              <w:t>5</w:t>
            </w:r>
          </w:p>
        </w:tc>
        <w:tc>
          <w:tcPr>
            <w:tcW w:w="1418" w:type="dxa"/>
          </w:tcPr>
          <w:p w14:paraId="5762223F" w14:textId="77777777" w:rsidR="000A7D9D" w:rsidRPr="007F38F4" w:rsidRDefault="000A7D9D" w:rsidP="00F31937">
            <w:pPr>
              <w:pStyle w:val="BodyText"/>
              <w:rPr>
                <w:noProof/>
              </w:rPr>
            </w:pPr>
            <w:r w:rsidRPr="007F38F4">
              <w:rPr>
                <w:noProof/>
              </w:rPr>
              <w:t xml:space="preserve">SEAC member </w:t>
            </w:r>
          </w:p>
        </w:tc>
        <w:tc>
          <w:tcPr>
            <w:tcW w:w="1276" w:type="dxa"/>
          </w:tcPr>
          <w:p w14:paraId="6AC8BA87" w14:textId="77777777" w:rsidR="000A7D9D" w:rsidRPr="007F38F4" w:rsidRDefault="000A7D9D" w:rsidP="00F31937">
            <w:pPr>
              <w:pStyle w:val="BodyText"/>
              <w:rPr>
                <w:noProof/>
              </w:rPr>
            </w:pPr>
          </w:p>
        </w:tc>
      </w:tr>
    </w:tbl>
    <w:p w14:paraId="31CB932C" w14:textId="77777777" w:rsidR="000A7D9D" w:rsidRPr="007F38F4" w:rsidRDefault="000A7D9D" w:rsidP="000A7D9D">
      <w:pPr>
        <w:pStyle w:val="BodyText"/>
        <w:jc w:val="both"/>
        <w:rPr>
          <w:noProof/>
        </w:rPr>
      </w:pPr>
    </w:p>
    <w:p w14:paraId="69D9CE1B" w14:textId="77777777" w:rsidR="000A7D9D" w:rsidRPr="007F38F4" w:rsidRDefault="000A7D9D" w:rsidP="000A7D9D">
      <w:pPr>
        <w:pStyle w:val="BodyText"/>
        <w:widowControl w:val="0"/>
        <w:numPr>
          <w:ilvl w:val="0"/>
          <w:numId w:val="87"/>
        </w:numPr>
        <w:jc w:val="both"/>
        <w:rPr>
          <w:noProof/>
        </w:rPr>
      </w:pPr>
      <w:r w:rsidRPr="007F38F4">
        <w:rPr>
          <w:noProof/>
        </w:rPr>
        <w:t xml:space="preserve">ECHA data model and IT infrastructure: </w:t>
      </w:r>
      <w:r w:rsidRPr="007F38F4">
        <w:rPr>
          <w:b/>
          <w:bCs/>
          <w:noProof/>
        </w:rPr>
        <w:t>low impact</w:t>
      </w:r>
      <w:r w:rsidRPr="007F38F4">
        <w:rPr>
          <w:noProof/>
        </w:rPr>
        <w:t>. The task can be implemented with adjustments / configuration of existing data structures and IT systems</w:t>
      </w:r>
    </w:p>
    <w:p w14:paraId="63C4DAD1" w14:textId="77777777" w:rsidR="000A7D9D" w:rsidRPr="007F38F4" w:rsidRDefault="000A7D9D" w:rsidP="000A7D9D">
      <w:pPr>
        <w:pStyle w:val="BodyText"/>
        <w:widowControl w:val="0"/>
        <w:numPr>
          <w:ilvl w:val="0"/>
          <w:numId w:val="87"/>
        </w:numPr>
        <w:jc w:val="both"/>
        <w:rPr>
          <w:noProof/>
        </w:rPr>
      </w:pPr>
      <w:r w:rsidRPr="007F38F4">
        <w:rPr>
          <w:noProof/>
        </w:rPr>
        <w:t xml:space="preserve">ECHA key experts: </w:t>
      </w:r>
      <w:r w:rsidRPr="007F38F4">
        <w:rPr>
          <w:b/>
          <w:bCs/>
          <w:noProof/>
        </w:rPr>
        <w:t>medium impact</w:t>
      </w:r>
      <w:r w:rsidRPr="007F38F4">
        <w:rPr>
          <w:noProof/>
        </w:rPr>
        <w:t>. The task partly relies on existing expert competencies, which are limited within ECHA and also critical to REACH/CLP/BPR regulatory tasks</w:t>
      </w:r>
    </w:p>
    <w:p w14:paraId="120B6B2E" w14:textId="77777777" w:rsidR="000A7D9D" w:rsidRPr="007F38F4" w:rsidRDefault="000A7D9D" w:rsidP="000A7D9D">
      <w:pPr>
        <w:pStyle w:val="BodyText"/>
        <w:rPr>
          <w:noProof/>
        </w:rPr>
      </w:pPr>
      <w:r w:rsidRPr="007F38F4">
        <w:rPr>
          <w:b/>
          <w:bCs/>
          <w:noProof/>
        </w:rPr>
        <w:t>Projected workload and resource implications:</w:t>
      </w:r>
      <w:r w:rsidRPr="007F38F4">
        <w:rPr>
          <w:noProof/>
        </w:rPr>
        <w:t xml:space="preserve"> </w:t>
      </w:r>
    </w:p>
    <w:p w14:paraId="5B1B82B9" w14:textId="77777777" w:rsidR="000A7D9D" w:rsidRPr="007F38F4" w:rsidRDefault="000A7D9D" w:rsidP="000A7D9D">
      <w:pPr>
        <w:spacing w:after="120"/>
        <w:rPr>
          <w:rFonts w:ascii="Times New Roman" w:hAnsi="Times New Roman" w:cs="Times New Roman"/>
          <w:noProof/>
          <w:sz w:val="24"/>
          <w:szCs w:val="24"/>
          <w:u w:val="single"/>
        </w:rPr>
      </w:pPr>
      <w:r w:rsidRPr="007F38F4">
        <w:rPr>
          <w:rFonts w:ascii="Times New Roman" w:hAnsi="Times New Roman" w:cs="Times New Roman"/>
          <w:noProof/>
          <w:sz w:val="24"/>
          <w:szCs w:val="24"/>
          <w:u w:val="single"/>
        </w:rPr>
        <w:t>Current workload and resource use:</w:t>
      </w:r>
    </w:p>
    <w:p w14:paraId="4972EA31"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No new substances were restricted since the adoption of the Directive (end 2000). 4 substances are currently restricted. They were restricted as part of the adoption of the legal text end 2000. </w:t>
      </w:r>
    </w:p>
    <w:p w14:paraId="588F44B9"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There were 41 valid exemptions in May 2022. The number of exemptions assessed varies across the years, with average 2</w:t>
      </w:r>
      <w:r>
        <w:rPr>
          <w:rFonts w:ascii="Times New Roman" w:hAnsi="Times New Roman" w:cs="Times New Roman"/>
          <w:noProof/>
          <w:sz w:val="24"/>
          <w:szCs w:val="24"/>
        </w:rPr>
        <w:t>.</w:t>
      </w:r>
      <w:r w:rsidRPr="007F38F4">
        <w:rPr>
          <w:rFonts w:ascii="Times New Roman" w:hAnsi="Times New Roman" w:cs="Times New Roman"/>
          <w:noProof/>
          <w:sz w:val="24"/>
          <w:szCs w:val="24"/>
        </w:rPr>
        <w:t xml:space="preserve">14 exemption assessment per year: </w:t>
      </w:r>
    </w:p>
    <w:tbl>
      <w:tblPr>
        <w:tblStyle w:val="TableGrid3"/>
        <w:tblW w:w="0" w:type="auto"/>
        <w:tblLook w:val="04A0" w:firstRow="1" w:lastRow="0" w:firstColumn="1" w:lastColumn="0" w:noHBand="0" w:noVBand="1"/>
      </w:tblPr>
      <w:tblGrid>
        <w:gridCol w:w="4799"/>
        <w:gridCol w:w="4830"/>
      </w:tblGrid>
      <w:tr w:rsidR="000A7D9D" w:rsidRPr="007F38F4" w14:paraId="2174CC09" w14:textId="77777777" w:rsidTr="00F31937">
        <w:trPr>
          <w:trHeight w:val="300"/>
        </w:trPr>
        <w:tc>
          <w:tcPr>
            <w:tcW w:w="4799" w:type="dxa"/>
          </w:tcPr>
          <w:p w14:paraId="0B4C4EC4"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11</w:t>
            </w:r>
            <w:r w:rsidRPr="007F38F4">
              <w:rPr>
                <w:rFonts w:ascii="Times New Roman" w:hAnsi="Times New Roman"/>
                <w:noProof/>
                <w:sz w:val="24"/>
                <w:szCs w:val="24"/>
                <w:vertAlign w:val="superscript"/>
              </w:rPr>
              <w:t>th</w:t>
            </w:r>
            <w:r w:rsidRPr="007F38F4">
              <w:rPr>
                <w:rFonts w:ascii="Times New Roman" w:hAnsi="Times New Roman"/>
                <w:noProof/>
                <w:sz w:val="24"/>
                <w:szCs w:val="24"/>
              </w:rPr>
              <w:t xml:space="preserve"> adaptation 2021 reviewed</w:t>
            </w:r>
          </w:p>
        </w:tc>
        <w:tc>
          <w:tcPr>
            <w:tcW w:w="4830" w:type="dxa"/>
          </w:tcPr>
          <w:p w14:paraId="09767BB7"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3 exemption requests reviewed</w:t>
            </w:r>
          </w:p>
        </w:tc>
      </w:tr>
      <w:tr w:rsidR="000A7D9D" w:rsidRPr="007F38F4" w14:paraId="4E73767A" w14:textId="77777777" w:rsidTr="00F31937">
        <w:trPr>
          <w:trHeight w:val="300"/>
        </w:trPr>
        <w:tc>
          <w:tcPr>
            <w:tcW w:w="4799" w:type="dxa"/>
          </w:tcPr>
          <w:p w14:paraId="18C443B9"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9</w:t>
            </w:r>
            <w:r w:rsidRPr="007F38F4">
              <w:rPr>
                <w:rFonts w:ascii="Times New Roman" w:hAnsi="Times New Roman"/>
                <w:noProof/>
                <w:sz w:val="24"/>
                <w:szCs w:val="24"/>
                <w:vertAlign w:val="superscript"/>
              </w:rPr>
              <w:t>th</w:t>
            </w:r>
            <w:r w:rsidRPr="007F38F4">
              <w:rPr>
                <w:rFonts w:ascii="Times New Roman" w:hAnsi="Times New Roman"/>
                <w:noProof/>
                <w:sz w:val="24"/>
                <w:szCs w:val="24"/>
              </w:rPr>
              <w:t xml:space="preserve"> and 10</w:t>
            </w:r>
            <w:r w:rsidRPr="007F38F4">
              <w:rPr>
                <w:rFonts w:ascii="Times New Roman" w:hAnsi="Times New Roman"/>
                <w:noProof/>
                <w:sz w:val="24"/>
                <w:szCs w:val="24"/>
                <w:vertAlign w:val="superscript"/>
              </w:rPr>
              <w:t>th</w:t>
            </w:r>
            <w:r w:rsidRPr="007F38F4">
              <w:rPr>
                <w:rFonts w:ascii="Times New Roman" w:hAnsi="Times New Roman"/>
                <w:noProof/>
                <w:sz w:val="24"/>
                <w:szCs w:val="24"/>
              </w:rPr>
              <w:t xml:space="preserve"> adaptation 2019</w:t>
            </w:r>
          </w:p>
        </w:tc>
        <w:tc>
          <w:tcPr>
            <w:tcW w:w="4830" w:type="dxa"/>
          </w:tcPr>
          <w:p w14:paraId="3C66CA80"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5 exemptions reviewed</w:t>
            </w:r>
          </w:p>
        </w:tc>
      </w:tr>
      <w:tr w:rsidR="000A7D9D" w:rsidRPr="007F38F4" w14:paraId="59820825" w14:textId="77777777" w:rsidTr="00F31937">
        <w:trPr>
          <w:trHeight w:val="300"/>
        </w:trPr>
        <w:tc>
          <w:tcPr>
            <w:tcW w:w="4799" w:type="dxa"/>
          </w:tcPr>
          <w:p w14:paraId="3E950854"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8</w:t>
            </w:r>
            <w:r w:rsidRPr="007F38F4">
              <w:rPr>
                <w:rFonts w:ascii="Times New Roman" w:hAnsi="Times New Roman"/>
                <w:noProof/>
                <w:sz w:val="24"/>
                <w:szCs w:val="24"/>
                <w:vertAlign w:val="superscript"/>
              </w:rPr>
              <w:t>th</w:t>
            </w:r>
            <w:r w:rsidRPr="007F38F4">
              <w:rPr>
                <w:rFonts w:ascii="Times New Roman" w:hAnsi="Times New Roman"/>
                <w:noProof/>
                <w:sz w:val="24"/>
                <w:szCs w:val="24"/>
              </w:rPr>
              <w:t xml:space="preserve"> adaptation 2016</w:t>
            </w:r>
          </w:p>
        </w:tc>
        <w:tc>
          <w:tcPr>
            <w:tcW w:w="4830" w:type="dxa"/>
          </w:tcPr>
          <w:p w14:paraId="766D4878"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3 exemptions reviewed</w:t>
            </w:r>
          </w:p>
        </w:tc>
      </w:tr>
      <w:tr w:rsidR="000A7D9D" w:rsidRPr="007F38F4" w14:paraId="6E6087B1" w14:textId="77777777" w:rsidTr="00F31937">
        <w:trPr>
          <w:trHeight w:val="300"/>
        </w:trPr>
        <w:tc>
          <w:tcPr>
            <w:tcW w:w="4799" w:type="dxa"/>
          </w:tcPr>
          <w:p w14:paraId="6C7F6AA6"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7</w:t>
            </w:r>
            <w:r w:rsidRPr="007F38F4">
              <w:rPr>
                <w:rFonts w:ascii="Times New Roman" w:hAnsi="Times New Roman"/>
                <w:noProof/>
                <w:sz w:val="24"/>
                <w:szCs w:val="24"/>
                <w:vertAlign w:val="superscript"/>
              </w:rPr>
              <w:t>th</w:t>
            </w:r>
            <w:r w:rsidRPr="007F38F4">
              <w:rPr>
                <w:rFonts w:ascii="Times New Roman" w:hAnsi="Times New Roman"/>
                <w:noProof/>
                <w:sz w:val="24"/>
                <w:szCs w:val="24"/>
              </w:rPr>
              <w:t xml:space="preserve"> adaptation 2015</w:t>
            </w:r>
          </w:p>
        </w:tc>
        <w:tc>
          <w:tcPr>
            <w:tcW w:w="4830" w:type="dxa"/>
          </w:tcPr>
          <w:p w14:paraId="6F2B6221"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6 exemptions reviewed</w:t>
            </w:r>
          </w:p>
        </w:tc>
      </w:tr>
      <w:tr w:rsidR="000A7D9D" w:rsidRPr="007F38F4" w14:paraId="6C5FBE26" w14:textId="77777777" w:rsidTr="00F31937">
        <w:trPr>
          <w:trHeight w:val="300"/>
        </w:trPr>
        <w:tc>
          <w:tcPr>
            <w:tcW w:w="4799" w:type="dxa"/>
          </w:tcPr>
          <w:p w14:paraId="08428D50"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6</w:t>
            </w:r>
            <w:r w:rsidRPr="007F38F4">
              <w:rPr>
                <w:rFonts w:ascii="Times New Roman" w:hAnsi="Times New Roman"/>
                <w:noProof/>
                <w:sz w:val="24"/>
                <w:szCs w:val="24"/>
                <w:vertAlign w:val="superscript"/>
              </w:rPr>
              <w:t>th</w:t>
            </w:r>
            <w:r w:rsidRPr="007F38F4">
              <w:rPr>
                <w:rFonts w:ascii="Times New Roman" w:hAnsi="Times New Roman"/>
                <w:noProof/>
                <w:sz w:val="24"/>
                <w:szCs w:val="24"/>
              </w:rPr>
              <w:t xml:space="preserve"> adaptation 2012</w:t>
            </w:r>
          </w:p>
        </w:tc>
        <w:tc>
          <w:tcPr>
            <w:tcW w:w="4830" w:type="dxa"/>
          </w:tcPr>
          <w:p w14:paraId="7C33DAD9"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1 exemption reviewed</w:t>
            </w:r>
          </w:p>
        </w:tc>
      </w:tr>
      <w:tr w:rsidR="000A7D9D" w:rsidRPr="007F38F4" w14:paraId="19574DB2" w14:textId="77777777" w:rsidTr="00F31937">
        <w:trPr>
          <w:trHeight w:val="300"/>
        </w:trPr>
        <w:tc>
          <w:tcPr>
            <w:tcW w:w="4799" w:type="dxa"/>
          </w:tcPr>
          <w:p w14:paraId="300EB9CE"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4</w:t>
            </w:r>
            <w:r w:rsidRPr="007F38F4">
              <w:rPr>
                <w:rFonts w:ascii="Times New Roman" w:hAnsi="Times New Roman"/>
                <w:noProof/>
                <w:sz w:val="24"/>
                <w:szCs w:val="24"/>
                <w:vertAlign w:val="superscript"/>
              </w:rPr>
              <w:t>th</w:t>
            </w:r>
            <w:r w:rsidRPr="007F38F4">
              <w:rPr>
                <w:rFonts w:ascii="Times New Roman" w:hAnsi="Times New Roman"/>
                <w:noProof/>
                <w:sz w:val="24"/>
                <w:szCs w:val="24"/>
              </w:rPr>
              <w:t xml:space="preserve"> and 5</w:t>
            </w:r>
            <w:r w:rsidRPr="007F38F4">
              <w:rPr>
                <w:rFonts w:ascii="Times New Roman" w:hAnsi="Times New Roman"/>
                <w:noProof/>
                <w:sz w:val="24"/>
                <w:szCs w:val="24"/>
                <w:vertAlign w:val="superscript"/>
              </w:rPr>
              <w:t xml:space="preserve">th </w:t>
            </w:r>
            <w:r w:rsidRPr="007F38F4">
              <w:rPr>
                <w:rFonts w:ascii="Times New Roman" w:hAnsi="Times New Roman"/>
                <w:noProof/>
                <w:sz w:val="24"/>
                <w:szCs w:val="24"/>
              </w:rPr>
              <w:t>adaptation 2010</w:t>
            </w:r>
          </w:p>
        </w:tc>
        <w:tc>
          <w:tcPr>
            <w:tcW w:w="4830" w:type="dxa"/>
          </w:tcPr>
          <w:p w14:paraId="3FFAF35F"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12 exemptions reviewed</w:t>
            </w:r>
          </w:p>
        </w:tc>
      </w:tr>
      <w:tr w:rsidR="000A7D9D" w:rsidRPr="007F38F4" w14:paraId="0DB0E3FC" w14:textId="77777777" w:rsidTr="00F31937">
        <w:trPr>
          <w:trHeight w:val="300"/>
        </w:trPr>
        <w:tc>
          <w:tcPr>
            <w:tcW w:w="4799" w:type="dxa"/>
          </w:tcPr>
          <w:p w14:paraId="454C5265"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3rd adaptation 2008</w:t>
            </w:r>
          </w:p>
        </w:tc>
        <w:tc>
          <w:tcPr>
            <w:tcW w:w="4830" w:type="dxa"/>
          </w:tcPr>
          <w:p w14:paraId="1C01D764"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1 new exemption</w:t>
            </w:r>
          </w:p>
        </w:tc>
      </w:tr>
      <w:tr w:rsidR="000A7D9D" w:rsidRPr="007F38F4" w14:paraId="5D0565C0" w14:textId="77777777" w:rsidTr="00F31937">
        <w:trPr>
          <w:trHeight w:val="300"/>
        </w:trPr>
        <w:tc>
          <w:tcPr>
            <w:tcW w:w="4799" w:type="dxa"/>
          </w:tcPr>
          <w:p w14:paraId="5626E70E"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2nd adaptation 2007</w:t>
            </w:r>
          </w:p>
        </w:tc>
        <w:tc>
          <w:tcPr>
            <w:tcW w:w="4830" w:type="dxa"/>
          </w:tcPr>
          <w:p w14:paraId="2D7AD9E1"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11 exemptions reviewed</w:t>
            </w:r>
          </w:p>
        </w:tc>
      </w:tr>
      <w:tr w:rsidR="000A7D9D" w:rsidRPr="007F38F4" w14:paraId="37206A43" w14:textId="77777777" w:rsidTr="00F31937">
        <w:trPr>
          <w:trHeight w:val="300"/>
        </w:trPr>
        <w:tc>
          <w:tcPr>
            <w:tcW w:w="4799" w:type="dxa"/>
          </w:tcPr>
          <w:p w14:paraId="331D6EDC"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1st adaptation 2004</w:t>
            </w:r>
          </w:p>
        </w:tc>
        <w:tc>
          <w:tcPr>
            <w:tcW w:w="4830" w:type="dxa"/>
          </w:tcPr>
          <w:p w14:paraId="0B32CE49"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5 exemptions reviewed</w:t>
            </w:r>
          </w:p>
        </w:tc>
      </w:tr>
      <w:tr w:rsidR="000A7D9D" w:rsidRPr="007F38F4" w14:paraId="15B20B14" w14:textId="77777777" w:rsidTr="00F31937">
        <w:trPr>
          <w:trHeight w:val="300"/>
        </w:trPr>
        <w:tc>
          <w:tcPr>
            <w:tcW w:w="4799" w:type="dxa"/>
          </w:tcPr>
          <w:p w14:paraId="71995877" w14:textId="77777777" w:rsidR="000A7D9D" w:rsidRPr="007F38F4" w:rsidRDefault="000A7D9D" w:rsidP="00F31937">
            <w:pPr>
              <w:spacing w:after="120"/>
              <w:rPr>
                <w:rFonts w:ascii="Times New Roman" w:hAnsi="Times New Roman"/>
                <w:b/>
                <w:bCs/>
                <w:noProof/>
                <w:sz w:val="24"/>
                <w:szCs w:val="24"/>
              </w:rPr>
            </w:pPr>
            <w:r w:rsidRPr="007F38F4">
              <w:rPr>
                <w:rFonts w:ascii="Times New Roman" w:hAnsi="Times New Roman"/>
                <w:b/>
                <w:bCs/>
                <w:noProof/>
                <w:sz w:val="24"/>
                <w:szCs w:val="24"/>
              </w:rPr>
              <w:t>Total</w:t>
            </w:r>
          </w:p>
        </w:tc>
        <w:tc>
          <w:tcPr>
            <w:tcW w:w="4830" w:type="dxa"/>
          </w:tcPr>
          <w:p w14:paraId="22E3BC0D"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b/>
                <w:bCs/>
                <w:noProof/>
                <w:sz w:val="24"/>
                <w:szCs w:val="24"/>
              </w:rPr>
              <w:t xml:space="preserve">47 assessments </w:t>
            </w:r>
            <w:r w:rsidRPr="007F38F4">
              <w:rPr>
                <w:rFonts w:ascii="Times New Roman" w:hAnsi="Times New Roman"/>
                <w:noProof/>
                <w:sz w:val="24"/>
                <w:szCs w:val="24"/>
              </w:rPr>
              <w:t>(average of 2</w:t>
            </w:r>
            <w:r>
              <w:rPr>
                <w:rFonts w:ascii="Times New Roman" w:hAnsi="Times New Roman"/>
                <w:noProof/>
                <w:sz w:val="24"/>
                <w:szCs w:val="24"/>
              </w:rPr>
              <w:t>.</w:t>
            </w:r>
            <w:r w:rsidRPr="007F38F4">
              <w:rPr>
                <w:rFonts w:ascii="Times New Roman" w:hAnsi="Times New Roman"/>
                <w:noProof/>
                <w:sz w:val="24"/>
                <w:szCs w:val="24"/>
              </w:rPr>
              <w:t xml:space="preserve">14 </w:t>
            </w:r>
            <w:r>
              <w:rPr>
                <w:rFonts w:ascii="Times New Roman" w:hAnsi="Times New Roman"/>
                <w:noProof/>
                <w:sz w:val="24"/>
                <w:szCs w:val="24"/>
              </w:rPr>
              <w:t xml:space="preserve">assessments </w:t>
            </w:r>
            <w:r w:rsidRPr="007F38F4">
              <w:rPr>
                <w:rFonts w:ascii="Times New Roman" w:hAnsi="Times New Roman"/>
                <w:noProof/>
                <w:sz w:val="24"/>
                <w:szCs w:val="24"/>
              </w:rPr>
              <w:t>annually over 22 years)</w:t>
            </w:r>
          </w:p>
        </w:tc>
      </w:tr>
    </w:tbl>
    <w:p w14:paraId="6A5FB543" w14:textId="77777777" w:rsidR="000A7D9D" w:rsidRDefault="000A7D9D" w:rsidP="000A7D9D">
      <w:pPr>
        <w:spacing w:before="120" w:after="120"/>
        <w:jc w:val="both"/>
        <w:rPr>
          <w:rFonts w:ascii="Times New Roman" w:hAnsi="Times New Roman" w:cs="Times New Roman"/>
          <w:noProof/>
          <w:sz w:val="24"/>
          <w:szCs w:val="24"/>
        </w:rPr>
      </w:pPr>
    </w:p>
    <w:p w14:paraId="74B9B19D" w14:textId="77777777" w:rsidR="000A7D9D" w:rsidRDefault="000A7D9D" w:rsidP="000A7D9D">
      <w:pPr>
        <w:spacing w:before="120"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The Commission spends ca. 0,1 FTE within DG ENV for the hazardous substances in the ELV Directive, plus a contract of 60.000 EUR every 2,5 years on average. </w:t>
      </w:r>
    </w:p>
    <w:p w14:paraId="12DFD1EB" w14:textId="77777777" w:rsidR="000A7D9D" w:rsidRPr="007F38F4" w:rsidRDefault="000A7D9D" w:rsidP="000A7D9D">
      <w:pPr>
        <w:spacing w:before="120" w:after="120"/>
        <w:jc w:val="both"/>
        <w:rPr>
          <w:rFonts w:ascii="Times New Roman" w:hAnsi="Times New Roman" w:cs="Times New Roman"/>
          <w:noProof/>
          <w:sz w:val="24"/>
          <w:szCs w:val="24"/>
        </w:rPr>
      </w:pPr>
    </w:p>
    <w:p w14:paraId="2F84DDD8" w14:textId="77777777" w:rsidR="000A7D9D" w:rsidRPr="007F38F4" w:rsidRDefault="000A7D9D" w:rsidP="000A7D9D">
      <w:pPr>
        <w:snapToGrid w:val="0"/>
        <w:spacing w:after="120"/>
        <w:contextualSpacing/>
        <w:jc w:val="both"/>
        <w:rPr>
          <w:rFonts w:ascii="Times New Roman" w:hAnsi="Times New Roman" w:cs="Times New Roman"/>
          <w:noProof/>
          <w:sz w:val="24"/>
          <w:szCs w:val="24"/>
        </w:rPr>
      </w:pPr>
      <w:r w:rsidRPr="007F38F4">
        <w:rPr>
          <w:rFonts w:ascii="Times New Roman" w:hAnsi="Times New Roman" w:cs="Times New Roman"/>
          <w:noProof/>
          <w:sz w:val="24"/>
          <w:szCs w:val="24"/>
        </w:rPr>
        <w:t>The summary of current resources spent is:</w:t>
      </w:r>
    </w:p>
    <w:tbl>
      <w:tblPr>
        <w:tblStyle w:val="TableGrid3"/>
        <w:tblW w:w="0" w:type="auto"/>
        <w:tblLook w:val="04A0" w:firstRow="1" w:lastRow="0" w:firstColumn="1" w:lastColumn="0" w:noHBand="0" w:noVBand="1"/>
      </w:tblPr>
      <w:tblGrid>
        <w:gridCol w:w="4810"/>
        <w:gridCol w:w="4819"/>
      </w:tblGrid>
      <w:tr w:rsidR="000A7D9D" w:rsidRPr="007F38F4" w14:paraId="281B0B10" w14:textId="77777777" w:rsidTr="00F31937">
        <w:tc>
          <w:tcPr>
            <w:tcW w:w="5132" w:type="dxa"/>
          </w:tcPr>
          <w:p w14:paraId="173F6729"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br/>
              <w:t>DG ENV</w:t>
            </w:r>
          </w:p>
        </w:tc>
        <w:tc>
          <w:tcPr>
            <w:tcW w:w="5132" w:type="dxa"/>
          </w:tcPr>
          <w:p w14:paraId="76655281" w14:textId="77777777" w:rsidR="000A7D9D" w:rsidRPr="007F38F4" w:rsidRDefault="000A7D9D" w:rsidP="00F31937">
            <w:pPr>
              <w:spacing w:after="120"/>
              <w:rPr>
                <w:rFonts w:ascii="Times New Roman" w:hAnsi="Times New Roman"/>
                <w:noProof/>
                <w:sz w:val="24"/>
                <w:szCs w:val="24"/>
              </w:rPr>
            </w:pPr>
            <w:r w:rsidRPr="007D28C4">
              <w:rPr>
                <w:rFonts w:ascii="Times New Roman" w:hAnsi="Times New Roman"/>
                <w:i/>
                <w:noProof/>
                <w:sz w:val="24"/>
                <w:szCs w:val="24"/>
              </w:rPr>
              <w:t>Ca.</w:t>
            </w:r>
            <w:r>
              <w:rPr>
                <w:rFonts w:ascii="Times New Roman" w:hAnsi="Times New Roman"/>
                <w:noProof/>
                <w:sz w:val="24"/>
                <w:szCs w:val="24"/>
              </w:rPr>
              <w:t xml:space="preserve"> 0.</w:t>
            </w:r>
            <w:r w:rsidRPr="007F38F4">
              <w:rPr>
                <w:rFonts w:ascii="Times New Roman" w:hAnsi="Times New Roman"/>
                <w:noProof/>
                <w:sz w:val="24"/>
                <w:szCs w:val="24"/>
              </w:rPr>
              <w:t>1 FTE (dedicated to the work on hazardous substances)</w:t>
            </w:r>
          </w:p>
        </w:tc>
      </w:tr>
      <w:tr w:rsidR="000A7D9D" w:rsidRPr="007F38F4" w14:paraId="456578CB" w14:textId="77777777" w:rsidTr="00F31937">
        <w:tc>
          <w:tcPr>
            <w:tcW w:w="5132" w:type="dxa"/>
          </w:tcPr>
          <w:p w14:paraId="30842361" w14:textId="77777777" w:rsidR="000A7D9D" w:rsidRPr="007F38F4" w:rsidRDefault="000A7D9D" w:rsidP="00F31937">
            <w:pPr>
              <w:spacing w:after="120"/>
              <w:rPr>
                <w:rFonts w:ascii="Times New Roman" w:hAnsi="Times New Roman"/>
                <w:noProof/>
                <w:sz w:val="24"/>
                <w:szCs w:val="24"/>
              </w:rPr>
            </w:pPr>
            <w:r w:rsidRPr="007F38F4">
              <w:rPr>
                <w:rFonts w:ascii="Times New Roman" w:hAnsi="Times New Roman"/>
                <w:noProof/>
                <w:sz w:val="24"/>
                <w:szCs w:val="24"/>
              </w:rPr>
              <w:t>DG ENV consultants</w:t>
            </w:r>
          </w:p>
        </w:tc>
        <w:tc>
          <w:tcPr>
            <w:tcW w:w="5132" w:type="dxa"/>
          </w:tcPr>
          <w:p w14:paraId="584E0D6A" w14:textId="77777777" w:rsidR="000A7D9D" w:rsidRPr="007F38F4" w:rsidRDefault="000A7D9D" w:rsidP="00F31937">
            <w:pPr>
              <w:spacing w:after="120"/>
              <w:rPr>
                <w:rFonts w:ascii="Times New Roman" w:hAnsi="Times New Roman"/>
                <w:noProof/>
                <w:sz w:val="24"/>
                <w:szCs w:val="24"/>
              </w:rPr>
            </w:pPr>
            <w:r w:rsidRPr="007D28C4">
              <w:rPr>
                <w:rFonts w:ascii="Times New Roman" w:hAnsi="Times New Roman"/>
                <w:i/>
                <w:noProof/>
                <w:sz w:val="24"/>
                <w:szCs w:val="24"/>
              </w:rPr>
              <w:t>Ca.</w:t>
            </w:r>
            <w:r>
              <w:rPr>
                <w:rFonts w:ascii="Times New Roman" w:hAnsi="Times New Roman"/>
                <w:noProof/>
                <w:sz w:val="24"/>
                <w:szCs w:val="24"/>
              </w:rPr>
              <w:t xml:space="preserve"> 0.</w:t>
            </w:r>
            <w:r w:rsidRPr="007F38F4">
              <w:rPr>
                <w:rFonts w:ascii="Times New Roman" w:hAnsi="Times New Roman"/>
                <w:noProof/>
                <w:sz w:val="24"/>
                <w:szCs w:val="24"/>
              </w:rPr>
              <w:t xml:space="preserve">36 FTE (a contract of </w:t>
            </w:r>
            <w:r>
              <w:rPr>
                <w:rFonts w:ascii="Times New Roman" w:hAnsi="Times New Roman"/>
                <w:noProof/>
                <w:sz w:val="24"/>
                <w:szCs w:val="24"/>
              </w:rPr>
              <w:t>EUR 60 000 every 2.</w:t>
            </w:r>
            <w:r w:rsidRPr="007F38F4">
              <w:rPr>
                <w:rFonts w:ascii="Times New Roman" w:hAnsi="Times New Roman"/>
                <w:noProof/>
                <w:sz w:val="24"/>
                <w:szCs w:val="24"/>
              </w:rPr>
              <w:t>5 years for reviewing exemptions)</w:t>
            </w:r>
          </w:p>
        </w:tc>
      </w:tr>
      <w:tr w:rsidR="000A7D9D" w:rsidRPr="007F38F4" w14:paraId="70E777AA" w14:textId="77777777" w:rsidTr="00F31937">
        <w:tc>
          <w:tcPr>
            <w:tcW w:w="5132" w:type="dxa"/>
          </w:tcPr>
          <w:p w14:paraId="60D7E30E" w14:textId="77777777" w:rsidR="000A7D9D" w:rsidRPr="007F38F4" w:rsidRDefault="000A7D9D" w:rsidP="00F31937">
            <w:pPr>
              <w:spacing w:after="120"/>
              <w:rPr>
                <w:rFonts w:ascii="Times New Roman" w:hAnsi="Times New Roman"/>
                <w:b/>
                <w:bCs/>
                <w:noProof/>
                <w:sz w:val="24"/>
                <w:szCs w:val="24"/>
              </w:rPr>
            </w:pPr>
            <w:r w:rsidRPr="007F38F4">
              <w:rPr>
                <w:rFonts w:ascii="Times New Roman" w:hAnsi="Times New Roman"/>
                <w:b/>
                <w:bCs/>
                <w:noProof/>
                <w:sz w:val="24"/>
                <w:szCs w:val="24"/>
              </w:rPr>
              <w:t>Total</w:t>
            </w:r>
          </w:p>
        </w:tc>
        <w:tc>
          <w:tcPr>
            <w:tcW w:w="5132" w:type="dxa"/>
          </w:tcPr>
          <w:p w14:paraId="552E6BB9" w14:textId="77777777" w:rsidR="000A7D9D" w:rsidRPr="007F38F4" w:rsidRDefault="000A7D9D" w:rsidP="00F31937">
            <w:pPr>
              <w:spacing w:after="120"/>
              <w:rPr>
                <w:rFonts w:ascii="Times New Roman" w:hAnsi="Times New Roman"/>
                <w:b/>
                <w:bCs/>
                <w:noProof/>
                <w:sz w:val="24"/>
                <w:szCs w:val="24"/>
              </w:rPr>
            </w:pPr>
            <w:r w:rsidRPr="007D28C4">
              <w:rPr>
                <w:rFonts w:ascii="Times New Roman" w:hAnsi="Times New Roman"/>
                <w:b/>
                <w:bCs/>
                <w:i/>
                <w:noProof/>
                <w:sz w:val="24"/>
                <w:szCs w:val="24"/>
              </w:rPr>
              <w:t>Ca.</w:t>
            </w:r>
            <w:r>
              <w:rPr>
                <w:rFonts w:ascii="Times New Roman" w:hAnsi="Times New Roman"/>
                <w:b/>
                <w:bCs/>
                <w:noProof/>
                <w:sz w:val="24"/>
                <w:szCs w:val="24"/>
              </w:rPr>
              <w:t xml:space="preserve"> 0.</w:t>
            </w:r>
            <w:r w:rsidRPr="007F38F4">
              <w:rPr>
                <w:rFonts w:ascii="Times New Roman" w:hAnsi="Times New Roman"/>
                <w:b/>
                <w:bCs/>
                <w:noProof/>
                <w:sz w:val="24"/>
                <w:szCs w:val="24"/>
              </w:rPr>
              <w:t>46 FTE</w:t>
            </w:r>
          </w:p>
        </w:tc>
      </w:tr>
    </w:tbl>
    <w:p w14:paraId="7AE69E54" w14:textId="77777777" w:rsidR="000A7D9D" w:rsidRDefault="000A7D9D" w:rsidP="000A7D9D">
      <w:pPr>
        <w:spacing w:after="120"/>
        <w:rPr>
          <w:rFonts w:ascii="Times New Roman" w:hAnsi="Times New Roman" w:cs="Times New Roman"/>
          <w:i/>
          <w:iCs/>
          <w:noProof/>
          <w:sz w:val="24"/>
          <w:szCs w:val="24"/>
        </w:rPr>
      </w:pPr>
      <w:r w:rsidRPr="007F38F4">
        <w:rPr>
          <w:rFonts w:ascii="Times New Roman" w:hAnsi="Times New Roman" w:cs="Times New Roman"/>
          <w:i/>
          <w:iCs/>
          <w:noProof/>
          <w:sz w:val="24"/>
          <w:szCs w:val="24"/>
        </w:rPr>
        <w:t>(to convert the cost of consultants into FTEs, the cost of 1 FTE consultant is estimated at ca.</w:t>
      </w:r>
      <w:r>
        <w:rPr>
          <w:rFonts w:ascii="Times New Roman" w:hAnsi="Times New Roman" w:cs="Times New Roman"/>
          <w:i/>
          <w:iCs/>
          <w:noProof/>
          <w:sz w:val="24"/>
          <w:szCs w:val="24"/>
        </w:rPr>
        <w:t xml:space="preserve"> EUR 66 </w:t>
      </w:r>
      <w:r w:rsidRPr="007F38F4">
        <w:rPr>
          <w:rFonts w:ascii="Times New Roman" w:hAnsi="Times New Roman" w:cs="Times New Roman"/>
          <w:i/>
          <w:iCs/>
          <w:noProof/>
          <w:sz w:val="24"/>
          <w:szCs w:val="24"/>
        </w:rPr>
        <w:t>000 annually)</w:t>
      </w:r>
    </w:p>
    <w:p w14:paraId="7C54FA2B" w14:textId="77777777" w:rsidR="000A7D9D" w:rsidRPr="007F38F4" w:rsidRDefault="000A7D9D" w:rsidP="000A7D9D">
      <w:pPr>
        <w:spacing w:after="120"/>
        <w:rPr>
          <w:rFonts w:ascii="Times New Roman" w:hAnsi="Times New Roman" w:cs="Times New Roman"/>
          <w:i/>
          <w:iCs/>
          <w:noProof/>
          <w:sz w:val="24"/>
          <w:szCs w:val="24"/>
        </w:rPr>
      </w:pPr>
    </w:p>
    <w:p w14:paraId="630E34FC"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rPr>
        <w:t>Such Commission resources do not include contributions to the administrative overhead of the Commission (HR, Finance, IT tools, etc.).</w:t>
      </w:r>
    </w:p>
    <w:p w14:paraId="3313A102" w14:textId="77777777" w:rsidR="000A7D9D" w:rsidRPr="007F38F4" w:rsidRDefault="000A7D9D" w:rsidP="000A7D9D">
      <w:pPr>
        <w:spacing w:after="120"/>
        <w:rPr>
          <w:rFonts w:ascii="Times New Roman" w:hAnsi="Times New Roman" w:cs="Times New Roman"/>
          <w:noProof/>
          <w:sz w:val="24"/>
          <w:szCs w:val="24"/>
          <w:u w:val="single"/>
        </w:rPr>
      </w:pPr>
      <w:r w:rsidRPr="007F38F4">
        <w:rPr>
          <w:rFonts w:ascii="Times New Roman" w:hAnsi="Times New Roman" w:cs="Times New Roman"/>
          <w:noProof/>
          <w:sz w:val="24"/>
          <w:szCs w:val="24"/>
          <w:u w:val="single"/>
        </w:rPr>
        <w:t>Current budget line:</w:t>
      </w:r>
      <w:r w:rsidRPr="007F38F4">
        <w:rPr>
          <w:rFonts w:ascii="Times New Roman" w:hAnsi="Times New Roman" w:cs="Times New Roman"/>
          <w:noProof/>
          <w:sz w:val="24"/>
          <w:szCs w:val="24"/>
        </w:rPr>
        <w:t xml:space="preserve"> DG Environment</w:t>
      </w:r>
    </w:p>
    <w:p w14:paraId="13148E10" w14:textId="77777777" w:rsidR="000A7D9D" w:rsidRPr="007F38F4" w:rsidRDefault="000A7D9D" w:rsidP="000A7D9D">
      <w:pPr>
        <w:spacing w:after="120"/>
        <w:rPr>
          <w:rFonts w:ascii="Times New Roman" w:hAnsi="Times New Roman" w:cs="Times New Roman"/>
          <w:noProof/>
          <w:sz w:val="24"/>
          <w:szCs w:val="24"/>
          <w:u w:val="single"/>
        </w:rPr>
      </w:pPr>
      <w:r w:rsidRPr="007F38F4">
        <w:rPr>
          <w:rFonts w:ascii="Times New Roman" w:hAnsi="Times New Roman" w:cs="Times New Roman"/>
          <w:noProof/>
          <w:sz w:val="24"/>
          <w:szCs w:val="24"/>
          <w:u w:val="single"/>
        </w:rPr>
        <w:t>Future workload and resource needs:</w:t>
      </w:r>
    </w:p>
    <w:p w14:paraId="169AC878"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New restrictions of substances in vehicles will be done in the future via restriction process under REACH. The number of restrictions can be expected to be approximately 1 restriction per 5 years, i.e. 0.2 restriction per year. </w:t>
      </w:r>
    </w:p>
    <w:p w14:paraId="4B09501A"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Assessment of the exemptions under the new REACH restriction will be done as part of the REACH process and review of REACH restrictions. </w:t>
      </w:r>
    </w:p>
    <w:p w14:paraId="3F52CB3D"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Assessment and review of exemptions from existing restrictions for 4 metals (cadmium, mercury, led and chromium VI) will be in the future done by ECHA with involvement of SEAC committee. The assessment criteria will be extended as compared to today to be aligned with the criteria used under the REACH authorisation process. The scope of the directive will be extended to cover more types of vehicles, which will result in higher number of exemption requests as compared to today. The number of assessments of exemption is expected to be double as compared to today, i.e. 4</w:t>
      </w:r>
      <w:r>
        <w:rPr>
          <w:rFonts w:ascii="Times New Roman" w:hAnsi="Times New Roman" w:cs="Times New Roman"/>
          <w:noProof/>
          <w:sz w:val="24"/>
          <w:szCs w:val="24"/>
        </w:rPr>
        <w:t>.</w:t>
      </w:r>
      <w:r w:rsidRPr="007F38F4">
        <w:rPr>
          <w:rFonts w:ascii="Times New Roman" w:hAnsi="Times New Roman" w:cs="Times New Roman"/>
          <w:noProof/>
          <w:sz w:val="24"/>
          <w:szCs w:val="24"/>
        </w:rPr>
        <w:t xml:space="preserve">28 assessments per year. </w:t>
      </w:r>
    </w:p>
    <w:p w14:paraId="664BBC2C"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The ELV restriction process is to be similar to REACH restrictions, with an average cost in ECHA of 1 (light) – 1</w:t>
      </w:r>
      <w:r>
        <w:rPr>
          <w:rFonts w:ascii="Times New Roman" w:hAnsi="Times New Roman" w:cs="Times New Roman"/>
          <w:noProof/>
          <w:sz w:val="24"/>
          <w:szCs w:val="24"/>
        </w:rPr>
        <w:t>.</w:t>
      </w:r>
      <w:r w:rsidRPr="007F38F4">
        <w:rPr>
          <w:rFonts w:ascii="Times New Roman" w:hAnsi="Times New Roman" w:cs="Times New Roman"/>
          <w:noProof/>
          <w:sz w:val="24"/>
          <w:szCs w:val="24"/>
        </w:rPr>
        <w:t>5 (complex) FTE per restriction dossier. The ELV restrictions are expected to be light dossiers.</w:t>
      </w:r>
    </w:p>
    <w:p w14:paraId="027EDC19"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The exemption review process is assumed similar to REACH applications for authorisations (AfA = 0</w:t>
      </w:r>
      <w:r>
        <w:rPr>
          <w:rFonts w:ascii="Times New Roman" w:hAnsi="Times New Roman" w:cs="Times New Roman"/>
          <w:noProof/>
          <w:sz w:val="24"/>
          <w:szCs w:val="24"/>
        </w:rPr>
        <w:t>.</w:t>
      </w:r>
      <w:r w:rsidRPr="007F38F4">
        <w:rPr>
          <w:rFonts w:ascii="Times New Roman" w:hAnsi="Times New Roman" w:cs="Times New Roman"/>
          <w:noProof/>
          <w:sz w:val="24"/>
          <w:szCs w:val="24"/>
        </w:rPr>
        <w:t xml:space="preserve">15 (light dossier) </w:t>
      </w:r>
      <w:r>
        <w:rPr>
          <w:rFonts w:ascii="Times New Roman" w:hAnsi="Times New Roman" w:cs="Times New Roman"/>
          <w:noProof/>
          <w:sz w:val="24"/>
          <w:szCs w:val="24"/>
        </w:rPr>
        <w:t>–</w:t>
      </w:r>
      <w:r w:rsidRPr="007F38F4">
        <w:rPr>
          <w:rFonts w:ascii="Times New Roman" w:hAnsi="Times New Roman" w:cs="Times New Roman"/>
          <w:noProof/>
          <w:sz w:val="24"/>
          <w:szCs w:val="24"/>
        </w:rPr>
        <w:t xml:space="preserve"> 0</w:t>
      </w:r>
      <w:r>
        <w:rPr>
          <w:rFonts w:ascii="Times New Roman" w:hAnsi="Times New Roman" w:cs="Times New Roman"/>
          <w:noProof/>
          <w:sz w:val="24"/>
          <w:szCs w:val="24"/>
        </w:rPr>
        <w:t>.</w:t>
      </w:r>
      <w:r w:rsidRPr="007F38F4">
        <w:rPr>
          <w:rFonts w:ascii="Times New Roman" w:hAnsi="Times New Roman" w:cs="Times New Roman"/>
          <w:noProof/>
          <w:sz w:val="24"/>
          <w:szCs w:val="24"/>
        </w:rPr>
        <w:t xml:space="preserve">3 (complex dossier) FTE per application. The ELV assessments are expected to be light dossiers. </w:t>
      </w:r>
    </w:p>
    <w:p w14:paraId="57CE6513"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rPr>
        <w:t xml:space="preserve">The resources needed for ECHA are as follow: </w:t>
      </w:r>
    </w:p>
    <w:p w14:paraId="24087A60" w14:textId="77777777" w:rsidR="000A7D9D" w:rsidRPr="007F38F4" w:rsidRDefault="000A7D9D" w:rsidP="000A7D9D">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120044EF">
        <w:rPr>
          <w:rFonts w:ascii="Times New Roman" w:hAnsi="Times New Roman" w:cs="Times New Roman"/>
          <w:noProof/>
          <w:sz w:val="24"/>
          <w:szCs w:val="24"/>
        </w:rPr>
        <w:t>Development of 1 restriction dossier every 5 years (scope extension to new vehicle types)+ opinion forming: 0</w:t>
      </w:r>
      <w:r>
        <w:rPr>
          <w:rFonts w:ascii="Times New Roman" w:hAnsi="Times New Roman" w:cs="Times New Roman"/>
          <w:noProof/>
          <w:sz w:val="24"/>
          <w:szCs w:val="24"/>
        </w:rPr>
        <w:t>.</w:t>
      </w:r>
      <w:r w:rsidRPr="120044EF">
        <w:rPr>
          <w:rFonts w:ascii="Times New Roman" w:hAnsi="Times New Roman" w:cs="Times New Roman"/>
          <w:noProof/>
          <w:sz w:val="24"/>
          <w:szCs w:val="24"/>
        </w:rPr>
        <w:t>2 FTE (~1 light REACH restriction = 1 FTE). However, considering that these restrictions will be performed as REACH restrictions, these resources can be covered by the available resou</w:t>
      </w:r>
      <w:r>
        <w:rPr>
          <w:rFonts w:ascii="Times New Roman" w:hAnsi="Times New Roman" w:cs="Times New Roman"/>
          <w:noProof/>
          <w:sz w:val="24"/>
          <w:szCs w:val="24"/>
        </w:rPr>
        <w:t>r</w:t>
      </w:r>
      <w:r w:rsidRPr="120044EF">
        <w:rPr>
          <w:rFonts w:ascii="Times New Roman" w:hAnsi="Times New Roman" w:cs="Times New Roman"/>
          <w:noProof/>
          <w:sz w:val="24"/>
          <w:szCs w:val="24"/>
        </w:rPr>
        <w:t>ces for REACH restriction. Therefore, for this part of work it is 0 FTE.</w:t>
      </w:r>
    </w:p>
    <w:p w14:paraId="744B71A4" w14:textId="77777777" w:rsidR="000A7D9D" w:rsidRPr="007F38F4" w:rsidRDefault="000A7D9D" w:rsidP="000A7D9D">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120044EF">
        <w:rPr>
          <w:rFonts w:ascii="Times New Roman" w:hAnsi="Times New Roman" w:cs="Times New Roman"/>
          <w:noProof/>
          <w:sz w:val="24"/>
          <w:szCs w:val="24"/>
        </w:rPr>
        <w:t>Review of up to 5 existing exemptions ann</w:t>
      </w:r>
      <w:r>
        <w:rPr>
          <w:rFonts w:ascii="Times New Roman" w:hAnsi="Times New Roman" w:cs="Times New Roman"/>
          <w:noProof/>
          <w:sz w:val="24"/>
          <w:szCs w:val="24"/>
        </w:rPr>
        <w:t>ually + SEAC opinion forming: 0.</w:t>
      </w:r>
      <w:r w:rsidRPr="120044EF">
        <w:rPr>
          <w:rFonts w:ascii="Times New Roman" w:hAnsi="Times New Roman" w:cs="Times New Roman"/>
          <w:noProof/>
          <w:sz w:val="24"/>
          <w:szCs w:val="24"/>
        </w:rPr>
        <w:t>75 FTE (~unit cost of 1 light REACH application for authorisation = 0</w:t>
      </w:r>
      <w:r>
        <w:rPr>
          <w:rFonts w:ascii="Times New Roman" w:hAnsi="Times New Roman" w:cs="Times New Roman"/>
          <w:noProof/>
          <w:sz w:val="24"/>
          <w:szCs w:val="24"/>
        </w:rPr>
        <w:t>.</w:t>
      </w:r>
      <w:r w:rsidRPr="120044EF">
        <w:rPr>
          <w:rFonts w:ascii="Times New Roman" w:hAnsi="Times New Roman" w:cs="Times New Roman"/>
          <w:noProof/>
          <w:sz w:val="24"/>
          <w:szCs w:val="24"/>
        </w:rPr>
        <w:t>15 FTE)</w:t>
      </w:r>
    </w:p>
    <w:p w14:paraId="0D538656" w14:textId="77777777" w:rsidR="000A7D9D" w:rsidRPr="007F38F4"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color w:val="000000" w:themeColor="text1"/>
          <w:sz w:val="24"/>
          <w:szCs w:val="24"/>
        </w:rPr>
        <w:t>Scientific support services: substance i</w:t>
      </w:r>
      <w:r w:rsidRPr="120044EF">
        <w:rPr>
          <w:rFonts w:ascii="Times New Roman" w:hAnsi="Times New Roman" w:cs="Times New Roman"/>
          <w:noProof/>
          <w:sz w:val="24"/>
          <w:szCs w:val="24"/>
        </w:rPr>
        <w:t xml:space="preserve">dentification and prioritisation, data management and </w:t>
      </w:r>
      <w:r w:rsidRPr="120044EF">
        <w:rPr>
          <w:rFonts w:ascii="Times New Roman" w:hAnsi="Times New Roman" w:cs="Times New Roman"/>
          <w:noProof/>
          <w:color w:val="000000" w:themeColor="text1"/>
          <w:sz w:val="24"/>
          <w:szCs w:val="24"/>
        </w:rPr>
        <w:t>dissemination</w:t>
      </w:r>
      <w:r w:rsidRPr="120044EF">
        <w:rPr>
          <w:rFonts w:ascii="Times New Roman" w:hAnsi="Times New Roman" w:cs="Times New Roman"/>
          <w:noProof/>
          <w:sz w:val="24"/>
          <w:szCs w:val="24"/>
        </w:rPr>
        <w:t xml:space="preserve">: can be absorbed by the agency </w:t>
      </w:r>
    </w:p>
    <w:p w14:paraId="58553821" w14:textId="77777777" w:rsidR="000A7D9D" w:rsidRPr="007F38F4"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 xml:space="preserve">IT tool development cost (data submission, processing, </w:t>
      </w:r>
      <w:r w:rsidRPr="120044EF">
        <w:rPr>
          <w:rFonts w:ascii="Times New Roman" w:hAnsi="Times New Roman" w:cs="Times New Roman"/>
          <w:noProof/>
          <w:color w:val="000000" w:themeColor="text1"/>
          <w:sz w:val="24"/>
          <w:szCs w:val="24"/>
        </w:rPr>
        <w:t>output</w:t>
      </w:r>
      <w:r w:rsidRPr="120044EF">
        <w:rPr>
          <w:rFonts w:ascii="Times New Roman" w:hAnsi="Times New Roman" w:cs="Times New Roman"/>
          <w:noProof/>
          <w:sz w:val="24"/>
          <w:szCs w:val="24"/>
        </w:rPr>
        <w:t>): contribution of 15% for common components (0.11 FTE)</w:t>
      </w:r>
    </w:p>
    <w:p w14:paraId="58572E3E" w14:textId="77777777" w:rsidR="000A7D9D" w:rsidRPr="007F38F4" w:rsidRDefault="000A7D9D" w:rsidP="000A7D9D">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120044EF">
        <w:rPr>
          <w:rFonts w:ascii="Times New Roman" w:hAnsi="Times New Roman" w:cs="Times New Roman"/>
          <w:noProof/>
          <w:sz w:val="24"/>
          <w:szCs w:val="24"/>
        </w:rPr>
        <w:t>Horizontal support (governance &amp; enablers / administrative overhead): contribution of 15% (0.11 FTE)</w:t>
      </w:r>
    </w:p>
    <w:p w14:paraId="2395DBB7" w14:textId="77777777" w:rsidR="000A7D9D" w:rsidRPr="007F38F4" w:rsidRDefault="000A7D9D" w:rsidP="000A7D9D">
      <w:pPr>
        <w:rPr>
          <w:rFonts w:ascii="Times New Roman" w:hAnsi="Times New Roman" w:cs="Times New Roman"/>
          <w:noProof/>
          <w:sz w:val="24"/>
          <w:szCs w:val="24"/>
        </w:rPr>
      </w:pPr>
      <w:r w:rsidRPr="007F38F4">
        <w:rPr>
          <w:rFonts w:ascii="Times New Roman" w:hAnsi="Times New Roman" w:cs="Times New Roman"/>
          <w:noProof/>
          <w:sz w:val="24"/>
          <w:szCs w:val="24"/>
        </w:rPr>
        <w:t>-----------</w:t>
      </w:r>
    </w:p>
    <w:p w14:paraId="471AB121" w14:textId="77777777" w:rsidR="000A7D9D" w:rsidRPr="007F38F4" w:rsidRDefault="000A7D9D" w:rsidP="000A7D9D">
      <w:pPr>
        <w:spacing w:after="120"/>
        <w:rPr>
          <w:rFonts w:ascii="Times New Roman" w:hAnsi="Times New Roman" w:cs="Times New Roman"/>
          <w:noProof/>
          <w:sz w:val="24"/>
          <w:szCs w:val="24"/>
        </w:rPr>
      </w:pPr>
      <w:r>
        <w:rPr>
          <w:rFonts w:ascii="Times New Roman" w:hAnsi="Times New Roman" w:cs="Times New Roman"/>
          <w:noProof/>
          <w:sz w:val="24"/>
          <w:szCs w:val="24"/>
        </w:rPr>
        <w:t>Total: 0.</w:t>
      </w:r>
      <w:r w:rsidRPr="007F38F4">
        <w:rPr>
          <w:rFonts w:ascii="Times New Roman" w:hAnsi="Times New Roman" w:cs="Times New Roman"/>
          <w:noProof/>
          <w:sz w:val="24"/>
          <w:szCs w:val="24"/>
        </w:rPr>
        <w:t>97 FTE</w:t>
      </w:r>
    </w:p>
    <w:p w14:paraId="660A1AEC" w14:textId="77777777" w:rsidR="000A7D9D" w:rsidRPr="007F38F4" w:rsidRDefault="000A7D9D" w:rsidP="000A7D9D">
      <w:pPr>
        <w:pStyle w:val="BodyText"/>
        <w:jc w:val="both"/>
        <w:rPr>
          <w:noProof/>
        </w:rPr>
      </w:pPr>
    </w:p>
    <w:p w14:paraId="2CB7CB11" w14:textId="77777777" w:rsidR="000A7D9D" w:rsidRPr="007F38F4" w:rsidRDefault="000A7D9D" w:rsidP="000A7D9D">
      <w:pPr>
        <w:pStyle w:val="BodyText"/>
        <w:jc w:val="both"/>
        <w:rPr>
          <w:noProof/>
        </w:rPr>
      </w:pPr>
      <w:r w:rsidRPr="007F38F4">
        <w:rPr>
          <w:noProof/>
        </w:rPr>
        <w:t>Summary of resource needs for end-of-life vehicle directive:</w:t>
      </w:r>
    </w:p>
    <w:tbl>
      <w:tblPr>
        <w:tblStyle w:val="TableGrid"/>
        <w:tblW w:w="0" w:type="auto"/>
        <w:tblLook w:val="04A0" w:firstRow="1" w:lastRow="0" w:firstColumn="1" w:lastColumn="0" w:noHBand="0" w:noVBand="1"/>
      </w:tblPr>
      <w:tblGrid>
        <w:gridCol w:w="1185"/>
        <w:gridCol w:w="3975"/>
        <w:gridCol w:w="2129"/>
        <w:gridCol w:w="2340"/>
      </w:tblGrid>
      <w:tr w:rsidR="000A7D9D" w:rsidRPr="00C56424" w14:paraId="23679925" w14:textId="77777777" w:rsidTr="00F31937">
        <w:trPr>
          <w:trHeight w:val="300"/>
        </w:trPr>
        <w:tc>
          <w:tcPr>
            <w:tcW w:w="1185" w:type="dxa"/>
            <w:shd w:val="clear" w:color="auto" w:fill="D9D9D9" w:themeFill="background1" w:themeFillShade="D9"/>
          </w:tcPr>
          <w:p w14:paraId="21F62445"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975" w:type="dxa"/>
            <w:shd w:val="clear" w:color="auto" w:fill="D9D9D9" w:themeFill="background1" w:themeFillShade="D9"/>
          </w:tcPr>
          <w:p w14:paraId="7ADA1D6A"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2129" w:type="dxa"/>
            <w:shd w:val="clear" w:color="auto" w:fill="D9D9D9" w:themeFill="background1" w:themeFillShade="D9"/>
          </w:tcPr>
          <w:p w14:paraId="1CA76E1C" w14:textId="77777777" w:rsidR="000A7D9D" w:rsidRPr="00C56424" w:rsidRDefault="000A7D9D" w:rsidP="00F31937">
            <w:pPr>
              <w:pStyle w:val="BodyText"/>
              <w:tabs>
                <w:tab w:val="left" w:pos="4170"/>
              </w:tabs>
              <w:rPr>
                <w:noProof/>
                <w:sz w:val="20"/>
                <w:szCs w:val="20"/>
              </w:rPr>
            </w:pPr>
          </w:p>
        </w:tc>
        <w:tc>
          <w:tcPr>
            <w:tcW w:w="2340" w:type="dxa"/>
            <w:shd w:val="clear" w:color="auto" w:fill="D9D9D9" w:themeFill="background1" w:themeFillShade="D9"/>
          </w:tcPr>
          <w:p w14:paraId="5E37F2B9" w14:textId="77777777" w:rsidR="000A7D9D" w:rsidRPr="00C56424" w:rsidRDefault="000A7D9D" w:rsidP="00F31937">
            <w:pPr>
              <w:pStyle w:val="BodyText"/>
              <w:tabs>
                <w:tab w:val="left" w:pos="4170"/>
              </w:tabs>
              <w:spacing w:after="0"/>
              <w:rPr>
                <w:noProof/>
                <w:sz w:val="20"/>
                <w:szCs w:val="20"/>
              </w:rPr>
            </w:pPr>
          </w:p>
        </w:tc>
      </w:tr>
      <w:tr w:rsidR="000A7D9D" w:rsidRPr="00C56424" w14:paraId="456209D0" w14:textId="77777777" w:rsidTr="00F31937">
        <w:trPr>
          <w:trHeight w:val="300"/>
        </w:trPr>
        <w:tc>
          <w:tcPr>
            <w:tcW w:w="1185" w:type="dxa"/>
            <w:vMerge w:val="restart"/>
            <w:shd w:val="clear" w:color="auto" w:fill="D9D9D9" w:themeFill="background1" w:themeFillShade="D9"/>
          </w:tcPr>
          <w:p w14:paraId="586AF688" w14:textId="77777777" w:rsidR="000A7D9D" w:rsidRPr="00C56424" w:rsidRDefault="000A7D9D" w:rsidP="00F31937">
            <w:pPr>
              <w:pStyle w:val="BodyText"/>
              <w:spacing w:line="259" w:lineRule="auto"/>
              <w:rPr>
                <w:noProof/>
                <w:sz w:val="20"/>
                <w:szCs w:val="20"/>
              </w:rPr>
            </w:pPr>
            <w:r w:rsidRPr="00C56424">
              <w:rPr>
                <w:noProof/>
                <w:sz w:val="20"/>
                <w:szCs w:val="20"/>
              </w:rPr>
              <w:t>ECHA</w:t>
            </w:r>
          </w:p>
        </w:tc>
        <w:tc>
          <w:tcPr>
            <w:tcW w:w="3975" w:type="dxa"/>
            <w:vMerge w:val="restart"/>
            <w:shd w:val="clear" w:color="auto" w:fill="D9D9D9" w:themeFill="background1" w:themeFillShade="D9"/>
          </w:tcPr>
          <w:p w14:paraId="1A80B44C" w14:textId="77777777" w:rsidR="000A7D9D" w:rsidRPr="00C56424" w:rsidRDefault="000A7D9D" w:rsidP="00F31937">
            <w:pPr>
              <w:pStyle w:val="BodyText"/>
              <w:spacing w:line="259" w:lineRule="auto"/>
              <w:rPr>
                <w:noProof/>
                <w:sz w:val="20"/>
                <w:szCs w:val="20"/>
              </w:rPr>
            </w:pPr>
            <w:r w:rsidRPr="00C56424">
              <w:rPr>
                <w:noProof/>
                <w:sz w:val="20"/>
                <w:szCs w:val="20"/>
              </w:rPr>
              <w:t>Preparation of 1 restriction dossier every 5 years</w:t>
            </w:r>
          </w:p>
          <w:p w14:paraId="569188DF" w14:textId="77777777" w:rsidR="000A7D9D" w:rsidRPr="00C56424" w:rsidRDefault="000A7D9D" w:rsidP="00F31937">
            <w:pPr>
              <w:pStyle w:val="BodyText"/>
              <w:spacing w:line="259" w:lineRule="auto"/>
              <w:rPr>
                <w:noProof/>
                <w:sz w:val="20"/>
                <w:szCs w:val="20"/>
              </w:rPr>
            </w:pPr>
            <w:r w:rsidRPr="00C56424">
              <w:rPr>
                <w:noProof/>
                <w:sz w:val="20"/>
                <w:szCs w:val="20"/>
              </w:rPr>
              <w:t xml:space="preserve">Assessment of up to 5 exemptions per year </w:t>
            </w:r>
          </w:p>
        </w:tc>
        <w:tc>
          <w:tcPr>
            <w:tcW w:w="2129" w:type="dxa"/>
            <w:shd w:val="clear" w:color="auto" w:fill="D9D9D9" w:themeFill="background1" w:themeFillShade="D9"/>
          </w:tcPr>
          <w:p w14:paraId="283CB4DF"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340" w:type="dxa"/>
            <w:shd w:val="clear" w:color="auto" w:fill="D9D9D9" w:themeFill="background1" w:themeFillShade="D9"/>
          </w:tcPr>
          <w:p w14:paraId="3BF38B08"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2025: </w:t>
            </w:r>
            <w:r w:rsidRPr="00C56424">
              <w:rPr>
                <w:b/>
                <w:noProof/>
                <w:sz w:val="20"/>
                <w:szCs w:val="20"/>
              </w:rPr>
              <w:t xml:space="preserve">EUR 0 </w:t>
            </w:r>
          </w:p>
          <w:p w14:paraId="09297858"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2026: </w:t>
            </w:r>
            <w:r w:rsidRPr="00C56424">
              <w:rPr>
                <w:b/>
                <w:noProof/>
                <w:sz w:val="20"/>
                <w:szCs w:val="20"/>
              </w:rPr>
              <w:t>EUR 0</w:t>
            </w:r>
          </w:p>
          <w:p w14:paraId="16FA718F"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2027: </w:t>
            </w:r>
            <w:r w:rsidRPr="00C56424">
              <w:rPr>
                <w:b/>
                <w:noProof/>
                <w:sz w:val="20"/>
                <w:szCs w:val="20"/>
              </w:rPr>
              <w:t>EUR 0</w:t>
            </w:r>
          </w:p>
          <w:p w14:paraId="20E32729"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2028: </w:t>
            </w:r>
            <w:r w:rsidRPr="00C56424">
              <w:rPr>
                <w:b/>
                <w:noProof/>
                <w:sz w:val="20"/>
                <w:szCs w:val="20"/>
              </w:rPr>
              <w:t>EUR 0</w:t>
            </w:r>
          </w:p>
        </w:tc>
      </w:tr>
      <w:tr w:rsidR="000A7D9D" w:rsidRPr="00C56424" w14:paraId="202612F3" w14:textId="77777777" w:rsidTr="00F31937">
        <w:trPr>
          <w:trHeight w:val="300"/>
        </w:trPr>
        <w:tc>
          <w:tcPr>
            <w:tcW w:w="1185" w:type="dxa"/>
            <w:vMerge/>
            <w:shd w:val="clear" w:color="auto" w:fill="D9D9D9" w:themeFill="background1" w:themeFillShade="D9"/>
          </w:tcPr>
          <w:p w14:paraId="5D1F5A0F" w14:textId="77777777" w:rsidR="000A7D9D" w:rsidRPr="00C56424" w:rsidRDefault="000A7D9D" w:rsidP="00F31937">
            <w:pPr>
              <w:pStyle w:val="BodyText"/>
              <w:rPr>
                <w:noProof/>
                <w:sz w:val="20"/>
                <w:szCs w:val="20"/>
              </w:rPr>
            </w:pPr>
          </w:p>
        </w:tc>
        <w:tc>
          <w:tcPr>
            <w:tcW w:w="3975" w:type="dxa"/>
            <w:vMerge/>
            <w:shd w:val="clear" w:color="auto" w:fill="D9D9D9" w:themeFill="background1" w:themeFillShade="D9"/>
          </w:tcPr>
          <w:p w14:paraId="16CEE810" w14:textId="77777777" w:rsidR="000A7D9D" w:rsidRPr="00C56424" w:rsidRDefault="000A7D9D" w:rsidP="00F31937">
            <w:pPr>
              <w:pStyle w:val="BodyText"/>
              <w:rPr>
                <w:noProof/>
                <w:sz w:val="20"/>
                <w:szCs w:val="20"/>
              </w:rPr>
            </w:pPr>
          </w:p>
        </w:tc>
        <w:tc>
          <w:tcPr>
            <w:tcW w:w="2129" w:type="dxa"/>
            <w:shd w:val="clear" w:color="auto" w:fill="D9D9D9" w:themeFill="background1" w:themeFillShade="D9"/>
          </w:tcPr>
          <w:p w14:paraId="1AA975E5"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340" w:type="dxa"/>
            <w:shd w:val="clear" w:color="auto" w:fill="D9D9D9" w:themeFill="background1" w:themeFillShade="D9"/>
          </w:tcPr>
          <w:p w14:paraId="721CA1FD"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2024:  </w:t>
            </w:r>
            <w:r w:rsidRPr="00C56424">
              <w:rPr>
                <w:b/>
                <w:bCs/>
                <w:noProof/>
                <w:sz w:val="20"/>
                <w:szCs w:val="20"/>
                <w:lang w:val="fr-BE"/>
              </w:rPr>
              <w:t>0 TA</w:t>
            </w:r>
            <w:r w:rsidRPr="00C56424">
              <w:rPr>
                <w:b/>
                <w:noProof/>
                <w:sz w:val="20"/>
                <w:szCs w:val="20"/>
                <w:lang w:val="fr-BE"/>
              </w:rPr>
              <w:t>, 0 CAs</w:t>
            </w:r>
          </w:p>
          <w:p w14:paraId="4F7F51E8"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bCs/>
                <w:noProof/>
                <w:sz w:val="20"/>
                <w:szCs w:val="20"/>
                <w:lang w:val="fr-BE"/>
              </w:rPr>
              <w:t xml:space="preserve"> 1 TA</w:t>
            </w:r>
            <w:r w:rsidRPr="00C56424">
              <w:rPr>
                <w:b/>
                <w:noProof/>
                <w:sz w:val="20"/>
                <w:szCs w:val="20"/>
                <w:lang w:val="fr-BE"/>
              </w:rPr>
              <w:t>, 0 CAs</w:t>
            </w:r>
          </w:p>
          <w:p w14:paraId="627619CE"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bCs/>
                <w:noProof/>
                <w:sz w:val="20"/>
                <w:szCs w:val="20"/>
                <w:lang w:val="fr-BE"/>
              </w:rPr>
              <w:t xml:space="preserve"> 1 TA</w:t>
            </w:r>
            <w:r w:rsidRPr="00C56424">
              <w:rPr>
                <w:noProof/>
                <w:sz w:val="20"/>
                <w:szCs w:val="20"/>
                <w:lang w:val="fr-BE"/>
              </w:rPr>
              <w:t xml:space="preserve">, </w:t>
            </w:r>
            <w:r w:rsidRPr="00C56424">
              <w:rPr>
                <w:b/>
                <w:noProof/>
                <w:sz w:val="20"/>
                <w:szCs w:val="20"/>
                <w:lang w:val="fr-BE"/>
              </w:rPr>
              <w:t>0 CAs</w:t>
            </w:r>
          </w:p>
          <w:p w14:paraId="67C8DC95"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bCs/>
                <w:noProof/>
                <w:sz w:val="20"/>
                <w:szCs w:val="20"/>
              </w:rPr>
              <w:t>1 TA</w:t>
            </w:r>
            <w:r w:rsidRPr="00C56424">
              <w:rPr>
                <w:b/>
                <w:noProof/>
                <w:sz w:val="20"/>
                <w:szCs w:val="20"/>
              </w:rPr>
              <w:t>, 0 CAs</w:t>
            </w:r>
          </w:p>
          <w:p w14:paraId="1FC33DC9"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2028:  </w:t>
            </w:r>
            <w:r w:rsidRPr="00C56424">
              <w:rPr>
                <w:b/>
                <w:bCs/>
                <w:noProof/>
                <w:sz w:val="20"/>
                <w:szCs w:val="20"/>
              </w:rPr>
              <w:t>1 TA</w:t>
            </w:r>
            <w:r w:rsidRPr="00C56424">
              <w:rPr>
                <w:b/>
                <w:noProof/>
                <w:sz w:val="20"/>
                <w:szCs w:val="20"/>
              </w:rPr>
              <w:t>, 0 CAs</w:t>
            </w:r>
          </w:p>
        </w:tc>
      </w:tr>
    </w:tbl>
    <w:p w14:paraId="6FB1C054" w14:textId="77777777" w:rsidR="000A7D9D" w:rsidRPr="007F38F4" w:rsidRDefault="000A7D9D" w:rsidP="000A7D9D">
      <w:pPr>
        <w:pStyle w:val="BodyText"/>
        <w:spacing w:before="120"/>
        <w:rPr>
          <w:noProof/>
        </w:rPr>
      </w:pPr>
      <w:r w:rsidRPr="007F38F4">
        <w:rPr>
          <w:noProof/>
          <w:u w:val="single"/>
        </w:rPr>
        <w:t>Future budget line:</w:t>
      </w:r>
      <w:r w:rsidRPr="007F38F4">
        <w:rPr>
          <w:noProof/>
        </w:rPr>
        <w:t xml:space="preserve"> DG Environment</w:t>
      </w:r>
    </w:p>
    <w:p w14:paraId="112C3E5F" w14:textId="77777777" w:rsidR="000A7D9D" w:rsidRPr="007F38F4" w:rsidRDefault="000A7D9D" w:rsidP="000A7D9D">
      <w:pPr>
        <w:pStyle w:val="BodyText"/>
        <w:rPr>
          <w:noProof/>
        </w:rPr>
      </w:pPr>
      <w:r w:rsidRPr="007F38F4">
        <w:rPr>
          <w:noProof/>
          <w:u w:val="single"/>
        </w:rPr>
        <w:t>Candidate for funding from fees:</w:t>
      </w:r>
      <w:r w:rsidRPr="007F38F4">
        <w:rPr>
          <w:noProof/>
        </w:rPr>
        <w:t xml:space="preserve"> Task 1 No, Task 2 yes</w:t>
      </w:r>
    </w:p>
    <w:p w14:paraId="69616CB2" w14:textId="77777777" w:rsidR="000A7D9D" w:rsidRDefault="000A7D9D" w:rsidP="000A7D9D">
      <w:pPr>
        <w:pStyle w:val="BodyText"/>
        <w:rPr>
          <w:b/>
          <w:bCs/>
          <w:noProof/>
        </w:rPr>
      </w:pPr>
    </w:p>
    <w:p w14:paraId="5993CC9E"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60" w:name="_Toc150499932"/>
      <w:r w:rsidRPr="00291F95">
        <w:rPr>
          <w:rFonts w:ascii="Times New Roman" w:hAnsi="Times New Roman"/>
          <w:smallCaps/>
          <w:noProof/>
          <w:color w:val="auto"/>
          <w:sz w:val="24"/>
          <w:szCs w:val="20"/>
          <w:lang w:eastAsia="en-US"/>
        </w:rPr>
        <w:t>Toy Safety Directive</w:t>
      </w:r>
      <w:bookmarkEnd w:id="60"/>
    </w:p>
    <w:p w14:paraId="161DAF14" w14:textId="77777777" w:rsidR="000A7D9D" w:rsidRPr="00A00723" w:rsidRDefault="000A7D9D" w:rsidP="000A7D9D">
      <w:pPr>
        <w:spacing w:after="120"/>
        <w:rPr>
          <w:rFonts w:ascii="Times New Roman" w:hAnsi="Times New Roman" w:cs="Times New Roman"/>
          <w:b/>
          <w:bCs/>
          <w:noProof/>
          <w:sz w:val="24"/>
          <w:szCs w:val="24"/>
        </w:rPr>
      </w:pPr>
      <w:r w:rsidRPr="00A00723">
        <w:rPr>
          <w:rFonts w:ascii="Times New Roman" w:hAnsi="Times New Roman" w:cs="Times New Roman"/>
          <w:b/>
          <w:bCs/>
          <w:noProof/>
          <w:sz w:val="24"/>
          <w:szCs w:val="24"/>
        </w:rPr>
        <w:t>Responsible body:</w:t>
      </w:r>
    </w:p>
    <w:p w14:paraId="0BD25867" w14:textId="77777777" w:rsidR="000A7D9D" w:rsidRPr="00A00723" w:rsidRDefault="000A7D9D" w:rsidP="000A7D9D">
      <w:pPr>
        <w:spacing w:after="120"/>
        <w:rPr>
          <w:rFonts w:ascii="Times New Roman" w:hAnsi="Times New Roman" w:cs="Times New Roman"/>
          <w:noProof/>
          <w:sz w:val="24"/>
          <w:szCs w:val="24"/>
        </w:rPr>
      </w:pPr>
      <w:r w:rsidRPr="00A00723">
        <w:rPr>
          <w:rFonts w:ascii="Times New Roman" w:hAnsi="Times New Roman" w:cs="Times New Roman"/>
          <w:noProof/>
          <w:sz w:val="24"/>
          <w:szCs w:val="24"/>
          <w:u w:val="single"/>
        </w:rPr>
        <w:t>Currently:</w:t>
      </w:r>
      <w:r w:rsidRPr="00A00723">
        <w:rPr>
          <w:rFonts w:ascii="Times New Roman" w:hAnsi="Times New Roman" w:cs="Times New Roman"/>
          <w:noProof/>
          <w:sz w:val="24"/>
          <w:szCs w:val="24"/>
        </w:rPr>
        <w:t xml:space="preserve"> Commission with the support of the SCHEER Committee</w:t>
      </w:r>
    </w:p>
    <w:p w14:paraId="1F961B7F" w14:textId="77777777" w:rsidR="000A7D9D" w:rsidRPr="00A00723" w:rsidRDefault="000A7D9D" w:rsidP="000A7D9D">
      <w:pPr>
        <w:spacing w:after="120"/>
        <w:rPr>
          <w:rFonts w:ascii="Times New Roman" w:hAnsi="Times New Roman" w:cs="Times New Roman"/>
          <w:noProof/>
          <w:sz w:val="24"/>
          <w:szCs w:val="24"/>
        </w:rPr>
      </w:pPr>
      <w:r w:rsidRPr="00A00723">
        <w:rPr>
          <w:rFonts w:ascii="Times New Roman" w:hAnsi="Times New Roman" w:cs="Times New Roman"/>
          <w:noProof/>
          <w:sz w:val="24"/>
          <w:szCs w:val="24"/>
          <w:u w:val="single"/>
        </w:rPr>
        <w:t>(Re-)attribution planned to:</w:t>
      </w:r>
      <w:r w:rsidRPr="00A00723">
        <w:rPr>
          <w:rFonts w:ascii="Times New Roman" w:hAnsi="Times New Roman" w:cs="Times New Roman"/>
          <w:noProof/>
          <w:sz w:val="24"/>
          <w:szCs w:val="24"/>
        </w:rPr>
        <w:t xml:space="preserve"> ECHA</w:t>
      </w:r>
    </w:p>
    <w:p w14:paraId="5CA993D4" w14:textId="77777777" w:rsidR="000A7D9D" w:rsidRPr="00A00723" w:rsidRDefault="000A7D9D" w:rsidP="000A7D9D">
      <w:pPr>
        <w:pStyle w:val="BodyText"/>
        <w:rPr>
          <w:noProof/>
        </w:rPr>
      </w:pPr>
      <w:r w:rsidRPr="00A00723">
        <w:rPr>
          <w:b/>
          <w:bCs/>
          <w:noProof/>
        </w:rPr>
        <w:t>Legal basis for reattribution:</w:t>
      </w:r>
      <w:r w:rsidRPr="00A00723">
        <w:rPr>
          <w:noProof/>
        </w:rPr>
        <w:t xml:space="preserve"> revision of the Toy safety directive (2009/48/EC).</w:t>
      </w:r>
    </w:p>
    <w:p w14:paraId="70990ACC" w14:textId="77777777" w:rsidR="000A7D9D" w:rsidRPr="00A00723" w:rsidRDefault="000A7D9D" w:rsidP="000A7D9D">
      <w:pPr>
        <w:pStyle w:val="BodyText"/>
        <w:rPr>
          <w:b/>
          <w:bCs/>
          <w:noProof/>
        </w:rPr>
      </w:pPr>
      <w:r w:rsidRPr="00A00723">
        <w:rPr>
          <w:b/>
          <w:bCs/>
          <w:noProof/>
        </w:rPr>
        <w:t xml:space="preserve">Type of task: </w:t>
      </w:r>
      <w:r w:rsidRPr="00A00723">
        <w:rPr>
          <w:noProof/>
        </w:rPr>
        <w:t>existing</w:t>
      </w:r>
    </w:p>
    <w:p w14:paraId="3A402BB2" w14:textId="77777777" w:rsidR="000A7D9D" w:rsidRPr="00A00723" w:rsidRDefault="000A7D9D" w:rsidP="000A7D9D">
      <w:pPr>
        <w:pStyle w:val="BodyText"/>
        <w:jc w:val="both"/>
        <w:rPr>
          <w:noProof/>
        </w:rPr>
      </w:pPr>
      <w:r w:rsidRPr="00A00723">
        <w:rPr>
          <w:b/>
          <w:bCs/>
          <w:noProof/>
        </w:rPr>
        <w:t xml:space="preserve">Brief task overview: </w:t>
      </w:r>
    </w:p>
    <w:p w14:paraId="4AD9219B" w14:textId="77777777" w:rsidR="000A7D9D" w:rsidRPr="00A00723" w:rsidRDefault="000A7D9D" w:rsidP="000A7D9D">
      <w:pPr>
        <w:pStyle w:val="BodyText"/>
        <w:widowControl w:val="0"/>
        <w:numPr>
          <w:ilvl w:val="0"/>
          <w:numId w:val="62"/>
        </w:numPr>
        <w:jc w:val="both"/>
        <w:rPr>
          <w:noProof/>
        </w:rPr>
      </w:pPr>
      <w:r w:rsidRPr="00A00723">
        <w:rPr>
          <w:noProof/>
        </w:rPr>
        <w:t>Assessment underpinning establishing or strengthening chemical limit values in toys for children under 36 months or toys for other children intended to be taken in the mouth;</w:t>
      </w:r>
    </w:p>
    <w:p w14:paraId="06EB1E44" w14:textId="77777777" w:rsidR="000A7D9D" w:rsidRPr="00A00723" w:rsidRDefault="000A7D9D" w:rsidP="000A7D9D">
      <w:pPr>
        <w:pStyle w:val="BodyText"/>
        <w:widowControl w:val="0"/>
        <w:numPr>
          <w:ilvl w:val="0"/>
          <w:numId w:val="62"/>
        </w:numPr>
        <w:jc w:val="both"/>
        <w:rPr>
          <w:noProof/>
        </w:rPr>
      </w:pPr>
      <w:r w:rsidRPr="00A00723">
        <w:rPr>
          <w:noProof/>
        </w:rPr>
        <w:t xml:space="preserve">Assessment underpinning amending the limit values for ‘heavy metals’ in toys; </w:t>
      </w:r>
    </w:p>
    <w:p w14:paraId="04F4B9D9" w14:textId="77777777" w:rsidR="000A7D9D" w:rsidRPr="00A00723" w:rsidRDefault="000A7D9D" w:rsidP="000A7D9D">
      <w:pPr>
        <w:pStyle w:val="BodyText"/>
        <w:widowControl w:val="0"/>
        <w:numPr>
          <w:ilvl w:val="0"/>
          <w:numId w:val="62"/>
        </w:numPr>
        <w:jc w:val="both"/>
        <w:rPr>
          <w:noProof/>
        </w:rPr>
      </w:pPr>
      <w:r w:rsidRPr="00A00723">
        <w:rPr>
          <w:noProof/>
        </w:rPr>
        <w:t xml:space="preserve">Assessment underpinning amendments to the lists of allergenic fragrances that are prohibited in toys or that have to be labelled if present in toys; </w:t>
      </w:r>
    </w:p>
    <w:p w14:paraId="3B8A7494" w14:textId="77777777" w:rsidR="000A7D9D" w:rsidRPr="00A00723" w:rsidRDefault="000A7D9D" w:rsidP="000A7D9D">
      <w:pPr>
        <w:pStyle w:val="BodyText"/>
        <w:widowControl w:val="0"/>
        <w:numPr>
          <w:ilvl w:val="0"/>
          <w:numId w:val="62"/>
        </w:numPr>
        <w:jc w:val="both"/>
        <w:rPr>
          <w:noProof/>
        </w:rPr>
      </w:pPr>
      <w:r w:rsidRPr="00A00723">
        <w:rPr>
          <w:noProof/>
        </w:rPr>
        <w:t xml:space="preserve">Assessment underpinning a derogation for the use of CMR substances in toys. </w:t>
      </w:r>
    </w:p>
    <w:p w14:paraId="49A714D4" w14:textId="77777777" w:rsidR="000A7D9D" w:rsidRPr="00A00723" w:rsidRDefault="000A7D9D" w:rsidP="000A7D9D">
      <w:pPr>
        <w:pStyle w:val="BodyText"/>
        <w:rPr>
          <w:b/>
          <w:bCs/>
          <w:noProof/>
        </w:rPr>
      </w:pPr>
      <w:r w:rsidRPr="00A00723">
        <w:rPr>
          <w:b/>
          <w:bCs/>
          <w:noProof/>
        </w:rPr>
        <w:t>Detailed process description:</w:t>
      </w:r>
    </w:p>
    <w:p w14:paraId="29D6D24C" w14:textId="77777777" w:rsidR="000A7D9D" w:rsidRPr="00A00723" w:rsidRDefault="000A7D9D" w:rsidP="000A7D9D">
      <w:pPr>
        <w:spacing w:before="120" w:after="120"/>
        <w:rPr>
          <w:rFonts w:ascii="Times New Roman" w:hAnsi="Times New Roman" w:cs="Times New Roman"/>
          <w:noProof/>
          <w:sz w:val="24"/>
          <w:szCs w:val="24"/>
          <w:u w:val="single"/>
        </w:rPr>
      </w:pPr>
      <w:r w:rsidRPr="00A00723">
        <w:rPr>
          <w:rFonts w:ascii="Times New Roman" w:hAnsi="Times New Roman" w:cs="Times New Roman"/>
          <w:noProof/>
          <w:sz w:val="24"/>
          <w:szCs w:val="24"/>
          <w:u w:val="single"/>
        </w:rPr>
        <w:t>Current process:</w:t>
      </w:r>
    </w:p>
    <w:p w14:paraId="314E79D0" w14:textId="77777777" w:rsidR="000A7D9D" w:rsidRPr="00A00723" w:rsidRDefault="000A7D9D" w:rsidP="000A7D9D">
      <w:pPr>
        <w:spacing w:before="120" w:after="120"/>
        <w:rPr>
          <w:rFonts w:ascii="Times New Roman" w:eastAsia="Verdana" w:hAnsi="Times New Roman" w:cs="Times New Roman"/>
          <w:noProof/>
          <w:color w:val="000000" w:themeColor="text1"/>
          <w:sz w:val="24"/>
          <w:szCs w:val="24"/>
        </w:rPr>
      </w:pPr>
      <w:r w:rsidRPr="00A00723">
        <w:rPr>
          <w:rFonts w:ascii="Times New Roman" w:eastAsia="Verdana" w:hAnsi="Times New Roman" w:cs="Times New Roman"/>
          <w:noProof/>
          <w:color w:val="000000" w:themeColor="text1"/>
          <w:sz w:val="24"/>
          <w:szCs w:val="24"/>
        </w:rPr>
        <w:t>Tasks 1, 2 and 3:</w:t>
      </w:r>
    </w:p>
    <w:p w14:paraId="2AA3EFFD" w14:textId="77777777" w:rsidR="000A7D9D" w:rsidRPr="00A00723" w:rsidRDefault="000A7D9D" w:rsidP="000A7D9D">
      <w:pPr>
        <w:spacing w:before="120" w:after="120"/>
        <w:jc w:val="both"/>
        <w:rPr>
          <w:rFonts w:ascii="Times New Roman" w:eastAsia="Verdana" w:hAnsi="Times New Roman" w:cs="Times New Roman"/>
          <w:noProof/>
          <w:color w:val="000000" w:themeColor="text1"/>
          <w:sz w:val="24"/>
          <w:szCs w:val="24"/>
        </w:rPr>
      </w:pPr>
      <w:r w:rsidRPr="00A00723">
        <w:rPr>
          <w:rFonts w:ascii="Times New Roman" w:eastAsia="Verdana" w:hAnsi="Times New Roman" w:cs="Times New Roman"/>
          <w:noProof/>
          <w:color w:val="000000" w:themeColor="text1"/>
          <w:sz w:val="24"/>
          <w:szCs w:val="24"/>
        </w:rPr>
        <w:t>The process can be triggered by an expert of the subgroup Chemicals (which is a subgroup of the Expert Group on Toys Safety (01360) consisting of experts from the Member States, EEA-EFTA countries, the toy industry, the European consumer organisations ANEC) suggesting that  a new or strengthened limit value for a chemical substance is needed, for example due to new scientific knowledge. Also a Scientific Committee opinion, such as from the Scientific Committee on Consumer Safety (SCCS), may be a basis for the Commission services to propose a new/strengthened limit value;</w:t>
      </w:r>
    </w:p>
    <w:p w14:paraId="6E3A8510" w14:textId="77777777" w:rsidR="000A7D9D" w:rsidRPr="00A00723" w:rsidRDefault="000A7D9D" w:rsidP="000A7D9D">
      <w:pPr>
        <w:spacing w:before="120" w:after="120"/>
        <w:jc w:val="both"/>
        <w:rPr>
          <w:rFonts w:ascii="Times New Roman" w:eastAsia="Verdana" w:hAnsi="Times New Roman" w:cs="Times New Roman"/>
          <w:noProof/>
          <w:color w:val="000000" w:themeColor="text1"/>
          <w:sz w:val="24"/>
          <w:szCs w:val="24"/>
        </w:rPr>
      </w:pPr>
      <w:r w:rsidRPr="00A00723">
        <w:rPr>
          <w:rFonts w:ascii="Times New Roman" w:eastAsia="Verdana" w:hAnsi="Times New Roman" w:cs="Times New Roman"/>
          <w:noProof/>
          <w:color w:val="000000" w:themeColor="text1"/>
          <w:sz w:val="24"/>
          <w:szCs w:val="24"/>
        </w:rPr>
        <w:t xml:space="preserve">Once the process is triggered, the subgroup Chemicals discusses the possible occurrence of the substance in toys, assesses the hazard, exposure and risk and recommends a limit value for toys below which the substance presents no risk. In case of conflicting views in the subgroup Chemicals that cannot be resolved, the Commission asks the Scientific Committee on Health, Environmental and Emerging Risks (SCHEER) to assess the hazard, exposure and risk, and to recommend a limit value for toys that presents no risk. </w:t>
      </w:r>
    </w:p>
    <w:p w14:paraId="560FB3F1" w14:textId="77777777" w:rsidR="000A7D9D" w:rsidRPr="00A00723" w:rsidRDefault="000A7D9D" w:rsidP="000A7D9D">
      <w:pPr>
        <w:spacing w:before="120" w:after="120"/>
        <w:jc w:val="both"/>
        <w:rPr>
          <w:rFonts w:ascii="Times New Roman" w:eastAsia="Verdana" w:hAnsi="Times New Roman" w:cs="Times New Roman"/>
          <w:noProof/>
          <w:color w:val="000000" w:themeColor="text1"/>
          <w:sz w:val="24"/>
          <w:szCs w:val="24"/>
        </w:rPr>
      </w:pPr>
      <w:r w:rsidRPr="00A00723">
        <w:rPr>
          <w:rFonts w:ascii="Times New Roman" w:eastAsia="Verdana" w:hAnsi="Times New Roman" w:cs="Times New Roman"/>
          <w:noProof/>
          <w:color w:val="000000" w:themeColor="text1"/>
          <w:sz w:val="24"/>
          <w:szCs w:val="24"/>
        </w:rPr>
        <w:t xml:space="preserve">On the basis of the above recommendation, the Commission services draft a Directive amending the Toy Safety Directive, Appendix C. The draft Directive indicates in its recitals the occurrence of the chemical substance and suggests test methods for the substance in toys and toy materials. The Commission consults the proposal with the Expert Group on Toy Safety (consisting of experts from the Member States, EEA-EFTA countries, Candidate Countries, Switzerland, the toy industry, European consumer organisations (ANEC, BEUC), CEN, Cenelec, notified bodies). After the consultation, the Commission adopts the proposal via the comitology procedure. </w:t>
      </w:r>
    </w:p>
    <w:p w14:paraId="33770B94" w14:textId="77777777" w:rsidR="000A7D9D" w:rsidRPr="00A00723" w:rsidRDefault="000A7D9D" w:rsidP="000A7D9D">
      <w:pPr>
        <w:spacing w:before="120" w:after="120"/>
        <w:rPr>
          <w:rFonts w:ascii="Times New Roman" w:eastAsiaTheme="minorEastAsia" w:hAnsi="Times New Roman" w:cs="Times New Roman"/>
          <w:noProof/>
          <w:color w:val="000000" w:themeColor="text1"/>
          <w:sz w:val="24"/>
          <w:szCs w:val="24"/>
        </w:rPr>
      </w:pPr>
      <w:r w:rsidRPr="00A00723">
        <w:rPr>
          <w:rFonts w:ascii="Times New Roman" w:eastAsiaTheme="minorEastAsia" w:hAnsi="Times New Roman" w:cs="Times New Roman"/>
          <w:noProof/>
          <w:color w:val="000000" w:themeColor="text1"/>
          <w:sz w:val="24"/>
          <w:szCs w:val="24"/>
        </w:rPr>
        <w:t>Task 4:</w:t>
      </w:r>
    </w:p>
    <w:p w14:paraId="7903FD3C" w14:textId="77777777" w:rsidR="000A7D9D" w:rsidRPr="00A00723" w:rsidRDefault="000A7D9D" w:rsidP="000A7D9D">
      <w:pPr>
        <w:spacing w:before="120" w:after="120"/>
        <w:jc w:val="both"/>
        <w:rPr>
          <w:rFonts w:ascii="Times New Roman" w:eastAsiaTheme="minorEastAsia" w:hAnsi="Times New Roman" w:cs="Times New Roman"/>
          <w:noProof/>
          <w:color w:val="000000" w:themeColor="text1"/>
          <w:sz w:val="24"/>
          <w:szCs w:val="24"/>
        </w:rPr>
      </w:pPr>
      <w:r w:rsidRPr="00A00723">
        <w:rPr>
          <w:rFonts w:ascii="Times New Roman" w:eastAsiaTheme="minorEastAsia" w:hAnsi="Times New Roman" w:cs="Times New Roman"/>
          <w:noProof/>
          <w:color w:val="000000" w:themeColor="text1"/>
          <w:sz w:val="24"/>
          <w:szCs w:val="24"/>
        </w:rPr>
        <w:t xml:space="preserve">The process is usually triggered by a toy industry expert, suggesting a derogation to allow the continued use of a CMR substance (Cat. 1A, 1B or 2) in toys. This occurs when a substance has been newly classified as being CMR. </w:t>
      </w:r>
    </w:p>
    <w:p w14:paraId="2916EA26" w14:textId="77777777" w:rsidR="000A7D9D" w:rsidRPr="00A00723" w:rsidRDefault="000A7D9D" w:rsidP="000A7D9D">
      <w:pPr>
        <w:spacing w:before="120" w:after="120"/>
        <w:jc w:val="both"/>
        <w:rPr>
          <w:rFonts w:ascii="Times New Roman" w:eastAsia="Verdana" w:hAnsi="Times New Roman" w:cs="Times New Roman"/>
          <w:noProof/>
          <w:color w:val="000000" w:themeColor="text1"/>
          <w:sz w:val="24"/>
          <w:szCs w:val="24"/>
        </w:rPr>
      </w:pPr>
      <w:r w:rsidRPr="00A00723">
        <w:rPr>
          <w:rFonts w:ascii="Times New Roman" w:eastAsia="Verdana" w:hAnsi="Times New Roman" w:cs="Times New Roman"/>
          <w:noProof/>
          <w:color w:val="000000" w:themeColor="text1"/>
          <w:sz w:val="24"/>
          <w:szCs w:val="24"/>
        </w:rPr>
        <w:t xml:space="preserve">The subgroup Chemicals briefly discusses the derogation and the Commission services requests the toy industry for an analysis of alternatives in the case substance is a CMR cat 1 A or 1B ( no analysis is necessaryif the substance is Cat. 2). </w:t>
      </w:r>
    </w:p>
    <w:p w14:paraId="6F217750" w14:textId="77777777" w:rsidR="000A7D9D" w:rsidRPr="00A00723" w:rsidRDefault="000A7D9D" w:rsidP="000A7D9D">
      <w:pPr>
        <w:spacing w:before="120" w:after="120"/>
        <w:jc w:val="both"/>
        <w:rPr>
          <w:rFonts w:ascii="Times New Roman" w:eastAsia="Verdana" w:hAnsi="Times New Roman" w:cs="Times New Roman"/>
          <w:noProof/>
          <w:color w:val="000000" w:themeColor="text1"/>
          <w:sz w:val="24"/>
          <w:szCs w:val="24"/>
        </w:rPr>
      </w:pPr>
      <w:r w:rsidRPr="00A00723">
        <w:rPr>
          <w:rFonts w:ascii="Times New Roman" w:eastAsia="Verdana" w:hAnsi="Times New Roman" w:cs="Times New Roman"/>
          <w:noProof/>
          <w:color w:val="000000" w:themeColor="text1"/>
          <w:sz w:val="24"/>
          <w:szCs w:val="24"/>
        </w:rPr>
        <w:t xml:space="preserve">The Commission services then mandate the SCHEER to assess the use of the CMR substance in toys. To allow the Commission to grant a derogation, the SCHEER has to assess the use of the CMR in toys as safe. The Commission services also check whether REACH does not prohibited the CMR substance in consumer articles. </w:t>
      </w:r>
    </w:p>
    <w:p w14:paraId="71EB2B26" w14:textId="77777777" w:rsidR="000A7D9D" w:rsidRPr="00A00723" w:rsidRDefault="000A7D9D" w:rsidP="000A7D9D">
      <w:pPr>
        <w:spacing w:before="120" w:after="120"/>
        <w:jc w:val="both"/>
        <w:rPr>
          <w:rFonts w:ascii="Times New Roman" w:eastAsia="Verdana" w:hAnsi="Times New Roman" w:cs="Times New Roman"/>
          <w:noProof/>
          <w:color w:val="000000" w:themeColor="text1"/>
          <w:sz w:val="24"/>
          <w:szCs w:val="24"/>
        </w:rPr>
      </w:pPr>
      <w:r w:rsidRPr="00A00723">
        <w:rPr>
          <w:rFonts w:ascii="Times New Roman" w:eastAsia="Verdana" w:hAnsi="Times New Roman" w:cs="Times New Roman"/>
          <w:noProof/>
          <w:color w:val="000000" w:themeColor="text1"/>
          <w:sz w:val="24"/>
          <w:szCs w:val="24"/>
        </w:rPr>
        <w:t>If the use of the CMR substance in toys is concluded by SCHEER to be safe, there is no prohibition of the substance in the consumer articles under REACH and the industry provides the analusis of alternatives when necessary, the Commission services draft a Directive amending the Toy Safety Directive, Appendix A. Then the Commission consults with the Expert Group on Toy Safety and adopts the proposal.</w:t>
      </w:r>
    </w:p>
    <w:p w14:paraId="65E35101" w14:textId="77777777" w:rsidR="000A7D9D" w:rsidRPr="00A00723" w:rsidRDefault="000A7D9D" w:rsidP="000A7D9D">
      <w:pPr>
        <w:spacing w:before="120" w:after="120"/>
        <w:jc w:val="both"/>
        <w:rPr>
          <w:rFonts w:ascii="Times New Roman" w:hAnsi="Times New Roman" w:cs="Times New Roman"/>
          <w:noProof/>
          <w:sz w:val="24"/>
          <w:szCs w:val="24"/>
        </w:rPr>
      </w:pPr>
      <w:r w:rsidRPr="00A00723">
        <w:rPr>
          <w:rFonts w:ascii="Times New Roman" w:hAnsi="Times New Roman" w:cs="Times New Roman"/>
          <w:noProof/>
          <w:sz w:val="24"/>
          <w:szCs w:val="24"/>
          <w:u w:val="single"/>
        </w:rPr>
        <w:t>Changes envisaged as part of reattribution:</w:t>
      </w:r>
      <w:r w:rsidRPr="00A00723">
        <w:rPr>
          <w:rFonts w:ascii="Times New Roman" w:hAnsi="Times New Roman" w:cs="Times New Roman"/>
          <w:noProof/>
          <w:sz w:val="24"/>
          <w:szCs w:val="24"/>
        </w:rPr>
        <w:t xml:space="preserve"> Yes</w:t>
      </w:r>
    </w:p>
    <w:p w14:paraId="5CA78B79" w14:textId="77777777" w:rsidR="000A7D9D" w:rsidRPr="00A00723" w:rsidRDefault="000A7D9D" w:rsidP="000A7D9D">
      <w:pPr>
        <w:spacing w:before="120" w:after="120"/>
        <w:rPr>
          <w:rFonts w:ascii="Times New Roman" w:hAnsi="Times New Roman" w:cs="Times New Roman"/>
          <w:noProof/>
          <w:color w:val="000000"/>
          <w:sz w:val="24"/>
          <w:szCs w:val="24"/>
        </w:rPr>
      </w:pPr>
      <w:r w:rsidRPr="00A00723">
        <w:rPr>
          <w:rFonts w:ascii="Times New Roman" w:hAnsi="Times New Roman" w:cs="Times New Roman"/>
          <w:noProof/>
          <w:color w:val="000000" w:themeColor="text1"/>
          <w:sz w:val="24"/>
          <w:szCs w:val="24"/>
        </w:rPr>
        <w:t>With the revision, the Commission intends to introduce the following changes:</w:t>
      </w:r>
    </w:p>
    <w:p w14:paraId="229E8151" w14:textId="77777777" w:rsidR="000A7D9D" w:rsidRPr="00A00723" w:rsidRDefault="000A7D9D" w:rsidP="000A7D9D">
      <w:pPr>
        <w:widowControl w:val="0"/>
        <w:numPr>
          <w:ilvl w:val="0"/>
          <w:numId w:val="104"/>
        </w:numPr>
        <w:spacing w:before="120" w:after="120" w:line="240" w:lineRule="auto"/>
        <w:jc w:val="both"/>
        <w:rPr>
          <w:rFonts w:ascii="Times New Roman" w:hAnsi="Times New Roman" w:cs="Times New Roman"/>
          <w:noProof/>
          <w:color w:val="000000"/>
          <w:sz w:val="24"/>
          <w:szCs w:val="24"/>
        </w:rPr>
      </w:pPr>
      <w:r w:rsidRPr="00A00723">
        <w:rPr>
          <w:rFonts w:ascii="Times New Roman" w:hAnsi="Times New Roman" w:cs="Times New Roman"/>
          <w:noProof/>
          <w:color w:val="000000" w:themeColor="text1"/>
          <w:sz w:val="24"/>
          <w:szCs w:val="24"/>
        </w:rPr>
        <w:t>extending the generic assessment approach (automatic ban) to other hazard classes for the most harmful chemicals such as endocrine disrupting chemicals; </w:t>
      </w:r>
    </w:p>
    <w:p w14:paraId="35D3CA88" w14:textId="77777777" w:rsidR="000A7D9D" w:rsidRPr="00A00723" w:rsidRDefault="000A7D9D" w:rsidP="000A7D9D">
      <w:pPr>
        <w:widowControl w:val="0"/>
        <w:numPr>
          <w:ilvl w:val="0"/>
          <w:numId w:val="104"/>
        </w:numPr>
        <w:spacing w:before="120" w:after="120" w:line="240" w:lineRule="auto"/>
        <w:jc w:val="both"/>
        <w:rPr>
          <w:rFonts w:ascii="Times New Roman" w:hAnsi="Times New Roman" w:cs="Times New Roman"/>
          <w:noProof/>
          <w:color w:val="000000"/>
          <w:sz w:val="24"/>
          <w:szCs w:val="24"/>
        </w:rPr>
      </w:pPr>
      <w:r w:rsidRPr="00A00723">
        <w:rPr>
          <w:rFonts w:ascii="Times New Roman" w:hAnsi="Times New Roman" w:cs="Times New Roman"/>
          <w:noProof/>
          <w:color w:val="000000" w:themeColor="text1"/>
          <w:sz w:val="24"/>
          <w:szCs w:val="24"/>
        </w:rPr>
        <w:t>the possibility to introduce specific limit values for new chemicals could be introduced in all toys, and not only in toys intended for children under 36 months or to be put in the mouth, as is the case today.</w:t>
      </w:r>
    </w:p>
    <w:p w14:paraId="190D8F89" w14:textId="77777777" w:rsidR="000A7D9D" w:rsidRPr="00A00723" w:rsidRDefault="000A7D9D" w:rsidP="000A7D9D">
      <w:pPr>
        <w:widowControl w:val="0"/>
        <w:numPr>
          <w:ilvl w:val="0"/>
          <w:numId w:val="104"/>
        </w:numPr>
        <w:spacing w:before="120" w:after="120" w:line="240" w:lineRule="auto"/>
        <w:jc w:val="both"/>
        <w:rPr>
          <w:rFonts w:ascii="Times New Roman" w:hAnsi="Times New Roman" w:cs="Times New Roman"/>
          <w:noProof/>
          <w:color w:val="000000" w:themeColor="text1"/>
          <w:sz w:val="24"/>
          <w:szCs w:val="24"/>
        </w:rPr>
      </w:pPr>
      <w:r w:rsidRPr="00A00723">
        <w:rPr>
          <w:rFonts w:ascii="Times New Roman" w:hAnsi="Times New Roman" w:cs="Times New Roman"/>
          <w:noProof/>
          <w:color w:val="000000" w:themeColor="text1"/>
          <w:sz w:val="24"/>
          <w:szCs w:val="24"/>
        </w:rPr>
        <w:t>Transfer the risk assessment tasks from SCHEER committee to ECHA’s Committee for Risk Assessment (RAC).</w:t>
      </w:r>
    </w:p>
    <w:p w14:paraId="3848433A" w14:textId="77777777" w:rsidR="000A7D9D" w:rsidRPr="00A00723" w:rsidRDefault="000A7D9D" w:rsidP="000A7D9D">
      <w:pPr>
        <w:pStyle w:val="BodyText"/>
        <w:rPr>
          <w:noProof/>
        </w:rPr>
      </w:pPr>
      <w:r w:rsidRPr="00A00723">
        <w:rPr>
          <w:b/>
          <w:bCs/>
          <w:noProof/>
        </w:rPr>
        <w:t>Proximity to ECHA mandate:</w:t>
      </w:r>
      <w:r w:rsidRPr="00A00723">
        <w:rPr>
          <w:noProof/>
        </w:rPr>
        <w:t xml:space="preserve"> The task is closely related to ECHA’s core mandate and ECHA has the needed data, competences and expertise to perform the task.</w:t>
      </w:r>
    </w:p>
    <w:p w14:paraId="4747D459" w14:textId="77777777" w:rsidR="000A7D9D" w:rsidRPr="00A00723" w:rsidRDefault="000A7D9D" w:rsidP="000A7D9D">
      <w:pPr>
        <w:pStyle w:val="BodyText"/>
        <w:rPr>
          <w:b/>
          <w:bCs/>
          <w:noProof/>
        </w:rPr>
      </w:pPr>
      <w:r w:rsidRPr="00A00723">
        <w:rPr>
          <w:b/>
          <w:bCs/>
          <w:noProof/>
        </w:rPr>
        <w:t>Projected synergies and added value of reattribution:</w:t>
      </w:r>
    </w:p>
    <w:tbl>
      <w:tblPr>
        <w:tblStyle w:val="TableGrid28"/>
        <w:tblW w:w="0" w:type="auto"/>
        <w:tblLook w:val="04A0" w:firstRow="1" w:lastRow="0" w:firstColumn="1" w:lastColumn="0" w:noHBand="0" w:noVBand="1"/>
      </w:tblPr>
      <w:tblGrid>
        <w:gridCol w:w="1727"/>
        <w:gridCol w:w="1119"/>
        <w:gridCol w:w="6783"/>
      </w:tblGrid>
      <w:tr w:rsidR="000A7D9D" w:rsidRPr="00A00723" w14:paraId="2D28F874" w14:textId="77777777" w:rsidTr="00F31937">
        <w:trPr>
          <w:trHeight w:val="300"/>
        </w:trPr>
        <w:tc>
          <w:tcPr>
            <w:tcW w:w="1727" w:type="dxa"/>
            <w:tcBorders>
              <w:top w:val="single" w:sz="4" w:space="0" w:color="auto"/>
              <w:left w:val="single" w:sz="4" w:space="0" w:color="auto"/>
              <w:bottom w:val="single" w:sz="4" w:space="0" w:color="auto"/>
              <w:right w:val="single" w:sz="4" w:space="0" w:color="auto"/>
            </w:tcBorders>
            <w:hideMark/>
          </w:tcPr>
          <w:p w14:paraId="29AA30BA" w14:textId="77777777" w:rsidR="000A7D9D" w:rsidRPr="00A00723" w:rsidRDefault="000A7D9D" w:rsidP="00F31937">
            <w:pPr>
              <w:spacing w:before="120" w:after="120"/>
              <w:rPr>
                <w:rFonts w:ascii="Times New Roman" w:hAnsi="Times New Roman"/>
                <w:b/>
                <w:bCs/>
                <w:noProof/>
                <w:color w:val="0046AD"/>
                <w:sz w:val="24"/>
                <w:szCs w:val="24"/>
              </w:rPr>
            </w:pPr>
            <w:r w:rsidRPr="00A00723">
              <w:rPr>
                <w:rFonts w:ascii="Times New Roman" w:hAnsi="Times New Roman"/>
                <w:b/>
                <w:bCs/>
                <w:noProof/>
                <w:color w:val="4472C4" w:themeColor="accent1"/>
                <w:sz w:val="24"/>
                <w:szCs w:val="24"/>
              </w:rPr>
              <w:t>Type</w:t>
            </w:r>
          </w:p>
        </w:tc>
        <w:tc>
          <w:tcPr>
            <w:tcW w:w="7902" w:type="dxa"/>
            <w:gridSpan w:val="2"/>
            <w:tcBorders>
              <w:top w:val="single" w:sz="4" w:space="0" w:color="auto"/>
              <w:left w:val="single" w:sz="4" w:space="0" w:color="auto"/>
              <w:bottom w:val="single" w:sz="4" w:space="0" w:color="auto"/>
              <w:right w:val="single" w:sz="4" w:space="0" w:color="auto"/>
            </w:tcBorders>
            <w:hideMark/>
          </w:tcPr>
          <w:p w14:paraId="011C139C" w14:textId="77777777" w:rsidR="000A7D9D" w:rsidRPr="00A00723" w:rsidRDefault="000A7D9D" w:rsidP="00F31937">
            <w:pPr>
              <w:spacing w:before="120" w:after="120"/>
              <w:rPr>
                <w:rFonts w:ascii="Times New Roman" w:hAnsi="Times New Roman"/>
                <w:b/>
                <w:bCs/>
                <w:noProof/>
                <w:color w:val="0046AD"/>
                <w:sz w:val="24"/>
                <w:szCs w:val="24"/>
              </w:rPr>
            </w:pPr>
            <w:r w:rsidRPr="00A00723">
              <w:rPr>
                <w:rFonts w:ascii="Times New Roman" w:hAnsi="Times New Roman"/>
                <w:b/>
                <w:bCs/>
                <w:noProof/>
                <w:color w:val="4472C4" w:themeColor="accent1"/>
                <w:sz w:val="24"/>
                <w:szCs w:val="24"/>
              </w:rPr>
              <w:t>Synergies</w:t>
            </w:r>
          </w:p>
        </w:tc>
      </w:tr>
      <w:tr w:rsidR="000A7D9D" w:rsidRPr="00A00723" w14:paraId="32CFAE46" w14:textId="77777777" w:rsidTr="00F31937">
        <w:tc>
          <w:tcPr>
            <w:tcW w:w="1727" w:type="dxa"/>
            <w:tcBorders>
              <w:top w:val="single" w:sz="4" w:space="0" w:color="auto"/>
              <w:left w:val="single" w:sz="4" w:space="0" w:color="auto"/>
              <w:bottom w:val="single" w:sz="4" w:space="0" w:color="auto"/>
              <w:right w:val="single" w:sz="4" w:space="0" w:color="auto"/>
            </w:tcBorders>
            <w:hideMark/>
          </w:tcPr>
          <w:p w14:paraId="17D03723"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Reuse of capabilities</w:t>
            </w:r>
          </w:p>
        </w:tc>
        <w:tc>
          <w:tcPr>
            <w:tcW w:w="1119" w:type="dxa"/>
            <w:tcBorders>
              <w:top w:val="single" w:sz="4" w:space="0" w:color="auto"/>
              <w:left w:val="single" w:sz="4" w:space="0" w:color="auto"/>
              <w:bottom w:val="single" w:sz="4" w:space="0" w:color="auto"/>
              <w:right w:val="single" w:sz="4" w:space="0" w:color="auto"/>
            </w:tcBorders>
            <w:hideMark/>
          </w:tcPr>
          <w:p w14:paraId="29DFF326"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83" w:type="dxa"/>
            <w:tcBorders>
              <w:top w:val="single" w:sz="4" w:space="0" w:color="auto"/>
              <w:left w:val="single" w:sz="4" w:space="0" w:color="auto"/>
              <w:bottom w:val="single" w:sz="4" w:space="0" w:color="auto"/>
              <w:right w:val="single" w:sz="4" w:space="0" w:color="auto"/>
            </w:tcBorders>
            <w:hideMark/>
          </w:tcPr>
          <w:p w14:paraId="0F7FC832"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Process and expertise: ECHA already performs similar work on restrictions, derogations, setting of limit values and assessing socio-economic impacts under REACH and other legislation. Several key capacities can be reused/reinforced:</w:t>
            </w:r>
          </w:p>
          <w:p w14:paraId="342FD7A8" w14:textId="77777777" w:rsidR="000A7D9D" w:rsidRPr="00A00723" w:rsidRDefault="000A7D9D" w:rsidP="000A7D9D">
            <w:pPr>
              <w:numPr>
                <w:ilvl w:val="0"/>
                <w:numId w:val="21"/>
              </w:numPr>
              <w:snapToGrid w:val="0"/>
              <w:ind w:left="720"/>
              <w:contextualSpacing/>
              <w:rPr>
                <w:rFonts w:ascii="Times New Roman" w:hAnsi="Times New Roman"/>
                <w:noProof/>
                <w:sz w:val="24"/>
                <w:szCs w:val="24"/>
              </w:rPr>
            </w:pPr>
            <w:r w:rsidRPr="00A00723">
              <w:rPr>
                <w:rFonts w:ascii="Times New Roman" w:hAnsi="Times New Roman"/>
                <w:noProof/>
                <w:sz w:val="24"/>
                <w:szCs w:val="24"/>
              </w:rPr>
              <w:t>Hazard, risk, exposure and socio-economic assessment</w:t>
            </w:r>
          </w:p>
          <w:p w14:paraId="2A710DAE" w14:textId="77777777" w:rsidR="000A7D9D" w:rsidRPr="00A00723" w:rsidRDefault="000A7D9D" w:rsidP="000A7D9D">
            <w:pPr>
              <w:numPr>
                <w:ilvl w:val="0"/>
                <w:numId w:val="21"/>
              </w:numPr>
              <w:snapToGrid w:val="0"/>
              <w:ind w:left="720"/>
              <w:contextualSpacing/>
              <w:rPr>
                <w:rFonts w:ascii="Times New Roman" w:hAnsi="Times New Roman"/>
                <w:noProof/>
                <w:sz w:val="24"/>
                <w:szCs w:val="24"/>
              </w:rPr>
            </w:pPr>
            <w:r w:rsidRPr="00A00723">
              <w:rPr>
                <w:rFonts w:ascii="Times New Roman" w:hAnsi="Times New Roman"/>
                <w:noProof/>
                <w:sz w:val="24"/>
                <w:szCs w:val="24"/>
              </w:rPr>
              <w:t>Exposure limit value definition</w:t>
            </w:r>
          </w:p>
          <w:p w14:paraId="4E268C89"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sz w:val="24"/>
                <w:szCs w:val="24"/>
              </w:rPr>
              <w:t>Committee opinion development</w:t>
            </w:r>
          </w:p>
          <w:p w14:paraId="37EA4E6E"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Existing IT capabilities for industry dossier submission, stakeholder consultation and dissemination</w:t>
            </w:r>
          </w:p>
        </w:tc>
      </w:tr>
      <w:tr w:rsidR="000A7D9D" w:rsidRPr="00A00723" w14:paraId="1CDACF51" w14:textId="77777777" w:rsidTr="00F31937">
        <w:tc>
          <w:tcPr>
            <w:tcW w:w="1727" w:type="dxa"/>
            <w:tcBorders>
              <w:top w:val="single" w:sz="4" w:space="0" w:color="auto"/>
              <w:left w:val="single" w:sz="4" w:space="0" w:color="auto"/>
              <w:bottom w:val="single" w:sz="4" w:space="0" w:color="auto"/>
              <w:right w:val="single" w:sz="4" w:space="0" w:color="auto"/>
            </w:tcBorders>
            <w:hideMark/>
          </w:tcPr>
          <w:p w14:paraId="645D84E0"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Re-use of data</w:t>
            </w:r>
          </w:p>
        </w:tc>
        <w:tc>
          <w:tcPr>
            <w:tcW w:w="1119" w:type="dxa"/>
            <w:tcBorders>
              <w:top w:val="single" w:sz="4" w:space="0" w:color="auto"/>
              <w:left w:val="single" w:sz="4" w:space="0" w:color="auto"/>
              <w:bottom w:val="single" w:sz="4" w:space="0" w:color="auto"/>
              <w:right w:val="single" w:sz="4" w:space="0" w:color="auto"/>
            </w:tcBorders>
            <w:hideMark/>
          </w:tcPr>
          <w:p w14:paraId="72BF7038"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83" w:type="dxa"/>
            <w:tcBorders>
              <w:top w:val="single" w:sz="4" w:space="0" w:color="auto"/>
              <w:left w:val="single" w:sz="4" w:space="0" w:color="auto"/>
              <w:bottom w:val="single" w:sz="4" w:space="0" w:color="auto"/>
              <w:right w:val="single" w:sz="4" w:space="0" w:color="auto"/>
            </w:tcBorders>
            <w:hideMark/>
          </w:tcPr>
          <w:p w14:paraId="3541154C"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Reuse of data collected under other chemical legislation, especially REACH &amp; CLP and via the SCIP database, with a focus on CMRs and Endocrine Disruptors.</w:t>
            </w:r>
          </w:p>
        </w:tc>
      </w:tr>
      <w:tr w:rsidR="000A7D9D" w:rsidRPr="00A00723" w14:paraId="537A3F0C" w14:textId="77777777" w:rsidTr="00F31937">
        <w:tc>
          <w:tcPr>
            <w:tcW w:w="1727" w:type="dxa"/>
            <w:tcBorders>
              <w:top w:val="single" w:sz="4" w:space="0" w:color="auto"/>
              <w:left w:val="single" w:sz="4" w:space="0" w:color="auto"/>
              <w:bottom w:val="single" w:sz="4" w:space="0" w:color="auto"/>
              <w:right w:val="single" w:sz="4" w:space="0" w:color="auto"/>
            </w:tcBorders>
            <w:hideMark/>
          </w:tcPr>
          <w:p w14:paraId="11500D94"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Workload balancing</w:t>
            </w:r>
          </w:p>
        </w:tc>
        <w:tc>
          <w:tcPr>
            <w:tcW w:w="1119" w:type="dxa"/>
            <w:tcBorders>
              <w:top w:val="single" w:sz="4" w:space="0" w:color="auto"/>
              <w:left w:val="single" w:sz="4" w:space="0" w:color="auto"/>
              <w:bottom w:val="single" w:sz="4" w:space="0" w:color="auto"/>
              <w:right w:val="single" w:sz="4" w:space="0" w:color="auto"/>
            </w:tcBorders>
            <w:hideMark/>
          </w:tcPr>
          <w:p w14:paraId="47258E41"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Medium</w:t>
            </w:r>
          </w:p>
        </w:tc>
        <w:tc>
          <w:tcPr>
            <w:tcW w:w="6783" w:type="dxa"/>
            <w:tcBorders>
              <w:top w:val="single" w:sz="4" w:space="0" w:color="auto"/>
              <w:left w:val="single" w:sz="4" w:space="0" w:color="auto"/>
              <w:bottom w:val="single" w:sz="4" w:space="0" w:color="auto"/>
              <w:right w:val="single" w:sz="4" w:space="0" w:color="auto"/>
            </w:tcBorders>
            <w:hideMark/>
          </w:tcPr>
          <w:p w14:paraId="06CF22E4"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With an estimated workload of 2 derogation requests and setting limit values for 2 additional substances annually, the workload of Agency experts and Committee experts can be spread and balanced over the years (although resource estimates are already annualised).</w:t>
            </w:r>
          </w:p>
        </w:tc>
      </w:tr>
      <w:tr w:rsidR="000A7D9D" w:rsidRPr="00A00723" w14:paraId="490F5F96" w14:textId="77777777" w:rsidTr="00F31937">
        <w:tc>
          <w:tcPr>
            <w:tcW w:w="1727" w:type="dxa"/>
            <w:tcBorders>
              <w:top w:val="single" w:sz="4" w:space="0" w:color="auto"/>
              <w:left w:val="single" w:sz="4" w:space="0" w:color="auto"/>
              <w:bottom w:val="single" w:sz="4" w:space="0" w:color="auto"/>
              <w:right w:val="single" w:sz="4" w:space="0" w:color="auto"/>
            </w:tcBorders>
            <w:hideMark/>
          </w:tcPr>
          <w:p w14:paraId="13D18E5F"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IT tools: automation and economies of scale</w:t>
            </w:r>
          </w:p>
        </w:tc>
        <w:tc>
          <w:tcPr>
            <w:tcW w:w="1119" w:type="dxa"/>
            <w:tcBorders>
              <w:top w:val="single" w:sz="4" w:space="0" w:color="auto"/>
              <w:left w:val="single" w:sz="4" w:space="0" w:color="auto"/>
              <w:bottom w:val="single" w:sz="4" w:space="0" w:color="auto"/>
              <w:right w:val="single" w:sz="4" w:space="0" w:color="auto"/>
            </w:tcBorders>
            <w:hideMark/>
          </w:tcPr>
          <w:p w14:paraId="694F9246"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83" w:type="dxa"/>
            <w:tcBorders>
              <w:top w:val="single" w:sz="4" w:space="0" w:color="auto"/>
              <w:left w:val="single" w:sz="4" w:space="0" w:color="auto"/>
              <w:bottom w:val="single" w:sz="4" w:space="0" w:color="auto"/>
              <w:right w:val="single" w:sz="4" w:space="0" w:color="auto"/>
            </w:tcBorders>
            <w:hideMark/>
          </w:tcPr>
          <w:p w14:paraId="2CAB7760"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Industry actors can submit their derogation requests reusing existing ECHA submission tools, at the same time automating the existing process. In addition, reuse of IT capabilities for case management, public consultation, interaction with Member States, regulatory intentions management and data dissemination.</w:t>
            </w:r>
          </w:p>
        </w:tc>
      </w:tr>
      <w:tr w:rsidR="000A7D9D" w:rsidRPr="00A00723" w14:paraId="2333A728" w14:textId="77777777" w:rsidTr="00F31937">
        <w:tc>
          <w:tcPr>
            <w:tcW w:w="1727" w:type="dxa"/>
            <w:tcBorders>
              <w:top w:val="single" w:sz="4" w:space="0" w:color="auto"/>
              <w:left w:val="single" w:sz="4" w:space="0" w:color="auto"/>
              <w:bottom w:val="single" w:sz="4" w:space="0" w:color="auto"/>
              <w:right w:val="single" w:sz="4" w:space="0" w:color="auto"/>
            </w:tcBorders>
            <w:hideMark/>
          </w:tcPr>
          <w:p w14:paraId="6DD2E2CB"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Support services: economies of scale</w:t>
            </w:r>
          </w:p>
        </w:tc>
        <w:tc>
          <w:tcPr>
            <w:tcW w:w="1119" w:type="dxa"/>
            <w:tcBorders>
              <w:top w:val="single" w:sz="4" w:space="0" w:color="auto"/>
              <w:left w:val="single" w:sz="4" w:space="0" w:color="auto"/>
              <w:bottom w:val="single" w:sz="4" w:space="0" w:color="auto"/>
              <w:right w:val="single" w:sz="4" w:space="0" w:color="auto"/>
            </w:tcBorders>
            <w:hideMark/>
          </w:tcPr>
          <w:p w14:paraId="4E5375C3"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83" w:type="dxa"/>
            <w:tcBorders>
              <w:top w:val="single" w:sz="4" w:space="0" w:color="auto"/>
              <w:left w:val="single" w:sz="4" w:space="0" w:color="auto"/>
              <w:bottom w:val="single" w:sz="4" w:space="0" w:color="auto"/>
              <w:right w:val="single" w:sz="4" w:space="0" w:color="auto"/>
            </w:tcBorders>
            <w:hideMark/>
          </w:tcPr>
          <w:p w14:paraId="72D9A8F5"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Reuse of scientific support services (e.g. committee secretariat, prioritisation and grouping of substances, substance identification, data management and dissemination). Reuse of administrative services.</w:t>
            </w:r>
          </w:p>
        </w:tc>
      </w:tr>
    </w:tbl>
    <w:p w14:paraId="0FA06F98" w14:textId="77777777" w:rsidR="000A7D9D" w:rsidRPr="00A00723" w:rsidRDefault="000A7D9D" w:rsidP="000A7D9D">
      <w:pPr>
        <w:pStyle w:val="BodyText"/>
        <w:rPr>
          <w:noProof/>
        </w:rPr>
      </w:pPr>
    </w:p>
    <w:tbl>
      <w:tblPr>
        <w:tblStyle w:val="TableGrid29"/>
        <w:tblW w:w="0" w:type="auto"/>
        <w:tblLook w:val="04A0" w:firstRow="1" w:lastRow="0" w:firstColumn="1" w:lastColumn="0" w:noHBand="0" w:noVBand="1"/>
      </w:tblPr>
      <w:tblGrid>
        <w:gridCol w:w="1822"/>
        <w:gridCol w:w="1057"/>
        <w:gridCol w:w="6750"/>
      </w:tblGrid>
      <w:tr w:rsidR="000A7D9D" w:rsidRPr="00A00723" w14:paraId="5F8C4EEC"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18E5C754" w14:textId="77777777" w:rsidR="000A7D9D" w:rsidRPr="00A00723" w:rsidRDefault="000A7D9D" w:rsidP="00F31937">
            <w:pPr>
              <w:spacing w:before="120" w:after="120"/>
              <w:rPr>
                <w:rFonts w:ascii="Times New Roman" w:hAnsi="Times New Roman"/>
                <w:b/>
                <w:bCs/>
                <w:noProof/>
                <w:color w:val="0046AD"/>
                <w:sz w:val="24"/>
                <w:szCs w:val="24"/>
              </w:rPr>
            </w:pPr>
            <w:r w:rsidRPr="00A00723">
              <w:rPr>
                <w:rFonts w:ascii="Times New Roman" w:hAnsi="Times New Roman"/>
                <w:b/>
                <w:bCs/>
                <w:noProof/>
                <w:color w:val="4472C4" w:themeColor="accent1"/>
                <w:sz w:val="24"/>
                <w:szCs w:val="24"/>
              </w:rPr>
              <w:t>Type</w:t>
            </w:r>
          </w:p>
        </w:tc>
        <w:tc>
          <w:tcPr>
            <w:tcW w:w="7807" w:type="dxa"/>
            <w:gridSpan w:val="2"/>
            <w:tcBorders>
              <w:top w:val="single" w:sz="4" w:space="0" w:color="auto"/>
              <w:left w:val="single" w:sz="4" w:space="0" w:color="auto"/>
              <w:bottom w:val="single" w:sz="4" w:space="0" w:color="auto"/>
              <w:right w:val="single" w:sz="4" w:space="0" w:color="auto"/>
            </w:tcBorders>
            <w:hideMark/>
          </w:tcPr>
          <w:p w14:paraId="421CA254" w14:textId="77777777" w:rsidR="000A7D9D" w:rsidRPr="00A00723" w:rsidRDefault="000A7D9D" w:rsidP="00F31937">
            <w:pPr>
              <w:spacing w:before="120" w:after="120"/>
              <w:rPr>
                <w:rFonts w:ascii="Times New Roman" w:hAnsi="Times New Roman"/>
                <w:b/>
                <w:bCs/>
                <w:noProof/>
                <w:color w:val="0046AD"/>
                <w:sz w:val="24"/>
                <w:szCs w:val="24"/>
              </w:rPr>
            </w:pPr>
            <w:r w:rsidRPr="00A00723">
              <w:rPr>
                <w:rFonts w:ascii="Times New Roman" w:hAnsi="Times New Roman"/>
                <w:b/>
                <w:bCs/>
                <w:noProof/>
                <w:color w:val="4472C4" w:themeColor="accent1"/>
                <w:sz w:val="24"/>
                <w:szCs w:val="24"/>
              </w:rPr>
              <w:t>Added value</w:t>
            </w:r>
          </w:p>
        </w:tc>
      </w:tr>
      <w:tr w:rsidR="000A7D9D" w:rsidRPr="00A00723" w14:paraId="28FAF194"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24BCAED8"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Scientific consistency</w:t>
            </w:r>
          </w:p>
        </w:tc>
        <w:tc>
          <w:tcPr>
            <w:tcW w:w="1057" w:type="dxa"/>
            <w:tcBorders>
              <w:top w:val="single" w:sz="4" w:space="0" w:color="auto"/>
              <w:left w:val="single" w:sz="4" w:space="0" w:color="auto"/>
              <w:bottom w:val="single" w:sz="4" w:space="0" w:color="auto"/>
              <w:right w:val="single" w:sz="4" w:space="0" w:color="auto"/>
            </w:tcBorders>
            <w:hideMark/>
          </w:tcPr>
          <w:p w14:paraId="758C58A7"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2431E3C0"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Opportunity to align priority setting, timeline, process and methodology with other related legislation. Reuse of data collected under other chemical legislation to improve coherence in the scientific advice provided to the Commission.</w:t>
            </w:r>
          </w:p>
        </w:tc>
      </w:tr>
      <w:tr w:rsidR="000A7D9D" w:rsidRPr="00A00723" w14:paraId="2EB3A704"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3E12706A"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Robustness of assessment and acceptance</w:t>
            </w:r>
          </w:p>
        </w:tc>
        <w:tc>
          <w:tcPr>
            <w:tcW w:w="1057" w:type="dxa"/>
            <w:tcBorders>
              <w:top w:val="single" w:sz="4" w:space="0" w:color="auto"/>
              <w:left w:val="single" w:sz="4" w:space="0" w:color="auto"/>
              <w:bottom w:val="single" w:sz="4" w:space="0" w:color="auto"/>
              <w:right w:val="single" w:sz="4" w:space="0" w:color="auto"/>
            </w:tcBorders>
            <w:hideMark/>
          </w:tcPr>
          <w:p w14:paraId="646F6E71"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21ECE063"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Insourcing of scientific work from consultants to Agency experts. Centralising the scientific committees for assessing chemicals in one EU agency and stricter separation between policy and scientific advice adds more scientific robustness to the process.</w:t>
            </w:r>
          </w:p>
          <w:p w14:paraId="1768E8B2" w14:textId="77777777" w:rsidR="000A7D9D" w:rsidRPr="00A00723" w:rsidRDefault="000A7D9D" w:rsidP="00F31937">
            <w:pPr>
              <w:spacing w:after="240"/>
              <w:rPr>
                <w:rFonts w:ascii="Times New Roman" w:hAnsi="Times New Roman"/>
                <w:i/>
                <w:iCs/>
                <w:noProof/>
                <w:sz w:val="24"/>
                <w:szCs w:val="24"/>
              </w:rPr>
            </w:pPr>
            <w:r w:rsidRPr="00A00723">
              <w:rPr>
                <w:rFonts w:ascii="Times New Roman" w:hAnsi="Times New Roman"/>
                <w:i/>
                <w:iCs/>
                <w:noProof/>
                <w:sz w:val="24"/>
                <w:szCs w:val="24"/>
              </w:rPr>
              <w:t xml:space="preserve">(See also </w:t>
            </w:r>
            <w:hyperlink r:id="rId73" w:history="1">
              <w:r w:rsidRPr="00A00723">
                <w:rPr>
                  <w:rFonts w:ascii="Times New Roman" w:hAnsi="Times New Roman"/>
                  <w:i/>
                  <w:iCs/>
                  <w:noProof/>
                  <w:color w:val="0563C1"/>
                  <w:sz w:val="24"/>
                  <w:szCs w:val="24"/>
                  <w:u w:val="single"/>
                </w:rPr>
                <w:t>European Court of Auditors: External consultants at the European Commission - Scope for reform).</w:t>
              </w:r>
            </w:hyperlink>
          </w:p>
        </w:tc>
      </w:tr>
      <w:tr w:rsidR="000A7D9D" w:rsidRPr="00A00723" w14:paraId="1CBA718E"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3D1B20B1"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Independence</w:t>
            </w:r>
          </w:p>
        </w:tc>
        <w:tc>
          <w:tcPr>
            <w:tcW w:w="1057" w:type="dxa"/>
            <w:tcBorders>
              <w:top w:val="single" w:sz="4" w:space="0" w:color="auto"/>
              <w:left w:val="single" w:sz="4" w:space="0" w:color="auto"/>
              <w:bottom w:val="single" w:sz="4" w:space="0" w:color="auto"/>
              <w:right w:val="single" w:sz="4" w:space="0" w:color="auto"/>
            </w:tcBorders>
            <w:hideMark/>
          </w:tcPr>
          <w:p w14:paraId="54C1F0C7"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2F3EF143"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Moving scientific work from consultants to Agency experts and from dispersed Commission committees to well-established committees in the European Chemicals Agency with a stricter separation between science and policy. ECHA and its committees work under stricter conflict of interest avoidance rules, improving guarantees of independent scientific advice to the Commission.</w:t>
            </w:r>
          </w:p>
        </w:tc>
      </w:tr>
      <w:tr w:rsidR="000A7D9D" w:rsidRPr="00A00723" w14:paraId="191FE684"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37A322BD"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Transparency</w:t>
            </w:r>
          </w:p>
        </w:tc>
        <w:tc>
          <w:tcPr>
            <w:tcW w:w="1057" w:type="dxa"/>
            <w:tcBorders>
              <w:top w:val="single" w:sz="4" w:space="0" w:color="auto"/>
              <w:left w:val="single" w:sz="4" w:space="0" w:color="auto"/>
              <w:bottom w:val="single" w:sz="4" w:space="0" w:color="auto"/>
              <w:right w:val="single" w:sz="4" w:space="0" w:color="auto"/>
            </w:tcBorders>
            <w:hideMark/>
          </w:tcPr>
          <w:p w14:paraId="08787173"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0FA4F284"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ECHA’s involvement will bring additional transparency to the process:</w:t>
            </w:r>
          </w:p>
          <w:p w14:paraId="45F86C19"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Overall process transparency</w:t>
            </w:r>
          </w:p>
          <w:p w14:paraId="6657D31F"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Publication of regulatory intentions of EU authorities improves predictability for industry stakeholders</w:t>
            </w:r>
          </w:p>
          <w:p w14:paraId="524B3682"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Public consultation/call for evidence</w:t>
            </w:r>
          </w:p>
          <w:p w14:paraId="2A7708CC"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Stakeholder involvement/observer status</w:t>
            </w:r>
          </w:p>
          <w:p w14:paraId="33993F58"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Dissemination of scientific data and outcomes</w:t>
            </w:r>
          </w:p>
        </w:tc>
      </w:tr>
    </w:tbl>
    <w:p w14:paraId="77DB1DBB" w14:textId="77777777" w:rsidR="000A7D9D" w:rsidRPr="00A00723" w:rsidRDefault="000A7D9D" w:rsidP="000A7D9D">
      <w:pPr>
        <w:pStyle w:val="BodyText"/>
        <w:spacing w:before="120"/>
        <w:jc w:val="both"/>
        <w:rPr>
          <w:noProof/>
        </w:rPr>
      </w:pPr>
      <w:r w:rsidRPr="00A00723">
        <w:rPr>
          <w:b/>
          <w:bCs/>
          <w:noProof/>
        </w:rPr>
        <w:t xml:space="preserve">Main risks and opportunities: </w:t>
      </w:r>
      <w:r w:rsidRPr="00A00723">
        <w:rPr>
          <w:noProof/>
        </w:rPr>
        <w:t>Methodologies would need to be aligned. Finally, the revision is an opportunity to also streamline the process and align with similar processes under REACH.</w:t>
      </w:r>
    </w:p>
    <w:p w14:paraId="2C108F96" w14:textId="77777777" w:rsidR="000A7D9D" w:rsidRPr="00A00723" w:rsidRDefault="000A7D9D" w:rsidP="000A7D9D">
      <w:pPr>
        <w:pStyle w:val="BodyText"/>
        <w:rPr>
          <w:b/>
          <w:bCs/>
          <w:noProof/>
        </w:rPr>
      </w:pPr>
      <w:r w:rsidRPr="00A00723">
        <w:rPr>
          <w:b/>
          <w:bCs/>
          <w:noProof/>
        </w:rPr>
        <w:t>Projected impact on ECHA:</w:t>
      </w:r>
    </w:p>
    <w:p w14:paraId="126142B0" w14:textId="77777777" w:rsidR="000A7D9D" w:rsidRPr="00A00723" w:rsidRDefault="000A7D9D" w:rsidP="000A7D9D">
      <w:pPr>
        <w:pStyle w:val="BodyText"/>
        <w:widowControl w:val="0"/>
        <w:numPr>
          <w:ilvl w:val="0"/>
          <w:numId w:val="88"/>
        </w:numPr>
        <w:spacing w:after="240"/>
        <w:rPr>
          <w:b/>
          <w:bCs/>
          <w:noProof/>
        </w:rPr>
      </w:pPr>
      <w:r w:rsidRPr="00A00723">
        <w:rPr>
          <w:noProof/>
        </w:rPr>
        <w:t xml:space="preserve">ECHA Committees/bodies: </w:t>
      </w:r>
      <w:r w:rsidRPr="00A00723">
        <w:rPr>
          <w:b/>
          <w:bCs/>
          <w:noProof/>
        </w:rPr>
        <w:t>high impact</w:t>
      </w:r>
      <w:r w:rsidRPr="00A00723">
        <w:rPr>
          <w:noProof/>
        </w:rPr>
        <w:t>. The task generates major impact on the setup / organisation / staffing of Committees/bodies due to the additional workload</w:t>
      </w:r>
    </w:p>
    <w:tbl>
      <w:tblPr>
        <w:tblStyle w:val="TableGrid"/>
        <w:tblW w:w="9072" w:type="dxa"/>
        <w:tblInd w:w="562" w:type="dxa"/>
        <w:tblLook w:val="04A0" w:firstRow="1" w:lastRow="0" w:firstColumn="1" w:lastColumn="0" w:noHBand="0" w:noVBand="1"/>
      </w:tblPr>
      <w:tblGrid>
        <w:gridCol w:w="1685"/>
        <w:gridCol w:w="1084"/>
        <w:gridCol w:w="1363"/>
        <w:gridCol w:w="1128"/>
        <w:gridCol w:w="1132"/>
        <w:gridCol w:w="1416"/>
        <w:gridCol w:w="1264"/>
      </w:tblGrid>
      <w:tr w:rsidR="000A7D9D" w:rsidRPr="00A00723" w14:paraId="4275B191" w14:textId="77777777" w:rsidTr="00F31937">
        <w:tc>
          <w:tcPr>
            <w:tcW w:w="1696" w:type="dxa"/>
          </w:tcPr>
          <w:p w14:paraId="38482192" w14:textId="77777777" w:rsidR="000A7D9D" w:rsidRPr="00A00723" w:rsidRDefault="000A7D9D" w:rsidP="00F31937">
            <w:pPr>
              <w:pStyle w:val="BodyText"/>
              <w:rPr>
                <w:b/>
                <w:bCs/>
                <w:noProof/>
              </w:rPr>
            </w:pPr>
          </w:p>
        </w:tc>
        <w:tc>
          <w:tcPr>
            <w:tcW w:w="1076" w:type="dxa"/>
          </w:tcPr>
          <w:p w14:paraId="423CAA64" w14:textId="77777777" w:rsidR="000A7D9D" w:rsidRPr="00A00723" w:rsidRDefault="000A7D9D" w:rsidP="00F31937">
            <w:pPr>
              <w:pStyle w:val="BodyText"/>
              <w:rPr>
                <w:b/>
                <w:bCs/>
                <w:noProof/>
              </w:rPr>
            </w:pPr>
            <w:r w:rsidRPr="00A00723">
              <w:rPr>
                <w:b/>
                <w:bCs/>
                <w:noProof/>
              </w:rPr>
              <w:t>RAC</w:t>
            </w:r>
          </w:p>
        </w:tc>
        <w:tc>
          <w:tcPr>
            <w:tcW w:w="1338" w:type="dxa"/>
          </w:tcPr>
          <w:p w14:paraId="2C619BB1" w14:textId="77777777" w:rsidR="000A7D9D" w:rsidRPr="00A00723" w:rsidRDefault="000A7D9D" w:rsidP="00F31937">
            <w:pPr>
              <w:pStyle w:val="BodyText"/>
              <w:rPr>
                <w:b/>
                <w:bCs/>
                <w:noProof/>
              </w:rPr>
            </w:pPr>
          </w:p>
        </w:tc>
        <w:tc>
          <w:tcPr>
            <w:tcW w:w="1134" w:type="dxa"/>
          </w:tcPr>
          <w:p w14:paraId="379E9537" w14:textId="77777777" w:rsidR="000A7D9D" w:rsidRPr="00A00723" w:rsidRDefault="000A7D9D" w:rsidP="00F31937">
            <w:pPr>
              <w:pStyle w:val="BodyText"/>
              <w:rPr>
                <w:b/>
                <w:bCs/>
                <w:noProof/>
              </w:rPr>
            </w:pPr>
          </w:p>
        </w:tc>
        <w:tc>
          <w:tcPr>
            <w:tcW w:w="1134" w:type="dxa"/>
          </w:tcPr>
          <w:p w14:paraId="59CF367F" w14:textId="77777777" w:rsidR="000A7D9D" w:rsidRPr="00A00723" w:rsidRDefault="000A7D9D" w:rsidP="00F31937">
            <w:pPr>
              <w:pStyle w:val="BodyText"/>
              <w:rPr>
                <w:b/>
                <w:bCs/>
                <w:noProof/>
              </w:rPr>
            </w:pPr>
            <w:r w:rsidRPr="00A00723">
              <w:rPr>
                <w:b/>
                <w:bCs/>
                <w:noProof/>
              </w:rPr>
              <w:t>SEAC</w:t>
            </w:r>
          </w:p>
        </w:tc>
        <w:tc>
          <w:tcPr>
            <w:tcW w:w="1418" w:type="dxa"/>
          </w:tcPr>
          <w:p w14:paraId="7D6A85F7" w14:textId="77777777" w:rsidR="000A7D9D" w:rsidRPr="00A00723" w:rsidRDefault="000A7D9D" w:rsidP="00F31937">
            <w:pPr>
              <w:pStyle w:val="BodyText"/>
              <w:rPr>
                <w:b/>
                <w:bCs/>
                <w:noProof/>
              </w:rPr>
            </w:pPr>
          </w:p>
        </w:tc>
        <w:tc>
          <w:tcPr>
            <w:tcW w:w="1276" w:type="dxa"/>
          </w:tcPr>
          <w:p w14:paraId="7AA26125" w14:textId="77777777" w:rsidR="000A7D9D" w:rsidRPr="00A00723" w:rsidRDefault="000A7D9D" w:rsidP="00F31937">
            <w:pPr>
              <w:pStyle w:val="BodyText"/>
              <w:rPr>
                <w:b/>
                <w:bCs/>
                <w:noProof/>
              </w:rPr>
            </w:pPr>
          </w:p>
        </w:tc>
      </w:tr>
      <w:tr w:rsidR="000A7D9D" w:rsidRPr="00A00723" w14:paraId="53115F63" w14:textId="77777777" w:rsidTr="00F31937">
        <w:tc>
          <w:tcPr>
            <w:tcW w:w="1696" w:type="dxa"/>
          </w:tcPr>
          <w:p w14:paraId="3829DB85" w14:textId="77777777" w:rsidR="000A7D9D" w:rsidRPr="00A00723" w:rsidRDefault="000A7D9D" w:rsidP="00F31937">
            <w:pPr>
              <w:pStyle w:val="BodyText"/>
              <w:rPr>
                <w:b/>
                <w:bCs/>
                <w:noProof/>
              </w:rPr>
            </w:pPr>
          </w:p>
        </w:tc>
        <w:tc>
          <w:tcPr>
            <w:tcW w:w="1076" w:type="dxa"/>
          </w:tcPr>
          <w:p w14:paraId="38D760F9" w14:textId="77777777" w:rsidR="000A7D9D" w:rsidRPr="00A00723" w:rsidRDefault="000A7D9D" w:rsidP="00F31937">
            <w:pPr>
              <w:pStyle w:val="BodyText"/>
              <w:rPr>
                <w:b/>
                <w:bCs/>
                <w:noProof/>
              </w:rPr>
            </w:pPr>
            <w:r w:rsidRPr="00A00723">
              <w:rPr>
                <w:b/>
                <w:bCs/>
                <w:noProof/>
              </w:rPr>
              <w:t># of opinions per year</w:t>
            </w:r>
          </w:p>
        </w:tc>
        <w:tc>
          <w:tcPr>
            <w:tcW w:w="1338" w:type="dxa"/>
          </w:tcPr>
          <w:p w14:paraId="39AFFA43" w14:textId="77777777" w:rsidR="000A7D9D" w:rsidRPr="00A00723" w:rsidRDefault="000A7D9D" w:rsidP="00F31937">
            <w:pPr>
              <w:pStyle w:val="BodyText"/>
              <w:rPr>
                <w:b/>
                <w:bCs/>
                <w:noProof/>
              </w:rPr>
            </w:pPr>
            <w:r w:rsidRPr="00A00723">
              <w:rPr>
                <w:b/>
                <w:bCs/>
                <w:noProof/>
              </w:rPr>
              <w:t>rapporteur</w:t>
            </w:r>
          </w:p>
        </w:tc>
        <w:tc>
          <w:tcPr>
            <w:tcW w:w="1134" w:type="dxa"/>
          </w:tcPr>
          <w:p w14:paraId="2F20B2F5" w14:textId="77777777" w:rsidR="000A7D9D" w:rsidRPr="00A00723" w:rsidRDefault="000A7D9D" w:rsidP="00F31937">
            <w:pPr>
              <w:pStyle w:val="BodyText"/>
              <w:rPr>
                <w:b/>
                <w:bCs/>
                <w:noProof/>
              </w:rPr>
            </w:pPr>
            <w:r w:rsidRPr="00A00723">
              <w:rPr>
                <w:b/>
                <w:bCs/>
                <w:noProof/>
              </w:rPr>
              <w:t>Type of opinion</w:t>
            </w:r>
          </w:p>
        </w:tc>
        <w:tc>
          <w:tcPr>
            <w:tcW w:w="1134" w:type="dxa"/>
          </w:tcPr>
          <w:p w14:paraId="147E39F2" w14:textId="77777777" w:rsidR="000A7D9D" w:rsidRPr="00A00723" w:rsidRDefault="000A7D9D" w:rsidP="00F31937">
            <w:pPr>
              <w:pStyle w:val="BodyText"/>
              <w:rPr>
                <w:b/>
                <w:bCs/>
                <w:noProof/>
              </w:rPr>
            </w:pPr>
            <w:r w:rsidRPr="00A00723">
              <w:rPr>
                <w:b/>
                <w:bCs/>
                <w:noProof/>
              </w:rPr>
              <w:t># of opinions per year</w:t>
            </w:r>
          </w:p>
        </w:tc>
        <w:tc>
          <w:tcPr>
            <w:tcW w:w="1418" w:type="dxa"/>
          </w:tcPr>
          <w:p w14:paraId="4981C3B1" w14:textId="77777777" w:rsidR="000A7D9D" w:rsidRPr="00A00723" w:rsidRDefault="000A7D9D" w:rsidP="00F31937">
            <w:pPr>
              <w:pStyle w:val="BodyText"/>
              <w:rPr>
                <w:b/>
                <w:bCs/>
                <w:noProof/>
              </w:rPr>
            </w:pPr>
            <w:r w:rsidRPr="00A00723">
              <w:rPr>
                <w:b/>
                <w:bCs/>
                <w:noProof/>
              </w:rPr>
              <w:t>rapporteur</w:t>
            </w:r>
          </w:p>
        </w:tc>
        <w:tc>
          <w:tcPr>
            <w:tcW w:w="1276" w:type="dxa"/>
          </w:tcPr>
          <w:p w14:paraId="123D41C8" w14:textId="77777777" w:rsidR="000A7D9D" w:rsidRPr="00A00723" w:rsidRDefault="000A7D9D" w:rsidP="00F31937">
            <w:pPr>
              <w:pStyle w:val="BodyText"/>
              <w:rPr>
                <w:b/>
                <w:bCs/>
                <w:noProof/>
              </w:rPr>
            </w:pPr>
            <w:r w:rsidRPr="00A00723">
              <w:rPr>
                <w:b/>
                <w:bCs/>
                <w:noProof/>
              </w:rPr>
              <w:t>Type of opinion</w:t>
            </w:r>
          </w:p>
        </w:tc>
      </w:tr>
      <w:tr w:rsidR="000A7D9D" w:rsidRPr="00A00723" w14:paraId="16D7E422" w14:textId="77777777" w:rsidTr="00F31937">
        <w:tc>
          <w:tcPr>
            <w:tcW w:w="1696" w:type="dxa"/>
          </w:tcPr>
          <w:p w14:paraId="5C85289D" w14:textId="77777777" w:rsidR="000A7D9D" w:rsidRPr="00A00723" w:rsidRDefault="000A7D9D" w:rsidP="00F31937">
            <w:pPr>
              <w:pStyle w:val="BodyText"/>
              <w:rPr>
                <w:noProof/>
              </w:rPr>
            </w:pPr>
            <w:r w:rsidRPr="00A00723">
              <w:rPr>
                <w:noProof/>
              </w:rPr>
              <w:t>Assessments under Tasks 1,2,3 or 4</w:t>
            </w:r>
          </w:p>
        </w:tc>
        <w:tc>
          <w:tcPr>
            <w:tcW w:w="1076" w:type="dxa"/>
          </w:tcPr>
          <w:p w14:paraId="7B73EC18" w14:textId="77777777" w:rsidR="000A7D9D" w:rsidRPr="00A00723" w:rsidRDefault="000A7D9D" w:rsidP="00F31937">
            <w:pPr>
              <w:pStyle w:val="BodyText"/>
              <w:rPr>
                <w:noProof/>
              </w:rPr>
            </w:pPr>
            <w:r w:rsidRPr="00A00723">
              <w:rPr>
                <w:noProof/>
              </w:rPr>
              <w:t>4</w:t>
            </w:r>
            <w:r>
              <w:rPr>
                <w:noProof/>
              </w:rPr>
              <w:t>.</w:t>
            </w:r>
            <w:r w:rsidRPr="00A00723">
              <w:rPr>
                <w:noProof/>
              </w:rPr>
              <w:t>2</w:t>
            </w:r>
          </w:p>
        </w:tc>
        <w:tc>
          <w:tcPr>
            <w:tcW w:w="1338" w:type="dxa"/>
          </w:tcPr>
          <w:p w14:paraId="2935457D" w14:textId="77777777" w:rsidR="000A7D9D" w:rsidRPr="00A00723" w:rsidRDefault="000A7D9D" w:rsidP="00F31937">
            <w:pPr>
              <w:pStyle w:val="BodyText"/>
              <w:rPr>
                <w:noProof/>
              </w:rPr>
            </w:pPr>
            <w:r w:rsidRPr="00A00723">
              <w:rPr>
                <w:noProof/>
              </w:rPr>
              <w:t>RAC member</w:t>
            </w:r>
          </w:p>
        </w:tc>
        <w:tc>
          <w:tcPr>
            <w:tcW w:w="1134" w:type="dxa"/>
          </w:tcPr>
          <w:p w14:paraId="7BB78E1E" w14:textId="77777777" w:rsidR="000A7D9D" w:rsidRPr="00A00723" w:rsidRDefault="000A7D9D" w:rsidP="00F31937">
            <w:pPr>
              <w:pStyle w:val="BodyText"/>
              <w:rPr>
                <w:noProof/>
              </w:rPr>
            </w:pPr>
          </w:p>
        </w:tc>
        <w:tc>
          <w:tcPr>
            <w:tcW w:w="1134" w:type="dxa"/>
          </w:tcPr>
          <w:p w14:paraId="4BD42090" w14:textId="77777777" w:rsidR="000A7D9D" w:rsidRPr="00A00723" w:rsidRDefault="000A7D9D" w:rsidP="00F31937">
            <w:pPr>
              <w:pStyle w:val="BodyText"/>
              <w:rPr>
                <w:noProof/>
              </w:rPr>
            </w:pPr>
            <w:r w:rsidRPr="00A00723">
              <w:rPr>
                <w:noProof/>
              </w:rPr>
              <w:t>4</w:t>
            </w:r>
            <w:r>
              <w:rPr>
                <w:noProof/>
              </w:rPr>
              <w:t>.</w:t>
            </w:r>
            <w:r w:rsidRPr="00A00723">
              <w:rPr>
                <w:noProof/>
              </w:rPr>
              <w:t>2</w:t>
            </w:r>
          </w:p>
        </w:tc>
        <w:tc>
          <w:tcPr>
            <w:tcW w:w="1418" w:type="dxa"/>
          </w:tcPr>
          <w:p w14:paraId="23F22455" w14:textId="77777777" w:rsidR="000A7D9D" w:rsidRPr="00A00723" w:rsidRDefault="000A7D9D" w:rsidP="00F31937">
            <w:pPr>
              <w:pStyle w:val="BodyText"/>
              <w:rPr>
                <w:noProof/>
              </w:rPr>
            </w:pPr>
            <w:r w:rsidRPr="00A00723">
              <w:rPr>
                <w:noProof/>
              </w:rPr>
              <w:t>SEAC member</w:t>
            </w:r>
          </w:p>
        </w:tc>
        <w:tc>
          <w:tcPr>
            <w:tcW w:w="1276" w:type="dxa"/>
          </w:tcPr>
          <w:p w14:paraId="1B689990" w14:textId="77777777" w:rsidR="000A7D9D" w:rsidRPr="00A00723" w:rsidRDefault="000A7D9D" w:rsidP="00F31937">
            <w:pPr>
              <w:pStyle w:val="BodyText"/>
              <w:rPr>
                <w:noProof/>
              </w:rPr>
            </w:pPr>
          </w:p>
        </w:tc>
      </w:tr>
    </w:tbl>
    <w:p w14:paraId="7357B661" w14:textId="77777777" w:rsidR="000A7D9D" w:rsidRPr="00A00723" w:rsidRDefault="000A7D9D" w:rsidP="000A7D9D">
      <w:pPr>
        <w:pStyle w:val="BodyText"/>
        <w:widowControl w:val="0"/>
        <w:numPr>
          <w:ilvl w:val="0"/>
          <w:numId w:val="88"/>
        </w:numPr>
        <w:spacing w:before="120"/>
        <w:rPr>
          <w:b/>
          <w:bCs/>
          <w:noProof/>
        </w:rPr>
      </w:pPr>
      <w:r w:rsidRPr="00A00723">
        <w:rPr>
          <w:noProof/>
        </w:rPr>
        <w:t>ECHA data model and IT infrastructure:</w:t>
      </w:r>
      <w:r w:rsidRPr="00A00723">
        <w:rPr>
          <w:b/>
          <w:bCs/>
          <w:noProof/>
        </w:rPr>
        <w:t xml:space="preserve"> low impact</w:t>
      </w:r>
      <w:r w:rsidRPr="00A00723">
        <w:rPr>
          <w:noProof/>
        </w:rPr>
        <w:t>. The task can be implemented with adjustments / configuration of existing data structures and IT systems</w:t>
      </w:r>
    </w:p>
    <w:p w14:paraId="06FC92C4" w14:textId="77777777" w:rsidR="000A7D9D" w:rsidRPr="00A00723" w:rsidRDefault="000A7D9D" w:rsidP="000A7D9D">
      <w:pPr>
        <w:pStyle w:val="BodyText"/>
        <w:widowControl w:val="0"/>
        <w:numPr>
          <w:ilvl w:val="0"/>
          <w:numId w:val="88"/>
        </w:numPr>
        <w:rPr>
          <w:b/>
          <w:bCs/>
          <w:noProof/>
        </w:rPr>
      </w:pPr>
      <w:r w:rsidRPr="00A00723">
        <w:rPr>
          <w:noProof/>
        </w:rPr>
        <w:t>ECHA key experts:</w:t>
      </w:r>
      <w:r w:rsidRPr="00A00723">
        <w:rPr>
          <w:b/>
          <w:bCs/>
          <w:noProof/>
        </w:rPr>
        <w:t xml:space="preserve"> high impact</w:t>
      </w:r>
      <w:r w:rsidRPr="00A00723">
        <w:rPr>
          <w:noProof/>
        </w:rPr>
        <w:t>. The task heavily relies on expert competencies, which are limited within ECHA and also critical to REACH/CLP/BPR regulatory tasks</w:t>
      </w:r>
    </w:p>
    <w:p w14:paraId="22970F7E" w14:textId="77777777" w:rsidR="000A7D9D" w:rsidRPr="00A00723" w:rsidRDefault="000A7D9D" w:rsidP="000A7D9D">
      <w:pPr>
        <w:pStyle w:val="BodyText"/>
        <w:rPr>
          <w:b/>
          <w:bCs/>
          <w:noProof/>
        </w:rPr>
      </w:pPr>
      <w:r w:rsidRPr="00A00723">
        <w:rPr>
          <w:b/>
          <w:bCs/>
          <w:noProof/>
        </w:rPr>
        <w:t>Projected workload and resource implications:</w:t>
      </w:r>
      <w:r w:rsidRPr="00A00723">
        <w:rPr>
          <w:noProof/>
        </w:rPr>
        <w:t xml:space="preserve"> </w:t>
      </w:r>
    </w:p>
    <w:p w14:paraId="183A27A6" w14:textId="77777777" w:rsidR="000A7D9D" w:rsidRPr="00A00723" w:rsidRDefault="000A7D9D" w:rsidP="000A7D9D">
      <w:pPr>
        <w:spacing w:after="120"/>
        <w:rPr>
          <w:rFonts w:ascii="Times New Roman" w:eastAsiaTheme="minorEastAsia" w:hAnsi="Times New Roman" w:cs="Times New Roman"/>
          <w:noProof/>
          <w:color w:val="000000" w:themeColor="text1"/>
          <w:sz w:val="24"/>
          <w:szCs w:val="24"/>
        </w:rPr>
      </w:pPr>
      <w:r w:rsidRPr="00A00723">
        <w:rPr>
          <w:rFonts w:ascii="Times New Roman" w:eastAsiaTheme="minorEastAsia" w:hAnsi="Times New Roman" w:cs="Times New Roman"/>
          <w:noProof/>
          <w:color w:val="000000" w:themeColor="text1"/>
          <w:sz w:val="24"/>
          <w:szCs w:val="24"/>
          <w:u w:val="single"/>
        </w:rPr>
        <w:t>Current workload and resource use:</w:t>
      </w:r>
      <w:r w:rsidRPr="00A00723">
        <w:rPr>
          <w:rFonts w:ascii="Times New Roman" w:eastAsiaTheme="minorEastAsia" w:hAnsi="Times New Roman" w:cs="Times New Roman"/>
          <w:noProof/>
          <w:color w:val="000000" w:themeColor="text1"/>
          <w:sz w:val="24"/>
          <w:szCs w:val="24"/>
        </w:rPr>
        <w:t xml:space="preserve"> </w:t>
      </w:r>
    </w:p>
    <w:p w14:paraId="0A0FBABD" w14:textId="77777777" w:rsidR="000A7D9D" w:rsidRPr="00A00723" w:rsidRDefault="000A7D9D" w:rsidP="000A7D9D">
      <w:pPr>
        <w:spacing w:after="120"/>
        <w:jc w:val="both"/>
        <w:rPr>
          <w:rFonts w:ascii="Times New Roman" w:eastAsiaTheme="minorEastAsia" w:hAnsi="Times New Roman" w:cs="Times New Roman"/>
          <w:noProof/>
          <w:color w:val="000000" w:themeColor="text1"/>
          <w:sz w:val="24"/>
          <w:szCs w:val="24"/>
        </w:rPr>
      </w:pPr>
      <w:r w:rsidRPr="00A00723">
        <w:rPr>
          <w:rFonts w:ascii="Times New Roman" w:eastAsiaTheme="minorEastAsia" w:hAnsi="Times New Roman" w:cs="Times New Roman"/>
          <w:noProof/>
          <w:color w:val="000000" w:themeColor="text1"/>
          <w:sz w:val="24"/>
          <w:szCs w:val="24"/>
        </w:rPr>
        <w:t xml:space="preserve">In 12 years (2010-2021), there were 10 opinions requested from SCHEER (and before from SCHER and SCENIHR). These opinions were about 17 substances and dealt with setting or reviewing limit values (3 opinions for 13 substances), 2 generic assessments and 2 derogations requests: </w:t>
      </w:r>
    </w:p>
    <w:p w14:paraId="187B9750" w14:textId="77777777" w:rsidR="000A7D9D" w:rsidRPr="00A00723" w:rsidRDefault="000A7D9D" w:rsidP="000A7D9D">
      <w:pPr>
        <w:pStyle w:val="ListParagraph"/>
        <w:widowControl w:val="0"/>
        <w:numPr>
          <w:ilvl w:val="0"/>
          <w:numId w:val="61"/>
        </w:numPr>
        <w:spacing w:after="240"/>
        <w:rPr>
          <w:rFonts w:eastAsiaTheme="minorEastAsia"/>
          <w:noProof/>
          <w:color w:val="000000" w:themeColor="text1"/>
        </w:rPr>
      </w:pPr>
      <w:r w:rsidRPr="00A00723">
        <w:rPr>
          <w:rFonts w:eastAsiaTheme="minorEastAsia"/>
          <w:noProof/>
          <w:color w:val="000000" w:themeColor="text1"/>
        </w:rPr>
        <w:t>2021: limit values for 8 substances in squishy toys</w:t>
      </w:r>
    </w:p>
    <w:p w14:paraId="5868A9CF" w14:textId="77777777" w:rsidR="000A7D9D" w:rsidRPr="00A00723" w:rsidRDefault="000A7D9D" w:rsidP="000A7D9D">
      <w:pPr>
        <w:pStyle w:val="ListParagraph"/>
        <w:widowControl w:val="0"/>
        <w:numPr>
          <w:ilvl w:val="0"/>
          <w:numId w:val="61"/>
        </w:numPr>
        <w:spacing w:after="240"/>
        <w:rPr>
          <w:rFonts w:eastAsiaTheme="minorEastAsia"/>
          <w:noProof/>
          <w:color w:val="000000" w:themeColor="text1"/>
        </w:rPr>
      </w:pPr>
      <w:r w:rsidRPr="00A00723">
        <w:rPr>
          <w:rFonts w:eastAsiaTheme="minorEastAsia"/>
          <w:noProof/>
          <w:color w:val="000000" w:themeColor="text1"/>
        </w:rPr>
        <w:t>2017: limit value for 1 substance</w:t>
      </w:r>
    </w:p>
    <w:p w14:paraId="42474A8F" w14:textId="77777777" w:rsidR="000A7D9D" w:rsidRPr="00A00723" w:rsidRDefault="000A7D9D" w:rsidP="000A7D9D">
      <w:pPr>
        <w:pStyle w:val="ListParagraph"/>
        <w:widowControl w:val="0"/>
        <w:numPr>
          <w:ilvl w:val="0"/>
          <w:numId w:val="61"/>
        </w:numPr>
        <w:spacing w:after="240"/>
        <w:rPr>
          <w:rFonts w:eastAsiaTheme="minorEastAsia"/>
          <w:noProof/>
          <w:color w:val="000000" w:themeColor="text1"/>
        </w:rPr>
      </w:pPr>
      <w:r w:rsidRPr="00A00723">
        <w:rPr>
          <w:rFonts w:eastAsiaTheme="minorEastAsia"/>
          <w:noProof/>
          <w:color w:val="000000" w:themeColor="text1"/>
        </w:rPr>
        <w:t>2016: 1 generic opinion</w:t>
      </w:r>
    </w:p>
    <w:p w14:paraId="44041A0E" w14:textId="77777777" w:rsidR="000A7D9D" w:rsidRPr="00A00723" w:rsidRDefault="000A7D9D" w:rsidP="000A7D9D">
      <w:pPr>
        <w:pStyle w:val="ListParagraph"/>
        <w:widowControl w:val="0"/>
        <w:numPr>
          <w:ilvl w:val="0"/>
          <w:numId w:val="61"/>
        </w:numPr>
        <w:spacing w:after="240"/>
        <w:rPr>
          <w:rFonts w:eastAsiaTheme="minorEastAsia"/>
          <w:noProof/>
          <w:color w:val="000000" w:themeColor="text1"/>
        </w:rPr>
      </w:pPr>
      <w:r w:rsidRPr="00A00723">
        <w:rPr>
          <w:rFonts w:eastAsiaTheme="minorEastAsia"/>
          <w:noProof/>
          <w:color w:val="000000" w:themeColor="text1"/>
        </w:rPr>
        <w:t>2015: limit value for 1 substance</w:t>
      </w:r>
    </w:p>
    <w:p w14:paraId="6C685736" w14:textId="77777777" w:rsidR="000A7D9D" w:rsidRPr="00A00723" w:rsidRDefault="000A7D9D" w:rsidP="000A7D9D">
      <w:pPr>
        <w:pStyle w:val="ListParagraph"/>
        <w:widowControl w:val="0"/>
        <w:numPr>
          <w:ilvl w:val="0"/>
          <w:numId w:val="61"/>
        </w:numPr>
        <w:spacing w:after="240"/>
        <w:rPr>
          <w:rFonts w:eastAsiaTheme="minorEastAsia"/>
          <w:noProof/>
          <w:color w:val="000000" w:themeColor="text1"/>
        </w:rPr>
      </w:pPr>
      <w:r w:rsidRPr="00A00723">
        <w:rPr>
          <w:rFonts w:eastAsiaTheme="minorEastAsia"/>
          <w:noProof/>
          <w:color w:val="000000" w:themeColor="text1"/>
        </w:rPr>
        <w:t>2012: 3 opinions (including 2 limit values and 1 derogation)</w:t>
      </w:r>
    </w:p>
    <w:p w14:paraId="79E6A16F" w14:textId="77777777" w:rsidR="000A7D9D" w:rsidRPr="00A00723" w:rsidRDefault="000A7D9D" w:rsidP="000A7D9D">
      <w:pPr>
        <w:pStyle w:val="ListParagraph"/>
        <w:widowControl w:val="0"/>
        <w:numPr>
          <w:ilvl w:val="0"/>
          <w:numId w:val="61"/>
        </w:numPr>
        <w:spacing w:after="120"/>
        <w:rPr>
          <w:rFonts w:eastAsiaTheme="minorEastAsia"/>
          <w:noProof/>
          <w:color w:val="000000" w:themeColor="text1"/>
        </w:rPr>
      </w:pPr>
      <w:r w:rsidRPr="00A00723">
        <w:rPr>
          <w:rFonts w:eastAsiaTheme="minorEastAsia"/>
          <w:noProof/>
          <w:color w:val="000000" w:themeColor="text1"/>
        </w:rPr>
        <w:t>2010: 3 opinions (including 1 limit value and 1 derogation request)</w:t>
      </w:r>
    </w:p>
    <w:p w14:paraId="1FCC120B" w14:textId="77777777" w:rsidR="000A7D9D" w:rsidRPr="00A00723" w:rsidRDefault="000A7D9D" w:rsidP="000A7D9D">
      <w:pPr>
        <w:spacing w:before="120" w:after="120"/>
        <w:jc w:val="both"/>
        <w:rPr>
          <w:rFonts w:ascii="Times New Roman" w:hAnsi="Times New Roman" w:cs="Times New Roman"/>
          <w:noProof/>
          <w:color w:val="000000" w:themeColor="text1"/>
          <w:sz w:val="24"/>
          <w:szCs w:val="24"/>
        </w:rPr>
      </w:pPr>
      <w:r w:rsidRPr="00A00723">
        <w:rPr>
          <w:rFonts w:ascii="Times New Roman" w:hAnsi="Times New Roman" w:cs="Times New Roman"/>
          <w:noProof/>
          <w:color w:val="000000" w:themeColor="text1"/>
          <w:sz w:val="24"/>
          <w:szCs w:val="24"/>
        </w:rPr>
        <w:t>The secretariat of the scientific committees hosted by DG SANTE employs 4 FTE of DG SANTE and 2 additional FTEs of external interim staff (for technical and administrative support like literature search, editing and proofreading of opinions, website mastering, assistance for the Health-EU newsletter, dissemination activities). The staff of 6 FTEs is equally split over two committees, which means that 3 FTEs are used to support work of SCHEER. The workload of SCHEER dedicated to support of toys safety directive amounts to 10% of its time, which makes 0</w:t>
      </w:r>
      <w:r>
        <w:rPr>
          <w:rFonts w:ascii="Times New Roman" w:hAnsi="Times New Roman" w:cs="Times New Roman"/>
          <w:noProof/>
          <w:color w:val="000000" w:themeColor="text1"/>
          <w:sz w:val="24"/>
          <w:szCs w:val="24"/>
        </w:rPr>
        <w:t>.</w:t>
      </w:r>
      <w:r w:rsidRPr="00A00723">
        <w:rPr>
          <w:rFonts w:ascii="Times New Roman" w:hAnsi="Times New Roman" w:cs="Times New Roman"/>
          <w:noProof/>
          <w:color w:val="000000" w:themeColor="text1"/>
          <w:sz w:val="24"/>
          <w:szCs w:val="24"/>
        </w:rPr>
        <w:t xml:space="preserve">3 FTE. </w:t>
      </w:r>
    </w:p>
    <w:p w14:paraId="72DCE711" w14:textId="77777777" w:rsidR="000A7D9D" w:rsidRPr="00A00723" w:rsidRDefault="000A7D9D" w:rsidP="000A7D9D">
      <w:pPr>
        <w:pStyle w:val="BodyText"/>
        <w:jc w:val="both"/>
        <w:rPr>
          <w:noProof/>
          <w:lang w:val="en-US"/>
        </w:rPr>
      </w:pPr>
      <w:r w:rsidRPr="00A00723">
        <w:rPr>
          <w:noProof/>
          <w:lang w:val="en-US"/>
        </w:rPr>
        <w:t xml:space="preserve">The operational costs for two committees (that includes special indemnities, accommodation, daily allowances, travel costs, reimbursement for rapporteurship, etc) operated by the Commission were </w:t>
      </w:r>
      <w:r>
        <w:rPr>
          <w:noProof/>
          <w:lang w:val="en-US"/>
        </w:rPr>
        <w:t xml:space="preserve">EUR </w:t>
      </w:r>
      <w:r w:rsidRPr="00A00723">
        <w:rPr>
          <w:noProof/>
          <w:lang w:val="en-US"/>
        </w:rPr>
        <w:t>2</w:t>
      </w:r>
      <w:r>
        <w:rPr>
          <w:noProof/>
          <w:lang w:val="en-US"/>
        </w:rPr>
        <w:t xml:space="preserve"> </w:t>
      </w:r>
      <w:r w:rsidRPr="00A00723">
        <w:rPr>
          <w:noProof/>
          <w:lang w:val="en-US"/>
        </w:rPr>
        <w:t>883</w:t>
      </w:r>
      <w:r>
        <w:rPr>
          <w:noProof/>
          <w:lang w:val="en-US"/>
        </w:rPr>
        <w:t xml:space="preserve"> </w:t>
      </w:r>
      <w:r w:rsidRPr="00A00723">
        <w:rPr>
          <w:noProof/>
          <w:lang w:val="en-US"/>
        </w:rPr>
        <w:t xml:space="preserve">030 for 6 years (2016-2021), which makes it approximately </w:t>
      </w:r>
      <w:r>
        <w:rPr>
          <w:noProof/>
          <w:lang w:val="en-US"/>
        </w:rPr>
        <w:t xml:space="preserve">EUR </w:t>
      </w:r>
      <w:r w:rsidRPr="00A00723">
        <w:rPr>
          <w:noProof/>
          <w:lang w:val="en-US"/>
        </w:rPr>
        <w:t>240</w:t>
      </w:r>
      <w:r>
        <w:rPr>
          <w:noProof/>
          <w:lang w:val="en-US"/>
        </w:rPr>
        <w:t xml:space="preserve"> </w:t>
      </w:r>
      <w:r w:rsidRPr="00A00723">
        <w:rPr>
          <w:noProof/>
          <w:lang w:val="en-US"/>
        </w:rPr>
        <w:t xml:space="preserve">000 per year per committee. It must be noted that the operational costs in 2019 were </w:t>
      </w:r>
      <w:r>
        <w:rPr>
          <w:noProof/>
          <w:lang w:val="en-US"/>
        </w:rPr>
        <w:t xml:space="preserve">EUR </w:t>
      </w:r>
      <w:r w:rsidRPr="00A00723">
        <w:rPr>
          <w:noProof/>
          <w:lang w:val="en-US"/>
        </w:rPr>
        <w:t>340</w:t>
      </w:r>
      <w:r>
        <w:rPr>
          <w:noProof/>
          <w:lang w:val="en-US"/>
        </w:rPr>
        <w:t xml:space="preserve"> </w:t>
      </w:r>
      <w:r w:rsidRPr="00A00723">
        <w:rPr>
          <w:noProof/>
          <w:lang w:val="en-US"/>
        </w:rPr>
        <w:t xml:space="preserve">000, which then went down because of the pandemic measures. The workload of SCHEER dedicated to support of toys safety directive amounts to 10% of its time, which corresponds to operational costs of </w:t>
      </w:r>
      <w:r>
        <w:rPr>
          <w:noProof/>
          <w:lang w:val="en-US"/>
        </w:rPr>
        <w:t xml:space="preserve">EUR </w:t>
      </w:r>
      <w:r w:rsidRPr="00A00723">
        <w:rPr>
          <w:noProof/>
          <w:lang w:val="en-US"/>
        </w:rPr>
        <w:t>24</w:t>
      </w:r>
      <w:r>
        <w:rPr>
          <w:noProof/>
          <w:lang w:val="en-US"/>
        </w:rPr>
        <w:t xml:space="preserve"> </w:t>
      </w:r>
      <w:r w:rsidRPr="00A00723">
        <w:rPr>
          <w:noProof/>
          <w:lang w:val="en-US"/>
        </w:rPr>
        <w:t xml:space="preserve">000 (or at higher level of 2019 to </w:t>
      </w:r>
      <w:r>
        <w:rPr>
          <w:noProof/>
          <w:lang w:val="en-US"/>
        </w:rPr>
        <w:t xml:space="preserve">EUR </w:t>
      </w:r>
      <w:r w:rsidRPr="00A00723">
        <w:rPr>
          <w:noProof/>
          <w:lang w:val="en-US"/>
        </w:rPr>
        <w:t>34</w:t>
      </w:r>
      <w:r>
        <w:rPr>
          <w:noProof/>
          <w:lang w:val="en-US"/>
        </w:rPr>
        <w:t xml:space="preserve"> </w:t>
      </w:r>
      <w:r w:rsidRPr="00A00723">
        <w:rPr>
          <w:noProof/>
          <w:lang w:val="en-US"/>
        </w:rPr>
        <w:t xml:space="preserve">000). </w:t>
      </w:r>
    </w:p>
    <w:p w14:paraId="1F99646C" w14:textId="77777777" w:rsidR="000A7D9D" w:rsidRPr="00A00723" w:rsidRDefault="000A7D9D" w:rsidP="000A7D9D">
      <w:pPr>
        <w:spacing w:after="120"/>
        <w:contextualSpacing/>
        <w:jc w:val="both"/>
        <w:rPr>
          <w:rFonts w:ascii="Times New Roman" w:hAnsi="Times New Roman" w:cs="Times New Roman"/>
          <w:noProof/>
          <w:sz w:val="24"/>
          <w:szCs w:val="24"/>
          <w:lang w:val="en-US"/>
        </w:rPr>
      </w:pPr>
      <w:r w:rsidRPr="00A00723">
        <w:rPr>
          <w:rFonts w:ascii="Times New Roman" w:hAnsi="Times New Roman" w:cs="Times New Roman"/>
          <w:noProof/>
          <w:sz w:val="24"/>
          <w:szCs w:val="24"/>
          <w:lang w:val="en-US"/>
        </w:rPr>
        <w:t xml:space="preserve">The resource use can be summarized as follows: </w:t>
      </w:r>
    </w:p>
    <w:tbl>
      <w:tblPr>
        <w:tblStyle w:val="TableGrid9"/>
        <w:tblW w:w="0" w:type="auto"/>
        <w:tblLook w:val="04A0" w:firstRow="1" w:lastRow="0" w:firstColumn="1" w:lastColumn="0" w:noHBand="0" w:noVBand="1"/>
      </w:tblPr>
      <w:tblGrid>
        <w:gridCol w:w="4807"/>
        <w:gridCol w:w="4822"/>
      </w:tblGrid>
      <w:tr w:rsidR="000A7D9D" w:rsidRPr="00A00723" w14:paraId="6484E8F9" w14:textId="77777777" w:rsidTr="00F31937">
        <w:trPr>
          <w:trHeight w:val="300"/>
        </w:trPr>
        <w:tc>
          <w:tcPr>
            <w:tcW w:w="4807" w:type="dxa"/>
          </w:tcPr>
          <w:p w14:paraId="5AAE56C7" w14:textId="77777777" w:rsidR="000A7D9D" w:rsidRPr="00A00723" w:rsidRDefault="000A7D9D" w:rsidP="00F31937">
            <w:pPr>
              <w:spacing w:after="240"/>
              <w:rPr>
                <w:rFonts w:ascii="Times New Roman" w:hAnsi="Times New Roman"/>
                <w:noProof/>
                <w:sz w:val="24"/>
                <w:szCs w:val="24"/>
              </w:rPr>
            </w:pPr>
            <w:r w:rsidRPr="00A00723">
              <w:rPr>
                <w:rFonts w:ascii="Times New Roman" w:hAnsi="Times New Roman"/>
                <w:noProof/>
                <w:sz w:val="24"/>
                <w:szCs w:val="24"/>
              </w:rPr>
              <w:t>DG GROW</w:t>
            </w:r>
          </w:p>
        </w:tc>
        <w:tc>
          <w:tcPr>
            <w:tcW w:w="4822" w:type="dxa"/>
          </w:tcPr>
          <w:p w14:paraId="6D43FE6F" w14:textId="77777777" w:rsidR="000A7D9D" w:rsidRPr="00A00723" w:rsidRDefault="000A7D9D" w:rsidP="00F31937">
            <w:pPr>
              <w:spacing w:after="240"/>
              <w:rPr>
                <w:rFonts w:ascii="Times New Roman" w:hAnsi="Times New Roman"/>
                <w:noProof/>
                <w:sz w:val="24"/>
                <w:szCs w:val="24"/>
              </w:rPr>
            </w:pPr>
            <w:r w:rsidRPr="00A00723">
              <w:rPr>
                <w:rFonts w:ascii="Times New Roman" w:hAnsi="Times New Roman"/>
                <w:noProof/>
                <w:sz w:val="24"/>
                <w:szCs w:val="24"/>
              </w:rPr>
              <w:t>Ca. 1 FTE (dedicated to the work on hazardous substances)</w:t>
            </w:r>
          </w:p>
        </w:tc>
      </w:tr>
      <w:tr w:rsidR="000A7D9D" w:rsidRPr="00A00723" w14:paraId="1FC48959" w14:textId="77777777" w:rsidTr="00F31937">
        <w:trPr>
          <w:trHeight w:val="300"/>
        </w:trPr>
        <w:tc>
          <w:tcPr>
            <w:tcW w:w="4807" w:type="dxa"/>
          </w:tcPr>
          <w:p w14:paraId="59EA9403" w14:textId="77777777" w:rsidR="000A7D9D" w:rsidRPr="00A00723" w:rsidRDefault="000A7D9D" w:rsidP="00F31937">
            <w:pPr>
              <w:spacing w:after="240"/>
              <w:rPr>
                <w:rFonts w:ascii="Times New Roman" w:hAnsi="Times New Roman"/>
                <w:noProof/>
                <w:sz w:val="24"/>
                <w:szCs w:val="24"/>
              </w:rPr>
            </w:pPr>
            <w:r w:rsidRPr="00A00723">
              <w:rPr>
                <w:rFonts w:ascii="Times New Roman" w:hAnsi="Times New Roman"/>
                <w:noProof/>
                <w:sz w:val="24"/>
                <w:szCs w:val="24"/>
              </w:rPr>
              <w:t>DG SANTE SCHEER secretariat</w:t>
            </w:r>
          </w:p>
        </w:tc>
        <w:tc>
          <w:tcPr>
            <w:tcW w:w="4822" w:type="dxa"/>
          </w:tcPr>
          <w:p w14:paraId="173D2516" w14:textId="77777777" w:rsidR="000A7D9D" w:rsidRPr="00A00723" w:rsidRDefault="000A7D9D" w:rsidP="00F31937">
            <w:pPr>
              <w:spacing w:after="240"/>
              <w:rPr>
                <w:rFonts w:ascii="Times New Roman" w:hAnsi="Times New Roman"/>
                <w:noProof/>
                <w:sz w:val="24"/>
                <w:szCs w:val="24"/>
              </w:rPr>
            </w:pPr>
            <w:r w:rsidRPr="00A00723">
              <w:rPr>
                <w:rFonts w:ascii="Times New Roman" w:hAnsi="Times New Roman"/>
                <w:noProof/>
                <w:sz w:val="24"/>
                <w:szCs w:val="24"/>
              </w:rPr>
              <w:t>Ca. 0</w:t>
            </w:r>
            <w:r>
              <w:rPr>
                <w:rFonts w:ascii="Times New Roman" w:hAnsi="Times New Roman"/>
                <w:noProof/>
                <w:sz w:val="24"/>
                <w:szCs w:val="24"/>
              </w:rPr>
              <w:t>.</w:t>
            </w:r>
            <w:r w:rsidRPr="00A00723">
              <w:rPr>
                <w:rFonts w:ascii="Times New Roman" w:hAnsi="Times New Roman"/>
                <w:noProof/>
                <w:sz w:val="24"/>
                <w:szCs w:val="24"/>
              </w:rPr>
              <w:t>3 FTE (10% of workload of SCHEER secretariat)</w:t>
            </w:r>
          </w:p>
        </w:tc>
      </w:tr>
      <w:tr w:rsidR="000A7D9D" w:rsidRPr="00A00723" w14:paraId="3C8BB72C" w14:textId="77777777" w:rsidTr="00F31937">
        <w:trPr>
          <w:trHeight w:val="300"/>
        </w:trPr>
        <w:tc>
          <w:tcPr>
            <w:tcW w:w="4807" w:type="dxa"/>
          </w:tcPr>
          <w:p w14:paraId="51D5D254" w14:textId="77777777" w:rsidR="000A7D9D" w:rsidRPr="00A00723" w:rsidRDefault="000A7D9D" w:rsidP="00F31937">
            <w:pPr>
              <w:spacing w:after="240"/>
              <w:rPr>
                <w:rFonts w:ascii="Times New Roman" w:hAnsi="Times New Roman"/>
                <w:noProof/>
                <w:sz w:val="24"/>
                <w:szCs w:val="24"/>
              </w:rPr>
            </w:pPr>
            <w:r w:rsidRPr="00A00723">
              <w:rPr>
                <w:rFonts w:ascii="Times New Roman" w:hAnsi="Times New Roman"/>
                <w:noProof/>
                <w:sz w:val="24"/>
                <w:szCs w:val="24"/>
              </w:rPr>
              <w:t>SCHEER committee</w:t>
            </w:r>
          </w:p>
        </w:tc>
        <w:tc>
          <w:tcPr>
            <w:tcW w:w="4822" w:type="dxa"/>
          </w:tcPr>
          <w:p w14:paraId="12F2C6CC" w14:textId="77777777" w:rsidR="000A7D9D" w:rsidRPr="00A00723" w:rsidRDefault="000A7D9D" w:rsidP="00F31937">
            <w:pPr>
              <w:spacing w:after="240"/>
              <w:rPr>
                <w:rFonts w:ascii="Times New Roman" w:hAnsi="Times New Roman"/>
                <w:noProof/>
                <w:sz w:val="24"/>
                <w:szCs w:val="24"/>
              </w:rPr>
            </w:pPr>
            <w:r w:rsidRPr="00A00723">
              <w:rPr>
                <w:rFonts w:ascii="Times New Roman" w:hAnsi="Times New Roman"/>
                <w:noProof/>
                <w:sz w:val="24"/>
                <w:szCs w:val="24"/>
              </w:rPr>
              <w:t>10% of membership capacity</w:t>
            </w:r>
          </w:p>
          <w:p w14:paraId="06C13144" w14:textId="77777777" w:rsidR="000A7D9D" w:rsidRPr="00A00723" w:rsidRDefault="000A7D9D" w:rsidP="00F31937">
            <w:pPr>
              <w:spacing w:after="240"/>
              <w:rPr>
                <w:rFonts w:ascii="Times New Roman" w:hAnsi="Times New Roman"/>
                <w:noProof/>
                <w:sz w:val="24"/>
                <w:szCs w:val="24"/>
              </w:rPr>
            </w:pPr>
            <w:r w:rsidRPr="00A00723">
              <w:rPr>
                <w:rFonts w:ascii="Times New Roman" w:hAnsi="Times New Roman"/>
                <w:noProof/>
                <w:sz w:val="24"/>
                <w:szCs w:val="24"/>
              </w:rPr>
              <w:t xml:space="preserve">Operation costs </w:t>
            </w:r>
            <w:r>
              <w:rPr>
                <w:rFonts w:ascii="Times New Roman" w:hAnsi="Times New Roman"/>
                <w:noProof/>
                <w:sz w:val="24"/>
                <w:szCs w:val="24"/>
              </w:rPr>
              <w:t xml:space="preserve">EUR </w:t>
            </w:r>
            <w:r w:rsidRPr="00A00723">
              <w:rPr>
                <w:rFonts w:ascii="Times New Roman" w:hAnsi="Times New Roman"/>
                <w:noProof/>
                <w:sz w:val="24"/>
                <w:szCs w:val="24"/>
              </w:rPr>
              <w:t>24</w:t>
            </w:r>
            <w:r>
              <w:rPr>
                <w:rFonts w:ascii="Times New Roman" w:hAnsi="Times New Roman"/>
                <w:noProof/>
                <w:sz w:val="24"/>
                <w:szCs w:val="24"/>
              </w:rPr>
              <w:t xml:space="preserve"> 000</w:t>
            </w:r>
            <w:r w:rsidRPr="00A00723">
              <w:rPr>
                <w:rFonts w:ascii="Times New Roman" w:hAnsi="Times New Roman"/>
                <w:noProof/>
                <w:sz w:val="24"/>
                <w:szCs w:val="24"/>
              </w:rPr>
              <w:t>/ year</w:t>
            </w:r>
          </w:p>
        </w:tc>
      </w:tr>
      <w:tr w:rsidR="000A7D9D" w:rsidRPr="00A00723" w14:paraId="6016B1B8" w14:textId="77777777" w:rsidTr="00F31937">
        <w:trPr>
          <w:trHeight w:val="300"/>
        </w:trPr>
        <w:tc>
          <w:tcPr>
            <w:tcW w:w="4807" w:type="dxa"/>
          </w:tcPr>
          <w:p w14:paraId="56FEF909" w14:textId="77777777" w:rsidR="000A7D9D" w:rsidRPr="00A00723" w:rsidRDefault="000A7D9D" w:rsidP="00F31937">
            <w:pPr>
              <w:spacing w:after="240"/>
              <w:rPr>
                <w:rFonts w:ascii="Times New Roman" w:hAnsi="Times New Roman"/>
                <w:b/>
                <w:bCs/>
                <w:noProof/>
                <w:sz w:val="24"/>
                <w:szCs w:val="24"/>
              </w:rPr>
            </w:pPr>
            <w:r w:rsidRPr="00A00723">
              <w:rPr>
                <w:rFonts w:ascii="Times New Roman" w:hAnsi="Times New Roman"/>
                <w:b/>
                <w:bCs/>
                <w:noProof/>
                <w:sz w:val="24"/>
                <w:szCs w:val="24"/>
              </w:rPr>
              <w:t>Total</w:t>
            </w:r>
          </w:p>
        </w:tc>
        <w:tc>
          <w:tcPr>
            <w:tcW w:w="4822" w:type="dxa"/>
          </w:tcPr>
          <w:p w14:paraId="0EA4B73F" w14:textId="77777777" w:rsidR="000A7D9D" w:rsidRPr="00A00723" w:rsidRDefault="000A7D9D" w:rsidP="00F31937">
            <w:pPr>
              <w:spacing w:after="240"/>
              <w:rPr>
                <w:rFonts w:ascii="Times New Roman" w:hAnsi="Times New Roman"/>
                <w:b/>
                <w:bCs/>
                <w:noProof/>
                <w:sz w:val="24"/>
                <w:szCs w:val="24"/>
              </w:rPr>
            </w:pPr>
            <w:r w:rsidRPr="00A56EB6">
              <w:rPr>
                <w:rFonts w:ascii="Times New Roman" w:hAnsi="Times New Roman"/>
                <w:b/>
                <w:bCs/>
                <w:i/>
                <w:noProof/>
                <w:sz w:val="24"/>
                <w:szCs w:val="24"/>
              </w:rPr>
              <w:t>Ca.</w:t>
            </w:r>
            <w:r w:rsidRPr="00A00723">
              <w:rPr>
                <w:rFonts w:ascii="Times New Roman" w:hAnsi="Times New Roman"/>
                <w:b/>
                <w:bCs/>
                <w:noProof/>
                <w:sz w:val="24"/>
                <w:szCs w:val="24"/>
              </w:rPr>
              <w:t xml:space="preserve"> 1</w:t>
            </w:r>
            <w:r>
              <w:rPr>
                <w:rFonts w:ascii="Times New Roman" w:hAnsi="Times New Roman"/>
                <w:b/>
                <w:bCs/>
                <w:noProof/>
                <w:sz w:val="24"/>
                <w:szCs w:val="24"/>
              </w:rPr>
              <w:t>.</w:t>
            </w:r>
            <w:r w:rsidRPr="00A00723">
              <w:rPr>
                <w:rFonts w:ascii="Times New Roman" w:hAnsi="Times New Roman"/>
                <w:b/>
                <w:bCs/>
                <w:noProof/>
                <w:sz w:val="24"/>
                <w:szCs w:val="24"/>
              </w:rPr>
              <w:t>3 FTE</w:t>
            </w:r>
          </w:p>
        </w:tc>
      </w:tr>
    </w:tbl>
    <w:p w14:paraId="61ACC4C5" w14:textId="77777777" w:rsidR="000A7D9D" w:rsidRDefault="000A7D9D" w:rsidP="000A7D9D">
      <w:pPr>
        <w:spacing w:before="120" w:after="120"/>
        <w:rPr>
          <w:rFonts w:ascii="Times New Roman" w:hAnsi="Times New Roman" w:cs="Times New Roman"/>
          <w:i/>
          <w:iCs/>
          <w:noProof/>
          <w:color w:val="000000" w:themeColor="text1"/>
          <w:sz w:val="24"/>
          <w:szCs w:val="24"/>
        </w:rPr>
      </w:pPr>
      <w:r w:rsidRPr="00A00723">
        <w:rPr>
          <w:rFonts w:ascii="Times New Roman" w:hAnsi="Times New Roman" w:cs="Times New Roman"/>
          <w:i/>
          <w:iCs/>
          <w:noProof/>
          <w:color w:val="000000" w:themeColor="text1"/>
          <w:sz w:val="24"/>
          <w:szCs w:val="24"/>
        </w:rPr>
        <w:t xml:space="preserve">(to convert the cost of consultants into FTEs, the cost of 1 FTE consultant is estimated at ca. </w:t>
      </w:r>
      <w:r>
        <w:rPr>
          <w:rFonts w:ascii="Times New Roman" w:hAnsi="Times New Roman" w:cs="Times New Roman"/>
          <w:i/>
          <w:iCs/>
          <w:noProof/>
          <w:color w:val="000000" w:themeColor="text1"/>
          <w:sz w:val="24"/>
          <w:szCs w:val="24"/>
        </w:rPr>
        <w:t xml:space="preserve">EUR </w:t>
      </w:r>
      <w:r w:rsidRPr="00A00723">
        <w:rPr>
          <w:rFonts w:ascii="Times New Roman" w:hAnsi="Times New Roman" w:cs="Times New Roman"/>
          <w:i/>
          <w:iCs/>
          <w:noProof/>
          <w:color w:val="000000" w:themeColor="text1"/>
          <w:sz w:val="24"/>
          <w:szCs w:val="24"/>
        </w:rPr>
        <w:t>66</w:t>
      </w:r>
      <w:r>
        <w:rPr>
          <w:rFonts w:ascii="Times New Roman" w:hAnsi="Times New Roman" w:cs="Times New Roman"/>
          <w:i/>
          <w:iCs/>
          <w:noProof/>
          <w:color w:val="000000" w:themeColor="text1"/>
          <w:sz w:val="24"/>
          <w:szCs w:val="24"/>
        </w:rPr>
        <w:t xml:space="preserve"> </w:t>
      </w:r>
      <w:r w:rsidRPr="00A00723">
        <w:rPr>
          <w:rFonts w:ascii="Times New Roman" w:hAnsi="Times New Roman" w:cs="Times New Roman"/>
          <w:i/>
          <w:iCs/>
          <w:noProof/>
          <w:color w:val="000000" w:themeColor="text1"/>
          <w:sz w:val="24"/>
          <w:szCs w:val="24"/>
        </w:rPr>
        <w:t>000 annually)</w:t>
      </w:r>
    </w:p>
    <w:p w14:paraId="3C05AD1B" w14:textId="77777777" w:rsidR="000A7D9D" w:rsidRPr="00A00723" w:rsidRDefault="000A7D9D" w:rsidP="000A7D9D">
      <w:pPr>
        <w:spacing w:after="120"/>
        <w:jc w:val="both"/>
        <w:rPr>
          <w:rFonts w:ascii="Times New Roman" w:hAnsi="Times New Roman" w:cs="Times New Roman"/>
          <w:noProof/>
          <w:sz w:val="24"/>
          <w:szCs w:val="24"/>
          <w:lang w:val="en-US"/>
        </w:rPr>
      </w:pPr>
      <w:r w:rsidRPr="00A00723">
        <w:rPr>
          <w:rFonts w:ascii="Times New Roman" w:hAnsi="Times New Roman" w:cs="Times New Roman"/>
          <w:noProof/>
          <w:sz w:val="24"/>
          <w:szCs w:val="24"/>
        </w:rPr>
        <w:t>Such Commission resources do not include contributions to the administrative overhead of the Commission (HR, Finance, IT tools, etc.).</w:t>
      </w:r>
    </w:p>
    <w:p w14:paraId="40CEC218" w14:textId="77777777" w:rsidR="000A7D9D" w:rsidRPr="00A00723" w:rsidRDefault="000A7D9D" w:rsidP="000A7D9D">
      <w:pPr>
        <w:spacing w:after="120"/>
        <w:jc w:val="both"/>
        <w:rPr>
          <w:rFonts w:ascii="Times New Roman" w:hAnsi="Times New Roman" w:cs="Times New Roman"/>
          <w:noProof/>
          <w:sz w:val="24"/>
          <w:szCs w:val="24"/>
          <w:u w:val="single"/>
        </w:rPr>
      </w:pPr>
      <w:r w:rsidRPr="00A00723">
        <w:rPr>
          <w:rFonts w:ascii="Times New Roman" w:hAnsi="Times New Roman" w:cs="Times New Roman"/>
          <w:noProof/>
          <w:sz w:val="24"/>
          <w:szCs w:val="24"/>
          <w:u w:val="single"/>
        </w:rPr>
        <w:t>Future workload and resource needs:</w:t>
      </w:r>
    </w:p>
    <w:p w14:paraId="56F8F207" w14:textId="77777777" w:rsidR="000A7D9D" w:rsidRPr="00A00723" w:rsidRDefault="000A7D9D" w:rsidP="000A7D9D">
      <w:pPr>
        <w:spacing w:before="120" w:after="120"/>
        <w:rPr>
          <w:rFonts w:ascii="Times New Roman" w:hAnsi="Times New Roman" w:cs="Times New Roman"/>
          <w:bCs/>
          <w:noProof/>
          <w:color w:val="000000"/>
          <w:sz w:val="24"/>
          <w:szCs w:val="24"/>
        </w:rPr>
      </w:pPr>
      <w:r w:rsidRPr="00A00723">
        <w:rPr>
          <w:rFonts w:ascii="Times New Roman" w:hAnsi="Times New Roman" w:cs="Times New Roman"/>
          <w:bCs/>
          <w:noProof/>
          <w:color w:val="000000"/>
          <w:sz w:val="24"/>
          <w:szCs w:val="24"/>
        </w:rPr>
        <w:t>With the revision, the Commission intends to introduce the following changes:</w:t>
      </w:r>
    </w:p>
    <w:p w14:paraId="2769D22F" w14:textId="77777777" w:rsidR="000A7D9D" w:rsidRPr="00A00723" w:rsidRDefault="000A7D9D" w:rsidP="000A7D9D">
      <w:pPr>
        <w:widowControl w:val="0"/>
        <w:numPr>
          <w:ilvl w:val="0"/>
          <w:numId w:val="104"/>
        </w:numPr>
        <w:spacing w:after="120" w:line="240" w:lineRule="auto"/>
        <w:rPr>
          <w:rFonts w:ascii="Times New Roman" w:hAnsi="Times New Roman" w:cs="Times New Roman"/>
          <w:noProof/>
          <w:color w:val="000000"/>
          <w:sz w:val="24"/>
          <w:szCs w:val="24"/>
        </w:rPr>
      </w:pPr>
      <w:r w:rsidRPr="00A00723">
        <w:rPr>
          <w:rFonts w:ascii="Times New Roman" w:hAnsi="Times New Roman" w:cs="Times New Roman"/>
          <w:noProof/>
          <w:color w:val="000000" w:themeColor="text1"/>
          <w:sz w:val="24"/>
          <w:szCs w:val="24"/>
        </w:rPr>
        <w:t>extending the generic assessment approach (automatic ban) to endocrine disrupting chemicals; </w:t>
      </w:r>
    </w:p>
    <w:p w14:paraId="21B10E2C" w14:textId="77777777" w:rsidR="000A7D9D" w:rsidRPr="00A00723" w:rsidRDefault="000A7D9D" w:rsidP="000A7D9D">
      <w:pPr>
        <w:widowControl w:val="0"/>
        <w:numPr>
          <w:ilvl w:val="0"/>
          <w:numId w:val="104"/>
        </w:numPr>
        <w:spacing w:before="120" w:after="120" w:line="240" w:lineRule="auto"/>
        <w:rPr>
          <w:rFonts w:ascii="Times New Roman" w:eastAsia="Verdana" w:hAnsi="Times New Roman" w:cs="Times New Roman"/>
          <w:noProof/>
          <w:color w:val="000000" w:themeColor="text1"/>
          <w:sz w:val="24"/>
          <w:szCs w:val="24"/>
        </w:rPr>
      </w:pPr>
      <w:r w:rsidRPr="00A00723">
        <w:rPr>
          <w:rFonts w:ascii="Times New Roman" w:hAnsi="Times New Roman" w:cs="Times New Roman"/>
          <w:noProof/>
          <w:color w:val="000000" w:themeColor="text1"/>
          <w:sz w:val="24"/>
          <w:szCs w:val="24"/>
        </w:rPr>
        <w:t>the possibility to introduce specific limit values for new chemicals could be introduced in all toys, and not only in toys intended for children under 36 months or to be put in the mouth, as is the case today.</w:t>
      </w:r>
    </w:p>
    <w:p w14:paraId="20797133" w14:textId="77777777" w:rsidR="000A7D9D" w:rsidRPr="00A00723" w:rsidRDefault="000A7D9D" w:rsidP="000A7D9D">
      <w:pPr>
        <w:spacing w:before="120" w:after="120"/>
        <w:jc w:val="both"/>
        <w:rPr>
          <w:rFonts w:ascii="Times New Roman" w:hAnsi="Times New Roman" w:cs="Times New Roman"/>
          <w:noProof/>
          <w:color w:val="000000"/>
          <w:sz w:val="24"/>
          <w:szCs w:val="24"/>
        </w:rPr>
      </w:pPr>
      <w:r w:rsidRPr="00A00723">
        <w:rPr>
          <w:rFonts w:ascii="Times New Roman" w:hAnsi="Times New Roman" w:cs="Times New Roman"/>
          <w:noProof/>
          <w:color w:val="000000" w:themeColor="text1"/>
          <w:sz w:val="24"/>
          <w:szCs w:val="24"/>
        </w:rPr>
        <w:t>Furthermore, currently CMRs are still allowed in toys up to the relevant CLP concentration limits. Beyond those, derogations can be requested. Only a few derogations were requested by industry in the past. If the generic prohibition would be extended from CMRs to EDC (or maybe even other hazard classes), then also new derogation requests could be expected, especially in the early years when production processes have not yet been adapted and EDCs are still present in potentially quite large amounts. Due to this, it can be reasonably expected that the workload for derogations will multiply (assumption x10 in the first years), but still within reasonable limits (e.g. 2 requests annually vs 2 requests in 10-12 years).</w:t>
      </w:r>
    </w:p>
    <w:p w14:paraId="6DF86261" w14:textId="77777777" w:rsidR="000A7D9D" w:rsidRPr="00A00723" w:rsidRDefault="000A7D9D" w:rsidP="000A7D9D">
      <w:pPr>
        <w:pStyle w:val="BodyText"/>
        <w:jc w:val="both"/>
        <w:rPr>
          <w:noProof/>
          <w:color w:val="000000"/>
        </w:rPr>
      </w:pPr>
      <w:r w:rsidRPr="00A00723">
        <w:rPr>
          <w:noProof/>
          <w:color w:val="000000" w:themeColor="text1"/>
        </w:rPr>
        <w:t>The main work related to limit value setting can be best compared to CLH work, which is currently rated at 0</w:t>
      </w:r>
      <w:r>
        <w:rPr>
          <w:noProof/>
          <w:color w:val="000000" w:themeColor="text1"/>
        </w:rPr>
        <w:t>.</w:t>
      </w:r>
      <w:r w:rsidRPr="00A00723">
        <w:rPr>
          <w:noProof/>
          <w:color w:val="000000" w:themeColor="text1"/>
        </w:rPr>
        <w:t>5 FTE per substance per year within ECHA.</w:t>
      </w:r>
    </w:p>
    <w:p w14:paraId="6CE30D8F" w14:textId="77777777" w:rsidR="000A7D9D" w:rsidRPr="00A00723" w:rsidRDefault="000A7D9D" w:rsidP="000A7D9D">
      <w:pPr>
        <w:spacing w:before="120" w:after="120"/>
        <w:jc w:val="both"/>
        <w:rPr>
          <w:rFonts w:ascii="Times New Roman" w:hAnsi="Times New Roman" w:cs="Times New Roman"/>
          <w:noProof/>
          <w:color w:val="000000"/>
          <w:sz w:val="24"/>
          <w:szCs w:val="24"/>
        </w:rPr>
      </w:pPr>
      <w:r w:rsidRPr="00A00723">
        <w:rPr>
          <w:rFonts w:ascii="Times New Roman" w:hAnsi="Times New Roman" w:cs="Times New Roman"/>
          <w:noProof/>
          <w:color w:val="000000" w:themeColor="text1"/>
          <w:sz w:val="24"/>
          <w:szCs w:val="24"/>
        </w:rPr>
        <w:t>The processing of derogation requests is assumed similar to REACH applications for authorisations (AfA = 0</w:t>
      </w:r>
      <w:r>
        <w:rPr>
          <w:rFonts w:ascii="Times New Roman" w:hAnsi="Times New Roman" w:cs="Times New Roman"/>
          <w:noProof/>
          <w:color w:val="000000" w:themeColor="text1"/>
          <w:sz w:val="24"/>
          <w:szCs w:val="24"/>
        </w:rPr>
        <w:t>.</w:t>
      </w:r>
      <w:r w:rsidRPr="00A00723">
        <w:rPr>
          <w:rFonts w:ascii="Times New Roman" w:hAnsi="Times New Roman" w:cs="Times New Roman"/>
          <w:noProof/>
          <w:color w:val="000000" w:themeColor="text1"/>
          <w:sz w:val="24"/>
          <w:szCs w:val="24"/>
        </w:rPr>
        <w:t>15 – 0</w:t>
      </w:r>
      <w:r>
        <w:rPr>
          <w:rFonts w:ascii="Times New Roman" w:hAnsi="Times New Roman" w:cs="Times New Roman"/>
          <w:noProof/>
          <w:color w:val="000000" w:themeColor="text1"/>
          <w:sz w:val="24"/>
          <w:szCs w:val="24"/>
        </w:rPr>
        <w:t>.</w:t>
      </w:r>
      <w:r w:rsidRPr="00A00723">
        <w:rPr>
          <w:rFonts w:ascii="Times New Roman" w:hAnsi="Times New Roman" w:cs="Times New Roman"/>
          <w:noProof/>
          <w:color w:val="000000" w:themeColor="text1"/>
          <w:sz w:val="24"/>
          <w:szCs w:val="24"/>
        </w:rPr>
        <w:t>3 FTE / application).</w:t>
      </w:r>
    </w:p>
    <w:p w14:paraId="5D8C1D8F" w14:textId="77777777" w:rsidR="000A7D9D" w:rsidRPr="00A00723" w:rsidRDefault="000A7D9D" w:rsidP="000A7D9D">
      <w:pPr>
        <w:spacing w:before="120" w:after="120"/>
        <w:rPr>
          <w:rFonts w:ascii="Times New Roman" w:hAnsi="Times New Roman" w:cs="Times New Roman"/>
          <w:noProof/>
          <w:color w:val="000000"/>
          <w:sz w:val="24"/>
          <w:szCs w:val="24"/>
        </w:rPr>
      </w:pPr>
      <w:r w:rsidRPr="00A00723">
        <w:rPr>
          <w:rFonts w:ascii="Times New Roman" w:hAnsi="Times New Roman" w:cs="Times New Roman"/>
          <w:noProof/>
          <w:color w:val="000000" w:themeColor="text1"/>
          <w:sz w:val="24"/>
          <w:szCs w:val="24"/>
        </w:rPr>
        <w:t>The resource needs for ECHA would then be as follow:</w:t>
      </w:r>
    </w:p>
    <w:p w14:paraId="6356E577" w14:textId="77777777" w:rsidR="000A7D9D" w:rsidRPr="00A00723"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Setting/reviewing limit values for 2 substances every year + scientif</w:t>
      </w:r>
      <w:r>
        <w:rPr>
          <w:rFonts w:ascii="Times New Roman" w:hAnsi="Times New Roman" w:cs="Times New Roman"/>
          <w:noProof/>
          <w:sz w:val="24"/>
          <w:szCs w:val="24"/>
        </w:rPr>
        <w:t>ic committee opinion forming: 1.</w:t>
      </w:r>
      <w:r w:rsidRPr="120044EF">
        <w:rPr>
          <w:rFonts w:ascii="Times New Roman" w:hAnsi="Times New Roman" w:cs="Times New Roman"/>
          <w:noProof/>
          <w:sz w:val="24"/>
          <w:szCs w:val="24"/>
        </w:rPr>
        <w:t>0 FTE annually (~unit cost of 1 CLH opinion = 0</w:t>
      </w:r>
      <w:r>
        <w:rPr>
          <w:rFonts w:ascii="Times New Roman" w:hAnsi="Times New Roman" w:cs="Times New Roman"/>
          <w:noProof/>
          <w:sz w:val="24"/>
          <w:szCs w:val="24"/>
        </w:rPr>
        <w:t>.</w:t>
      </w:r>
      <w:r w:rsidRPr="120044EF">
        <w:rPr>
          <w:rFonts w:ascii="Times New Roman" w:hAnsi="Times New Roman" w:cs="Times New Roman"/>
          <w:noProof/>
          <w:sz w:val="24"/>
          <w:szCs w:val="24"/>
        </w:rPr>
        <w:t>5 FTE)</w:t>
      </w:r>
    </w:p>
    <w:p w14:paraId="17AE035D" w14:textId="77777777" w:rsidR="000A7D9D" w:rsidRPr="00A00723"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Restriction/prohibition of 1 substance or generic opinion development for 1 substance/subject every 5 years + scientific committee opinion forming: 0</w:t>
      </w:r>
      <w:r>
        <w:rPr>
          <w:rFonts w:ascii="Times New Roman" w:hAnsi="Times New Roman" w:cs="Times New Roman"/>
          <w:noProof/>
          <w:sz w:val="24"/>
          <w:szCs w:val="24"/>
        </w:rPr>
        <w:t>.</w:t>
      </w:r>
      <w:r w:rsidRPr="120044EF">
        <w:rPr>
          <w:rFonts w:ascii="Times New Roman" w:hAnsi="Times New Roman" w:cs="Times New Roman"/>
          <w:noProof/>
          <w:sz w:val="24"/>
          <w:szCs w:val="24"/>
        </w:rPr>
        <w:t>3 FTE annually (~unit cost</w:t>
      </w:r>
      <w:r>
        <w:rPr>
          <w:rFonts w:ascii="Times New Roman" w:hAnsi="Times New Roman" w:cs="Times New Roman"/>
          <w:noProof/>
          <w:sz w:val="24"/>
          <w:szCs w:val="24"/>
        </w:rPr>
        <w:t xml:space="preserve"> of 1 REACH restriction = 1 – 1.</w:t>
      </w:r>
      <w:r w:rsidRPr="120044EF">
        <w:rPr>
          <w:rFonts w:ascii="Times New Roman" w:hAnsi="Times New Roman" w:cs="Times New Roman"/>
          <w:noProof/>
          <w:sz w:val="24"/>
          <w:szCs w:val="24"/>
        </w:rPr>
        <w:t>5 FTE)</w:t>
      </w:r>
    </w:p>
    <w:p w14:paraId="09C3C74D" w14:textId="77777777" w:rsidR="000A7D9D" w:rsidRPr="00A00723"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Review of 2 derogation requests annually + scientific committee opinion forming: 0</w:t>
      </w:r>
      <w:r>
        <w:rPr>
          <w:rFonts w:ascii="Times New Roman" w:hAnsi="Times New Roman" w:cs="Times New Roman"/>
          <w:noProof/>
          <w:sz w:val="24"/>
          <w:szCs w:val="24"/>
        </w:rPr>
        <w:t>.</w:t>
      </w:r>
      <w:r w:rsidRPr="120044EF">
        <w:rPr>
          <w:rFonts w:ascii="Times New Roman" w:hAnsi="Times New Roman" w:cs="Times New Roman"/>
          <w:noProof/>
          <w:sz w:val="24"/>
          <w:szCs w:val="24"/>
        </w:rPr>
        <w:t>3 FTE (~unit cost of 1 REACH application for authorisation = 0</w:t>
      </w:r>
      <w:r>
        <w:rPr>
          <w:rFonts w:ascii="Times New Roman" w:hAnsi="Times New Roman" w:cs="Times New Roman"/>
          <w:noProof/>
          <w:sz w:val="24"/>
          <w:szCs w:val="24"/>
        </w:rPr>
        <w:t>.</w:t>
      </w:r>
      <w:r w:rsidRPr="120044EF">
        <w:rPr>
          <w:rFonts w:ascii="Times New Roman" w:hAnsi="Times New Roman" w:cs="Times New Roman"/>
          <w:noProof/>
          <w:sz w:val="24"/>
          <w:szCs w:val="24"/>
        </w:rPr>
        <w:t>15 – 0</w:t>
      </w:r>
      <w:r>
        <w:rPr>
          <w:rFonts w:ascii="Times New Roman" w:hAnsi="Times New Roman" w:cs="Times New Roman"/>
          <w:noProof/>
          <w:sz w:val="24"/>
          <w:szCs w:val="24"/>
        </w:rPr>
        <w:t>.</w:t>
      </w:r>
      <w:r w:rsidRPr="120044EF">
        <w:rPr>
          <w:rFonts w:ascii="Times New Roman" w:hAnsi="Times New Roman" w:cs="Times New Roman"/>
          <w:noProof/>
          <w:sz w:val="24"/>
          <w:szCs w:val="24"/>
        </w:rPr>
        <w:t>3 FTE)</w:t>
      </w:r>
    </w:p>
    <w:p w14:paraId="36C19783" w14:textId="77777777" w:rsidR="000A7D9D" w:rsidRPr="00A00723" w:rsidRDefault="000A7D9D" w:rsidP="000A7D9D">
      <w:pPr>
        <w:widowControl w:val="0"/>
        <w:numPr>
          <w:ilvl w:val="0"/>
          <w:numId w:val="92"/>
        </w:numPr>
        <w:spacing w:before="120" w:after="120"/>
        <w:contextualSpacing/>
        <w:rPr>
          <w:rFonts w:ascii="Times New Roman" w:hAnsi="Times New Roman" w:cs="Times New Roman"/>
          <w:noProof/>
          <w:sz w:val="24"/>
          <w:szCs w:val="24"/>
        </w:rPr>
      </w:pPr>
      <w:r w:rsidRPr="120044EF">
        <w:rPr>
          <w:rFonts w:ascii="Times New Roman" w:hAnsi="Times New Roman" w:cs="Times New Roman"/>
          <w:noProof/>
          <w:color w:val="000000" w:themeColor="text1"/>
          <w:sz w:val="24"/>
          <w:szCs w:val="24"/>
        </w:rPr>
        <w:t xml:space="preserve">Scientific support services: substance </w:t>
      </w:r>
      <w:r w:rsidRPr="120044EF">
        <w:rPr>
          <w:rFonts w:ascii="Times New Roman" w:hAnsi="Times New Roman" w:cs="Times New Roman"/>
          <w:noProof/>
          <w:sz w:val="24"/>
          <w:szCs w:val="24"/>
        </w:rPr>
        <w:t xml:space="preserve">identification and prioritisation, data management and </w:t>
      </w:r>
      <w:r w:rsidRPr="120044EF">
        <w:rPr>
          <w:rFonts w:ascii="Times New Roman" w:hAnsi="Times New Roman" w:cs="Times New Roman"/>
          <w:noProof/>
          <w:color w:val="000000" w:themeColor="text1"/>
          <w:sz w:val="24"/>
          <w:szCs w:val="24"/>
        </w:rPr>
        <w:t>dissemination</w:t>
      </w:r>
      <w:r w:rsidRPr="120044EF">
        <w:rPr>
          <w:rFonts w:ascii="Times New Roman" w:hAnsi="Times New Roman" w:cs="Times New Roman"/>
          <w:noProof/>
          <w:sz w:val="24"/>
          <w:szCs w:val="24"/>
        </w:rPr>
        <w:t>: can be absorbed by the agency</w:t>
      </w:r>
    </w:p>
    <w:p w14:paraId="3BDE3B75" w14:textId="77777777" w:rsidR="000A7D9D" w:rsidRPr="00A00723"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 xml:space="preserve">IT tool development cost (data submission, processing, </w:t>
      </w:r>
      <w:r w:rsidRPr="120044EF">
        <w:rPr>
          <w:rFonts w:ascii="Times New Roman" w:hAnsi="Times New Roman" w:cs="Times New Roman"/>
          <w:noProof/>
          <w:color w:val="000000" w:themeColor="text1"/>
          <w:sz w:val="24"/>
          <w:szCs w:val="24"/>
        </w:rPr>
        <w:t>output</w:t>
      </w:r>
      <w:r w:rsidRPr="120044EF">
        <w:rPr>
          <w:rFonts w:ascii="Times New Roman" w:hAnsi="Times New Roman" w:cs="Times New Roman"/>
          <w:noProof/>
          <w:sz w:val="24"/>
          <w:szCs w:val="24"/>
        </w:rPr>
        <w:t>): contribution of 15% for common components (0</w:t>
      </w:r>
      <w:r>
        <w:rPr>
          <w:rFonts w:ascii="Times New Roman" w:hAnsi="Times New Roman" w:cs="Times New Roman"/>
          <w:noProof/>
          <w:sz w:val="24"/>
          <w:szCs w:val="24"/>
        </w:rPr>
        <w:t>.</w:t>
      </w:r>
      <w:r w:rsidRPr="120044EF">
        <w:rPr>
          <w:rFonts w:ascii="Times New Roman" w:hAnsi="Times New Roman" w:cs="Times New Roman"/>
          <w:noProof/>
          <w:sz w:val="24"/>
          <w:szCs w:val="24"/>
        </w:rPr>
        <w:t>24 FTE)</w:t>
      </w:r>
    </w:p>
    <w:p w14:paraId="579BBA30" w14:textId="77777777" w:rsidR="000A7D9D" w:rsidRPr="00A00723"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Horizontal support (governance &amp; enablers / administrative ov</w:t>
      </w:r>
      <w:r>
        <w:rPr>
          <w:rFonts w:ascii="Times New Roman" w:hAnsi="Times New Roman" w:cs="Times New Roman"/>
          <w:noProof/>
          <w:sz w:val="24"/>
          <w:szCs w:val="24"/>
        </w:rPr>
        <w:t>erhead): contribution of 15% (0.</w:t>
      </w:r>
      <w:r w:rsidRPr="120044EF">
        <w:rPr>
          <w:rFonts w:ascii="Times New Roman" w:hAnsi="Times New Roman" w:cs="Times New Roman"/>
          <w:noProof/>
          <w:sz w:val="24"/>
          <w:szCs w:val="24"/>
        </w:rPr>
        <w:t>26 FTE)</w:t>
      </w:r>
    </w:p>
    <w:p w14:paraId="0C42B69B" w14:textId="77777777" w:rsidR="000A7D9D" w:rsidRPr="00A00723" w:rsidRDefault="000A7D9D" w:rsidP="000A7D9D">
      <w:pPr>
        <w:rPr>
          <w:rFonts w:ascii="Times New Roman" w:hAnsi="Times New Roman" w:cs="Times New Roman"/>
          <w:noProof/>
          <w:sz w:val="24"/>
          <w:szCs w:val="24"/>
        </w:rPr>
      </w:pPr>
      <w:r w:rsidRPr="00A00723">
        <w:rPr>
          <w:rFonts w:ascii="Times New Roman" w:hAnsi="Times New Roman" w:cs="Times New Roman"/>
          <w:noProof/>
          <w:sz w:val="24"/>
          <w:szCs w:val="24"/>
        </w:rPr>
        <w:t>-----------</w:t>
      </w:r>
    </w:p>
    <w:p w14:paraId="766412C0" w14:textId="77777777" w:rsidR="000A7D9D" w:rsidRPr="00A00723" w:rsidRDefault="000A7D9D" w:rsidP="000A7D9D">
      <w:pPr>
        <w:pStyle w:val="BodyText"/>
        <w:rPr>
          <w:noProof/>
        </w:rPr>
      </w:pPr>
      <w:r w:rsidRPr="00A00723">
        <w:rPr>
          <w:noProof/>
        </w:rPr>
        <w:t>Total: 2 FTEs</w:t>
      </w:r>
    </w:p>
    <w:p w14:paraId="783043A9" w14:textId="77777777" w:rsidR="000A7D9D" w:rsidRPr="00A00723" w:rsidRDefault="000A7D9D" w:rsidP="000A7D9D">
      <w:pPr>
        <w:spacing w:before="120" w:after="120"/>
        <w:rPr>
          <w:rFonts w:ascii="Times New Roman" w:hAnsi="Times New Roman" w:cs="Times New Roman"/>
          <w:noProof/>
          <w:color w:val="000000" w:themeColor="text1"/>
          <w:sz w:val="24"/>
          <w:szCs w:val="24"/>
        </w:rPr>
      </w:pPr>
      <w:r w:rsidRPr="00A00723">
        <w:rPr>
          <w:rFonts w:ascii="Times New Roman" w:hAnsi="Times New Roman" w:cs="Times New Roman"/>
          <w:noProof/>
          <w:sz w:val="24"/>
          <w:szCs w:val="24"/>
        </w:rPr>
        <w:t>Summary of resource needs for toy safety directive:</w:t>
      </w:r>
    </w:p>
    <w:tbl>
      <w:tblPr>
        <w:tblStyle w:val="TableGrid"/>
        <w:tblW w:w="9629" w:type="dxa"/>
        <w:tblLook w:val="04A0" w:firstRow="1" w:lastRow="0" w:firstColumn="1" w:lastColumn="0" w:noHBand="0" w:noVBand="1"/>
      </w:tblPr>
      <w:tblGrid>
        <w:gridCol w:w="1185"/>
        <w:gridCol w:w="4170"/>
        <w:gridCol w:w="1785"/>
        <w:gridCol w:w="2489"/>
      </w:tblGrid>
      <w:tr w:rsidR="000A7D9D" w:rsidRPr="00C56424" w14:paraId="7F55DEB3" w14:textId="77777777" w:rsidTr="00F31937">
        <w:trPr>
          <w:trHeight w:val="300"/>
        </w:trPr>
        <w:tc>
          <w:tcPr>
            <w:tcW w:w="1185" w:type="dxa"/>
            <w:shd w:val="clear" w:color="auto" w:fill="D9D9D9" w:themeFill="background1" w:themeFillShade="D9"/>
          </w:tcPr>
          <w:p w14:paraId="6EA0AA98"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4170" w:type="dxa"/>
            <w:shd w:val="clear" w:color="auto" w:fill="D9D9D9" w:themeFill="background1" w:themeFillShade="D9"/>
          </w:tcPr>
          <w:p w14:paraId="24BD8155"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785" w:type="dxa"/>
            <w:shd w:val="clear" w:color="auto" w:fill="D9D9D9" w:themeFill="background1" w:themeFillShade="D9"/>
          </w:tcPr>
          <w:p w14:paraId="151753F4" w14:textId="77777777" w:rsidR="000A7D9D" w:rsidRPr="00C56424" w:rsidRDefault="000A7D9D" w:rsidP="00F31937">
            <w:pPr>
              <w:pStyle w:val="BodyText"/>
              <w:tabs>
                <w:tab w:val="left" w:pos="4170"/>
              </w:tabs>
              <w:rPr>
                <w:noProof/>
                <w:sz w:val="20"/>
                <w:szCs w:val="20"/>
              </w:rPr>
            </w:pPr>
          </w:p>
        </w:tc>
        <w:tc>
          <w:tcPr>
            <w:tcW w:w="2489" w:type="dxa"/>
            <w:shd w:val="clear" w:color="auto" w:fill="D9D9D9" w:themeFill="background1" w:themeFillShade="D9"/>
          </w:tcPr>
          <w:p w14:paraId="3AFC625A" w14:textId="77777777" w:rsidR="000A7D9D" w:rsidRPr="00C56424" w:rsidRDefault="000A7D9D" w:rsidP="00F31937">
            <w:pPr>
              <w:pStyle w:val="BodyText"/>
              <w:tabs>
                <w:tab w:val="left" w:pos="4170"/>
              </w:tabs>
              <w:spacing w:after="0"/>
              <w:rPr>
                <w:noProof/>
                <w:sz w:val="20"/>
                <w:szCs w:val="20"/>
              </w:rPr>
            </w:pPr>
          </w:p>
        </w:tc>
      </w:tr>
      <w:tr w:rsidR="000A7D9D" w:rsidRPr="00187DBF" w14:paraId="73A72F01" w14:textId="77777777" w:rsidTr="00F31937">
        <w:trPr>
          <w:trHeight w:val="300"/>
        </w:trPr>
        <w:tc>
          <w:tcPr>
            <w:tcW w:w="1185" w:type="dxa"/>
            <w:vMerge w:val="restart"/>
            <w:shd w:val="clear" w:color="auto" w:fill="D9D9D9" w:themeFill="background1" w:themeFillShade="D9"/>
          </w:tcPr>
          <w:p w14:paraId="1C4D6839" w14:textId="77777777" w:rsidR="000A7D9D" w:rsidRPr="00C56424" w:rsidRDefault="000A7D9D" w:rsidP="00F31937">
            <w:pPr>
              <w:pStyle w:val="BodyText"/>
              <w:spacing w:line="259" w:lineRule="auto"/>
              <w:rPr>
                <w:noProof/>
                <w:sz w:val="20"/>
                <w:szCs w:val="20"/>
              </w:rPr>
            </w:pPr>
            <w:r w:rsidRPr="00C56424">
              <w:rPr>
                <w:noProof/>
                <w:sz w:val="20"/>
                <w:szCs w:val="20"/>
              </w:rPr>
              <w:t>ECHA</w:t>
            </w:r>
          </w:p>
        </w:tc>
        <w:tc>
          <w:tcPr>
            <w:tcW w:w="4170" w:type="dxa"/>
            <w:vMerge w:val="restart"/>
            <w:shd w:val="clear" w:color="auto" w:fill="D9D9D9" w:themeFill="background1" w:themeFillShade="D9"/>
          </w:tcPr>
          <w:p w14:paraId="60A41B76" w14:textId="77777777" w:rsidR="000A7D9D" w:rsidRPr="00C56424" w:rsidRDefault="000A7D9D" w:rsidP="00F31937">
            <w:pPr>
              <w:pStyle w:val="BodyText"/>
              <w:jc w:val="both"/>
              <w:rPr>
                <w:noProof/>
                <w:sz w:val="20"/>
                <w:szCs w:val="20"/>
              </w:rPr>
            </w:pPr>
            <w:r w:rsidRPr="00C56424">
              <w:rPr>
                <w:noProof/>
                <w:sz w:val="20"/>
                <w:szCs w:val="20"/>
              </w:rPr>
              <w:t xml:space="preserve">Assessment underpinning chemical limit values </w:t>
            </w:r>
          </w:p>
          <w:p w14:paraId="12BE6605" w14:textId="77777777" w:rsidR="000A7D9D" w:rsidRPr="00C56424" w:rsidRDefault="000A7D9D" w:rsidP="00F31937">
            <w:pPr>
              <w:pStyle w:val="BodyText"/>
              <w:jc w:val="both"/>
              <w:rPr>
                <w:noProof/>
                <w:sz w:val="20"/>
                <w:szCs w:val="20"/>
              </w:rPr>
            </w:pPr>
            <w:r w:rsidRPr="00C56424">
              <w:rPr>
                <w:noProof/>
                <w:sz w:val="20"/>
                <w:szCs w:val="20"/>
              </w:rPr>
              <w:t xml:space="preserve">Assessment underpinning amending the limit values for ‘heavy metals’ in toys; </w:t>
            </w:r>
          </w:p>
          <w:p w14:paraId="2D5C93BA" w14:textId="77777777" w:rsidR="000A7D9D" w:rsidRPr="00C56424" w:rsidRDefault="000A7D9D" w:rsidP="00F31937">
            <w:pPr>
              <w:pStyle w:val="BodyText"/>
              <w:jc w:val="both"/>
              <w:rPr>
                <w:noProof/>
                <w:sz w:val="20"/>
                <w:szCs w:val="20"/>
              </w:rPr>
            </w:pPr>
            <w:r w:rsidRPr="00C56424">
              <w:rPr>
                <w:noProof/>
                <w:sz w:val="20"/>
                <w:szCs w:val="20"/>
              </w:rPr>
              <w:t xml:space="preserve">Assessment underpinning amendments to the lists of allergenic fragrances that are prohibited in toys </w:t>
            </w:r>
          </w:p>
          <w:p w14:paraId="539C0C1A" w14:textId="77777777" w:rsidR="000A7D9D" w:rsidRPr="00C56424" w:rsidRDefault="000A7D9D" w:rsidP="00F31937">
            <w:pPr>
              <w:pStyle w:val="BodyText"/>
              <w:jc w:val="both"/>
              <w:rPr>
                <w:noProof/>
                <w:sz w:val="20"/>
                <w:szCs w:val="20"/>
              </w:rPr>
            </w:pPr>
            <w:r w:rsidRPr="00C56424">
              <w:rPr>
                <w:noProof/>
                <w:sz w:val="20"/>
                <w:szCs w:val="20"/>
              </w:rPr>
              <w:t>Assessment underpinning a derogation for the use of CMR and EDs substances in toys.</w:t>
            </w:r>
          </w:p>
        </w:tc>
        <w:tc>
          <w:tcPr>
            <w:tcW w:w="1785" w:type="dxa"/>
            <w:shd w:val="clear" w:color="auto" w:fill="D9D9D9" w:themeFill="background1" w:themeFillShade="D9"/>
          </w:tcPr>
          <w:p w14:paraId="248930DE"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489" w:type="dxa"/>
            <w:shd w:val="clear" w:color="auto" w:fill="D9D9D9" w:themeFill="background1" w:themeFillShade="D9"/>
          </w:tcPr>
          <w:p w14:paraId="3E246BF2"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noProof/>
                <w:sz w:val="20"/>
                <w:szCs w:val="20"/>
                <w:lang w:val="fr-BE"/>
              </w:rPr>
              <w:t>EUR 0</w:t>
            </w:r>
            <w:r w:rsidRPr="00C56424">
              <w:rPr>
                <w:noProof/>
                <w:sz w:val="20"/>
                <w:szCs w:val="20"/>
                <w:lang w:val="fr-BE"/>
              </w:rPr>
              <w:t xml:space="preserve"> </w:t>
            </w:r>
          </w:p>
          <w:p w14:paraId="164DFEB4"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 0</w:t>
            </w:r>
          </w:p>
          <w:p w14:paraId="4931066C"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noProof/>
                <w:sz w:val="20"/>
                <w:szCs w:val="20"/>
                <w:lang w:val="fr-BE"/>
              </w:rPr>
              <w:t>EUR 0</w:t>
            </w:r>
          </w:p>
          <w:p w14:paraId="78D03E90"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2027: </w:t>
            </w:r>
            <w:r w:rsidRPr="00C56424">
              <w:rPr>
                <w:b/>
                <w:noProof/>
                <w:sz w:val="20"/>
                <w:szCs w:val="20"/>
                <w:lang w:val="fr-BE"/>
              </w:rPr>
              <w:t>EUR 0</w:t>
            </w:r>
          </w:p>
          <w:p w14:paraId="67FD18A4"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2028: </w:t>
            </w:r>
            <w:r w:rsidRPr="00C56424">
              <w:rPr>
                <w:b/>
                <w:noProof/>
                <w:sz w:val="20"/>
                <w:szCs w:val="20"/>
                <w:lang w:val="fr-BE"/>
              </w:rPr>
              <w:t>EUR 0</w:t>
            </w:r>
          </w:p>
        </w:tc>
      </w:tr>
      <w:tr w:rsidR="000A7D9D" w:rsidRPr="00C56424" w14:paraId="62E678C6" w14:textId="77777777" w:rsidTr="00F31937">
        <w:trPr>
          <w:trHeight w:val="300"/>
        </w:trPr>
        <w:tc>
          <w:tcPr>
            <w:tcW w:w="1185" w:type="dxa"/>
            <w:vMerge/>
            <w:shd w:val="clear" w:color="auto" w:fill="D9D9D9" w:themeFill="background1" w:themeFillShade="D9"/>
          </w:tcPr>
          <w:p w14:paraId="6FC33AFD" w14:textId="77777777" w:rsidR="000A7D9D" w:rsidRPr="00C56424" w:rsidRDefault="000A7D9D" w:rsidP="00F31937">
            <w:pPr>
              <w:pStyle w:val="BodyText"/>
              <w:rPr>
                <w:noProof/>
                <w:sz w:val="20"/>
                <w:szCs w:val="20"/>
                <w:lang w:val="fr-BE"/>
              </w:rPr>
            </w:pPr>
          </w:p>
        </w:tc>
        <w:tc>
          <w:tcPr>
            <w:tcW w:w="4170" w:type="dxa"/>
            <w:vMerge/>
            <w:shd w:val="clear" w:color="auto" w:fill="D9D9D9" w:themeFill="background1" w:themeFillShade="D9"/>
          </w:tcPr>
          <w:p w14:paraId="2FBADF0B" w14:textId="77777777" w:rsidR="000A7D9D" w:rsidRPr="00C56424" w:rsidRDefault="000A7D9D" w:rsidP="00F31937">
            <w:pPr>
              <w:pStyle w:val="BodyText"/>
              <w:rPr>
                <w:noProof/>
                <w:sz w:val="20"/>
                <w:szCs w:val="20"/>
                <w:lang w:val="fr-BE"/>
              </w:rPr>
            </w:pPr>
          </w:p>
        </w:tc>
        <w:tc>
          <w:tcPr>
            <w:tcW w:w="1785" w:type="dxa"/>
            <w:shd w:val="clear" w:color="auto" w:fill="D9D9D9" w:themeFill="background1" w:themeFillShade="D9"/>
          </w:tcPr>
          <w:p w14:paraId="2F0B6876"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489" w:type="dxa"/>
            <w:shd w:val="clear" w:color="auto" w:fill="D9D9D9" w:themeFill="background1" w:themeFillShade="D9"/>
          </w:tcPr>
          <w:p w14:paraId="63B34AEF"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bCs/>
                <w:noProof/>
                <w:sz w:val="20"/>
                <w:szCs w:val="20"/>
                <w:lang w:val="fr-BE"/>
              </w:rPr>
              <w:t>0 TAs</w:t>
            </w:r>
            <w:r w:rsidRPr="00C56424">
              <w:rPr>
                <w:b/>
                <w:noProof/>
                <w:sz w:val="20"/>
                <w:szCs w:val="20"/>
                <w:lang w:val="fr-BE"/>
              </w:rPr>
              <w:t>, 0 CAs</w:t>
            </w:r>
          </w:p>
          <w:p w14:paraId="704EAB62"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bCs/>
                <w:noProof/>
                <w:sz w:val="20"/>
                <w:szCs w:val="20"/>
                <w:lang w:val="fr-BE"/>
              </w:rPr>
              <w:t xml:space="preserve"> 2 TAs</w:t>
            </w:r>
            <w:r w:rsidRPr="00C56424">
              <w:rPr>
                <w:b/>
                <w:noProof/>
                <w:sz w:val="20"/>
                <w:szCs w:val="20"/>
                <w:lang w:val="fr-BE"/>
              </w:rPr>
              <w:t>, 0 CAs</w:t>
            </w:r>
          </w:p>
          <w:p w14:paraId="1511B269"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bCs/>
                <w:noProof/>
                <w:sz w:val="20"/>
                <w:szCs w:val="20"/>
                <w:lang w:val="fr-BE"/>
              </w:rPr>
              <w:t xml:space="preserve"> 2 TAs</w:t>
            </w:r>
            <w:r w:rsidRPr="00C56424">
              <w:rPr>
                <w:b/>
                <w:noProof/>
                <w:sz w:val="20"/>
                <w:szCs w:val="20"/>
                <w:lang w:val="fr-BE"/>
              </w:rPr>
              <w:t>, 0 CAs</w:t>
            </w:r>
          </w:p>
          <w:p w14:paraId="62F61785"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bCs/>
                <w:noProof/>
                <w:sz w:val="20"/>
                <w:szCs w:val="20"/>
              </w:rPr>
              <w:t>2 TAs</w:t>
            </w:r>
            <w:r w:rsidRPr="00C56424">
              <w:rPr>
                <w:b/>
                <w:noProof/>
                <w:sz w:val="20"/>
                <w:szCs w:val="20"/>
              </w:rPr>
              <w:t>, 0 CAs</w:t>
            </w:r>
          </w:p>
          <w:p w14:paraId="15F13E0F"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2028:  </w:t>
            </w:r>
            <w:r w:rsidRPr="00C56424">
              <w:rPr>
                <w:b/>
                <w:bCs/>
                <w:noProof/>
                <w:sz w:val="20"/>
                <w:szCs w:val="20"/>
              </w:rPr>
              <w:t>2 TAs</w:t>
            </w:r>
            <w:r w:rsidRPr="00C56424">
              <w:rPr>
                <w:noProof/>
                <w:sz w:val="20"/>
                <w:szCs w:val="20"/>
              </w:rPr>
              <w:t>,</w:t>
            </w:r>
            <w:r w:rsidRPr="00C56424">
              <w:rPr>
                <w:b/>
                <w:noProof/>
                <w:sz w:val="20"/>
                <w:szCs w:val="20"/>
              </w:rPr>
              <w:t xml:space="preserve"> 0 CAs</w:t>
            </w:r>
          </w:p>
        </w:tc>
      </w:tr>
    </w:tbl>
    <w:p w14:paraId="3EB42E07" w14:textId="77777777" w:rsidR="000A7D9D" w:rsidRPr="00A00723" w:rsidRDefault="000A7D9D" w:rsidP="000A7D9D">
      <w:pPr>
        <w:pStyle w:val="BodyText"/>
        <w:spacing w:before="120"/>
        <w:rPr>
          <w:noProof/>
        </w:rPr>
      </w:pPr>
      <w:r w:rsidRPr="00A00723">
        <w:rPr>
          <w:noProof/>
          <w:u w:val="single"/>
        </w:rPr>
        <w:t>Future budget line:</w:t>
      </w:r>
      <w:r w:rsidRPr="00A00723">
        <w:rPr>
          <w:noProof/>
        </w:rPr>
        <w:t xml:space="preserve"> DG GROW</w:t>
      </w:r>
    </w:p>
    <w:p w14:paraId="2156A42D" w14:textId="77777777" w:rsidR="000A7D9D" w:rsidRPr="00A00723" w:rsidRDefault="000A7D9D" w:rsidP="000A7D9D">
      <w:pPr>
        <w:pStyle w:val="BodyText"/>
        <w:spacing w:line="259" w:lineRule="auto"/>
        <w:rPr>
          <w:noProof/>
        </w:rPr>
      </w:pPr>
      <w:r w:rsidRPr="00A00723">
        <w:rPr>
          <w:noProof/>
          <w:u w:val="single"/>
        </w:rPr>
        <w:t>Candidate for fees:</w:t>
      </w:r>
      <w:r w:rsidRPr="00A00723">
        <w:rPr>
          <w:noProof/>
        </w:rPr>
        <w:t xml:space="preserve"> No</w:t>
      </w:r>
    </w:p>
    <w:p w14:paraId="13E51FD4" w14:textId="77777777" w:rsidR="000A7D9D" w:rsidRPr="00E66CCC" w:rsidRDefault="000A7D9D" w:rsidP="000A7D9D">
      <w:pPr>
        <w:pStyle w:val="BodyText"/>
        <w:tabs>
          <w:tab w:val="left" w:pos="4170"/>
        </w:tabs>
        <w:rPr>
          <w:noProof/>
        </w:rPr>
      </w:pPr>
    </w:p>
    <w:p w14:paraId="5802B472"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61" w:name="_Toc150499933"/>
      <w:r w:rsidRPr="00291F95">
        <w:rPr>
          <w:rFonts w:ascii="Times New Roman" w:hAnsi="Times New Roman"/>
          <w:smallCaps/>
          <w:noProof/>
          <w:color w:val="auto"/>
          <w:sz w:val="24"/>
          <w:szCs w:val="20"/>
          <w:lang w:eastAsia="en-US"/>
        </w:rPr>
        <w:t>Restriction of Hazardous Substance (RoHS) Directive</w:t>
      </w:r>
      <w:r>
        <w:rPr>
          <w:rFonts w:ascii="Times New Roman" w:hAnsi="Times New Roman"/>
          <w:smallCaps/>
          <w:noProof/>
          <w:color w:val="auto"/>
          <w:sz w:val="24"/>
          <w:szCs w:val="20"/>
          <w:lang w:eastAsia="en-US"/>
        </w:rPr>
        <w:t xml:space="preserve"> (2011/65/EU)</w:t>
      </w:r>
      <w:bookmarkEnd w:id="61"/>
    </w:p>
    <w:p w14:paraId="7AD16E99" w14:textId="77777777" w:rsidR="000A7D9D" w:rsidRPr="00207447" w:rsidRDefault="000A7D9D" w:rsidP="000A7D9D">
      <w:pPr>
        <w:pStyle w:val="BodyText"/>
        <w:rPr>
          <w:b/>
          <w:bCs/>
          <w:noProof/>
        </w:rPr>
      </w:pPr>
      <w:bookmarkStart w:id="62" w:name="_Hlk106745976"/>
      <w:bookmarkStart w:id="63" w:name="_Hlk106747591"/>
      <w:bookmarkStart w:id="64" w:name="_Hlk106746022"/>
      <w:r w:rsidRPr="00207447">
        <w:rPr>
          <w:b/>
          <w:bCs/>
          <w:noProof/>
        </w:rPr>
        <w:t>Responsible body:</w:t>
      </w:r>
    </w:p>
    <w:p w14:paraId="4F8CE715" w14:textId="77777777" w:rsidR="000A7D9D" w:rsidRPr="00207447" w:rsidRDefault="000A7D9D" w:rsidP="000A7D9D">
      <w:pPr>
        <w:pStyle w:val="BodyText"/>
        <w:rPr>
          <w:noProof/>
        </w:rPr>
      </w:pPr>
      <w:r w:rsidRPr="00207447">
        <w:rPr>
          <w:noProof/>
          <w:u w:val="single"/>
        </w:rPr>
        <w:t>Currently:</w:t>
      </w:r>
      <w:r w:rsidRPr="00207447">
        <w:rPr>
          <w:noProof/>
        </w:rPr>
        <w:t xml:space="preserve"> Commission with the support of consultants</w:t>
      </w:r>
    </w:p>
    <w:p w14:paraId="6B89E213" w14:textId="77777777" w:rsidR="000A7D9D" w:rsidRPr="00207447" w:rsidRDefault="000A7D9D" w:rsidP="000A7D9D">
      <w:pPr>
        <w:pStyle w:val="BodyText"/>
        <w:rPr>
          <w:noProof/>
        </w:rPr>
      </w:pPr>
      <w:r w:rsidRPr="00207447">
        <w:rPr>
          <w:noProof/>
          <w:u w:val="single"/>
        </w:rPr>
        <w:t>(Re-)attribution planned to:</w:t>
      </w:r>
      <w:r w:rsidRPr="00207447">
        <w:rPr>
          <w:noProof/>
        </w:rPr>
        <w:t xml:space="preserve"> ECHA</w:t>
      </w:r>
      <w:bookmarkEnd w:id="62"/>
    </w:p>
    <w:p w14:paraId="23B2DDC1" w14:textId="77777777" w:rsidR="000A7D9D" w:rsidRPr="00207447" w:rsidRDefault="000A7D9D" w:rsidP="000A7D9D">
      <w:pPr>
        <w:pStyle w:val="BodyText"/>
        <w:rPr>
          <w:noProof/>
        </w:rPr>
      </w:pPr>
      <w:r w:rsidRPr="00207447">
        <w:rPr>
          <w:b/>
          <w:bCs/>
          <w:noProof/>
        </w:rPr>
        <w:t xml:space="preserve">Legal basis for reattribution: </w:t>
      </w:r>
      <w:r w:rsidRPr="00207447">
        <w:rPr>
          <w:noProof/>
        </w:rPr>
        <w:t xml:space="preserve"> </w:t>
      </w:r>
      <w:r>
        <w:rPr>
          <w:noProof/>
        </w:rPr>
        <w:t>Directive amending the RoHS Directive on</w:t>
      </w:r>
      <w:r w:rsidRPr="00207447">
        <w:rPr>
          <w:noProof/>
        </w:rPr>
        <w:t xml:space="preserve"> reattribution of tasks</w:t>
      </w:r>
      <w:r>
        <w:rPr>
          <w:noProof/>
        </w:rPr>
        <w:t xml:space="preserve"> to ECHA</w:t>
      </w:r>
    </w:p>
    <w:p w14:paraId="1FF1E97E" w14:textId="77777777" w:rsidR="000A7D9D" w:rsidRPr="00207447" w:rsidRDefault="000A7D9D" w:rsidP="000A7D9D">
      <w:pPr>
        <w:pStyle w:val="BodyText"/>
        <w:rPr>
          <w:b/>
          <w:bCs/>
          <w:noProof/>
        </w:rPr>
      </w:pPr>
      <w:r w:rsidRPr="00207447">
        <w:rPr>
          <w:b/>
          <w:bCs/>
          <w:noProof/>
        </w:rPr>
        <w:t xml:space="preserve">Type of task: </w:t>
      </w:r>
      <w:r w:rsidRPr="00207447">
        <w:rPr>
          <w:noProof/>
        </w:rPr>
        <w:t>Existing</w:t>
      </w:r>
      <w:bookmarkEnd w:id="63"/>
    </w:p>
    <w:p w14:paraId="1E9738FA" w14:textId="77777777" w:rsidR="000A7D9D" w:rsidRPr="00207447" w:rsidRDefault="000A7D9D" w:rsidP="000A7D9D">
      <w:pPr>
        <w:pStyle w:val="BodyText"/>
        <w:jc w:val="both"/>
        <w:rPr>
          <w:b/>
          <w:bCs/>
          <w:noProof/>
        </w:rPr>
      </w:pPr>
      <w:r w:rsidRPr="00207447">
        <w:rPr>
          <w:b/>
          <w:bCs/>
          <w:noProof/>
        </w:rPr>
        <w:t xml:space="preserve">Brief task overview: </w:t>
      </w:r>
    </w:p>
    <w:p w14:paraId="2A719D1F" w14:textId="77777777" w:rsidR="000A7D9D" w:rsidRPr="00207447" w:rsidRDefault="000A7D9D" w:rsidP="000A7D9D">
      <w:pPr>
        <w:widowControl w:val="0"/>
        <w:numPr>
          <w:ilvl w:val="0"/>
          <w:numId w:val="90"/>
        </w:numPr>
        <w:spacing w:before="120" w:after="120" w:line="240" w:lineRule="auto"/>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Assessments underpinning restrictions of hazardous substances in electrical and electronic equipment (currently 10 restricted substances) </w:t>
      </w:r>
    </w:p>
    <w:p w14:paraId="63A580FB" w14:textId="77777777" w:rsidR="000A7D9D" w:rsidRPr="00207447" w:rsidRDefault="000A7D9D" w:rsidP="000A7D9D">
      <w:pPr>
        <w:widowControl w:val="0"/>
        <w:numPr>
          <w:ilvl w:val="0"/>
          <w:numId w:val="90"/>
        </w:numPr>
        <w:spacing w:before="120" w:after="120" w:line="240" w:lineRule="auto"/>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Review of applications for exemptions from the restrictions. </w:t>
      </w:r>
    </w:p>
    <w:p w14:paraId="5F520B67" w14:textId="77777777" w:rsidR="000A7D9D" w:rsidRPr="00207447" w:rsidRDefault="000A7D9D" w:rsidP="000A7D9D">
      <w:pPr>
        <w:pStyle w:val="BodyText"/>
        <w:jc w:val="both"/>
        <w:rPr>
          <w:b/>
          <w:bCs/>
          <w:noProof/>
        </w:rPr>
      </w:pPr>
      <w:r w:rsidRPr="00207447">
        <w:rPr>
          <w:b/>
          <w:bCs/>
          <w:noProof/>
        </w:rPr>
        <w:t>Detailed process description:</w:t>
      </w:r>
    </w:p>
    <w:p w14:paraId="698C4FAC" w14:textId="77777777" w:rsidR="000A7D9D" w:rsidRPr="00207447" w:rsidRDefault="000A7D9D" w:rsidP="000A7D9D">
      <w:pPr>
        <w:spacing w:before="120" w:after="120"/>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Current process:</w:t>
      </w:r>
    </w:p>
    <w:p w14:paraId="46D970D8" w14:textId="77777777" w:rsidR="000A7D9D" w:rsidRPr="00207447" w:rsidRDefault="000A7D9D" w:rsidP="000A7D9D">
      <w:pPr>
        <w:spacing w:before="120"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RoHS restricts the use of hazardous substances in Electrical and Electronic Equipment (EEE). It covers the placing on the market of articles. It does not cover the use of the substance during the manufacture of them. The restricted substances are included in Annex II to the Directive. They are identified in accordance with the criteria outlined in its Article </w:t>
      </w:r>
      <w:r>
        <w:rPr>
          <w:rFonts w:ascii="Times New Roman" w:hAnsi="Times New Roman" w:cs="Times New Roman"/>
          <w:noProof/>
          <w:sz w:val="24"/>
          <w:szCs w:val="24"/>
        </w:rPr>
        <w:t>6(1)</w:t>
      </w:r>
      <w:r w:rsidRPr="00207447">
        <w:rPr>
          <w:rFonts w:ascii="Times New Roman" w:hAnsi="Times New Roman" w:cs="Times New Roman"/>
          <w:noProof/>
          <w:sz w:val="24"/>
          <w:szCs w:val="24"/>
        </w:rPr>
        <w:t xml:space="preserve"> with priority given to substances included in Annexes XIV or XVII to REACH, Substances of Very High Concern (SVHC) and substances with detrimental effects on waste management. RoHS includes also provisions for granting temporary exemptions for specific applications under certain conditions</w:t>
      </w:r>
      <w:r>
        <w:rPr>
          <w:rFonts w:ascii="Times New Roman" w:hAnsi="Times New Roman" w:cs="Times New Roman"/>
          <w:noProof/>
          <w:sz w:val="24"/>
          <w:szCs w:val="24"/>
        </w:rPr>
        <w:t xml:space="preserve"> pursuant to Article 5</w:t>
      </w:r>
      <w:r w:rsidRPr="00207447">
        <w:rPr>
          <w:rFonts w:ascii="Times New Roman" w:hAnsi="Times New Roman" w:cs="Times New Roman"/>
          <w:noProof/>
          <w:sz w:val="24"/>
          <w:szCs w:val="24"/>
        </w:rPr>
        <w:t>. Applications exempted from the restrictions are included in Annex III and IV. The details of the processes are:</w:t>
      </w:r>
    </w:p>
    <w:p w14:paraId="1ECAF5DF"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1. Restricting hazardous substances in electrical and electronic equipment (similar to REACH restriction):</w:t>
      </w:r>
    </w:p>
    <w:p w14:paraId="6B4738F6" w14:textId="77777777" w:rsidR="000A7D9D" w:rsidRPr="00207447" w:rsidRDefault="000A7D9D" w:rsidP="000A7D9D">
      <w:pPr>
        <w:widowControl w:val="0"/>
        <w:numPr>
          <w:ilvl w:val="0"/>
          <w:numId w:val="91"/>
        </w:numPr>
        <w:spacing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The process is initiated by the Commission on its own initiative or following submission of a proposal by MSs (Art 6(1)).</w:t>
      </w:r>
    </w:p>
    <w:p w14:paraId="2661241D" w14:textId="77777777" w:rsidR="000A7D9D" w:rsidRPr="00207447" w:rsidRDefault="000A7D9D" w:rsidP="000A7D9D">
      <w:pPr>
        <w:widowControl w:val="0"/>
        <w:numPr>
          <w:ilvl w:val="0"/>
          <w:numId w:val="91"/>
        </w:numPr>
        <w:spacing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Consultants perform a prioritisation to select substances.</w:t>
      </w:r>
    </w:p>
    <w:p w14:paraId="77B331FE" w14:textId="77777777" w:rsidR="000A7D9D" w:rsidRPr="00207447" w:rsidRDefault="000A7D9D" w:rsidP="000A7D9D">
      <w:pPr>
        <w:widowControl w:val="0"/>
        <w:numPr>
          <w:ilvl w:val="0"/>
          <w:numId w:val="91"/>
        </w:numPr>
        <w:spacing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Consultants perform an in-depth assessment (determination of hazard profile + waste management issues + also some basic socio-economic assessment; it includes consultation of interested parties).</w:t>
      </w:r>
    </w:p>
    <w:p w14:paraId="3091C5BA" w14:textId="77777777" w:rsidR="000A7D9D" w:rsidRPr="00207447" w:rsidRDefault="000A7D9D" w:rsidP="000A7D9D">
      <w:pPr>
        <w:widowControl w:val="0"/>
        <w:numPr>
          <w:ilvl w:val="0"/>
          <w:numId w:val="91"/>
        </w:numPr>
        <w:spacing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Consultants make a recommendation whether the substance should be listed.</w:t>
      </w:r>
    </w:p>
    <w:p w14:paraId="635B2C23" w14:textId="77777777" w:rsidR="000A7D9D" w:rsidRPr="00207447" w:rsidRDefault="000A7D9D" w:rsidP="000A7D9D">
      <w:pPr>
        <w:widowControl w:val="0"/>
        <w:numPr>
          <w:ilvl w:val="0"/>
          <w:numId w:val="91"/>
        </w:numPr>
        <w:spacing w:after="120" w:line="240" w:lineRule="auto"/>
        <w:ind w:left="714" w:hanging="357"/>
        <w:rPr>
          <w:rFonts w:ascii="Times New Roman" w:hAnsi="Times New Roman" w:cs="Times New Roman"/>
          <w:noProof/>
          <w:sz w:val="24"/>
          <w:szCs w:val="24"/>
        </w:rPr>
      </w:pPr>
      <w:r w:rsidRPr="00207447">
        <w:rPr>
          <w:rFonts w:ascii="Times New Roman" w:hAnsi="Times New Roman" w:cs="Times New Roman"/>
          <w:noProof/>
          <w:sz w:val="24"/>
          <w:szCs w:val="24"/>
        </w:rPr>
        <w:t>The Commission drafts delegated act modifying Annex II (currently listing 10 substances with their maximum concentration values).</w:t>
      </w:r>
    </w:p>
    <w:p w14:paraId="3BB92411" w14:textId="77777777" w:rsidR="000A7D9D" w:rsidRPr="00207447" w:rsidRDefault="000A7D9D" w:rsidP="000A7D9D">
      <w:pPr>
        <w:spacing w:after="120"/>
        <w:rPr>
          <w:rFonts w:ascii="Times New Roman" w:hAnsi="Times New Roman" w:cs="Times New Roman"/>
          <w:noProof/>
          <w:sz w:val="24"/>
          <w:szCs w:val="24"/>
        </w:rPr>
      </w:pPr>
      <w:r w:rsidRPr="00207447">
        <w:rPr>
          <w:rFonts w:ascii="Times New Roman" w:hAnsi="Times New Roman" w:cs="Times New Roman"/>
          <w:noProof/>
          <w:sz w:val="24"/>
          <w:szCs w:val="24"/>
        </w:rPr>
        <w:t>2. Reviewing exemptions from the restrictions (similar to REACH authorisation)</w:t>
      </w:r>
    </w:p>
    <w:p w14:paraId="48A9627D" w14:textId="77777777" w:rsidR="000A7D9D" w:rsidRPr="00207447" w:rsidRDefault="000A7D9D" w:rsidP="000A7D9D">
      <w:pPr>
        <w:widowControl w:val="0"/>
        <w:numPr>
          <w:ilvl w:val="0"/>
          <w:numId w:val="91"/>
        </w:numPr>
        <w:spacing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Industry applies for the exemption (new, renewal or revocation). Exemptions are by technical application.</w:t>
      </w:r>
    </w:p>
    <w:p w14:paraId="253425BC" w14:textId="77777777" w:rsidR="000A7D9D" w:rsidRPr="00207447" w:rsidRDefault="000A7D9D" w:rsidP="000A7D9D">
      <w:pPr>
        <w:widowControl w:val="0"/>
        <w:numPr>
          <w:ilvl w:val="0"/>
          <w:numId w:val="91"/>
        </w:numPr>
        <w:spacing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Consultants evaluate the request for derogation and its justification vis-à-vis the conditions provided in Article 5(1)(a). It includes consultation of interested parties.</w:t>
      </w:r>
    </w:p>
    <w:p w14:paraId="5C986C58" w14:textId="77777777" w:rsidR="000A7D9D" w:rsidRPr="00207447" w:rsidRDefault="000A7D9D" w:rsidP="000A7D9D">
      <w:pPr>
        <w:widowControl w:val="0"/>
        <w:numPr>
          <w:ilvl w:val="0"/>
          <w:numId w:val="91"/>
        </w:numPr>
        <w:spacing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Consultants make recommendation whether a derogation shall be granted (and for how long).</w:t>
      </w:r>
    </w:p>
    <w:p w14:paraId="5E815E02" w14:textId="77777777" w:rsidR="000A7D9D" w:rsidRPr="00207447" w:rsidRDefault="000A7D9D" w:rsidP="000A7D9D">
      <w:pPr>
        <w:widowControl w:val="0"/>
        <w:numPr>
          <w:ilvl w:val="0"/>
          <w:numId w:val="91"/>
        </w:numPr>
        <w:spacing w:after="120" w:line="240" w:lineRule="auto"/>
        <w:ind w:left="714" w:hanging="357"/>
        <w:rPr>
          <w:rFonts w:ascii="Times New Roman" w:hAnsi="Times New Roman" w:cs="Times New Roman"/>
          <w:noProof/>
          <w:sz w:val="24"/>
          <w:szCs w:val="24"/>
        </w:rPr>
      </w:pPr>
      <w:r w:rsidRPr="00207447">
        <w:rPr>
          <w:rFonts w:ascii="Times New Roman" w:hAnsi="Times New Roman" w:cs="Times New Roman"/>
          <w:noProof/>
          <w:sz w:val="24"/>
          <w:szCs w:val="24"/>
        </w:rPr>
        <w:t>The Commission adopts a delegated act modifying the Annexes III or IV.</w:t>
      </w:r>
    </w:p>
    <w:p w14:paraId="24005E1A" w14:textId="77777777" w:rsidR="000A7D9D" w:rsidRPr="00207447" w:rsidRDefault="000A7D9D" w:rsidP="000A7D9D">
      <w:pPr>
        <w:spacing w:after="120"/>
        <w:rPr>
          <w:rFonts w:ascii="Times New Roman" w:hAnsi="Times New Roman" w:cs="Times New Roman"/>
          <w:noProof/>
          <w:sz w:val="24"/>
          <w:szCs w:val="24"/>
        </w:rPr>
      </w:pPr>
      <w:r w:rsidRPr="00207447">
        <w:rPr>
          <w:rFonts w:ascii="Times New Roman" w:hAnsi="Times New Roman" w:cs="Times New Roman"/>
          <w:noProof/>
          <w:sz w:val="24"/>
          <w:szCs w:val="24"/>
          <w:u w:val="single"/>
        </w:rPr>
        <w:t>Changes envisaged as part of reattribution:</w:t>
      </w:r>
      <w:r w:rsidRPr="00207447">
        <w:rPr>
          <w:rFonts w:ascii="Times New Roman" w:hAnsi="Times New Roman" w:cs="Times New Roman"/>
          <w:noProof/>
          <w:sz w:val="24"/>
          <w:szCs w:val="24"/>
        </w:rPr>
        <w:t xml:space="preserve"> Yes</w:t>
      </w:r>
    </w:p>
    <w:p w14:paraId="3D26CA16" w14:textId="77777777" w:rsidR="000A7D9D" w:rsidRPr="00207447" w:rsidRDefault="000A7D9D" w:rsidP="000A7D9D">
      <w:pPr>
        <w:spacing w:after="120"/>
        <w:contextualSpacing/>
        <w:jc w:val="both"/>
        <w:rPr>
          <w:rFonts w:ascii="Times New Roman" w:hAnsi="Times New Roman" w:cs="Times New Roman"/>
          <w:noProof/>
          <w:sz w:val="24"/>
          <w:szCs w:val="24"/>
          <w:u w:val="single"/>
        </w:rPr>
      </w:pPr>
      <w:r w:rsidRPr="00207447">
        <w:rPr>
          <w:rFonts w:ascii="Times New Roman" w:hAnsi="Times New Roman" w:cs="Times New Roman"/>
          <w:noProof/>
          <w:sz w:val="24"/>
          <w:szCs w:val="24"/>
        </w:rPr>
        <w:t>The Commission wishes to establish a Registry of intentions. It also wishes to address the current criticism on the process with regard to lack of transparency, predictability of duration of the processes and of the procedural steps, involvement of stakeholders, quality of the assessment process and required time. Alignment with other chemicals legislation is also desired.</w:t>
      </w:r>
    </w:p>
    <w:p w14:paraId="14238224" w14:textId="77777777" w:rsidR="000A7D9D" w:rsidRPr="00207447" w:rsidRDefault="000A7D9D" w:rsidP="000A7D9D">
      <w:pPr>
        <w:pStyle w:val="BodyText"/>
        <w:jc w:val="both"/>
        <w:rPr>
          <w:noProof/>
        </w:rPr>
      </w:pPr>
      <w:r w:rsidRPr="00207447">
        <w:rPr>
          <w:b/>
          <w:bCs/>
          <w:noProof/>
        </w:rPr>
        <w:t>Proximity to agency’s mandate:</w:t>
      </w:r>
      <w:r w:rsidRPr="00207447">
        <w:rPr>
          <w:noProof/>
        </w:rPr>
        <w:t xml:space="preserve"> The RoHS restriction process, although not identical, is similar to the REACH restriction process and the s</w:t>
      </w:r>
      <w:r>
        <w:rPr>
          <w:noProof/>
        </w:rPr>
        <w:t>imilar</w:t>
      </w:r>
      <w:r w:rsidRPr="00207447">
        <w:rPr>
          <w:noProof/>
        </w:rPr>
        <w:t xml:space="preserve"> scientific methodologies can be applied. The RoHS exemption process, although not the same, resembles the authorisation process under REACH. The substances under scrutiny are the same or similar to those under REACH and existing ECHA data and processes can be reused for RoHS restriction dossier development, exemption process and opinion forming. ECHA holds the right competences to manage the process, however, does not </w:t>
      </w:r>
      <w:r>
        <w:rPr>
          <w:noProof/>
        </w:rPr>
        <w:t xml:space="preserve">yet </w:t>
      </w:r>
      <w:r w:rsidRPr="00207447">
        <w:rPr>
          <w:noProof/>
        </w:rPr>
        <w:t xml:space="preserve">have sufficient information on the exact use of substances in electronic equipment. </w:t>
      </w:r>
    </w:p>
    <w:p w14:paraId="314451E1" w14:textId="77777777" w:rsidR="000A7D9D" w:rsidRPr="00207447" w:rsidRDefault="000A7D9D" w:rsidP="000A7D9D">
      <w:pPr>
        <w:pStyle w:val="BodyText"/>
        <w:rPr>
          <w:b/>
          <w:bCs/>
          <w:noProof/>
        </w:rPr>
      </w:pPr>
      <w:r w:rsidRPr="00207447">
        <w:rPr>
          <w:b/>
          <w:bCs/>
          <w:noProof/>
        </w:rPr>
        <w:t>Projected synergies and added value of reattribution:</w:t>
      </w:r>
    </w:p>
    <w:tbl>
      <w:tblPr>
        <w:tblStyle w:val="TableGrid22"/>
        <w:tblW w:w="9629" w:type="dxa"/>
        <w:tblLook w:val="04A0" w:firstRow="1" w:lastRow="0" w:firstColumn="1" w:lastColumn="0" w:noHBand="0" w:noVBand="1"/>
      </w:tblPr>
      <w:tblGrid>
        <w:gridCol w:w="1656"/>
        <w:gridCol w:w="1080"/>
        <w:gridCol w:w="6893"/>
      </w:tblGrid>
      <w:tr w:rsidR="000A7D9D" w:rsidRPr="00207447" w14:paraId="036B4463"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2506046C" w14:textId="77777777" w:rsidR="000A7D9D" w:rsidRPr="00207447" w:rsidRDefault="000A7D9D" w:rsidP="00F31937">
            <w:pPr>
              <w:spacing w:before="120" w:after="120"/>
              <w:jc w:val="both"/>
              <w:rPr>
                <w:rFonts w:ascii="Times New Roman" w:hAnsi="Times New Roman"/>
                <w:b/>
                <w:bCs/>
                <w:noProof/>
                <w:color w:val="0046AD"/>
                <w:sz w:val="24"/>
                <w:szCs w:val="24"/>
              </w:rPr>
            </w:pPr>
            <w:r w:rsidRPr="00207447">
              <w:rPr>
                <w:rFonts w:ascii="Times New Roman" w:hAnsi="Times New Roman"/>
                <w:b/>
                <w:bCs/>
                <w:noProof/>
                <w:color w:val="4472C4" w:themeColor="accent1"/>
                <w:sz w:val="24"/>
                <w:szCs w:val="24"/>
              </w:rPr>
              <w:t>Type</w:t>
            </w:r>
          </w:p>
        </w:tc>
        <w:tc>
          <w:tcPr>
            <w:tcW w:w="7973" w:type="dxa"/>
            <w:gridSpan w:val="2"/>
            <w:tcBorders>
              <w:top w:val="single" w:sz="4" w:space="0" w:color="auto"/>
              <w:left w:val="single" w:sz="4" w:space="0" w:color="auto"/>
              <w:bottom w:val="single" w:sz="4" w:space="0" w:color="auto"/>
              <w:right w:val="single" w:sz="4" w:space="0" w:color="auto"/>
            </w:tcBorders>
            <w:hideMark/>
          </w:tcPr>
          <w:p w14:paraId="72E47B59" w14:textId="77777777" w:rsidR="000A7D9D" w:rsidRPr="00207447" w:rsidRDefault="000A7D9D" w:rsidP="00F31937">
            <w:pPr>
              <w:spacing w:before="120" w:after="120"/>
              <w:jc w:val="both"/>
              <w:rPr>
                <w:rFonts w:ascii="Times New Roman" w:hAnsi="Times New Roman"/>
                <w:b/>
                <w:bCs/>
                <w:noProof/>
                <w:color w:val="0046AD"/>
                <w:sz w:val="24"/>
                <w:szCs w:val="24"/>
              </w:rPr>
            </w:pPr>
            <w:r w:rsidRPr="00207447">
              <w:rPr>
                <w:rFonts w:ascii="Times New Roman" w:hAnsi="Times New Roman"/>
                <w:b/>
                <w:bCs/>
                <w:noProof/>
                <w:color w:val="4472C4" w:themeColor="accent1"/>
                <w:sz w:val="24"/>
                <w:szCs w:val="24"/>
              </w:rPr>
              <w:t>Synergies</w:t>
            </w:r>
          </w:p>
          <w:p w14:paraId="425CF68D" w14:textId="77777777" w:rsidR="000A7D9D" w:rsidRPr="00207447" w:rsidRDefault="000A7D9D" w:rsidP="00F31937">
            <w:pPr>
              <w:spacing w:before="120" w:after="120"/>
              <w:jc w:val="both"/>
              <w:rPr>
                <w:rFonts w:ascii="Times New Roman" w:hAnsi="Times New Roman"/>
                <w:b/>
                <w:bCs/>
                <w:noProof/>
                <w:color w:val="0046AD"/>
                <w:sz w:val="24"/>
                <w:szCs w:val="24"/>
              </w:rPr>
            </w:pPr>
          </w:p>
        </w:tc>
      </w:tr>
      <w:tr w:rsidR="000A7D9D" w:rsidRPr="00207447" w14:paraId="6D53FCF0"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452B302E" w14:textId="77777777" w:rsidR="000A7D9D" w:rsidRPr="00207447" w:rsidRDefault="000A7D9D" w:rsidP="00F31937">
            <w:pPr>
              <w:spacing w:before="120" w:after="120"/>
              <w:rPr>
                <w:rFonts w:ascii="Times New Roman" w:hAnsi="Times New Roman"/>
                <w:b/>
                <w:bCs/>
                <w:noProof/>
                <w:color w:val="000000"/>
                <w:sz w:val="24"/>
                <w:szCs w:val="24"/>
              </w:rPr>
            </w:pPr>
            <w:r w:rsidRPr="00207447">
              <w:rPr>
                <w:rFonts w:ascii="Times New Roman" w:hAnsi="Times New Roman"/>
                <w:b/>
                <w:bCs/>
                <w:noProof/>
                <w:color w:val="000000" w:themeColor="text1"/>
                <w:sz w:val="24"/>
                <w:szCs w:val="24"/>
              </w:rPr>
              <w:t>Reuse of capabilities</w:t>
            </w:r>
          </w:p>
        </w:tc>
        <w:tc>
          <w:tcPr>
            <w:tcW w:w="1080" w:type="dxa"/>
            <w:tcBorders>
              <w:top w:val="single" w:sz="4" w:space="0" w:color="auto"/>
              <w:left w:val="single" w:sz="4" w:space="0" w:color="auto"/>
              <w:bottom w:val="single" w:sz="4" w:space="0" w:color="auto"/>
              <w:right w:val="single" w:sz="4" w:space="0" w:color="auto"/>
            </w:tcBorders>
            <w:hideMark/>
          </w:tcPr>
          <w:p w14:paraId="24E4209E"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893" w:type="dxa"/>
            <w:tcBorders>
              <w:top w:val="single" w:sz="4" w:space="0" w:color="auto"/>
              <w:left w:val="single" w:sz="4" w:space="0" w:color="auto"/>
              <w:bottom w:val="single" w:sz="4" w:space="0" w:color="auto"/>
              <w:right w:val="single" w:sz="4" w:space="0" w:color="auto"/>
            </w:tcBorders>
            <w:hideMark/>
          </w:tcPr>
          <w:p w14:paraId="5EC400F3"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Process and expertise: ECHA already supports similar work on substance restrictions and exemptions under REACH and other legislation. Several key capacities can be reused/reinforced:</w:t>
            </w:r>
          </w:p>
          <w:p w14:paraId="206542EB" w14:textId="77777777" w:rsidR="000A7D9D" w:rsidRPr="00207447" w:rsidRDefault="000A7D9D" w:rsidP="000A7D9D">
            <w:pPr>
              <w:numPr>
                <w:ilvl w:val="0"/>
                <w:numId w:val="21"/>
              </w:numPr>
              <w:snapToGrid w:val="0"/>
              <w:ind w:left="720"/>
              <w:contextualSpacing/>
              <w:jc w:val="both"/>
              <w:rPr>
                <w:rFonts w:ascii="Times New Roman" w:hAnsi="Times New Roman"/>
                <w:noProof/>
                <w:sz w:val="24"/>
                <w:szCs w:val="24"/>
              </w:rPr>
            </w:pPr>
            <w:r w:rsidRPr="00207447">
              <w:rPr>
                <w:rFonts w:ascii="Times New Roman" w:hAnsi="Times New Roman"/>
                <w:noProof/>
                <w:sz w:val="24"/>
                <w:szCs w:val="24"/>
              </w:rPr>
              <w:t>Hazard, risk, exposure and socio-economic assessment</w:t>
            </w:r>
          </w:p>
          <w:p w14:paraId="67C506A3" w14:textId="77777777" w:rsidR="000A7D9D" w:rsidRPr="00207447" w:rsidRDefault="000A7D9D" w:rsidP="000A7D9D">
            <w:pPr>
              <w:numPr>
                <w:ilvl w:val="0"/>
                <w:numId w:val="21"/>
              </w:numPr>
              <w:snapToGrid w:val="0"/>
              <w:spacing w:before="120" w:after="120"/>
              <w:ind w:left="720"/>
              <w:contextualSpacing/>
              <w:jc w:val="both"/>
              <w:rPr>
                <w:rFonts w:ascii="Times New Roman" w:hAnsi="Times New Roman"/>
                <w:noProof/>
                <w:color w:val="000000"/>
                <w:sz w:val="24"/>
                <w:szCs w:val="24"/>
              </w:rPr>
            </w:pPr>
            <w:r w:rsidRPr="00207447">
              <w:rPr>
                <w:rFonts w:ascii="Times New Roman" w:hAnsi="Times New Roman"/>
                <w:noProof/>
                <w:sz w:val="24"/>
                <w:szCs w:val="24"/>
              </w:rPr>
              <w:t>Committee opinion development</w:t>
            </w:r>
          </w:p>
          <w:p w14:paraId="0C9C902E" w14:textId="77777777" w:rsidR="000A7D9D" w:rsidRPr="00207447" w:rsidRDefault="000A7D9D" w:rsidP="000A7D9D">
            <w:pPr>
              <w:numPr>
                <w:ilvl w:val="0"/>
                <w:numId w:val="21"/>
              </w:numPr>
              <w:snapToGrid w:val="0"/>
              <w:spacing w:before="120" w:after="120"/>
              <w:ind w:left="720"/>
              <w:contextualSpacing/>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Existing IT capabilities for industry dossier submission, stakeholder consultation and dissemination</w:t>
            </w:r>
          </w:p>
        </w:tc>
      </w:tr>
      <w:tr w:rsidR="000A7D9D" w:rsidRPr="00207447" w14:paraId="5C8FA0FD"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4A1B8749" w14:textId="77777777" w:rsidR="000A7D9D" w:rsidRPr="00207447" w:rsidRDefault="000A7D9D" w:rsidP="00F31937">
            <w:pPr>
              <w:spacing w:before="120" w:after="120"/>
              <w:rPr>
                <w:rFonts w:ascii="Times New Roman" w:hAnsi="Times New Roman"/>
                <w:b/>
                <w:bCs/>
                <w:noProof/>
                <w:color w:val="000000"/>
                <w:sz w:val="24"/>
                <w:szCs w:val="24"/>
              </w:rPr>
            </w:pPr>
            <w:r w:rsidRPr="00207447">
              <w:rPr>
                <w:rFonts w:ascii="Times New Roman" w:hAnsi="Times New Roman"/>
                <w:b/>
                <w:bCs/>
                <w:noProof/>
                <w:color w:val="000000" w:themeColor="text1"/>
                <w:sz w:val="24"/>
                <w:szCs w:val="24"/>
              </w:rPr>
              <w:t>Re-use of data</w:t>
            </w:r>
          </w:p>
        </w:tc>
        <w:tc>
          <w:tcPr>
            <w:tcW w:w="1080" w:type="dxa"/>
            <w:tcBorders>
              <w:top w:val="single" w:sz="4" w:space="0" w:color="auto"/>
              <w:left w:val="single" w:sz="4" w:space="0" w:color="auto"/>
              <w:bottom w:val="single" w:sz="4" w:space="0" w:color="auto"/>
              <w:right w:val="single" w:sz="4" w:space="0" w:color="auto"/>
            </w:tcBorders>
            <w:hideMark/>
          </w:tcPr>
          <w:p w14:paraId="1D21DE5A"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Medium</w:t>
            </w:r>
          </w:p>
        </w:tc>
        <w:tc>
          <w:tcPr>
            <w:tcW w:w="6893" w:type="dxa"/>
            <w:tcBorders>
              <w:top w:val="single" w:sz="4" w:space="0" w:color="auto"/>
              <w:left w:val="single" w:sz="4" w:space="0" w:color="auto"/>
              <w:bottom w:val="single" w:sz="4" w:space="0" w:color="auto"/>
              <w:right w:val="single" w:sz="4" w:space="0" w:color="auto"/>
            </w:tcBorders>
            <w:hideMark/>
          </w:tcPr>
          <w:p w14:paraId="375BEC93"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Reuse of substance identification and hazard data collected under other chemical legislation. Currently low availability of data on substances in products and waste streams.</w:t>
            </w:r>
          </w:p>
        </w:tc>
      </w:tr>
      <w:tr w:rsidR="000A7D9D" w:rsidRPr="00207447" w14:paraId="5C01B0C3"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0D1FDEBB" w14:textId="77777777" w:rsidR="000A7D9D" w:rsidRPr="00207447" w:rsidRDefault="000A7D9D" w:rsidP="00F31937">
            <w:pPr>
              <w:spacing w:before="120" w:after="120"/>
              <w:rPr>
                <w:rFonts w:ascii="Times New Roman" w:hAnsi="Times New Roman"/>
                <w:b/>
                <w:bCs/>
                <w:noProof/>
                <w:color w:val="000000"/>
                <w:sz w:val="24"/>
                <w:szCs w:val="24"/>
              </w:rPr>
            </w:pPr>
            <w:r w:rsidRPr="00207447">
              <w:rPr>
                <w:rFonts w:ascii="Times New Roman" w:hAnsi="Times New Roman"/>
                <w:b/>
                <w:bCs/>
                <w:noProof/>
                <w:color w:val="000000" w:themeColor="text1"/>
                <w:sz w:val="24"/>
                <w:szCs w:val="24"/>
              </w:rPr>
              <w:t>Workload balancing</w:t>
            </w:r>
          </w:p>
        </w:tc>
        <w:tc>
          <w:tcPr>
            <w:tcW w:w="1080" w:type="dxa"/>
            <w:tcBorders>
              <w:top w:val="single" w:sz="4" w:space="0" w:color="auto"/>
              <w:left w:val="single" w:sz="4" w:space="0" w:color="auto"/>
              <w:bottom w:val="single" w:sz="4" w:space="0" w:color="auto"/>
              <w:right w:val="single" w:sz="4" w:space="0" w:color="auto"/>
            </w:tcBorders>
            <w:hideMark/>
          </w:tcPr>
          <w:p w14:paraId="1AB07717"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Low</w:t>
            </w:r>
          </w:p>
        </w:tc>
        <w:tc>
          <w:tcPr>
            <w:tcW w:w="6893" w:type="dxa"/>
            <w:tcBorders>
              <w:top w:val="single" w:sz="4" w:space="0" w:color="auto"/>
              <w:left w:val="single" w:sz="4" w:space="0" w:color="auto"/>
              <w:bottom w:val="single" w:sz="4" w:space="0" w:color="auto"/>
              <w:right w:val="single" w:sz="4" w:space="0" w:color="auto"/>
            </w:tcBorders>
            <w:hideMark/>
          </w:tcPr>
          <w:p w14:paraId="7ED567F2"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 xml:space="preserve">With an estimated workload of processing </w:t>
            </w:r>
            <w:r>
              <w:rPr>
                <w:rFonts w:ascii="Times New Roman" w:hAnsi="Times New Roman"/>
                <w:noProof/>
                <w:color w:val="000000" w:themeColor="text1"/>
                <w:sz w:val="24"/>
                <w:szCs w:val="24"/>
              </w:rPr>
              <w:t>27</w:t>
            </w:r>
            <w:r w:rsidRPr="00207447">
              <w:rPr>
                <w:rFonts w:ascii="Times New Roman" w:hAnsi="Times New Roman"/>
                <w:noProof/>
                <w:color w:val="000000" w:themeColor="text1"/>
                <w:sz w:val="24"/>
                <w:szCs w:val="24"/>
              </w:rPr>
              <w:t xml:space="preserve"> exemption requests annually, while assessing one substance every year for the list of restricted substances, there is little room for workload balancing (and resource estimates are already annualised).</w:t>
            </w:r>
          </w:p>
        </w:tc>
      </w:tr>
      <w:tr w:rsidR="000A7D9D" w:rsidRPr="00207447" w14:paraId="43082A83"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47E720CD" w14:textId="77777777" w:rsidR="000A7D9D" w:rsidRPr="00207447" w:rsidRDefault="000A7D9D" w:rsidP="00F31937">
            <w:pPr>
              <w:spacing w:before="120" w:after="120"/>
              <w:rPr>
                <w:rFonts w:ascii="Times New Roman" w:hAnsi="Times New Roman"/>
                <w:b/>
                <w:bCs/>
                <w:noProof/>
                <w:color w:val="000000"/>
                <w:sz w:val="24"/>
                <w:szCs w:val="24"/>
              </w:rPr>
            </w:pPr>
            <w:r w:rsidRPr="00207447">
              <w:rPr>
                <w:rFonts w:ascii="Times New Roman" w:hAnsi="Times New Roman"/>
                <w:b/>
                <w:bCs/>
                <w:noProof/>
                <w:color w:val="000000" w:themeColor="text1"/>
                <w:sz w:val="24"/>
                <w:szCs w:val="24"/>
              </w:rPr>
              <w:t>IT tools: automation and economies of scale</w:t>
            </w:r>
          </w:p>
        </w:tc>
        <w:tc>
          <w:tcPr>
            <w:tcW w:w="1080" w:type="dxa"/>
            <w:tcBorders>
              <w:top w:val="single" w:sz="4" w:space="0" w:color="auto"/>
              <w:left w:val="single" w:sz="4" w:space="0" w:color="auto"/>
              <w:bottom w:val="single" w:sz="4" w:space="0" w:color="auto"/>
              <w:right w:val="single" w:sz="4" w:space="0" w:color="auto"/>
            </w:tcBorders>
            <w:hideMark/>
          </w:tcPr>
          <w:p w14:paraId="08E22AE6"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893" w:type="dxa"/>
            <w:tcBorders>
              <w:top w:val="single" w:sz="4" w:space="0" w:color="auto"/>
              <w:left w:val="single" w:sz="4" w:space="0" w:color="auto"/>
              <w:bottom w:val="single" w:sz="4" w:space="0" w:color="auto"/>
              <w:right w:val="single" w:sz="4" w:space="0" w:color="auto"/>
            </w:tcBorders>
            <w:hideMark/>
          </w:tcPr>
          <w:p w14:paraId="67946589"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Industry actors can submit their exemption requests reusing existing ECHA submission tools, at the same time automating the existing process. In addition, reuse of IT capabilities for case management, public consultation, interaction with Member States, regulatory intentions management and data dissemination.</w:t>
            </w:r>
          </w:p>
        </w:tc>
      </w:tr>
      <w:tr w:rsidR="000A7D9D" w:rsidRPr="00207447" w14:paraId="1D54A2C5" w14:textId="77777777" w:rsidTr="00F31937">
        <w:trPr>
          <w:trHeight w:val="300"/>
        </w:trPr>
        <w:tc>
          <w:tcPr>
            <w:tcW w:w="1656" w:type="dxa"/>
            <w:tcBorders>
              <w:top w:val="single" w:sz="4" w:space="0" w:color="auto"/>
              <w:left w:val="single" w:sz="4" w:space="0" w:color="auto"/>
              <w:bottom w:val="single" w:sz="4" w:space="0" w:color="auto"/>
              <w:right w:val="single" w:sz="4" w:space="0" w:color="auto"/>
            </w:tcBorders>
            <w:hideMark/>
          </w:tcPr>
          <w:p w14:paraId="2B53B317" w14:textId="77777777" w:rsidR="000A7D9D" w:rsidRPr="00207447" w:rsidRDefault="000A7D9D" w:rsidP="00F31937">
            <w:pPr>
              <w:spacing w:before="120" w:after="120"/>
              <w:rPr>
                <w:rFonts w:ascii="Times New Roman" w:hAnsi="Times New Roman"/>
                <w:b/>
                <w:bCs/>
                <w:noProof/>
                <w:color w:val="000000"/>
                <w:sz w:val="24"/>
                <w:szCs w:val="24"/>
              </w:rPr>
            </w:pPr>
            <w:r w:rsidRPr="00207447">
              <w:rPr>
                <w:rFonts w:ascii="Times New Roman" w:hAnsi="Times New Roman"/>
                <w:b/>
                <w:bCs/>
                <w:noProof/>
                <w:color w:val="000000" w:themeColor="text1"/>
                <w:sz w:val="24"/>
                <w:szCs w:val="24"/>
              </w:rPr>
              <w:t>Support services: economies of scale</w:t>
            </w:r>
          </w:p>
        </w:tc>
        <w:tc>
          <w:tcPr>
            <w:tcW w:w="1080" w:type="dxa"/>
            <w:tcBorders>
              <w:top w:val="single" w:sz="4" w:space="0" w:color="auto"/>
              <w:left w:val="single" w:sz="4" w:space="0" w:color="auto"/>
              <w:bottom w:val="single" w:sz="4" w:space="0" w:color="auto"/>
              <w:right w:val="single" w:sz="4" w:space="0" w:color="auto"/>
            </w:tcBorders>
            <w:hideMark/>
          </w:tcPr>
          <w:p w14:paraId="450A487B"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893" w:type="dxa"/>
            <w:tcBorders>
              <w:top w:val="single" w:sz="4" w:space="0" w:color="auto"/>
              <w:left w:val="single" w:sz="4" w:space="0" w:color="auto"/>
              <w:bottom w:val="single" w:sz="4" w:space="0" w:color="auto"/>
              <w:right w:val="single" w:sz="4" w:space="0" w:color="auto"/>
            </w:tcBorders>
            <w:hideMark/>
          </w:tcPr>
          <w:p w14:paraId="368B6955"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Reuse of scientific support services (e.g. committee secretariat, prioritisation and grouping of substances, substance identification, data management and dissemination). Reuse of administrative services.</w:t>
            </w:r>
          </w:p>
        </w:tc>
      </w:tr>
    </w:tbl>
    <w:p w14:paraId="52F51E95" w14:textId="77777777" w:rsidR="000A7D9D" w:rsidRPr="00207447" w:rsidRDefault="000A7D9D" w:rsidP="000A7D9D">
      <w:pPr>
        <w:pStyle w:val="BodyText"/>
        <w:jc w:val="both"/>
        <w:rPr>
          <w:noProof/>
        </w:rPr>
      </w:pPr>
    </w:p>
    <w:tbl>
      <w:tblPr>
        <w:tblStyle w:val="TableGrid23"/>
        <w:tblW w:w="9629" w:type="dxa"/>
        <w:tblLook w:val="04A0" w:firstRow="1" w:lastRow="0" w:firstColumn="1" w:lastColumn="0" w:noHBand="0" w:noVBand="1"/>
      </w:tblPr>
      <w:tblGrid>
        <w:gridCol w:w="1822"/>
        <w:gridCol w:w="1065"/>
        <w:gridCol w:w="6742"/>
      </w:tblGrid>
      <w:tr w:rsidR="000A7D9D" w:rsidRPr="00207447" w14:paraId="60B3D680"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20A30AC1" w14:textId="77777777" w:rsidR="000A7D9D" w:rsidRPr="00207447" w:rsidRDefault="000A7D9D" w:rsidP="00F31937">
            <w:pPr>
              <w:spacing w:before="120" w:after="120"/>
              <w:jc w:val="both"/>
              <w:rPr>
                <w:rFonts w:ascii="Times New Roman" w:hAnsi="Times New Roman"/>
                <w:b/>
                <w:bCs/>
                <w:noProof/>
                <w:color w:val="0046AD"/>
                <w:sz w:val="24"/>
                <w:szCs w:val="24"/>
              </w:rPr>
            </w:pPr>
            <w:r w:rsidRPr="00207447">
              <w:rPr>
                <w:rFonts w:ascii="Times New Roman" w:hAnsi="Times New Roman"/>
                <w:b/>
                <w:bCs/>
                <w:noProof/>
                <w:color w:val="4472C4" w:themeColor="accent1"/>
                <w:sz w:val="24"/>
                <w:szCs w:val="24"/>
              </w:rPr>
              <w:t>Type</w:t>
            </w:r>
          </w:p>
        </w:tc>
        <w:tc>
          <w:tcPr>
            <w:tcW w:w="7807" w:type="dxa"/>
            <w:gridSpan w:val="2"/>
            <w:tcBorders>
              <w:top w:val="single" w:sz="4" w:space="0" w:color="auto"/>
              <w:left w:val="single" w:sz="4" w:space="0" w:color="auto"/>
              <w:bottom w:val="single" w:sz="4" w:space="0" w:color="auto"/>
              <w:right w:val="single" w:sz="4" w:space="0" w:color="auto"/>
            </w:tcBorders>
            <w:hideMark/>
          </w:tcPr>
          <w:p w14:paraId="29E052AD" w14:textId="77777777" w:rsidR="000A7D9D" w:rsidRPr="00207447" w:rsidRDefault="000A7D9D" w:rsidP="00F31937">
            <w:pPr>
              <w:spacing w:before="120" w:after="120"/>
              <w:jc w:val="both"/>
              <w:rPr>
                <w:rFonts w:ascii="Times New Roman" w:hAnsi="Times New Roman"/>
                <w:b/>
                <w:bCs/>
                <w:noProof/>
                <w:color w:val="0046AD"/>
                <w:sz w:val="24"/>
                <w:szCs w:val="24"/>
              </w:rPr>
            </w:pPr>
            <w:r w:rsidRPr="00207447">
              <w:rPr>
                <w:rFonts w:ascii="Times New Roman" w:hAnsi="Times New Roman"/>
                <w:b/>
                <w:bCs/>
                <w:noProof/>
                <w:color w:val="4472C4" w:themeColor="accent1"/>
                <w:sz w:val="24"/>
                <w:szCs w:val="24"/>
              </w:rPr>
              <w:t>Added value</w:t>
            </w:r>
          </w:p>
          <w:p w14:paraId="1DD0720B" w14:textId="77777777" w:rsidR="000A7D9D" w:rsidRPr="00207447" w:rsidRDefault="000A7D9D" w:rsidP="00F31937">
            <w:pPr>
              <w:spacing w:before="120" w:after="120"/>
              <w:jc w:val="both"/>
              <w:rPr>
                <w:rFonts w:ascii="Times New Roman" w:hAnsi="Times New Roman"/>
                <w:b/>
                <w:bCs/>
                <w:noProof/>
                <w:color w:val="0046AD"/>
                <w:sz w:val="24"/>
                <w:szCs w:val="24"/>
              </w:rPr>
            </w:pPr>
          </w:p>
        </w:tc>
      </w:tr>
      <w:tr w:rsidR="000A7D9D" w:rsidRPr="00207447" w14:paraId="7DF52313"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6E38E9C7" w14:textId="77777777" w:rsidR="000A7D9D" w:rsidRPr="00207447" w:rsidRDefault="000A7D9D" w:rsidP="00F31937">
            <w:pPr>
              <w:spacing w:before="120" w:after="120"/>
              <w:jc w:val="both"/>
              <w:rPr>
                <w:rFonts w:ascii="Times New Roman" w:hAnsi="Times New Roman"/>
                <w:b/>
                <w:bCs/>
                <w:noProof/>
                <w:color w:val="000000"/>
                <w:sz w:val="24"/>
                <w:szCs w:val="24"/>
              </w:rPr>
            </w:pPr>
            <w:r w:rsidRPr="00207447">
              <w:rPr>
                <w:rFonts w:ascii="Times New Roman" w:hAnsi="Times New Roman"/>
                <w:b/>
                <w:bCs/>
                <w:noProof/>
                <w:color w:val="000000" w:themeColor="text1"/>
                <w:sz w:val="24"/>
                <w:szCs w:val="24"/>
              </w:rPr>
              <w:t>Scientific consistency</w:t>
            </w:r>
          </w:p>
        </w:tc>
        <w:tc>
          <w:tcPr>
            <w:tcW w:w="1065" w:type="dxa"/>
            <w:tcBorders>
              <w:top w:val="single" w:sz="4" w:space="0" w:color="auto"/>
              <w:left w:val="single" w:sz="4" w:space="0" w:color="auto"/>
              <w:bottom w:val="single" w:sz="4" w:space="0" w:color="auto"/>
              <w:right w:val="single" w:sz="4" w:space="0" w:color="auto"/>
            </w:tcBorders>
            <w:hideMark/>
          </w:tcPr>
          <w:p w14:paraId="186D6C1C"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742" w:type="dxa"/>
            <w:tcBorders>
              <w:top w:val="single" w:sz="4" w:space="0" w:color="auto"/>
              <w:left w:val="single" w:sz="4" w:space="0" w:color="auto"/>
              <w:bottom w:val="single" w:sz="4" w:space="0" w:color="auto"/>
              <w:right w:val="single" w:sz="4" w:space="0" w:color="auto"/>
            </w:tcBorders>
            <w:hideMark/>
          </w:tcPr>
          <w:p w14:paraId="38D9288B"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Opportunity to align priority setting, timeline, process and methodology with other related legislation to improve coherence in the scientific advice provided to the Commission. Reuse of assessment insights developed under other chemical legislation.</w:t>
            </w:r>
          </w:p>
        </w:tc>
      </w:tr>
      <w:tr w:rsidR="000A7D9D" w:rsidRPr="00207447" w14:paraId="265D8FDF"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404F9427" w14:textId="77777777" w:rsidR="000A7D9D" w:rsidRPr="00207447" w:rsidRDefault="000A7D9D" w:rsidP="00F31937">
            <w:pPr>
              <w:spacing w:before="120" w:after="120"/>
              <w:jc w:val="both"/>
              <w:rPr>
                <w:rFonts w:ascii="Times New Roman" w:hAnsi="Times New Roman"/>
                <w:b/>
                <w:bCs/>
                <w:noProof/>
                <w:color w:val="000000"/>
                <w:sz w:val="24"/>
                <w:szCs w:val="24"/>
              </w:rPr>
            </w:pPr>
            <w:r w:rsidRPr="00207447">
              <w:rPr>
                <w:rFonts w:ascii="Times New Roman" w:hAnsi="Times New Roman"/>
                <w:b/>
                <w:bCs/>
                <w:noProof/>
                <w:color w:val="000000" w:themeColor="text1"/>
                <w:sz w:val="24"/>
                <w:szCs w:val="24"/>
              </w:rPr>
              <w:t>Robustness of assessment and acceptance</w:t>
            </w:r>
          </w:p>
        </w:tc>
        <w:tc>
          <w:tcPr>
            <w:tcW w:w="1065" w:type="dxa"/>
            <w:tcBorders>
              <w:top w:val="single" w:sz="4" w:space="0" w:color="auto"/>
              <w:left w:val="single" w:sz="4" w:space="0" w:color="auto"/>
              <w:bottom w:val="single" w:sz="4" w:space="0" w:color="auto"/>
              <w:right w:val="single" w:sz="4" w:space="0" w:color="auto"/>
            </w:tcBorders>
            <w:hideMark/>
          </w:tcPr>
          <w:p w14:paraId="47F36692"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742" w:type="dxa"/>
            <w:tcBorders>
              <w:top w:val="single" w:sz="4" w:space="0" w:color="auto"/>
              <w:left w:val="single" w:sz="4" w:space="0" w:color="auto"/>
              <w:bottom w:val="single" w:sz="4" w:space="0" w:color="auto"/>
              <w:right w:val="single" w:sz="4" w:space="0" w:color="auto"/>
            </w:tcBorders>
            <w:hideMark/>
          </w:tcPr>
          <w:p w14:paraId="5FB2D70A"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Insourcing of scientific work from consultants to Agency experts. Additional involvement of RAC and SEAC committees adds more scientific robustness to the process.</w:t>
            </w:r>
          </w:p>
          <w:p w14:paraId="6AF078F7" w14:textId="77777777" w:rsidR="000A7D9D" w:rsidRPr="00207447" w:rsidRDefault="000A7D9D" w:rsidP="00F31937">
            <w:pPr>
              <w:spacing w:after="240"/>
              <w:jc w:val="both"/>
              <w:rPr>
                <w:rFonts w:ascii="Times New Roman" w:hAnsi="Times New Roman"/>
                <w:i/>
                <w:iCs/>
                <w:noProof/>
                <w:sz w:val="24"/>
                <w:szCs w:val="24"/>
              </w:rPr>
            </w:pPr>
            <w:r w:rsidRPr="00207447">
              <w:rPr>
                <w:rFonts w:ascii="Times New Roman" w:hAnsi="Times New Roman"/>
                <w:i/>
                <w:iCs/>
                <w:noProof/>
                <w:sz w:val="24"/>
                <w:szCs w:val="24"/>
              </w:rPr>
              <w:t xml:space="preserve">(See also </w:t>
            </w:r>
            <w:hyperlink r:id="rId74" w:history="1">
              <w:r w:rsidRPr="00207447">
                <w:rPr>
                  <w:rFonts w:ascii="Times New Roman" w:hAnsi="Times New Roman"/>
                  <w:i/>
                  <w:iCs/>
                  <w:noProof/>
                  <w:color w:val="0563C1"/>
                  <w:sz w:val="24"/>
                  <w:szCs w:val="24"/>
                  <w:u w:val="single"/>
                </w:rPr>
                <w:t>European Court of Auditors: External consultants at the European Commission - Scope for reform).</w:t>
              </w:r>
            </w:hyperlink>
          </w:p>
        </w:tc>
      </w:tr>
      <w:tr w:rsidR="000A7D9D" w:rsidRPr="00207447" w14:paraId="5554B38E"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6E652677" w14:textId="77777777" w:rsidR="000A7D9D" w:rsidRPr="00207447" w:rsidRDefault="000A7D9D" w:rsidP="00F31937">
            <w:pPr>
              <w:spacing w:before="120" w:after="120"/>
              <w:jc w:val="both"/>
              <w:rPr>
                <w:rFonts w:ascii="Times New Roman" w:hAnsi="Times New Roman"/>
                <w:b/>
                <w:bCs/>
                <w:noProof/>
                <w:color w:val="000000"/>
                <w:sz w:val="24"/>
                <w:szCs w:val="24"/>
              </w:rPr>
            </w:pPr>
            <w:r w:rsidRPr="00207447">
              <w:rPr>
                <w:rFonts w:ascii="Times New Roman" w:hAnsi="Times New Roman"/>
                <w:b/>
                <w:bCs/>
                <w:noProof/>
                <w:color w:val="000000" w:themeColor="text1"/>
                <w:sz w:val="24"/>
                <w:szCs w:val="24"/>
              </w:rPr>
              <w:t>Independence</w:t>
            </w:r>
          </w:p>
        </w:tc>
        <w:tc>
          <w:tcPr>
            <w:tcW w:w="1065" w:type="dxa"/>
            <w:tcBorders>
              <w:top w:val="single" w:sz="4" w:space="0" w:color="auto"/>
              <w:left w:val="single" w:sz="4" w:space="0" w:color="auto"/>
              <w:bottom w:val="single" w:sz="4" w:space="0" w:color="auto"/>
              <w:right w:val="single" w:sz="4" w:space="0" w:color="auto"/>
            </w:tcBorders>
            <w:hideMark/>
          </w:tcPr>
          <w:p w14:paraId="398195DF"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742" w:type="dxa"/>
            <w:tcBorders>
              <w:top w:val="single" w:sz="4" w:space="0" w:color="auto"/>
              <w:left w:val="single" w:sz="4" w:space="0" w:color="auto"/>
              <w:bottom w:val="single" w:sz="4" w:space="0" w:color="auto"/>
              <w:right w:val="single" w:sz="4" w:space="0" w:color="auto"/>
            </w:tcBorders>
            <w:hideMark/>
          </w:tcPr>
          <w:p w14:paraId="3B5F628E"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Moving scientific work from consultants to Agency experts and committees. ECHA and its committees work under strict conflict of interest avoidance rules, improving guarantees of independent scientific advice to the Commission.</w:t>
            </w:r>
          </w:p>
        </w:tc>
      </w:tr>
      <w:tr w:rsidR="000A7D9D" w:rsidRPr="00207447" w14:paraId="40DD3580"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2D7943DA" w14:textId="77777777" w:rsidR="000A7D9D" w:rsidRPr="00207447" w:rsidRDefault="000A7D9D" w:rsidP="00F31937">
            <w:pPr>
              <w:spacing w:before="120" w:after="120"/>
              <w:jc w:val="both"/>
              <w:rPr>
                <w:rFonts w:ascii="Times New Roman" w:hAnsi="Times New Roman"/>
                <w:b/>
                <w:bCs/>
                <w:noProof/>
                <w:color w:val="000000"/>
                <w:sz w:val="24"/>
                <w:szCs w:val="24"/>
              </w:rPr>
            </w:pPr>
            <w:r w:rsidRPr="00207447">
              <w:rPr>
                <w:rFonts w:ascii="Times New Roman" w:hAnsi="Times New Roman"/>
                <w:b/>
                <w:bCs/>
                <w:noProof/>
                <w:color w:val="000000" w:themeColor="text1"/>
                <w:sz w:val="24"/>
                <w:szCs w:val="24"/>
              </w:rPr>
              <w:t>Transparency</w:t>
            </w:r>
          </w:p>
        </w:tc>
        <w:tc>
          <w:tcPr>
            <w:tcW w:w="1065" w:type="dxa"/>
            <w:tcBorders>
              <w:top w:val="single" w:sz="4" w:space="0" w:color="auto"/>
              <w:left w:val="single" w:sz="4" w:space="0" w:color="auto"/>
              <w:bottom w:val="single" w:sz="4" w:space="0" w:color="auto"/>
              <w:right w:val="single" w:sz="4" w:space="0" w:color="auto"/>
            </w:tcBorders>
            <w:hideMark/>
          </w:tcPr>
          <w:p w14:paraId="202CBFF0"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742" w:type="dxa"/>
            <w:tcBorders>
              <w:top w:val="single" w:sz="4" w:space="0" w:color="auto"/>
              <w:left w:val="single" w:sz="4" w:space="0" w:color="auto"/>
              <w:bottom w:val="single" w:sz="4" w:space="0" w:color="auto"/>
              <w:right w:val="single" w:sz="4" w:space="0" w:color="auto"/>
            </w:tcBorders>
            <w:hideMark/>
          </w:tcPr>
          <w:p w14:paraId="6FCC2770" w14:textId="77777777" w:rsidR="000A7D9D" w:rsidRPr="00207447" w:rsidRDefault="000A7D9D" w:rsidP="00F31937">
            <w:pPr>
              <w:spacing w:before="120" w:after="120"/>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ECHA’s involvement will bring additional transparency to the process:</w:t>
            </w:r>
          </w:p>
          <w:p w14:paraId="0611D7F2" w14:textId="77777777" w:rsidR="000A7D9D" w:rsidRPr="00207447" w:rsidRDefault="000A7D9D" w:rsidP="000A7D9D">
            <w:pPr>
              <w:numPr>
                <w:ilvl w:val="0"/>
                <w:numId w:val="21"/>
              </w:numPr>
              <w:snapToGrid w:val="0"/>
              <w:spacing w:before="120" w:after="120"/>
              <w:ind w:left="720"/>
              <w:contextualSpacing/>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Overall process transparency</w:t>
            </w:r>
          </w:p>
          <w:p w14:paraId="759613E3" w14:textId="77777777" w:rsidR="000A7D9D" w:rsidRPr="00207447" w:rsidRDefault="000A7D9D" w:rsidP="000A7D9D">
            <w:pPr>
              <w:numPr>
                <w:ilvl w:val="0"/>
                <w:numId w:val="21"/>
              </w:numPr>
              <w:snapToGrid w:val="0"/>
              <w:spacing w:before="120" w:after="120"/>
              <w:ind w:left="720"/>
              <w:contextualSpacing/>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Publication of regulatory intentions of EU authorities improves predictability for industry stakeholders</w:t>
            </w:r>
          </w:p>
          <w:p w14:paraId="1985D56B" w14:textId="77777777" w:rsidR="000A7D9D" w:rsidRPr="00207447" w:rsidRDefault="000A7D9D" w:rsidP="000A7D9D">
            <w:pPr>
              <w:numPr>
                <w:ilvl w:val="0"/>
                <w:numId w:val="21"/>
              </w:numPr>
              <w:snapToGrid w:val="0"/>
              <w:spacing w:before="120" w:after="120"/>
              <w:ind w:left="720"/>
              <w:contextualSpacing/>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Public consultation/call for evidence</w:t>
            </w:r>
          </w:p>
          <w:p w14:paraId="3E59175A" w14:textId="77777777" w:rsidR="000A7D9D" w:rsidRPr="00207447" w:rsidRDefault="000A7D9D" w:rsidP="000A7D9D">
            <w:pPr>
              <w:numPr>
                <w:ilvl w:val="0"/>
                <w:numId w:val="21"/>
              </w:numPr>
              <w:snapToGrid w:val="0"/>
              <w:spacing w:before="120" w:after="120"/>
              <w:ind w:left="720"/>
              <w:contextualSpacing/>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Stakeholder involvement/observer status</w:t>
            </w:r>
          </w:p>
          <w:p w14:paraId="7AE1BB59" w14:textId="77777777" w:rsidR="000A7D9D" w:rsidRPr="00207447" w:rsidRDefault="000A7D9D" w:rsidP="000A7D9D">
            <w:pPr>
              <w:numPr>
                <w:ilvl w:val="0"/>
                <w:numId w:val="21"/>
              </w:numPr>
              <w:snapToGrid w:val="0"/>
              <w:spacing w:before="120" w:after="120"/>
              <w:ind w:left="720"/>
              <w:contextualSpacing/>
              <w:jc w:val="both"/>
              <w:rPr>
                <w:rFonts w:ascii="Times New Roman" w:hAnsi="Times New Roman"/>
                <w:noProof/>
                <w:color w:val="000000"/>
                <w:sz w:val="24"/>
                <w:szCs w:val="24"/>
              </w:rPr>
            </w:pPr>
            <w:r w:rsidRPr="00207447">
              <w:rPr>
                <w:rFonts w:ascii="Times New Roman" w:hAnsi="Times New Roman"/>
                <w:noProof/>
                <w:color w:val="000000" w:themeColor="text1"/>
                <w:sz w:val="24"/>
                <w:szCs w:val="24"/>
              </w:rPr>
              <w:t>Dissemination of scientific data and outcomes</w:t>
            </w:r>
          </w:p>
        </w:tc>
      </w:tr>
    </w:tbl>
    <w:p w14:paraId="015A4632" w14:textId="77777777" w:rsidR="000A7D9D" w:rsidRPr="00207447" w:rsidRDefault="000A7D9D" w:rsidP="000A7D9D">
      <w:pPr>
        <w:pStyle w:val="BodyText"/>
        <w:spacing w:before="120"/>
        <w:jc w:val="both"/>
        <w:rPr>
          <w:noProof/>
        </w:rPr>
      </w:pPr>
      <w:r w:rsidRPr="00207447">
        <w:rPr>
          <w:b/>
          <w:bCs/>
          <w:noProof/>
        </w:rPr>
        <w:t xml:space="preserve">Main risks and opportunities: </w:t>
      </w:r>
      <w:r w:rsidRPr="00207447">
        <w:rPr>
          <w:noProof/>
        </w:rPr>
        <w:t xml:space="preserve"> No major concerns and there are certainly opportunities to find synergies with the REACH restriction/authorisation process. </w:t>
      </w:r>
    </w:p>
    <w:p w14:paraId="7F43A5B5" w14:textId="77777777" w:rsidR="000A7D9D" w:rsidRPr="00207447" w:rsidRDefault="000A7D9D" w:rsidP="000A7D9D">
      <w:pPr>
        <w:pStyle w:val="BodyText"/>
        <w:rPr>
          <w:b/>
          <w:bCs/>
          <w:noProof/>
        </w:rPr>
      </w:pPr>
      <w:r w:rsidRPr="00207447">
        <w:rPr>
          <w:b/>
          <w:bCs/>
          <w:noProof/>
        </w:rPr>
        <w:t xml:space="preserve">Projected impact on agencies: </w:t>
      </w:r>
    </w:p>
    <w:p w14:paraId="6138FDC6" w14:textId="77777777" w:rsidR="000A7D9D" w:rsidRPr="00207447" w:rsidRDefault="000A7D9D" w:rsidP="000A7D9D">
      <w:pPr>
        <w:pStyle w:val="BodyText"/>
        <w:widowControl w:val="0"/>
        <w:numPr>
          <w:ilvl w:val="0"/>
          <w:numId w:val="87"/>
        </w:numPr>
        <w:jc w:val="both"/>
        <w:rPr>
          <w:noProof/>
        </w:rPr>
      </w:pPr>
      <w:r w:rsidRPr="00207447">
        <w:rPr>
          <w:noProof/>
        </w:rPr>
        <w:t xml:space="preserve">ECHA Committees/bodies: </w:t>
      </w:r>
      <w:r w:rsidRPr="00207447">
        <w:rPr>
          <w:b/>
          <w:bCs/>
          <w:noProof/>
        </w:rPr>
        <w:t>high impact</w:t>
      </w:r>
      <w:r w:rsidRPr="00207447">
        <w:rPr>
          <w:noProof/>
        </w:rPr>
        <w:t xml:space="preserve">. The task generates major impact on the setup / organisation / staffing of Committees/bodies due to the additional workload. The major impact is on SEAC committee. </w:t>
      </w:r>
    </w:p>
    <w:tbl>
      <w:tblPr>
        <w:tblStyle w:val="TableGrid"/>
        <w:tblW w:w="9072" w:type="dxa"/>
        <w:tblInd w:w="562" w:type="dxa"/>
        <w:tblLook w:val="04A0" w:firstRow="1" w:lastRow="0" w:firstColumn="1" w:lastColumn="0" w:noHBand="0" w:noVBand="1"/>
      </w:tblPr>
      <w:tblGrid>
        <w:gridCol w:w="1683"/>
        <w:gridCol w:w="1084"/>
        <w:gridCol w:w="1363"/>
        <w:gridCol w:w="1129"/>
        <w:gridCol w:w="1132"/>
        <w:gridCol w:w="1416"/>
        <w:gridCol w:w="1265"/>
      </w:tblGrid>
      <w:tr w:rsidR="000A7D9D" w:rsidRPr="00207447" w14:paraId="65A2E4B6" w14:textId="77777777" w:rsidTr="00F31937">
        <w:tc>
          <w:tcPr>
            <w:tcW w:w="1696" w:type="dxa"/>
          </w:tcPr>
          <w:p w14:paraId="626C8565" w14:textId="77777777" w:rsidR="000A7D9D" w:rsidRPr="00207447" w:rsidRDefault="000A7D9D" w:rsidP="00F31937">
            <w:pPr>
              <w:pStyle w:val="BodyText"/>
              <w:rPr>
                <w:b/>
                <w:bCs/>
                <w:noProof/>
              </w:rPr>
            </w:pPr>
          </w:p>
        </w:tc>
        <w:tc>
          <w:tcPr>
            <w:tcW w:w="1076" w:type="dxa"/>
          </w:tcPr>
          <w:p w14:paraId="7846662E" w14:textId="77777777" w:rsidR="000A7D9D" w:rsidRPr="00207447" w:rsidRDefault="000A7D9D" w:rsidP="00F31937">
            <w:pPr>
              <w:pStyle w:val="BodyText"/>
              <w:rPr>
                <w:b/>
                <w:bCs/>
                <w:noProof/>
              </w:rPr>
            </w:pPr>
            <w:r w:rsidRPr="00207447">
              <w:rPr>
                <w:b/>
                <w:bCs/>
                <w:noProof/>
              </w:rPr>
              <w:t>RAC</w:t>
            </w:r>
          </w:p>
        </w:tc>
        <w:tc>
          <w:tcPr>
            <w:tcW w:w="1338" w:type="dxa"/>
          </w:tcPr>
          <w:p w14:paraId="3FCAE188" w14:textId="77777777" w:rsidR="000A7D9D" w:rsidRPr="00207447" w:rsidRDefault="000A7D9D" w:rsidP="00F31937">
            <w:pPr>
              <w:pStyle w:val="BodyText"/>
              <w:rPr>
                <w:b/>
                <w:bCs/>
                <w:noProof/>
              </w:rPr>
            </w:pPr>
          </w:p>
        </w:tc>
        <w:tc>
          <w:tcPr>
            <w:tcW w:w="1134" w:type="dxa"/>
          </w:tcPr>
          <w:p w14:paraId="653AEAC2" w14:textId="77777777" w:rsidR="000A7D9D" w:rsidRPr="00207447" w:rsidRDefault="000A7D9D" w:rsidP="00F31937">
            <w:pPr>
              <w:pStyle w:val="BodyText"/>
              <w:rPr>
                <w:b/>
                <w:bCs/>
                <w:noProof/>
              </w:rPr>
            </w:pPr>
          </w:p>
        </w:tc>
        <w:tc>
          <w:tcPr>
            <w:tcW w:w="1134" w:type="dxa"/>
          </w:tcPr>
          <w:p w14:paraId="204CF1D7" w14:textId="77777777" w:rsidR="000A7D9D" w:rsidRPr="00207447" w:rsidRDefault="000A7D9D" w:rsidP="00F31937">
            <w:pPr>
              <w:pStyle w:val="BodyText"/>
              <w:rPr>
                <w:b/>
                <w:bCs/>
                <w:noProof/>
              </w:rPr>
            </w:pPr>
            <w:r w:rsidRPr="00207447">
              <w:rPr>
                <w:b/>
                <w:bCs/>
                <w:noProof/>
              </w:rPr>
              <w:t>SEAC</w:t>
            </w:r>
          </w:p>
        </w:tc>
        <w:tc>
          <w:tcPr>
            <w:tcW w:w="1418" w:type="dxa"/>
          </w:tcPr>
          <w:p w14:paraId="42E68505" w14:textId="77777777" w:rsidR="000A7D9D" w:rsidRPr="00207447" w:rsidRDefault="000A7D9D" w:rsidP="00F31937">
            <w:pPr>
              <w:pStyle w:val="BodyText"/>
              <w:rPr>
                <w:b/>
                <w:bCs/>
                <w:noProof/>
              </w:rPr>
            </w:pPr>
          </w:p>
        </w:tc>
        <w:tc>
          <w:tcPr>
            <w:tcW w:w="1276" w:type="dxa"/>
          </w:tcPr>
          <w:p w14:paraId="2089E856" w14:textId="77777777" w:rsidR="000A7D9D" w:rsidRPr="00207447" w:rsidRDefault="000A7D9D" w:rsidP="00F31937">
            <w:pPr>
              <w:pStyle w:val="BodyText"/>
              <w:rPr>
                <w:b/>
                <w:bCs/>
                <w:noProof/>
              </w:rPr>
            </w:pPr>
          </w:p>
        </w:tc>
      </w:tr>
      <w:tr w:rsidR="000A7D9D" w:rsidRPr="00207447" w14:paraId="1863E5F9" w14:textId="77777777" w:rsidTr="00F31937">
        <w:tc>
          <w:tcPr>
            <w:tcW w:w="1696" w:type="dxa"/>
          </w:tcPr>
          <w:p w14:paraId="352D002C" w14:textId="77777777" w:rsidR="000A7D9D" w:rsidRPr="00207447" w:rsidRDefault="000A7D9D" w:rsidP="00F31937">
            <w:pPr>
              <w:pStyle w:val="BodyText"/>
              <w:rPr>
                <w:b/>
                <w:bCs/>
                <w:noProof/>
              </w:rPr>
            </w:pPr>
          </w:p>
        </w:tc>
        <w:tc>
          <w:tcPr>
            <w:tcW w:w="1076" w:type="dxa"/>
          </w:tcPr>
          <w:p w14:paraId="1A6C5A99" w14:textId="77777777" w:rsidR="000A7D9D" w:rsidRPr="00207447" w:rsidRDefault="000A7D9D" w:rsidP="00F31937">
            <w:pPr>
              <w:pStyle w:val="BodyText"/>
              <w:rPr>
                <w:b/>
                <w:bCs/>
                <w:noProof/>
              </w:rPr>
            </w:pPr>
            <w:r w:rsidRPr="00207447">
              <w:rPr>
                <w:b/>
                <w:bCs/>
                <w:noProof/>
              </w:rPr>
              <w:t># of opinions per year</w:t>
            </w:r>
          </w:p>
        </w:tc>
        <w:tc>
          <w:tcPr>
            <w:tcW w:w="1338" w:type="dxa"/>
          </w:tcPr>
          <w:p w14:paraId="49DC656A" w14:textId="77777777" w:rsidR="000A7D9D" w:rsidRPr="00207447" w:rsidRDefault="000A7D9D" w:rsidP="00F31937">
            <w:pPr>
              <w:pStyle w:val="BodyText"/>
              <w:rPr>
                <w:b/>
                <w:bCs/>
                <w:noProof/>
              </w:rPr>
            </w:pPr>
            <w:r w:rsidRPr="00207447">
              <w:rPr>
                <w:b/>
                <w:bCs/>
                <w:noProof/>
              </w:rPr>
              <w:t>rapporteur</w:t>
            </w:r>
          </w:p>
        </w:tc>
        <w:tc>
          <w:tcPr>
            <w:tcW w:w="1134" w:type="dxa"/>
          </w:tcPr>
          <w:p w14:paraId="272B7870" w14:textId="77777777" w:rsidR="000A7D9D" w:rsidRPr="00207447" w:rsidRDefault="000A7D9D" w:rsidP="00F31937">
            <w:pPr>
              <w:pStyle w:val="BodyText"/>
              <w:rPr>
                <w:b/>
                <w:bCs/>
                <w:noProof/>
              </w:rPr>
            </w:pPr>
            <w:r w:rsidRPr="00207447">
              <w:rPr>
                <w:b/>
                <w:bCs/>
                <w:noProof/>
              </w:rPr>
              <w:t>Type of opinion</w:t>
            </w:r>
          </w:p>
        </w:tc>
        <w:tc>
          <w:tcPr>
            <w:tcW w:w="1134" w:type="dxa"/>
          </w:tcPr>
          <w:p w14:paraId="49B82DDD" w14:textId="77777777" w:rsidR="000A7D9D" w:rsidRPr="00207447" w:rsidRDefault="000A7D9D" w:rsidP="00F31937">
            <w:pPr>
              <w:pStyle w:val="BodyText"/>
              <w:rPr>
                <w:b/>
                <w:bCs/>
                <w:noProof/>
              </w:rPr>
            </w:pPr>
            <w:r w:rsidRPr="00207447">
              <w:rPr>
                <w:b/>
                <w:bCs/>
                <w:noProof/>
              </w:rPr>
              <w:t># of opinions per year</w:t>
            </w:r>
          </w:p>
        </w:tc>
        <w:tc>
          <w:tcPr>
            <w:tcW w:w="1418" w:type="dxa"/>
          </w:tcPr>
          <w:p w14:paraId="39C45492" w14:textId="77777777" w:rsidR="000A7D9D" w:rsidRPr="00207447" w:rsidRDefault="000A7D9D" w:rsidP="00F31937">
            <w:pPr>
              <w:pStyle w:val="BodyText"/>
              <w:rPr>
                <w:b/>
                <w:bCs/>
                <w:noProof/>
              </w:rPr>
            </w:pPr>
            <w:r w:rsidRPr="00207447">
              <w:rPr>
                <w:b/>
                <w:bCs/>
                <w:noProof/>
              </w:rPr>
              <w:t>rapporteur</w:t>
            </w:r>
          </w:p>
        </w:tc>
        <w:tc>
          <w:tcPr>
            <w:tcW w:w="1276" w:type="dxa"/>
          </w:tcPr>
          <w:p w14:paraId="3BED4459" w14:textId="77777777" w:rsidR="000A7D9D" w:rsidRPr="00207447" w:rsidRDefault="000A7D9D" w:rsidP="00F31937">
            <w:pPr>
              <w:pStyle w:val="BodyText"/>
              <w:rPr>
                <w:b/>
                <w:bCs/>
                <w:noProof/>
              </w:rPr>
            </w:pPr>
            <w:r w:rsidRPr="00207447">
              <w:rPr>
                <w:b/>
                <w:bCs/>
                <w:noProof/>
              </w:rPr>
              <w:t>Type of opinion</w:t>
            </w:r>
          </w:p>
        </w:tc>
      </w:tr>
      <w:tr w:rsidR="000A7D9D" w:rsidRPr="00207447" w14:paraId="7D63EF3E" w14:textId="77777777" w:rsidTr="00F31937">
        <w:tc>
          <w:tcPr>
            <w:tcW w:w="1696" w:type="dxa"/>
          </w:tcPr>
          <w:p w14:paraId="4B7A3A8D" w14:textId="77777777" w:rsidR="000A7D9D" w:rsidRPr="00207447" w:rsidRDefault="000A7D9D" w:rsidP="00F31937">
            <w:pPr>
              <w:pStyle w:val="BodyText"/>
              <w:rPr>
                <w:noProof/>
              </w:rPr>
            </w:pPr>
            <w:r w:rsidRPr="00207447">
              <w:rPr>
                <w:noProof/>
              </w:rPr>
              <w:t xml:space="preserve">Restriction </w:t>
            </w:r>
          </w:p>
        </w:tc>
        <w:tc>
          <w:tcPr>
            <w:tcW w:w="1076" w:type="dxa"/>
          </w:tcPr>
          <w:p w14:paraId="2B251CCC" w14:textId="77777777" w:rsidR="000A7D9D" w:rsidRPr="00207447" w:rsidRDefault="000A7D9D" w:rsidP="00F31937">
            <w:pPr>
              <w:pStyle w:val="BodyText"/>
              <w:spacing w:line="259" w:lineRule="auto"/>
              <w:rPr>
                <w:noProof/>
              </w:rPr>
            </w:pPr>
            <w:r w:rsidRPr="00207447">
              <w:rPr>
                <w:noProof/>
              </w:rPr>
              <w:t>1</w:t>
            </w:r>
          </w:p>
        </w:tc>
        <w:tc>
          <w:tcPr>
            <w:tcW w:w="1338" w:type="dxa"/>
          </w:tcPr>
          <w:p w14:paraId="49CE9553" w14:textId="77777777" w:rsidR="000A7D9D" w:rsidRPr="00207447" w:rsidRDefault="000A7D9D" w:rsidP="00F31937">
            <w:pPr>
              <w:pStyle w:val="BodyText"/>
              <w:rPr>
                <w:noProof/>
              </w:rPr>
            </w:pPr>
            <w:r w:rsidRPr="00207447">
              <w:rPr>
                <w:noProof/>
              </w:rPr>
              <w:t>RAC member</w:t>
            </w:r>
          </w:p>
        </w:tc>
        <w:tc>
          <w:tcPr>
            <w:tcW w:w="1134" w:type="dxa"/>
          </w:tcPr>
          <w:p w14:paraId="15437B7B" w14:textId="77777777" w:rsidR="000A7D9D" w:rsidRPr="00207447" w:rsidRDefault="000A7D9D" w:rsidP="00F31937">
            <w:pPr>
              <w:pStyle w:val="BodyText"/>
              <w:rPr>
                <w:noProof/>
              </w:rPr>
            </w:pPr>
          </w:p>
        </w:tc>
        <w:tc>
          <w:tcPr>
            <w:tcW w:w="1134" w:type="dxa"/>
          </w:tcPr>
          <w:p w14:paraId="58E4C77E" w14:textId="77777777" w:rsidR="000A7D9D" w:rsidRPr="00207447" w:rsidRDefault="000A7D9D" w:rsidP="00F31937">
            <w:pPr>
              <w:pStyle w:val="BodyText"/>
              <w:spacing w:line="259" w:lineRule="auto"/>
              <w:rPr>
                <w:noProof/>
              </w:rPr>
            </w:pPr>
            <w:r w:rsidRPr="00207447">
              <w:rPr>
                <w:noProof/>
              </w:rPr>
              <w:t>1</w:t>
            </w:r>
          </w:p>
        </w:tc>
        <w:tc>
          <w:tcPr>
            <w:tcW w:w="1418" w:type="dxa"/>
          </w:tcPr>
          <w:p w14:paraId="5BC6143F" w14:textId="77777777" w:rsidR="000A7D9D" w:rsidRPr="00207447" w:rsidRDefault="000A7D9D" w:rsidP="00F31937">
            <w:pPr>
              <w:pStyle w:val="BodyText"/>
              <w:rPr>
                <w:noProof/>
              </w:rPr>
            </w:pPr>
            <w:r w:rsidRPr="00207447">
              <w:rPr>
                <w:noProof/>
              </w:rPr>
              <w:t>SEAC member</w:t>
            </w:r>
          </w:p>
        </w:tc>
        <w:tc>
          <w:tcPr>
            <w:tcW w:w="1276" w:type="dxa"/>
          </w:tcPr>
          <w:p w14:paraId="5903AF2B" w14:textId="77777777" w:rsidR="000A7D9D" w:rsidRPr="00207447" w:rsidRDefault="000A7D9D" w:rsidP="00F31937">
            <w:pPr>
              <w:pStyle w:val="BodyText"/>
              <w:rPr>
                <w:noProof/>
              </w:rPr>
            </w:pPr>
          </w:p>
        </w:tc>
      </w:tr>
      <w:tr w:rsidR="000A7D9D" w:rsidRPr="00207447" w14:paraId="2CB27C75" w14:textId="77777777" w:rsidTr="00F31937">
        <w:tc>
          <w:tcPr>
            <w:tcW w:w="1696" w:type="dxa"/>
          </w:tcPr>
          <w:p w14:paraId="7DDE0991" w14:textId="77777777" w:rsidR="000A7D9D" w:rsidRPr="00207447" w:rsidRDefault="000A7D9D" w:rsidP="00F31937">
            <w:pPr>
              <w:pStyle w:val="BodyText"/>
              <w:rPr>
                <w:noProof/>
              </w:rPr>
            </w:pPr>
            <w:r w:rsidRPr="00207447">
              <w:rPr>
                <w:noProof/>
              </w:rPr>
              <w:t>Exemptions</w:t>
            </w:r>
          </w:p>
        </w:tc>
        <w:tc>
          <w:tcPr>
            <w:tcW w:w="1076" w:type="dxa"/>
          </w:tcPr>
          <w:p w14:paraId="4A21FD2E" w14:textId="77777777" w:rsidR="000A7D9D" w:rsidRPr="00207447" w:rsidRDefault="000A7D9D" w:rsidP="00F31937">
            <w:pPr>
              <w:pStyle w:val="BodyText"/>
              <w:spacing w:line="259" w:lineRule="auto"/>
              <w:rPr>
                <w:noProof/>
              </w:rPr>
            </w:pPr>
            <w:r w:rsidRPr="00207447">
              <w:rPr>
                <w:noProof/>
              </w:rPr>
              <w:t>3</w:t>
            </w:r>
          </w:p>
        </w:tc>
        <w:tc>
          <w:tcPr>
            <w:tcW w:w="1338" w:type="dxa"/>
          </w:tcPr>
          <w:p w14:paraId="14FAB125" w14:textId="77777777" w:rsidR="000A7D9D" w:rsidRPr="00207447" w:rsidRDefault="000A7D9D" w:rsidP="00F31937">
            <w:pPr>
              <w:pStyle w:val="BodyText"/>
              <w:rPr>
                <w:noProof/>
              </w:rPr>
            </w:pPr>
            <w:r w:rsidRPr="00207447">
              <w:rPr>
                <w:noProof/>
              </w:rPr>
              <w:t xml:space="preserve">RAC member </w:t>
            </w:r>
          </w:p>
        </w:tc>
        <w:tc>
          <w:tcPr>
            <w:tcW w:w="1134" w:type="dxa"/>
          </w:tcPr>
          <w:p w14:paraId="706A8D57" w14:textId="77777777" w:rsidR="000A7D9D" w:rsidRPr="00207447" w:rsidRDefault="000A7D9D" w:rsidP="00F31937">
            <w:pPr>
              <w:pStyle w:val="BodyText"/>
              <w:rPr>
                <w:noProof/>
              </w:rPr>
            </w:pPr>
          </w:p>
        </w:tc>
        <w:tc>
          <w:tcPr>
            <w:tcW w:w="1134" w:type="dxa"/>
          </w:tcPr>
          <w:p w14:paraId="42BD2596" w14:textId="77777777" w:rsidR="000A7D9D" w:rsidRPr="00207447" w:rsidRDefault="000A7D9D" w:rsidP="00F31937">
            <w:pPr>
              <w:pStyle w:val="BodyText"/>
              <w:rPr>
                <w:noProof/>
              </w:rPr>
            </w:pPr>
            <w:r w:rsidRPr="00207447">
              <w:rPr>
                <w:noProof/>
              </w:rPr>
              <w:t>30</w:t>
            </w:r>
          </w:p>
        </w:tc>
        <w:tc>
          <w:tcPr>
            <w:tcW w:w="1418" w:type="dxa"/>
          </w:tcPr>
          <w:p w14:paraId="6D57C361" w14:textId="77777777" w:rsidR="000A7D9D" w:rsidRPr="00207447" w:rsidRDefault="000A7D9D" w:rsidP="00F31937">
            <w:pPr>
              <w:pStyle w:val="BodyText"/>
              <w:rPr>
                <w:noProof/>
              </w:rPr>
            </w:pPr>
            <w:r w:rsidRPr="00207447">
              <w:rPr>
                <w:noProof/>
              </w:rPr>
              <w:t xml:space="preserve">SEAC member </w:t>
            </w:r>
          </w:p>
        </w:tc>
        <w:tc>
          <w:tcPr>
            <w:tcW w:w="1276" w:type="dxa"/>
          </w:tcPr>
          <w:p w14:paraId="5AEF62E9" w14:textId="77777777" w:rsidR="000A7D9D" w:rsidRPr="00207447" w:rsidRDefault="000A7D9D" w:rsidP="00F31937">
            <w:pPr>
              <w:pStyle w:val="BodyText"/>
              <w:rPr>
                <w:noProof/>
              </w:rPr>
            </w:pPr>
          </w:p>
        </w:tc>
      </w:tr>
    </w:tbl>
    <w:p w14:paraId="565D58FD" w14:textId="77777777" w:rsidR="000A7D9D" w:rsidRPr="00207447" w:rsidRDefault="000A7D9D" w:rsidP="000A7D9D">
      <w:pPr>
        <w:pStyle w:val="BodyText"/>
        <w:widowControl w:val="0"/>
        <w:numPr>
          <w:ilvl w:val="0"/>
          <w:numId w:val="87"/>
        </w:numPr>
        <w:spacing w:before="120"/>
        <w:rPr>
          <w:noProof/>
        </w:rPr>
      </w:pPr>
      <w:r w:rsidRPr="00207447">
        <w:rPr>
          <w:noProof/>
        </w:rPr>
        <w:t xml:space="preserve">ECHA data model and IT infrastructure: </w:t>
      </w:r>
      <w:r w:rsidRPr="00207447">
        <w:rPr>
          <w:b/>
          <w:bCs/>
          <w:noProof/>
        </w:rPr>
        <w:t>low impact</w:t>
      </w:r>
      <w:r w:rsidRPr="00207447">
        <w:rPr>
          <w:noProof/>
        </w:rPr>
        <w:t>. The task can be implemented with adjustments / configuration of existing data structures and IT systems</w:t>
      </w:r>
    </w:p>
    <w:p w14:paraId="562BBC7F" w14:textId="77777777" w:rsidR="000A7D9D" w:rsidRPr="00207447" w:rsidDel="009E7447" w:rsidRDefault="000A7D9D" w:rsidP="000A7D9D">
      <w:pPr>
        <w:pStyle w:val="BodyText"/>
        <w:widowControl w:val="0"/>
        <w:numPr>
          <w:ilvl w:val="0"/>
          <w:numId w:val="89"/>
        </w:numPr>
        <w:rPr>
          <w:noProof/>
        </w:rPr>
      </w:pPr>
      <w:r w:rsidRPr="00207447">
        <w:rPr>
          <w:noProof/>
        </w:rPr>
        <w:t xml:space="preserve">ECHA key experts: </w:t>
      </w:r>
      <w:r w:rsidRPr="00207447">
        <w:rPr>
          <w:b/>
          <w:bCs/>
          <w:noProof/>
        </w:rPr>
        <w:t>high impact</w:t>
      </w:r>
      <w:r w:rsidRPr="00207447">
        <w:rPr>
          <w:noProof/>
        </w:rPr>
        <w:t xml:space="preserve">. The task heavily relies on expert competencies, which are limited within ECHA and also critical to REACH/CLP/BPR regulatory tasks. The end of life of an electrical and electronic equipment is important in this work and the expertise will need to be built in this area. </w:t>
      </w:r>
      <w:bookmarkStart w:id="65" w:name="_Hlk122530366"/>
    </w:p>
    <w:p w14:paraId="66EB4520" w14:textId="77777777" w:rsidR="000A7D9D" w:rsidRPr="00207447" w:rsidRDefault="000A7D9D" w:rsidP="000A7D9D">
      <w:pPr>
        <w:pStyle w:val="BodyText"/>
        <w:rPr>
          <w:noProof/>
        </w:rPr>
      </w:pPr>
      <w:r w:rsidRPr="00207447">
        <w:rPr>
          <w:b/>
          <w:bCs/>
          <w:noProof/>
        </w:rPr>
        <w:t>Projected workload and resource implications:</w:t>
      </w:r>
    </w:p>
    <w:bookmarkEnd w:id="65"/>
    <w:p w14:paraId="6AC7D987" w14:textId="77777777" w:rsidR="000A7D9D" w:rsidRPr="00207447" w:rsidRDefault="000A7D9D" w:rsidP="000A7D9D">
      <w:pPr>
        <w:pStyle w:val="BodyText"/>
        <w:spacing w:before="120"/>
        <w:rPr>
          <w:noProof/>
          <w:u w:val="single"/>
        </w:rPr>
      </w:pPr>
      <w:r w:rsidRPr="00207447">
        <w:rPr>
          <w:noProof/>
          <w:u w:val="single"/>
        </w:rPr>
        <w:t>Current workload and resource use:</w:t>
      </w:r>
      <w:bookmarkStart w:id="66" w:name="_Hlk104905876"/>
      <w:bookmarkEnd w:id="64"/>
    </w:p>
    <w:p w14:paraId="0FF10862"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Currently, there are 10 restricted substances. When the first directive was adopted in 2003, 6 substances were restricted. The 2011 revision of the directive introduced an obligation on the Commission to review and amend the list of restricted substances at the latest by July 2014 and periodically thereafter. In the first review, the Commission with the help of a consultant assessed 5 substances out of which four were added to the list of restricted substances in 2015 (Recital 10). The second review was launched in 2018 and assessed 7 substances (/groups), out of which 2 were recommended to be restricted. They have not been added to the list yet, as for one substance there is an assessment undergoing under the Stockholm Convention.  Based on this information (12 substances (/groups) assessed in 12 years (2011 - 2023)), the current average workload can be estimated to be as 1 assessment of a chemical per year.</w:t>
      </w:r>
    </w:p>
    <w:p w14:paraId="2CDB404A" w14:textId="77777777" w:rsidR="000A7D9D" w:rsidRPr="00207447" w:rsidRDefault="000A7D9D" w:rsidP="000A7D9D">
      <w:pPr>
        <w:spacing w:after="120"/>
        <w:jc w:val="both"/>
        <w:rPr>
          <w:rFonts w:ascii="Times New Roman" w:eastAsia="Verdana" w:hAnsi="Times New Roman" w:cs="Times New Roman"/>
          <w:noProof/>
          <w:sz w:val="24"/>
          <w:szCs w:val="24"/>
        </w:rPr>
      </w:pPr>
      <w:r w:rsidRPr="00207447">
        <w:rPr>
          <w:rFonts w:ascii="Times New Roman" w:eastAsia="Verdana" w:hAnsi="Times New Roman" w:cs="Times New Roman"/>
          <w:noProof/>
          <w:sz w:val="24"/>
          <w:szCs w:val="24"/>
        </w:rPr>
        <w:t xml:space="preserve">The second review which assessed 7 substances was supported by an external consultant contracted by DG ENV. The cost of the contract was ca. </w:t>
      </w:r>
      <w:r>
        <w:rPr>
          <w:rFonts w:ascii="Times New Roman" w:eastAsia="Verdana" w:hAnsi="Times New Roman" w:cs="Times New Roman"/>
          <w:noProof/>
          <w:sz w:val="24"/>
          <w:szCs w:val="24"/>
        </w:rPr>
        <w:t xml:space="preserve">EUR </w:t>
      </w:r>
      <w:r w:rsidRPr="00207447">
        <w:rPr>
          <w:rFonts w:ascii="Times New Roman" w:eastAsia="Verdana" w:hAnsi="Times New Roman" w:cs="Times New Roman"/>
          <w:noProof/>
          <w:sz w:val="24"/>
          <w:szCs w:val="24"/>
        </w:rPr>
        <w:t>180</w:t>
      </w:r>
      <w:r>
        <w:rPr>
          <w:rFonts w:ascii="Times New Roman" w:eastAsia="Verdana" w:hAnsi="Times New Roman" w:cs="Times New Roman"/>
          <w:noProof/>
          <w:sz w:val="24"/>
          <w:szCs w:val="24"/>
        </w:rPr>
        <w:t xml:space="preserve"> </w:t>
      </w:r>
      <w:r w:rsidRPr="00207447">
        <w:rPr>
          <w:rFonts w:ascii="Times New Roman" w:eastAsia="Verdana" w:hAnsi="Times New Roman" w:cs="Times New Roman"/>
          <w:noProof/>
          <w:sz w:val="24"/>
          <w:szCs w:val="24"/>
        </w:rPr>
        <w:t>000 and it took 2 years. As the assessments are to be done ca. every 5 years, this indicates the current resources used for external support to be approximately 2.7 FTEs (</w:t>
      </w:r>
      <w:r>
        <w:rPr>
          <w:rFonts w:ascii="Times New Roman" w:eastAsia="Verdana" w:hAnsi="Times New Roman" w:cs="Times New Roman"/>
          <w:noProof/>
          <w:sz w:val="24"/>
          <w:szCs w:val="24"/>
        </w:rPr>
        <w:t xml:space="preserve">EUR </w:t>
      </w:r>
      <w:r w:rsidRPr="00207447">
        <w:rPr>
          <w:rFonts w:ascii="Times New Roman" w:eastAsia="Verdana" w:hAnsi="Times New Roman" w:cs="Times New Roman"/>
          <w:noProof/>
          <w:sz w:val="24"/>
          <w:szCs w:val="24"/>
        </w:rPr>
        <w:t>180</w:t>
      </w:r>
      <w:r>
        <w:rPr>
          <w:rFonts w:ascii="Times New Roman" w:eastAsia="Verdana" w:hAnsi="Times New Roman" w:cs="Times New Roman"/>
          <w:noProof/>
          <w:sz w:val="24"/>
          <w:szCs w:val="24"/>
        </w:rPr>
        <w:t xml:space="preserve"> </w:t>
      </w:r>
      <w:r w:rsidRPr="00207447">
        <w:rPr>
          <w:rFonts w:ascii="Times New Roman" w:eastAsia="Verdana" w:hAnsi="Times New Roman" w:cs="Times New Roman"/>
          <w:noProof/>
          <w:sz w:val="24"/>
          <w:szCs w:val="24"/>
        </w:rPr>
        <w:t>000/66</w:t>
      </w:r>
      <w:r>
        <w:rPr>
          <w:rFonts w:ascii="Times New Roman" w:eastAsia="Verdana" w:hAnsi="Times New Roman" w:cs="Times New Roman"/>
          <w:noProof/>
          <w:sz w:val="24"/>
          <w:szCs w:val="24"/>
        </w:rPr>
        <w:t xml:space="preserve"> </w:t>
      </w:r>
      <w:r w:rsidRPr="00207447">
        <w:rPr>
          <w:rFonts w:ascii="Times New Roman" w:eastAsia="Verdana" w:hAnsi="Times New Roman" w:cs="Times New Roman"/>
          <w:noProof/>
          <w:sz w:val="24"/>
          <w:szCs w:val="24"/>
        </w:rPr>
        <w:t xml:space="preserve">000) for 7 substances for 5 years, i.e. 0.54 FTE annually. </w:t>
      </w:r>
    </w:p>
    <w:p w14:paraId="723E228F" w14:textId="77777777" w:rsidR="000A7D9D" w:rsidRPr="00207447" w:rsidRDefault="000A7D9D" w:rsidP="000A7D9D">
      <w:pPr>
        <w:spacing w:after="120"/>
        <w:jc w:val="both"/>
        <w:rPr>
          <w:rFonts w:ascii="Times New Roman" w:hAnsi="Times New Roman" w:cs="Times New Roman"/>
          <w:noProof/>
          <w:sz w:val="24"/>
          <w:szCs w:val="24"/>
          <w:highlight w:val="yellow"/>
        </w:rPr>
      </w:pPr>
      <w:r w:rsidRPr="00207447">
        <w:rPr>
          <w:rFonts w:ascii="Times New Roman" w:hAnsi="Times New Roman" w:cs="Times New Roman"/>
          <w:noProof/>
          <w:sz w:val="24"/>
          <w:szCs w:val="24"/>
        </w:rPr>
        <w:t xml:space="preserve">There are 45 time-limited use exemptions (Annex III) and 48 exempted uses in medical devices or monitoring and control instruments (Annex IV) as current number entries. Each number entry however can cover several final applications, which can be categorised in different EEE categories (Annex I). Depending on the expiry date, exemptions can have up to four sub-entries for four groups of categories. By including these sub-entries, there are 238 valid exemptions (Status March 2023). In addition, a handful of exemption requests were assessed but no exemption was granted due to failure to meet the criteria. </w:t>
      </w:r>
    </w:p>
    <w:p w14:paraId="54C0B352"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The number of completed exemption evaluations, resulting in a published report, and the corresponding amount of resources required for external support varied depending on the year (see table below). Due to expiry dates of existing exemptions, there are many applications and evaluations in certain years. On average, in the period between 2015 and 2022, there were 13</w:t>
      </w:r>
      <w:r>
        <w:rPr>
          <w:rFonts w:ascii="Times New Roman" w:hAnsi="Times New Roman" w:cs="Times New Roman"/>
          <w:noProof/>
          <w:sz w:val="24"/>
          <w:szCs w:val="24"/>
        </w:rPr>
        <w:t>.</w:t>
      </w:r>
      <w:r w:rsidRPr="00207447">
        <w:rPr>
          <w:rFonts w:ascii="Times New Roman" w:hAnsi="Times New Roman" w:cs="Times New Roman"/>
          <w:noProof/>
          <w:sz w:val="24"/>
          <w:szCs w:val="24"/>
        </w:rPr>
        <w:t>9 exemptions evaluated per year.</w:t>
      </w:r>
    </w:p>
    <w:tbl>
      <w:tblPr>
        <w:tblStyle w:val="TableGrid"/>
        <w:tblW w:w="9205" w:type="dxa"/>
        <w:tblLayout w:type="fixed"/>
        <w:tblLook w:val="06A0" w:firstRow="1" w:lastRow="0" w:firstColumn="1" w:lastColumn="0" w:noHBand="1" w:noVBand="1"/>
      </w:tblPr>
      <w:tblGrid>
        <w:gridCol w:w="2405"/>
        <w:gridCol w:w="850"/>
        <w:gridCol w:w="850"/>
        <w:gridCol w:w="850"/>
        <w:gridCol w:w="850"/>
        <w:gridCol w:w="850"/>
        <w:gridCol w:w="850"/>
        <w:gridCol w:w="850"/>
        <w:gridCol w:w="850"/>
      </w:tblGrid>
      <w:tr w:rsidR="000A7D9D" w:rsidRPr="00207447" w14:paraId="6E94641E" w14:textId="77777777" w:rsidTr="00F31937">
        <w:trPr>
          <w:trHeight w:val="300"/>
        </w:trPr>
        <w:tc>
          <w:tcPr>
            <w:tcW w:w="2405" w:type="dxa"/>
            <w:shd w:val="clear" w:color="auto" w:fill="auto"/>
          </w:tcPr>
          <w:p w14:paraId="7FAC35DD" w14:textId="77777777" w:rsidR="000A7D9D" w:rsidRPr="00207447" w:rsidRDefault="000A7D9D" w:rsidP="00F31937">
            <w:pPr>
              <w:spacing w:after="120"/>
              <w:rPr>
                <w:noProof/>
              </w:rPr>
            </w:pPr>
          </w:p>
        </w:tc>
        <w:tc>
          <w:tcPr>
            <w:tcW w:w="850" w:type="dxa"/>
            <w:shd w:val="clear" w:color="auto" w:fill="auto"/>
          </w:tcPr>
          <w:p w14:paraId="0C9B60C4" w14:textId="77777777" w:rsidR="000A7D9D" w:rsidRPr="00207447" w:rsidRDefault="000A7D9D" w:rsidP="00F31937">
            <w:pPr>
              <w:spacing w:after="120"/>
              <w:jc w:val="center"/>
              <w:rPr>
                <w:noProof/>
              </w:rPr>
            </w:pPr>
            <w:r w:rsidRPr="00207447">
              <w:rPr>
                <w:noProof/>
              </w:rPr>
              <w:t>2015</w:t>
            </w:r>
          </w:p>
        </w:tc>
        <w:tc>
          <w:tcPr>
            <w:tcW w:w="850" w:type="dxa"/>
            <w:shd w:val="clear" w:color="auto" w:fill="auto"/>
          </w:tcPr>
          <w:p w14:paraId="3FDBEDE2" w14:textId="77777777" w:rsidR="000A7D9D" w:rsidRPr="00207447" w:rsidRDefault="000A7D9D" w:rsidP="00F31937">
            <w:pPr>
              <w:spacing w:after="120"/>
              <w:jc w:val="center"/>
              <w:rPr>
                <w:noProof/>
              </w:rPr>
            </w:pPr>
            <w:r w:rsidRPr="00207447">
              <w:rPr>
                <w:noProof/>
              </w:rPr>
              <w:t>2016</w:t>
            </w:r>
          </w:p>
        </w:tc>
        <w:tc>
          <w:tcPr>
            <w:tcW w:w="850" w:type="dxa"/>
            <w:shd w:val="clear" w:color="auto" w:fill="auto"/>
          </w:tcPr>
          <w:p w14:paraId="7341D728" w14:textId="77777777" w:rsidR="000A7D9D" w:rsidRPr="00207447" w:rsidRDefault="000A7D9D" w:rsidP="00F31937">
            <w:pPr>
              <w:spacing w:after="120"/>
              <w:jc w:val="center"/>
              <w:rPr>
                <w:noProof/>
              </w:rPr>
            </w:pPr>
            <w:r w:rsidRPr="00207447">
              <w:rPr>
                <w:noProof/>
              </w:rPr>
              <w:t>2017</w:t>
            </w:r>
          </w:p>
        </w:tc>
        <w:tc>
          <w:tcPr>
            <w:tcW w:w="850" w:type="dxa"/>
            <w:shd w:val="clear" w:color="auto" w:fill="auto"/>
          </w:tcPr>
          <w:p w14:paraId="3FE8147D" w14:textId="77777777" w:rsidR="000A7D9D" w:rsidRPr="00207447" w:rsidRDefault="000A7D9D" w:rsidP="00F31937">
            <w:pPr>
              <w:spacing w:after="120"/>
              <w:jc w:val="center"/>
              <w:rPr>
                <w:noProof/>
              </w:rPr>
            </w:pPr>
            <w:r w:rsidRPr="00207447">
              <w:rPr>
                <w:noProof/>
              </w:rPr>
              <w:t>2018</w:t>
            </w:r>
          </w:p>
        </w:tc>
        <w:tc>
          <w:tcPr>
            <w:tcW w:w="850" w:type="dxa"/>
            <w:shd w:val="clear" w:color="auto" w:fill="auto"/>
          </w:tcPr>
          <w:p w14:paraId="4566DC19" w14:textId="77777777" w:rsidR="000A7D9D" w:rsidRPr="00207447" w:rsidRDefault="000A7D9D" w:rsidP="00F31937">
            <w:pPr>
              <w:spacing w:after="120"/>
              <w:jc w:val="center"/>
              <w:rPr>
                <w:noProof/>
              </w:rPr>
            </w:pPr>
            <w:r w:rsidRPr="00207447">
              <w:rPr>
                <w:noProof/>
              </w:rPr>
              <w:t>2019</w:t>
            </w:r>
          </w:p>
        </w:tc>
        <w:tc>
          <w:tcPr>
            <w:tcW w:w="850" w:type="dxa"/>
            <w:shd w:val="clear" w:color="auto" w:fill="auto"/>
          </w:tcPr>
          <w:p w14:paraId="16167903" w14:textId="77777777" w:rsidR="000A7D9D" w:rsidRPr="00207447" w:rsidRDefault="000A7D9D" w:rsidP="00F31937">
            <w:pPr>
              <w:spacing w:after="120"/>
              <w:jc w:val="center"/>
              <w:rPr>
                <w:noProof/>
              </w:rPr>
            </w:pPr>
            <w:r w:rsidRPr="00207447">
              <w:rPr>
                <w:noProof/>
              </w:rPr>
              <w:t>2020</w:t>
            </w:r>
          </w:p>
        </w:tc>
        <w:tc>
          <w:tcPr>
            <w:tcW w:w="850" w:type="dxa"/>
            <w:shd w:val="clear" w:color="auto" w:fill="auto"/>
          </w:tcPr>
          <w:p w14:paraId="772D17F7" w14:textId="77777777" w:rsidR="000A7D9D" w:rsidRPr="00207447" w:rsidRDefault="000A7D9D" w:rsidP="00F31937">
            <w:pPr>
              <w:spacing w:after="120"/>
              <w:jc w:val="center"/>
              <w:rPr>
                <w:noProof/>
              </w:rPr>
            </w:pPr>
            <w:r w:rsidRPr="00207447">
              <w:rPr>
                <w:noProof/>
              </w:rPr>
              <w:t>2021</w:t>
            </w:r>
          </w:p>
        </w:tc>
        <w:tc>
          <w:tcPr>
            <w:tcW w:w="850" w:type="dxa"/>
            <w:shd w:val="clear" w:color="auto" w:fill="auto"/>
          </w:tcPr>
          <w:p w14:paraId="17FD618F" w14:textId="77777777" w:rsidR="000A7D9D" w:rsidRPr="00207447" w:rsidRDefault="000A7D9D" w:rsidP="00F31937">
            <w:pPr>
              <w:spacing w:after="120"/>
              <w:jc w:val="center"/>
              <w:rPr>
                <w:noProof/>
              </w:rPr>
            </w:pPr>
            <w:r w:rsidRPr="00207447">
              <w:rPr>
                <w:noProof/>
              </w:rPr>
              <w:t>2022</w:t>
            </w:r>
          </w:p>
        </w:tc>
      </w:tr>
      <w:tr w:rsidR="000A7D9D" w:rsidRPr="00207447" w14:paraId="2F71F0E2" w14:textId="77777777" w:rsidTr="00F31937">
        <w:trPr>
          <w:trHeight w:val="300"/>
        </w:trPr>
        <w:tc>
          <w:tcPr>
            <w:tcW w:w="2405" w:type="dxa"/>
            <w:shd w:val="clear" w:color="auto" w:fill="auto"/>
          </w:tcPr>
          <w:p w14:paraId="4DD1C371" w14:textId="77777777" w:rsidR="000A7D9D" w:rsidRPr="00207447" w:rsidRDefault="000A7D9D" w:rsidP="00F31937">
            <w:pPr>
              <w:spacing w:after="120"/>
              <w:rPr>
                <w:noProof/>
              </w:rPr>
            </w:pPr>
            <w:r w:rsidRPr="00207447">
              <w:rPr>
                <w:noProof/>
              </w:rPr>
              <w:t>Number of exemptions evaluated (date of publication of study)</w:t>
            </w:r>
          </w:p>
        </w:tc>
        <w:tc>
          <w:tcPr>
            <w:tcW w:w="850" w:type="dxa"/>
            <w:shd w:val="clear" w:color="auto" w:fill="auto"/>
          </w:tcPr>
          <w:p w14:paraId="0343994D" w14:textId="77777777" w:rsidR="000A7D9D" w:rsidRPr="00207447" w:rsidRDefault="000A7D9D" w:rsidP="00F31937">
            <w:pPr>
              <w:spacing w:after="120"/>
              <w:jc w:val="center"/>
              <w:rPr>
                <w:noProof/>
              </w:rPr>
            </w:pPr>
            <w:r w:rsidRPr="00207447">
              <w:rPr>
                <w:noProof/>
              </w:rPr>
              <w:t>2</w:t>
            </w:r>
          </w:p>
        </w:tc>
        <w:tc>
          <w:tcPr>
            <w:tcW w:w="850" w:type="dxa"/>
            <w:shd w:val="clear" w:color="auto" w:fill="auto"/>
          </w:tcPr>
          <w:p w14:paraId="535CCAE1" w14:textId="77777777" w:rsidR="000A7D9D" w:rsidRPr="00207447" w:rsidRDefault="000A7D9D" w:rsidP="00F31937">
            <w:pPr>
              <w:spacing w:after="120"/>
              <w:jc w:val="center"/>
              <w:rPr>
                <w:noProof/>
              </w:rPr>
            </w:pPr>
            <w:r w:rsidRPr="00207447">
              <w:rPr>
                <w:noProof/>
              </w:rPr>
              <w:t>38</w:t>
            </w:r>
          </w:p>
        </w:tc>
        <w:tc>
          <w:tcPr>
            <w:tcW w:w="850" w:type="dxa"/>
            <w:shd w:val="clear" w:color="auto" w:fill="auto"/>
          </w:tcPr>
          <w:p w14:paraId="29E00484" w14:textId="77777777" w:rsidR="000A7D9D" w:rsidRPr="00207447" w:rsidRDefault="000A7D9D" w:rsidP="00F31937">
            <w:pPr>
              <w:spacing w:after="120"/>
              <w:jc w:val="center"/>
              <w:rPr>
                <w:noProof/>
              </w:rPr>
            </w:pPr>
            <w:r w:rsidRPr="00207447">
              <w:rPr>
                <w:noProof/>
              </w:rPr>
              <w:t>4</w:t>
            </w:r>
          </w:p>
        </w:tc>
        <w:tc>
          <w:tcPr>
            <w:tcW w:w="850" w:type="dxa"/>
            <w:shd w:val="clear" w:color="auto" w:fill="auto"/>
          </w:tcPr>
          <w:p w14:paraId="121A0037" w14:textId="77777777" w:rsidR="000A7D9D" w:rsidRPr="00207447" w:rsidRDefault="000A7D9D" w:rsidP="00F31937">
            <w:pPr>
              <w:spacing w:after="120"/>
              <w:jc w:val="center"/>
              <w:rPr>
                <w:noProof/>
              </w:rPr>
            </w:pPr>
            <w:r w:rsidRPr="00207447">
              <w:rPr>
                <w:noProof/>
              </w:rPr>
              <w:t>11</w:t>
            </w:r>
          </w:p>
        </w:tc>
        <w:tc>
          <w:tcPr>
            <w:tcW w:w="850" w:type="dxa"/>
            <w:shd w:val="clear" w:color="auto" w:fill="auto"/>
          </w:tcPr>
          <w:p w14:paraId="0A8703AB" w14:textId="77777777" w:rsidR="000A7D9D" w:rsidRPr="00207447" w:rsidRDefault="000A7D9D" w:rsidP="00F31937">
            <w:pPr>
              <w:spacing w:after="120"/>
              <w:jc w:val="center"/>
              <w:rPr>
                <w:noProof/>
              </w:rPr>
            </w:pPr>
            <w:r w:rsidRPr="00207447">
              <w:rPr>
                <w:noProof/>
              </w:rPr>
              <w:t>2</w:t>
            </w:r>
          </w:p>
        </w:tc>
        <w:tc>
          <w:tcPr>
            <w:tcW w:w="850" w:type="dxa"/>
            <w:shd w:val="clear" w:color="auto" w:fill="auto"/>
          </w:tcPr>
          <w:p w14:paraId="78A467BF" w14:textId="77777777" w:rsidR="000A7D9D" w:rsidRPr="00207447" w:rsidRDefault="000A7D9D" w:rsidP="00F31937">
            <w:pPr>
              <w:spacing w:after="120"/>
              <w:jc w:val="center"/>
              <w:rPr>
                <w:noProof/>
              </w:rPr>
            </w:pPr>
            <w:r w:rsidRPr="00207447">
              <w:rPr>
                <w:noProof/>
              </w:rPr>
              <w:t>9</w:t>
            </w:r>
          </w:p>
        </w:tc>
        <w:tc>
          <w:tcPr>
            <w:tcW w:w="850" w:type="dxa"/>
            <w:shd w:val="clear" w:color="auto" w:fill="auto"/>
          </w:tcPr>
          <w:p w14:paraId="562D062B" w14:textId="77777777" w:rsidR="000A7D9D" w:rsidRPr="00207447" w:rsidRDefault="000A7D9D" w:rsidP="00F31937">
            <w:pPr>
              <w:spacing w:after="120"/>
              <w:jc w:val="center"/>
              <w:rPr>
                <w:noProof/>
              </w:rPr>
            </w:pPr>
            <w:r w:rsidRPr="00207447">
              <w:rPr>
                <w:noProof/>
              </w:rPr>
              <w:t>0</w:t>
            </w:r>
          </w:p>
        </w:tc>
        <w:tc>
          <w:tcPr>
            <w:tcW w:w="850" w:type="dxa"/>
            <w:shd w:val="clear" w:color="auto" w:fill="auto"/>
          </w:tcPr>
          <w:p w14:paraId="18527C29" w14:textId="77777777" w:rsidR="000A7D9D" w:rsidRPr="00207447" w:rsidRDefault="000A7D9D" w:rsidP="00F31937">
            <w:pPr>
              <w:spacing w:after="120"/>
              <w:jc w:val="center"/>
              <w:rPr>
                <w:noProof/>
              </w:rPr>
            </w:pPr>
            <w:r w:rsidRPr="00207447">
              <w:rPr>
                <w:noProof/>
              </w:rPr>
              <w:t>45</w:t>
            </w:r>
          </w:p>
        </w:tc>
      </w:tr>
    </w:tbl>
    <w:p w14:paraId="4132EC96" w14:textId="77777777" w:rsidR="000A7D9D" w:rsidRDefault="000A7D9D" w:rsidP="000A7D9D">
      <w:pPr>
        <w:spacing w:before="120" w:after="120"/>
        <w:jc w:val="both"/>
        <w:rPr>
          <w:rFonts w:ascii="Times New Roman" w:hAnsi="Times New Roman" w:cs="Times New Roman"/>
          <w:noProof/>
          <w:sz w:val="24"/>
          <w:szCs w:val="24"/>
        </w:rPr>
      </w:pPr>
    </w:p>
    <w:p w14:paraId="59AB1234" w14:textId="77777777" w:rsidR="000A7D9D" w:rsidRDefault="000A7D9D" w:rsidP="000A7D9D">
      <w:pPr>
        <w:spacing w:before="120"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The number and complexity of exemptions requests increased over the years and it created a backlog on evaluating exemption request and adopting respective individual delegated directives. The corresponding resources spent for external support for assessments of exemption requests in the years 2017-2022 were ca. </w:t>
      </w:r>
      <w:r>
        <w:rPr>
          <w:rFonts w:ascii="Times New Roman" w:hAnsi="Times New Roman" w:cs="Times New Roman"/>
          <w:noProof/>
          <w:sz w:val="24"/>
          <w:szCs w:val="24"/>
        </w:rPr>
        <w:t xml:space="preserve">EUR </w:t>
      </w:r>
      <w:r w:rsidRPr="00207447">
        <w:rPr>
          <w:rFonts w:ascii="Times New Roman" w:hAnsi="Times New Roman" w:cs="Times New Roman"/>
          <w:noProof/>
          <w:sz w:val="24"/>
          <w:szCs w:val="24"/>
        </w:rPr>
        <w:t>145</w:t>
      </w:r>
      <w:r>
        <w:rPr>
          <w:rFonts w:ascii="Times New Roman" w:hAnsi="Times New Roman" w:cs="Times New Roman"/>
          <w:noProof/>
          <w:sz w:val="24"/>
          <w:szCs w:val="24"/>
        </w:rPr>
        <w:t xml:space="preserve"> </w:t>
      </w:r>
      <w:r w:rsidRPr="00207447">
        <w:rPr>
          <w:rFonts w:ascii="Times New Roman" w:hAnsi="Times New Roman" w:cs="Times New Roman"/>
          <w:noProof/>
          <w:sz w:val="24"/>
          <w:szCs w:val="24"/>
        </w:rPr>
        <w:t xml:space="preserve">000 per year (on average), or ca. </w:t>
      </w:r>
      <w:r>
        <w:rPr>
          <w:rFonts w:ascii="Times New Roman" w:hAnsi="Times New Roman" w:cs="Times New Roman"/>
          <w:noProof/>
          <w:sz w:val="24"/>
          <w:szCs w:val="24"/>
        </w:rPr>
        <w:t xml:space="preserve">EUR </w:t>
      </w:r>
      <w:r w:rsidRPr="00207447">
        <w:rPr>
          <w:rFonts w:ascii="Times New Roman" w:hAnsi="Times New Roman" w:cs="Times New Roman"/>
          <w:noProof/>
          <w:sz w:val="24"/>
          <w:szCs w:val="24"/>
        </w:rPr>
        <w:t>12</w:t>
      </w:r>
      <w:r>
        <w:rPr>
          <w:rFonts w:ascii="Times New Roman" w:hAnsi="Times New Roman" w:cs="Times New Roman"/>
          <w:noProof/>
          <w:sz w:val="24"/>
          <w:szCs w:val="24"/>
        </w:rPr>
        <w:t xml:space="preserve"> </w:t>
      </w:r>
      <w:r w:rsidRPr="00207447">
        <w:rPr>
          <w:rFonts w:ascii="Times New Roman" w:hAnsi="Times New Roman" w:cs="Times New Roman"/>
          <w:noProof/>
          <w:sz w:val="24"/>
          <w:szCs w:val="24"/>
        </w:rPr>
        <w:t>000 per exemption assessment, or 2.2 FTEs per year (</w:t>
      </w:r>
      <w:r>
        <w:rPr>
          <w:rFonts w:ascii="Times New Roman" w:hAnsi="Times New Roman" w:cs="Times New Roman"/>
          <w:noProof/>
          <w:sz w:val="24"/>
          <w:szCs w:val="24"/>
        </w:rPr>
        <w:t xml:space="preserve">EUR </w:t>
      </w:r>
      <w:r w:rsidRPr="00207447">
        <w:rPr>
          <w:rFonts w:ascii="Times New Roman" w:hAnsi="Times New Roman" w:cs="Times New Roman"/>
          <w:noProof/>
          <w:sz w:val="24"/>
          <w:szCs w:val="24"/>
        </w:rPr>
        <w:t>145</w:t>
      </w:r>
      <w:r>
        <w:rPr>
          <w:rFonts w:ascii="Times New Roman" w:hAnsi="Times New Roman" w:cs="Times New Roman"/>
          <w:noProof/>
          <w:sz w:val="24"/>
          <w:szCs w:val="24"/>
        </w:rPr>
        <w:t xml:space="preserve"> </w:t>
      </w:r>
      <w:r w:rsidRPr="00207447">
        <w:rPr>
          <w:rFonts w:ascii="Times New Roman" w:hAnsi="Times New Roman" w:cs="Times New Roman"/>
          <w:noProof/>
          <w:sz w:val="24"/>
          <w:szCs w:val="24"/>
        </w:rPr>
        <w:t>000/66</w:t>
      </w:r>
      <w:r>
        <w:rPr>
          <w:rFonts w:ascii="Times New Roman" w:hAnsi="Times New Roman" w:cs="Times New Roman"/>
          <w:noProof/>
          <w:sz w:val="24"/>
          <w:szCs w:val="24"/>
        </w:rPr>
        <w:t xml:space="preserve"> </w:t>
      </w:r>
      <w:r w:rsidRPr="00207447">
        <w:rPr>
          <w:rFonts w:ascii="Times New Roman" w:hAnsi="Times New Roman" w:cs="Times New Roman"/>
          <w:noProof/>
          <w:sz w:val="24"/>
          <w:szCs w:val="24"/>
        </w:rPr>
        <w:t>000) or 0.18 FTE per exemption assessment (</w:t>
      </w:r>
      <w:r>
        <w:rPr>
          <w:rFonts w:ascii="Times New Roman" w:hAnsi="Times New Roman" w:cs="Times New Roman"/>
          <w:noProof/>
          <w:sz w:val="24"/>
          <w:szCs w:val="24"/>
        </w:rPr>
        <w:t xml:space="preserve">EUR </w:t>
      </w:r>
      <w:r w:rsidRPr="00207447">
        <w:rPr>
          <w:rFonts w:ascii="Times New Roman" w:hAnsi="Times New Roman" w:cs="Times New Roman"/>
          <w:noProof/>
          <w:sz w:val="24"/>
          <w:szCs w:val="24"/>
        </w:rPr>
        <w:t>12</w:t>
      </w:r>
      <w:r>
        <w:rPr>
          <w:rFonts w:ascii="Times New Roman" w:hAnsi="Times New Roman" w:cs="Times New Roman"/>
          <w:noProof/>
          <w:sz w:val="24"/>
          <w:szCs w:val="24"/>
        </w:rPr>
        <w:t xml:space="preserve"> </w:t>
      </w:r>
      <w:r w:rsidRPr="00207447">
        <w:rPr>
          <w:rFonts w:ascii="Times New Roman" w:hAnsi="Times New Roman" w:cs="Times New Roman"/>
          <w:noProof/>
          <w:sz w:val="24"/>
          <w:szCs w:val="24"/>
        </w:rPr>
        <w:t>000/66</w:t>
      </w:r>
      <w:r>
        <w:rPr>
          <w:rFonts w:ascii="Times New Roman" w:hAnsi="Times New Roman" w:cs="Times New Roman"/>
          <w:noProof/>
          <w:sz w:val="24"/>
          <w:szCs w:val="24"/>
        </w:rPr>
        <w:t xml:space="preserve"> </w:t>
      </w:r>
      <w:r w:rsidRPr="00207447">
        <w:rPr>
          <w:rFonts w:ascii="Times New Roman" w:hAnsi="Times New Roman" w:cs="Times New Roman"/>
          <w:noProof/>
          <w:sz w:val="24"/>
          <w:szCs w:val="24"/>
        </w:rPr>
        <w:t xml:space="preserve">000). </w:t>
      </w:r>
    </w:p>
    <w:p w14:paraId="12E63B52" w14:textId="77777777" w:rsidR="000A7D9D" w:rsidRPr="00207447" w:rsidRDefault="000A7D9D" w:rsidP="000A7D9D">
      <w:pPr>
        <w:spacing w:before="120" w:after="120"/>
        <w:jc w:val="both"/>
        <w:rPr>
          <w:rFonts w:ascii="Times New Roman" w:hAnsi="Times New Roman" w:cs="Times New Roman"/>
          <w:noProof/>
          <w:sz w:val="24"/>
          <w:szCs w:val="24"/>
        </w:rPr>
      </w:pPr>
    </w:p>
    <w:p w14:paraId="257E77E1" w14:textId="77777777" w:rsidR="000A7D9D" w:rsidRPr="00207447" w:rsidRDefault="000A7D9D" w:rsidP="000A7D9D">
      <w:pPr>
        <w:snapToGrid w:val="0"/>
        <w:spacing w:after="120"/>
        <w:jc w:val="both"/>
        <w:rPr>
          <w:rFonts w:ascii="Times New Roman" w:hAnsi="Times New Roman" w:cs="Times New Roman"/>
          <w:noProof/>
          <w:sz w:val="24"/>
          <w:szCs w:val="24"/>
          <w:lang w:val="en-US"/>
        </w:rPr>
      </w:pPr>
      <w:r w:rsidRPr="00207447">
        <w:rPr>
          <w:rFonts w:ascii="Times New Roman" w:hAnsi="Times New Roman" w:cs="Times New Roman"/>
          <w:noProof/>
          <w:sz w:val="24"/>
          <w:szCs w:val="24"/>
          <w:lang w:val="en-US"/>
        </w:rPr>
        <w:t xml:space="preserve">The current resources spent by the Commission can be summarized as follows: </w:t>
      </w:r>
    </w:p>
    <w:tbl>
      <w:tblPr>
        <w:tblStyle w:val="TableGrid2"/>
        <w:tblW w:w="0" w:type="auto"/>
        <w:tblLook w:val="04A0" w:firstRow="1" w:lastRow="0" w:firstColumn="1" w:lastColumn="0" w:noHBand="0" w:noVBand="1"/>
      </w:tblPr>
      <w:tblGrid>
        <w:gridCol w:w="4791"/>
        <w:gridCol w:w="4838"/>
      </w:tblGrid>
      <w:tr w:rsidR="000A7D9D" w:rsidRPr="00207447" w14:paraId="417B085B" w14:textId="77777777" w:rsidTr="00F31937">
        <w:trPr>
          <w:trHeight w:val="300"/>
        </w:trPr>
        <w:tc>
          <w:tcPr>
            <w:tcW w:w="4791" w:type="dxa"/>
          </w:tcPr>
          <w:p w14:paraId="7FC9CA53" w14:textId="77777777" w:rsidR="000A7D9D" w:rsidRPr="00207447" w:rsidRDefault="000A7D9D" w:rsidP="00F31937">
            <w:pPr>
              <w:spacing w:after="120"/>
              <w:rPr>
                <w:rFonts w:ascii="Times New Roman" w:hAnsi="Times New Roman"/>
                <w:noProof/>
              </w:rPr>
            </w:pPr>
            <w:r w:rsidRPr="00207447">
              <w:rPr>
                <w:rFonts w:ascii="Times New Roman" w:hAnsi="Times New Roman"/>
                <w:noProof/>
              </w:rPr>
              <w:br/>
              <w:t>DG ENV (for overall RoHS implementation)</w:t>
            </w:r>
          </w:p>
        </w:tc>
        <w:tc>
          <w:tcPr>
            <w:tcW w:w="4838" w:type="dxa"/>
          </w:tcPr>
          <w:p w14:paraId="7B63DF50" w14:textId="77777777" w:rsidR="000A7D9D" w:rsidRPr="00207447" w:rsidRDefault="000A7D9D" w:rsidP="00F31937">
            <w:pPr>
              <w:spacing w:after="120"/>
              <w:rPr>
                <w:rFonts w:ascii="Times New Roman" w:hAnsi="Times New Roman"/>
                <w:noProof/>
              </w:rPr>
            </w:pPr>
            <w:r w:rsidRPr="00207447">
              <w:rPr>
                <w:rFonts w:ascii="Times New Roman" w:hAnsi="Times New Roman"/>
                <w:noProof/>
              </w:rPr>
              <w:t>Ca. 1</w:t>
            </w:r>
            <w:r>
              <w:rPr>
                <w:rFonts w:ascii="Times New Roman" w:hAnsi="Times New Roman"/>
                <w:noProof/>
              </w:rPr>
              <w:t>.</w:t>
            </w:r>
            <w:r w:rsidRPr="00207447">
              <w:rPr>
                <w:rFonts w:ascii="Times New Roman" w:hAnsi="Times New Roman"/>
                <w:noProof/>
              </w:rPr>
              <w:t>5 FTE (on average)</w:t>
            </w:r>
          </w:p>
        </w:tc>
      </w:tr>
      <w:tr w:rsidR="000A7D9D" w:rsidRPr="00207447" w14:paraId="704D9CB7" w14:textId="77777777" w:rsidTr="00F31937">
        <w:trPr>
          <w:trHeight w:val="300"/>
        </w:trPr>
        <w:tc>
          <w:tcPr>
            <w:tcW w:w="4791" w:type="dxa"/>
          </w:tcPr>
          <w:p w14:paraId="27FC747C" w14:textId="77777777" w:rsidR="000A7D9D" w:rsidRPr="00207447" w:rsidRDefault="000A7D9D" w:rsidP="00F31937">
            <w:pPr>
              <w:spacing w:after="120"/>
              <w:rPr>
                <w:rFonts w:ascii="Times New Roman" w:hAnsi="Times New Roman"/>
                <w:noProof/>
              </w:rPr>
            </w:pPr>
            <w:r w:rsidRPr="00207447">
              <w:rPr>
                <w:rFonts w:ascii="Times New Roman" w:hAnsi="Times New Roman"/>
                <w:noProof/>
              </w:rPr>
              <w:t>DG ENV consultants – support for restrictions</w:t>
            </w:r>
          </w:p>
        </w:tc>
        <w:tc>
          <w:tcPr>
            <w:tcW w:w="4838" w:type="dxa"/>
          </w:tcPr>
          <w:p w14:paraId="1B0D8254" w14:textId="77777777" w:rsidR="000A7D9D" w:rsidRPr="00207447" w:rsidRDefault="000A7D9D" w:rsidP="00F31937">
            <w:pPr>
              <w:spacing w:after="120"/>
              <w:rPr>
                <w:rFonts w:ascii="Times New Roman" w:hAnsi="Times New Roman"/>
                <w:noProof/>
              </w:rPr>
            </w:pPr>
            <w:r w:rsidRPr="00207447">
              <w:rPr>
                <w:rFonts w:ascii="Times New Roman" w:hAnsi="Times New Roman"/>
                <w:noProof/>
              </w:rPr>
              <w:t>Ca. 0</w:t>
            </w:r>
            <w:r>
              <w:rPr>
                <w:rFonts w:ascii="Times New Roman" w:hAnsi="Times New Roman"/>
                <w:noProof/>
              </w:rPr>
              <w:t>.</w:t>
            </w:r>
            <w:r w:rsidRPr="00207447">
              <w:rPr>
                <w:rFonts w:ascii="Times New Roman" w:hAnsi="Times New Roman"/>
                <w:noProof/>
              </w:rPr>
              <w:t xml:space="preserve">54 FTE annually (a contract of </w:t>
            </w:r>
            <w:r>
              <w:rPr>
                <w:rFonts w:ascii="Times New Roman" w:hAnsi="Times New Roman"/>
                <w:noProof/>
              </w:rPr>
              <w:t xml:space="preserve">EUR </w:t>
            </w:r>
            <w:r w:rsidRPr="00207447">
              <w:rPr>
                <w:rFonts w:ascii="Times New Roman" w:hAnsi="Times New Roman"/>
                <w:noProof/>
              </w:rPr>
              <w:t>180</w:t>
            </w:r>
            <w:r>
              <w:rPr>
                <w:rFonts w:ascii="Times New Roman" w:hAnsi="Times New Roman"/>
                <w:noProof/>
              </w:rPr>
              <w:t xml:space="preserve"> 000</w:t>
            </w:r>
            <w:r w:rsidRPr="00207447">
              <w:rPr>
                <w:rFonts w:ascii="Times New Roman" w:hAnsi="Times New Roman"/>
                <w:noProof/>
              </w:rPr>
              <w:t xml:space="preserve"> on average each 5 years for reviewing restrictions)</w:t>
            </w:r>
          </w:p>
        </w:tc>
      </w:tr>
      <w:tr w:rsidR="000A7D9D" w:rsidRPr="00207447" w14:paraId="0988A28D" w14:textId="77777777" w:rsidTr="00F31937">
        <w:trPr>
          <w:trHeight w:val="300"/>
        </w:trPr>
        <w:tc>
          <w:tcPr>
            <w:tcW w:w="4791" w:type="dxa"/>
          </w:tcPr>
          <w:p w14:paraId="6C820E44" w14:textId="77777777" w:rsidR="000A7D9D" w:rsidRPr="00207447" w:rsidRDefault="000A7D9D" w:rsidP="00F31937">
            <w:pPr>
              <w:spacing w:after="120"/>
              <w:rPr>
                <w:rFonts w:ascii="Times New Roman" w:hAnsi="Times New Roman"/>
                <w:noProof/>
              </w:rPr>
            </w:pPr>
            <w:r w:rsidRPr="00207447">
              <w:rPr>
                <w:rFonts w:ascii="Times New Roman" w:hAnsi="Times New Roman"/>
                <w:noProof/>
              </w:rPr>
              <w:t xml:space="preserve">DG ENV consultants – support for exemption evaluation </w:t>
            </w:r>
          </w:p>
        </w:tc>
        <w:tc>
          <w:tcPr>
            <w:tcW w:w="4838" w:type="dxa"/>
          </w:tcPr>
          <w:p w14:paraId="546A3539" w14:textId="77777777" w:rsidR="000A7D9D" w:rsidRPr="00207447" w:rsidRDefault="000A7D9D" w:rsidP="00F31937">
            <w:pPr>
              <w:spacing w:after="120"/>
              <w:rPr>
                <w:rFonts w:ascii="Times New Roman" w:hAnsi="Times New Roman"/>
                <w:noProof/>
              </w:rPr>
            </w:pPr>
            <w:r w:rsidRPr="00207447">
              <w:rPr>
                <w:rFonts w:ascii="Times New Roman" w:hAnsi="Times New Roman"/>
                <w:noProof/>
              </w:rPr>
              <w:t>Ca. 2</w:t>
            </w:r>
            <w:r>
              <w:rPr>
                <w:rFonts w:ascii="Times New Roman" w:hAnsi="Times New Roman"/>
                <w:noProof/>
              </w:rPr>
              <w:t>.</w:t>
            </w:r>
            <w:r w:rsidRPr="00207447">
              <w:rPr>
                <w:rFonts w:ascii="Times New Roman" w:hAnsi="Times New Roman"/>
                <w:noProof/>
              </w:rPr>
              <w:t xml:space="preserve">2 FTE annually (contract for </w:t>
            </w:r>
            <w:r>
              <w:rPr>
                <w:rFonts w:ascii="Times New Roman" w:hAnsi="Times New Roman"/>
                <w:noProof/>
              </w:rPr>
              <w:t xml:space="preserve">EUR </w:t>
            </w:r>
            <w:r w:rsidRPr="00207447">
              <w:rPr>
                <w:rFonts w:ascii="Times New Roman" w:hAnsi="Times New Roman"/>
                <w:noProof/>
              </w:rPr>
              <w:t>145</w:t>
            </w:r>
            <w:r>
              <w:rPr>
                <w:rFonts w:ascii="Times New Roman" w:hAnsi="Times New Roman"/>
                <w:noProof/>
              </w:rPr>
              <w:t xml:space="preserve"> 000</w:t>
            </w:r>
            <w:r w:rsidRPr="00207447">
              <w:rPr>
                <w:rFonts w:ascii="Times New Roman" w:hAnsi="Times New Roman"/>
                <w:noProof/>
              </w:rPr>
              <w:t xml:space="preserve"> annually (average from 2017-2022) for outsourcing the technical evaluation of exemption requests)</w:t>
            </w:r>
          </w:p>
        </w:tc>
      </w:tr>
    </w:tbl>
    <w:p w14:paraId="59D0C2B4" w14:textId="77777777" w:rsidR="000A7D9D" w:rsidRDefault="000A7D9D" w:rsidP="000A7D9D">
      <w:pPr>
        <w:spacing w:after="120"/>
        <w:rPr>
          <w:rFonts w:ascii="Times New Roman" w:hAnsi="Times New Roman" w:cs="Times New Roman"/>
          <w:i/>
          <w:iCs/>
          <w:noProof/>
          <w:sz w:val="24"/>
          <w:szCs w:val="24"/>
          <w:lang w:val="en-US"/>
        </w:rPr>
      </w:pPr>
      <w:r w:rsidRPr="00207447">
        <w:rPr>
          <w:rFonts w:ascii="Times New Roman" w:hAnsi="Times New Roman" w:cs="Times New Roman"/>
          <w:i/>
          <w:iCs/>
          <w:noProof/>
          <w:sz w:val="24"/>
          <w:szCs w:val="24"/>
          <w:lang w:val="en-US"/>
        </w:rPr>
        <w:t xml:space="preserve">(to convert the cost of consultants into FTEs, the cost of 1 FTE consultant is estimated at ca. </w:t>
      </w:r>
      <w:r>
        <w:rPr>
          <w:rFonts w:ascii="Times New Roman" w:hAnsi="Times New Roman" w:cs="Times New Roman"/>
          <w:i/>
          <w:iCs/>
          <w:noProof/>
          <w:sz w:val="24"/>
          <w:szCs w:val="24"/>
          <w:lang w:val="en-US"/>
        </w:rPr>
        <w:t xml:space="preserve">EUR </w:t>
      </w:r>
      <w:r w:rsidRPr="00207447">
        <w:rPr>
          <w:rFonts w:ascii="Times New Roman" w:hAnsi="Times New Roman" w:cs="Times New Roman"/>
          <w:i/>
          <w:iCs/>
          <w:noProof/>
          <w:sz w:val="24"/>
          <w:szCs w:val="24"/>
          <w:lang w:val="en-US"/>
        </w:rPr>
        <w:t>66</w:t>
      </w:r>
      <w:r>
        <w:rPr>
          <w:rFonts w:ascii="Times New Roman" w:hAnsi="Times New Roman" w:cs="Times New Roman"/>
          <w:i/>
          <w:iCs/>
          <w:noProof/>
          <w:sz w:val="24"/>
          <w:szCs w:val="24"/>
          <w:lang w:val="en-US"/>
        </w:rPr>
        <w:t xml:space="preserve"> </w:t>
      </w:r>
      <w:r w:rsidRPr="00207447">
        <w:rPr>
          <w:rFonts w:ascii="Times New Roman" w:hAnsi="Times New Roman" w:cs="Times New Roman"/>
          <w:i/>
          <w:iCs/>
          <w:noProof/>
          <w:sz w:val="24"/>
          <w:szCs w:val="24"/>
          <w:lang w:val="en-US"/>
        </w:rPr>
        <w:t>000 annually)</w:t>
      </w:r>
    </w:p>
    <w:p w14:paraId="38CA582C" w14:textId="77777777" w:rsidR="000A7D9D" w:rsidRPr="00207447" w:rsidRDefault="000A7D9D" w:rsidP="000A7D9D">
      <w:pPr>
        <w:spacing w:after="120"/>
        <w:rPr>
          <w:rFonts w:ascii="Times New Roman" w:hAnsi="Times New Roman" w:cs="Times New Roman"/>
          <w:i/>
          <w:iCs/>
          <w:noProof/>
          <w:sz w:val="24"/>
          <w:szCs w:val="24"/>
          <w:lang w:val="en-US"/>
        </w:rPr>
      </w:pPr>
    </w:p>
    <w:p w14:paraId="45A54F39"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It must be noted that these resource estimates do not include contributions to the administrative overhead of the Commission (HR, Finance, IT tools, etc.). It must be also noted that the resources spent by the Commission were not sufficient, leading to the accumulation of requests for exemptions without processing them to the legal drafting (currently 61 exemptions pending) and the revision of the restriction was delayed (the review not finalised although it has started in 2018). There were also complaints about the quality and robustness of the assessments, the transparency of the process and involvement of stakeholders. </w:t>
      </w:r>
    </w:p>
    <w:p w14:paraId="71DD233B" w14:textId="77777777" w:rsidR="000A7D9D" w:rsidRPr="00207447" w:rsidRDefault="000A7D9D" w:rsidP="000A7D9D">
      <w:pPr>
        <w:spacing w:after="120"/>
        <w:rPr>
          <w:rFonts w:ascii="Times New Roman" w:hAnsi="Times New Roman" w:cs="Times New Roman"/>
          <w:noProof/>
          <w:sz w:val="24"/>
          <w:szCs w:val="24"/>
        </w:rPr>
      </w:pPr>
      <w:r w:rsidRPr="00207447">
        <w:rPr>
          <w:rFonts w:ascii="Times New Roman" w:hAnsi="Times New Roman" w:cs="Times New Roman"/>
          <w:noProof/>
          <w:sz w:val="24"/>
          <w:szCs w:val="24"/>
          <w:u w:val="single"/>
        </w:rPr>
        <w:t>Current budget line:</w:t>
      </w:r>
      <w:r w:rsidRPr="00207447">
        <w:rPr>
          <w:rFonts w:ascii="Times New Roman" w:hAnsi="Times New Roman" w:cs="Times New Roman"/>
          <w:noProof/>
          <w:sz w:val="24"/>
          <w:szCs w:val="24"/>
        </w:rPr>
        <w:t xml:space="preserve"> DG Environment  </w:t>
      </w:r>
    </w:p>
    <w:p w14:paraId="4B9D935B" w14:textId="77777777" w:rsidR="000A7D9D" w:rsidRPr="00207447" w:rsidRDefault="000A7D9D" w:rsidP="000A7D9D">
      <w:pPr>
        <w:spacing w:after="120"/>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Future workload and resource needs:</w:t>
      </w:r>
    </w:p>
    <w:p w14:paraId="772AECE3"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Restrictions can be proposed by Member States and Commission has a duty to periodically review the list of restricted substances. It is expected that the number of restrictions and underlying assessments will be the same as in the past, </w:t>
      </w:r>
      <w:r w:rsidRPr="00207447">
        <w:rPr>
          <w:rFonts w:ascii="Times New Roman" w:hAnsi="Times New Roman" w:cs="Times New Roman"/>
          <w:i/>
          <w:iCs/>
          <w:noProof/>
          <w:sz w:val="24"/>
          <w:szCs w:val="24"/>
        </w:rPr>
        <w:t>i.e.</w:t>
      </w:r>
      <w:r w:rsidRPr="00207447">
        <w:rPr>
          <w:rFonts w:ascii="Times New Roman" w:hAnsi="Times New Roman" w:cs="Times New Roman"/>
          <w:noProof/>
          <w:sz w:val="24"/>
          <w:szCs w:val="24"/>
        </w:rPr>
        <w:t xml:space="preserve"> assessment of ca. 1 chemical per year. </w:t>
      </w:r>
    </w:p>
    <w:p w14:paraId="44CEB0B5"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Requests for exemptions are submitted by industry. As exemptions are time-bound, the workload volume is determined by the number of exemptions already in place and new requests coming in. When a new restriction is introduced, it leads temporarily to higher number of requests. </w:t>
      </w:r>
    </w:p>
    <w:p w14:paraId="485DED7D"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In the near future it is expected that the number of exemption requests will increase as compared to the past because in the past one exemption, which can be relevant for different final applications, had one expiry date regardless of their final application (e.g. in medical devices). With the introduction of splitting exemption entries depending on their final application, one previous exemption entry can have now several different expiry dates. That means, the number of exemption requests can be multiplied provided there are different final applications and the industry is applying for renewal. In addition, in order to narrow down the scope of exemptions, exemptions are more and more split in more specified sub-exemptions, which should narrow down the covered applications and allow more specific decisions. </w:t>
      </w:r>
    </w:p>
    <w:p w14:paraId="566CB72A"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Not all exemptions are applied for renewal, but economic operators can submit also new exemption requests. It is expected that in the period of 2024-2025 there will be ca. </w:t>
      </w:r>
      <w:r>
        <w:rPr>
          <w:rFonts w:ascii="Times New Roman" w:hAnsi="Times New Roman" w:cs="Times New Roman"/>
          <w:noProof/>
          <w:sz w:val="24"/>
          <w:szCs w:val="24"/>
        </w:rPr>
        <w:t xml:space="preserve">30 </w:t>
      </w:r>
      <w:r w:rsidRPr="00207447">
        <w:rPr>
          <w:rFonts w:ascii="Times New Roman" w:hAnsi="Times New Roman" w:cs="Times New Roman"/>
          <w:noProof/>
          <w:sz w:val="24"/>
          <w:szCs w:val="24"/>
        </w:rPr>
        <w:t>exemption requests per year to be evaluated – provided recommended exemptions with respective expiry date will be included.</w:t>
      </w:r>
    </w:p>
    <w:p w14:paraId="23BBAF89" w14:textId="77777777" w:rsidR="000A7D9D"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For the future, the Commission (and stakeholders) also wishes to improve the procedure as regards transparency (establishment of a registry of intent), involvement of stakeholders, the level of scrutiny by the experts, robustness of the advice, independence of the advice and ensuring coherence with the assessments performed under the other pieces of legislation. This will increase the need for resources per exemption as compared to the past, but it is inevitable to address the concerns raised by the stakeholders and to ensure robustness and acceptance of the process. </w:t>
      </w:r>
      <w:bookmarkEnd w:id="66"/>
    </w:p>
    <w:p w14:paraId="7249D61C" w14:textId="77777777" w:rsidR="000A7D9D" w:rsidRPr="00207447" w:rsidRDefault="000A7D9D" w:rsidP="000A7D9D">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To evaluate specific exemption requests, ECHA might still require external expertise from time to time (e.g. for assessing specific information about electronics). At the beginning, the need for external expertise may occur more frequently than at a later stage when experience has already been gained (e.g. with re-occurring renewal requests). However, it is expected that consulting external experts remains the exception. In addition, there will be a need to implement the procedure (e.g. by updating the guidance document for applications for an exemption). These irregular tasks depend on needs at that specific moment and they are predestined to be carried out by external consultants. In order to allow such ad-hoc tasks in the future, an operational budget is needed. </w:t>
      </w:r>
    </w:p>
    <w:p w14:paraId="15A7EAFB"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The future RoHS restriction process is assumed to be similar to REACH restrictions, with an average cost in ECHA of 1 (light dossier) – 1</w:t>
      </w:r>
      <w:r>
        <w:rPr>
          <w:rFonts w:ascii="Times New Roman" w:hAnsi="Times New Roman" w:cs="Times New Roman"/>
          <w:noProof/>
          <w:sz w:val="24"/>
          <w:szCs w:val="24"/>
        </w:rPr>
        <w:t>.</w:t>
      </w:r>
      <w:r w:rsidRPr="00207447">
        <w:rPr>
          <w:rFonts w:ascii="Times New Roman" w:hAnsi="Times New Roman" w:cs="Times New Roman"/>
          <w:noProof/>
          <w:sz w:val="24"/>
          <w:szCs w:val="24"/>
        </w:rPr>
        <w:t xml:space="preserve">5 (complex dossier) FTE / restriction dossier. As it is expected that in average there will be a need for 1 restriction dossier per year and the restriction dossiers will be likely light, it is estimated that there would be a need for additional 1 FTE per year. </w:t>
      </w:r>
    </w:p>
    <w:p w14:paraId="65EE6DEE"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The future process for assessing exemption requests is assumed to be similar to REACH application</w:t>
      </w:r>
      <w:r>
        <w:rPr>
          <w:rFonts w:ascii="Times New Roman" w:hAnsi="Times New Roman" w:cs="Times New Roman"/>
          <w:noProof/>
          <w:sz w:val="24"/>
          <w:szCs w:val="24"/>
        </w:rPr>
        <w:t>s for authorisations (~ AfA = 0.15 (light dossier) – 0.</w:t>
      </w:r>
      <w:r w:rsidRPr="00207447">
        <w:rPr>
          <w:rFonts w:ascii="Times New Roman" w:hAnsi="Times New Roman" w:cs="Times New Roman"/>
          <w:noProof/>
          <w:sz w:val="24"/>
          <w:szCs w:val="24"/>
        </w:rPr>
        <w:t>3 (complex dossier) FTE / application). It is expected that the R</w:t>
      </w:r>
      <w:r>
        <w:rPr>
          <w:rFonts w:ascii="Times New Roman" w:hAnsi="Times New Roman" w:cs="Times New Roman"/>
          <w:noProof/>
          <w:sz w:val="24"/>
          <w:szCs w:val="24"/>
        </w:rPr>
        <w:t>o</w:t>
      </w:r>
      <w:r w:rsidRPr="00207447">
        <w:rPr>
          <w:rFonts w:ascii="Times New Roman" w:hAnsi="Times New Roman" w:cs="Times New Roman"/>
          <w:noProof/>
          <w:sz w:val="24"/>
          <w:szCs w:val="24"/>
        </w:rPr>
        <w:t>HS exemption assessments are to require light assessment, thus 0.15 FTE per application. In addition, it is expected that RAC is consulted in 10% of the exemption applications and the work is estimated with 0</w:t>
      </w:r>
      <w:r>
        <w:rPr>
          <w:rFonts w:ascii="Times New Roman" w:hAnsi="Times New Roman" w:cs="Times New Roman"/>
          <w:noProof/>
          <w:sz w:val="24"/>
          <w:szCs w:val="24"/>
        </w:rPr>
        <w:t>.</w:t>
      </w:r>
      <w:r w:rsidRPr="00207447">
        <w:rPr>
          <w:rFonts w:ascii="Times New Roman" w:hAnsi="Times New Roman" w:cs="Times New Roman"/>
          <w:noProof/>
          <w:sz w:val="24"/>
          <w:szCs w:val="24"/>
        </w:rPr>
        <w:t>1 FTE per exemption. However, this additional resources for RAC can be absorbed by the Agency as part of the synergies with other work. In combination with the average of expected exemption requests (</w:t>
      </w:r>
      <w:r w:rsidRPr="00207447">
        <w:rPr>
          <w:rFonts w:ascii="Times New Roman" w:hAnsi="Times New Roman" w:cs="Times New Roman"/>
          <w:i/>
          <w:iCs/>
          <w:noProof/>
          <w:sz w:val="24"/>
          <w:szCs w:val="24"/>
        </w:rPr>
        <w:t>i.e.</w:t>
      </w:r>
      <w:r w:rsidRPr="00207447">
        <w:rPr>
          <w:rFonts w:ascii="Times New Roman" w:hAnsi="Times New Roman" w:cs="Times New Roman"/>
          <w:noProof/>
          <w:sz w:val="24"/>
          <w:szCs w:val="24"/>
        </w:rPr>
        <w:t xml:space="preserve"> </w:t>
      </w:r>
      <w:r>
        <w:rPr>
          <w:rFonts w:ascii="Times New Roman" w:hAnsi="Times New Roman" w:cs="Times New Roman"/>
          <w:noProof/>
          <w:sz w:val="24"/>
          <w:szCs w:val="24"/>
        </w:rPr>
        <w:t>30</w:t>
      </w:r>
      <w:r w:rsidRPr="00207447">
        <w:rPr>
          <w:rFonts w:ascii="Times New Roman" w:hAnsi="Times New Roman" w:cs="Times New Roman"/>
          <w:noProof/>
          <w:sz w:val="24"/>
          <w:szCs w:val="24"/>
        </w:rPr>
        <w:t xml:space="preserve"> exemptions per year), this would result in 4</w:t>
      </w:r>
      <w:r>
        <w:rPr>
          <w:rFonts w:ascii="Times New Roman" w:hAnsi="Times New Roman" w:cs="Times New Roman"/>
          <w:noProof/>
          <w:sz w:val="24"/>
          <w:szCs w:val="24"/>
        </w:rPr>
        <w:t>.</w:t>
      </w:r>
      <w:r w:rsidRPr="00207447">
        <w:rPr>
          <w:rFonts w:ascii="Times New Roman" w:hAnsi="Times New Roman" w:cs="Times New Roman"/>
          <w:noProof/>
          <w:sz w:val="24"/>
          <w:szCs w:val="24"/>
        </w:rPr>
        <w:t xml:space="preserve">5 FTEs per year. </w:t>
      </w:r>
    </w:p>
    <w:p w14:paraId="06FC3FFF" w14:textId="77777777" w:rsidR="000A7D9D" w:rsidRPr="00207447" w:rsidRDefault="000A7D9D" w:rsidP="000A7D9D">
      <w:pPr>
        <w:spacing w:before="120" w:after="120"/>
        <w:contextualSpacing/>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The following resource estimates correspond to the “ECHA way”, i.e. implementing similar processes and similar level of digitalisation to what is in place for ECHA’s current tasks. Such examples would be the creation of registries of intentions and the dissemination of lists (exemptions, restrictions) as structured data. </w:t>
      </w:r>
    </w:p>
    <w:p w14:paraId="162FC8C5" w14:textId="77777777" w:rsidR="000A7D9D" w:rsidRPr="00207447"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 xml:space="preserve">Development of 1 restriction dossier annually + opinion forming by RAC and SEAC: </w:t>
      </w:r>
      <w:r w:rsidRPr="00207447">
        <w:rPr>
          <w:rFonts w:ascii="Times New Roman" w:hAnsi="Times New Roman" w:cs="Times New Roman"/>
          <w:b/>
          <w:bCs/>
          <w:noProof/>
          <w:sz w:val="24"/>
          <w:szCs w:val="24"/>
        </w:rPr>
        <w:t>1</w:t>
      </w:r>
      <w:r w:rsidRPr="00207447">
        <w:rPr>
          <w:rFonts w:ascii="Times New Roman" w:hAnsi="Times New Roman" w:cs="Times New Roman"/>
          <w:b/>
          <w:noProof/>
          <w:sz w:val="24"/>
          <w:szCs w:val="24"/>
        </w:rPr>
        <w:t xml:space="preserve"> FTE</w:t>
      </w:r>
      <w:r w:rsidRPr="00207447">
        <w:rPr>
          <w:rFonts w:ascii="Times New Roman" w:hAnsi="Times New Roman" w:cs="Times New Roman"/>
          <w:noProof/>
          <w:sz w:val="24"/>
          <w:szCs w:val="24"/>
        </w:rPr>
        <w:t xml:space="preserve"> (~ unit cost of 1 REA</w:t>
      </w:r>
      <w:r>
        <w:rPr>
          <w:rFonts w:ascii="Times New Roman" w:hAnsi="Times New Roman" w:cs="Times New Roman"/>
          <w:noProof/>
          <w:sz w:val="24"/>
          <w:szCs w:val="24"/>
        </w:rPr>
        <w:t>CH restriction = 1 (light) to 1.</w:t>
      </w:r>
      <w:r w:rsidRPr="00207447">
        <w:rPr>
          <w:rFonts w:ascii="Times New Roman" w:hAnsi="Times New Roman" w:cs="Times New Roman"/>
          <w:noProof/>
          <w:sz w:val="24"/>
          <w:szCs w:val="24"/>
        </w:rPr>
        <w:t>5 FTE (complex))</w:t>
      </w:r>
    </w:p>
    <w:p w14:paraId="4235EAB5" w14:textId="77777777" w:rsidR="000A7D9D" w:rsidRPr="00207447" w:rsidRDefault="000A7D9D" w:rsidP="000A7D9D">
      <w:pPr>
        <w:widowControl w:val="0"/>
        <w:numPr>
          <w:ilvl w:val="0"/>
          <w:numId w:val="92"/>
        </w:numPr>
        <w:spacing w:after="0" w:line="240" w:lineRule="auto"/>
        <w:ind w:left="714" w:hanging="357"/>
        <w:contextualSpacing/>
        <w:rPr>
          <w:rFonts w:ascii="Times New Roman" w:hAnsi="Times New Roman" w:cs="Times New Roman"/>
          <w:noProof/>
          <w:sz w:val="24"/>
          <w:szCs w:val="24"/>
        </w:rPr>
      </w:pPr>
      <w:r w:rsidRPr="00207447">
        <w:rPr>
          <w:rFonts w:ascii="Times New Roman" w:hAnsi="Times New Roman" w:cs="Times New Roman"/>
          <w:noProof/>
          <w:sz w:val="24"/>
          <w:szCs w:val="24"/>
        </w:rPr>
        <w:t xml:space="preserve">Review of </w:t>
      </w:r>
      <w:r>
        <w:rPr>
          <w:rFonts w:ascii="Times New Roman" w:hAnsi="Times New Roman" w:cs="Times New Roman"/>
          <w:noProof/>
          <w:sz w:val="24"/>
          <w:szCs w:val="24"/>
        </w:rPr>
        <w:t xml:space="preserve">30 </w:t>
      </w:r>
      <w:r w:rsidRPr="00207447">
        <w:rPr>
          <w:rFonts w:ascii="Times New Roman" w:hAnsi="Times New Roman" w:cs="Times New Roman"/>
          <w:noProof/>
          <w:sz w:val="24"/>
          <w:szCs w:val="24"/>
        </w:rPr>
        <w:t xml:space="preserve">exemption applications annually + opinion forming of SEAC and for 10% of cases also by RAC: </w:t>
      </w:r>
      <w:r w:rsidRPr="00207447">
        <w:rPr>
          <w:rFonts w:ascii="Times New Roman" w:hAnsi="Times New Roman" w:cs="Times New Roman"/>
          <w:b/>
          <w:bCs/>
          <w:noProof/>
          <w:sz w:val="24"/>
          <w:szCs w:val="24"/>
        </w:rPr>
        <w:t>4</w:t>
      </w:r>
      <w:r>
        <w:rPr>
          <w:rFonts w:ascii="Times New Roman" w:hAnsi="Times New Roman" w:cs="Times New Roman"/>
          <w:b/>
          <w:bCs/>
          <w:noProof/>
          <w:sz w:val="24"/>
          <w:szCs w:val="24"/>
        </w:rPr>
        <w:t>.5</w:t>
      </w:r>
      <w:r w:rsidRPr="00207447">
        <w:rPr>
          <w:rFonts w:ascii="Times New Roman" w:hAnsi="Times New Roman" w:cs="Times New Roman"/>
          <w:b/>
          <w:bCs/>
          <w:noProof/>
          <w:sz w:val="24"/>
          <w:szCs w:val="24"/>
        </w:rPr>
        <w:t xml:space="preserve"> FTEs</w:t>
      </w:r>
      <w:r w:rsidRPr="00207447">
        <w:rPr>
          <w:rFonts w:ascii="Times New Roman" w:hAnsi="Times New Roman" w:cs="Times New Roman"/>
          <w:noProof/>
          <w:sz w:val="24"/>
          <w:szCs w:val="24"/>
        </w:rPr>
        <w:t xml:space="preserve"> </w:t>
      </w:r>
    </w:p>
    <w:p w14:paraId="297A03FD" w14:textId="77777777" w:rsidR="000A7D9D" w:rsidRPr="00207447" w:rsidRDefault="000A7D9D" w:rsidP="000A7D9D">
      <w:pPr>
        <w:pStyle w:val="ListParagraph"/>
        <w:widowControl w:val="0"/>
        <w:numPr>
          <w:ilvl w:val="0"/>
          <w:numId w:val="92"/>
        </w:numPr>
        <w:ind w:left="714" w:hanging="357"/>
        <w:rPr>
          <w:noProof/>
        </w:rPr>
      </w:pPr>
      <w:r w:rsidRPr="00207447">
        <w:rPr>
          <w:noProof/>
        </w:rPr>
        <w:t>Scientific support services: substance identification and prioritisation of candidate substances, data management and dissemination: to be absorbed by the Agency</w:t>
      </w:r>
    </w:p>
    <w:p w14:paraId="48F7B968" w14:textId="77777777" w:rsidR="000A7D9D" w:rsidRPr="00207447" w:rsidRDefault="000A7D9D" w:rsidP="000A7D9D">
      <w:pPr>
        <w:widowControl w:val="0"/>
        <w:numPr>
          <w:ilvl w:val="0"/>
          <w:numId w:val="92"/>
        </w:numPr>
        <w:spacing w:after="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 xml:space="preserve">IT tool development cost (industry and authority data submission, processing, </w:t>
      </w:r>
      <w:r w:rsidRPr="00207447">
        <w:rPr>
          <w:rFonts w:ascii="Times New Roman" w:hAnsi="Times New Roman" w:cs="Times New Roman"/>
          <w:noProof/>
          <w:color w:val="000000" w:themeColor="text1"/>
          <w:sz w:val="24"/>
          <w:szCs w:val="24"/>
        </w:rPr>
        <w:t>output</w:t>
      </w:r>
      <w:r w:rsidRPr="00207447">
        <w:rPr>
          <w:rFonts w:ascii="Times New Roman" w:hAnsi="Times New Roman" w:cs="Times New Roman"/>
          <w:noProof/>
          <w:sz w:val="24"/>
          <w:szCs w:val="24"/>
        </w:rPr>
        <w:t>): contribution of 15% for development and maintenance of common components (</w:t>
      </w:r>
      <w:r w:rsidRPr="00207447">
        <w:rPr>
          <w:rFonts w:ascii="Times New Roman" w:hAnsi="Times New Roman" w:cs="Times New Roman"/>
          <w:b/>
          <w:bCs/>
          <w:noProof/>
          <w:sz w:val="24"/>
          <w:szCs w:val="24"/>
        </w:rPr>
        <w:t>0.8 FTE</w:t>
      </w:r>
      <w:r w:rsidRPr="00207447">
        <w:rPr>
          <w:rFonts w:ascii="Times New Roman" w:hAnsi="Times New Roman" w:cs="Times New Roman"/>
          <w:noProof/>
          <w:sz w:val="24"/>
          <w:szCs w:val="24"/>
        </w:rPr>
        <w:t>)</w:t>
      </w:r>
    </w:p>
    <w:p w14:paraId="6290A2F8" w14:textId="77777777" w:rsidR="000A7D9D"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Horizontal support (governance &amp; enablers / administrative overhead): contribution of 15% (</w:t>
      </w:r>
      <w:r w:rsidRPr="00207447">
        <w:rPr>
          <w:rFonts w:ascii="Times New Roman" w:hAnsi="Times New Roman" w:cs="Times New Roman"/>
          <w:b/>
          <w:bCs/>
          <w:noProof/>
          <w:sz w:val="24"/>
          <w:szCs w:val="24"/>
        </w:rPr>
        <w:t>0.8 FTE</w:t>
      </w:r>
      <w:r w:rsidRPr="00207447">
        <w:rPr>
          <w:rFonts w:ascii="Times New Roman" w:hAnsi="Times New Roman" w:cs="Times New Roman"/>
          <w:noProof/>
          <w:sz w:val="24"/>
          <w:szCs w:val="24"/>
        </w:rPr>
        <w:t>)</w:t>
      </w:r>
    </w:p>
    <w:p w14:paraId="61C8FC47" w14:textId="77777777" w:rsidR="000A7D9D"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 xml:space="preserve">Add-hoc support by external consultants (e.g. specific expertise): </w:t>
      </w:r>
      <w:r w:rsidRPr="000B49C1">
        <w:rPr>
          <w:rFonts w:ascii="Times New Roman" w:hAnsi="Times New Roman" w:cs="Times New Roman"/>
          <w:b/>
          <w:bCs/>
          <w:noProof/>
          <w:sz w:val="24"/>
          <w:szCs w:val="24"/>
        </w:rPr>
        <w:t>EUR 66</w:t>
      </w:r>
      <w:r>
        <w:rPr>
          <w:rFonts w:ascii="Times New Roman" w:hAnsi="Times New Roman" w:cs="Times New Roman"/>
          <w:b/>
          <w:bCs/>
          <w:noProof/>
          <w:sz w:val="24"/>
          <w:szCs w:val="24"/>
        </w:rPr>
        <w:t xml:space="preserve"> </w:t>
      </w:r>
      <w:r w:rsidRPr="000B49C1">
        <w:rPr>
          <w:rFonts w:ascii="Times New Roman" w:hAnsi="Times New Roman" w:cs="Times New Roman"/>
          <w:b/>
          <w:bCs/>
          <w:noProof/>
          <w:sz w:val="24"/>
          <w:szCs w:val="24"/>
        </w:rPr>
        <w:t>000</w:t>
      </w:r>
      <w:r w:rsidRPr="120044EF">
        <w:rPr>
          <w:rFonts w:ascii="Times New Roman" w:hAnsi="Times New Roman" w:cs="Times New Roman"/>
          <w:noProof/>
          <w:sz w:val="24"/>
          <w:szCs w:val="24"/>
        </w:rPr>
        <w:t xml:space="preserve"> in the first year and </w:t>
      </w:r>
      <w:r w:rsidRPr="000B49C1">
        <w:rPr>
          <w:rFonts w:ascii="Times New Roman" w:hAnsi="Times New Roman" w:cs="Times New Roman"/>
          <w:b/>
          <w:bCs/>
          <w:noProof/>
          <w:sz w:val="24"/>
          <w:szCs w:val="24"/>
        </w:rPr>
        <w:t>EUR 33</w:t>
      </w:r>
      <w:r>
        <w:rPr>
          <w:rFonts w:ascii="Times New Roman" w:hAnsi="Times New Roman" w:cs="Times New Roman"/>
          <w:b/>
          <w:bCs/>
          <w:noProof/>
          <w:sz w:val="24"/>
          <w:szCs w:val="24"/>
        </w:rPr>
        <w:t xml:space="preserve"> </w:t>
      </w:r>
      <w:r w:rsidRPr="000B49C1">
        <w:rPr>
          <w:rFonts w:ascii="Times New Roman" w:hAnsi="Times New Roman" w:cs="Times New Roman"/>
          <w:b/>
          <w:bCs/>
          <w:noProof/>
          <w:sz w:val="24"/>
          <w:szCs w:val="24"/>
        </w:rPr>
        <w:t>000</w:t>
      </w:r>
      <w:r w:rsidRPr="120044EF">
        <w:rPr>
          <w:rFonts w:ascii="Times New Roman" w:hAnsi="Times New Roman" w:cs="Times New Roman"/>
          <w:noProof/>
          <w:sz w:val="24"/>
          <w:szCs w:val="24"/>
        </w:rPr>
        <w:t xml:space="preserve"> in average in the following years.</w:t>
      </w:r>
    </w:p>
    <w:p w14:paraId="7683171E" w14:textId="77777777" w:rsidR="000A7D9D" w:rsidRPr="00207447" w:rsidRDefault="000A7D9D" w:rsidP="000A7D9D">
      <w:pPr>
        <w:widowControl w:val="0"/>
        <w:spacing w:before="120" w:after="120" w:line="240" w:lineRule="auto"/>
        <w:ind w:left="720"/>
        <w:contextualSpacing/>
        <w:rPr>
          <w:rFonts w:ascii="Times New Roman" w:hAnsi="Times New Roman" w:cs="Times New Roman"/>
          <w:noProof/>
          <w:sz w:val="24"/>
          <w:szCs w:val="24"/>
        </w:rPr>
      </w:pPr>
    </w:p>
    <w:tbl>
      <w:tblPr>
        <w:tblStyle w:val="TableGrid2"/>
        <w:tblW w:w="9629" w:type="dxa"/>
        <w:tblLook w:val="04A0" w:firstRow="1" w:lastRow="0" w:firstColumn="1" w:lastColumn="0" w:noHBand="0" w:noVBand="1"/>
      </w:tblPr>
      <w:tblGrid>
        <w:gridCol w:w="1695"/>
        <w:gridCol w:w="3120"/>
        <w:gridCol w:w="1830"/>
        <w:gridCol w:w="2984"/>
      </w:tblGrid>
      <w:tr w:rsidR="000A7D9D" w:rsidRPr="00207447" w14:paraId="6C5A838B" w14:textId="77777777" w:rsidTr="00F31937">
        <w:tc>
          <w:tcPr>
            <w:tcW w:w="1695" w:type="dxa"/>
          </w:tcPr>
          <w:p w14:paraId="1E1AC63F" w14:textId="77777777" w:rsidR="000A7D9D" w:rsidRPr="00207447" w:rsidRDefault="000A7D9D" w:rsidP="00F31937">
            <w:pPr>
              <w:spacing w:after="240"/>
              <w:rPr>
                <w:rFonts w:ascii="Times New Roman" w:hAnsi="Times New Roman"/>
                <w:bCs/>
                <w:noProof/>
              </w:rPr>
            </w:pPr>
            <w:r w:rsidRPr="00207447">
              <w:rPr>
                <w:rFonts w:ascii="Times New Roman" w:hAnsi="Times New Roman"/>
                <w:bCs/>
                <w:noProof/>
              </w:rPr>
              <w:t>Process</w:t>
            </w:r>
          </w:p>
        </w:tc>
        <w:tc>
          <w:tcPr>
            <w:tcW w:w="3120" w:type="dxa"/>
          </w:tcPr>
          <w:p w14:paraId="04342B8B" w14:textId="77777777" w:rsidR="000A7D9D" w:rsidRPr="00207447" w:rsidRDefault="000A7D9D" w:rsidP="00F31937">
            <w:pPr>
              <w:spacing w:after="240"/>
              <w:rPr>
                <w:rFonts w:ascii="Times New Roman" w:hAnsi="Times New Roman"/>
                <w:bCs/>
                <w:noProof/>
              </w:rPr>
            </w:pPr>
            <w:r w:rsidRPr="00207447">
              <w:rPr>
                <w:rFonts w:ascii="Times New Roman" w:hAnsi="Times New Roman"/>
                <w:bCs/>
                <w:noProof/>
              </w:rPr>
              <w:t>Tasks</w:t>
            </w:r>
          </w:p>
        </w:tc>
        <w:tc>
          <w:tcPr>
            <w:tcW w:w="1830" w:type="dxa"/>
          </w:tcPr>
          <w:p w14:paraId="60772000" w14:textId="77777777" w:rsidR="000A7D9D" w:rsidRPr="00207447" w:rsidRDefault="000A7D9D" w:rsidP="00F31937">
            <w:pPr>
              <w:spacing w:after="240"/>
              <w:rPr>
                <w:rFonts w:ascii="Times New Roman" w:hAnsi="Times New Roman"/>
                <w:bCs/>
                <w:noProof/>
              </w:rPr>
            </w:pPr>
            <w:r w:rsidRPr="00207447">
              <w:rPr>
                <w:rFonts w:ascii="Times New Roman" w:hAnsi="Times New Roman"/>
                <w:bCs/>
                <w:noProof/>
              </w:rPr>
              <w:t>Estimated workload volume</w:t>
            </w:r>
          </w:p>
        </w:tc>
        <w:tc>
          <w:tcPr>
            <w:tcW w:w="2984" w:type="dxa"/>
          </w:tcPr>
          <w:p w14:paraId="55139C28" w14:textId="77777777" w:rsidR="000A7D9D" w:rsidRPr="00207447" w:rsidRDefault="000A7D9D" w:rsidP="00F31937">
            <w:pPr>
              <w:spacing w:after="240"/>
              <w:rPr>
                <w:rFonts w:ascii="Times New Roman" w:hAnsi="Times New Roman"/>
                <w:bCs/>
                <w:noProof/>
              </w:rPr>
            </w:pPr>
            <w:r w:rsidRPr="00207447">
              <w:rPr>
                <w:rFonts w:ascii="Times New Roman" w:hAnsi="Times New Roman"/>
                <w:bCs/>
                <w:noProof/>
              </w:rPr>
              <w:t>ECHA resource need</w:t>
            </w:r>
          </w:p>
        </w:tc>
      </w:tr>
      <w:tr w:rsidR="000A7D9D" w:rsidRPr="00207447" w14:paraId="00F29C81" w14:textId="77777777" w:rsidTr="00F31937">
        <w:tc>
          <w:tcPr>
            <w:tcW w:w="1695" w:type="dxa"/>
          </w:tcPr>
          <w:p w14:paraId="6775639B" w14:textId="77777777" w:rsidR="000A7D9D" w:rsidRPr="00207447" w:rsidRDefault="000A7D9D" w:rsidP="00F31937">
            <w:pPr>
              <w:spacing w:after="240"/>
              <w:rPr>
                <w:rFonts w:ascii="Times New Roman" w:hAnsi="Times New Roman"/>
                <w:noProof/>
              </w:rPr>
            </w:pPr>
            <w:r w:rsidRPr="00207447">
              <w:rPr>
                <w:rFonts w:ascii="Times New Roman" w:hAnsi="Times New Roman"/>
                <w:noProof/>
              </w:rPr>
              <w:t>Restriction of substances in electronic appliances</w:t>
            </w:r>
          </w:p>
        </w:tc>
        <w:tc>
          <w:tcPr>
            <w:tcW w:w="3120" w:type="dxa"/>
          </w:tcPr>
          <w:p w14:paraId="1D7B11BE"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Substance prioritisation and data analytics</w:t>
            </w:r>
          </w:p>
          <w:p w14:paraId="15647719" w14:textId="77777777" w:rsidR="000A7D9D" w:rsidRPr="00207447" w:rsidRDefault="000A7D9D" w:rsidP="000A7D9D">
            <w:pPr>
              <w:numPr>
                <w:ilvl w:val="0"/>
                <w:numId w:val="87"/>
              </w:numPr>
              <w:ind w:left="470" w:hanging="357"/>
              <w:rPr>
                <w:rFonts w:ascii="Times New Roman" w:hAnsi="Times New Roman"/>
                <w:noProof/>
                <w:lang w:val="fr-BE"/>
              </w:rPr>
            </w:pPr>
            <w:r w:rsidRPr="00207447">
              <w:rPr>
                <w:rFonts w:ascii="Times New Roman" w:hAnsi="Times New Roman"/>
                <w:noProof/>
                <w:lang w:val="fr-BE"/>
              </w:rPr>
              <w:t>Restriction dossier development (ECHA se</w:t>
            </w:r>
            <w:r w:rsidRPr="00207447">
              <w:rPr>
                <w:rFonts w:ascii="Times New Roman" w:hAnsi="Times New Roman"/>
                <w:noProof/>
                <w:lang w:val="fr-FR"/>
              </w:rPr>
              <w:t>cretariat)</w:t>
            </w:r>
          </w:p>
          <w:p w14:paraId="4A39C216"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Conformity check</w:t>
            </w:r>
          </w:p>
          <w:p w14:paraId="24D7B530"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Public/targeted consultation</w:t>
            </w:r>
          </w:p>
          <w:p w14:paraId="024EBB32"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Committee opinion development (incl. support by secretariat)</w:t>
            </w:r>
          </w:p>
          <w:p w14:paraId="21702EF4"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Data dissemination</w:t>
            </w:r>
          </w:p>
        </w:tc>
        <w:tc>
          <w:tcPr>
            <w:tcW w:w="1830" w:type="dxa"/>
          </w:tcPr>
          <w:p w14:paraId="67C60C8D" w14:textId="77777777" w:rsidR="000A7D9D" w:rsidRPr="00207447" w:rsidRDefault="000A7D9D" w:rsidP="00F31937">
            <w:pPr>
              <w:spacing w:after="240"/>
              <w:rPr>
                <w:rFonts w:ascii="Times New Roman" w:hAnsi="Times New Roman"/>
                <w:noProof/>
              </w:rPr>
            </w:pPr>
            <w:r w:rsidRPr="00207447">
              <w:rPr>
                <w:rFonts w:ascii="Times New Roman" w:hAnsi="Times New Roman"/>
                <w:noProof/>
              </w:rPr>
              <w:t>1 additional restriction per year</w:t>
            </w:r>
          </w:p>
        </w:tc>
        <w:tc>
          <w:tcPr>
            <w:tcW w:w="2984" w:type="dxa"/>
            <w:vMerge w:val="restart"/>
          </w:tcPr>
          <w:p w14:paraId="33DC59C3" w14:textId="77777777" w:rsidR="000A7D9D" w:rsidRPr="00207447" w:rsidRDefault="000A7D9D" w:rsidP="00F31937">
            <w:pPr>
              <w:spacing w:after="240"/>
              <w:rPr>
                <w:rFonts w:ascii="Times New Roman" w:hAnsi="Times New Roman"/>
                <w:b/>
                <w:noProof/>
              </w:rPr>
            </w:pPr>
            <w:r>
              <w:rPr>
                <w:rFonts w:ascii="Times New Roman" w:hAnsi="Times New Roman"/>
                <w:b/>
                <w:bCs/>
                <w:noProof/>
              </w:rPr>
              <w:t>7</w:t>
            </w:r>
            <w:r w:rsidRPr="00207447">
              <w:rPr>
                <w:rFonts w:ascii="Times New Roman" w:hAnsi="Times New Roman"/>
                <w:b/>
                <w:bCs/>
                <w:noProof/>
              </w:rPr>
              <w:t xml:space="preserve"> FTEs </w:t>
            </w:r>
          </w:p>
          <w:p w14:paraId="276C4DD5" w14:textId="77777777" w:rsidR="000A7D9D" w:rsidRPr="00207447" w:rsidRDefault="000A7D9D" w:rsidP="00F31937">
            <w:pPr>
              <w:spacing w:after="240"/>
              <w:rPr>
                <w:rFonts w:ascii="Times New Roman" w:hAnsi="Times New Roman"/>
                <w:noProof/>
              </w:rPr>
            </w:pPr>
            <w:r w:rsidRPr="00207447">
              <w:rPr>
                <w:rFonts w:ascii="Times New Roman" w:hAnsi="Times New Roman"/>
                <w:noProof/>
              </w:rPr>
              <w:t>(including IT tool development and administrative overhead)</w:t>
            </w:r>
          </w:p>
        </w:tc>
      </w:tr>
      <w:tr w:rsidR="000A7D9D" w:rsidRPr="00207447" w14:paraId="29555626" w14:textId="77777777" w:rsidTr="00F31937">
        <w:tc>
          <w:tcPr>
            <w:tcW w:w="1695" w:type="dxa"/>
          </w:tcPr>
          <w:p w14:paraId="766AB636" w14:textId="77777777" w:rsidR="000A7D9D" w:rsidRPr="00207447" w:rsidRDefault="000A7D9D" w:rsidP="00F31937">
            <w:pPr>
              <w:spacing w:after="240"/>
              <w:rPr>
                <w:rFonts w:ascii="Times New Roman" w:hAnsi="Times New Roman"/>
                <w:noProof/>
              </w:rPr>
            </w:pPr>
            <w:r w:rsidRPr="00207447">
              <w:rPr>
                <w:rFonts w:ascii="Times New Roman" w:hAnsi="Times New Roman"/>
                <w:noProof/>
              </w:rPr>
              <w:t>Exemption requests</w:t>
            </w:r>
          </w:p>
        </w:tc>
        <w:tc>
          <w:tcPr>
            <w:tcW w:w="3120" w:type="dxa"/>
          </w:tcPr>
          <w:p w14:paraId="76DD1C0B"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Industry dossier intake</w:t>
            </w:r>
          </w:p>
          <w:p w14:paraId="1B89C311"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Completeness check</w:t>
            </w:r>
          </w:p>
          <w:p w14:paraId="0F0D1A67"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Public consultation</w:t>
            </w:r>
          </w:p>
          <w:p w14:paraId="04BA8FE1"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Committee opinion development (incl. support by secretariat)</w:t>
            </w:r>
          </w:p>
          <w:p w14:paraId="042E4F88"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Support COM during adoption of the IA</w:t>
            </w:r>
          </w:p>
          <w:p w14:paraId="7FADCEFF" w14:textId="77777777" w:rsidR="000A7D9D" w:rsidRPr="00207447" w:rsidRDefault="000A7D9D" w:rsidP="000A7D9D">
            <w:pPr>
              <w:numPr>
                <w:ilvl w:val="0"/>
                <w:numId w:val="87"/>
              </w:numPr>
              <w:ind w:left="470" w:hanging="357"/>
              <w:rPr>
                <w:rFonts w:ascii="Times New Roman" w:hAnsi="Times New Roman"/>
                <w:noProof/>
              </w:rPr>
            </w:pPr>
            <w:r w:rsidRPr="00207447">
              <w:rPr>
                <w:rFonts w:ascii="Times New Roman" w:hAnsi="Times New Roman"/>
                <w:noProof/>
              </w:rPr>
              <w:t>Data dissemination</w:t>
            </w:r>
          </w:p>
        </w:tc>
        <w:tc>
          <w:tcPr>
            <w:tcW w:w="1830" w:type="dxa"/>
          </w:tcPr>
          <w:p w14:paraId="49EB0E7D" w14:textId="77777777" w:rsidR="000A7D9D" w:rsidRPr="00207447" w:rsidRDefault="000A7D9D" w:rsidP="00F31937">
            <w:pPr>
              <w:spacing w:after="240"/>
              <w:rPr>
                <w:rFonts w:ascii="Times New Roman" w:hAnsi="Times New Roman"/>
                <w:noProof/>
              </w:rPr>
            </w:pPr>
            <w:r>
              <w:rPr>
                <w:rFonts w:ascii="Times New Roman" w:hAnsi="Times New Roman"/>
                <w:noProof/>
              </w:rPr>
              <w:t>30</w:t>
            </w:r>
            <w:r w:rsidRPr="00207447">
              <w:rPr>
                <w:rFonts w:ascii="Times New Roman" w:hAnsi="Times New Roman"/>
                <w:noProof/>
              </w:rPr>
              <w:t xml:space="preserve"> exemption requests / year</w:t>
            </w:r>
          </w:p>
        </w:tc>
        <w:tc>
          <w:tcPr>
            <w:tcW w:w="2984" w:type="dxa"/>
            <w:vMerge/>
          </w:tcPr>
          <w:p w14:paraId="5997A301" w14:textId="77777777" w:rsidR="000A7D9D" w:rsidRPr="00207447" w:rsidRDefault="000A7D9D" w:rsidP="00F31937">
            <w:pPr>
              <w:spacing w:after="240"/>
              <w:rPr>
                <w:rFonts w:ascii="Times New Roman" w:hAnsi="Times New Roman"/>
                <w:noProof/>
              </w:rPr>
            </w:pPr>
          </w:p>
        </w:tc>
      </w:tr>
    </w:tbl>
    <w:p w14:paraId="49D6C227" w14:textId="77777777" w:rsidR="000A7D9D" w:rsidRDefault="000A7D9D" w:rsidP="000A7D9D">
      <w:pPr>
        <w:spacing w:before="120" w:after="120"/>
        <w:jc w:val="both"/>
        <w:rPr>
          <w:rFonts w:ascii="Times New Roman" w:eastAsiaTheme="minorEastAsia" w:hAnsi="Times New Roman" w:cs="Times New Roman"/>
          <w:noProof/>
          <w:sz w:val="24"/>
          <w:szCs w:val="24"/>
          <w:lang w:val="en-US" w:eastAsia="en-GB"/>
        </w:rPr>
      </w:pPr>
    </w:p>
    <w:p w14:paraId="4EE31D8C" w14:textId="77777777" w:rsidR="000A7D9D" w:rsidRPr="00207447" w:rsidRDefault="000A7D9D" w:rsidP="000A7D9D">
      <w:pPr>
        <w:spacing w:before="120" w:after="120"/>
        <w:jc w:val="both"/>
        <w:rPr>
          <w:rFonts w:ascii="Times New Roman" w:eastAsiaTheme="minorEastAsia" w:hAnsi="Times New Roman" w:cs="Times New Roman"/>
          <w:noProof/>
          <w:sz w:val="24"/>
          <w:szCs w:val="24"/>
          <w:lang w:val="en-US" w:eastAsia="en-GB"/>
        </w:rPr>
      </w:pPr>
      <w:r w:rsidRPr="00207447">
        <w:rPr>
          <w:rFonts w:ascii="Times New Roman" w:eastAsiaTheme="minorEastAsia" w:hAnsi="Times New Roman" w:cs="Times New Roman"/>
          <w:noProof/>
          <w:sz w:val="24"/>
          <w:szCs w:val="24"/>
          <w:lang w:val="en-US" w:eastAsia="en-GB"/>
        </w:rPr>
        <w:t>Summary of additional resource needs for restriction of hazardous substances (RoHS) directive:</w:t>
      </w:r>
    </w:p>
    <w:tbl>
      <w:tblPr>
        <w:tblStyle w:val="TableGrid"/>
        <w:tblW w:w="0" w:type="auto"/>
        <w:tblLook w:val="04A0" w:firstRow="1" w:lastRow="0" w:firstColumn="1" w:lastColumn="0" w:noHBand="0" w:noVBand="1"/>
      </w:tblPr>
      <w:tblGrid>
        <w:gridCol w:w="1454"/>
        <w:gridCol w:w="3930"/>
        <w:gridCol w:w="1965"/>
        <w:gridCol w:w="2280"/>
      </w:tblGrid>
      <w:tr w:rsidR="000A7D9D" w:rsidRPr="00C56424" w14:paraId="1040B9EB" w14:textId="77777777" w:rsidTr="00F31937">
        <w:trPr>
          <w:trHeight w:val="300"/>
        </w:trPr>
        <w:tc>
          <w:tcPr>
            <w:tcW w:w="1454" w:type="dxa"/>
            <w:shd w:val="clear" w:color="auto" w:fill="D9D9D9" w:themeFill="background1" w:themeFillShade="D9"/>
          </w:tcPr>
          <w:p w14:paraId="79F1535B"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930" w:type="dxa"/>
            <w:shd w:val="clear" w:color="auto" w:fill="D9D9D9" w:themeFill="background1" w:themeFillShade="D9"/>
          </w:tcPr>
          <w:p w14:paraId="3A17BF8C"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1965" w:type="dxa"/>
            <w:shd w:val="clear" w:color="auto" w:fill="D9D9D9" w:themeFill="background1" w:themeFillShade="D9"/>
          </w:tcPr>
          <w:p w14:paraId="3C1C3081" w14:textId="77777777" w:rsidR="000A7D9D" w:rsidRPr="00C56424" w:rsidRDefault="000A7D9D" w:rsidP="00F31937">
            <w:pPr>
              <w:pStyle w:val="BodyText"/>
              <w:tabs>
                <w:tab w:val="left" w:pos="4170"/>
              </w:tabs>
              <w:spacing w:after="0"/>
              <w:rPr>
                <w:b/>
                <w:bCs/>
                <w:noProof/>
                <w:sz w:val="20"/>
                <w:szCs w:val="20"/>
              </w:rPr>
            </w:pPr>
            <w:r w:rsidRPr="00C56424">
              <w:rPr>
                <w:b/>
                <w:bCs/>
                <w:noProof/>
                <w:sz w:val="20"/>
                <w:szCs w:val="20"/>
              </w:rPr>
              <w:t>Resource needs</w:t>
            </w:r>
          </w:p>
        </w:tc>
        <w:tc>
          <w:tcPr>
            <w:tcW w:w="2280" w:type="dxa"/>
            <w:shd w:val="clear" w:color="auto" w:fill="D9D9D9" w:themeFill="background1" w:themeFillShade="D9"/>
          </w:tcPr>
          <w:p w14:paraId="207DAC1E" w14:textId="77777777" w:rsidR="000A7D9D" w:rsidRPr="00C56424" w:rsidRDefault="000A7D9D" w:rsidP="00F31937">
            <w:pPr>
              <w:pStyle w:val="BodyText"/>
              <w:tabs>
                <w:tab w:val="left" w:pos="4170"/>
              </w:tabs>
              <w:spacing w:after="0"/>
              <w:rPr>
                <w:noProof/>
                <w:sz w:val="20"/>
                <w:szCs w:val="20"/>
              </w:rPr>
            </w:pPr>
          </w:p>
        </w:tc>
      </w:tr>
      <w:tr w:rsidR="000A7D9D" w:rsidRPr="00187DBF" w14:paraId="07204EF1" w14:textId="77777777" w:rsidTr="00F31937">
        <w:trPr>
          <w:trHeight w:val="300"/>
        </w:trPr>
        <w:tc>
          <w:tcPr>
            <w:tcW w:w="1454" w:type="dxa"/>
            <w:vMerge w:val="restart"/>
            <w:shd w:val="clear" w:color="auto" w:fill="D9D9D9" w:themeFill="background1" w:themeFillShade="D9"/>
          </w:tcPr>
          <w:p w14:paraId="1E2916A2" w14:textId="77777777" w:rsidR="000A7D9D" w:rsidRPr="00C56424" w:rsidRDefault="000A7D9D" w:rsidP="00F31937">
            <w:pPr>
              <w:pStyle w:val="BodyText"/>
              <w:spacing w:line="259" w:lineRule="auto"/>
              <w:rPr>
                <w:noProof/>
                <w:sz w:val="20"/>
                <w:szCs w:val="20"/>
              </w:rPr>
            </w:pPr>
            <w:r w:rsidRPr="00C56424">
              <w:rPr>
                <w:noProof/>
                <w:sz w:val="20"/>
                <w:szCs w:val="20"/>
              </w:rPr>
              <w:t>ECHA</w:t>
            </w:r>
          </w:p>
        </w:tc>
        <w:tc>
          <w:tcPr>
            <w:tcW w:w="3930" w:type="dxa"/>
            <w:vMerge w:val="restart"/>
            <w:shd w:val="clear" w:color="auto" w:fill="D9D9D9" w:themeFill="background1" w:themeFillShade="D9"/>
          </w:tcPr>
          <w:p w14:paraId="2956096A" w14:textId="77777777" w:rsidR="000A7D9D" w:rsidRPr="00C56424" w:rsidRDefault="000A7D9D" w:rsidP="00F31937">
            <w:pPr>
              <w:pStyle w:val="BodyText"/>
              <w:rPr>
                <w:noProof/>
                <w:sz w:val="20"/>
                <w:szCs w:val="20"/>
              </w:rPr>
            </w:pPr>
            <w:r w:rsidRPr="00C56424">
              <w:rPr>
                <w:noProof/>
                <w:sz w:val="20"/>
                <w:szCs w:val="20"/>
              </w:rPr>
              <w:t>- restriction of substances in electronic and electrical equipment (ca. 1 dossier per year)</w:t>
            </w:r>
          </w:p>
          <w:p w14:paraId="64B3E2B3" w14:textId="77777777" w:rsidR="000A7D9D" w:rsidRPr="00C56424" w:rsidRDefault="000A7D9D" w:rsidP="00F31937">
            <w:pPr>
              <w:pStyle w:val="BodyText"/>
              <w:rPr>
                <w:noProof/>
                <w:sz w:val="20"/>
                <w:szCs w:val="20"/>
              </w:rPr>
            </w:pPr>
            <w:r w:rsidRPr="00C56424">
              <w:rPr>
                <w:noProof/>
                <w:sz w:val="20"/>
                <w:szCs w:val="20"/>
              </w:rPr>
              <w:t>- assessment of exemption request (30 assessments per year)</w:t>
            </w:r>
          </w:p>
        </w:tc>
        <w:tc>
          <w:tcPr>
            <w:tcW w:w="1965" w:type="dxa"/>
            <w:shd w:val="clear" w:color="auto" w:fill="D9D9D9" w:themeFill="background1" w:themeFillShade="D9"/>
          </w:tcPr>
          <w:p w14:paraId="640CD9E5"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280" w:type="dxa"/>
            <w:shd w:val="clear" w:color="auto" w:fill="D9D9D9" w:themeFill="background1" w:themeFillShade="D9"/>
          </w:tcPr>
          <w:p w14:paraId="5C102378"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noProof/>
                <w:sz w:val="20"/>
                <w:szCs w:val="20"/>
                <w:lang w:val="fr-BE"/>
              </w:rPr>
              <w:t>EUR 0</w:t>
            </w:r>
          </w:p>
          <w:p w14:paraId="722DA767"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 66 000</w:t>
            </w:r>
            <w:r w:rsidRPr="00C56424">
              <w:rPr>
                <w:noProof/>
                <w:sz w:val="20"/>
                <w:szCs w:val="20"/>
                <w:lang w:val="fr-BE"/>
              </w:rPr>
              <w:t xml:space="preserve"> </w:t>
            </w:r>
          </w:p>
          <w:p w14:paraId="5C7C2170"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33 000</w:t>
            </w:r>
          </w:p>
          <w:p w14:paraId="211BABD1"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2027: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33 000</w:t>
            </w:r>
          </w:p>
          <w:p w14:paraId="3D9B3A81"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2028: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33 000</w:t>
            </w:r>
          </w:p>
        </w:tc>
      </w:tr>
      <w:tr w:rsidR="000A7D9D" w:rsidRPr="00C56424" w14:paraId="4A3E2EEB" w14:textId="77777777" w:rsidTr="00F31937">
        <w:trPr>
          <w:trHeight w:val="300"/>
        </w:trPr>
        <w:tc>
          <w:tcPr>
            <w:tcW w:w="1454" w:type="dxa"/>
            <w:vMerge/>
            <w:shd w:val="clear" w:color="auto" w:fill="D9D9D9" w:themeFill="background1" w:themeFillShade="D9"/>
          </w:tcPr>
          <w:p w14:paraId="7D81327D" w14:textId="77777777" w:rsidR="000A7D9D" w:rsidRPr="00C56424" w:rsidRDefault="000A7D9D" w:rsidP="00F31937">
            <w:pPr>
              <w:pStyle w:val="BodyText"/>
              <w:spacing w:line="259" w:lineRule="auto"/>
              <w:rPr>
                <w:b/>
                <w:bCs/>
                <w:noProof/>
                <w:sz w:val="20"/>
                <w:szCs w:val="20"/>
                <w:lang w:val="fr-BE"/>
              </w:rPr>
            </w:pPr>
          </w:p>
        </w:tc>
        <w:tc>
          <w:tcPr>
            <w:tcW w:w="3930" w:type="dxa"/>
            <w:vMerge/>
            <w:shd w:val="clear" w:color="auto" w:fill="D9D9D9" w:themeFill="background1" w:themeFillShade="D9"/>
          </w:tcPr>
          <w:p w14:paraId="607AD56D" w14:textId="77777777" w:rsidR="000A7D9D" w:rsidRPr="00C56424" w:rsidRDefault="000A7D9D" w:rsidP="00F31937">
            <w:pPr>
              <w:pStyle w:val="BodyText"/>
              <w:rPr>
                <w:b/>
                <w:bCs/>
                <w:noProof/>
                <w:sz w:val="20"/>
                <w:szCs w:val="20"/>
                <w:lang w:val="fr-BE"/>
              </w:rPr>
            </w:pPr>
          </w:p>
        </w:tc>
        <w:tc>
          <w:tcPr>
            <w:tcW w:w="1965" w:type="dxa"/>
            <w:shd w:val="clear" w:color="auto" w:fill="D9D9D9" w:themeFill="background1" w:themeFillShade="D9"/>
          </w:tcPr>
          <w:p w14:paraId="635AA5B7"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280" w:type="dxa"/>
            <w:shd w:val="clear" w:color="auto" w:fill="D9D9D9" w:themeFill="background1" w:themeFillShade="D9"/>
          </w:tcPr>
          <w:p w14:paraId="279445A2" w14:textId="77777777" w:rsidR="000A7D9D" w:rsidRPr="00C56424" w:rsidRDefault="000A7D9D" w:rsidP="00F31937">
            <w:pPr>
              <w:pStyle w:val="BodyText"/>
              <w:tabs>
                <w:tab w:val="left" w:pos="4170"/>
              </w:tabs>
              <w:spacing w:after="0"/>
              <w:rPr>
                <w:b/>
                <w:noProof/>
                <w:sz w:val="20"/>
                <w:szCs w:val="20"/>
                <w:lang w:val="pl-PL"/>
              </w:rPr>
            </w:pPr>
            <w:r w:rsidRPr="00C56424">
              <w:rPr>
                <w:noProof/>
                <w:sz w:val="20"/>
                <w:szCs w:val="20"/>
                <w:lang w:val="pl-PL"/>
              </w:rPr>
              <w:t xml:space="preserve">2024:  </w:t>
            </w:r>
            <w:r w:rsidRPr="00C56424">
              <w:rPr>
                <w:b/>
                <w:bCs/>
                <w:noProof/>
                <w:sz w:val="20"/>
                <w:szCs w:val="20"/>
                <w:lang w:val="pl-PL"/>
              </w:rPr>
              <w:t>0 TA, 0 CA</w:t>
            </w:r>
          </w:p>
          <w:p w14:paraId="7E401DC2" w14:textId="77777777" w:rsidR="000A7D9D" w:rsidRPr="00C56424" w:rsidRDefault="000A7D9D" w:rsidP="00F31937">
            <w:pPr>
              <w:pStyle w:val="BodyText"/>
              <w:tabs>
                <w:tab w:val="left" w:pos="4170"/>
              </w:tabs>
              <w:spacing w:after="0"/>
              <w:rPr>
                <w:b/>
                <w:bCs/>
                <w:noProof/>
                <w:sz w:val="20"/>
                <w:szCs w:val="20"/>
                <w:lang w:val="pl-PL"/>
              </w:rPr>
            </w:pPr>
            <w:r w:rsidRPr="00C56424">
              <w:rPr>
                <w:noProof/>
                <w:sz w:val="20"/>
                <w:szCs w:val="20"/>
                <w:lang w:val="pl-PL"/>
              </w:rPr>
              <w:t xml:space="preserve">2025:  </w:t>
            </w:r>
            <w:r w:rsidRPr="00C56424">
              <w:rPr>
                <w:b/>
                <w:bCs/>
                <w:noProof/>
                <w:sz w:val="20"/>
                <w:szCs w:val="20"/>
                <w:lang w:val="pl-PL"/>
              </w:rPr>
              <w:t>3 TA, 0 CA</w:t>
            </w:r>
          </w:p>
          <w:p w14:paraId="7CC2875F" w14:textId="77777777" w:rsidR="000A7D9D" w:rsidRPr="00C56424" w:rsidRDefault="000A7D9D" w:rsidP="00F31937">
            <w:pPr>
              <w:pStyle w:val="BodyText"/>
              <w:tabs>
                <w:tab w:val="left" w:pos="4170"/>
              </w:tabs>
              <w:spacing w:after="0"/>
              <w:rPr>
                <w:b/>
                <w:bCs/>
                <w:noProof/>
                <w:sz w:val="20"/>
                <w:szCs w:val="20"/>
                <w:lang w:val="pl-PL"/>
              </w:rPr>
            </w:pPr>
            <w:r w:rsidRPr="00C56424">
              <w:rPr>
                <w:noProof/>
                <w:sz w:val="20"/>
                <w:szCs w:val="20"/>
                <w:lang w:val="pl-PL"/>
              </w:rPr>
              <w:t xml:space="preserve">2026:  </w:t>
            </w:r>
            <w:r w:rsidRPr="00C56424">
              <w:rPr>
                <w:b/>
                <w:bCs/>
                <w:noProof/>
                <w:sz w:val="20"/>
                <w:szCs w:val="20"/>
                <w:lang w:val="pl-PL"/>
              </w:rPr>
              <w:t>4 TA, 3 CA</w:t>
            </w:r>
          </w:p>
          <w:p w14:paraId="4DD036EE" w14:textId="77777777" w:rsidR="000A7D9D" w:rsidRPr="00C56424" w:rsidRDefault="000A7D9D" w:rsidP="00F31937">
            <w:pPr>
              <w:pStyle w:val="BodyText"/>
              <w:tabs>
                <w:tab w:val="left" w:pos="4170"/>
              </w:tabs>
              <w:spacing w:after="0"/>
              <w:rPr>
                <w:b/>
                <w:bCs/>
                <w:noProof/>
                <w:sz w:val="20"/>
                <w:szCs w:val="20"/>
                <w:lang w:val="pl-PL"/>
              </w:rPr>
            </w:pPr>
            <w:r w:rsidRPr="00C56424">
              <w:rPr>
                <w:noProof/>
                <w:sz w:val="20"/>
                <w:szCs w:val="20"/>
                <w:lang w:val="pl-PL"/>
              </w:rPr>
              <w:t xml:space="preserve">2027:  </w:t>
            </w:r>
            <w:r w:rsidRPr="00C56424">
              <w:rPr>
                <w:b/>
                <w:bCs/>
                <w:noProof/>
                <w:sz w:val="20"/>
                <w:szCs w:val="20"/>
                <w:lang w:val="pl-PL"/>
              </w:rPr>
              <w:t>4 TA, 3 CA</w:t>
            </w:r>
          </w:p>
          <w:p w14:paraId="47D82632" w14:textId="77777777" w:rsidR="000A7D9D" w:rsidRPr="00C56424" w:rsidRDefault="000A7D9D" w:rsidP="00F31937">
            <w:pPr>
              <w:pStyle w:val="BodyText"/>
              <w:tabs>
                <w:tab w:val="left" w:pos="4170"/>
              </w:tabs>
              <w:spacing w:after="0"/>
              <w:rPr>
                <w:noProof/>
                <w:sz w:val="20"/>
                <w:szCs w:val="20"/>
                <w:lang w:val="pl-PL"/>
              </w:rPr>
            </w:pPr>
            <w:r w:rsidRPr="00C56424">
              <w:rPr>
                <w:bCs/>
                <w:noProof/>
                <w:sz w:val="20"/>
                <w:szCs w:val="20"/>
                <w:lang w:val="pl-PL"/>
              </w:rPr>
              <w:t>2028:</w:t>
            </w:r>
            <w:r w:rsidRPr="00C56424">
              <w:rPr>
                <w:b/>
                <w:bCs/>
                <w:noProof/>
                <w:sz w:val="20"/>
                <w:szCs w:val="20"/>
                <w:lang w:val="pl-PL"/>
              </w:rPr>
              <w:t xml:space="preserve">  4 TA, 3 CA</w:t>
            </w:r>
          </w:p>
        </w:tc>
      </w:tr>
    </w:tbl>
    <w:p w14:paraId="4E9AD6A5" w14:textId="77777777" w:rsidR="000A7D9D" w:rsidRPr="00207447" w:rsidRDefault="000A7D9D" w:rsidP="000A7D9D">
      <w:pPr>
        <w:pStyle w:val="BodyText"/>
        <w:tabs>
          <w:tab w:val="left" w:pos="4170"/>
        </w:tabs>
        <w:spacing w:before="120"/>
        <w:rPr>
          <w:noProof/>
        </w:rPr>
      </w:pPr>
      <w:r w:rsidRPr="00207447">
        <w:rPr>
          <w:noProof/>
          <w:u w:val="single"/>
        </w:rPr>
        <w:t>Future budget line:</w:t>
      </w:r>
      <w:r w:rsidRPr="00207447">
        <w:rPr>
          <w:noProof/>
        </w:rPr>
        <w:t xml:space="preserve"> DG Environment </w:t>
      </w:r>
    </w:p>
    <w:p w14:paraId="252959A6" w14:textId="77777777" w:rsidR="000A7D9D" w:rsidRPr="00207447" w:rsidRDefault="000A7D9D" w:rsidP="000A7D9D">
      <w:pPr>
        <w:pStyle w:val="BodyText"/>
        <w:tabs>
          <w:tab w:val="left" w:pos="4170"/>
        </w:tabs>
        <w:rPr>
          <w:noProof/>
        </w:rPr>
      </w:pPr>
      <w:r w:rsidRPr="00207447">
        <w:rPr>
          <w:noProof/>
          <w:u w:val="single"/>
        </w:rPr>
        <w:t>Candidate for fees:</w:t>
      </w:r>
      <w:r w:rsidRPr="00207447">
        <w:rPr>
          <w:noProof/>
        </w:rPr>
        <w:t xml:space="preserve"> Yes, for assessment of exemptions</w:t>
      </w:r>
    </w:p>
    <w:p w14:paraId="3E6109C0" w14:textId="77777777" w:rsidR="000A7D9D" w:rsidRPr="00350B0A" w:rsidRDefault="000A7D9D" w:rsidP="000A7D9D">
      <w:pPr>
        <w:pStyle w:val="BodyText"/>
        <w:rPr>
          <w:noProof/>
        </w:rPr>
      </w:pPr>
    </w:p>
    <w:p w14:paraId="2BBFD96D"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67" w:name="_Toc150499934"/>
      <w:r w:rsidRPr="00291F95">
        <w:rPr>
          <w:rFonts w:ascii="Times New Roman" w:hAnsi="Times New Roman"/>
          <w:smallCaps/>
          <w:noProof/>
          <w:color w:val="auto"/>
          <w:sz w:val="24"/>
          <w:szCs w:val="20"/>
          <w:lang w:eastAsia="en-US"/>
        </w:rPr>
        <w:t>POPs Regulation (2019/1021)</w:t>
      </w:r>
      <w:bookmarkEnd w:id="67"/>
    </w:p>
    <w:p w14:paraId="7A04F9CB" w14:textId="77777777" w:rsidR="000A7D9D" w:rsidRPr="00207447" w:rsidRDefault="000A7D9D" w:rsidP="000A7D9D">
      <w:pPr>
        <w:spacing w:after="120"/>
        <w:rPr>
          <w:rFonts w:ascii="Times New Roman" w:hAnsi="Times New Roman" w:cs="Times New Roman"/>
          <w:b/>
          <w:bCs/>
          <w:noProof/>
          <w:sz w:val="24"/>
          <w:szCs w:val="24"/>
        </w:rPr>
      </w:pPr>
      <w:r w:rsidRPr="00207447">
        <w:rPr>
          <w:rFonts w:ascii="Times New Roman" w:hAnsi="Times New Roman" w:cs="Times New Roman"/>
          <w:b/>
          <w:bCs/>
          <w:noProof/>
          <w:sz w:val="24"/>
          <w:szCs w:val="24"/>
        </w:rPr>
        <w:t>Responsible body:</w:t>
      </w:r>
    </w:p>
    <w:p w14:paraId="2BEFE0BA" w14:textId="77777777" w:rsidR="000A7D9D" w:rsidRPr="00207447" w:rsidRDefault="000A7D9D" w:rsidP="000A7D9D">
      <w:pPr>
        <w:spacing w:after="120"/>
        <w:rPr>
          <w:rFonts w:ascii="Times New Roman" w:hAnsi="Times New Roman" w:cs="Times New Roman"/>
          <w:noProof/>
          <w:sz w:val="24"/>
          <w:szCs w:val="24"/>
        </w:rPr>
      </w:pPr>
      <w:r w:rsidRPr="00207447">
        <w:rPr>
          <w:rFonts w:ascii="Times New Roman" w:hAnsi="Times New Roman" w:cs="Times New Roman"/>
          <w:noProof/>
          <w:sz w:val="24"/>
          <w:szCs w:val="24"/>
          <w:u w:val="single"/>
        </w:rPr>
        <w:t>Currently:</w:t>
      </w:r>
      <w:r w:rsidRPr="00207447">
        <w:rPr>
          <w:rFonts w:ascii="Times New Roman" w:hAnsi="Times New Roman" w:cs="Times New Roman"/>
          <w:noProof/>
          <w:sz w:val="24"/>
          <w:szCs w:val="24"/>
        </w:rPr>
        <w:t xml:space="preserve"> Commission with the support of consultants</w:t>
      </w:r>
    </w:p>
    <w:p w14:paraId="2C8CFC57" w14:textId="77777777" w:rsidR="000A7D9D" w:rsidRPr="00207447" w:rsidRDefault="000A7D9D" w:rsidP="000A7D9D">
      <w:pPr>
        <w:spacing w:after="120"/>
        <w:rPr>
          <w:rFonts w:ascii="Times New Roman" w:hAnsi="Times New Roman" w:cs="Times New Roman"/>
          <w:noProof/>
          <w:sz w:val="24"/>
          <w:szCs w:val="24"/>
        </w:rPr>
      </w:pPr>
      <w:r w:rsidRPr="00207447">
        <w:rPr>
          <w:rFonts w:ascii="Times New Roman" w:hAnsi="Times New Roman" w:cs="Times New Roman"/>
          <w:noProof/>
          <w:sz w:val="24"/>
          <w:szCs w:val="24"/>
          <w:u w:val="single"/>
        </w:rPr>
        <w:t>(Re-)attribution planned to:</w:t>
      </w:r>
      <w:r w:rsidRPr="00207447">
        <w:rPr>
          <w:rFonts w:ascii="Times New Roman" w:hAnsi="Times New Roman" w:cs="Times New Roman"/>
          <w:noProof/>
          <w:sz w:val="24"/>
          <w:szCs w:val="24"/>
        </w:rPr>
        <w:t xml:space="preserve"> ECHA, EEA</w:t>
      </w:r>
    </w:p>
    <w:p w14:paraId="37B954FF" w14:textId="77777777" w:rsidR="000A7D9D" w:rsidRPr="00207447" w:rsidRDefault="000A7D9D" w:rsidP="000A7D9D">
      <w:pPr>
        <w:pStyle w:val="BodyText"/>
        <w:rPr>
          <w:noProof/>
        </w:rPr>
      </w:pPr>
      <w:r w:rsidRPr="00207447">
        <w:rPr>
          <w:b/>
          <w:bCs/>
          <w:noProof/>
        </w:rPr>
        <w:t>Legal basis for reattribution:</w:t>
      </w:r>
      <w:r w:rsidRPr="00207447">
        <w:rPr>
          <w:noProof/>
        </w:rPr>
        <w:t xml:space="preserve"> Omnibus regulation for reattribution of tasks</w:t>
      </w:r>
    </w:p>
    <w:p w14:paraId="5BFE87BD" w14:textId="77777777" w:rsidR="000A7D9D" w:rsidRPr="00207447" w:rsidRDefault="000A7D9D" w:rsidP="000A7D9D">
      <w:pPr>
        <w:pStyle w:val="BodyText"/>
        <w:jc w:val="both"/>
        <w:rPr>
          <w:b/>
          <w:bCs/>
          <w:noProof/>
        </w:rPr>
      </w:pPr>
      <w:r w:rsidRPr="00207447">
        <w:rPr>
          <w:b/>
          <w:bCs/>
          <w:noProof/>
        </w:rPr>
        <w:t xml:space="preserve">Type of task: </w:t>
      </w:r>
      <w:r w:rsidRPr="00207447">
        <w:rPr>
          <w:noProof/>
        </w:rPr>
        <w:t>existing</w:t>
      </w:r>
    </w:p>
    <w:p w14:paraId="4EAA33FA" w14:textId="77777777" w:rsidR="000A7D9D" w:rsidRPr="00207447" w:rsidRDefault="000A7D9D" w:rsidP="000A7D9D">
      <w:pPr>
        <w:pStyle w:val="BodyText"/>
        <w:jc w:val="both"/>
        <w:rPr>
          <w:b/>
          <w:bCs/>
          <w:noProof/>
        </w:rPr>
      </w:pPr>
      <w:r w:rsidRPr="00207447">
        <w:rPr>
          <w:b/>
          <w:bCs/>
          <w:noProof/>
        </w:rPr>
        <w:t xml:space="preserve">Brief task overview: </w:t>
      </w:r>
    </w:p>
    <w:p w14:paraId="7298E13F" w14:textId="77777777" w:rsidR="000A7D9D" w:rsidRPr="00207447" w:rsidRDefault="000A7D9D" w:rsidP="000A7D9D">
      <w:pPr>
        <w:pStyle w:val="BodyText"/>
        <w:widowControl w:val="0"/>
        <w:numPr>
          <w:ilvl w:val="0"/>
          <w:numId w:val="127"/>
        </w:numPr>
        <w:jc w:val="both"/>
        <w:rPr>
          <w:noProof/>
        </w:rPr>
      </w:pPr>
      <w:r w:rsidRPr="00207447">
        <w:rPr>
          <w:noProof/>
        </w:rPr>
        <w:t>Assessments underpinning setting concentration limit values for substances subject to waste management provisions as part of the review of Annexes IV and V of the POPs regulation</w:t>
      </w:r>
    </w:p>
    <w:p w14:paraId="6E062F83" w14:textId="77777777" w:rsidR="000A7D9D" w:rsidRPr="00207447" w:rsidRDefault="000A7D9D" w:rsidP="000A7D9D">
      <w:pPr>
        <w:pStyle w:val="BodyText"/>
        <w:widowControl w:val="0"/>
        <w:numPr>
          <w:ilvl w:val="0"/>
          <w:numId w:val="127"/>
        </w:numPr>
        <w:jc w:val="both"/>
        <w:rPr>
          <w:noProof/>
        </w:rPr>
      </w:pPr>
      <w:r w:rsidRPr="00207447">
        <w:rPr>
          <w:noProof/>
        </w:rPr>
        <w:t xml:space="preserve">Receiving chemical monitoring data of POPs as part of the regular reporting under the POPs regulation </w:t>
      </w:r>
    </w:p>
    <w:p w14:paraId="7E5997B7" w14:textId="77777777" w:rsidR="000A7D9D" w:rsidRPr="00207447" w:rsidRDefault="000A7D9D" w:rsidP="000A7D9D">
      <w:pPr>
        <w:pStyle w:val="BodyText"/>
        <w:rPr>
          <w:b/>
          <w:bCs/>
          <w:noProof/>
        </w:rPr>
      </w:pPr>
      <w:r w:rsidRPr="00207447">
        <w:rPr>
          <w:b/>
          <w:bCs/>
          <w:noProof/>
        </w:rPr>
        <w:t>Detailed process description:</w:t>
      </w:r>
    </w:p>
    <w:p w14:paraId="4E1E53AC" w14:textId="77777777" w:rsidR="000A7D9D" w:rsidRPr="00207447" w:rsidRDefault="000A7D9D" w:rsidP="000A7D9D">
      <w:pPr>
        <w:spacing w:before="120" w:after="120"/>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Current process:</w:t>
      </w:r>
    </w:p>
    <w:p w14:paraId="7C7CC1A0" w14:textId="77777777" w:rsidR="000A7D9D" w:rsidRPr="00207447" w:rsidRDefault="000A7D9D" w:rsidP="000A7D9D">
      <w:pPr>
        <w:spacing w:before="120" w:after="120"/>
        <w:rPr>
          <w:rFonts w:ascii="Times New Roman" w:hAnsi="Times New Roman" w:cs="Times New Roman"/>
          <w:i/>
          <w:iCs/>
          <w:noProof/>
          <w:sz w:val="24"/>
          <w:szCs w:val="24"/>
        </w:rPr>
      </w:pPr>
      <w:r w:rsidRPr="00207447">
        <w:rPr>
          <w:rFonts w:ascii="Times New Roman" w:hAnsi="Times New Roman" w:cs="Times New Roman"/>
          <w:i/>
          <w:iCs/>
          <w:noProof/>
          <w:sz w:val="24"/>
          <w:szCs w:val="24"/>
        </w:rPr>
        <w:t>Task 1</w:t>
      </w:r>
    </w:p>
    <w:p w14:paraId="591D16A7"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For a substance added to Annex I (prohibition on manufacturing, placing on the market and use), Annex II (list of substances subject to restrictions) and as appropriate also for substances in Annex III  (list of substances subject to release reduction provisions), limit values in Annex IV and V for these substances contained in waste need to be set, in order to ensure the environmentally sound management of waste consisting of or contaminated by this POP substance.</w:t>
      </w:r>
    </w:p>
    <w:p w14:paraId="4BFAE480" w14:textId="77777777" w:rsidR="000A7D9D" w:rsidRPr="00207447" w:rsidRDefault="000A7D9D" w:rsidP="000A7D9D">
      <w:pPr>
        <w:spacing w:before="120" w:after="120"/>
        <w:jc w:val="both"/>
        <w:rPr>
          <w:rFonts w:ascii="Times New Roman" w:hAnsi="Times New Roman" w:cs="Times New Roman"/>
          <w:noProof/>
          <w:sz w:val="24"/>
          <w:szCs w:val="24"/>
        </w:rPr>
      </w:pPr>
      <w:r w:rsidRPr="00207447">
        <w:rPr>
          <w:rFonts w:ascii="Times New Roman" w:hAnsi="Times New Roman" w:cs="Times New Roman"/>
          <w:noProof/>
          <w:sz w:val="24"/>
          <w:szCs w:val="24"/>
        </w:rPr>
        <w:t>The concentration limit values set for waste containing POP substances directly affects the amounts of the concerned waste stream that can potentially be recycled, rather than being disposed of; a stricter limit value could even result in the cessation of recycling of the waste stream altogether. These limits are also very important in determing the possible disposal routes for waste (e.g. disposal in non-hazardous or hazardous waste landfills instead of incineration, admission in different types of incineration or co-incineration facilities. All these have relevant economic consequences for operators.</w:t>
      </w:r>
    </w:p>
    <w:p w14:paraId="731CE88D" w14:textId="77777777" w:rsidR="000A7D9D" w:rsidRPr="00207447" w:rsidRDefault="000A7D9D" w:rsidP="000A7D9D">
      <w:pPr>
        <w:spacing w:before="120" w:after="120"/>
        <w:rPr>
          <w:rFonts w:ascii="Times New Roman" w:hAnsi="Times New Roman" w:cs="Times New Roman"/>
          <w:noProof/>
          <w:sz w:val="24"/>
          <w:szCs w:val="24"/>
        </w:rPr>
      </w:pPr>
      <w:r w:rsidRPr="00207447">
        <w:rPr>
          <w:rFonts w:ascii="Times New Roman" w:hAnsi="Times New Roman" w:cs="Times New Roman"/>
          <w:noProof/>
          <w:sz w:val="24"/>
          <w:szCs w:val="24"/>
        </w:rPr>
        <w:t>Two concentration limits are distinguished for POPs in waste:</w:t>
      </w:r>
    </w:p>
    <w:p w14:paraId="37125233" w14:textId="77777777" w:rsidR="000A7D9D" w:rsidRPr="00207447" w:rsidRDefault="000A7D9D" w:rsidP="000A7D9D">
      <w:pPr>
        <w:widowControl w:val="0"/>
        <w:numPr>
          <w:ilvl w:val="0"/>
          <w:numId w:val="100"/>
        </w:numPr>
        <w:spacing w:after="120" w:line="240" w:lineRule="auto"/>
        <w:contextualSpacing/>
        <w:jc w:val="both"/>
        <w:rPr>
          <w:rFonts w:ascii="Times New Roman" w:hAnsi="Times New Roman" w:cs="Times New Roman"/>
          <w:noProof/>
          <w:sz w:val="24"/>
          <w:szCs w:val="24"/>
        </w:rPr>
      </w:pPr>
      <w:r w:rsidRPr="00207447">
        <w:rPr>
          <w:rFonts w:ascii="Times New Roman" w:hAnsi="Times New Roman" w:cs="Times New Roman"/>
          <w:noProof/>
          <w:sz w:val="24"/>
          <w:szCs w:val="24"/>
          <w:u w:val="single"/>
        </w:rPr>
        <w:t>Low POP concentration limit (Annex IV):</w:t>
      </w:r>
      <w:r w:rsidRPr="00207447">
        <w:rPr>
          <w:rFonts w:ascii="Times New Roman" w:hAnsi="Times New Roman" w:cs="Times New Roman"/>
          <w:noProof/>
          <w:sz w:val="24"/>
          <w:szCs w:val="24"/>
        </w:rPr>
        <w:t xml:space="preserve"> defines the concentration limit above which POPs content in waste shall be subject to destruction or irreversible transformation; this means the waste cannot be recycled and disposal options are limited to certain treatments (possible exceptions can be granted by Member States for certain wastes) </w:t>
      </w:r>
    </w:p>
    <w:p w14:paraId="54E8346F" w14:textId="77777777" w:rsidR="000A7D9D" w:rsidRPr="00207447" w:rsidRDefault="000A7D9D" w:rsidP="000A7D9D">
      <w:pPr>
        <w:widowControl w:val="0"/>
        <w:numPr>
          <w:ilvl w:val="0"/>
          <w:numId w:val="100"/>
        </w:numPr>
        <w:spacing w:after="120" w:line="240" w:lineRule="auto"/>
        <w:ind w:left="357" w:hanging="357"/>
        <w:jc w:val="both"/>
        <w:rPr>
          <w:rFonts w:ascii="Times New Roman" w:hAnsi="Times New Roman" w:cs="Times New Roman"/>
          <w:noProof/>
          <w:sz w:val="24"/>
          <w:szCs w:val="24"/>
        </w:rPr>
      </w:pPr>
      <w:r w:rsidRPr="00207447">
        <w:rPr>
          <w:rFonts w:ascii="Times New Roman" w:hAnsi="Times New Roman" w:cs="Times New Roman"/>
          <w:noProof/>
          <w:sz w:val="24"/>
          <w:szCs w:val="24"/>
          <w:u w:val="single"/>
        </w:rPr>
        <w:t>Maximum POP concentration limit (Annex V):</w:t>
      </w:r>
      <w:r w:rsidRPr="00207447">
        <w:rPr>
          <w:rFonts w:ascii="Times New Roman" w:hAnsi="Times New Roman" w:cs="Times New Roman"/>
          <w:noProof/>
          <w:sz w:val="24"/>
          <w:szCs w:val="24"/>
        </w:rPr>
        <w:t xml:space="preserve"> defines the threshold above which no derogation from the obligation to destroy or irreversibly transform the POP content can be granted</w:t>
      </w:r>
    </w:p>
    <w:p w14:paraId="6B307238"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The need to act is triggered by inclusion of a substance in the Stockholm Convention, following which the process is initiated by the Commission: approx. 2-3 substances are identified as POPs under the Stockholm Convention every 2 years, but for the transposition into the POPs Regulation the Commission acts in five year cycles due to the heavy ordinary legislative procedure to add substances to Annexes IV and V of the POPs Regulation.</w:t>
      </w:r>
    </w:p>
    <w:p w14:paraId="3C9ABDC3" w14:textId="77777777" w:rsidR="000A7D9D" w:rsidRPr="00207447" w:rsidRDefault="000A7D9D" w:rsidP="000A7D9D">
      <w:pPr>
        <w:spacing w:after="120"/>
        <w:jc w:val="both"/>
        <w:rPr>
          <w:rFonts w:ascii="Times New Roman" w:eastAsia="Calibri" w:hAnsi="Times New Roman" w:cs="Times New Roman"/>
          <w:noProof/>
          <w:sz w:val="24"/>
          <w:szCs w:val="24"/>
        </w:rPr>
      </w:pPr>
      <w:r w:rsidRPr="00207447">
        <w:rPr>
          <w:rFonts w:ascii="Times New Roman" w:eastAsia="Calibri" w:hAnsi="Times New Roman" w:cs="Times New Roman"/>
          <w:noProof/>
          <w:sz w:val="24"/>
          <w:szCs w:val="24"/>
        </w:rPr>
        <w:t>For existing limit values in Annex IV and V no standard review process exists, but the values need to be kept up to date in view of scientific and technical progress and revision clauses contained in the Regulation, for substances already listed, need to be observed.</w:t>
      </w:r>
    </w:p>
    <w:p w14:paraId="176EBF94" w14:textId="77777777" w:rsidR="000A7D9D" w:rsidRPr="00207447" w:rsidRDefault="000A7D9D" w:rsidP="000A7D9D">
      <w:pPr>
        <w:jc w:val="both"/>
        <w:rPr>
          <w:rFonts w:ascii="Times New Roman" w:hAnsi="Times New Roman" w:cs="Times New Roman"/>
          <w:noProof/>
          <w:sz w:val="24"/>
          <w:szCs w:val="24"/>
        </w:rPr>
      </w:pPr>
      <w:r w:rsidRPr="00207447">
        <w:rPr>
          <w:rFonts w:ascii="Times New Roman" w:hAnsi="Times New Roman" w:cs="Times New Roman"/>
          <w:noProof/>
          <w:sz w:val="24"/>
          <w:szCs w:val="24"/>
        </w:rPr>
        <w:t>Under the current practice, consultants perform a technical assessment (hazard, risk, socioeconomic aspects) for setting concentration limit values of the substance(s) in waste. This includes:</w:t>
      </w:r>
    </w:p>
    <w:p w14:paraId="0EB84D29" w14:textId="77777777" w:rsidR="000A7D9D" w:rsidRPr="00207447" w:rsidRDefault="000A7D9D" w:rsidP="000A7D9D">
      <w:pPr>
        <w:pStyle w:val="ListParagraph"/>
        <w:widowControl w:val="0"/>
        <w:numPr>
          <w:ilvl w:val="0"/>
          <w:numId w:val="100"/>
        </w:numPr>
        <w:spacing w:before="120"/>
        <w:jc w:val="both"/>
        <w:rPr>
          <w:noProof/>
        </w:rPr>
      </w:pPr>
      <w:r w:rsidRPr="00207447">
        <w:rPr>
          <w:noProof/>
        </w:rPr>
        <w:t>Collection of data on hazard and risk of the substance: this is mostly taken from the Stockholm Convention listing exercise of the substance;</w:t>
      </w:r>
    </w:p>
    <w:p w14:paraId="4F74E0CE" w14:textId="77777777" w:rsidR="000A7D9D" w:rsidRPr="00207447" w:rsidRDefault="000A7D9D" w:rsidP="000A7D9D">
      <w:pPr>
        <w:widowControl w:val="0"/>
        <w:numPr>
          <w:ilvl w:val="0"/>
          <w:numId w:val="100"/>
        </w:numPr>
        <w:spacing w:after="120" w:line="240" w:lineRule="auto"/>
        <w:contextualSpacing/>
        <w:jc w:val="both"/>
        <w:rPr>
          <w:rFonts w:ascii="Times New Roman" w:hAnsi="Times New Roman" w:cs="Times New Roman"/>
          <w:noProof/>
          <w:sz w:val="24"/>
          <w:szCs w:val="24"/>
        </w:rPr>
      </w:pPr>
      <w:r w:rsidRPr="00207447">
        <w:rPr>
          <w:rFonts w:ascii="Times New Roman" w:hAnsi="Times New Roman" w:cs="Times New Roman"/>
          <w:noProof/>
          <w:sz w:val="24"/>
          <w:szCs w:val="24"/>
        </w:rPr>
        <w:t>Compilation of information for identification of presence and concentrations of the substance in different waste streams, and on recycling and other waste treatment activities involving waste containing this substance(s), followed by an analysis of the information. Starting from reported uses of this substance in products and articles and their material flows this  includes a targeted stakeholder consultation (Member States and other relevant stakeholders in particular waste operators and users of recycled materials)</w:t>
      </w:r>
    </w:p>
    <w:p w14:paraId="51E1208B" w14:textId="77777777" w:rsidR="000A7D9D" w:rsidRPr="00207447" w:rsidRDefault="000A7D9D" w:rsidP="000A7D9D">
      <w:pPr>
        <w:widowControl w:val="0"/>
        <w:numPr>
          <w:ilvl w:val="0"/>
          <w:numId w:val="100"/>
        </w:numPr>
        <w:spacing w:before="120" w:after="120" w:line="240" w:lineRule="auto"/>
        <w:contextualSpacing/>
        <w:jc w:val="both"/>
        <w:rPr>
          <w:rFonts w:ascii="Times New Roman" w:hAnsi="Times New Roman" w:cs="Times New Roman"/>
          <w:noProof/>
          <w:sz w:val="24"/>
          <w:szCs w:val="24"/>
        </w:rPr>
      </w:pPr>
      <w:r w:rsidRPr="00207447">
        <w:rPr>
          <w:rFonts w:ascii="Times New Roman" w:hAnsi="Times New Roman" w:cs="Times New Roman"/>
          <w:noProof/>
          <w:sz w:val="24"/>
          <w:szCs w:val="24"/>
        </w:rPr>
        <w:t>Application of an existing risk assessment methodology plus a socio economic assessment (no full socio-economic impact assessment) already developed by a consultant and applied in the past (not legally binding) regarding the implications on waste management of possible limit values for the substance in Annexes IV and V: different secenarios for delimination of the concentration range for a limit value are developed based on the application of lower and upper limitation criteria:</w:t>
      </w:r>
    </w:p>
    <w:p w14:paraId="44AA48F1" w14:textId="77777777" w:rsidR="000A7D9D" w:rsidRPr="00207447" w:rsidRDefault="000A7D9D" w:rsidP="000A7D9D">
      <w:pPr>
        <w:widowControl w:val="0"/>
        <w:numPr>
          <w:ilvl w:val="1"/>
          <w:numId w:val="100"/>
        </w:numPr>
        <w:spacing w:before="120" w:after="120" w:line="240" w:lineRule="auto"/>
        <w:contextualSpacing/>
        <w:rPr>
          <w:rFonts w:ascii="Times New Roman" w:hAnsi="Times New Roman" w:cs="Times New Roman"/>
          <w:noProof/>
          <w:sz w:val="24"/>
          <w:szCs w:val="24"/>
          <w:u w:val="single"/>
        </w:rPr>
      </w:pPr>
      <w:r w:rsidRPr="120044EF">
        <w:rPr>
          <w:rFonts w:ascii="Times New Roman" w:hAnsi="Times New Roman" w:cs="Times New Roman"/>
          <w:noProof/>
          <w:sz w:val="24"/>
          <w:szCs w:val="24"/>
          <w:u w:val="single"/>
        </w:rPr>
        <w:t>Lower limitation criteria:</w:t>
      </w:r>
    </w:p>
    <w:p w14:paraId="53BD143A" w14:textId="77777777" w:rsidR="000A7D9D" w:rsidRPr="00207447" w:rsidRDefault="000A7D9D" w:rsidP="000A7D9D">
      <w:pPr>
        <w:widowControl w:val="0"/>
        <w:numPr>
          <w:ilvl w:val="2"/>
          <w:numId w:val="100"/>
        </w:numPr>
        <w:spacing w:before="120"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Limit values must be controlable analytically,</w:t>
      </w:r>
    </w:p>
    <w:p w14:paraId="17BDC446" w14:textId="77777777" w:rsidR="000A7D9D" w:rsidRPr="00207447" w:rsidRDefault="000A7D9D" w:rsidP="000A7D9D">
      <w:pPr>
        <w:widowControl w:val="0"/>
        <w:numPr>
          <w:ilvl w:val="2"/>
          <w:numId w:val="100"/>
        </w:numPr>
        <w:spacing w:before="120"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Limit values should be above existing environmental background contaminations,</w:t>
      </w:r>
    </w:p>
    <w:p w14:paraId="661F64AE" w14:textId="77777777" w:rsidR="000A7D9D" w:rsidRPr="00207447" w:rsidRDefault="000A7D9D" w:rsidP="000A7D9D">
      <w:pPr>
        <w:widowControl w:val="0"/>
        <w:numPr>
          <w:ilvl w:val="2"/>
          <w:numId w:val="100"/>
        </w:numPr>
        <w:spacing w:before="120"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the new required capacities for waste recovery and disposal are realistically available, and</w:t>
      </w:r>
    </w:p>
    <w:p w14:paraId="5D664A57" w14:textId="77777777" w:rsidR="000A7D9D" w:rsidRPr="00207447" w:rsidRDefault="000A7D9D" w:rsidP="000A7D9D">
      <w:pPr>
        <w:widowControl w:val="0"/>
        <w:numPr>
          <w:ilvl w:val="2"/>
          <w:numId w:val="100"/>
        </w:numPr>
        <w:spacing w:before="120"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required additional waste management costs are economically reasonable</w:t>
      </w:r>
    </w:p>
    <w:p w14:paraId="383ED15C" w14:textId="77777777" w:rsidR="000A7D9D" w:rsidRPr="00207447" w:rsidRDefault="000A7D9D" w:rsidP="000A7D9D">
      <w:pPr>
        <w:widowControl w:val="0"/>
        <w:numPr>
          <w:ilvl w:val="1"/>
          <w:numId w:val="100"/>
        </w:numPr>
        <w:spacing w:before="120" w:after="120" w:line="240" w:lineRule="auto"/>
        <w:contextualSpacing/>
        <w:rPr>
          <w:rFonts w:ascii="Times New Roman" w:hAnsi="Times New Roman" w:cs="Times New Roman"/>
          <w:noProof/>
          <w:sz w:val="24"/>
          <w:szCs w:val="24"/>
          <w:u w:val="single"/>
        </w:rPr>
      </w:pPr>
      <w:r w:rsidRPr="120044EF">
        <w:rPr>
          <w:rFonts w:ascii="Times New Roman" w:hAnsi="Times New Roman" w:cs="Times New Roman"/>
          <w:noProof/>
          <w:sz w:val="24"/>
          <w:szCs w:val="24"/>
          <w:u w:val="single"/>
        </w:rPr>
        <w:t>Upper limitation criteria:</w:t>
      </w:r>
    </w:p>
    <w:p w14:paraId="5CF28386" w14:textId="77777777" w:rsidR="000A7D9D" w:rsidRPr="00207447" w:rsidRDefault="000A7D9D" w:rsidP="000A7D9D">
      <w:pPr>
        <w:widowControl w:val="0"/>
        <w:numPr>
          <w:ilvl w:val="2"/>
          <w:numId w:val="100"/>
        </w:numPr>
        <w:spacing w:before="120"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Limit values should not conflict with existing limit values</w:t>
      </w:r>
    </w:p>
    <w:p w14:paraId="5EAC81FF" w14:textId="77777777" w:rsidR="000A7D9D" w:rsidRPr="00207447" w:rsidRDefault="000A7D9D" w:rsidP="000A7D9D">
      <w:pPr>
        <w:widowControl w:val="0"/>
        <w:numPr>
          <w:ilvl w:val="2"/>
          <w:numId w:val="100"/>
        </w:numPr>
        <w:spacing w:before="120" w:after="120" w:line="240" w:lineRule="auto"/>
        <w:contextualSpacing/>
        <w:rPr>
          <w:rFonts w:ascii="Times New Roman" w:hAnsi="Times New Roman" w:cs="Times New Roman"/>
          <w:noProof/>
          <w:sz w:val="24"/>
          <w:szCs w:val="24"/>
        </w:rPr>
      </w:pPr>
      <w:r w:rsidRPr="00207447">
        <w:rPr>
          <w:rFonts w:ascii="Times New Roman" w:hAnsi="Times New Roman" w:cs="Times New Roman"/>
          <w:noProof/>
          <w:sz w:val="24"/>
          <w:szCs w:val="24"/>
        </w:rPr>
        <w:t xml:space="preserve">Avoidance of adverse effects on HH (general population plus workers) and ENV </w:t>
      </w:r>
    </w:p>
    <w:p w14:paraId="1B03F712" w14:textId="77777777" w:rsidR="000A7D9D" w:rsidRPr="00207447" w:rsidRDefault="000A7D9D" w:rsidP="000A7D9D">
      <w:pPr>
        <w:widowControl w:val="0"/>
        <w:numPr>
          <w:ilvl w:val="0"/>
          <w:numId w:val="100"/>
        </w:numPr>
        <w:spacing w:before="120" w:after="120" w:line="240" w:lineRule="auto"/>
        <w:contextualSpacing/>
        <w:jc w:val="both"/>
        <w:rPr>
          <w:rFonts w:ascii="Times New Roman" w:hAnsi="Times New Roman" w:cs="Times New Roman"/>
          <w:noProof/>
          <w:sz w:val="24"/>
          <w:szCs w:val="24"/>
        </w:rPr>
      </w:pPr>
      <w:r w:rsidRPr="00207447">
        <w:rPr>
          <w:rFonts w:ascii="Times New Roman" w:hAnsi="Times New Roman" w:cs="Times New Roman"/>
          <w:noProof/>
          <w:sz w:val="24"/>
          <w:szCs w:val="24"/>
        </w:rPr>
        <w:t>Based on the analysis of the impacts for different options of the limit values provided by the contractor, the Commission (DG ENV) develops an impact assessment for the options of the limit values and decides on the preffered option. The impact assessemnt is scrutinised by the Regulatory Scrutiny Board;</w:t>
      </w:r>
    </w:p>
    <w:p w14:paraId="022A2271" w14:textId="77777777" w:rsidR="000A7D9D" w:rsidRPr="00207447" w:rsidRDefault="000A7D9D" w:rsidP="000A7D9D">
      <w:pPr>
        <w:widowControl w:val="0"/>
        <w:numPr>
          <w:ilvl w:val="0"/>
          <w:numId w:val="100"/>
        </w:numPr>
        <w:spacing w:before="120" w:after="120" w:line="240" w:lineRule="auto"/>
        <w:contextualSpacing/>
        <w:jc w:val="both"/>
        <w:rPr>
          <w:rFonts w:ascii="Times New Roman" w:hAnsi="Times New Roman" w:cs="Times New Roman"/>
          <w:noProof/>
          <w:sz w:val="24"/>
          <w:szCs w:val="24"/>
        </w:rPr>
      </w:pPr>
      <w:r w:rsidRPr="00207447">
        <w:rPr>
          <w:rFonts w:ascii="Times New Roman" w:hAnsi="Times New Roman" w:cs="Times New Roman"/>
          <w:noProof/>
          <w:sz w:val="24"/>
          <w:szCs w:val="24"/>
        </w:rPr>
        <w:t>After the positive opinion of the regulatory scrutiny board, the Commission makes a proposal for amendment of Annexes IV or V</w:t>
      </w:r>
    </w:p>
    <w:p w14:paraId="257805AB" w14:textId="77777777" w:rsidR="000A7D9D" w:rsidRPr="00207447" w:rsidRDefault="000A7D9D" w:rsidP="000A7D9D">
      <w:pPr>
        <w:widowControl w:val="0"/>
        <w:numPr>
          <w:ilvl w:val="0"/>
          <w:numId w:val="100"/>
        </w:numPr>
        <w:spacing w:before="120" w:after="120" w:line="240" w:lineRule="auto"/>
        <w:ind w:left="357" w:hanging="357"/>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The proposal is submitted to the ordinary legislative procedure that is followed from the Commission side by DG ENV. </w:t>
      </w:r>
    </w:p>
    <w:p w14:paraId="087E48F1" w14:textId="77777777" w:rsidR="000A7D9D" w:rsidRPr="00207447" w:rsidRDefault="000A7D9D" w:rsidP="000A7D9D">
      <w:pPr>
        <w:spacing w:after="120"/>
        <w:rPr>
          <w:rFonts w:ascii="Times New Roman" w:hAnsi="Times New Roman" w:cs="Times New Roman"/>
          <w:i/>
          <w:iCs/>
          <w:noProof/>
          <w:sz w:val="24"/>
          <w:szCs w:val="24"/>
        </w:rPr>
      </w:pPr>
      <w:r w:rsidRPr="00207447">
        <w:rPr>
          <w:rFonts w:ascii="Times New Roman" w:hAnsi="Times New Roman" w:cs="Times New Roman"/>
          <w:i/>
          <w:iCs/>
          <w:noProof/>
          <w:sz w:val="24"/>
          <w:szCs w:val="24"/>
        </w:rPr>
        <w:t>Task 2</w:t>
      </w:r>
    </w:p>
    <w:p w14:paraId="6FC10B88" w14:textId="77777777" w:rsidR="000A7D9D" w:rsidRPr="00207447" w:rsidRDefault="000A7D9D" w:rsidP="000A7D9D">
      <w:pPr>
        <w:spacing w:after="120"/>
        <w:jc w:val="both"/>
        <w:rPr>
          <w:rFonts w:ascii="Times New Roman" w:eastAsia="Verdana" w:hAnsi="Times New Roman" w:cs="Times New Roman"/>
          <w:noProof/>
          <w:sz w:val="24"/>
          <w:szCs w:val="24"/>
        </w:rPr>
      </w:pPr>
      <w:r w:rsidRPr="00207447">
        <w:rPr>
          <w:rFonts w:ascii="Times New Roman" w:eastAsia="Verdana" w:hAnsi="Times New Roman" w:cs="Times New Roman"/>
          <w:noProof/>
          <w:sz w:val="24"/>
          <w:szCs w:val="24"/>
        </w:rPr>
        <w:t>Article 10 requires the Commission, supported by ECHA, and Member States to establish or maintain, as appropriate, in close cooperation, appropriate programmes and mechanisms, consistent with the state of the art, for the regular provision of comparable monitoring data on the presence of substances as listed in Part A of Annex III in the environment. When establishing or maintaining such programmes and mechanisms, due account shall be taken of developments under the Protocol and the Convention. The Commission is also mandated to regularly assess the possible need for the mandatory monitoring of a substance listed in Part B of Annex III and empowered to move a substance form Part B of Annex III to Part A.</w:t>
      </w:r>
    </w:p>
    <w:p w14:paraId="5BE45345" w14:textId="77777777" w:rsidR="000A7D9D" w:rsidRPr="00207447" w:rsidRDefault="000A7D9D" w:rsidP="000A7D9D">
      <w:pPr>
        <w:spacing w:after="120"/>
        <w:jc w:val="both"/>
        <w:rPr>
          <w:rFonts w:ascii="Times New Roman" w:eastAsia="Verdana" w:hAnsi="Times New Roman" w:cs="Times New Roman"/>
          <w:noProof/>
          <w:sz w:val="24"/>
          <w:szCs w:val="24"/>
        </w:rPr>
      </w:pPr>
      <w:r w:rsidRPr="00207447">
        <w:rPr>
          <w:rFonts w:ascii="Times New Roman" w:eastAsia="Verdana" w:hAnsi="Times New Roman" w:cs="Times New Roman"/>
          <w:noProof/>
          <w:sz w:val="24"/>
          <w:szCs w:val="24"/>
        </w:rPr>
        <w:t xml:space="preserve">Annex III Part A currently contains polychlorinated dibenzo-p-dioxins and dibenzofurans (PCDD/PCDF) and polychlorinated biphenyls (PCB). Part B currently contains hexachlorobenzene, polycyclic aromatic hydrocarbons, pentachlorobenzene, hezachlorobutadiene and polychlorinated naphthalenes. </w:t>
      </w:r>
    </w:p>
    <w:p w14:paraId="615B6970" w14:textId="77777777" w:rsidR="000A7D9D" w:rsidRPr="00207447" w:rsidRDefault="000A7D9D" w:rsidP="000A7D9D">
      <w:pPr>
        <w:spacing w:after="120"/>
        <w:jc w:val="both"/>
        <w:rPr>
          <w:rFonts w:ascii="Times New Roman" w:eastAsia="Verdana" w:hAnsi="Times New Roman" w:cs="Times New Roman"/>
          <w:noProof/>
          <w:sz w:val="24"/>
          <w:szCs w:val="24"/>
        </w:rPr>
      </w:pPr>
      <w:r w:rsidRPr="00207447">
        <w:rPr>
          <w:rFonts w:ascii="Times New Roman" w:eastAsia="Verdana" w:hAnsi="Times New Roman" w:cs="Times New Roman"/>
          <w:noProof/>
          <w:sz w:val="24"/>
          <w:szCs w:val="24"/>
        </w:rPr>
        <w:t xml:space="preserve">Article 13(1)(e) requires Member States to draw up and publish a report containing information on the presence of substances listed in Part A of Annex III in the environment, as compiled pursuant to Article 10. </w:t>
      </w:r>
    </w:p>
    <w:p w14:paraId="0AE8D2B2" w14:textId="77777777" w:rsidR="000A7D9D" w:rsidRPr="00207447" w:rsidRDefault="000A7D9D" w:rsidP="000A7D9D">
      <w:pPr>
        <w:spacing w:after="120"/>
        <w:jc w:val="both"/>
        <w:rPr>
          <w:rFonts w:ascii="Times New Roman" w:eastAsia="Verdana" w:hAnsi="Times New Roman" w:cs="Times New Roman"/>
          <w:noProof/>
          <w:sz w:val="24"/>
          <w:szCs w:val="24"/>
        </w:rPr>
      </w:pPr>
      <w:r w:rsidRPr="00207447">
        <w:rPr>
          <w:rFonts w:ascii="Times New Roman" w:eastAsia="Verdana" w:hAnsi="Times New Roman" w:cs="Times New Roman"/>
          <w:noProof/>
          <w:sz w:val="24"/>
          <w:szCs w:val="24"/>
        </w:rPr>
        <w:t>Article 13(2) states that where a Member State shares the information referred to in point (e) of paragraph 1 with the Information Platform for Chemical Monitoring, this shall be indicated by that Member State in its report and the Member State shall be considered to have fulfilled its reporting obligations under that point. Where the information referred to in point (e) of paragraph 1 is contained in the report of a Member State provided to ECHA, ECHA shall use the Information Platform for Chemical Monitoring for compiling, storing and sharing that information.</w:t>
      </w:r>
    </w:p>
    <w:p w14:paraId="20E7A473" w14:textId="77777777" w:rsidR="000A7D9D" w:rsidRPr="00207447" w:rsidRDefault="000A7D9D" w:rsidP="000A7D9D">
      <w:pPr>
        <w:spacing w:after="120"/>
        <w:rPr>
          <w:rFonts w:ascii="Times New Roman" w:eastAsiaTheme="minorEastAsia" w:hAnsi="Times New Roman" w:cs="Times New Roman"/>
          <w:noProof/>
          <w:sz w:val="24"/>
          <w:szCs w:val="24"/>
        </w:rPr>
      </w:pPr>
      <w:r w:rsidRPr="00207447">
        <w:rPr>
          <w:rFonts w:ascii="Times New Roman" w:eastAsiaTheme="minorEastAsia" w:hAnsi="Times New Roman" w:cs="Times New Roman"/>
          <w:noProof/>
          <w:sz w:val="24"/>
          <w:szCs w:val="24"/>
          <w:u w:val="single"/>
        </w:rPr>
        <w:t>Changes in the process:</w:t>
      </w:r>
      <w:r w:rsidRPr="00207447">
        <w:rPr>
          <w:rFonts w:ascii="Times New Roman" w:eastAsiaTheme="minorEastAsia" w:hAnsi="Times New Roman" w:cs="Times New Roman"/>
          <w:noProof/>
          <w:sz w:val="24"/>
          <w:szCs w:val="24"/>
        </w:rPr>
        <w:t xml:space="preserve"> Yes</w:t>
      </w:r>
    </w:p>
    <w:p w14:paraId="719C8293" w14:textId="77777777" w:rsidR="000A7D9D" w:rsidRPr="00207447" w:rsidRDefault="000A7D9D" w:rsidP="000A7D9D">
      <w:pPr>
        <w:spacing w:after="120"/>
        <w:contextualSpacing/>
        <w:rPr>
          <w:rFonts w:ascii="Times New Roman" w:eastAsiaTheme="minorEastAsia" w:hAnsi="Times New Roman" w:cs="Times New Roman"/>
          <w:i/>
          <w:iCs/>
          <w:noProof/>
          <w:sz w:val="24"/>
          <w:szCs w:val="24"/>
        </w:rPr>
      </w:pPr>
      <w:r w:rsidRPr="00207447">
        <w:rPr>
          <w:rFonts w:ascii="Times New Roman" w:eastAsiaTheme="minorEastAsia" w:hAnsi="Times New Roman" w:cs="Times New Roman"/>
          <w:i/>
          <w:iCs/>
          <w:noProof/>
          <w:sz w:val="24"/>
          <w:szCs w:val="24"/>
        </w:rPr>
        <w:t>Task 1</w:t>
      </w:r>
    </w:p>
    <w:p w14:paraId="1C4A4774" w14:textId="77777777" w:rsidR="000A7D9D" w:rsidRPr="00207447" w:rsidRDefault="000A7D9D" w:rsidP="000A7D9D">
      <w:pPr>
        <w:widowControl w:val="0"/>
        <w:numPr>
          <w:ilvl w:val="0"/>
          <w:numId w:val="100"/>
        </w:numPr>
        <w:spacing w:before="120" w:after="120" w:line="240" w:lineRule="auto"/>
        <w:contextualSpacing/>
        <w:jc w:val="both"/>
        <w:rPr>
          <w:rFonts w:ascii="Times New Roman" w:eastAsiaTheme="minorEastAsia" w:hAnsi="Times New Roman" w:cs="Times New Roman"/>
          <w:noProof/>
          <w:sz w:val="24"/>
          <w:szCs w:val="24"/>
        </w:rPr>
      </w:pPr>
      <w:r w:rsidRPr="00207447">
        <w:rPr>
          <w:rFonts w:ascii="Times New Roman" w:eastAsiaTheme="minorEastAsia" w:hAnsi="Times New Roman" w:cs="Times New Roman"/>
          <w:noProof/>
          <w:sz w:val="24"/>
          <w:szCs w:val="24"/>
        </w:rPr>
        <w:t>It is expected that ECHA prepares a report with a technical assessment (hazard, risk, socioeconomic aspects) for setting concentration limit values of the substance(s) in waste and makes a proposal for the concentration limit values.</w:t>
      </w:r>
    </w:p>
    <w:p w14:paraId="68A3DEF7" w14:textId="77777777" w:rsidR="000A7D9D" w:rsidRPr="00207447" w:rsidRDefault="000A7D9D" w:rsidP="000A7D9D">
      <w:pPr>
        <w:widowControl w:val="0"/>
        <w:numPr>
          <w:ilvl w:val="0"/>
          <w:numId w:val="100"/>
        </w:numPr>
        <w:spacing w:before="120" w:after="120" w:line="240" w:lineRule="auto"/>
        <w:contextualSpacing/>
        <w:jc w:val="both"/>
        <w:rPr>
          <w:rFonts w:ascii="Times New Roman" w:eastAsiaTheme="minorEastAsia" w:hAnsi="Times New Roman" w:cs="Times New Roman"/>
          <w:noProof/>
          <w:sz w:val="24"/>
          <w:szCs w:val="24"/>
        </w:rPr>
      </w:pPr>
      <w:r w:rsidRPr="00207447">
        <w:rPr>
          <w:rFonts w:ascii="Times New Roman" w:eastAsiaTheme="minorEastAsia" w:hAnsi="Times New Roman" w:cs="Times New Roman"/>
          <w:noProof/>
          <w:color w:val="333333"/>
          <w:sz w:val="24"/>
          <w:szCs w:val="24"/>
        </w:rPr>
        <w:t>Some detailed elements of the exising risk and socio-economic assessment methodology  used so far, especially as regards risk assessment used to determine upper limitation criteir based on human and environmental health impacts, may need to be critically assessed and updated by ECHA.</w:t>
      </w:r>
    </w:p>
    <w:p w14:paraId="71ADA1EA" w14:textId="77777777" w:rsidR="000A7D9D" w:rsidRPr="00207447" w:rsidRDefault="000A7D9D" w:rsidP="000A7D9D">
      <w:pPr>
        <w:widowControl w:val="0"/>
        <w:numPr>
          <w:ilvl w:val="0"/>
          <w:numId w:val="100"/>
        </w:numPr>
        <w:spacing w:before="120" w:after="120" w:line="240" w:lineRule="auto"/>
        <w:contextualSpacing/>
        <w:jc w:val="both"/>
        <w:rPr>
          <w:rFonts w:ascii="Times New Roman" w:eastAsiaTheme="minorEastAsia" w:hAnsi="Times New Roman" w:cs="Times New Roman"/>
          <w:noProof/>
          <w:sz w:val="24"/>
          <w:szCs w:val="24"/>
        </w:rPr>
      </w:pPr>
      <w:r w:rsidRPr="00207447">
        <w:rPr>
          <w:rFonts w:ascii="Times New Roman" w:eastAsiaTheme="minorEastAsia" w:hAnsi="Times New Roman" w:cs="Times New Roman"/>
          <w:noProof/>
          <w:sz w:val="24"/>
          <w:szCs w:val="24"/>
        </w:rPr>
        <w:t xml:space="preserve">It is expected that ECHA’s Committee for Socio-Economic Assessment (SEAC) provides an opinion on the report prepared by ECHA and on the concentration limit values proposed by ECHA. </w:t>
      </w:r>
    </w:p>
    <w:p w14:paraId="2D297556" w14:textId="77777777" w:rsidR="000A7D9D" w:rsidRPr="00207447" w:rsidRDefault="000A7D9D" w:rsidP="000A7D9D">
      <w:pPr>
        <w:widowControl w:val="0"/>
        <w:numPr>
          <w:ilvl w:val="0"/>
          <w:numId w:val="100"/>
        </w:numPr>
        <w:spacing w:before="120" w:after="120" w:line="240" w:lineRule="auto"/>
        <w:contextualSpacing/>
        <w:jc w:val="both"/>
        <w:rPr>
          <w:rFonts w:ascii="Times New Roman" w:eastAsiaTheme="minorEastAsia" w:hAnsi="Times New Roman" w:cs="Times New Roman"/>
          <w:noProof/>
          <w:sz w:val="24"/>
          <w:szCs w:val="24"/>
        </w:rPr>
      </w:pPr>
      <w:r w:rsidRPr="00207447">
        <w:rPr>
          <w:rFonts w:ascii="Times New Roman" w:eastAsiaTheme="minorEastAsia" w:hAnsi="Times New Roman" w:cs="Times New Roman"/>
          <w:noProof/>
          <w:sz w:val="24"/>
          <w:szCs w:val="24"/>
        </w:rPr>
        <w:t xml:space="preserve">The report and the opinion of SEAC is then transmitted by ECHA to the Commission. If significant divergence exists between the ECHA report and the SEAC opinion, ECHA submits to the Commission an explanation of the divergence. </w:t>
      </w:r>
    </w:p>
    <w:p w14:paraId="2A872A4D" w14:textId="77777777" w:rsidR="000A7D9D" w:rsidRPr="00207447" w:rsidRDefault="000A7D9D" w:rsidP="000A7D9D">
      <w:pPr>
        <w:widowControl w:val="0"/>
        <w:numPr>
          <w:ilvl w:val="0"/>
          <w:numId w:val="100"/>
        </w:numPr>
        <w:spacing w:before="120" w:after="120" w:line="240" w:lineRule="auto"/>
        <w:contextualSpacing/>
        <w:jc w:val="both"/>
        <w:rPr>
          <w:rFonts w:ascii="Times New Roman" w:eastAsiaTheme="minorEastAsia" w:hAnsi="Times New Roman" w:cs="Times New Roman"/>
          <w:noProof/>
          <w:sz w:val="24"/>
          <w:szCs w:val="24"/>
        </w:rPr>
      </w:pPr>
      <w:r w:rsidRPr="00207447">
        <w:rPr>
          <w:rFonts w:ascii="Times New Roman" w:eastAsiaTheme="minorEastAsia" w:hAnsi="Times New Roman" w:cs="Times New Roman"/>
          <w:noProof/>
          <w:sz w:val="24"/>
          <w:szCs w:val="24"/>
        </w:rPr>
        <w:t xml:space="preserve">Based on the ECHA report and SEAC opinion, the Commission drafts a proposal for a delegated act amending Annexes IV or V. </w:t>
      </w:r>
    </w:p>
    <w:p w14:paraId="1E6E9F72" w14:textId="77777777" w:rsidR="000A7D9D" w:rsidRPr="00207447" w:rsidRDefault="000A7D9D" w:rsidP="000A7D9D">
      <w:pPr>
        <w:widowControl w:val="0"/>
        <w:numPr>
          <w:ilvl w:val="0"/>
          <w:numId w:val="100"/>
        </w:numPr>
        <w:spacing w:after="120" w:line="240" w:lineRule="auto"/>
        <w:jc w:val="both"/>
        <w:rPr>
          <w:rFonts w:ascii="Times New Roman" w:eastAsiaTheme="minorEastAsia" w:hAnsi="Times New Roman" w:cs="Times New Roman"/>
          <w:noProof/>
          <w:sz w:val="24"/>
          <w:szCs w:val="24"/>
        </w:rPr>
      </w:pPr>
      <w:r w:rsidRPr="00207447">
        <w:rPr>
          <w:rFonts w:ascii="Times New Roman" w:eastAsiaTheme="minorEastAsia" w:hAnsi="Times New Roman" w:cs="Times New Roman"/>
          <w:noProof/>
          <w:sz w:val="24"/>
          <w:szCs w:val="24"/>
        </w:rPr>
        <w:t xml:space="preserve">The procedure would be triggered on request of the Commission to ECHA; the request is expected to come as a follow up to the Stockholm Convention amendments. </w:t>
      </w:r>
    </w:p>
    <w:p w14:paraId="14E7993B" w14:textId="77777777" w:rsidR="000A7D9D" w:rsidRPr="00207447" w:rsidRDefault="000A7D9D" w:rsidP="000A7D9D">
      <w:pPr>
        <w:spacing w:after="120"/>
        <w:rPr>
          <w:rFonts w:ascii="Times New Roman" w:hAnsi="Times New Roman" w:cs="Times New Roman"/>
          <w:i/>
          <w:iCs/>
          <w:noProof/>
          <w:sz w:val="24"/>
          <w:szCs w:val="24"/>
        </w:rPr>
      </w:pPr>
      <w:r w:rsidRPr="00207447">
        <w:rPr>
          <w:rFonts w:ascii="Times New Roman" w:hAnsi="Times New Roman" w:cs="Times New Roman"/>
          <w:i/>
          <w:iCs/>
          <w:noProof/>
          <w:sz w:val="24"/>
          <w:szCs w:val="24"/>
        </w:rPr>
        <w:t>Task 2</w:t>
      </w:r>
    </w:p>
    <w:p w14:paraId="13EE247C"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As part of the legislative proposal on data, the operation of the Information Platform for Chemical Monitoring is to be incorporated into the operation of the Common Data Platform on Chemicals and hosting of the collected monitoring data shall be done by the Agencies according to their mandates. This means that EEA will host all monitoring data in the environment. </w:t>
      </w:r>
    </w:p>
    <w:p w14:paraId="31FA576E"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To reflect the change of the situation with hosting the data and operation of IPCHEM, there is a need to change the process in POPs regulation. Therefore, Member States can make the relevant data available to the European Envrionment Agency instead of the IPCHEM and when done so, the reproting obligatio under Article 13 (1)(e) shall be considered fulfilled. When ECHA receives such monitoring data, it shall provide it for hosting to EEA instead of IPCHEM. </w:t>
      </w:r>
    </w:p>
    <w:p w14:paraId="6BF8DB25"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It shoud be noted that proposal for revision of water legislation requires Member States to share with EEA all monitoring data in waters. When adopted and enforced, EEA would have practically all monitoring data in the environment and thus the reporting under POPs would be fulfilled. </w:t>
      </w:r>
    </w:p>
    <w:p w14:paraId="44FBFF85" w14:textId="77777777" w:rsidR="000A7D9D" w:rsidRPr="00207447" w:rsidRDefault="000A7D9D" w:rsidP="000A7D9D">
      <w:pPr>
        <w:spacing w:after="120"/>
        <w:rPr>
          <w:rFonts w:ascii="Times New Roman" w:hAnsi="Times New Roman" w:cs="Times New Roman"/>
          <w:b/>
          <w:bCs/>
          <w:noProof/>
          <w:sz w:val="24"/>
          <w:szCs w:val="24"/>
        </w:rPr>
      </w:pPr>
      <w:r w:rsidRPr="00207447">
        <w:rPr>
          <w:rFonts w:ascii="Times New Roman" w:hAnsi="Times New Roman" w:cs="Times New Roman"/>
          <w:b/>
          <w:bCs/>
          <w:noProof/>
          <w:sz w:val="24"/>
          <w:szCs w:val="24"/>
        </w:rPr>
        <w:t>Proximity to Agencies’ mandate:</w:t>
      </w:r>
    </w:p>
    <w:p w14:paraId="12866C82" w14:textId="77777777" w:rsidR="000A7D9D" w:rsidRPr="00207447" w:rsidRDefault="000A7D9D" w:rsidP="000A7D9D">
      <w:pPr>
        <w:pStyle w:val="BodyText"/>
        <w:jc w:val="both"/>
        <w:rPr>
          <w:noProof/>
        </w:rPr>
      </w:pPr>
      <w:r w:rsidRPr="00207447">
        <w:rPr>
          <w:i/>
          <w:iCs/>
          <w:noProof/>
        </w:rPr>
        <w:t xml:space="preserve">ECHA (Task 1): </w:t>
      </w:r>
      <w:r w:rsidRPr="00207447">
        <w:rPr>
          <w:noProof/>
        </w:rPr>
        <w:t xml:space="preserve">Some aspects could be quite similar to that performed by ECHA under REACH restrictions (environmental and human health risk assessment + socio-economic analysis), although technical waste-related aspects need to be considered more (e.g. recycling targets and technical limitations). </w:t>
      </w:r>
    </w:p>
    <w:p w14:paraId="49FD6CE0" w14:textId="77777777" w:rsidR="000A7D9D" w:rsidRPr="00207447" w:rsidRDefault="000A7D9D" w:rsidP="000A7D9D">
      <w:pPr>
        <w:pStyle w:val="BodyText"/>
        <w:jc w:val="both"/>
        <w:rPr>
          <w:noProof/>
        </w:rPr>
      </w:pPr>
      <w:r w:rsidRPr="00207447">
        <w:rPr>
          <w:i/>
          <w:iCs/>
          <w:noProof/>
        </w:rPr>
        <w:t>EEA (Task 2):</w:t>
      </w:r>
      <w:r w:rsidRPr="00207447">
        <w:rPr>
          <w:noProof/>
        </w:rPr>
        <w:t xml:space="preserve">  The task of hosting chemical monitoring data in the environment is a key part of the EEA mandate and thus the new task fits very well with its mandate. The existing tools and practices can be reused. </w:t>
      </w:r>
    </w:p>
    <w:p w14:paraId="1A46A951" w14:textId="77777777" w:rsidR="000A7D9D" w:rsidRPr="00207447" w:rsidRDefault="000A7D9D" w:rsidP="000A7D9D">
      <w:pPr>
        <w:pStyle w:val="BodyText"/>
        <w:rPr>
          <w:b/>
          <w:bCs/>
          <w:noProof/>
        </w:rPr>
      </w:pPr>
      <w:r w:rsidRPr="00207447">
        <w:rPr>
          <w:b/>
          <w:bCs/>
          <w:noProof/>
        </w:rPr>
        <w:t>Projected synergies and added value of the reattribution:</w:t>
      </w:r>
    </w:p>
    <w:p w14:paraId="23DA3709" w14:textId="77777777" w:rsidR="000A7D9D" w:rsidRPr="00207447" w:rsidRDefault="000A7D9D" w:rsidP="000A7D9D">
      <w:pPr>
        <w:pStyle w:val="BodyText"/>
        <w:rPr>
          <w:i/>
          <w:iCs/>
          <w:noProof/>
        </w:rPr>
      </w:pPr>
      <w:r w:rsidRPr="00207447">
        <w:rPr>
          <w:i/>
          <w:iCs/>
          <w:noProof/>
        </w:rPr>
        <w:t>Task 1 (ECHA):</w:t>
      </w:r>
    </w:p>
    <w:tbl>
      <w:tblPr>
        <w:tblStyle w:val="TableGrid"/>
        <w:tblW w:w="9630" w:type="dxa"/>
        <w:tblLayout w:type="fixed"/>
        <w:tblLook w:val="04A0" w:firstRow="1" w:lastRow="0" w:firstColumn="1" w:lastColumn="0" w:noHBand="0" w:noVBand="1"/>
      </w:tblPr>
      <w:tblGrid>
        <w:gridCol w:w="1647"/>
        <w:gridCol w:w="1070"/>
        <w:gridCol w:w="6913"/>
      </w:tblGrid>
      <w:tr w:rsidR="000A7D9D" w:rsidRPr="00207447" w14:paraId="654181EE"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057E0700" w14:textId="77777777" w:rsidR="000A7D9D" w:rsidRPr="00207447" w:rsidRDefault="000A7D9D" w:rsidP="00F31937">
            <w:pPr>
              <w:spacing w:before="120" w:after="120"/>
              <w:rPr>
                <w:rFonts w:eastAsia="Verdana"/>
                <w:b/>
                <w:noProof/>
                <w:color w:val="4472C4" w:themeColor="accent1"/>
                <w:sz w:val="24"/>
                <w:szCs w:val="24"/>
              </w:rPr>
            </w:pPr>
            <w:r w:rsidRPr="00207447">
              <w:rPr>
                <w:rFonts w:eastAsia="Verdana"/>
                <w:b/>
                <w:bCs/>
                <w:noProof/>
                <w:color w:val="4472C4" w:themeColor="accent1"/>
                <w:sz w:val="24"/>
                <w:szCs w:val="24"/>
              </w:rPr>
              <w:t>Type</w:t>
            </w:r>
          </w:p>
        </w:tc>
        <w:tc>
          <w:tcPr>
            <w:tcW w:w="7983" w:type="dxa"/>
            <w:gridSpan w:val="2"/>
            <w:tcBorders>
              <w:top w:val="single" w:sz="8" w:space="0" w:color="auto"/>
              <w:left w:val="single" w:sz="8" w:space="0" w:color="auto"/>
              <w:bottom w:val="single" w:sz="8" w:space="0" w:color="auto"/>
              <w:right w:val="single" w:sz="8" w:space="0" w:color="auto"/>
            </w:tcBorders>
          </w:tcPr>
          <w:p w14:paraId="4EDF3D5A" w14:textId="77777777" w:rsidR="000A7D9D" w:rsidRPr="00207447" w:rsidRDefault="000A7D9D" w:rsidP="00F31937">
            <w:pPr>
              <w:spacing w:before="120" w:after="120"/>
              <w:rPr>
                <w:rFonts w:eastAsia="Verdana"/>
                <w:b/>
                <w:noProof/>
                <w:color w:val="4472C4" w:themeColor="accent1"/>
                <w:sz w:val="24"/>
                <w:szCs w:val="24"/>
              </w:rPr>
            </w:pPr>
            <w:r w:rsidRPr="00207447">
              <w:rPr>
                <w:rFonts w:eastAsia="Verdana"/>
                <w:b/>
                <w:bCs/>
                <w:noProof/>
                <w:color w:val="4472C4" w:themeColor="accent1"/>
                <w:sz w:val="24"/>
                <w:szCs w:val="24"/>
              </w:rPr>
              <w:t>Synergies</w:t>
            </w:r>
          </w:p>
        </w:tc>
      </w:tr>
      <w:tr w:rsidR="000A7D9D" w:rsidRPr="00207447" w14:paraId="6466F212"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1D22784E" w14:textId="77777777" w:rsidR="000A7D9D" w:rsidRPr="00207447" w:rsidRDefault="000A7D9D" w:rsidP="00F31937">
            <w:pPr>
              <w:spacing w:before="120" w:after="120"/>
              <w:rPr>
                <w:rFonts w:eastAsia="Verdana"/>
                <w:b/>
                <w:noProof/>
                <w:color w:val="000000" w:themeColor="text1"/>
                <w:sz w:val="24"/>
                <w:szCs w:val="24"/>
              </w:rPr>
            </w:pPr>
            <w:r w:rsidRPr="00207447">
              <w:rPr>
                <w:rFonts w:eastAsia="Verdana"/>
                <w:b/>
                <w:bCs/>
                <w:noProof/>
                <w:color w:val="000000" w:themeColor="text1"/>
                <w:sz w:val="24"/>
                <w:szCs w:val="24"/>
              </w:rPr>
              <w:t>Reuse of capabilities</w:t>
            </w:r>
          </w:p>
        </w:tc>
        <w:tc>
          <w:tcPr>
            <w:tcW w:w="1070" w:type="dxa"/>
            <w:tcBorders>
              <w:top w:val="single" w:sz="8" w:space="0" w:color="auto"/>
              <w:left w:val="single" w:sz="8" w:space="0" w:color="auto"/>
              <w:bottom w:val="single" w:sz="8" w:space="0" w:color="auto"/>
              <w:right w:val="single" w:sz="8" w:space="0" w:color="auto"/>
            </w:tcBorders>
          </w:tcPr>
          <w:p w14:paraId="4E6E10F1"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High</w:t>
            </w:r>
          </w:p>
        </w:tc>
        <w:tc>
          <w:tcPr>
            <w:tcW w:w="6913" w:type="dxa"/>
            <w:tcBorders>
              <w:top w:val="single" w:sz="8" w:space="0" w:color="auto"/>
              <w:left w:val="single" w:sz="8" w:space="0" w:color="auto"/>
              <w:bottom w:val="single" w:sz="8" w:space="0" w:color="auto"/>
              <w:right w:val="single" w:sz="8" w:space="0" w:color="auto"/>
            </w:tcBorders>
          </w:tcPr>
          <w:p w14:paraId="6F8CC7C3"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Process and expertise: ECHA already supports other work under the POPs Regulation and performs similar work on restrictions, setting of limit values and assessing socio-economic impacts under REACH and other legislation. Several key capacities can be reused/reinforced:</w:t>
            </w:r>
          </w:p>
          <w:p w14:paraId="06D8785B" w14:textId="77777777" w:rsidR="000A7D9D" w:rsidRPr="00207447" w:rsidRDefault="000A7D9D" w:rsidP="000A7D9D">
            <w:pPr>
              <w:pStyle w:val="ListParagraph"/>
              <w:widowControl w:val="0"/>
              <w:numPr>
                <w:ilvl w:val="0"/>
                <w:numId w:val="78"/>
              </w:numPr>
              <w:spacing w:before="120" w:after="120"/>
              <w:rPr>
                <w:noProof/>
              </w:rPr>
            </w:pPr>
            <w:r w:rsidRPr="00207447">
              <w:rPr>
                <w:noProof/>
              </w:rPr>
              <w:t>Hazard, risk, exposure and especially also socio-economic assessment</w:t>
            </w:r>
          </w:p>
          <w:p w14:paraId="398DFFEB" w14:textId="77777777" w:rsidR="000A7D9D" w:rsidRPr="00207447" w:rsidRDefault="000A7D9D" w:rsidP="000A7D9D">
            <w:pPr>
              <w:pStyle w:val="ListParagraph"/>
              <w:widowControl w:val="0"/>
              <w:numPr>
                <w:ilvl w:val="0"/>
                <w:numId w:val="78"/>
              </w:numPr>
              <w:spacing w:before="120" w:after="120"/>
              <w:rPr>
                <w:noProof/>
              </w:rPr>
            </w:pPr>
            <w:r w:rsidRPr="00207447">
              <w:rPr>
                <w:noProof/>
              </w:rPr>
              <w:t>Exposure limit value definition</w:t>
            </w:r>
          </w:p>
          <w:p w14:paraId="179FB171" w14:textId="77777777" w:rsidR="000A7D9D" w:rsidRPr="00207447" w:rsidRDefault="000A7D9D" w:rsidP="000A7D9D">
            <w:pPr>
              <w:pStyle w:val="ListParagraph"/>
              <w:widowControl w:val="0"/>
              <w:numPr>
                <w:ilvl w:val="0"/>
                <w:numId w:val="78"/>
              </w:numPr>
              <w:spacing w:before="120" w:after="120"/>
              <w:rPr>
                <w:noProof/>
                <w:color w:val="000000" w:themeColor="text1"/>
              </w:rPr>
            </w:pPr>
            <w:r w:rsidRPr="00207447">
              <w:rPr>
                <w:noProof/>
                <w:color w:val="000000" w:themeColor="text1"/>
              </w:rPr>
              <w:t>IT capabilities for stakeholder consultation and dissemination</w:t>
            </w:r>
          </w:p>
        </w:tc>
      </w:tr>
      <w:tr w:rsidR="000A7D9D" w:rsidRPr="00207447" w14:paraId="4079C775"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5C619B51" w14:textId="77777777" w:rsidR="000A7D9D" w:rsidRPr="00207447" w:rsidRDefault="000A7D9D" w:rsidP="00F31937">
            <w:pPr>
              <w:spacing w:before="120" w:after="120"/>
              <w:rPr>
                <w:rFonts w:eastAsia="Verdana"/>
                <w:b/>
                <w:noProof/>
                <w:color w:val="000000" w:themeColor="text1"/>
                <w:sz w:val="24"/>
                <w:szCs w:val="24"/>
              </w:rPr>
            </w:pPr>
            <w:r w:rsidRPr="00207447">
              <w:rPr>
                <w:rFonts w:eastAsia="Verdana"/>
                <w:b/>
                <w:bCs/>
                <w:noProof/>
                <w:color w:val="000000" w:themeColor="text1"/>
                <w:sz w:val="24"/>
                <w:szCs w:val="24"/>
              </w:rPr>
              <w:t>Re-use of data</w:t>
            </w:r>
          </w:p>
        </w:tc>
        <w:tc>
          <w:tcPr>
            <w:tcW w:w="1070" w:type="dxa"/>
            <w:tcBorders>
              <w:top w:val="single" w:sz="8" w:space="0" w:color="auto"/>
              <w:left w:val="single" w:sz="8" w:space="0" w:color="auto"/>
              <w:bottom w:val="single" w:sz="8" w:space="0" w:color="auto"/>
              <w:right w:val="single" w:sz="8" w:space="0" w:color="auto"/>
            </w:tcBorders>
          </w:tcPr>
          <w:p w14:paraId="27905927"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Low</w:t>
            </w:r>
          </w:p>
        </w:tc>
        <w:tc>
          <w:tcPr>
            <w:tcW w:w="6913" w:type="dxa"/>
            <w:tcBorders>
              <w:top w:val="single" w:sz="8" w:space="0" w:color="auto"/>
              <w:left w:val="single" w:sz="8" w:space="0" w:color="auto"/>
              <w:bottom w:val="single" w:sz="8" w:space="0" w:color="auto"/>
              <w:right w:val="single" w:sz="8" w:space="0" w:color="auto"/>
            </w:tcBorders>
          </w:tcPr>
          <w:p w14:paraId="67B90821"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Reuse of data collected under other chemical legislation, but low availability of data on substances in products and waste streams.</w:t>
            </w:r>
          </w:p>
        </w:tc>
      </w:tr>
      <w:tr w:rsidR="000A7D9D" w:rsidRPr="00207447" w14:paraId="4826D59A"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1AE5BBCF" w14:textId="77777777" w:rsidR="000A7D9D" w:rsidRPr="00207447" w:rsidRDefault="000A7D9D" w:rsidP="00F31937">
            <w:pPr>
              <w:spacing w:before="120" w:after="120"/>
              <w:rPr>
                <w:rFonts w:eastAsia="Verdana"/>
                <w:b/>
                <w:noProof/>
                <w:color w:val="000000" w:themeColor="text1"/>
                <w:sz w:val="24"/>
                <w:szCs w:val="24"/>
              </w:rPr>
            </w:pPr>
            <w:r w:rsidRPr="00207447">
              <w:rPr>
                <w:rFonts w:eastAsia="Verdana"/>
                <w:b/>
                <w:bCs/>
                <w:noProof/>
                <w:color w:val="000000" w:themeColor="text1"/>
                <w:sz w:val="24"/>
                <w:szCs w:val="24"/>
              </w:rPr>
              <w:t>Workload balancing</w:t>
            </w:r>
          </w:p>
        </w:tc>
        <w:tc>
          <w:tcPr>
            <w:tcW w:w="1070" w:type="dxa"/>
            <w:tcBorders>
              <w:top w:val="single" w:sz="8" w:space="0" w:color="auto"/>
              <w:left w:val="single" w:sz="8" w:space="0" w:color="auto"/>
              <w:bottom w:val="single" w:sz="8" w:space="0" w:color="auto"/>
              <w:right w:val="single" w:sz="8" w:space="0" w:color="auto"/>
            </w:tcBorders>
          </w:tcPr>
          <w:p w14:paraId="7A62A1AD"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Medium</w:t>
            </w:r>
          </w:p>
        </w:tc>
        <w:tc>
          <w:tcPr>
            <w:tcW w:w="6913" w:type="dxa"/>
            <w:tcBorders>
              <w:top w:val="single" w:sz="8" w:space="0" w:color="auto"/>
              <w:left w:val="single" w:sz="8" w:space="0" w:color="auto"/>
              <w:bottom w:val="single" w:sz="8" w:space="0" w:color="auto"/>
              <w:right w:val="single" w:sz="8" w:space="0" w:color="auto"/>
            </w:tcBorders>
          </w:tcPr>
          <w:p w14:paraId="34E173DE"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In a 5-year cycle, the workload of Agency experts and Committee experts can be balanced (although resource estimates are already annualised).</w:t>
            </w:r>
          </w:p>
        </w:tc>
      </w:tr>
      <w:tr w:rsidR="000A7D9D" w:rsidRPr="00207447" w14:paraId="57589A85"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14DD5981" w14:textId="77777777" w:rsidR="000A7D9D" w:rsidRPr="00207447" w:rsidRDefault="000A7D9D" w:rsidP="00F31937">
            <w:pPr>
              <w:spacing w:before="120" w:after="120"/>
              <w:rPr>
                <w:rFonts w:eastAsia="Verdana"/>
                <w:b/>
                <w:noProof/>
                <w:color w:val="000000" w:themeColor="text1"/>
                <w:sz w:val="24"/>
                <w:szCs w:val="24"/>
              </w:rPr>
            </w:pPr>
            <w:r w:rsidRPr="00207447">
              <w:rPr>
                <w:rFonts w:eastAsia="Verdana"/>
                <w:b/>
                <w:bCs/>
                <w:noProof/>
                <w:color w:val="000000" w:themeColor="text1"/>
                <w:sz w:val="24"/>
                <w:szCs w:val="24"/>
              </w:rPr>
              <w:t>IT tools: automation and economies of scale</w:t>
            </w:r>
          </w:p>
        </w:tc>
        <w:tc>
          <w:tcPr>
            <w:tcW w:w="1070" w:type="dxa"/>
            <w:tcBorders>
              <w:top w:val="single" w:sz="8" w:space="0" w:color="auto"/>
              <w:left w:val="single" w:sz="8" w:space="0" w:color="auto"/>
              <w:bottom w:val="single" w:sz="8" w:space="0" w:color="auto"/>
              <w:right w:val="single" w:sz="8" w:space="0" w:color="auto"/>
            </w:tcBorders>
          </w:tcPr>
          <w:p w14:paraId="0ABF5434"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Low</w:t>
            </w:r>
          </w:p>
        </w:tc>
        <w:tc>
          <w:tcPr>
            <w:tcW w:w="6913" w:type="dxa"/>
            <w:tcBorders>
              <w:top w:val="single" w:sz="8" w:space="0" w:color="auto"/>
              <w:left w:val="single" w:sz="8" w:space="0" w:color="auto"/>
              <w:bottom w:val="single" w:sz="8" w:space="0" w:color="auto"/>
              <w:right w:val="single" w:sz="8" w:space="0" w:color="auto"/>
            </w:tcBorders>
          </w:tcPr>
          <w:p w14:paraId="690DF40E"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Not an IT-intensive process, but reuse of IT capabilities for case management, public consultation, interaction with Member States, regulatory intentions management and data dissemination.</w:t>
            </w:r>
          </w:p>
        </w:tc>
      </w:tr>
      <w:tr w:rsidR="000A7D9D" w:rsidRPr="00207447" w14:paraId="5EAC22C4"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7D2CCD8F" w14:textId="77777777" w:rsidR="000A7D9D" w:rsidRPr="00207447" w:rsidRDefault="000A7D9D" w:rsidP="00F31937">
            <w:pPr>
              <w:spacing w:before="120" w:after="120"/>
              <w:rPr>
                <w:rFonts w:eastAsia="Verdana"/>
                <w:b/>
                <w:noProof/>
                <w:color w:val="000000" w:themeColor="text1"/>
                <w:sz w:val="24"/>
                <w:szCs w:val="24"/>
              </w:rPr>
            </w:pPr>
            <w:r w:rsidRPr="00207447">
              <w:rPr>
                <w:rFonts w:eastAsia="Verdana"/>
                <w:b/>
                <w:bCs/>
                <w:noProof/>
                <w:color w:val="000000" w:themeColor="text1"/>
                <w:sz w:val="24"/>
                <w:szCs w:val="24"/>
              </w:rPr>
              <w:t>Support services: economies of scale</w:t>
            </w:r>
          </w:p>
        </w:tc>
        <w:tc>
          <w:tcPr>
            <w:tcW w:w="1070" w:type="dxa"/>
            <w:tcBorders>
              <w:top w:val="single" w:sz="8" w:space="0" w:color="auto"/>
              <w:left w:val="single" w:sz="8" w:space="0" w:color="auto"/>
              <w:bottom w:val="single" w:sz="8" w:space="0" w:color="auto"/>
              <w:right w:val="single" w:sz="8" w:space="0" w:color="auto"/>
            </w:tcBorders>
          </w:tcPr>
          <w:p w14:paraId="3AD6E0B5"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High</w:t>
            </w:r>
          </w:p>
        </w:tc>
        <w:tc>
          <w:tcPr>
            <w:tcW w:w="6913" w:type="dxa"/>
            <w:tcBorders>
              <w:top w:val="single" w:sz="8" w:space="0" w:color="auto"/>
              <w:left w:val="single" w:sz="8" w:space="0" w:color="auto"/>
              <w:bottom w:val="single" w:sz="8" w:space="0" w:color="auto"/>
              <w:right w:val="single" w:sz="8" w:space="0" w:color="auto"/>
            </w:tcBorders>
          </w:tcPr>
          <w:p w14:paraId="60776009"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Reuse of scientific support services (e.g. , prioritisation and grouping of substances, substance identification, data management and dissemination). Reuse of administrative services.</w:t>
            </w:r>
          </w:p>
        </w:tc>
      </w:tr>
    </w:tbl>
    <w:p w14:paraId="0CBEAFD1" w14:textId="77777777" w:rsidR="000A7D9D" w:rsidRPr="00207447" w:rsidRDefault="000A7D9D" w:rsidP="000A7D9D">
      <w:pPr>
        <w:pStyle w:val="BodyText"/>
        <w:rPr>
          <w:noProof/>
          <w:u w:val="single"/>
        </w:rPr>
      </w:pPr>
    </w:p>
    <w:tbl>
      <w:tblPr>
        <w:tblStyle w:val="TableGrid10"/>
        <w:tblW w:w="0" w:type="auto"/>
        <w:tblLook w:val="04A0" w:firstRow="1" w:lastRow="0" w:firstColumn="1" w:lastColumn="0" w:noHBand="0" w:noVBand="1"/>
      </w:tblPr>
      <w:tblGrid>
        <w:gridCol w:w="1822"/>
        <w:gridCol w:w="1057"/>
        <w:gridCol w:w="6750"/>
      </w:tblGrid>
      <w:tr w:rsidR="000A7D9D" w:rsidRPr="00207447" w14:paraId="215000AE" w14:textId="77777777" w:rsidTr="00F31937">
        <w:trPr>
          <w:trHeight w:val="300"/>
        </w:trPr>
        <w:tc>
          <w:tcPr>
            <w:tcW w:w="1822" w:type="dxa"/>
          </w:tcPr>
          <w:p w14:paraId="0A6BAD03" w14:textId="77777777" w:rsidR="000A7D9D" w:rsidRPr="00207447" w:rsidRDefault="000A7D9D" w:rsidP="00F31937">
            <w:pPr>
              <w:spacing w:before="120" w:after="120"/>
              <w:rPr>
                <w:rFonts w:ascii="Times New Roman" w:hAnsi="Times New Roman"/>
                <w:b/>
                <w:bCs/>
                <w:noProof/>
                <w:color w:val="0046AD"/>
                <w:sz w:val="24"/>
                <w:szCs w:val="24"/>
              </w:rPr>
            </w:pPr>
            <w:r w:rsidRPr="00207447">
              <w:rPr>
                <w:rFonts w:ascii="Times New Roman" w:hAnsi="Times New Roman"/>
                <w:b/>
                <w:noProof/>
                <w:color w:val="4472C4" w:themeColor="accent1"/>
                <w:sz w:val="24"/>
                <w:szCs w:val="24"/>
              </w:rPr>
              <w:t>Type</w:t>
            </w:r>
          </w:p>
        </w:tc>
        <w:tc>
          <w:tcPr>
            <w:tcW w:w="7807" w:type="dxa"/>
            <w:gridSpan w:val="2"/>
          </w:tcPr>
          <w:p w14:paraId="5FD8F586" w14:textId="77777777" w:rsidR="000A7D9D" w:rsidRPr="00207447" w:rsidRDefault="000A7D9D" w:rsidP="00F31937">
            <w:pPr>
              <w:spacing w:before="120" w:after="120"/>
              <w:rPr>
                <w:rFonts w:ascii="Times New Roman" w:hAnsi="Times New Roman"/>
                <w:b/>
                <w:bCs/>
                <w:noProof/>
                <w:color w:val="0046AD"/>
                <w:sz w:val="24"/>
                <w:szCs w:val="24"/>
              </w:rPr>
            </w:pPr>
            <w:r w:rsidRPr="00207447">
              <w:rPr>
                <w:rFonts w:ascii="Times New Roman" w:hAnsi="Times New Roman"/>
                <w:b/>
                <w:noProof/>
                <w:color w:val="4472C4" w:themeColor="accent1"/>
                <w:sz w:val="24"/>
                <w:szCs w:val="24"/>
              </w:rPr>
              <w:t>Added value</w:t>
            </w:r>
          </w:p>
        </w:tc>
      </w:tr>
      <w:tr w:rsidR="000A7D9D" w:rsidRPr="00207447" w14:paraId="14F604DC" w14:textId="77777777" w:rsidTr="00F31937">
        <w:trPr>
          <w:trHeight w:val="300"/>
        </w:trPr>
        <w:tc>
          <w:tcPr>
            <w:tcW w:w="1822" w:type="dxa"/>
          </w:tcPr>
          <w:p w14:paraId="1536D560" w14:textId="77777777" w:rsidR="000A7D9D" w:rsidRPr="00207447" w:rsidRDefault="000A7D9D" w:rsidP="00F31937">
            <w:pPr>
              <w:spacing w:before="120" w:after="120"/>
              <w:rPr>
                <w:rFonts w:ascii="Times New Roman" w:hAnsi="Times New Roman"/>
                <w:b/>
                <w:bCs/>
                <w:noProof/>
                <w:color w:val="000000"/>
                <w:sz w:val="24"/>
                <w:szCs w:val="24"/>
              </w:rPr>
            </w:pPr>
            <w:r w:rsidRPr="00207447">
              <w:rPr>
                <w:rFonts w:ascii="Times New Roman" w:hAnsi="Times New Roman"/>
                <w:b/>
                <w:noProof/>
                <w:color w:val="000000" w:themeColor="text1"/>
                <w:sz w:val="24"/>
                <w:szCs w:val="24"/>
              </w:rPr>
              <w:t>Scientific consistency</w:t>
            </w:r>
          </w:p>
        </w:tc>
        <w:tc>
          <w:tcPr>
            <w:tcW w:w="1057" w:type="dxa"/>
          </w:tcPr>
          <w:p w14:paraId="73A48642" w14:textId="77777777" w:rsidR="000A7D9D" w:rsidRPr="00207447" w:rsidRDefault="000A7D9D" w:rsidP="00F31937">
            <w:pPr>
              <w:spacing w:before="120" w:after="120"/>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750" w:type="dxa"/>
          </w:tcPr>
          <w:p w14:paraId="09BF8FA3" w14:textId="77777777" w:rsidR="000A7D9D" w:rsidRPr="00207447" w:rsidRDefault="000A7D9D" w:rsidP="00F31937">
            <w:pPr>
              <w:spacing w:before="120" w:after="120"/>
              <w:rPr>
                <w:rFonts w:ascii="Times New Roman" w:hAnsi="Times New Roman"/>
                <w:noProof/>
                <w:color w:val="000000"/>
                <w:sz w:val="24"/>
                <w:szCs w:val="24"/>
              </w:rPr>
            </w:pPr>
            <w:r w:rsidRPr="00207447">
              <w:rPr>
                <w:rFonts w:ascii="Times New Roman" w:hAnsi="Times New Roman"/>
                <w:noProof/>
                <w:color w:val="000000" w:themeColor="text1"/>
                <w:sz w:val="24"/>
                <w:szCs w:val="24"/>
              </w:rPr>
              <w:t>Opportunity to align priority setting, timeline, process and methodology with other related legislation. Reuse of data collected under other chemical legislation.</w:t>
            </w:r>
          </w:p>
        </w:tc>
      </w:tr>
      <w:tr w:rsidR="000A7D9D" w:rsidRPr="00207447" w14:paraId="4FD86C78" w14:textId="77777777" w:rsidTr="00F31937">
        <w:trPr>
          <w:trHeight w:val="300"/>
        </w:trPr>
        <w:tc>
          <w:tcPr>
            <w:tcW w:w="1822" w:type="dxa"/>
          </w:tcPr>
          <w:p w14:paraId="3D251894" w14:textId="77777777" w:rsidR="000A7D9D" w:rsidRPr="00207447" w:rsidRDefault="000A7D9D" w:rsidP="00F31937">
            <w:pPr>
              <w:spacing w:before="120" w:after="120"/>
              <w:rPr>
                <w:rFonts w:ascii="Times New Roman" w:hAnsi="Times New Roman"/>
                <w:b/>
                <w:bCs/>
                <w:noProof/>
                <w:color w:val="000000"/>
                <w:sz w:val="24"/>
                <w:szCs w:val="24"/>
              </w:rPr>
            </w:pPr>
            <w:r w:rsidRPr="00207447">
              <w:rPr>
                <w:rFonts w:ascii="Times New Roman" w:hAnsi="Times New Roman"/>
                <w:b/>
                <w:noProof/>
                <w:color w:val="000000" w:themeColor="text1"/>
                <w:sz w:val="24"/>
                <w:szCs w:val="24"/>
              </w:rPr>
              <w:t>Robustness of assessment and acceptance</w:t>
            </w:r>
          </w:p>
        </w:tc>
        <w:tc>
          <w:tcPr>
            <w:tcW w:w="1057" w:type="dxa"/>
          </w:tcPr>
          <w:p w14:paraId="532CC97F" w14:textId="77777777" w:rsidR="000A7D9D" w:rsidRPr="00207447" w:rsidRDefault="000A7D9D" w:rsidP="00F31937">
            <w:pPr>
              <w:spacing w:before="120" w:after="120"/>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750" w:type="dxa"/>
          </w:tcPr>
          <w:p w14:paraId="783ADDE8" w14:textId="77777777" w:rsidR="000A7D9D" w:rsidRPr="00207447" w:rsidRDefault="000A7D9D" w:rsidP="00F31937">
            <w:pPr>
              <w:spacing w:before="120" w:after="120"/>
              <w:rPr>
                <w:rFonts w:ascii="Times New Roman" w:hAnsi="Times New Roman"/>
                <w:noProof/>
                <w:color w:val="000000"/>
                <w:sz w:val="24"/>
                <w:szCs w:val="24"/>
              </w:rPr>
            </w:pPr>
            <w:r w:rsidRPr="00207447">
              <w:rPr>
                <w:rFonts w:ascii="Times New Roman" w:hAnsi="Times New Roman"/>
                <w:noProof/>
                <w:color w:val="000000" w:themeColor="text1"/>
                <w:sz w:val="24"/>
                <w:szCs w:val="24"/>
              </w:rPr>
              <w:t>Insourcing of scientific work from consultants to Agency experts.</w:t>
            </w:r>
          </w:p>
          <w:p w14:paraId="05600625" w14:textId="77777777" w:rsidR="000A7D9D" w:rsidRPr="00207447" w:rsidRDefault="000A7D9D" w:rsidP="00F31937">
            <w:pPr>
              <w:spacing w:after="240"/>
              <w:rPr>
                <w:rFonts w:ascii="Times New Roman" w:hAnsi="Times New Roman"/>
                <w:i/>
                <w:iCs/>
                <w:noProof/>
                <w:sz w:val="24"/>
                <w:szCs w:val="24"/>
              </w:rPr>
            </w:pPr>
            <w:r w:rsidRPr="00207447">
              <w:rPr>
                <w:rFonts w:ascii="Times New Roman" w:hAnsi="Times New Roman"/>
                <w:i/>
                <w:iCs/>
                <w:noProof/>
                <w:sz w:val="24"/>
                <w:szCs w:val="24"/>
              </w:rPr>
              <w:t xml:space="preserve">(See also </w:t>
            </w:r>
            <w:hyperlink r:id="rId75" w:history="1">
              <w:r w:rsidRPr="00207447">
                <w:rPr>
                  <w:rFonts w:ascii="Times New Roman" w:hAnsi="Times New Roman"/>
                  <w:i/>
                  <w:iCs/>
                  <w:noProof/>
                  <w:color w:val="0563C1"/>
                  <w:sz w:val="24"/>
                  <w:szCs w:val="24"/>
                  <w:u w:val="single"/>
                </w:rPr>
                <w:t>European Court of Auditors: External consultants at the European Commission - Scope for reform).</w:t>
              </w:r>
            </w:hyperlink>
          </w:p>
        </w:tc>
      </w:tr>
      <w:tr w:rsidR="000A7D9D" w:rsidRPr="00207447" w14:paraId="56F2BB57" w14:textId="77777777" w:rsidTr="00F31937">
        <w:trPr>
          <w:trHeight w:val="300"/>
        </w:trPr>
        <w:tc>
          <w:tcPr>
            <w:tcW w:w="1822" w:type="dxa"/>
          </w:tcPr>
          <w:p w14:paraId="3CC605D2" w14:textId="77777777" w:rsidR="000A7D9D" w:rsidRPr="00207447" w:rsidRDefault="000A7D9D" w:rsidP="00F31937">
            <w:pPr>
              <w:spacing w:before="120" w:after="120"/>
              <w:rPr>
                <w:rFonts w:ascii="Times New Roman" w:hAnsi="Times New Roman"/>
                <w:b/>
                <w:bCs/>
                <w:noProof/>
                <w:color w:val="000000"/>
                <w:sz w:val="24"/>
                <w:szCs w:val="24"/>
              </w:rPr>
            </w:pPr>
            <w:r w:rsidRPr="00207447">
              <w:rPr>
                <w:rFonts w:ascii="Times New Roman" w:hAnsi="Times New Roman"/>
                <w:b/>
                <w:noProof/>
                <w:color w:val="000000" w:themeColor="text1"/>
                <w:sz w:val="24"/>
                <w:szCs w:val="24"/>
              </w:rPr>
              <w:t>Independence</w:t>
            </w:r>
          </w:p>
        </w:tc>
        <w:tc>
          <w:tcPr>
            <w:tcW w:w="1057" w:type="dxa"/>
          </w:tcPr>
          <w:p w14:paraId="13DA150B" w14:textId="77777777" w:rsidR="000A7D9D" w:rsidRPr="00207447" w:rsidRDefault="000A7D9D" w:rsidP="00F31937">
            <w:pPr>
              <w:spacing w:before="120" w:after="120"/>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750" w:type="dxa"/>
          </w:tcPr>
          <w:p w14:paraId="306612FA" w14:textId="77777777" w:rsidR="000A7D9D" w:rsidRPr="00207447" w:rsidRDefault="000A7D9D" w:rsidP="00F31937">
            <w:pPr>
              <w:spacing w:before="120" w:after="120"/>
              <w:rPr>
                <w:rFonts w:ascii="Times New Roman" w:hAnsi="Times New Roman"/>
                <w:noProof/>
                <w:color w:val="000000"/>
                <w:sz w:val="24"/>
                <w:szCs w:val="24"/>
              </w:rPr>
            </w:pPr>
            <w:r w:rsidRPr="00207447">
              <w:rPr>
                <w:rFonts w:ascii="Times New Roman" w:hAnsi="Times New Roman"/>
                <w:noProof/>
                <w:color w:val="000000" w:themeColor="text1"/>
                <w:sz w:val="24"/>
                <w:szCs w:val="24"/>
              </w:rPr>
              <w:t>Moving scientific work from consultants to Agency experts . ECHA works under strict conflict of interest avoidance rules, improving guarantees of independent scientific advice to the Commission.</w:t>
            </w:r>
          </w:p>
        </w:tc>
      </w:tr>
      <w:tr w:rsidR="000A7D9D" w:rsidRPr="00207447" w14:paraId="64FB9008" w14:textId="77777777" w:rsidTr="00F31937">
        <w:trPr>
          <w:trHeight w:val="300"/>
        </w:trPr>
        <w:tc>
          <w:tcPr>
            <w:tcW w:w="1822" w:type="dxa"/>
          </w:tcPr>
          <w:p w14:paraId="3909CD20" w14:textId="77777777" w:rsidR="000A7D9D" w:rsidRPr="00207447" w:rsidRDefault="000A7D9D" w:rsidP="00F31937">
            <w:pPr>
              <w:spacing w:before="120" w:after="120"/>
              <w:rPr>
                <w:rFonts w:ascii="Times New Roman" w:hAnsi="Times New Roman"/>
                <w:b/>
                <w:bCs/>
                <w:noProof/>
                <w:color w:val="000000"/>
                <w:sz w:val="24"/>
                <w:szCs w:val="24"/>
              </w:rPr>
            </w:pPr>
            <w:r w:rsidRPr="00207447">
              <w:rPr>
                <w:rFonts w:ascii="Times New Roman" w:hAnsi="Times New Roman"/>
                <w:b/>
                <w:noProof/>
                <w:color w:val="000000" w:themeColor="text1"/>
                <w:sz w:val="24"/>
                <w:szCs w:val="24"/>
              </w:rPr>
              <w:t>Transparency</w:t>
            </w:r>
          </w:p>
        </w:tc>
        <w:tc>
          <w:tcPr>
            <w:tcW w:w="1057" w:type="dxa"/>
          </w:tcPr>
          <w:p w14:paraId="480F1A45" w14:textId="77777777" w:rsidR="000A7D9D" w:rsidRPr="00207447" w:rsidRDefault="000A7D9D" w:rsidP="00F31937">
            <w:pPr>
              <w:spacing w:before="120" w:after="120"/>
              <w:rPr>
                <w:rFonts w:ascii="Times New Roman" w:hAnsi="Times New Roman"/>
                <w:noProof/>
                <w:color w:val="000000"/>
                <w:sz w:val="24"/>
                <w:szCs w:val="24"/>
              </w:rPr>
            </w:pPr>
            <w:r w:rsidRPr="00207447">
              <w:rPr>
                <w:rFonts w:ascii="Times New Roman" w:hAnsi="Times New Roman"/>
                <w:noProof/>
                <w:color w:val="000000" w:themeColor="text1"/>
                <w:sz w:val="24"/>
                <w:szCs w:val="24"/>
              </w:rPr>
              <w:t>High</w:t>
            </w:r>
          </w:p>
        </w:tc>
        <w:tc>
          <w:tcPr>
            <w:tcW w:w="6750" w:type="dxa"/>
          </w:tcPr>
          <w:p w14:paraId="066F9426" w14:textId="77777777" w:rsidR="000A7D9D" w:rsidRPr="00207447" w:rsidRDefault="000A7D9D" w:rsidP="00F31937">
            <w:pPr>
              <w:spacing w:before="120" w:after="120"/>
              <w:rPr>
                <w:rFonts w:ascii="Times New Roman" w:hAnsi="Times New Roman"/>
                <w:noProof/>
                <w:color w:val="000000"/>
                <w:sz w:val="24"/>
                <w:szCs w:val="24"/>
              </w:rPr>
            </w:pPr>
            <w:r w:rsidRPr="00207447">
              <w:rPr>
                <w:rFonts w:ascii="Times New Roman" w:hAnsi="Times New Roman"/>
                <w:noProof/>
                <w:color w:val="000000" w:themeColor="text1"/>
                <w:sz w:val="24"/>
                <w:szCs w:val="24"/>
              </w:rPr>
              <w:t>ECHA works fully transparent:</w:t>
            </w:r>
          </w:p>
          <w:p w14:paraId="0193296F" w14:textId="77777777" w:rsidR="000A7D9D" w:rsidRPr="00207447" w:rsidRDefault="000A7D9D" w:rsidP="000A7D9D">
            <w:pPr>
              <w:numPr>
                <w:ilvl w:val="0"/>
                <w:numId w:val="21"/>
              </w:numPr>
              <w:spacing w:before="120" w:after="120"/>
              <w:ind w:left="720"/>
              <w:contextualSpacing/>
              <w:rPr>
                <w:rFonts w:ascii="Times New Roman" w:hAnsi="Times New Roman"/>
                <w:noProof/>
                <w:color w:val="000000"/>
                <w:sz w:val="24"/>
                <w:szCs w:val="24"/>
              </w:rPr>
            </w:pPr>
            <w:r w:rsidRPr="00207447">
              <w:rPr>
                <w:rFonts w:ascii="Times New Roman" w:hAnsi="Times New Roman"/>
                <w:noProof/>
                <w:color w:val="000000" w:themeColor="text1"/>
                <w:sz w:val="24"/>
                <w:szCs w:val="24"/>
              </w:rPr>
              <w:t>Overall process transparency</w:t>
            </w:r>
          </w:p>
          <w:p w14:paraId="05A94093" w14:textId="77777777" w:rsidR="000A7D9D" w:rsidRPr="00207447"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207447">
              <w:rPr>
                <w:rFonts w:ascii="Times New Roman" w:hAnsi="Times New Roman"/>
                <w:noProof/>
                <w:color w:val="000000" w:themeColor="text1"/>
                <w:sz w:val="24"/>
                <w:szCs w:val="24"/>
              </w:rPr>
              <w:t>Publication of regulatory intentions of EU authorities improves predictability for industry stakeholders</w:t>
            </w:r>
          </w:p>
          <w:p w14:paraId="491EF230" w14:textId="77777777" w:rsidR="000A7D9D" w:rsidRPr="00207447" w:rsidRDefault="000A7D9D" w:rsidP="000A7D9D">
            <w:pPr>
              <w:numPr>
                <w:ilvl w:val="0"/>
                <w:numId w:val="21"/>
              </w:numPr>
              <w:spacing w:before="120" w:after="120"/>
              <w:ind w:left="720"/>
              <w:contextualSpacing/>
              <w:rPr>
                <w:rFonts w:ascii="Times New Roman" w:hAnsi="Times New Roman"/>
                <w:noProof/>
                <w:color w:val="000000"/>
                <w:sz w:val="24"/>
                <w:szCs w:val="24"/>
              </w:rPr>
            </w:pPr>
            <w:r w:rsidRPr="00207447">
              <w:rPr>
                <w:rFonts w:ascii="Times New Roman" w:hAnsi="Times New Roman"/>
                <w:noProof/>
                <w:color w:val="000000" w:themeColor="text1"/>
                <w:sz w:val="24"/>
                <w:szCs w:val="24"/>
              </w:rPr>
              <w:t>Public consultation/call for evidence</w:t>
            </w:r>
          </w:p>
          <w:p w14:paraId="433DF5E9" w14:textId="77777777" w:rsidR="000A7D9D" w:rsidRPr="00207447" w:rsidRDefault="000A7D9D" w:rsidP="000A7D9D">
            <w:pPr>
              <w:numPr>
                <w:ilvl w:val="0"/>
                <w:numId w:val="21"/>
              </w:numPr>
              <w:spacing w:before="120" w:after="120"/>
              <w:ind w:left="720"/>
              <w:contextualSpacing/>
              <w:rPr>
                <w:rFonts w:ascii="Times New Roman" w:hAnsi="Times New Roman"/>
                <w:noProof/>
                <w:color w:val="000000"/>
                <w:sz w:val="24"/>
                <w:szCs w:val="24"/>
              </w:rPr>
            </w:pPr>
            <w:r w:rsidRPr="00207447">
              <w:rPr>
                <w:rFonts w:ascii="Times New Roman" w:hAnsi="Times New Roman"/>
                <w:noProof/>
                <w:color w:val="000000" w:themeColor="text1"/>
                <w:sz w:val="24"/>
                <w:szCs w:val="24"/>
              </w:rPr>
              <w:t>Stakeholder involvement/observer status</w:t>
            </w:r>
          </w:p>
          <w:p w14:paraId="3B0FB766" w14:textId="77777777" w:rsidR="000A7D9D" w:rsidRPr="00207447" w:rsidRDefault="000A7D9D" w:rsidP="000A7D9D">
            <w:pPr>
              <w:numPr>
                <w:ilvl w:val="0"/>
                <w:numId w:val="21"/>
              </w:numPr>
              <w:spacing w:before="120" w:after="120"/>
              <w:ind w:left="720"/>
              <w:contextualSpacing/>
              <w:rPr>
                <w:rFonts w:ascii="Times New Roman" w:hAnsi="Times New Roman"/>
                <w:noProof/>
                <w:color w:val="000000"/>
                <w:sz w:val="24"/>
                <w:szCs w:val="24"/>
              </w:rPr>
            </w:pPr>
            <w:r w:rsidRPr="00207447">
              <w:rPr>
                <w:rFonts w:ascii="Times New Roman" w:hAnsi="Times New Roman"/>
                <w:noProof/>
                <w:color w:val="000000" w:themeColor="text1"/>
                <w:sz w:val="24"/>
                <w:szCs w:val="24"/>
              </w:rPr>
              <w:t>Dissemination of scientific data and outcomes</w:t>
            </w:r>
          </w:p>
        </w:tc>
      </w:tr>
    </w:tbl>
    <w:p w14:paraId="21D163CA" w14:textId="77777777" w:rsidR="000A7D9D" w:rsidRPr="00207447" w:rsidRDefault="000A7D9D" w:rsidP="000A7D9D">
      <w:pPr>
        <w:pStyle w:val="BodyText"/>
        <w:spacing w:before="120"/>
        <w:rPr>
          <w:i/>
          <w:iCs/>
          <w:noProof/>
        </w:rPr>
      </w:pPr>
      <w:r w:rsidRPr="00207447">
        <w:rPr>
          <w:i/>
          <w:iCs/>
          <w:noProof/>
        </w:rPr>
        <w:t>Task 2 (EEA):</w:t>
      </w:r>
    </w:p>
    <w:tbl>
      <w:tblPr>
        <w:tblStyle w:val="TableGrid"/>
        <w:tblW w:w="0" w:type="auto"/>
        <w:tblLook w:val="04A0" w:firstRow="1" w:lastRow="0" w:firstColumn="1" w:lastColumn="0" w:noHBand="0" w:noVBand="1"/>
      </w:tblPr>
      <w:tblGrid>
        <w:gridCol w:w="1647"/>
        <w:gridCol w:w="1069"/>
        <w:gridCol w:w="6903"/>
      </w:tblGrid>
      <w:tr w:rsidR="000A7D9D" w:rsidRPr="00207447" w14:paraId="2B2BB678"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78EE10E6" w14:textId="77777777" w:rsidR="000A7D9D" w:rsidRPr="00207447" w:rsidRDefault="000A7D9D" w:rsidP="00F31937">
            <w:pPr>
              <w:spacing w:before="120" w:after="120"/>
              <w:rPr>
                <w:rFonts w:eastAsia="Verdana"/>
                <w:b/>
                <w:bCs/>
                <w:noProof/>
                <w:color w:val="4472C4" w:themeColor="accent1"/>
                <w:sz w:val="24"/>
                <w:szCs w:val="24"/>
              </w:rPr>
            </w:pPr>
            <w:r w:rsidRPr="00207447">
              <w:rPr>
                <w:rFonts w:eastAsia="Verdana"/>
                <w:b/>
                <w:bCs/>
                <w:noProof/>
                <w:color w:val="4472C4" w:themeColor="accent1"/>
                <w:sz w:val="24"/>
                <w:szCs w:val="24"/>
              </w:rPr>
              <w:t>Type</w:t>
            </w:r>
          </w:p>
        </w:tc>
        <w:tc>
          <w:tcPr>
            <w:tcW w:w="7983" w:type="dxa"/>
            <w:gridSpan w:val="2"/>
            <w:tcBorders>
              <w:top w:val="single" w:sz="8" w:space="0" w:color="auto"/>
              <w:left w:val="single" w:sz="8" w:space="0" w:color="auto"/>
              <w:bottom w:val="single" w:sz="8" w:space="0" w:color="auto"/>
              <w:right w:val="single" w:sz="8" w:space="0" w:color="auto"/>
            </w:tcBorders>
          </w:tcPr>
          <w:p w14:paraId="600B438F" w14:textId="77777777" w:rsidR="000A7D9D" w:rsidRPr="00207447" w:rsidRDefault="000A7D9D" w:rsidP="00F31937">
            <w:pPr>
              <w:spacing w:before="120" w:after="120"/>
              <w:rPr>
                <w:rFonts w:eastAsia="Verdana"/>
                <w:b/>
                <w:bCs/>
                <w:noProof/>
                <w:color w:val="4472C4" w:themeColor="accent1"/>
                <w:sz w:val="24"/>
                <w:szCs w:val="24"/>
              </w:rPr>
            </w:pPr>
            <w:r w:rsidRPr="00207447">
              <w:rPr>
                <w:rFonts w:eastAsia="Verdana"/>
                <w:b/>
                <w:bCs/>
                <w:noProof/>
                <w:color w:val="4472C4" w:themeColor="accent1"/>
                <w:sz w:val="24"/>
                <w:szCs w:val="24"/>
              </w:rPr>
              <w:t>Synergies</w:t>
            </w:r>
          </w:p>
        </w:tc>
      </w:tr>
      <w:tr w:rsidR="000A7D9D" w:rsidRPr="00207447" w14:paraId="38A8DAC8"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4703D430" w14:textId="77777777" w:rsidR="000A7D9D" w:rsidRPr="00207447" w:rsidRDefault="000A7D9D" w:rsidP="00F31937">
            <w:pPr>
              <w:spacing w:before="120" w:after="120"/>
              <w:rPr>
                <w:rFonts w:eastAsia="Verdana"/>
                <w:b/>
                <w:bCs/>
                <w:noProof/>
                <w:color w:val="000000" w:themeColor="text1"/>
                <w:sz w:val="24"/>
                <w:szCs w:val="24"/>
              </w:rPr>
            </w:pPr>
            <w:r w:rsidRPr="00207447">
              <w:rPr>
                <w:rFonts w:eastAsia="Verdana"/>
                <w:b/>
                <w:bCs/>
                <w:noProof/>
                <w:color w:val="000000" w:themeColor="text1"/>
                <w:sz w:val="24"/>
                <w:szCs w:val="24"/>
              </w:rPr>
              <w:t>Reuse of capabilities</w:t>
            </w:r>
          </w:p>
        </w:tc>
        <w:tc>
          <w:tcPr>
            <w:tcW w:w="1070" w:type="dxa"/>
            <w:tcBorders>
              <w:top w:val="single" w:sz="8" w:space="0" w:color="auto"/>
              <w:left w:val="single" w:sz="8" w:space="0" w:color="auto"/>
              <w:bottom w:val="single" w:sz="8" w:space="0" w:color="auto"/>
              <w:right w:val="single" w:sz="8" w:space="0" w:color="auto"/>
            </w:tcBorders>
          </w:tcPr>
          <w:p w14:paraId="78F010EC"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High</w:t>
            </w:r>
          </w:p>
        </w:tc>
        <w:tc>
          <w:tcPr>
            <w:tcW w:w="6913" w:type="dxa"/>
            <w:tcBorders>
              <w:top w:val="single" w:sz="8" w:space="0" w:color="auto"/>
              <w:left w:val="single" w:sz="8" w:space="0" w:color="auto"/>
              <w:bottom w:val="single" w:sz="8" w:space="0" w:color="auto"/>
              <w:right w:val="single" w:sz="8" w:space="0" w:color="auto"/>
            </w:tcBorders>
          </w:tcPr>
          <w:p w14:paraId="2CC6259F" w14:textId="77777777" w:rsidR="000A7D9D" w:rsidRPr="00207447" w:rsidRDefault="000A7D9D" w:rsidP="00F31937">
            <w:pPr>
              <w:spacing w:before="120"/>
              <w:rPr>
                <w:rFonts w:eastAsia="Verdana"/>
                <w:noProof/>
                <w:color w:val="000000" w:themeColor="text1"/>
                <w:sz w:val="24"/>
                <w:szCs w:val="24"/>
              </w:rPr>
            </w:pPr>
            <w:r w:rsidRPr="00207447">
              <w:rPr>
                <w:rFonts w:eastAsia="Verdana"/>
                <w:noProof/>
                <w:color w:val="000000" w:themeColor="text1"/>
                <w:sz w:val="24"/>
                <w:szCs w:val="24"/>
              </w:rPr>
              <w:t>Process and expertise: EEA already collects and host the chemical monitoring data in the environment. Several key capacities can be reused/reinforced:</w:t>
            </w:r>
          </w:p>
          <w:p w14:paraId="489E1037" w14:textId="77777777" w:rsidR="000A7D9D" w:rsidRPr="00207447" w:rsidRDefault="000A7D9D" w:rsidP="000A7D9D">
            <w:pPr>
              <w:pStyle w:val="ListParagraph"/>
              <w:widowControl w:val="0"/>
              <w:numPr>
                <w:ilvl w:val="0"/>
                <w:numId w:val="78"/>
              </w:numPr>
              <w:spacing w:after="120"/>
              <w:rPr>
                <w:noProof/>
              </w:rPr>
            </w:pPr>
            <w:r w:rsidRPr="00207447">
              <w:rPr>
                <w:noProof/>
              </w:rPr>
              <w:t>Collection and reporting tools</w:t>
            </w:r>
          </w:p>
          <w:p w14:paraId="72E0E472" w14:textId="77777777" w:rsidR="000A7D9D" w:rsidRPr="00207447" w:rsidRDefault="000A7D9D" w:rsidP="000A7D9D">
            <w:pPr>
              <w:pStyle w:val="ListParagraph"/>
              <w:widowControl w:val="0"/>
              <w:numPr>
                <w:ilvl w:val="0"/>
                <w:numId w:val="78"/>
              </w:numPr>
              <w:spacing w:before="120" w:after="120"/>
              <w:rPr>
                <w:noProof/>
              </w:rPr>
            </w:pPr>
            <w:r w:rsidRPr="00207447">
              <w:rPr>
                <w:noProof/>
              </w:rPr>
              <w:t>Network of Member States experts on data in the environment</w:t>
            </w:r>
          </w:p>
        </w:tc>
      </w:tr>
      <w:tr w:rsidR="000A7D9D" w:rsidRPr="00207447" w14:paraId="0DDF57D6"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40DDFDC1" w14:textId="77777777" w:rsidR="000A7D9D" w:rsidRPr="00207447" w:rsidRDefault="000A7D9D" w:rsidP="00F31937">
            <w:pPr>
              <w:spacing w:before="120" w:after="120"/>
              <w:rPr>
                <w:rFonts w:eastAsia="Verdana"/>
                <w:b/>
                <w:bCs/>
                <w:noProof/>
                <w:color w:val="000000" w:themeColor="text1"/>
                <w:sz w:val="24"/>
                <w:szCs w:val="24"/>
              </w:rPr>
            </w:pPr>
            <w:r w:rsidRPr="00207447">
              <w:rPr>
                <w:rFonts w:eastAsia="Verdana"/>
                <w:b/>
                <w:bCs/>
                <w:noProof/>
                <w:color w:val="000000" w:themeColor="text1"/>
                <w:sz w:val="24"/>
                <w:szCs w:val="24"/>
              </w:rPr>
              <w:t>Re-use of data</w:t>
            </w:r>
          </w:p>
        </w:tc>
        <w:tc>
          <w:tcPr>
            <w:tcW w:w="1070" w:type="dxa"/>
            <w:tcBorders>
              <w:top w:val="single" w:sz="8" w:space="0" w:color="auto"/>
              <w:left w:val="single" w:sz="8" w:space="0" w:color="auto"/>
              <w:bottom w:val="single" w:sz="8" w:space="0" w:color="auto"/>
              <w:right w:val="single" w:sz="8" w:space="0" w:color="auto"/>
            </w:tcBorders>
          </w:tcPr>
          <w:p w14:paraId="1F5C9973" w14:textId="77777777" w:rsidR="000A7D9D" w:rsidRPr="00207447" w:rsidRDefault="000A7D9D" w:rsidP="00F31937">
            <w:pPr>
              <w:spacing w:before="120" w:after="120" w:line="259" w:lineRule="auto"/>
              <w:rPr>
                <w:noProof/>
                <w:sz w:val="24"/>
                <w:szCs w:val="24"/>
              </w:rPr>
            </w:pPr>
            <w:r w:rsidRPr="00207447">
              <w:rPr>
                <w:rFonts w:eastAsia="Verdana"/>
                <w:noProof/>
                <w:color w:val="000000" w:themeColor="text1"/>
                <w:sz w:val="24"/>
                <w:szCs w:val="24"/>
              </w:rPr>
              <w:t>High</w:t>
            </w:r>
          </w:p>
        </w:tc>
        <w:tc>
          <w:tcPr>
            <w:tcW w:w="6913" w:type="dxa"/>
            <w:tcBorders>
              <w:top w:val="single" w:sz="8" w:space="0" w:color="auto"/>
              <w:left w:val="single" w:sz="8" w:space="0" w:color="auto"/>
              <w:bottom w:val="single" w:sz="8" w:space="0" w:color="auto"/>
              <w:right w:val="single" w:sz="8" w:space="0" w:color="auto"/>
            </w:tcBorders>
          </w:tcPr>
          <w:p w14:paraId="3E779D6E"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Reuse of data collected under water and air legislation</w:t>
            </w:r>
          </w:p>
        </w:tc>
      </w:tr>
      <w:tr w:rsidR="000A7D9D" w:rsidRPr="00207447" w14:paraId="6286F1BE"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4C395C2C" w14:textId="77777777" w:rsidR="000A7D9D" w:rsidRPr="00207447" w:rsidRDefault="000A7D9D" w:rsidP="00F31937">
            <w:pPr>
              <w:spacing w:before="120" w:after="120"/>
              <w:rPr>
                <w:rFonts w:eastAsia="Verdana"/>
                <w:b/>
                <w:bCs/>
                <w:noProof/>
                <w:color w:val="000000" w:themeColor="text1"/>
                <w:sz w:val="24"/>
                <w:szCs w:val="24"/>
              </w:rPr>
            </w:pPr>
            <w:r w:rsidRPr="00207447">
              <w:rPr>
                <w:rFonts w:eastAsia="Verdana"/>
                <w:b/>
                <w:bCs/>
                <w:noProof/>
                <w:color w:val="000000" w:themeColor="text1"/>
                <w:sz w:val="24"/>
                <w:szCs w:val="24"/>
              </w:rPr>
              <w:t>Workload balancing</w:t>
            </w:r>
          </w:p>
        </w:tc>
        <w:tc>
          <w:tcPr>
            <w:tcW w:w="1070" w:type="dxa"/>
            <w:tcBorders>
              <w:top w:val="single" w:sz="8" w:space="0" w:color="auto"/>
              <w:left w:val="single" w:sz="8" w:space="0" w:color="auto"/>
              <w:bottom w:val="single" w:sz="8" w:space="0" w:color="auto"/>
              <w:right w:val="single" w:sz="8" w:space="0" w:color="auto"/>
            </w:tcBorders>
          </w:tcPr>
          <w:p w14:paraId="4F91DD00"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High</w:t>
            </w:r>
          </w:p>
        </w:tc>
        <w:tc>
          <w:tcPr>
            <w:tcW w:w="6913" w:type="dxa"/>
            <w:tcBorders>
              <w:top w:val="single" w:sz="8" w:space="0" w:color="auto"/>
              <w:left w:val="single" w:sz="8" w:space="0" w:color="auto"/>
              <w:bottom w:val="single" w:sz="8" w:space="0" w:color="auto"/>
              <w:right w:val="single" w:sz="8" w:space="0" w:color="auto"/>
            </w:tcBorders>
          </w:tcPr>
          <w:p w14:paraId="29D81AC0"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 xml:space="preserve">The workload can be integrated in the existing processes and can be spread over time as necessary. </w:t>
            </w:r>
          </w:p>
        </w:tc>
      </w:tr>
      <w:tr w:rsidR="000A7D9D" w:rsidRPr="00207447" w14:paraId="0E07E028"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6DF4F67D" w14:textId="77777777" w:rsidR="000A7D9D" w:rsidRPr="00207447" w:rsidRDefault="000A7D9D" w:rsidP="00F31937">
            <w:pPr>
              <w:spacing w:before="120" w:after="120"/>
              <w:rPr>
                <w:rFonts w:eastAsia="Verdana"/>
                <w:b/>
                <w:bCs/>
                <w:noProof/>
                <w:color w:val="000000" w:themeColor="text1"/>
                <w:sz w:val="24"/>
                <w:szCs w:val="24"/>
              </w:rPr>
            </w:pPr>
            <w:r w:rsidRPr="00207447">
              <w:rPr>
                <w:rFonts w:eastAsia="Verdana"/>
                <w:b/>
                <w:bCs/>
                <w:noProof/>
                <w:color w:val="000000" w:themeColor="text1"/>
                <w:sz w:val="24"/>
                <w:szCs w:val="24"/>
              </w:rPr>
              <w:t>IT tools: automation and economies of scale</w:t>
            </w:r>
          </w:p>
        </w:tc>
        <w:tc>
          <w:tcPr>
            <w:tcW w:w="1070" w:type="dxa"/>
            <w:tcBorders>
              <w:top w:val="single" w:sz="8" w:space="0" w:color="auto"/>
              <w:left w:val="single" w:sz="8" w:space="0" w:color="auto"/>
              <w:bottom w:val="single" w:sz="8" w:space="0" w:color="auto"/>
              <w:right w:val="single" w:sz="8" w:space="0" w:color="auto"/>
            </w:tcBorders>
          </w:tcPr>
          <w:p w14:paraId="69A10BE6" w14:textId="77777777" w:rsidR="000A7D9D" w:rsidRPr="00207447" w:rsidRDefault="000A7D9D" w:rsidP="00F31937">
            <w:pPr>
              <w:spacing w:before="120" w:after="120" w:line="259" w:lineRule="auto"/>
              <w:rPr>
                <w:noProof/>
                <w:sz w:val="24"/>
                <w:szCs w:val="24"/>
              </w:rPr>
            </w:pPr>
            <w:r w:rsidRPr="00207447">
              <w:rPr>
                <w:rFonts w:eastAsia="Verdana"/>
                <w:noProof/>
                <w:color w:val="000000" w:themeColor="text1"/>
                <w:sz w:val="24"/>
                <w:szCs w:val="24"/>
              </w:rPr>
              <w:t>High</w:t>
            </w:r>
          </w:p>
        </w:tc>
        <w:tc>
          <w:tcPr>
            <w:tcW w:w="6913" w:type="dxa"/>
            <w:tcBorders>
              <w:top w:val="single" w:sz="8" w:space="0" w:color="auto"/>
              <w:left w:val="single" w:sz="8" w:space="0" w:color="auto"/>
              <w:bottom w:val="single" w:sz="8" w:space="0" w:color="auto"/>
              <w:right w:val="single" w:sz="8" w:space="0" w:color="auto"/>
            </w:tcBorders>
          </w:tcPr>
          <w:p w14:paraId="6252655F"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 xml:space="preserve">The existing reporting tools and IT capabilities used for water and air legislation (Reportnet 3.0) can be fully reused after small adaptation. </w:t>
            </w:r>
          </w:p>
        </w:tc>
      </w:tr>
      <w:tr w:rsidR="000A7D9D" w:rsidRPr="00207447" w14:paraId="5019BC50" w14:textId="77777777" w:rsidTr="00F31937">
        <w:trPr>
          <w:trHeight w:val="300"/>
        </w:trPr>
        <w:tc>
          <w:tcPr>
            <w:tcW w:w="1647" w:type="dxa"/>
            <w:tcBorders>
              <w:top w:val="single" w:sz="8" w:space="0" w:color="auto"/>
              <w:left w:val="single" w:sz="8" w:space="0" w:color="auto"/>
              <w:bottom w:val="single" w:sz="8" w:space="0" w:color="auto"/>
              <w:right w:val="single" w:sz="8" w:space="0" w:color="auto"/>
            </w:tcBorders>
          </w:tcPr>
          <w:p w14:paraId="5F2F0E8F" w14:textId="77777777" w:rsidR="000A7D9D" w:rsidRPr="00207447" w:rsidRDefault="000A7D9D" w:rsidP="00F31937">
            <w:pPr>
              <w:spacing w:before="120" w:after="120"/>
              <w:rPr>
                <w:rFonts w:eastAsia="Verdana"/>
                <w:b/>
                <w:bCs/>
                <w:noProof/>
                <w:color w:val="000000" w:themeColor="text1"/>
                <w:sz w:val="24"/>
                <w:szCs w:val="24"/>
              </w:rPr>
            </w:pPr>
            <w:r w:rsidRPr="00207447">
              <w:rPr>
                <w:rFonts w:eastAsia="Verdana"/>
                <w:b/>
                <w:bCs/>
                <w:noProof/>
                <w:color w:val="000000" w:themeColor="text1"/>
                <w:sz w:val="24"/>
                <w:szCs w:val="24"/>
              </w:rPr>
              <w:t>Support services: economies of scale</w:t>
            </w:r>
          </w:p>
        </w:tc>
        <w:tc>
          <w:tcPr>
            <w:tcW w:w="1070" w:type="dxa"/>
            <w:tcBorders>
              <w:top w:val="single" w:sz="8" w:space="0" w:color="auto"/>
              <w:left w:val="single" w:sz="8" w:space="0" w:color="auto"/>
              <w:bottom w:val="single" w:sz="8" w:space="0" w:color="auto"/>
              <w:right w:val="single" w:sz="8" w:space="0" w:color="auto"/>
            </w:tcBorders>
          </w:tcPr>
          <w:p w14:paraId="2B4E6E59"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High</w:t>
            </w:r>
          </w:p>
        </w:tc>
        <w:tc>
          <w:tcPr>
            <w:tcW w:w="6913" w:type="dxa"/>
            <w:tcBorders>
              <w:top w:val="single" w:sz="8" w:space="0" w:color="auto"/>
              <w:left w:val="single" w:sz="8" w:space="0" w:color="auto"/>
              <w:bottom w:val="single" w:sz="8" w:space="0" w:color="auto"/>
              <w:right w:val="single" w:sz="8" w:space="0" w:color="auto"/>
            </w:tcBorders>
          </w:tcPr>
          <w:p w14:paraId="7AEC2378" w14:textId="77777777" w:rsidR="000A7D9D" w:rsidRPr="00207447" w:rsidRDefault="000A7D9D" w:rsidP="00F31937">
            <w:pPr>
              <w:spacing w:before="120" w:after="120"/>
              <w:rPr>
                <w:rFonts w:eastAsia="Verdana"/>
                <w:noProof/>
                <w:color w:val="000000" w:themeColor="text1"/>
                <w:sz w:val="24"/>
                <w:szCs w:val="24"/>
              </w:rPr>
            </w:pPr>
            <w:r w:rsidRPr="00207447">
              <w:rPr>
                <w:rFonts w:eastAsia="Verdana"/>
                <w:noProof/>
                <w:color w:val="000000" w:themeColor="text1"/>
                <w:sz w:val="24"/>
                <w:szCs w:val="24"/>
              </w:rPr>
              <w:t>Reuse of scientific support services and data dissemination. Reuse of administrative services.</w:t>
            </w:r>
          </w:p>
        </w:tc>
      </w:tr>
    </w:tbl>
    <w:p w14:paraId="065A1D83" w14:textId="77777777" w:rsidR="000A7D9D" w:rsidRPr="00207447" w:rsidRDefault="000A7D9D" w:rsidP="000A7D9D">
      <w:pPr>
        <w:pStyle w:val="BodyText"/>
        <w:rPr>
          <w:noProof/>
          <w:u w:val="single"/>
        </w:rPr>
      </w:pPr>
    </w:p>
    <w:tbl>
      <w:tblPr>
        <w:tblStyle w:val="TableGrid10"/>
        <w:tblW w:w="0" w:type="auto"/>
        <w:tblLook w:val="04A0" w:firstRow="1" w:lastRow="0" w:firstColumn="1" w:lastColumn="0" w:noHBand="0" w:noVBand="1"/>
      </w:tblPr>
      <w:tblGrid>
        <w:gridCol w:w="1822"/>
        <w:gridCol w:w="1057"/>
        <w:gridCol w:w="6750"/>
      </w:tblGrid>
      <w:tr w:rsidR="000A7D9D" w:rsidRPr="00207447" w14:paraId="0C22D384" w14:textId="77777777" w:rsidTr="00F31937">
        <w:trPr>
          <w:trHeight w:val="300"/>
        </w:trPr>
        <w:tc>
          <w:tcPr>
            <w:tcW w:w="1822" w:type="dxa"/>
          </w:tcPr>
          <w:p w14:paraId="4A2AD2E7" w14:textId="77777777" w:rsidR="000A7D9D" w:rsidRPr="00207447" w:rsidRDefault="000A7D9D" w:rsidP="00F31937">
            <w:pPr>
              <w:spacing w:before="120" w:after="120"/>
              <w:rPr>
                <w:rFonts w:ascii="Times New Roman" w:hAnsi="Times New Roman"/>
                <w:b/>
                <w:bCs/>
                <w:noProof/>
                <w:color w:val="4472C4" w:themeColor="accent1"/>
                <w:sz w:val="24"/>
                <w:szCs w:val="24"/>
              </w:rPr>
            </w:pPr>
            <w:r w:rsidRPr="00207447">
              <w:rPr>
                <w:rFonts w:ascii="Times New Roman" w:hAnsi="Times New Roman"/>
                <w:b/>
                <w:bCs/>
                <w:noProof/>
                <w:color w:val="4472C4" w:themeColor="accent1"/>
                <w:sz w:val="24"/>
                <w:szCs w:val="24"/>
              </w:rPr>
              <w:t>Type</w:t>
            </w:r>
          </w:p>
        </w:tc>
        <w:tc>
          <w:tcPr>
            <w:tcW w:w="7807" w:type="dxa"/>
            <w:gridSpan w:val="2"/>
          </w:tcPr>
          <w:p w14:paraId="67E9B71D" w14:textId="77777777" w:rsidR="000A7D9D" w:rsidRPr="00207447" w:rsidRDefault="000A7D9D" w:rsidP="00F31937">
            <w:pPr>
              <w:spacing w:before="120" w:after="120"/>
              <w:rPr>
                <w:rFonts w:ascii="Times New Roman" w:hAnsi="Times New Roman"/>
                <w:b/>
                <w:bCs/>
                <w:noProof/>
                <w:color w:val="4472C4" w:themeColor="accent1"/>
                <w:sz w:val="24"/>
                <w:szCs w:val="24"/>
              </w:rPr>
            </w:pPr>
            <w:r w:rsidRPr="00207447">
              <w:rPr>
                <w:rFonts w:ascii="Times New Roman" w:hAnsi="Times New Roman"/>
                <w:b/>
                <w:bCs/>
                <w:noProof/>
                <w:color w:val="4472C4" w:themeColor="accent1"/>
                <w:sz w:val="24"/>
                <w:szCs w:val="24"/>
              </w:rPr>
              <w:t>Added value</w:t>
            </w:r>
          </w:p>
        </w:tc>
      </w:tr>
      <w:tr w:rsidR="000A7D9D" w:rsidRPr="00207447" w14:paraId="0631B0F8" w14:textId="77777777" w:rsidTr="00F31937">
        <w:trPr>
          <w:trHeight w:val="300"/>
        </w:trPr>
        <w:tc>
          <w:tcPr>
            <w:tcW w:w="1822" w:type="dxa"/>
          </w:tcPr>
          <w:p w14:paraId="2F192BB9" w14:textId="77777777" w:rsidR="000A7D9D" w:rsidRPr="00207447" w:rsidRDefault="000A7D9D" w:rsidP="00F31937">
            <w:pPr>
              <w:spacing w:before="120" w:after="120"/>
              <w:rPr>
                <w:rFonts w:ascii="Times New Roman" w:hAnsi="Times New Roman"/>
                <w:b/>
                <w:bCs/>
                <w:noProof/>
                <w:color w:val="000000" w:themeColor="text1"/>
                <w:sz w:val="24"/>
                <w:szCs w:val="24"/>
              </w:rPr>
            </w:pPr>
            <w:r w:rsidRPr="00207447">
              <w:rPr>
                <w:rFonts w:ascii="Times New Roman" w:hAnsi="Times New Roman"/>
                <w:b/>
                <w:bCs/>
                <w:noProof/>
                <w:color w:val="000000" w:themeColor="text1"/>
                <w:sz w:val="24"/>
                <w:szCs w:val="24"/>
              </w:rPr>
              <w:t>Scientific consistency</w:t>
            </w:r>
          </w:p>
        </w:tc>
        <w:tc>
          <w:tcPr>
            <w:tcW w:w="1057" w:type="dxa"/>
          </w:tcPr>
          <w:p w14:paraId="73AF1798" w14:textId="77777777" w:rsidR="000A7D9D" w:rsidRPr="00207447" w:rsidRDefault="000A7D9D" w:rsidP="00F31937">
            <w:pPr>
              <w:spacing w:before="120" w:after="120"/>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High</w:t>
            </w:r>
          </w:p>
        </w:tc>
        <w:tc>
          <w:tcPr>
            <w:tcW w:w="6750" w:type="dxa"/>
          </w:tcPr>
          <w:p w14:paraId="1F2915B0" w14:textId="77777777" w:rsidR="000A7D9D" w:rsidRPr="00207447" w:rsidRDefault="000A7D9D" w:rsidP="00F31937">
            <w:pPr>
              <w:spacing w:before="120" w:after="120"/>
              <w:rPr>
                <w:rFonts w:ascii="Times New Roman" w:hAnsi="Times New Roman"/>
                <w:noProof/>
                <w:color w:val="000000" w:themeColor="text1"/>
                <w:sz w:val="24"/>
                <w:szCs w:val="24"/>
              </w:rPr>
            </w:pPr>
            <w:r w:rsidRPr="00207447">
              <w:rPr>
                <w:rFonts w:ascii="Times New Roman" w:hAnsi="Times New Roman"/>
                <w:noProof/>
                <w:color w:val="000000" w:themeColor="text1"/>
                <w:sz w:val="24"/>
                <w:szCs w:val="24"/>
              </w:rPr>
              <w:t xml:space="preserve">Opportunity to align the formats and storing practices and thus ensure interoperability. </w:t>
            </w:r>
          </w:p>
        </w:tc>
      </w:tr>
    </w:tbl>
    <w:p w14:paraId="3B5EDE21" w14:textId="77777777" w:rsidR="000A7D9D" w:rsidRPr="00207447" w:rsidRDefault="000A7D9D" w:rsidP="000A7D9D">
      <w:pPr>
        <w:pStyle w:val="BodyText"/>
        <w:spacing w:before="120"/>
        <w:jc w:val="both"/>
        <w:rPr>
          <w:noProof/>
        </w:rPr>
      </w:pPr>
      <w:r w:rsidRPr="00207447">
        <w:rPr>
          <w:b/>
          <w:bCs/>
          <w:noProof/>
        </w:rPr>
        <w:t>Main risks and opportunities:</w:t>
      </w:r>
      <w:r w:rsidRPr="00207447">
        <w:rPr>
          <w:noProof/>
        </w:rPr>
        <w:t xml:space="preserve"> </w:t>
      </w:r>
    </w:p>
    <w:p w14:paraId="417C6F21" w14:textId="77777777" w:rsidR="000A7D9D" w:rsidRPr="00207447" w:rsidRDefault="000A7D9D" w:rsidP="000A7D9D">
      <w:pPr>
        <w:pStyle w:val="BodyText"/>
        <w:jc w:val="both"/>
        <w:rPr>
          <w:noProof/>
        </w:rPr>
      </w:pPr>
      <w:r w:rsidRPr="00207447">
        <w:rPr>
          <w:i/>
          <w:iCs/>
          <w:noProof/>
        </w:rPr>
        <w:t xml:space="preserve">Task 1: </w:t>
      </w:r>
      <w:r w:rsidRPr="00207447">
        <w:rPr>
          <w:noProof/>
        </w:rPr>
        <w:t>The risk assessment to be applied for the development of concentration limits is a mixture of hazard and socio-economic analysis with a strong focus on technical waste-related aspects, for which ECHA does not have a ready expertise. Commission and other stakeholders would benefit from ECHA’s extensive knowledge on hazard and risk assessment as well as of socio-economic analysis; As production shifts from primary to secondary raw materials, it would be an opportunity for ECHA to better understand the related hazards and risks as substances/materials re-enter supply chains under REACH jurisdictions or, when this is not possible, are disposed of in an environmentally sound manner, as waste.</w:t>
      </w:r>
    </w:p>
    <w:p w14:paraId="5DC02857" w14:textId="77777777" w:rsidR="000A7D9D" w:rsidRPr="00207447" w:rsidRDefault="000A7D9D" w:rsidP="000A7D9D">
      <w:pPr>
        <w:pStyle w:val="BodyText"/>
        <w:jc w:val="both"/>
        <w:rPr>
          <w:noProof/>
        </w:rPr>
      </w:pPr>
      <w:r w:rsidRPr="00207447">
        <w:rPr>
          <w:i/>
          <w:iCs/>
          <w:noProof/>
        </w:rPr>
        <w:t>Task 2:</w:t>
      </w:r>
      <w:r w:rsidRPr="00207447">
        <w:rPr>
          <w:noProof/>
        </w:rPr>
        <w:t xml:space="preserve"> If and when the legislative proposal on revision of water legislation made in October 2022 will be adopted, there is an opportunity to completely abandon the reporting of monitoring data under the POP regulation as the data will be reported under new provisions of water legislation. There is a clear opportunity from consolidating the chemical monitoring data in the environment and humans in EEA. </w:t>
      </w:r>
    </w:p>
    <w:p w14:paraId="2FD88C44" w14:textId="77777777" w:rsidR="000A7D9D" w:rsidRPr="00207447" w:rsidRDefault="000A7D9D" w:rsidP="000A7D9D">
      <w:pPr>
        <w:pStyle w:val="BodyText"/>
        <w:rPr>
          <w:i/>
          <w:iCs/>
          <w:noProof/>
        </w:rPr>
      </w:pPr>
      <w:r w:rsidRPr="00207447">
        <w:rPr>
          <w:b/>
          <w:bCs/>
          <w:noProof/>
        </w:rPr>
        <w:t>Projected impact on Agencies:</w:t>
      </w:r>
    </w:p>
    <w:p w14:paraId="2189CD71" w14:textId="77777777" w:rsidR="000A7D9D" w:rsidRPr="00207447" w:rsidRDefault="000A7D9D" w:rsidP="000A7D9D">
      <w:pPr>
        <w:pStyle w:val="BodyText"/>
        <w:rPr>
          <w:i/>
          <w:iCs/>
          <w:noProof/>
        </w:rPr>
      </w:pPr>
      <w:r w:rsidRPr="00207447">
        <w:rPr>
          <w:i/>
          <w:iCs/>
          <w:noProof/>
        </w:rPr>
        <w:t>ECHA (Task 1):</w:t>
      </w:r>
    </w:p>
    <w:p w14:paraId="3E9B3F7E" w14:textId="77777777" w:rsidR="000A7D9D" w:rsidRPr="00207447" w:rsidRDefault="000A7D9D" w:rsidP="000A7D9D">
      <w:pPr>
        <w:pStyle w:val="ListParagraph"/>
        <w:widowControl w:val="0"/>
        <w:numPr>
          <w:ilvl w:val="0"/>
          <w:numId w:val="88"/>
        </w:numPr>
        <w:spacing w:after="120"/>
        <w:rPr>
          <w:noProof/>
        </w:rPr>
      </w:pPr>
      <w:r w:rsidRPr="00207447">
        <w:rPr>
          <w:noProof/>
        </w:rPr>
        <w:t xml:space="preserve">ECHA Committees/bodies: </w:t>
      </w:r>
      <w:r w:rsidRPr="00207447">
        <w:rPr>
          <w:b/>
          <w:bCs/>
          <w:noProof/>
        </w:rPr>
        <w:t xml:space="preserve">medium impact. </w:t>
      </w:r>
      <w:r w:rsidRPr="00207447">
        <w:rPr>
          <w:noProof/>
        </w:rPr>
        <w:t>The task generates medium impact on the setup / organisation / staffing of Committees/bodies due to the additional workload</w:t>
      </w:r>
      <w:r w:rsidRPr="00207447">
        <w:rPr>
          <w:b/>
          <w:bCs/>
          <w:noProof/>
        </w:rPr>
        <w:t xml:space="preserve"> </w:t>
      </w:r>
      <w:r w:rsidRPr="00207447">
        <w:rPr>
          <w:noProof/>
        </w:rPr>
        <w:t xml:space="preserve">The task requires involvement of SEAC committee </w:t>
      </w:r>
    </w:p>
    <w:tbl>
      <w:tblPr>
        <w:tblStyle w:val="TableGrid"/>
        <w:tblW w:w="0" w:type="auto"/>
        <w:tblInd w:w="562" w:type="dxa"/>
        <w:tblLook w:val="04A0" w:firstRow="1" w:lastRow="0" w:firstColumn="1" w:lastColumn="0" w:noHBand="0" w:noVBand="1"/>
      </w:tblPr>
      <w:tblGrid>
        <w:gridCol w:w="1673"/>
        <w:gridCol w:w="1084"/>
        <w:gridCol w:w="1363"/>
        <w:gridCol w:w="1130"/>
        <w:gridCol w:w="1133"/>
        <w:gridCol w:w="1416"/>
        <w:gridCol w:w="1268"/>
      </w:tblGrid>
      <w:tr w:rsidR="000A7D9D" w:rsidRPr="00207447" w14:paraId="37847553" w14:textId="77777777" w:rsidTr="00F31937">
        <w:trPr>
          <w:trHeight w:val="300"/>
        </w:trPr>
        <w:tc>
          <w:tcPr>
            <w:tcW w:w="1696" w:type="dxa"/>
          </w:tcPr>
          <w:p w14:paraId="64DF9DA3" w14:textId="77777777" w:rsidR="000A7D9D" w:rsidRPr="00207447" w:rsidRDefault="000A7D9D" w:rsidP="00F31937">
            <w:pPr>
              <w:pStyle w:val="BodyText"/>
              <w:rPr>
                <w:b/>
                <w:bCs/>
                <w:noProof/>
              </w:rPr>
            </w:pPr>
          </w:p>
        </w:tc>
        <w:tc>
          <w:tcPr>
            <w:tcW w:w="1076" w:type="dxa"/>
          </w:tcPr>
          <w:p w14:paraId="71AF6063" w14:textId="77777777" w:rsidR="000A7D9D" w:rsidRPr="00207447" w:rsidRDefault="000A7D9D" w:rsidP="00F31937">
            <w:pPr>
              <w:pStyle w:val="BodyText"/>
              <w:rPr>
                <w:b/>
                <w:bCs/>
                <w:noProof/>
              </w:rPr>
            </w:pPr>
            <w:r w:rsidRPr="00207447">
              <w:rPr>
                <w:b/>
                <w:bCs/>
                <w:noProof/>
              </w:rPr>
              <w:t>RAC</w:t>
            </w:r>
          </w:p>
        </w:tc>
        <w:tc>
          <w:tcPr>
            <w:tcW w:w="1338" w:type="dxa"/>
          </w:tcPr>
          <w:p w14:paraId="70119E90" w14:textId="77777777" w:rsidR="000A7D9D" w:rsidRPr="00207447" w:rsidRDefault="000A7D9D" w:rsidP="00F31937">
            <w:pPr>
              <w:pStyle w:val="BodyText"/>
              <w:rPr>
                <w:b/>
                <w:bCs/>
                <w:noProof/>
              </w:rPr>
            </w:pPr>
          </w:p>
        </w:tc>
        <w:tc>
          <w:tcPr>
            <w:tcW w:w="1134" w:type="dxa"/>
          </w:tcPr>
          <w:p w14:paraId="6EFCEA07" w14:textId="77777777" w:rsidR="000A7D9D" w:rsidRPr="00207447" w:rsidRDefault="000A7D9D" w:rsidP="00F31937">
            <w:pPr>
              <w:pStyle w:val="BodyText"/>
              <w:rPr>
                <w:b/>
                <w:bCs/>
                <w:noProof/>
              </w:rPr>
            </w:pPr>
          </w:p>
        </w:tc>
        <w:tc>
          <w:tcPr>
            <w:tcW w:w="1134" w:type="dxa"/>
          </w:tcPr>
          <w:p w14:paraId="77AB0826" w14:textId="77777777" w:rsidR="000A7D9D" w:rsidRPr="00207447" w:rsidRDefault="000A7D9D" w:rsidP="00F31937">
            <w:pPr>
              <w:pStyle w:val="BodyText"/>
              <w:rPr>
                <w:b/>
                <w:bCs/>
                <w:noProof/>
              </w:rPr>
            </w:pPr>
            <w:r w:rsidRPr="00207447">
              <w:rPr>
                <w:b/>
                <w:bCs/>
                <w:noProof/>
              </w:rPr>
              <w:t>SEAC</w:t>
            </w:r>
          </w:p>
        </w:tc>
        <w:tc>
          <w:tcPr>
            <w:tcW w:w="1418" w:type="dxa"/>
          </w:tcPr>
          <w:p w14:paraId="77649283" w14:textId="77777777" w:rsidR="000A7D9D" w:rsidRPr="00207447" w:rsidRDefault="000A7D9D" w:rsidP="00F31937">
            <w:pPr>
              <w:pStyle w:val="BodyText"/>
              <w:rPr>
                <w:b/>
                <w:bCs/>
                <w:noProof/>
              </w:rPr>
            </w:pPr>
          </w:p>
        </w:tc>
        <w:tc>
          <w:tcPr>
            <w:tcW w:w="1276" w:type="dxa"/>
          </w:tcPr>
          <w:p w14:paraId="68559D67" w14:textId="77777777" w:rsidR="000A7D9D" w:rsidRPr="00207447" w:rsidRDefault="000A7D9D" w:rsidP="00F31937">
            <w:pPr>
              <w:pStyle w:val="BodyText"/>
              <w:rPr>
                <w:b/>
                <w:bCs/>
                <w:noProof/>
              </w:rPr>
            </w:pPr>
          </w:p>
        </w:tc>
      </w:tr>
      <w:tr w:rsidR="000A7D9D" w:rsidRPr="00207447" w14:paraId="66D68C4C" w14:textId="77777777" w:rsidTr="00F31937">
        <w:trPr>
          <w:trHeight w:val="300"/>
        </w:trPr>
        <w:tc>
          <w:tcPr>
            <w:tcW w:w="1696" w:type="dxa"/>
          </w:tcPr>
          <w:p w14:paraId="6F95C31F" w14:textId="77777777" w:rsidR="000A7D9D" w:rsidRPr="00207447" w:rsidRDefault="000A7D9D" w:rsidP="00F31937">
            <w:pPr>
              <w:pStyle w:val="BodyText"/>
              <w:rPr>
                <w:b/>
                <w:bCs/>
                <w:noProof/>
              </w:rPr>
            </w:pPr>
          </w:p>
        </w:tc>
        <w:tc>
          <w:tcPr>
            <w:tcW w:w="1076" w:type="dxa"/>
          </w:tcPr>
          <w:p w14:paraId="5F6B7186" w14:textId="77777777" w:rsidR="000A7D9D" w:rsidRPr="00207447" w:rsidRDefault="000A7D9D" w:rsidP="00F31937">
            <w:pPr>
              <w:pStyle w:val="BodyText"/>
              <w:rPr>
                <w:b/>
                <w:bCs/>
                <w:noProof/>
              </w:rPr>
            </w:pPr>
            <w:r w:rsidRPr="00207447">
              <w:rPr>
                <w:b/>
                <w:bCs/>
                <w:noProof/>
              </w:rPr>
              <w:t># of opinions per year</w:t>
            </w:r>
          </w:p>
        </w:tc>
        <w:tc>
          <w:tcPr>
            <w:tcW w:w="1338" w:type="dxa"/>
          </w:tcPr>
          <w:p w14:paraId="37EF05DC" w14:textId="77777777" w:rsidR="000A7D9D" w:rsidRPr="00207447" w:rsidRDefault="000A7D9D" w:rsidP="00F31937">
            <w:pPr>
              <w:pStyle w:val="BodyText"/>
              <w:rPr>
                <w:b/>
                <w:bCs/>
                <w:noProof/>
              </w:rPr>
            </w:pPr>
            <w:r w:rsidRPr="00207447">
              <w:rPr>
                <w:b/>
                <w:bCs/>
                <w:noProof/>
              </w:rPr>
              <w:t>rapporteur</w:t>
            </w:r>
          </w:p>
        </w:tc>
        <w:tc>
          <w:tcPr>
            <w:tcW w:w="1134" w:type="dxa"/>
          </w:tcPr>
          <w:p w14:paraId="67C09D24" w14:textId="77777777" w:rsidR="000A7D9D" w:rsidRPr="00207447" w:rsidRDefault="000A7D9D" w:rsidP="00F31937">
            <w:pPr>
              <w:pStyle w:val="BodyText"/>
              <w:rPr>
                <w:b/>
                <w:bCs/>
                <w:noProof/>
              </w:rPr>
            </w:pPr>
            <w:r w:rsidRPr="00207447">
              <w:rPr>
                <w:b/>
                <w:bCs/>
                <w:noProof/>
              </w:rPr>
              <w:t>Type of opinion</w:t>
            </w:r>
          </w:p>
        </w:tc>
        <w:tc>
          <w:tcPr>
            <w:tcW w:w="1134" w:type="dxa"/>
          </w:tcPr>
          <w:p w14:paraId="63594E36" w14:textId="77777777" w:rsidR="000A7D9D" w:rsidRPr="00207447" w:rsidRDefault="000A7D9D" w:rsidP="00F31937">
            <w:pPr>
              <w:pStyle w:val="BodyText"/>
              <w:rPr>
                <w:b/>
                <w:bCs/>
                <w:noProof/>
              </w:rPr>
            </w:pPr>
            <w:r w:rsidRPr="00207447">
              <w:rPr>
                <w:b/>
                <w:bCs/>
                <w:noProof/>
              </w:rPr>
              <w:t># of opinions per year</w:t>
            </w:r>
          </w:p>
        </w:tc>
        <w:tc>
          <w:tcPr>
            <w:tcW w:w="1418" w:type="dxa"/>
          </w:tcPr>
          <w:p w14:paraId="741A492D" w14:textId="77777777" w:rsidR="000A7D9D" w:rsidRPr="00207447" w:rsidRDefault="000A7D9D" w:rsidP="00F31937">
            <w:pPr>
              <w:pStyle w:val="BodyText"/>
              <w:rPr>
                <w:b/>
                <w:bCs/>
                <w:noProof/>
              </w:rPr>
            </w:pPr>
            <w:r w:rsidRPr="00207447">
              <w:rPr>
                <w:b/>
                <w:bCs/>
                <w:noProof/>
              </w:rPr>
              <w:t>rapporteur</w:t>
            </w:r>
          </w:p>
        </w:tc>
        <w:tc>
          <w:tcPr>
            <w:tcW w:w="1276" w:type="dxa"/>
          </w:tcPr>
          <w:p w14:paraId="2F764234" w14:textId="77777777" w:rsidR="000A7D9D" w:rsidRPr="00207447" w:rsidRDefault="000A7D9D" w:rsidP="00F31937">
            <w:pPr>
              <w:pStyle w:val="BodyText"/>
              <w:rPr>
                <w:b/>
                <w:bCs/>
                <w:noProof/>
              </w:rPr>
            </w:pPr>
            <w:r w:rsidRPr="00207447">
              <w:rPr>
                <w:b/>
                <w:bCs/>
                <w:noProof/>
              </w:rPr>
              <w:t>Type of opinion</w:t>
            </w:r>
          </w:p>
        </w:tc>
      </w:tr>
      <w:tr w:rsidR="000A7D9D" w:rsidRPr="00207447" w14:paraId="1EFCDDF8" w14:textId="77777777" w:rsidTr="00F31937">
        <w:trPr>
          <w:trHeight w:val="300"/>
        </w:trPr>
        <w:tc>
          <w:tcPr>
            <w:tcW w:w="1696" w:type="dxa"/>
          </w:tcPr>
          <w:p w14:paraId="4FD11D6B" w14:textId="77777777" w:rsidR="000A7D9D" w:rsidRPr="00207447" w:rsidRDefault="000A7D9D" w:rsidP="00F31937">
            <w:pPr>
              <w:pStyle w:val="BodyText"/>
              <w:spacing w:line="259" w:lineRule="auto"/>
              <w:rPr>
                <w:noProof/>
              </w:rPr>
            </w:pPr>
            <w:r w:rsidRPr="00207447">
              <w:rPr>
                <w:noProof/>
              </w:rPr>
              <w:t>Setting waste limit values in Annex IV and V</w:t>
            </w:r>
          </w:p>
        </w:tc>
        <w:tc>
          <w:tcPr>
            <w:tcW w:w="1076" w:type="dxa"/>
          </w:tcPr>
          <w:p w14:paraId="24627B99" w14:textId="77777777" w:rsidR="000A7D9D" w:rsidRPr="00207447" w:rsidRDefault="000A7D9D" w:rsidP="00F31937">
            <w:pPr>
              <w:pStyle w:val="BodyText"/>
              <w:spacing w:line="259" w:lineRule="auto"/>
              <w:rPr>
                <w:noProof/>
              </w:rPr>
            </w:pPr>
            <w:r w:rsidRPr="00207447">
              <w:rPr>
                <w:noProof/>
              </w:rPr>
              <w:t>0</w:t>
            </w:r>
          </w:p>
        </w:tc>
        <w:tc>
          <w:tcPr>
            <w:tcW w:w="1338" w:type="dxa"/>
          </w:tcPr>
          <w:p w14:paraId="712C5B5F" w14:textId="77777777" w:rsidR="000A7D9D" w:rsidRPr="00207447" w:rsidRDefault="000A7D9D" w:rsidP="00F31937">
            <w:pPr>
              <w:pStyle w:val="BodyText"/>
              <w:rPr>
                <w:noProof/>
              </w:rPr>
            </w:pPr>
          </w:p>
        </w:tc>
        <w:tc>
          <w:tcPr>
            <w:tcW w:w="1134" w:type="dxa"/>
          </w:tcPr>
          <w:p w14:paraId="4DBA2D98" w14:textId="77777777" w:rsidR="000A7D9D" w:rsidRPr="00207447" w:rsidRDefault="000A7D9D" w:rsidP="00F31937">
            <w:pPr>
              <w:pStyle w:val="BodyText"/>
              <w:rPr>
                <w:noProof/>
              </w:rPr>
            </w:pPr>
          </w:p>
        </w:tc>
        <w:tc>
          <w:tcPr>
            <w:tcW w:w="1134" w:type="dxa"/>
          </w:tcPr>
          <w:p w14:paraId="7A73F137" w14:textId="77777777" w:rsidR="000A7D9D" w:rsidRPr="00207447" w:rsidRDefault="000A7D9D" w:rsidP="00F31937">
            <w:pPr>
              <w:pStyle w:val="BodyText"/>
              <w:spacing w:line="259" w:lineRule="auto"/>
              <w:rPr>
                <w:noProof/>
              </w:rPr>
            </w:pPr>
            <w:r w:rsidRPr="00207447">
              <w:rPr>
                <w:noProof/>
              </w:rPr>
              <w:t>2</w:t>
            </w:r>
          </w:p>
        </w:tc>
        <w:tc>
          <w:tcPr>
            <w:tcW w:w="1418" w:type="dxa"/>
          </w:tcPr>
          <w:p w14:paraId="4CF9B262" w14:textId="77777777" w:rsidR="000A7D9D" w:rsidRPr="00207447" w:rsidRDefault="000A7D9D" w:rsidP="00F31937">
            <w:pPr>
              <w:pStyle w:val="BodyText"/>
              <w:spacing w:line="259" w:lineRule="auto"/>
              <w:rPr>
                <w:noProof/>
              </w:rPr>
            </w:pPr>
            <w:r w:rsidRPr="00207447">
              <w:rPr>
                <w:noProof/>
              </w:rPr>
              <w:t>ECHA</w:t>
            </w:r>
          </w:p>
        </w:tc>
        <w:tc>
          <w:tcPr>
            <w:tcW w:w="1276" w:type="dxa"/>
          </w:tcPr>
          <w:p w14:paraId="223D268E" w14:textId="77777777" w:rsidR="000A7D9D" w:rsidRPr="00207447" w:rsidRDefault="000A7D9D" w:rsidP="00F31937">
            <w:pPr>
              <w:pStyle w:val="BodyText"/>
              <w:rPr>
                <w:noProof/>
              </w:rPr>
            </w:pPr>
          </w:p>
        </w:tc>
      </w:tr>
    </w:tbl>
    <w:p w14:paraId="65DC3867" w14:textId="77777777" w:rsidR="000A7D9D" w:rsidRPr="00207447" w:rsidRDefault="000A7D9D" w:rsidP="000A7D9D">
      <w:pPr>
        <w:pStyle w:val="BodyText"/>
        <w:widowControl w:val="0"/>
        <w:numPr>
          <w:ilvl w:val="0"/>
          <w:numId w:val="88"/>
        </w:numPr>
        <w:spacing w:before="120"/>
        <w:ind w:left="714" w:hanging="357"/>
        <w:jc w:val="both"/>
        <w:rPr>
          <w:b/>
          <w:bCs/>
          <w:noProof/>
        </w:rPr>
      </w:pPr>
      <w:r w:rsidRPr="00207447">
        <w:rPr>
          <w:noProof/>
        </w:rPr>
        <w:t xml:space="preserve">ECHA data model and IT infrastructure: </w:t>
      </w:r>
      <w:r w:rsidRPr="00207447">
        <w:rPr>
          <w:b/>
          <w:bCs/>
          <w:noProof/>
        </w:rPr>
        <w:t>low impact</w:t>
      </w:r>
      <w:r w:rsidRPr="00207447">
        <w:rPr>
          <w:noProof/>
        </w:rPr>
        <w:t>. The task can be implemented with adjustments / configuration of existing data structures and IT systems</w:t>
      </w:r>
    </w:p>
    <w:p w14:paraId="4C6CA1EE" w14:textId="77777777" w:rsidR="000A7D9D" w:rsidRPr="00207447" w:rsidRDefault="000A7D9D" w:rsidP="000A7D9D">
      <w:pPr>
        <w:pStyle w:val="BodyText"/>
        <w:widowControl w:val="0"/>
        <w:numPr>
          <w:ilvl w:val="0"/>
          <w:numId w:val="88"/>
        </w:numPr>
        <w:jc w:val="both"/>
        <w:rPr>
          <w:noProof/>
        </w:rPr>
      </w:pPr>
      <w:r w:rsidRPr="00207447">
        <w:rPr>
          <w:noProof/>
        </w:rPr>
        <w:t>ECHA key experts:</w:t>
      </w:r>
      <w:r w:rsidRPr="00207447">
        <w:rPr>
          <w:b/>
          <w:bCs/>
          <w:noProof/>
        </w:rPr>
        <w:t xml:space="preserve"> high impact</w:t>
      </w:r>
      <w:r w:rsidRPr="00207447">
        <w:rPr>
          <w:noProof/>
        </w:rPr>
        <w:t xml:space="preserve">. The task heavily relies on expert competencies, which are limited within ECHA and also critical to REACH/CLP/BPR regulatory tasks. New expertise will need to be built to cover waste management. </w:t>
      </w:r>
    </w:p>
    <w:p w14:paraId="7E8D117B" w14:textId="77777777" w:rsidR="000A7D9D" w:rsidRPr="00207447" w:rsidDel="00E9486A" w:rsidRDefault="000A7D9D" w:rsidP="000A7D9D">
      <w:pPr>
        <w:pStyle w:val="BodyText"/>
        <w:rPr>
          <w:i/>
          <w:iCs/>
          <w:noProof/>
        </w:rPr>
      </w:pPr>
      <w:r w:rsidRPr="00207447">
        <w:rPr>
          <w:i/>
          <w:iCs/>
          <w:noProof/>
        </w:rPr>
        <w:t>EEA (Task 2):</w:t>
      </w:r>
    </w:p>
    <w:p w14:paraId="04E49CB7" w14:textId="77777777" w:rsidR="000A7D9D" w:rsidRPr="00207447" w:rsidRDefault="000A7D9D" w:rsidP="000A7D9D">
      <w:pPr>
        <w:pStyle w:val="ListParagraph"/>
        <w:widowControl w:val="0"/>
        <w:numPr>
          <w:ilvl w:val="0"/>
          <w:numId w:val="88"/>
        </w:numPr>
        <w:spacing w:after="120"/>
        <w:jc w:val="both"/>
        <w:rPr>
          <w:b/>
          <w:bCs/>
          <w:noProof/>
        </w:rPr>
      </w:pPr>
      <w:r w:rsidRPr="00207447">
        <w:rPr>
          <w:noProof/>
        </w:rPr>
        <w:t xml:space="preserve">EEA Committees/bodies: </w:t>
      </w:r>
      <w:r w:rsidRPr="00207447">
        <w:rPr>
          <w:b/>
          <w:bCs/>
          <w:noProof/>
        </w:rPr>
        <w:t>no impact</w:t>
      </w:r>
      <w:r w:rsidRPr="00207447">
        <w:rPr>
          <w:noProof/>
        </w:rPr>
        <w:t>.  The task does not require involvement of EEA Committees/bodies</w:t>
      </w:r>
    </w:p>
    <w:p w14:paraId="515CC3DD" w14:textId="77777777" w:rsidR="000A7D9D" w:rsidRPr="00207447" w:rsidRDefault="000A7D9D" w:rsidP="000A7D9D">
      <w:pPr>
        <w:pStyle w:val="BodyText"/>
        <w:widowControl w:val="0"/>
        <w:numPr>
          <w:ilvl w:val="0"/>
          <w:numId w:val="88"/>
        </w:numPr>
        <w:jc w:val="both"/>
        <w:rPr>
          <w:b/>
          <w:bCs/>
          <w:noProof/>
        </w:rPr>
      </w:pPr>
      <w:r w:rsidRPr="00207447">
        <w:rPr>
          <w:noProof/>
        </w:rPr>
        <w:t xml:space="preserve">EEA data model and IT infrastructure: </w:t>
      </w:r>
      <w:r w:rsidRPr="00207447">
        <w:rPr>
          <w:b/>
          <w:bCs/>
          <w:noProof/>
        </w:rPr>
        <w:t>low impact</w:t>
      </w:r>
      <w:r w:rsidRPr="00207447">
        <w:rPr>
          <w:noProof/>
        </w:rPr>
        <w:t>. The task can be implemented with adjustments / configuration of existing data structures and IT systems</w:t>
      </w:r>
    </w:p>
    <w:p w14:paraId="6ED2D5A4" w14:textId="77777777" w:rsidR="000A7D9D" w:rsidRPr="00207447" w:rsidRDefault="000A7D9D" w:rsidP="000A7D9D">
      <w:pPr>
        <w:pStyle w:val="BodyText"/>
        <w:widowControl w:val="0"/>
        <w:numPr>
          <w:ilvl w:val="0"/>
          <w:numId w:val="88"/>
        </w:numPr>
        <w:jc w:val="both"/>
        <w:rPr>
          <w:noProof/>
        </w:rPr>
      </w:pPr>
      <w:r w:rsidRPr="00207447">
        <w:rPr>
          <w:noProof/>
        </w:rPr>
        <w:t>EEA key experts:</w:t>
      </w:r>
      <w:r w:rsidRPr="00207447">
        <w:rPr>
          <w:b/>
          <w:bCs/>
          <w:noProof/>
        </w:rPr>
        <w:t xml:space="preserve"> low impact</w:t>
      </w:r>
      <w:r w:rsidRPr="00207447">
        <w:rPr>
          <w:noProof/>
        </w:rPr>
        <w:t xml:space="preserve">. The task relies on the expertise that already exists in the agency. </w:t>
      </w:r>
    </w:p>
    <w:p w14:paraId="295AE50C" w14:textId="77777777" w:rsidR="000A7D9D" w:rsidRPr="00207447" w:rsidRDefault="000A7D9D" w:rsidP="000A7D9D">
      <w:pPr>
        <w:pStyle w:val="BodyText"/>
        <w:rPr>
          <w:noProof/>
        </w:rPr>
      </w:pPr>
      <w:r w:rsidRPr="00207447">
        <w:rPr>
          <w:b/>
          <w:bCs/>
          <w:noProof/>
        </w:rPr>
        <w:t>Workload and resource implications:</w:t>
      </w:r>
      <w:r w:rsidRPr="00207447">
        <w:rPr>
          <w:noProof/>
        </w:rPr>
        <w:t xml:space="preserve"> </w:t>
      </w:r>
    </w:p>
    <w:p w14:paraId="1F11C990" w14:textId="77777777" w:rsidR="000A7D9D" w:rsidRPr="00207447" w:rsidRDefault="000A7D9D" w:rsidP="000A7D9D">
      <w:pPr>
        <w:spacing w:before="120" w:after="120"/>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Current workload and resource use:</w:t>
      </w:r>
    </w:p>
    <w:p w14:paraId="086E68BD" w14:textId="77777777" w:rsidR="000A7D9D" w:rsidRPr="00207447" w:rsidRDefault="000A7D9D" w:rsidP="000A7D9D">
      <w:pPr>
        <w:spacing w:after="120"/>
        <w:jc w:val="both"/>
        <w:rPr>
          <w:rFonts w:ascii="Times New Roman" w:eastAsia="Calibri" w:hAnsi="Times New Roman" w:cs="Times New Roman"/>
          <w:noProof/>
          <w:sz w:val="24"/>
          <w:szCs w:val="24"/>
        </w:rPr>
      </w:pPr>
      <w:r w:rsidRPr="00207447">
        <w:rPr>
          <w:rFonts w:ascii="Times New Roman" w:eastAsia="Calibri" w:hAnsi="Times New Roman" w:cs="Times New Roman"/>
          <w:noProof/>
          <w:sz w:val="24"/>
          <w:szCs w:val="24"/>
        </w:rPr>
        <w:t>Currently, there are 25 limit values for individual substances or groups of substances. The workload driver is adding substances to the Stockholm Convention (new POP is also new entry here). The experience shows that about 2 substances are added to Stockholm Convention every 2 years. Another workload driver are review clauses that are added to substances, usually to be reviewed after 5 years. This depends on the initiative of the Commission. Changes in exemptions may also influence the need for an Annex IV review (due to changes in Annex A or B of the Stockholm Convention), but not so often. For both, reviews and changes in exemptions, the workload is lower compared to developing limit values for new substances as all the basic work has already been done.</w:t>
      </w:r>
    </w:p>
    <w:p w14:paraId="0EB4E2D2" w14:textId="77777777" w:rsidR="000A7D9D" w:rsidRPr="00207447" w:rsidRDefault="000A7D9D" w:rsidP="000A7D9D">
      <w:pPr>
        <w:spacing w:after="120"/>
        <w:jc w:val="both"/>
        <w:rPr>
          <w:rFonts w:ascii="Times New Roman" w:hAnsi="Times New Roman" w:cs="Times New Roman"/>
          <w:noProof/>
          <w:sz w:val="24"/>
          <w:szCs w:val="24"/>
        </w:rPr>
      </w:pPr>
      <w:r w:rsidRPr="00207447">
        <w:rPr>
          <w:rFonts w:ascii="Times New Roman" w:hAnsi="Times New Roman" w:cs="Times New Roman"/>
          <w:noProof/>
          <w:sz w:val="24"/>
          <w:szCs w:val="24"/>
        </w:rPr>
        <w:t>For the latest proposal to amend Annexes IV and V of the POP Regulation, COM (2021) 656 final, DG ENV used circa</w:t>
      </w:r>
      <w:r>
        <w:rPr>
          <w:rFonts w:ascii="Times New Roman" w:hAnsi="Times New Roman" w:cs="Times New Roman"/>
          <w:noProof/>
          <w:sz w:val="24"/>
          <w:szCs w:val="24"/>
        </w:rPr>
        <w:t xml:space="preserve"> EUR </w:t>
      </w:r>
      <w:r w:rsidRPr="00207447">
        <w:rPr>
          <w:rFonts w:ascii="Times New Roman" w:hAnsi="Times New Roman" w:cs="Times New Roman"/>
          <w:noProof/>
          <w:sz w:val="24"/>
          <w:szCs w:val="24"/>
        </w:rPr>
        <w:t>200</w:t>
      </w:r>
      <w:r>
        <w:rPr>
          <w:rFonts w:ascii="Times New Roman" w:hAnsi="Times New Roman" w:cs="Times New Roman"/>
          <w:noProof/>
          <w:sz w:val="24"/>
          <w:szCs w:val="24"/>
        </w:rPr>
        <w:t xml:space="preserve"> </w:t>
      </w:r>
      <w:r w:rsidRPr="00207447">
        <w:rPr>
          <w:rFonts w:ascii="Times New Roman" w:hAnsi="Times New Roman" w:cs="Times New Roman"/>
          <w:noProof/>
          <w:sz w:val="24"/>
          <w:szCs w:val="24"/>
        </w:rPr>
        <w:t xml:space="preserve">000 (but also relied on a preceding study of ca. </w:t>
      </w:r>
      <w:r>
        <w:rPr>
          <w:rFonts w:ascii="Times New Roman" w:hAnsi="Times New Roman" w:cs="Times New Roman"/>
          <w:noProof/>
          <w:sz w:val="24"/>
          <w:szCs w:val="24"/>
        </w:rPr>
        <w:t xml:space="preserve">EUR </w:t>
      </w:r>
      <w:r w:rsidRPr="00207447">
        <w:rPr>
          <w:rFonts w:ascii="Times New Roman" w:hAnsi="Times New Roman" w:cs="Times New Roman"/>
          <w:noProof/>
          <w:sz w:val="24"/>
          <w:szCs w:val="24"/>
        </w:rPr>
        <w:t>100</w:t>
      </w:r>
      <w:r>
        <w:rPr>
          <w:rFonts w:ascii="Times New Roman" w:hAnsi="Times New Roman" w:cs="Times New Roman"/>
          <w:noProof/>
          <w:sz w:val="24"/>
          <w:szCs w:val="24"/>
        </w:rPr>
        <w:t xml:space="preserve"> </w:t>
      </w:r>
      <w:r w:rsidRPr="00207447">
        <w:rPr>
          <w:rFonts w:ascii="Times New Roman" w:hAnsi="Times New Roman" w:cs="Times New Roman"/>
          <w:noProof/>
          <w:sz w:val="24"/>
          <w:szCs w:val="24"/>
        </w:rPr>
        <w:t>000 covering hazard / risk aspects) for the support study for the impact assessment with proposals for limit values for 8 substances:</w:t>
      </w:r>
    </w:p>
    <w:p w14:paraId="4C6E42B1" w14:textId="77777777" w:rsidR="000A7D9D" w:rsidRPr="00207447" w:rsidRDefault="000A7D9D" w:rsidP="000A7D9D">
      <w:pPr>
        <w:widowControl w:val="0"/>
        <w:numPr>
          <w:ilvl w:val="1"/>
          <w:numId w:val="100"/>
        </w:numPr>
        <w:spacing w:after="24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3 new and recently listed substances to the Stockholm Convention</w:t>
      </w:r>
    </w:p>
    <w:p w14:paraId="3D01672E" w14:textId="77777777" w:rsidR="000A7D9D" w:rsidRPr="00207447" w:rsidRDefault="000A7D9D" w:rsidP="000A7D9D">
      <w:pPr>
        <w:widowControl w:val="0"/>
        <w:numPr>
          <w:ilvl w:val="1"/>
          <w:numId w:val="100"/>
        </w:numPr>
        <w:spacing w:after="24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1 substance that was under consideration by the POP Review Committee of the Convention as a candidate (and which was added to Annex I in June 2022)</w:t>
      </w:r>
    </w:p>
    <w:p w14:paraId="79E0123E" w14:textId="77777777" w:rsidR="000A7D9D" w:rsidRPr="00207447" w:rsidRDefault="000A7D9D" w:rsidP="000A7D9D">
      <w:pPr>
        <w:widowControl w:val="0"/>
        <w:numPr>
          <w:ilvl w:val="1"/>
          <w:numId w:val="100"/>
        </w:numPr>
        <w:spacing w:after="24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2 substances already listed in the Annex IV POP Regulation for review</w:t>
      </w:r>
    </w:p>
    <w:p w14:paraId="2428E01E" w14:textId="77777777" w:rsidR="000A7D9D" w:rsidRPr="00207447" w:rsidRDefault="000A7D9D" w:rsidP="000A7D9D">
      <w:pPr>
        <w:widowControl w:val="0"/>
        <w:numPr>
          <w:ilvl w:val="1"/>
          <w:numId w:val="100"/>
        </w:numPr>
        <w:spacing w:after="120" w:line="240" w:lineRule="auto"/>
        <w:ind w:left="1077" w:hanging="357"/>
        <w:rPr>
          <w:rFonts w:ascii="Times New Roman" w:hAnsi="Times New Roman" w:cs="Times New Roman"/>
          <w:noProof/>
          <w:sz w:val="24"/>
          <w:szCs w:val="24"/>
        </w:rPr>
      </w:pPr>
      <w:r w:rsidRPr="120044EF">
        <w:rPr>
          <w:rFonts w:ascii="Times New Roman" w:hAnsi="Times New Roman" w:cs="Times New Roman"/>
          <w:noProof/>
          <w:sz w:val="24"/>
          <w:szCs w:val="24"/>
        </w:rPr>
        <w:t>2 substances already listed in the Annex IV POP Regulation for adaptation to scientific and technical progress</w:t>
      </w:r>
    </w:p>
    <w:p w14:paraId="4F2AA1A9" w14:textId="77777777" w:rsidR="000A7D9D" w:rsidRPr="00207447" w:rsidRDefault="000A7D9D" w:rsidP="000A7D9D">
      <w:pPr>
        <w:spacing w:after="120"/>
        <w:contextualSpacing/>
        <w:jc w:val="both"/>
        <w:rPr>
          <w:rFonts w:ascii="Times New Roman" w:hAnsi="Times New Roman" w:cs="Times New Roman"/>
          <w:noProof/>
          <w:sz w:val="24"/>
          <w:szCs w:val="24"/>
        </w:rPr>
      </w:pPr>
      <w:r w:rsidRPr="00207447">
        <w:rPr>
          <w:rFonts w:ascii="Times New Roman" w:hAnsi="Times New Roman" w:cs="Times New Roman"/>
          <w:noProof/>
          <w:sz w:val="24"/>
          <w:szCs w:val="24"/>
        </w:rPr>
        <w:t xml:space="preserve">20 % of the budget for this support study was dedicated to the update of information on mass flows associated with the POP substances in question and their presence in waste (earlier reports already identified these mass flows). 60 % of the budget for this support study was dedicated to the (i) compilation of information in support of the IA, (ii) stakeholder consultation activities, (iii) comparative assessment of the impact for each concentration limit option and (iv) the proposal and justification of the low POP concentration limits for the 8 substances. One desk officer in DG ENV worked on this task 50% for 3 years, plus contractors 3 staff for 1 year. The final impact assessment was written by the DG ENV staff member. DG ENV staff involvement further includes process until adoption by the College (RSB submission, ISC, etc) and involvement in the co-decision process (multiple interactions with the Working Party for the Environment of the Council, interaction with MEPs and MEP assistants in the ENVI Committee and participation in trilogues).  </w:t>
      </w:r>
    </w:p>
    <w:p w14:paraId="3188A42A" w14:textId="77777777" w:rsidR="000A7D9D" w:rsidRDefault="000A7D9D" w:rsidP="000A7D9D">
      <w:pPr>
        <w:spacing w:after="120"/>
        <w:contextualSpacing/>
        <w:rPr>
          <w:rFonts w:ascii="Times New Roman" w:hAnsi="Times New Roman" w:cs="Times New Roman"/>
          <w:noProof/>
          <w:sz w:val="24"/>
          <w:szCs w:val="24"/>
          <w:lang w:val="en-US"/>
        </w:rPr>
      </w:pPr>
      <w:r w:rsidRPr="00207447">
        <w:rPr>
          <w:rFonts w:ascii="Times New Roman" w:hAnsi="Times New Roman" w:cs="Times New Roman"/>
          <w:noProof/>
          <w:sz w:val="24"/>
          <w:szCs w:val="24"/>
          <w:lang w:val="en-US"/>
        </w:rPr>
        <w:t>The current resources spent by the Commission can be summarized as follows:</w:t>
      </w:r>
    </w:p>
    <w:p w14:paraId="620EBBF1" w14:textId="77777777" w:rsidR="000A7D9D" w:rsidRPr="00207447" w:rsidRDefault="000A7D9D" w:rsidP="000A7D9D">
      <w:pPr>
        <w:spacing w:after="120"/>
        <w:contextualSpacing/>
        <w:rPr>
          <w:rFonts w:ascii="Times New Roman" w:hAnsi="Times New Roman" w:cs="Times New Roman"/>
          <w:noProof/>
          <w:sz w:val="24"/>
          <w:szCs w:val="24"/>
          <w:lang w:val="en-US"/>
        </w:rPr>
      </w:pPr>
    </w:p>
    <w:tbl>
      <w:tblPr>
        <w:tblStyle w:val="TableGrid5"/>
        <w:tblW w:w="0" w:type="auto"/>
        <w:tblLook w:val="04A0" w:firstRow="1" w:lastRow="0" w:firstColumn="1" w:lastColumn="0" w:noHBand="0" w:noVBand="1"/>
      </w:tblPr>
      <w:tblGrid>
        <w:gridCol w:w="4811"/>
        <w:gridCol w:w="4818"/>
      </w:tblGrid>
      <w:tr w:rsidR="000A7D9D" w:rsidRPr="00207447" w14:paraId="7A0148CA" w14:textId="77777777" w:rsidTr="00F31937">
        <w:trPr>
          <w:trHeight w:val="300"/>
        </w:trPr>
        <w:tc>
          <w:tcPr>
            <w:tcW w:w="4811" w:type="dxa"/>
          </w:tcPr>
          <w:p w14:paraId="6A4D00D6" w14:textId="77777777" w:rsidR="000A7D9D" w:rsidRPr="00207447" w:rsidRDefault="000A7D9D" w:rsidP="00F31937">
            <w:pPr>
              <w:spacing w:after="120"/>
              <w:rPr>
                <w:rFonts w:ascii="Times New Roman" w:hAnsi="Times New Roman"/>
                <w:noProof/>
                <w:sz w:val="24"/>
                <w:szCs w:val="24"/>
              </w:rPr>
            </w:pPr>
            <w:r w:rsidRPr="00207447">
              <w:rPr>
                <w:rFonts w:ascii="Times New Roman" w:hAnsi="Times New Roman"/>
                <w:noProof/>
                <w:sz w:val="24"/>
                <w:szCs w:val="24"/>
              </w:rPr>
              <w:t>DG ENV</w:t>
            </w:r>
          </w:p>
        </w:tc>
        <w:tc>
          <w:tcPr>
            <w:tcW w:w="4818" w:type="dxa"/>
          </w:tcPr>
          <w:p w14:paraId="27260E5A" w14:textId="77777777" w:rsidR="000A7D9D" w:rsidRPr="00207447" w:rsidRDefault="000A7D9D" w:rsidP="00F31937">
            <w:pPr>
              <w:spacing w:after="120"/>
              <w:rPr>
                <w:rFonts w:ascii="Times New Roman" w:hAnsi="Times New Roman"/>
                <w:noProof/>
                <w:sz w:val="24"/>
                <w:szCs w:val="24"/>
              </w:rPr>
            </w:pPr>
            <w:r>
              <w:rPr>
                <w:rFonts w:ascii="Times New Roman" w:hAnsi="Times New Roman"/>
                <w:noProof/>
                <w:sz w:val="24"/>
                <w:szCs w:val="24"/>
              </w:rPr>
              <w:t>0.</w:t>
            </w:r>
            <w:r w:rsidRPr="00207447">
              <w:rPr>
                <w:rFonts w:ascii="Times New Roman" w:hAnsi="Times New Roman"/>
                <w:noProof/>
                <w:sz w:val="24"/>
                <w:szCs w:val="24"/>
              </w:rPr>
              <w:t>5 FTE per year</w:t>
            </w:r>
          </w:p>
        </w:tc>
      </w:tr>
      <w:tr w:rsidR="000A7D9D" w:rsidRPr="00207447" w14:paraId="10BBD16E" w14:textId="77777777" w:rsidTr="00F31937">
        <w:trPr>
          <w:trHeight w:val="300"/>
        </w:trPr>
        <w:tc>
          <w:tcPr>
            <w:tcW w:w="4811" w:type="dxa"/>
          </w:tcPr>
          <w:p w14:paraId="1E527322" w14:textId="77777777" w:rsidR="000A7D9D" w:rsidRPr="00207447" w:rsidRDefault="000A7D9D" w:rsidP="00F31937">
            <w:pPr>
              <w:spacing w:after="120"/>
              <w:rPr>
                <w:rFonts w:ascii="Times New Roman" w:hAnsi="Times New Roman"/>
                <w:noProof/>
                <w:sz w:val="24"/>
                <w:szCs w:val="24"/>
              </w:rPr>
            </w:pPr>
            <w:r w:rsidRPr="00207447">
              <w:rPr>
                <w:rFonts w:ascii="Times New Roman" w:hAnsi="Times New Roman"/>
                <w:noProof/>
                <w:sz w:val="24"/>
                <w:szCs w:val="24"/>
              </w:rPr>
              <w:t>DG ENV consultants</w:t>
            </w:r>
          </w:p>
        </w:tc>
        <w:tc>
          <w:tcPr>
            <w:tcW w:w="4818" w:type="dxa"/>
          </w:tcPr>
          <w:p w14:paraId="5C179BAB" w14:textId="77777777" w:rsidR="000A7D9D" w:rsidRPr="00207447" w:rsidRDefault="000A7D9D" w:rsidP="00F31937">
            <w:pPr>
              <w:spacing w:after="120"/>
              <w:rPr>
                <w:rFonts w:ascii="Times New Roman" w:hAnsi="Times New Roman"/>
                <w:noProof/>
                <w:sz w:val="24"/>
                <w:szCs w:val="24"/>
              </w:rPr>
            </w:pPr>
            <w:r w:rsidRPr="00207447">
              <w:rPr>
                <w:rFonts w:ascii="Times New Roman" w:hAnsi="Times New Roman"/>
                <w:noProof/>
                <w:sz w:val="24"/>
                <w:szCs w:val="24"/>
              </w:rPr>
              <w:t>4.5 FTE</w:t>
            </w:r>
            <w:r>
              <w:rPr>
                <w:rFonts w:ascii="Times New Roman" w:hAnsi="Times New Roman"/>
                <w:noProof/>
                <w:sz w:val="24"/>
                <w:szCs w:val="24"/>
              </w:rPr>
              <w:t>s</w:t>
            </w:r>
            <w:r w:rsidRPr="00207447">
              <w:rPr>
                <w:rFonts w:ascii="Times New Roman" w:hAnsi="Times New Roman"/>
                <w:noProof/>
                <w:sz w:val="24"/>
                <w:szCs w:val="24"/>
              </w:rPr>
              <w:t xml:space="preserve"> (</w:t>
            </w:r>
            <w:r>
              <w:rPr>
                <w:rFonts w:ascii="Times New Roman" w:hAnsi="Times New Roman"/>
                <w:noProof/>
                <w:sz w:val="24"/>
                <w:szCs w:val="24"/>
              </w:rPr>
              <w:t xml:space="preserve">EUR </w:t>
            </w:r>
            <w:r w:rsidRPr="00207447">
              <w:rPr>
                <w:rFonts w:ascii="Times New Roman" w:hAnsi="Times New Roman"/>
                <w:noProof/>
                <w:sz w:val="24"/>
                <w:szCs w:val="24"/>
              </w:rPr>
              <w:t>300</w:t>
            </w:r>
            <w:r>
              <w:rPr>
                <w:rFonts w:ascii="Times New Roman" w:hAnsi="Times New Roman"/>
                <w:noProof/>
                <w:sz w:val="24"/>
                <w:szCs w:val="24"/>
              </w:rPr>
              <w:t xml:space="preserve"> 000</w:t>
            </w:r>
            <w:r w:rsidRPr="00207447">
              <w:rPr>
                <w:rFonts w:ascii="Times New Roman" w:hAnsi="Times New Roman"/>
                <w:noProof/>
                <w:sz w:val="24"/>
                <w:szCs w:val="24"/>
              </w:rPr>
              <w:t xml:space="preserve"> for consultants) every 3 years (i.e. 1.5 FTE per year)</w:t>
            </w:r>
          </w:p>
        </w:tc>
      </w:tr>
      <w:tr w:rsidR="000A7D9D" w:rsidRPr="00207447" w14:paraId="7E49BF50" w14:textId="77777777" w:rsidTr="00F31937">
        <w:trPr>
          <w:trHeight w:val="300"/>
        </w:trPr>
        <w:tc>
          <w:tcPr>
            <w:tcW w:w="4811" w:type="dxa"/>
          </w:tcPr>
          <w:p w14:paraId="105E286E" w14:textId="77777777" w:rsidR="000A7D9D" w:rsidRPr="00207447" w:rsidRDefault="000A7D9D" w:rsidP="00F31937">
            <w:pPr>
              <w:spacing w:after="120"/>
              <w:rPr>
                <w:rFonts w:ascii="Times New Roman" w:hAnsi="Times New Roman"/>
                <w:b/>
                <w:bCs/>
                <w:noProof/>
                <w:sz w:val="24"/>
                <w:szCs w:val="24"/>
              </w:rPr>
            </w:pPr>
            <w:r w:rsidRPr="00207447">
              <w:rPr>
                <w:rFonts w:ascii="Times New Roman" w:hAnsi="Times New Roman"/>
                <w:b/>
                <w:bCs/>
                <w:noProof/>
                <w:sz w:val="24"/>
                <w:szCs w:val="24"/>
              </w:rPr>
              <w:t>Total</w:t>
            </w:r>
          </w:p>
        </w:tc>
        <w:tc>
          <w:tcPr>
            <w:tcW w:w="4818" w:type="dxa"/>
          </w:tcPr>
          <w:p w14:paraId="0741B1AC" w14:textId="77777777" w:rsidR="000A7D9D" w:rsidRPr="00207447" w:rsidRDefault="000A7D9D" w:rsidP="00F31937">
            <w:pPr>
              <w:spacing w:after="120"/>
              <w:rPr>
                <w:rFonts w:ascii="Times New Roman" w:hAnsi="Times New Roman"/>
                <w:b/>
                <w:bCs/>
                <w:noProof/>
                <w:sz w:val="24"/>
                <w:szCs w:val="24"/>
              </w:rPr>
            </w:pPr>
            <w:r w:rsidRPr="00A86D36">
              <w:rPr>
                <w:rFonts w:ascii="Times New Roman" w:hAnsi="Times New Roman"/>
                <w:b/>
                <w:bCs/>
                <w:i/>
                <w:noProof/>
                <w:sz w:val="24"/>
                <w:szCs w:val="24"/>
              </w:rPr>
              <w:t>Ca.</w:t>
            </w:r>
            <w:r>
              <w:rPr>
                <w:rFonts w:ascii="Times New Roman" w:hAnsi="Times New Roman"/>
                <w:b/>
                <w:bCs/>
                <w:noProof/>
                <w:sz w:val="24"/>
                <w:szCs w:val="24"/>
              </w:rPr>
              <w:t xml:space="preserve"> 2.</w:t>
            </w:r>
            <w:r w:rsidRPr="00207447">
              <w:rPr>
                <w:rFonts w:ascii="Times New Roman" w:hAnsi="Times New Roman"/>
                <w:b/>
                <w:bCs/>
                <w:noProof/>
                <w:sz w:val="24"/>
                <w:szCs w:val="24"/>
              </w:rPr>
              <w:t>0 FTEs annually</w:t>
            </w:r>
          </w:p>
        </w:tc>
      </w:tr>
    </w:tbl>
    <w:p w14:paraId="6E3D6A3A" w14:textId="77777777" w:rsidR="000A7D9D" w:rsidRDefault="000A7D9D" w:rsidP="000A7D9D">
      <w:pPr>
        <w:spacing w:after="120"/>
        <w:rPr>
          <w:rFonts w:ascii="Times New Roman" w:hAnsi="Times New Roman" w:cs="Times New Roman"/>
          <w:i/>
          <w:iCs/>
          <w:noProof/>
          <w:sz w:val="24"/>
          <w:szCs w:val="24"/>
          <w:lang w:val="en-US"/>
        </w:rPr>
      </w:pPr>
      <w:r w:rsidRPr="00207447">
        <w:rPr>
          <w:rFonts w:ascii="Times New Roman" w:hAnsi="Times New Roman" w:cs="Times New Roman"/>
          <w:i/>
          <w:iCs/>
          <w:noProof/>
          <w:sz w:val="24"/>
          <w:szCs w:val="24"/>
          <w:lang w:val="en-US"/>
        </w:rPr>
        <w:t xml:space="preserve">(to convert the cost of consultants into FTEs, the cost of 1 FTE consultant is estimated at ca. </w:t>
      </w:r>
      <w:r>
        <w:rPr>
          <w:rFonts w:ascii="Times New Roman" w:hAnsi="Times New Roman" w:cs="Times New Roman"/>
          <w:i/>
          <w:iCs/>
          <w:noProof/>
          <w:sz w:val="24"/>
          <w:szCs w:val="24"/>
          <w:lang w:val="en-US"/>
        </w:rPr>
        <w:t xml:space="preserve">EUR </w:t>
      </w:r>
      <w:r w:rsidRPr="00207447">
        <w:rPr>
          <w:rFonts w:ascii="Times New Roman" w:hAnsi="Times New Roman" w:cs="Times New Roman"/>
          <w:i/>
          <w:iCs/>
          <w:noProof/>
          <w:sz w:val="24"/>
          <w:szCs w:val="24"/>
          <w:lang w:val="en-US"/>
        </w:rPr>
        <w:t>66</w:t>
      </w:r>
      <w:r>
        <w:rPr>
          <w:rFonts w:ascii="Times New Roman" w:hAnsi="Times New Roman" w:cs="Times New Roman"/>
          <w:i/>
          <w:iCs/>
          <w:noProof/>
          <w:sz w:val="24"/>
          <w:szCs w:val="24"/>
          <w:lang w:val="en-US"/>
        </w:rPr>
        <w:t xml:space="preserve"> </w:t>
      </w:r>
      <w:r w:rsidRPr="00207447">
        <w:rPr>
          <w:rFonts w:ascii="Times New Roman" w:hAnsi="Times New Roman" w:cs="Times New Roman"/>
          <w:i/>
          <w:iCs/>
          <w:noProof/>
          <w:sz w:val="24"/>
          <w:szCs w:val="24"/>
          <w:lang w:val="en-US"/>
        </w:rPr>
        <w:t>000 annually)</w:t>
      </w:r>
    </w:p>
    <w:p w14:paraId="4521312D" w14:textId="77777777" w:rsidR="000A7D9D" w:rsidRPr="00207447" w:rsidRDefault="000A7D9D" w:rsidP="000A7D9D">
      <w:pPr>
        <w:spacing w:after="120"/>
        <w:rPr>
          <w:rFonts w:ascii="Times New Roman" w:hAnsi="Times New Roman" w:cs="Times New Roman"/>
          <w:i/>
          <w:iCs/>
          <w:noProof/>
          <w:sz w:val="24"/>
          <w:szCs w:val="24"/>
          <w:lang w:val="en-US"/>
        </w:rPr>
      </w:pPr>
    </w:p>
    <w:p w14:paraId="256859CD" w14:textId="77777777" w:rsidR="000A7D9D" w:rsidRPr="00207447" w:rsidRDefault="000A7D9D" w:rsidP="000A7D9D">
      <w:pPr>
        <w:spacing w:after="120"/>
        <w:jc w:val="both"/>
        <w:rPr>
          <w:rFonts w:ascii="Times New Roman" w:eastAsia="Calibri" w:hAnsi="Times New Roman" w:cs="Times New Roman"/>
          <w:noProof/>
          <w:sz w:val="24"/>
          <w:szCs w:val="24"/>
        </w:rPr>
      </w:pPr>
      <w:r w:rsidRPr="00207447">
        <w:rPr>
          <w:rFonts w:ascii="Times New Roman" w:eastAsia="Calibri" w:hAnsi="Times New Roman" w:cs="Times New Roman"/>
          <w:noProof/>
          <w:sz w:val="24"/>
          <w:szCs w:val="24"/>
        </w:rPr>
        <w:t xml:space="preserve">It should be noted that such Commission resources do not include contributions to the administrative overhead of the Commission (HR, Finance, IT tools, etc.). </w:t>
      </w:r>
    </w:p>
    <w:p w14:paraId="2F49C7C5" w14:textId="77777777" w:rsidR="000A7D9D" w:rsidRPr="00207447" w:rsidRDefault="000A7D9D" w:rsidP="000A7D9D">
      <w:pPr>
        <w:spacing w:after="120"/>
        <w:jc w:val="both"/>
        <w:rPr>
          <w:rFonts w:ascii="Times New Roman" w:hAnsi="Times New Roman" w:cs="Times New Roman"/>
          <w:noProof/>
          <w:color w:val="000000" w:themeColor="text1"/>
          <w:sz w:val="24"/>
          <w:szCs w:val="24"/>
        </w:rPr>
      </w:pPr>
      <w:r w:rsidRPr="00207447">
        <w:rPr>
          <w:rFonts w:ascii="Times New Roman" w:hAnsi="Times New Roman" w:cs="Times New Roman"/>
          <w:noProof/>
          <w:color w:val="000000" w:themeColor="text1"/>
          <w:sz w:val="24"/>
          <w:szCs w:val="24"/>
          <w:u w:val="single"/>
        </w:rPr>
        <w:t>Current budget line:</w:t>
      </w:r>
      <w:r w:rsidRPr="00207447">
        <w:rPr>
          <w:rFonts w:ascii="Times New Roman" w:hAnsi="Times New Roman" w:cs="Times New Roman"/>
          <w:noProof/>
          <w:color w:val="000000" w:themeColor="text1"/>
          <w:sz w:val="24"/>
          <w:szCs w:val="24"/>
        </w:rPr>
        <w:t xml:space="preserve"> DG Environment </w:t>
      </w:r>
    </w:p>
    <w:p w14:paraId="3C81902E" w14:textId="77777777" w:rsidR="000A7D9D" w:rsidRPr="00207447" w:rsidRDefault="000A7D9D" w:rsidP="000A7D9D">
      <w:pPr>
        <w:spacing w:after="120"/>
        <w:rPr>
          <w:rFonts w:ascii="Times New Roman" w:hAnsi="Times New Roman" w:cs="Times New Roman"/>
          <w:noProof/>
          <w:sz w:val="24"/>
          <w:szCs w:val="24"/>
          <w:u w:val="single"/>
        </w:rPr>
      </w:pPr>
      <w:r w:rsidRPr="00207447">
        <w:rPr>
          <w:rFonts w:ascii="Times New Roman" w:hAnsi="Times New Roman" w:cs="Times New Roman"/>
          <w:noProof/>
          <w:sz w:val="24"/>
          <w:szCs w:val="24"/>
          <w:u w:val="single"/>
        </w:rPr>
        <w:t>Future workload and resource needs:</w:t>
      </w:r>
    </w:p>
    <w:p w14:paraId="518516B7" w14:textId="77777777" w:rsidR="000A7D9D" w:rsidRPr="00207447" w:rsidRDefault="000A7D9D" w:rsidP="000A7D9D">
      <w:pPr>
        <w:spacing w:before="120" w:after="120"/>
        <w:jc w:val="both"/>
        <w:rPr>
          <w:rFonts w:ascii="Times New Roman" w:hAnsi="Times New Roman" w:cs="Times New Roman"/>
          <w:i/>
          <w:iCs/>
          <w:noProof/>
          <w:color w:val="000000" w:themeColor="text1"/>
          <w:sz w:val="24"/>
          <w:szCs w:val="24"/>
        </w:rPr>
      </w:pPr>
      <w:r w:rsidRPr="00207447">
        <w:rPr>
          <w:rFonts w:ascii="Times New Roman" w:hAnsi="Times New Roman" w:cs="Times New Roman"/>
          <w:i/>
          <w:iCs/>
          <w:noProof/>
          <w:color w:val="000000" w:themeColor="text1"/>
          <w:sz w:val="24"/>
          <w:szCs w:val="24"/>
        </w:rPr>
        <w:t>Task 1</w:t>
      </w:r>
    </w:p>
    <w:p w14:paraId="79C55ACB" w14:textId="77777777" w:rsidR="000A7D9D" w:rsidRPr="00207447" w:rsidRDefault="000A7D9D" w:rsidP="000A7D9D">
      <w:pPr>
        <w:spacing w:after="120"/>
        <w:jc w:val="both"/>
        <w:rPr>
          <w:rFonts w:ascii="Times New Roman" w:eastAsia="Calibri" w:hAnsi="Times New Roman" w:cs="Times New Roman"/>
          <w:noProof/>
          <w:sz w:val="24"/>
          <w:szCs w:val="24"/>
        </w:rPr>
      </w:pPr>
      <w:r w:rsidRPr="00207447">
        <w:rPr>
          <w:rFonts w:ascii="Times New Roman" w:hAnsi="Times New Roman" w:cs="Times New Roman"/>
          <w:noProof/>
          <w:color w:val="000000" w:themeColor="text1"/>
          <w:sz w:val="24"/>
          <w:szCs w:val="24"/>
        </w:rPr>
        <w:t xml:space="preserve">It is expected that the number of substances added to the </w:t>
      </w:r>
      <w:r w:rsidRPr="00207447">
        <w:rPr>
          <w:rFonts w:ascii="Times New Roman" w:eastAsia="Calibri" w:hAnsi="Times New Roman" w:cs="Times New Roman"/>
          <w:noProof/>
          <w:color w:val="000000" w:themeColor="text1"/>
          <w:sz w:val="24"/>
          <w:szCs w:val="24"/>
        </w:rPr>
        <w:t xml:space="preserve">Stockholm Convention </w:t>
      </w:r>
      <w:r w:rsidRPr="00207447">
        <w:rPr>
          <w:rFonts w:ascii="Times New Roman" w:hAnsi="Times New Roman" w:cs="Times New Roman"/>
          <w:noProof/>
          <w:color w:val="000000" w:themeColor="text1"/>
          <w:sz w:val="24"/>
          <w:szCs w:val="24"/>
        </w:rPr>
        <w:t xml:space="preserve">will continue to be </w:t>
      </w:r>
      <w:r w:rsidRPr="00207447">
        <w:rPr>
          <w:rFonts w:ascii="Times New Roman" w:eastAsia="Calibri" w:hAnsi="Times New Roman" w:cs="Times New Roman"/>
          <w:noProof/>
          <w:sz w:val="24"/>
          <w:szCs w:val="24"/>
        </w:rPr>
        <w:t>about 2 substances every 2 years, or 1 substance per year on average. Based on current review commitments established in review clauses in the POPs Regulation, it is expected that about 5 reviews of existing limit values will be necessary every 5 year, i.e. on average 1 review per year.</w:t>
      </w:r>
    </w:p>
    <w:p w14:paraId="233928AA" w14:textId="77777777" w:rsidR="000A7D9D" w:rsidRPr="00207447" w:rsidRDefault="000A7D9D" w:rsidP="000A7D9D">
      <w:pPr>
        <w:spacing w:before="120" w:after="120"/>
        <w:jc w:val="both"/>
        <w:rPr>
          <w:rFonts w:ascii="Times New Roman" w:hAnsi="Times New Roman" w:cs="Times New Roman"/>
          <w:noProof/>
          <w:color w:val="000000" w:themeColor="text1"/>
          <w:sz w:val="24"/>
          <w:szCs w:val="24"/>
        </w:rPr>
      </w:pPr>
      <w:r w:rsidRPr="00207447">
        <w:rPr>
          <w:rFonts w:ascii="Times New Roman" w:hAnsi="Times New Roman" w:cs="Times New Roman"/>
          <w:noProof/>
          <w:color w:val="000000" w:themeColor="text1"/>
          <w:sz w:val="24"/>
          <w:szCs w:val="24"/>
        </w:rPr>
        <w:t xml:space="preserve">The Commission wishes to change the procedure for amendment of Annexes IV and V from ordinary legislative procedure to delegated act to reduce the administrative burden on the EU institutions and to make the procedure proportional to its impact. </w:t>
      </w:r>
    </w:p>
    <w:p w14:paraId="62D9D29B" w14:textId="77777777" w:rsidR="000A7D9D" w:rsidRPr="00207447" w:rsidRDefault="000A7D9D" w:rsidP="000A7D9D">
      <w:pPr>
        <w:spacing w:before="120" w:after="120"/>
        <w:jc w:val="both"/>
        <w:rPr>
          <w:rFonts w:ascii="Times New Roman" w:hAnsi="Times New Roman" w:cs="Times New Roman"/>
          <w:noProof/>
          <w:color w:val="000000" w:themeColor="text1"/>
          <w:sz w:val="24"/>
          <w:szCs w:val="24"/>
        </w:rPr>
      </w:pPr>
      <w:r w:rsidRPr="00207447">
        <w:rPr>
          <w:rFonts w:ascii="Times New Roman" w:hAnsi="Times New Roman" w:cs="Times New Roman"/>
          <w:noProof/>
          <w:color w:val="000000" w:themeColor="text1"/>
          <w:sz w:val="24"/>
          <w:szCs w:val="24"/>
        </w:rPr>
        <w:t xml:space="preserve">In order to have a scrutiny of socio-economic impacts of the chosen limit values robust and of high quality, the Commission wishes to get an opinion of the Committee for Socio-Economic Analysis on the proposed limit values, based on a prior ECHA report.  </w:t>
      </w:r>
    </w:p>
    <w:p w14:paraId="59715DC6" w14:textId="77777777" w:rsidR="000A7D9D" w:rsidRPr="00207447" w:rsidRDefault="000A7D9D" w:rsidP="000A7D9D">
      <w:pPr>
        <w:spacing w:before="120" w:after="120"/>
        <w:jc w:val="both"/>
        <w:rPr>
          <w:rFonts w:ascii="Times New Roman" w:hAnsi="Times New Roman" w:cs="Times New Roman"/>
          <w:noProof/>
          <w:color w:val="000000" w:themeColor="text1"/>
          <w:sz w:val="24"/>
          <w:szCs w:val="24"/>
        </w:rPr>
      </w:pPr>
      <w:r w:rsidRPr="00207447">
        <w:rPr>
          <w:rFonts w:ascii="Times New Roman" w:hAnsi="Times New Roman" w:cs="Times New Roman"/>
          <w:noProof/>
          <w:color w:val="000000" w:themeColor="text1"/>
          <w:sz w:val="24"/>
          <w:szCs w:val="24"/>
        </w:rPr>
        <w:t>The process would be to some extent similar to REACH restrictions with limit values or to the setting the Occupation Exposure Levels,</w:t>
      </w:r>
      <w:r w:rsidRPr="00207447">
        <w:rPr>
          <w:rFonts w:ascii="Times New Roman" w:hAnsi="Times New Roman" w:cs="Times New Roman"/>
          <w:noProof/>
          <w:sz w:val="24"/>
          <w:szCs w:val="24"/>
        </w:rPr>
        <w:t xml:space="preserve"> </w:t>
      </w:r>
      <w:r w:rsidRPr="00207447">
        <w:rPr>
          <w:rFonts w:ascii="Times New Roman" w:hAnsi="Times New Roman" w:cs="Times New Roman"/>
          <w:noProof/>
          <w:color w:val="000000" w:themeColor="text1"/>
          <w:sz w:val="24"/>
          <w:szCs w:val="24"/>
        </w:rPr>
        <w:t>with an average cost in ECHA of 1 (light dossier) – 1</w:t>
      </w:r>
      <w:r>
        <w:rPr>
          <w:rFonts w:ascii="Times New Roman" w:hAnsi="Times New Roman" w:cs="Times New Roman"/>
          <w:noProof/>
          <w:color w:val="000000" w:themeColor="text1"/>
          <w:sz w:val="24"/>
          <w:szCs w:val="24"/>
        </w:rPr>
        <w:t>.</w:t>
      </w:r>
      <w:r w:rsidRPr="00207447">
        <w:rPr>
          <w:rFonts w:ascii="Times New Roman" w:hAnsi="Times New Roman" w:cs="Times New Roman"/>
          <w:noProof/>
          <w:color w:val="000000" w:themeColor="text1"/>
          <w:sz w:val="24"/>
          <w:szCs w:val="24"/>
        </w:rPr>
        <w:t>5 (complex dossier) FTE / restriction dossier, but only with the scrutiny by SEAC and not by RAC. The detailed resource needs estimation for ECHA is as follows:</w:t>
      </w:r>
    </w:p>
    <w:p w14:paraId="6D274A1F" w14:textId="77777777" w:rsidR="000A7D9D" w:rsidRPr="00207447" w:rsidRDefault="000A7D9D" w:rsidP="000A7D9D">
      <w:pPr>
        <w:pStyle w:val="ListParagraph"/>
        <w:widowControl w:val="0"/>
        <w:numPr>
          <w:ilvl w:val="0"/>
          <w:numId w:val="92"/>
        </w:numPr>
        <w:ind w:left="714" w:hanging="357"/>
        <w:jc w:val="both"/>
        <w:rPr>
          <w:noProof/>
          <w:color w:val="000000" w:themeColor="text1"/>
        </w:rPr>
      </w:pPr>
      <w:r>
        <w:rPr>
          <w:noProof/>
        </w:rPr>
        <w:t>On average there is a need to develop 1 new dossier every year + SEAC opinion forming: 1 FTE/year, as there is no involvement of RAC (because most of the hazard assessment work has been done already at the Stockholm Convention level and the unit cost of 1 REACH restriction are approximately 1 (light dossier) to 1.5 (complex dossier) FTEs)</w:t>
      </w:r>
    </w:p>
    <w:p w14:paraId="17537542" w14:textId="77777777" w:rsidR="000A7D9D" w:rsidRPr="00207447" w:rsidRDefault="000A7D9D" w:rsidP="000A7D9D">
      <w:pPr>
        <w:widowControl w:val="0"/>
        <w:numPr>
          <w:ilvl w:val="0"/>
          <w:numId w:val="92"/>
        </w:numPr>
        <w:spacing w:after="0" w:line="240" w:lineRule="auto"/>
        <w:ind w:left="714" w:hanging="357"/>
        <w:contextualSpacing/>
        <w:jc w:val="both"/>
        <w:rPr>
          <w:rFonts w:ascii="Times New Roman" w:hAnsi="Times New Roman" w:cs="Times New Roman"/>
          <w:noProof/>
          <w:sz w:val="24"/>
          <w:szCs w:val="24"/>
        </w:rPr>
      </w:pPr>
      <w:r w:rsidRPr="120044EF">
        <w:rPr>
          <w:rFonts w:ascii="Times New Roman" w:hAnsi="Times New Roman" w:cs="Times New Roman"/>
          <w:noProof/>
          <w:sz w:val="24"/>
          <w:szCs w:val="24"/>
        </w:rPr>
        <w:t>Review of existing 5 substance limit values every 5 years, or on average 1 substance every year (at 50% effort of full new dossier) = 0</w:t>
      </w:r>
      <w:r>
        <w:rPr>
          <w:rFonts w:ascii="Times New Roman" w:hAnsi="Times New Roman" w:cs="Times New Roman"/>
          <w:noProof/>
          <w:sz w:val="24"/>
          <w:szCs w:val="24"/>
        </w:rPr>
        <w:t>.</w:t>
      </w:r>
      <w:r w:rsidRPr="120044EF">
        <w:rPr>
          <w:rFonts w:ascii="Times New Roman" w:hAnsi="Times New Roman" w:cs="Times New Roman"/>
          <w:noProof/>
          <w:sz w:val="24"/>
          <w:szCs w:val="24"/>
        </w:rPr>
        <w:t>5 FTE / year</w:t>
      </w:r>
    </w:p>
    <w:p w14:paraId="77C63153" w14:textId="77777777" w:rsidR="000A7D9D" w:rsidRPr="00207447"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color w:val="000000" w:themeColor="text1"/>
          <w:sz w:val="24"/>
          <w:szCs w:val="24"/>
        </w:rPr>
        <w:t>Scientific support services: substance i</w:t>
      </w:r>
      <w:r w:rsidRPr="120044EF">
        <w:rPr>
          <w:rFonts w:ascii="Times New Roman" w:hAnsi="Times New Roman" w:cs="Times New Roman"/>
          <w:noProof/>
          <w:sz w:val="24"/>
          <w:szCs w:val="24"/>
        </w:rPr>
        <w:t xml:space="preserve">dentification and prioritisation, data management and </w:t>
      </w:r>
      <w:r w:rsidRPr="120044EF">
        <w:rPr>
          <w:rFonts w:ascii="Times New Roman" w:hAnsi="Times New Roman" w:cs="Times New Roman"/>
          <w:noProof/>
          <w:color w:val="000000" w:themeColor="text1"/>
          <w:sz w:val="24"/>
          <w:szCs w:val="24"/>
        </w:rPr>
        <w:t>dissemination</w:t>
      </w:r>
      <w:r w:rsidRPr="120044EF">
        <w:rPr>
          <w:rFonts w:ascii="Times New Roman" w:hAnsi="Times New Roman" w:cs="Times New Roman"/>
          <w:noProof/>
          <w:sz w:val="24"/>
          <w:szCs w:val="24"/>
        </w:rPr>
        <w:t>: additional work to be absorbed by the Agency</w:t>
      </w:r>
    </w:p>
    <w:p w14:paraId="095F40E1" w14:textId="77777777" w:rsidR="000A7D9D" w:rsidRPr="00207447" w:rsidRDefault="000A7D9D" w:rsidP="000A7D9D">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120044EF">
        <w:rPr>
          <w:rFonts w:ascii="Times New Roman" w:hAnsi="Times New Roman" w:cs="Times New Roman"/>
          <w:noProof/>
          <w:sz w:val="24"/>
          <w:szCs w:val="24"/>
        </w:rPr>
        <w:t xml:space="preserve">IT tool development cost (data submission, processing, </w:t>
      </w:r>
      <w:r w:rsidRPr="120044EF">
        <w:rPr>
          <w:rFonts w:ascii="Times New Roman" w:hAnsi="Times New Roman" w:cs="Times New Roman"/>
          <w:noProof/>
          <w:color w:val="000000" w:themeColor="text1"/>
          <w:sz w:val="24"/>
          <w:szCs w:val="24"/>
        </w:rPr>
        <w:t>output</w:t>
      </w:r>
      <w:r w:rsidRPr="120044EF">
        <w:rPr>
          <w:rFonts w:ascii="Times New Roman" w:hAnsi="Times New Roman" w:cs="Times New Roman"/>
          <w:noProof/>
          <w:sz w:val="24"/>
          <w:szCs w:val="24"/>
        </w:rPr>
        <w:t>): contribution of 15% for common components (0.25 FTE per year)</w:t>
      </w:r>
    </w:p>
    <w:p w14:paraId="2648B7CE" w14:textId="77777777" w:rsidR="000A7D9D" w:rsidRPr="00207447" w:rsidRDefault="000A7D9D" w:rsidP="000A7D9D">
      <w:pPr>
        <w:widowControl w:val="0"/>
        <w:numPr>
          <w:ilvl w:val="0"/>
          <w:numId w:val="92"/>
        </w:numPr>
        <w:spacing w:after="0" w:line="240" w:lineRule="auto"/>
        <w:jc w:val="both"/>
        <w:rPr>
          <w:rFonts w:ascii="Times New Roman" w:hAnsi="Times New Roman" w:cs="Times New Roman"/>
          <w:noProof/>
          <w:sz w:val="24"/>
          <w:szCs w:val="24"/>
        </w:rPr>
      </w:pPr>
      <w:r w:rsidRPr="120044EF">
        <w:rPr>
          <w:rFonts w:ascii="Times New Roman" w:hAnsi="Times New Roman" w:cs="Times New Roman"/>
          <w:noProof/>
          <w:sz w:val="24"/>
          <w:szCs w:val="24"/>
        </w:rPr>
        <w:t>Horizontal support (governance &amp; enablers / administrative overhead): contribution of 15% (0.25 FTE per year)</w:t>
      </w:r>
    </w:p>
    <w:p w14:paraId="4EC018ED" w14:textId="77777777" w:rsidR="000A7D9D" w:rsidRPr="00207447" w:rsidRDefault="000A7D9D" w:rsidP="000A7D9D">
      <w:pPr>
        <w:rPr>
          <w:rFonts w:ascii="Times New Roman" w:hAnsi="Times New Roman" w:cs="Times New Roman"/>
          <w:noProof/>
          <w:sz w:val="24"/>
          <w:szCs w:val="24"/>
        </w:rPr>
      </w:pPr>
      <w:r w:rsidRPr="00207447">
        <w:rPr>
          <w:rFonts w:ascii="Times New Roman" w:hAnsi="Times New Roman" w:cs="Times New Roman"/>
          <w:noProof/>
          <w:sz w:val="24"/>
          <w:szCs w:val="24"/>
        </w:rPr>
        <w:t>-----------</w:t>
      </w:r>
    </w:p>
    <w:p w14:paraId="3A8913B1" w14:textId="77777777" w:rsidR="000A7D9D" w:rsidRPr="00207447" w:rsidRDefault="000A7D9D" w:rsidP="000A7D9D">
      <w:pPr>
        <w:pStyle w:val="BodyText"/>
        <w:rPr>
          <w:noProof/>
        </w:rPr>
      </w:pPr>
      <w:r w:rsidRPr="00207447">
        <w:rPr>
          <w:noProof/>
        </w:rPr>
        <w:t xml:space="preserve">Total: 2 FTEs per year </w:t>
      </w:r>
    </w:p>
    <w:p w14:paraId="37C52DBD" w14:textId="77777777" w:rsidR="000A7D9D" w:rsidRPr="00207447" w:rsidRDefault="000A7D9D" w:rsidP="000A7D9D">
      <w:pPr>
        <w:pStyle w:val="BodyText"/>
        <w:spacing w:line="259" w:lineRule="auto"/>
        <w:rPr>
          <w:i/>
          <w:iCs/>
          <w:noProof/>
        </w:rPr>
      </w:pPr>
      <w:r w:rsidRPr="00207447">
        <w:rPr>
          <w:i/>
          <w:iCs/>
          <w:noProof/>
        </w:rPr>
        <w:t>Task 2</w:t>
      </w:r>
    </w:p>
    <w:p w14:paraId="22788D98" w14:textId="77777777" w:rsidR="000A7D9D" w:rsidRDefault="000A7D9D" w:rsidP="000A7D9D">
      <w:pPr>
        <w:pStyle w:val="BodyText"/>
        <w:jc w:val="both"/>
        <w:rPr>
          <w:noProof/>
        </w:rPr>
      </w:pPr>
      <w:r w:rsidRPr="00207447">
        <w:rPr>
          <w:noProof/>
        </w:rPr>
        <w:t xml:space="preserve">The reporting of chemicals monitoring data under POPs regulation will require no or only very minimal additional resources, as POPs monitoring data in waters are to be reported under the water legislation and resources for that were proposed, POPs monitoring data in air are already being reported to EEA as part of the air quality legislation and there are only very limited additional data sets in the environment, mainly in soil which is usually collected by JRC. In addition, hosting of any additional data sets in the environment is also covered in the resource for common data platform. </w:t>
      </w:r>
    </w:p>
    <w:p w14:paraId="05DCC335" w14:textId="77777777" w:rsidR="000A7D9D" w:rsidRPr="00207447" w:rsidRDefault="000A7D9D" w:rsidP="000A7D9D">
      <w:pPr>
        <w:pStyle w:val="BodyText"/>
        <w:jc w:val="both"/>
        <w:rPr>
          <w:rFonts w:eastAsiaTheme="minorEastAsia"/>
          <w:noProof/>
          <w:lang w:val="en-US" w:eastAsia="en-GB"/>
        </w:rPr>
      </w:pPr>
      <w:r w:rsidRPr="00207447">
        <w:rPr>
          <w:rFonts w:eastAsiaTheme="minorEastAsia"/>
          <w:noProof/>
          <w:lang w:val="en-US" w:eastAsia="en-GB"/>
        </w:rPr>
        <w:t>Summary of additional resource needs for the POPs regulation:</w:t>
      </w:r>
    </w:p>
    <w:tbl>
      <w:tblPr>
        <w:tblStyle w:val="TableGrid"/>
        <w:tblW w:w="9630" w:type="dxa"/>
        <w:tblLook w:val="04A0" w:firstRow="1" w:lastRow="0" w:firstColumn="1" w:lastColumn="0" w:noHBand="0" w:noVBand="1"/>
      </w:tblPr>
      <w:tblGrid>
        <w:gridCol w:w="1935"/>
        <w:gridCol w:w="2700"/>
        <w:gridCol w:w="2306"/>
        <w:gridCol w:w="2689"/>
      </w:tblGrid>
      <w:tr w:rsidR="000A7D9D" w:rsidRPr="00C56424" w14:paraId="400A5E9D" w14:textId="77777777" w:rsidTr="00F31937">
        <w:trPr>
          <w:trHeight w:val="300"/>
        </w:trPr>
        <w:tc>
          <w:tcPr>
            <w:tcW w:w="1935" w:type="dxa"/>
            <w:shd w:val="clear" w:color="auto" w:fill="D9D9D9" w:themeFill="background1" w:themeFillShade="D9"/>
          </w:tcPr>
          <w:p w14:paraId="01398A92"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2700" w:type="dxa"/>
            <w:shd w:val="clear" w:color="auto" w:fill="D9D9D9" w:themeFill="background1" w:themeFillShade="D9"/>
          </w:tcPr>
          <w:p w14:paraId="1785AD00"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2306" w:type="dxa"/>
            <w:shd w:val="clear" w:color="auto" w:fill="D9D9D9" w:themeFill="background1" w:themeFillShade="D9"/>
          </w:tcPr>
          <w:p w14:paraId="7E4AA80C" w14:textId="77777777" w:rsidR="000A7D9D" w:rsidRPr="00C56424" w:rsidRDefault="000A7D9D" w:rsidP="00F31937">
            <w:pPr>
              <w:pStyle w:val="BodyText"/>
              <w:tabs>
                <w:tab w:val="left" w:pos="4170"/>
              </w:tabs>
              <w:rPr>
                <w:noProof/>
                <w:sz w:val="20"/>
                <w:szCs w:val="20"/>
              </w:rPr>
            </w:pPr>
          </w:p>
        </w:tc>
        <w:tc>
          <w:tcPr>
            <w:tcW w:w="2689" w:type="dxa"/>
            <w:shd w:val="clear" w:color="auto" w:fill="D9D9D9" w:themeFill="background1" w:themeFillShade="D9"/>
          </w:tcPr>
          <w:p w14:paraId="111DD1E8" w14:textId="77777777" w:rsidR="000A7D9D" w:rsidRPr="00C56424" w:rsidRDefault="000A7D9D" w:rsidP="00F31937">
            <w:pPr>
              <w:pStyle w:val="BodyText"/>
              <w:tabs>
                <w:tab w:val="left" w:pos="4170"/>
              </w:tabs>
              <w:spacing w:after="0"/>
              <w:rPr>
                <w:noProof/>
                <w:sz w:val="20"/>
                <w:szCs w:val="20"/>
              </w:rPr>
            </w:pPr>
          </w:p>
        </w:tc>
      </w:tr>
      <w:tr w:rsidR="000A7D9D" w:rsidRPr="00187DBF" w14:paraId="4B3FBE3B" w14:textId="77777777" w:rsidTr="00F31937">
        <w:trPr>
          <w:trHeight w:val="300"/>
        </w:trPr>
        <w:tc>
          <w:tcPr>
            <w:tcW w:w="1935" w:type="dxa"/>
            <w:vMerge w:val="restart"/>
            <w:shd w:val="clear" w:color="auto" w:fill="D9D9D9" w:themeFill="background1" w:themeFillShade="D9"/>
          </w:tcPr>
          <w:p w14:paraId="68DC82C0" w14:textId="77777777" w:rsidR="000A7D9D" w:rsidRPr="00C56424" w:rsidRDefault="000A7D9D" w:rsidP="00F31937">
            <w:pPr>
              <w:pStyle w:val="BodyText"/>
              <w:rPr>
                <w:noProof/>
                <w:sz w:val="20"/>
                <w:szCs w:val="20"/>
              </w:rPr>
            </w:pPr>
            <w:r w:rsidRPr="00C56424">
              <w:rPr>
                <w:noProof/>
                <w:sz w:val="20"/>
                <w:szCs w:val="20"/>
              </w:rPr>
              <w:t>ECHA</w:t>
            </w:r>
          </w:p>
        </w:tc>
        <w:tc>
          <w:tcPr>
            <w:tcW w:w="2700" w:type="dxa"/>
            <w:vMerge w:val="restart"/>
            <w:shd w:val="clear" w:color="auto" w:fill="D9D9D9" w:themeFill="background1" w:themeFillShade="D9"/>
          </w:tcPr>
          <w:p w14:paraId="6E90F828" w14:textId="77777777" w:rsidR="000A7D9D" w:rsidRPr="00C56424" w:rsidRDefault="000A7D9D" w:rsidP="00F31937">
            <w:pPr>
              <w:pStyle w:val="BodyText"/>
              <w:rPr>
                <w:noProof/>
                <w:sz w:val="20"/>
                <w:szCs w:val="20"/>
              </w:rPr>
            </w:pPr>
          </w:p>
        </w:tc>
        <w:tc>
          <w:tcPr>
            <w:tcW w:w="2306" w:type="dxa"/>
            <w:shd w:val="clear" w:color="auto" w:fill="D9D9D9" w:themeFill="background1" w:themeFillShade="D9"/>
          </w:tcPr>
          <w:p w14:paraId="4A8D12C3"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689" w:type="dxa"/>
            <w:shd w:val="clear" w:color="auto" w:fill="D9D9D9" w:themeFill="background1" w:themeFillShade="D9"/>
          </w:tcPr>
          <w:p w14:paraId="2115A2FA"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bCs/>
                <w:noProof/>
                <w:sz w:val="20"/>
                <w:szCs w:val="20"/>
                <w:lang w:val="fr-BE"/>
              </w:rPr>
              <w:t>EUR 0</w:t>
            </w:r>
            <w:r w:rsidRPr="00C56424">
              <w:rPr>
                <w:noProof/>
                <w:sz w:val="20"/>
                <w:szCs w:val="20"/>
                <w:lang w:val="fr-BE"/>
              </w:rPr>
              <w:t xml:space="preserve"> </w:t>
            </w:r>
          </w:p>
          <w:p w14:paraId="561A0605"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 35 000</w:t>
            </w:r>
          </w:p>
          <w:p w14:paraId="3F65C64F"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noProof/>
                <w:sz w:val="20"/>
                <w:szCs w:val="20"/>
                <w:lang w:val="fr-BE"/>
              </w:rPr>
              <w:t>EUR 50 000</w:t>
            </w:r>
          </w:p>
          <w:p w14:paraId="3E758C08"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2027: </w:t>
            </w:r>
            <w:r w:rsidRPr="00C56424">
              <w:rPr>
                <w:b/>
                <w:noProof/>
                <w:sz w:val="20"/>
                <w:szCs w:val="20"/>
                <w:lang w:val="fr-BE"/>
              </w:rPr>
              <w:t>EUR 50 000</w:t>
            </w:r>
          </w:p>
          <w:p w14:paraId="3E89E5C0"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2028:</w:t>
            </w:r>
            <w:r w:rsidRPr="00C56424">
              <w:rPr>
                <w:b/>
                <w:noProof/>
                <w:sz w:val="20"/>
                <w:szCs w:val="20"/>
                <w:lang w:val="fr-BE"/>
              </w:rPr>
              <w:t xml:space="preserve"> EUR 50 000</w:t>
            </w:r>
          </w:p>
        </w:tc>
      </w:tr>
      <w:tr w:rsidR="000A7D9D" w:rsidRPr="00C56424" w14:paraId="7A07542D" w14:textId="77777777" w:rsidTr="00F31937">
        <w:trPr>
          <w:trHeight w:val="300"/>
        </w:trPr>
        <w:tc>
          <w:tcPr>
            <w:tcW w:w="1935" w:type="dxa"/>
            <w:vMerge/>
            <w:shd w:val="clear" w:color="auto" w:fill="D9D9D9" w:themeFill="background1" w:themeFillShade="D9"/>
          </w:tcPr>
          <w:p w14:paraId="6771C236" w14:textId="77777777" w:rsidR="000A7D9D" w:rsidRPr="00C56424" w:rsidRDefault="000A7D9D" w:rsidP="00F31937">
            <w:pPr>
              <w:pStyle w:val="BodyText"/>
              <w:rPr>
                <w:noProof/>
                <w:sz w:val="20"/>
                <w:szCs w:val="20"/>
                <w:lang w:val="fr-BE"/>
              </w:rPr>
            </w:pPr>
          </w:p>
        </w:tc>
        <w:tc>
          <w:tcPr>
            <w:tcW w:w="2700" w:type="dxa"/>
            <w:vMerge/>
            <w:shd w:val="clear" w:color="auto" w:fill="D9D9D9" w:themeFill="background1" w:themeFillShade="D9"/>
          </w:tcPr>
          <w:p w14:paraId="12347739" w14:textId="77777777" w:rsidR="000A7D9D" w:rsidRPr="00C56424" w:rsidRDefault="000A7D9D" w:rsidP="00F31937">
            <w:pPr>
              <w:pStyle w:val="BodyText"/>
              <w:rPr>
                <w:noProof/>
                <w:sz w:val="20"/>
                <w:szCs w:val="20"/>
                <w:lang w:val="fr-BE"/>
              </w:rPr>
            </w:pPr>
          </w:p>
        </w:tc>
        <w:tc>
          <w:tcPr>
            <w:tcW w:w="2306" w:type="dxa"/>
            <w:shd w:val="clear" w:color="auto" w:fill="D9D9D9" w:themeFill="background1" w:themeFillShade="D9"/>
          </w:tcPr>
          <w:p w14:paraId="01CE84E0"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689" w:type="dxa"/>
            <w:shd w:val="clear" w:color="auto" w:fill="D9D9D9" w:themeFill="background1" w:themeFillShade="D9"/>
          </w:tcPr>
          <w:p w14:paraId="6ACC3D92"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bCs/>
                <w:noProof/>
                <w:sz w:val="20"/>
                <w:szCs w:val="20"/>
                <w:lang w:val="fr-BE"/>
              </w:rPr>
              <w:t>0 TAs</w:t>
            </w:r>
            <w:r w:rsidRPr="00C56424">
              <w:rPr>
                <w:noProof/>
                <w:sz w:val="20"/>
                <w:szCs w:val="20"/>
                <w:lang w:val="fr-BE"/>
              </w:rPr>
              <w:t xml:space="preserve">, </w:t>
            </w:r>
            <w:r w:rsidRPr="00C56424">
              <w:rPr>
                <w:b/>
                <w:noProof/>
                <w:sz w:val="20"/>
                <w:szCs w:val="20"/>
                <w:lang w:val="fr-BE"/>
              </w:rPr>
              <w:t>0 CAs</w:t>
            </w:r>
          </w:p>
          <w:p w14:paraId="3862ECB9"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bCs/>
                <w:noProof/>
                <w:sz w:val="20"/>
                <w:szCs w:val="20"/>
                <w:lang w:val="fr-BE"/>
              </w:rPr>
              <w:t>1 TAs</w:t>
            </w:r>
            <w:r w:rsidRPr="00C56424">
              <w:rPr>
                <w:b/>
                <w:noProof/>
                <w:sz w:val="20"/>
                <w:szCs w:val="20"/>
                <w:lang w:val="fr-BE"/>
              </w:rPr>
              <w:t>, 0 CAs</w:t>
            </w:r>
          </w:p>
          <w:p w14:paraId="46204827"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bCs/>
                <w:noProof/>
                <w:sz w:val="20"/>
                <w:szCs w:val="20"/>
                <w:lang w:val="fr-BE"/>
              </w:rPr>
              <w:t>2 TAs</w:t>
            </w:r>
            <w:r w:rsidRPr="00C56424">
              <w:rPr>
                <w:b/>
                <w:noProof/>
                <w:sz w:val="20"/>
                <w:szCs w:val="20"/>
                <w:lang w:val="fr-BE"/>
              </w:rPr>
              <w:t>, 0 CAs</w:t>
            </w:r>
          </w:p>
          <w:p w14:paraId="5F7CDCED"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2027: </w:t>
            </w:r>
            <w:r w:rsidRPr="00C56424">
              <w:rPr>
                <w:b/>
                <w:bCs/>
                <w:noProof/>
                <w:sz w:val="20"/>
                <w:szCs w:val="20"/>
              </w:rPr>
              <w:t>2 TAs</w:t>
            </w:r>
            <w:r w:rsidRPr="00C56424">
              <w:rPr>
                <w:b/>
                <w:noProof/>
                <w:sz w:val="20"/>
                <w:szCs w:val="20"/>
              </w:rPr>
              <w:t>, 0 CAs</w:t>
            </w:r>
          </w:p>
          <w:p w14:paraId="54346B5B"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2028: </w:t>
            </w:r>
            <w:r w:rsidRPr="00C56424">
              <w:rPr>
                <w:b/>
                <w:noProof/>
                <w:sz w:val="20"/>
                <w:szCs w:val="20"/>
              </w:rPr>
              <w:t>2 TAs, 0 CAs</w:t>
            </w:r>
          </w:p>
        </w:tc>
      </w:tr>
      <w:tr w:rsidR="000A7D9D" w:rsidRPr="00187DBF" w14:paraId="038F95FB" w14:textId="77777777" w:rsidTr="00F31937">
        <w:trPr>
          <w:trHeight w:val="300"/>
        </w:trPr>
        <w:tc>
          <w:tcPr>
            <w:tcW w:w="1935" w:type="dxa"/>
            <w:vMerge w:val="restart"/>
            <w:shd w:val="clear" w:color="auto" w:fill="D9D9D9" w:themeFill="background1" w:themeFillShade="D9"/>
          </w:tcPr>
          <w:p w14:paraId="0635458D" w14:textId="77777777" w:rsidR="000A7D9D" w:rsidRPr="00C56424" w:rsidRDefault="000A7D9D" w:rsidP="00F31937">
            <w:pPr>
              <w:pStyle w:val="BodyText"/>
              <w:rPr>
                <w:noProof/>
                <w:sz w:val="20"/>
                <w:szCs w:val="20"/>
              </w:rPr>
            </w:pPr>
            <w:r w:rsidRPr="00C56424">
              <w:rPr>
                <w:noProof/>
                <w:sz w:val="20"/>
                <w:szCs w:val="20"/>
              </w:rPr>
              <w:t>EEA</w:t>
            </w:r>
          </w:p>
        </w:tc>
        <w:tc>
          <w:tcPr>
            <w:tcW w:w="2700" w:type="dxa"/>
            <w:vMerge w:val="restart"/>
            <w:shd w:val="clear" w:color="auto" w:fill="D9D9D9" w:themeFill="background1" w:themeFillShade="D9"/>
          </w:tcPr>
          <w:p w14:paraId="44B9E7CC" w14:textId="77777777" w:rsidR="000A7D9D" w:rsidRPr="00C56424" w:rsidRDefault="000A7D9D" w:rsidP="00F31937">
            <w:pPr>
              <w:pStyle w:val="BodyText"/>
              <w:rPr>
                <w:noProof/>
                <w:sz w:val="20"/>
                <w:szCs w:val="20"/>
              </w:rPr>
            </w:pPr>
          </w:p>
        </w:tc>
        <w:tc>
          <w:tcPr>
            <w:tcW w:w="2306" w:type="dxa"/>
            <w:shd w:val="clear" w:color="auto" w:fill="D9D9D9" w:themeFill="background1" w:themeFillShade="D9"/>
          </w:tcPr>
          <w:p w14:paraId="2AFE5214"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689" w:type="dxa"/>
            <w:shd w:val="clear" w:color="auto" w:fill="D9D9D9" w:themeFill="background1" w:themeFillShade="D9"/>
          </w:tcPr>
          <w:p w14:paraId="799FA25A"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noProof/>
                <w:sz w:val="20"/>
                <w:szCs w:val="20"/>
                <w:lang w:val="fr-BE"/>
              </w:rPr>
              <w:t>EUR 0</w:t>
            </w:r>
            <w:r w:rsidRPr="00C56424">
              <w:rPr>
                <w:noProof/>
                <w:sz w:val="20"/>
                <w:szCs w:val="20"/>
                <w:lang w:val="fr-BE"/>
              </w:rPr>
              <w:t xml:space="preserve"> </w:t>
            </w:r>
          </w:p>
          <w:p w14:paraId="7C2455C5"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 0</w:t>
            </w:r>
          </w:p>
          <w:p w14:paraId="18FB692B"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noProof/>
                <w:sz w:val="20"/>
                <w:szCs w:val="20"/>
                <w:lang w:val="fr-BE"/>
              </w:rPr>
              <w:t>EUR 0</w:t>
            </w:r>
          </w:p>
          <w:p w14:paraId="7FFE612C"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2027: </w:t>
            </w:r>
            <w:r w:rsidRPr="00C56424">
              <w:rPr>
                <w:b/>
                <w:noProof/>
                <w:sz w:val="20"/>
                <w:szCs w:val="20"/>
                <w:lang w:val="fr-BE"/>
              </w:rPr>
              <w:t>EUR 0</w:t>
            </w:r>
          </w:p>
          <w:p w14:paraId="5CE2CAEC" w14:textId="77777777" w:rsidR="000A7D9D" w:rsidRPr="00C56424" w:rsidRDefault="000A7D9D" w:rsidP="00F31937">
            <w:pPr>
              <w:pStyle w:val="BodyText"/>
              <w:rPr>
                <w:b/>
                <w:noProof/>
                <w:sz w:val="20"/>
                <w:szCs w:val="20"/>
                <w:lang w:val="fr-BE"/>
              </w:rPr>
            </w:pPr>
            <w:r w:rsidRPr="00C56424">
              <w:rPr>
                <w:noProof/>
                <w:sz w:val="20"/>
                <w:szCs w:val="20"/>
                <w:lang w:val="fr-BE"/>
              </w:rPr>
              <w:t xml:space="preserve">2028: </w:t>
            </w:r>
            <w:r w:rsidRPr="00C56424">
              <w:rPr>
                <w:b/>
                <w:noProof/>
                <w:sz w:val="20"/>
                <w:szCs w:val="20"/>
                <w:lang w:val="fr-BE"/>
              </w:rPr>
              <w:t>EUR 0</w:t>
            </w:r>
          </w:p>
        </w:tc>
      </w:tr>
      <w:tr w:rsidR="000A7D9D" w:rsidRPr="00C56424" w14:paraId="7E671A00" w14:textId="77777777" w:rsidTr="00F31937">
        <w:trPr>
          <w:trHeight w:val="300"/>
        </w:trPr>
        <w:tc>
          <w:tcPr>
            <w:tcW w:w="1935" w:type="dxa"/>
            <w:vMerge/>
            <w:shd w:val="clear" w:color="auto" w:fill="D9D9D9" w:themeFill="background1" w:themeFillShade="D9"/>
          </w:tcPr>
          <w:p w14:paraId="36797448" w14:textId="77777777" w:rsidR="000A7D9D" w:rsidRPr="00C56424" w:rsidRDefault="000A7D9D" w:rsidP="00F31937">
            <w:pPr>
              <w:pStyle w:val="BodyText"/>
              <w:rPr>
                <w:noProof/>
                <w:sz w:val="20"/>
                <w:szCs w:val="20"/>
                <w:lang w:val="fr-BE"/>
              </w:rPr>
            </w:pPr>
          </w:p>
        </w:tc>
        <w:tc>
          <w:tcPr>
            <w:tcW w:w="2700" w:type="dxa"/>
            <w:vMerge/>
            <w:shd w:val="clear" w:color="auto" w:fill="D9D9D9" w:themeFill="background1" w:themeFillShade="D9"/>
          </w:tcPr>
          <w:p w14:paraId="6C6ECD8A" w14:textId="77777777" w:rsidR="000A7D9D" w:rsidRPr="00C56424" w:rsidRDefault="000A7D9D" w:rsidP="00F31937">
            <w:pPr>
              <w:pStyle w:val="BodyText"/>
              <w:rPr>
                <w:noProof/>
                <w:sz w:val="20"/>
                <w:szCs w:val="20"/>
                <w:lang w:val="fr-BE"/>
              </w:rPr>
            </w:pPr>
          </w:p>
        </w:tc>
        <w:tc>
          <w:tcPr>
            <w:tcW w:w="2306" w:type="dxa"/>
            <w:shd w:val="clear" w:color="auto" w:fill="D9D9D9" w:themeFill="background1" w:themeFillShade="D9"/>
          </w:tcPr>
          <w:p w14:paraId="71D009BC"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689" w:type="dxa"/>
            <w:shd w:val="clear" w:color="auto" w:fill="D9D9D9" w:themeFill="background1" w:themeFillShade="D9"/>
          </w:tcPr>
          <w:p w14:paraId="551272FF"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2024: </w:t>
            </w:r>
            <w:r w:rsidRPr="00C56424">
              <w:rPr>
                <w:b/>
                <w:noProof/>
                <w:sz w:val="20"/>
                <w:szCs w:val="20"/>
                <w:lang w:val="fr-BE"/>
              </w:rPr>
              <w:t>0 TAs, 0 CAs</w:t>
            </w:r>
          </w:p>
          <w:p w14:paraId="3FD28AA9"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0 TAs, 0 CAs</w:t>
            </w:r>
          </w:p>
          <w:p w14:paraId="0B1E5010"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2026: </w:t>
            </w:r>
            <w:r w:rsidRPr="00C56424">
              <w:rPr>
                <w:b/>
                <w:noProof/>
                <w:sz w:val="20"/>
                <w:szCs w:val="20"/>
                <w:lang w:val="fr-BE"/>
              </w:rPr>
              <w:t>0 TAs, 0 CAs</w:t>
            </w:r>
          </w:p>
          <w:p w14:paraId="24F2210C"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2027: </w:t>
            </w:r>
            <w:r w:rsidRPr="00C56424">
              <w:rPr>
                <w:b/>
                <w:noProof/>
                <w:sz w:val="20"/>
                <w:szCs w:val="20"/>
              </w:rPr>
              <w:t>0 TAs, 0 CAs</w:t>
            </w:r>
          </w:p>
          <w:p w14:paraId="77EA9BC7"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rPr>
              <w:t>2028:</w:t>
            </w:r>
            <w:r w:rsidRPr="00C56424">
              <w:rPr>
                <w:b/>
                <w:noProof/>
                <w:sz w:val="20"/>
                <w:szCs w:val="20"/>
              </w:rPr>
              <w:t xml:space="preserve"> 0 TAs, 0 CAs</w:t>
            </w:r>
          </w:p>
        </w:tc>
      </w:tr>
    </w:tbl>
    <w:p w14:paraId="545D63D1" w14:textId="77777777" w:rsidR="000A7D9D" w:rsidRPr="00207447" w:rsidRDefault="000A7D9D" w:rsidP="000A7D9D">
      <w:pPr>
        <w:pStyle w:val="BodyText"/>
        <w:tabs>
          <w:tab w:val="left" w:pos="4170"/>
        </w:tabs>
        <w:spacing w:before="120"/>
        <w:rPr>
          <w:noProof/>
        </w:rPr>
      </w:pPr>
      <w:r w:rsidRPr="00207447">
        <w:rPr>
          <w:noProof/>
          <w:u w:val="single"/>
        </w:rPr>
        <w:t>Future budget line:</w:t>
      </w:r>
      <w:r w:rsidRPr="00207447">
        <w:rPr>
          <w:noProof/>
        </w:rPr>
        <w:t xml:space="preserve"> DG Environment </w:t>
      </w:r>
    </w:p>
    <w:p w14:paraId="1DCB1F78" w14:textId="77777777" w:rsidR="000A7D9D" w:rsidRPr="00207447" w:rsidRDefault="000A7D9D" w:rsidP="000A7D9D">
      <w:pPr>
        <w:pStyle w:val="BodyText"/>
        <w:tabs>
          <w:tab w:val="left" w:pos="4170"/>
        </w:tabs>
        <w:rPr>
          <w:noProof/>
        </w:rPr>
      </w:pPr>
      <w:r w:rsidRPr="00207447">
        <w:rPr>
          <w:noProof/>
          <w:u w:val="single"/>
        </w:rPr>
        <w:t>Candidate for fees:</w:t>
      </w:r>
      <w:r w:rsidRPr="00207447">
        <w:rPr>
          <w:noProof/>
        </w:rPr>
        <w:t xml:space="preserve"> No</w:t>
      </w:r>
    </w:p>
    <w:p w14:paraId="14831091" w14:textId="77777777" w:rsidR="000A7D9D" w:rsidRDefault="000A7D9D" w:rsidP="000A7D9D">
      <w:pPr>
        <w:pStyle w:val="BodyText"/>
        <w:rPr>
          <w:b/>
          <w:bCs/>
          <w:noProof/>
        </w:rPr>
      </w:pPr>
    </w:p>
    <w:p w14:paraId="031F5994"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68" w:name="_Toc150499935"/>
      <w:r w:rsidRPr="00291F95">
        <w:rPr>
          <w:rFonts w:ascii="Times New Roman" w:hAnsi="Times New Roman"/>
          <w:smallCaps/>
          <w:noProof/>
          <w:color w:val="auto"/>
          <w:sz w:val="24"/>
          <w:szCs w:val="20"/>
          <w:lang w:eastAsia="en-US"/>
        </w:rPr>
        <w:t>Medical devices Regulation</w:t>
      </w:r>
      <w:bookmarkEnd w:id="68"/>
    </w:p>
    <w:p w14:paraId="64BC4081" w14:textId="77777777" w:rsidR="000A7D9D" w:rsidRPr="00F521F8" w:rsidRDefault="000A7D9D" w:rsidP="000A7D9D">
      <w:pPr>
        <w:spacing w:after="120"/>
        <w:rPr>
          <w:rFonts w:ascii="Times New Roman" w:hAnsi="Times New Roman" w:cs="Times New Roman"/>
          <w:b/>
          <w:bCs/>
          <w:noProof/>
          <w:sz w:val="24"/>
          <w:szCs w:val="24"/>
          <w:u w:val="single"/>
        </w:rPr>
      </w:pPr>
      <w:r w:rsidRPr="00F521F8">
        <w:rPr>
          <w:rFonts w:ascii="Times New Roman" w:hAnsi="Times New Roman" w:cs="Times New Roman"/>
          <w:b/>
          <w:bCs/>
          <w:noProof/>
          <w:sz w:val="24"/>
          <w:szCs w:val="24"/>
        </w:rPr>
        <w:t>Responsible body:</w:t>
      </w:r>
    </w:p>
    <w:p w14:paraId="2503887B"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u w:val="single"/>
        </w:rPr>
        <w:t>Currently:</w:t>
      </w:r>
      <w:r w:rsidRPr="00F521F8">
        <w:rPr>
          <w:rFonts w:ascii="Times New Roman" w:hAnsi="Times New Roman" w:cs="Times New Roman"/>
          <w:noProof/>
          <w:sz w:val="24"/>
          <w:szCs w:val="24"/>
        </w:rPr>
        <w:t xml:space="preserve"> Commission with the support of the SCHEER Committee</w:t>
      </w:r>
    </w:p>
    <w:p w14:paraId="1397AB95"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u w:val="single"/>
        </w:rPr>
        <w:t>(Re-)attribution planned to:</w:t>
      </w:r>
      <w:r w:rsidRPr="00F521F8">
        <w:rPr>
          <w:rFonts w:ascii="Times New Roman" w:hAnsi="Times New Roman" w:cs="Times New Roman"/>
          <w:noProof/>
          <w:sz w:val="24"/>
          <w:szCs w:val="24"/>
        </w:rPr>
        <w:t xml:space="preserve"> ECHA</w:t>
      </w:r>
    </w:p>
    <w:p w14:paraId="3C9E1EE3" w14:textId="77777777" w:rsidR="000A7D9D" w:rsidRPr="00F521F8" w:rsidRDefault="000A7D9D" w:rsidP="000A7D9D">
      <w:pPr>
        <w:pStyle w:val="BodyText"/>
        <w:rPr>
          <w:noProof/>
        </w:rPr>
      </w:pPr>
      <w:r w:rsidRPr="00F521F8">
        <w:rPr>
          <w:b/>
          <w:bCs/>
          <w:noProof/>
        </w:rPr>
        <w:t xml:space="preserve">Legal basis for (re-)attribution: </w:t>
      </w:r>
      <w:r w:rsidRPr="00F521F8">
        <w:rPr>
          <w:noProof/>
        </w:rPr>
        <w:t>Omnibus regulation for reattribution of tasks</w:t>
      </w:r>
    </w:p>
    <w:p w14:paraId="1913C74E" w14:textId="77777777" w:rsidR="000A7D9D" w:rsidRPr="00F521F8" w:rsidRDefault="000A7D9D" w:rsidP="000A7D9D">
      <w:pPr>
        <w:pStyle w:val="BodyText"/>
        <w:rPr>
          <w:b/>
          <w:bCs/>
          <w:noProof/>
        </w:rPr>
      </w:pPr>
      <w:r w:rsidRPr="00F521F8">
        <w:rPr>
          <w:b/>
          <w:bCs/>
          <w:noProof/>
        </w:rPr>
        <w:t xml:space="preserve">Type of task: </w:t>
      </w:r>
      <w:r w:rsidRPr="00F521F8">
        <w:rPr>
          <w:noProof/>
        </w:rPr>
        <w:t>existing</w:t>
      </w:r>
    </w:p>
    <w:p w14:paraId="26D1B0D6" w14:textId="77777777" w:rsidR="000A7D9D" w:rsidRPr="00F521F8" w:rsidRDefault="000A7D9D" w:rsidP="000A7D9D">
      <w:pPr>
        <w:pStyle w:val="BodyText"/>
        <w:jc w:val="both"/>
        <w:rPr>
          <w:noProof/>
        </w:rPr>
      </w:pPr>
      <w:r w:rsidRPr="00F521F8">
        <w:rPr>
          <w:b/>
          <w:bCs/>
          <w:noProof/>
        </w:rPr>
        <w:t xml:space="preserve">Brief task overview: </w:t>
      </w:r>
      <w:r w:rsidRPr="00F521F8">
        <w:rPr>
          <w:noProof/>
        </w:rPr>
        <w:t xml:space="preserve">(1) Preparation and review of the guidelines on how to perform the benefit-risk assessment of the presence of phthalates in medical devices; (2) Preparation and review of the guidelines on how to perform the benefit-risk assessment of the presence of CMR and endocrine-disrupting substances in medical devices. (3) Ad hoc requests for opinion on safety of a chemical in medical devices (not part of the proposal but possible based on general clause in ECHA founding regulation). </w:t>
      </w:r>
    </w:p>
    <w:p w14:paraId="5579CFBE" w14:textId="77777777" w:rsidR="000A7D9D" w:rsidRPr="00F521F8" w:rsidRDefault="000A7D9D" w:rsidP="000A7D9D">
      <w:pPr>
        <w:pStyle w:val="BodyText"/>
        <w:rPr>
          <w:b/>
          <w:bCs/>
          <w:noProof/>
        </w:rPr>
      </w:pPr>
      <w:r w:rsidRPr="00F521F8">
        <w:rPr>
          <w:b/>
          <w:bCs/>
          <w:noProof/>
        </w:rPr>
        <w:t>Detailed process description:</w:t>
      </w:r>
    </w:p>
    <w:p w14:paraId="3D23893C"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color w:val="000000" w:themeColor="text1"/>
          <w:sz w:val="24"/>
          <w:szCs w:val="24"/>
          <w:u w:val="single"/>
        </w:rPr>
        <w:t>Current process:</w:t>
      </w:r>
    </w:p>
    <w:p w14:paraId="17549B24" w14:textId="77777777" w:rsidR="000A7D9D" w:rsidRPr="00F521F8" w:rsidRDefault="000A7D9D" w:rsidP="000A7D9D">
      <w:pPr>
        <w:spacing w:after="120"/>
        <w:jc w:val="both"/>
        <w:rPr>
          <w:rFonts w:ascii="Times New Roman" w:hAnsi="Times New Roman" w:cs="Times New Roman"/>
          <w:noProof/>
          <w:sz w:val="24"/>
          <w:szCs w:val="24"/>
        </w:rPr>
      </w:pPr>
      <w:r w:rsidRPr="00F521F8">
        <w:rPr>
          <w:rFonts w:ascii="Times New Roman" w:hAnsi="Times New Roman" w:cs="Times New Roman"/>
          <w:noProof/>
          <w:sz w:val="24"/>
          <w:szCs w:val="24"/>
        </w:rPr>
        <w:t xml:space="preserve">Article 5 paragraph 2 of the Regulation 2017/745 on medical devices stipulates: "A device shall meet the general safety and performance requirements set out in Annex I which apply to it, taking into account its intended purpose." Accordingly, Section 10.4 of Annex I, which deals with substances in medical devices, states that "Devices shall be designed and manufactured in such a way as to reduce as far as possible the risks posed by substances or particles, including wear debris, degradation products and processing residues, that may be released from the device." Particular substances of concern are those which (a) are carcinogenic, mutagenic or toxic to reproduction (CMR), of category 1A or 1B, or (b) have endocrine-disrupting properties (ED). </w:t>
      </w:r>
    </w:p>
    <w:p w14:paraId="23D06D7A"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rPr>
        <w:t xml:space="preserve">The Regulation further states that: </w:t>
      </w:r>
    </w:p>
    <w:p w14:paraId="0E049A0B"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rPr>
        <w:t>"Devices, or those parts thereof or those materials used therein that:</w:t>
      </w:r>
    </w:p>
    <w:p w14:paraId="61965EBA" w14:textId="77777777" w:rsidR="000A7D9D" w:rsidRPr="00F521F8" w:rsidRDefault="000A7D9D" w:rsidP="000A7D9D">
      <w:pPr>
        <w:widowControl w:val="0"/>
        <w:numPr>
          <w:ilvl w:val="0"/>
          <w:numId w:val="102"/>
        </w:numPr>
        <w:spacing w:after="120" w:line="240" w:lineRule="auto"/>
        <w:contextualSpacing/>
        <w:rPr>
          <w:rFonts w:ascii="Times New Roman" w:hAnsi="Times New Roman" w:cs="Times New Roman"/>
          <w:noProof/>
          <w:sz w:val="24"/>
          <w:szCs w:val="24"/>
        </w:rPr>
      </w:pPr>
      <w:r w:rsidRPr="00F521F8">
        <w:rPr>
          <w:rFonts w:ascii="Times New Roman" w:hAnsi="Times New Roman" w:cs="Times New Roman"/>
          <w:noProof/>
          <w:sz w:val="24"/>
          <w:szCs w:val="24"/>
        </w:rPr>
        <w:t>are invasive and come into direct contact with the human body,</w:t>
      </w:r>
    </w:p>
    <w:p w14:paraId="60BCF164" w14:textId="77777777" w:rsidR="000A7D9D" w:rsidRPr="00F521F8" w:rsidRDefault="000A7D9D" w:rsidP="000A7D9D">
      <w:pPr>
        <w:widowControl w:val="0"/>
        <w:numPr>
          <w:ilvl w:val="0"/>
          <w:numId w:val="102"/>
        </w:numPr>
        <w:spacing w:after="120" w:line="240" w:lineRule="auto"/>
        <w:contextualSpacing/>
        <w:rPr>
          <w:rFonts w:ascii="Times New Roman" w:hAnsi="Times New Roman" w:cs="Times New Roman"/>
          <w:noProof/>
          <w:sz w:val="24"/>
          <w:szCs w:val="24"/>
        </w:rPr>
      </w:pPr>
      <w:r w:rsidRPr="00F521F8">
        <w:rPr>
          <w:rFonts w:ascii="Times New Roman" w:hAnsi="Times New Roman" w:cs="Times New Roman"/>
          <w:noProof/>
          <w:sz w:val="24"/>
          <w:szCs w:val="24"/>
        </w:rPr>
        <w:t>(re)administer medicines, body liquids or other substances, including gases, to/from the body, or</w:t>
      </w:r>
    </w:p>
    <w:p w14:paraId="4B8571C7" w14:textId="77777777" w:rsidR="000A7D9D" w:rsidRPr="00F521F8" w:rsidRDefault="000A7D9D" w:rsidP="000A7D9D">
      <w:pPr>
        <w:widowControl w:val="0"/>
        <w:numPr>
          <w:ilvl w:val="0"/>
          <w:numId w:val="102"/>
        </w:numPr>
        <w:spacing w:after="120" w:line="240" w:lineRule="auto"/>
        <w:ind w:left="714" w:hanging="357"/>
        <w:rPr>
          <w:rFonts w:ascii="Times New Roman" w:hAnsi="Times New Roman" w:cs="Times New Roman"/>
          <w:noProof/>
          <w:sz w:val="24"/>
          <w:szCs w:val="24"/>
        </w:rPr>
      </w:pPr>
      <w:r w:rsidRPr="00F521F8">
        <w:rPr>
          <w:rFonts w:ascii="Times New Roman" w:hAnsi="Times New Roman" w:cs="Times New Roman"/>
          <w:noProof/>
          <w:sz w:val="24"/>
          <w:szCs w:val="24"/>
        </w:rPr>
        <w:t>transport or store such medicines, body fluids or substances, including gases, to be (re)administered to the body</w:t>
      </w:r>
    </w:p>
    <w:p w14:paraId="596AC113" w14:textId="77777777" w:rsidR="000A7D9D" w:rsidRPr="00F521F8" w:rsidRDefault="000A7D9D" w:rsidP="000A7D9D">
      <w:pPr>
        <w:spacing w:after="120"/>
        <w:jc w:val="both"/>
        <w:rPr>
          <w:rFonts w:ascii="Times New Roman" w:hAnsi="Times New Roman" w:cs="Times New Roman"/>
          <w:noProof/>
          <w:sz w:val="24"/>
          <w:szCs w:val="24"/>
        </w:rPr>
      </w:pPr>
      <w:r w:rsidRPr="00F521F8">
        <w:rPr>
          <w:rFonts w:ascii="Times New Roman" w:hAnsi="Times New Roman" w:cs="Times New Roman"/>
          <w:noProof/>
          <w:sz w:val="24"/>
          <w:szCs w:val="24"/>
        </w:rPr>
        <w:t>shall only contain any such substance above the concentration of 0.1% weight by weight where justified pursuant to Section 10.4.2. The justification shall be based on several elements, including the latest relevant scientific committee guidelines, if applicable and available.”</w:t>
      </w:r>
    </w:p>
    <w:p w14:paraId="6F7DD150" w14:textId="77777777" w:rsidR="000A7D9D" w:rsidRPr="00F521F8" w:rsidRDefault="000A7D9D" w:rsidP="000A7D9D">
      <w:pPr>
        <w:spacing w:after="120"/>
        <w:jc w:val="both"/>
        <w:rPr>
          <w:rFonts w:ascii="Times New Roman" w:hAnsi="Times New Roman" w:cs="Times New Roman"/>
          <w:noProof/>
          <w:sz w:val="24"/>
          <w:szCs w:val="24"/>
        </w:rPr>
      </w:pPr>
      <w:r w:rsidRPr="00F521F8">
        <w:rPr>
          <w:rFonts w:ascii="Times New Roman" w:hAnsi="Times New Roman" w:cs="Times New Roman"/>
          <w:noProof/>
          <w:sz w:val="24"/>
          <w:szCs w:val="24"/>
        </w:rPr>
        <w:t xml:space="preserve">Specifically for phtalates, according to Section 10.4.3, the Commission shall provide a mandate to the relevant scientific committee to prepare such guidelines for phthalates which are subject to these provisions. These guidelines are explicitly requested by the Regulation to be available at the latest on the date of application of the Regulation, and are to be updated whenever appropriate on the basis of the latest scientific evidence, </w:t>
      </w:r>
      <w:r w:rsidRPr="00F521F8">
        <w:rPr>
          <w:rFonts w:ascii="Times New Roman" w:hAnsi="Times New Roman" w:cs="Times New Roman"/>
          <w:noProof/>
          <w:color w:val="000000" w:themeColor="text1"/>
          <w:sz w:val="24"/>
          <w:szCs w:val="24"/>
        </w:rPr>
        <w:t>or at least every five years</w:t>
      </w:r>
      <w:r w:rsidRPr="00F521F8">
        <w:rPr>
          <w:rFonts w:ascii="Times New Roman" w:hAnsi="Times New Roman" w:cs="Times New Roman"/>
          <w:noProof/>
          <w:sz w:val="24"/>
          <w:szCs w:val="24"/>
        </w:rPr>
        <w:t>. In its latest guidelines of 2019, the SCHEER recommended that “Pending on new scientific evidence, it is recommended to evaluate the use and usefulness of these Guidelines after an application period of three years.”</w:t>
      </w:r>
    </w:p>
    <w:p w14:paraId="48D3DAFB"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rPr>
        <w:t>The Regulation also includes the option for the Commission to mandate the relevant committee to prepare guidelines on other CMR and endocrine-disrupting substances, where appropriate.</w:t>
      </w:r>
    </w:p>
    <w:p w14:paraId="02849ED6" w14:textId="77777777" w:rsidR="000A7D9D" w:rsidRPr="00F521F8" w:rsidRDefault="000A7D9D" w:rsidP="000A7D9D">
      <w:pPr>
        <w:spacing w:after="120"/>
        <w:jc w:val="both"/>
        <w:rPr>
          <w:rStyle w:val="Hyperlink"/>
          <w:rFonts w:eastAsia="Calibri"/>
          <w:noProof/>
          <w:sz w:val="24"/>
        </w:rPr>
      </w:pPr>
      <w:r w:rsidRPr="00F521F8">
        <w:rPr>
          <w:rFonts w:ascii="Times New Roman" w:hAnsi="Times New Roman" w:cs="Times New Roman"/>
          <w:noProof/>
          <w:color w:val="000000" w:themeColor="text1"/>
          <w:sz w:val="24"/>
          <w:szCs w:val="24"/>
        </w:rPr>
        <w:t xml:space="preserve">Upon request by DG SANTE, the guidelines and opinions are produced by the relevant committee (SCHEER). The process includes public consultation. Opinions are delivered to the Commission who publishes them. The list of recent SCHEER opinions is </w:t>
      </w:r>
      <w:r w:rsidRPr="00F521F8">
        <w:rPr>
          <w:rFonts w:ascii="Times New Roman" w:hAnsi="Times New Roman" w:cs="Times New Roman"/>
          <w:noProof/>
          <w:sz w:val="24"/>
          <w:szCs w:val="24"/>
        </w:rPr>
        <w:t xml:space="preserve"> </w:t>
      </w:r>
      <w:hyperlink r:id="rId76">
        <w:r w:rsidRPr="00F521F8">
          <w:rPr>
            <w:rStyle w:val="Hyperlink"/>
            <w:rFonts w:eastAsia="Calibri"/>
            <w:noProof/>
            <w:sz w:val="24"/>
          </w:rPr>
          <w:t>https://health.ec.europa.eu/scientific-committees/scientific-committee-health-environmental-and-emerging-risks-scheer/scheer-opinions_en</w:t>
        </w:r>
      </w:hyperlink>
      <w:r w:rsidRPr="00F521F8">
        <w:rPr>
          <w:rStyle w:val="Hyperlink"/>
          <w:rFonts w:eastAsia="Calibri"/>
          <w:noProof/>
          <w:sz w:val="24"/>
        </w:rPr>
        <w:t xml:space="preserve"> </w:t>
      </w:r>
    </w:p>
    <w:p w14:paraId="34CE2E71" w14:textId="77777777" w:rsidR="000A7D9D" w:rsidRPr="00F521F8" w:rsidRDefault="000A7D9D" w:rsidP="000A7D9D">
      <w:pPr>
        <w:spacing w:after="120"/>
        <w:jc w:val="both"/>
        <w:rPr>
          <w:rFonts w:ascii="Times New Roman" w:hAnsi="Times New Roman" w:cs="Times New Roman"/>
          <w:noProof/>
          <w:color w:val="000000"/>
          <w:sz w:val="24"/>
          <w:szCs w:val="24"/>
        </w:rPr>
      </w:pPr>
      <w:r w:rsidRPr="00F521F8">
        <w:rPr>
          <w:rFonts w:ascii="Times New Roman" w:hAnsi="Times New Roman" w:cs="Times New Roman"/>
          <w:noProof/>
          <w:sz w:val="24"/>
          <w:szCs w:val="24"/>
        </w:rPr>
        <w:t xml:space="preserve">The first guideline on how to perform the benefit-risk assessment of the presence of phthalates in medical devices was prepared by SCHEER committee on request of the Commission in 2019. The guideline is available </w:t>
      </w:r>
      <w:hyperlink r:id="rId77">
        <w:r w:rsidRPr="00F521F8">
          <w:rPr>
            <w:rStyle w:val="Hyperlink"/>
            <w:noProof/>
            <w:sz w:val="24"/>
          </w:rPr>
          <w:t>here</w:t>
        </w:r>
      </w:hyperlink>
      <w:r w:rsidRPr="00F521F8">
        <w:rPr>
          <w:rFonts w:ascii="Times New Roman" w:hAnsi="Times New Roman" w:cs="Times New Roman"/>
          <w:noProof/>
          <w:sz w:val="24"/>
          <w:szCs w:val="24"/>
        </w:rPr>
        <w:t xml:space="preserve"> </w:t>
      </w:r>
      <w:r w:rsidRPr="00F521F8">
        <w:rPr>
          <w:rFonts w:ascii="Times New Roman" w:hAnsi="Times New Roman" w:cs="Times New Roman"/>
          <w:noProof/>
          <w:color w:val="000000" w:themeColor="text1"/>
          <w:sz w:val="24"/>
          <w:szCs w:val="24"/>
        </w:rPr>
        <w:t xml:space="preserve">and an example of benefit/risk assessment opinion on a substance (DEHP) is available </w:t>
      </w:r>
      <w:hyperlink r:id="rId78">
        <w:r w:rsidRPr="00F521F8">
          <w:rPr>
            <w:rFonts w:ascii="Times New Roman" w:hAnsi="Times New Roman" w:cs="Times New Roman"/>
            <w:noProof/>
            <w:color w:val="0000FF"/>
            <w:sz w:val="24"/>
            <w:szCs w:val="24"/>
            <w:u w:val="single"/>
          </w:rPr>
          <w:t>here</w:t>
        </w:r>
      </w:hyperlink>
      <w:r w:rsidRPr="00F521F8">
        <w:rPr>
          <w:rFonts w:ascii="Times New Roman" w:hAnsi="Times New Roman" w:cs="Times New Roman"/>
          <w:noProof/>
          <w:color w:val="000000" w:themeColor="text1"/>
          <w:sz w:val="24"/>
          <w:szCs w:val="24"/>
        </w:rPr>
        <w:t>.</w:t>
      </w:r>
    </w:p>
    <w:p w14:paraId="64D86F74" w14:textId="77777777" w:rsidR="000A7D9D" w:rsidRPr="00F521F8" w:rsidRDefault="000A7D9D" w:rsidP="000A7D9D">
      <w:pPr>
        <w:tabs>
          <w:tab w:val="left" w:pos="5663"/>
        </w:tabs>
        <w:spacing w:before="120" w:after="120"/>
        <w:jc w:val="both"/>
        <w:rPr>
          <w:rFonts w:ascii="Times New Roman" w:hAnsi="Times New Roman" w:cs="Times New Roman"/>
          <w:noProof/>
          <w:color w:val="000000" w:themeColor="text1"/>
          <w:sz w:val="24"/>
          <w:szCs w:val="24"/>
        </w:rPr>
      </w:pPr>
      <w:r w:rsidRPr="00F521F8">
        <w:rPr>
          <w:rFonts w:ascii="Times New Roman" w:hAnsi="Times New Roman" w:cs="Times New Roman"/>
          <w:noProof/>
          <w:color w:val="000000" w:themeColor="text1"/>
          <w:sz w:val="24"/>
          <w:szCs w:val="24"/>
        </w:rPr>
        <w:t>There was no request for the p</w:t>
      </w:r>
      <w:r w:rsidRPr="00F521F8">
        <w:rPr>
          <w:rFonts w:ascii="Times New Roman" w:hAnsi="Times New Roman" w:cs="Times New Roman"/>
          <w:noProof/>
          <w:sz w:val="24"/>
          <w:szCs w:val="24"/>
        </w:rPr>
        <w:t>reparation of the guidelines on how to perform the benefit-risk assessment of the presence of CMR and endocrine-disrupting substances in medical device</w:t>
      </w:r>
      <w:r w:rsidRPr="00F521F8">
        <w:rPr>
          <w:rFonts w:ascii="Times New Roman" w:hAnsi="Times New Roman" w:cs="Times New Roman"/>
          <w:noProof/>
          <w:color w:val="000000" w:themeColor="text1"/>
          <w:sz w:val="24"/>
          <w:szCs w:val="24"/>
        </w:rPr>
        <w:t xml:space="preserve"> and no such guidelines exists. </w:t>
      </w:r>
    </w:p>
    <w:p w14:paraId="5E38B424" w14:textId="77777777" w:rsidR="000A7D9D" w:rsidRPr="00F521F8" w:rsidRDefault="000A7D9D" w:rsidP="000A7D9D">
      <w:pPr>
        <w:tabs>
          <w:tab w:val="left" w:pos="5663"/>
        </w:tabs>
        <w:spacing w:before="120" w:after="120"/>
        <w:rPr>
          <w:rFonts w:ascii="Times New Roman" w:eastAsiaTheme="minorEastAsia" w:hAnsi="Times New Roman" w:cs="Times New Roman"/>
          <w:noProof/>
          <w:color w:val="000000" w:themeColor="text1"/>
          <w:sz w:val="24"/>
          <w:szCs w:val="24"/>
          <w:u w:val="single"/>
        </w:rPr>
      </w:pPr>
      <w:r w:rsidRPr="00F521F8">
        <w:rPr>
          <w:rFonts w:ascii="Times New Roman" w:hAnsi="Times New Roman" w:cs="Times New Roman"/>
          <w:noProof/>
          <w:color w:val="000000" w:themeColor="text1"/>
          <w:sz w:val="24"/>
          <w:szCs w:val="24"/>
          <w:u w:val="single"/>
        </w:rPr>
        <w:t>Changes in the process: Yes</w:t>
      </w:r>
    </w:p>
    <w:p w14:paraId="4063C4B6" w14:textId="77777777" w:rsidR="000A7D9D" w:rsidRPr="00F521F8" w:rsidRDefault="000A7D9D" w:rsidP="000A7D9D">
      <w:pPr>
        <w:tabs>
          <w:tab w:val="left" w:pos="5663"/>
        </w:tabs>
        <w:spacing w:before="120" w:after="120"/>
        <w:jc w:val="both"/>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color w:val="000000" w:themeColor="text1"/>
          <w:sz w:val="24"/>
          <w:szCs w:val="24"/>
        </w:rPr>
        <w:t xml:space="preserve">The Commission would request ECHA to prepare or review the guidelines on how </w:t>
      </w:r>
      <w:r w:rsidRPr="00F521F8">
        <w:rPr>
          <w:rFonts w:ascii="Times New Roman" w:eastAsiaTheme="minorEastAsia" w:hAnsi="Times New Roman" w:cs="Times New Roman"/>
          <w:noProof/>
          <w:sz w:val="24"/>
          <w:szCs w:val="24"/>
        </w:rPr>
        <w:t xml:space="preserve">to perform the benefit-risk assessment of the presence of CMRs, endocrine disruptors and phthalates. The guideline would be developed or reviewed by ECHA secretariat and when appropriate or when </w:t>
      </w:r>
      <w:r w:rsidRPr="00F521F8">
        <w:rPr>
          <w:rFonts w:ascii="Times New Roman" w:eastAsiaTheme="minorEastAsia" w:hAnsi="Times New Roman" w:cs="Times New Roman"/>
          <w:noProof/>
          <w:color w:val="000000" w:themeColor="text1"/>
          <w:sz w:val="24"/>
          <w:szCs w:val="24"/>
        </w:rPr>
        <w:t>requested by the Commission, ECHA will consult the Committee for Risk Assessment and the Committee for Socio-Economic Analysis.</w:t>
      </w:r>
      <w:r w:rsidRPr="00F521F8">
        <w:rPr>
          <w:rFonts w:ascii="Times New Roman" w:eastAsiaTheme="minorEastAsia" w:hAnsi="Times New Roman" w:cs="Times New Roman"/>
          <w:noProof/>
          <w:sz w:val="24"/>
          <w:szCs w:val="24"/>
        </w:rPr>
        <w:t xml:space="preserve"> </w:t>
      </w:r>
    </w:p>
    <w:p w14:paraId="4E7E48B7" w14:textId="77777777" w:rsidR="000A7D9D" w:rsidRPr="00F521F8" w:rsidRDefault="000A7D9D" w:rsidP="000A7D9D">
      <w:pPr>
        <w:tabs>
          <w:tab w:val="left" w:pos="5663"/>
        </w:tabs>
        <w:spacing w:after="120"/>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The process would follow a standardised procedure, including most likely the following steps:</w:t>
      </w:r>
    </w:p>
    <w:p w14:paraId="5DB88313" w14:textId="77777777" w:rsidR="000A7D9D" w:rsidRPr="00F521F8" w:rsidRDefault="000A7D9D" w:rsidP="000A7D9D">
      <w:pPr>
        <w:widowControl w:val="0"/>
        <w:numPr>
          <w:ilvl w:val="0"/>
          <w:numId w:val="103"/>
        </w:numPr>
        <w:tabs>
          <w:tab w:val="left" w:pos="5663"/>
        </w:tabs>
        <w:spacing w:after="0" w:line="240" w:lineRule="auto"/>
        <w:contextualSpacing/>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The Commission issues the request for an opinion</w:t>
      </w:r>
    </w:p>
    <w:p w14:paraId="0A894DA4" w14:textId="77777777" w:rsidR="000A7D9D" w:rsidRPr="00F521F8" w:rsidRDefault="000A7D9D" w:rsidP="000A7D9D">
      <w:pPr>
        <w:widowControl w:val="0"/>
        <w:numPr>
          <w:ilvl w:val="0"/>
          <w:numId w:val="103"/>
        </w:numPr>
        <w:tabs>
          <w:tab w:val="left" w:pos="5663"/>
        </w:tabs>
        <w:spacing w:after="0" w:line="240" w:lineRule="auto"/>
        <w:contextualSpacing/>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Substance identification and prioritisation</w:t>
      </w:r>
    </w:p>
    <w:p w14:paraId="507448F8" w14:textId="77777777" w:rsidR="000A7D9D" w:rsidRPr="00F521F8" w:rsidRDefault="000A7D9D" w:rsidP="000A7D9D">
      <w:pPr>
        <w:widowControl w:val="0"/>
        <w:numPr>
          <w:ilvl w:val="0"/>
          <w:numId w:val="103"/>
        </w:numPr>
        <w:tabs>
          <w:tab w:val="left" w:pos="5663"/>
        </w:tabs>
        <w:spacing w:after="0" w:line="240" w:lineRule="auto"/>
        <w:contextualSpacing/>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Dossier preparation (by ECHA staff) with risk assessment, including</w:t>
      </w:r>
    </w:p>
    <w:p w14:paraId="18203B5F" w14:textId="77777777" w:rsidR="000A7D9D" w:rsidRPr="00F521F8" w:rsidRDefault="000A7D9D" w:rsidP="000A7D9D">
      <w:pPr>
        <w:widowControl w:val="0"/>
        <w:numPr>
          <w:ilvl w:val="1"/>
          <w:numId w:val="103"/>
        </w:numPr>
        <w:tabs>
          <w:tab w:val="left" w:pos="5663"/>
        </w:tabs>
        <w:spacing w:after="0" w:line="240" w:lineRule="auto"/>
        <w:contextualSpacing/>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Hazard/risk assessment</w:t>
      </w:r>
    </w:p>
    <w:p w14:paraId="279266DB" w14:textId="77777777" w:rsidR="000A7D9D" w:rsidRPr="00F521F8" w:rsidRDefault="000A7D9D" w:rsidP="000A7D9D">
      <w:pPr>
        <w:widowControl w:val="0"/>
        <w:numPr>
          <w:ilvl w:val="1"/>
          <w:numId w:val="103"/>
        </w:numPr>
        <w:tabs>
          <w:tab w:val="left" w:pos="5663"/>
        </w:tabs>
        <w:spacing w:after="0" w:line="240" w:lineRule="auto"/>
        <w:contextualSpacing/>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Exposure assessment</w:t>
      </w:r>
    </w:p>
    <w:p w14:paraId="3680B401" w14:textId="77777777" w:rsidR="000A7D9D" w:rsidRPr="00F521F8" w:rsidRDefault="000A7D9D" w:rsidP="000A7D9D">
      <w:pPr>
        <w:widowControl w:val="0"/>
        <w:numPr>
          <w:ilvl w:val="1"/>
          <w:numId w:val="103"/>
        </w:numPr>
        <w:tabs>
          <w:tab w:val="left" w:pos="5663"/>
        </w:tabs>
        <w:spacing w:after="0" w:line="240" w:lineRule="auto"/>
        <w:contextualSpacing/>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Assessment of alternatives</w:t>
      </w:r>
    </w:p>
    <w:p w14:paraId="0286590B" w14:textId="77777777" w:rsidR="000A7D9D" w:rsidRPr="00F521F8" w:rsidRDefault="000A7D9D" w:rsidP="000A7D9D">
      <w:pPr>
        <w:widowControl w:val="0"/>
        <w:numPr>
          <w:ilvl w:val="0"/>
          <w:numId w:val="103"/>
        </w:numPr>
        <w:tabs>
          <w:tab w:val="left" w:pos="5663"/>
        </w:tabs>
        <w:spacing w:after="0" w:line="240" w:lineRule="auto"/>
        <w:contextualSpacing/>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Call for evidence/public consultation</w:t>
      </w:r>
    </w:p>
    <w:p w14:paraId="7712A3D4" w14:textId="77777777" w:rsidR="000A7D9D" w:rsidRPr="00F521F8" w:rsidRDefault="000A7D9D" w:rsidP="000A7D9D">
      <w:pPr>
        <w:widowControl w:val="0"/>
        <w:numPr>
          <w:ilvl w:val="0"/>
          <w:numId w:val="103"/>
        </w:numPr>
        <w:tabs>
          <w:tab w:val="left" w:pos="5663"/>
        </w:tabs>
        <w:spacing w:after="0" w:line="240" w:lineRule="auto"/>
        <w:contextualSpacing/>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Potentially RAC opinion development</w:t>
      </w:r>
    </w:p>
    <w:p w14:paraId="2123FBFF" w14:textId="77777777" w:rsidR="000A7D9D" w:rsidRPr="00F521F8" w:rsidRDefault="000A7D9D" w:rsidP="000A7D9D">
      <w:pPr>
        <w:widowControl w:val="0"/>
        <w:numPr>
          <w:ilvl w:val="0"/>
          <w:numId w:val="103"/>
        </w:numPr>
        <w:tabs>
          <w:tab w:val="left" w:pos="5663"/>
        </w:tabs>
        <w:spacing w:after="120" w:line="240" w:lineRule="auto"/>
        <w:contextualSpacing/>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 xml:space="preserve">Potentially SEAC opinion development </w:t>
      </w:r>
    </w:p>
    <w:p w14:paraId="7C87397A" w14:textId="77777777" w:rsidR="000A7D9D" w:rsidRPr="00F521F8" w:rsidRDefault="000A7D9D" w:rsidP="000A7D9D">
      <w:pPr>
        <w:pStyle w:val="BodyText"/>
        <w:jc w:val="both"/>
        <w:rPr>
          <w:noProof/>
        </w:rPr>
      </w:pPr>
      <w:r w:rsidRPr="00F521F8">
        <w:rPr>
          <w:b/>
          <w:bCs/>
          <w:noProof/>
        </w:rPr>
        <w:t xml:space="preserve">Proximity to ECHA mandate: </w:t>
      </w:r>
      <w:r w:rsidRPr="00F521F8">
        <w:rPr>
          <w:noProof/>
        </w:rPr>
        <w:t xml:space="preserve">The development of the guidelines on how to perform the risk-benefit analysis for the use of substances fits well with the mandate of ECHA, which develops various guidelines for industry for the implementation of REACH (e.g. guidelines on risk assessment of chemicals, guidelines on assessment of alternatives of chemicals, guideline on socio-economic assessment).  </w:t>
      </w:r>
    </w:p>
    <w:p w14:paraId="6AB50756" w14:textId="77777777" w:rsidR="000A7D9D" w:rsidRPr="00F521F8" w:rsidRDefault="000A7D9D" w:rsidP="000A7D9D">
      <w:pPr>
        <w:pStyle w:val="BodyText"/>
        <w:rPr>
          <w:b/>
          <w:bCs/>
          <w:noProof/>
        </w:rPr>
      </w:pPr>
      <w:r w:rsidRPr="00F521F8">
        <w:rPr>
          <w:b/>
          <w:bCs/>
          <w:noProof/>
        </w:rPr>
        <w:t>Projected synergies and added value of reattribution:</w:t>
      </w:r>
    </w:p>
    <w:tbl>
      <w:tblPr>
        <w:tblStyle w:val="TableGrid31"/>
        <w:tblW w:w="0" w:type="auto"/>
        <w:tblLook w:val="04A0" w:firstRow="1" w:lastRow="0" w:firstColumn="1" w:lastColumn="0" w:noHBand="0" w:noVBand="1"/>
      </w:tblPr>
      <w:tblGrid>
        <w:gridCol w:w="1728"/>
        <w:gridCol w:w="1119"/>
        <w:gridCol w:w="6782"/>
      </w:tblGrid>
      <w:tr w:rsidR="000A7D9D" w:rsidRPr="00F521F8" w14:paraId="1BD2BD90" w14:textId="77777777" w:rsidTr="00F31937">
        <w:trPr>
          <w:trHeight w:val="300"/>
        </w:trPr>
        <w:tc>
          <w:tcPr>
            <w:tcW w:w="1728" w:type="dxa"/>
            <w:tcBorders>
              <w:top w:val="single" w:sz="4" w:space="0" w:color="auto"/>
              <w:left w:val="single" w:sz="4" w:space="0" w:color="auto"/>
              <w:bottom w:val="single" w:sz="4" w:space="0" w:color="auto"/>
              <w:right w:val="single" w:sz="4" w:space="0" w:color="auto"/>
            </w:tcBorders>
            <w:hideMark/>
          </w:tcPr>
          <w:p w14:paraId="3DE75E8F" w14:textId="77777777" w:rsidR="000A7D9D" w:rsidRPr="00F521F8" w:rsidRDefault="000A7D9D" w:rsidP="00F31937">
            <w:pPr>
              <w:spacing w:before="120" w:after="120"/>
              <w:rPr>
                <w:rFonts w:ascii="Times New Roman" w:hAnsi="Times New Roman"/>
                <w:b/>
                <w:bCs/>
                <w:noProof/>
                <w:color w:val="0046AD"/>
                <w:sz w:val="24"/>
                <w:szCs w:val="24"/>
              </w:rPr>
            </w:pPr>
            <w:r w:rsidRPr="00F521F8">
              <w:rPr>
                <w:rFonts w:ascii="Times New Roman" w:hAnsi="Times New Roman"/>
                <w:b/>
                <w:bCs/>
                <w:noProof/>
                <w:color w:val="4472C4" w:themeColor="accent1"/>
                <w:sz w:val="24"/>
                <w:szCs w:val="24"/>
              </w:rPr>
              <w:t>Type</w:t>
            </w:r>
          </w:p>
        </w:tc>
        <w:tc>
          <w:tcPr>
            <w:tcW w:w="7901" w:type="dxa"/>
            <w:gridSpan w:val="2"/>
            <w:tcBorders>
              <w:top w:val="single" w:sz="4" w:space="0" w:color="auto"/>
              <w:left w:val="single" w:sz="4" w:space="0" w:color="auto"/>
              <w:bottom w:val="single" w:sz="4" w:space="0" w:color="auto"/>
              <w:right w:val="single" w:sz="4" w:space="0" w:color="auto"/>
            </w:tcBorders>
            <w:hideMark/>
          </w:tcPr>
          <w:p w14:paraId="70237880" w14:textId="77777777" w:rsidR="000A7D9D" w:rsidRPr="00F521F8" w:rsidRDefault="000A7D9D" w:rsidP="00F31937">
            <w:pPr>
              <w:spacing w:before="120" w:after="120"/>
              <w:rPr>
                <w:rFonts w:ascii="Times New Roman" w:hAnsi="Times New Roman"/>
                <w:b/>
                <w:bCs/>
                <w:noProof/>
                <w:color w:val="0046AD"/>
                <w:sz w:val="24"/>
                <w:szCs w:val="24"/>
              </w:rPr>
            </w:pPr>
            <w:r w:rsidRPr="00F521F8">
              <w:rPr>
                <w:rFonts w:ascii="Times New Roman" w:hAnsi="Times New Roman"/>
                <w:b/>
                <w:bCs/>
                <w:noProof/>
                <w:color w:val="4472C4" w:themeColor="accent1"/>
                <w:sz w:val="24"/>
                <w:szCs w:val="24"/>
              </w:rPr>
              <w:t>Synergies</w:t>
            </w:r>
          </w:p>
        </w:tc>
      </w:tr>
      <w:tr w:rsidR="000A7D9D" w:rsidRPr="00F521F8" w14:paraId="4F995A24"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7EBF08E9"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noProof/>
                <w:color w:val="000000" w:themeColor="text1"/>
                <w:sz w:val="24"/>
                <w:szCs w:val="24"/>
              </w:rPr>
              <w:t>Reuse of capabilities</w:t>
            </w:r>
          </w:p>
        </w:tc>
        <w:tc>
          <w:tcPr>
            <w:tcW w:w="1119" w:type="dxa"/>
            <w:tcBorders>
              <w:top w:val="single" w:sz="4" w:space="0" w:color="auto"/>
              <w:left w:val="single" w:sz="4" w:space="0" w:color="auto"/>
              <w:bottom w:val="single" w:sz="4" w:space="0" w:color="auto"/>
              <w:right w:val="single" w:sz="4" w:space="0" w:color="auto"/>
            </w:tcBorders>
            <w:hideMark/>
          </w:tcPr>
          <w:p w14:paraId="01C5DD6A"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1ECBEE45"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Process and expertise: ECHA already provides scientific advice on chemical substances, including on phthalates, endocrine disruptors and CMRs under REACH and other legislation. Several key capacities can be reused/reinforced:</w:t>
            </w:r>
          </w:p>
          <w:p w14:paraId="1080A0D8" w14:textId="77777777" w:rsidR="000A7D9D" w:rsidRPr="00F521F8" w:rsidRDefault="000A7D9D" w:rsidP="000A7D9D">
            <w:pPr>
              <w:numPr>
                <w:ilvl w:val="0"/>
                <w:numId w:val="21"/>
              </w:numPr>
              <w:snapToGrid w:val="0"/>
              <w:ind w:left="720"/>
              <w:contextualSpacing/>
              <w:rPr>
                <w:rFonts w:ascii="Times New Roman" w:hAnsi="Times New Roman"/>
                <w:noProof/>
                <w:sz w:val="24"/>
                <w:szCs w:val="24"/>
              </w:rPr>
            </w:pPr>
            <w:r w:rsidRPr="00F521F8">
              <w:rPr>
                <w:rFonts w:ascii="Times New Roman" w:hAnsi="Times New Roman"/>
                <w:noProof/>
                <w:sz w:val="24"/>
                <w:szCs w:val="24"/>
              </w:rPr>
              <w:t>Hazard, risk, exposure and socio-economic assessment</w:t>
            </w:r>
          </w:p>
          <w:p w14:paraId="31A7256F" w14:textId="77777777" w:rsidR="000A7D9D" w:rsidRPr="00F521F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F521F8">
              <w:rPr>
                <w:rFonts w:ascii="Times New Roman" w:hAnsi="Times New Roman"/>
                <w:noProof/>
                <w:sz w:val="24"/>
                <w:szCs w:val="24"/>
              </w:rPr>
              <w:t>Committee opinion development</w:t>
            </w:r>
          </w:p>
          <w:p w14:paraId="7453D82E" w14:textId="77777777" w:rsidR="000A7D9D" w:rsidRPr="00F521F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F521F8">
              <w:rPr>
                <w:rFonts w:ascii="Times New Roman" w:hAnsi="Times New Roman"/>
                <w:noProof/>
                <w:color w:val="000000" w:themeColor="text1"/>
                <w:sz w:val="24"/>
                <w:szCs w:val="24"/>
              </w:rPr>
              <w:t>IT capabilities for stakeholder consultation and dissemination (including regulatory intentions)</w:t>
            </w:r>
          </w:p>
        </w:tc>
      </w:tr>
      <w:tr w:rsidR="000A7D9D" w:rsidRPr="00F521F8" w14:paraId="6484CF7D"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4923F39D"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noProof/>
                <w:color w:val="000000" w:themeColor="text1"/>
                <w:sz w:val="24"/>
                <w:szCs w:val="24"/>
              </w:rPr>
              <w:t>Re-use of data</w:t>
            </w:r>
          </w:p>
        </w:tc>
        <w:tc>
          <w:tcPr>
            <w:tcW w:w="1119" w:type="dxa"/>
            <w:tcBorders>
              <w:top w:val="single" w:sz="4" w:space="0" w:color="auto"/>
              <w:left w:val="single" w:sz="4" w:space="0" w:color="auto"/>
              <w:bottom w:val="single" w:sz="4" w:space="0" w:color="auto"/>
              <w:right w:val="single" w:sz="4" w:space="0" w:color="auto"/>
            </w:tcBorders>
            <w:hideMark/>
          </w:tcPr>
          <w:p w14:paraId="0345B464"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24261874"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Reuse of data collected under other chemical legislation, especially also on substances in products such as medical devices via the SCIP database.</w:t>
            </w:r>
          </w:p>
        </w:tc>
      </w:tr>
      <w:tr w:rsidR="000A7D9D" w:rsidRPr="00F521F8" w14:paraId="0C73F52B"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5618EBD7"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noProof/>
                <w:color w:val="000000" w:themeColor="text1"/>
                <w:sz w:val="24"/>
                <w:szCs w:val="24"/>
              </w:rPr>
              <w:t>Workload balancing</w:t>
            </w:r>
          </w:p>
        </w:tc>
        <w:tc>
          <w:tcPr>
            <w:tcW w:w="1119" w:type="dxa"/>
            <w:tcBorders>
              <w:top w:val="single" w:sz="4" w:space="0" w:color="auto"/>
              <w:left w:val="single" w:sz="4" w:space="0" w:color="auto"/>
              <w:bottom w:val="single" w:sz="4" w:space="0" w:color="auto"/>
              <w:right w:val="single" w:sz="4" w:space="0" w:color="auto"/>
            </w:tcBorders>
            <w:hideMark/>
          </w:tcPr>
          <w:p w14:paraId="151C737F"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Medium</w:t>
            </w:r>
          </w:p>
        </w:tc>
        <w:tc>
          <w:tcPr>
            <w:tcW w:w="6782" w:type="dxa"/>
            <w:tcBorders>
              <w:top w:val="single" w:sz="4" w:space="0" w:color="auto"/>
              <w:left w:val="single" w:sz="4" w:space="0" w:color="auto"/>
              <w:bottom w:val="single" w:sz="4" w:space="0" w:color="auto"/>
              <w:right w:val="single" w:sz="4" w:space="0" w:color="auto"/>
            </w:tcBorders>
            <w:hideMark/>
          </w:tcPr>
          <w:p w14:paraId="7F87812F"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In a 5-year cycle, the workload of Agency experts and Committee experts can be balanced (although resource estimates are already annualised).</w:t>
            </w:r>
          </w:p>
        </w:tc>
      </w:tr>
      <w:tr w:rsidR="000A7D9D" w:rsidRPr="00F521F8" w14:paraId="39268569"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5791274B"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noProof/>
                <w:color w:val="000000" w:themeColor="text1"/>
                <w:sz w:val="24"/>
                <w:szCs w:val="24"/>
              </w:rPr>
              <w:t>IT tools: automation and economies of scale</w:t>
            </w:r>
          </w:p>
        </w:tc>
        <w:tc>
          <w:tcPr>
            <w:tcW w:w="1119" w:type="dxa"/>
            <w:tcBorders>
              <w:top w:val="single" w:sz="4" w:space="0" w:color="auto"/>
              <w:left w:val="single" w:sz="4" w:space="0" w:color="auto"/>
              <w:bottom w:val="single" w:sz="4" w:space="0" w:color="auto"/>
              <w:right w:val="single" w:sz="4" w:space="0" w:color="auto"/>
            </w:tcBorders>
            <w:hideMark/>
          </w:tcPr>
          <w:p w14:paraId="769D5CAF"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0DF989C2"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Not an IT-intensive process, but reuse of IT capabilities for case management, public consultation, interaction with Member States, regulatory intentions management and data dissemination.</w:t>
            </w:r>
          </w:p>
        </w:tc>
      </w:tr>
      <w:tr w:rsidR="000A7D9D" w:rsidRPr="00F521F8" w14:paraId="18B5AA99" w14:textId="77777777" w:rsidTr="00F31937">
        <w:tc>
          <w:tcPr>
            <w:tcW w:w="1728" w:type="dxa"/>
            <w:tcBorders>
              <w:top w:val="single" w:sz="4" w:space="0" w:color="auto"/>
              <w:left w:val="single" w:sz="4" w:space="0" w:color="auto"/>
              <w:bottom w:val="single" w:sz="4" w:space="0" w:color="auto"/>
              <w:right w:val="single" w:sz="4" w:space="0" w:color="auto"/>
            </w:tcBorders>
            <w:hideMark/>
          </w:tcPr>
          <w:p w14:paraId="15D8CDE3"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noProof/>
                <w:color w:val="000000" w:themeColor="text1"/>
                <w:sz w:val="24"/>
                <w:szCs w:val="24"/>
              </w:rPr>
              <w:t>Support services: economies of scale</w:t>
            </w:r>
          </w:p>
        </w:tc>
        <w:tc>
          <w:tcPr>
            <w:tcW w:w="1119" w:type="dxa"/>
            <w:tcBorders>
              <w:top w:val="single" w:sz="4" w:space="0" w:color="auto"/>
              <w:left w:val="single" w:sz="4" w:space="0" w:color="auto"/>
              <w:bottom w:val="single" w:sz="4" w:space="0" w:color="auto"/>
              <w:right w:val="single" w:sz="4" w:space="0" w:color="auto"/>
            </w:tcBorders>
            <w:hideMark/>
          </w:tcPr>
          <w:p w14:paraId="395F2E8B"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High</w:t>
            </w:r>
          </w:p>
        </w:tc>
        <w:tc>
          <w:tcPr>
            <w:tcW w:w="6782" w:type="dxa"/>
            <w:tcBorders>
              <w:top w:val="single" w:sz="4" w:space="0" w:color="auto"/>
              <w:left w:val="single" w:sz="4" w:space="0" w:color="auto"/>
              <w:bottom w:val="single" w:sz="4" w:space="0" w:color="auto"/>
              <w:right w:val="single" w:sz="4" w:space="0" w:color="auto"/>
            </w:tcBorders>
            <w:hideMark/>
          </w:tcPr>
          <w:p w14:paraId="1389635D"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Reuse of scientific support services (e.g. committee secretariat, prioritisation and grouping of substances, substance identification, data management and dissemination). Reuse of administrative services.</w:t>
            </w:r>
          </w:p>
        </w:tc>
      </w:tr>
    </w:tbl>
    <w:p w14:paraId="0C5E71D2" w14:textId="77777777" w:rsidR="000A7D9D" w:rsidRPr="00F521F8" w:rsidRDefault="000A7D9D" w:rsidP="000A7D9D">
      <w:pPr>
        <w:pStyle w:val="BodyText"/>
        <w:rPr>
          <w:noProof/>
          <w:u w:val="single"/>
        </w:rPr>
      </w:pPr>
      <w:r w:rsidRPr="00F521F8">
        <w:rPr>
          <w:noProof/>
        </w:rPr>
        <w:br/>
      </w:r>
    </w:p>
    <w:tbl>
      <w:tblPr>
        <w:tblStyle w:val="TableGrid"/>
        <w:tblW w:w="0" w:type="auto"/>
        <w:tblLook w:val="04A0" w:firstRow="1" w:lastRow="0" w:firstColumn="1" w:lastColumn="0" w:noHBand="0" w:noVBand="1"/>
      </w:tblPr>
      <w:tblGrid>
        <w:gridCol w:w="1822"/>
        <w:gridCol w:w="1057"/>
        <w:gridCol w:w="6750"/>
      </w:tblGrid>
      <w:tr w:rsidR="000A7D9D" w:rsidRPr="00F521F8" w14:paraId="347F9AD7"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1E414EA5" w14:textId="77777777" w:rsidR="000A7D9D" w:rsidRPr="00F521F8" w:rsidRDefault="000A7D9D" w:rsidP="00F31937">
            <w:pPr>
              <w:spacing w:before="120" w:after="120"/>
              <w:rPr>
                <w:b/>
                <w:bCs/>
                <w:noProof/>
                <w:color w:val="0046AD"/>
                <w:sz w:val="24"/>
                <w:szCs w:val="24"/>
              </w:rPr>
            </w:pPr>
            <w:r w:rsidRPr="00F521F8">
              <w:rPr>
                <w:b/>
                <w:noProof/>
                <w:color w:val="4472C4" w:themeColor="accent1"/>
                <w:sz w:val="24"/>
                <w:szCs w:val="24"/>
              </w:rPr>
              <w:t>Type</w:t>
            </w:r>
          </w:p>
        </w:tc>
        <w:tc>
          <w:tcPr>
            <w:tcW w:w="7807" w:type="dxa"/>
            <w:gridSpan w:val="2"/>
            <w:tcBorders>
              <w:top w:val="single" w:sz="4" w:space="0" w:color="auto"/>
              <w:left w:val="single" w:sz="4" w:space="0" w:color="auto"/>
              <w:bottom w:val="single" w:sz="4" w:space="0" w:color="auto"/>
              <w:right w:val="single" w:sz="4" w:space="0" w:color="auto"/>
            </w:tcBorders>
            <w:hideMark/>
          </w:tcPr>
          <w:p w14:paraId="4A72E31D" w14:textId="77777777" w:rsidR="000A7D9D" w:rsidRPr="00F521F8" w:rsidRDefault="000A7D9D" w:rsidP="00F31937">
            <w:pPr>
              <w:spacing w:before="120" w:after="120"/>
              <w:rPr>
                <w:b/>
                <w:bCs/>
                <w:noProof/>
                <w:color w:val="0046AD"/>
                <w:sz w:val="24"/>
                <w:szCs w:val="24"/>
              </w:rPr>
            </w:pPr>
            <w:r w:rsidRPr="00F521F8">
              <w:rPr>
                <w:b/>
                <w:bCs/>
                <w:noProof/>
                <w:color w:val="4472C4" w:themeColor="accent1"/>
                <w:sz w:val="24"/>
                <w:szCs w:val="24"/>
              </w:rPr>
              <w:t>Added value</w:t>
            </w:r>
          </w:p>
        </w:tc>
      </w:tr>
      <w:tr w:rsidR="000A7D9D" w:rsidRPr="00F521F8" w14:paraId="2FD000A4"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1E63F2A3" w14:textId="77777777" w:rsidR="000A7D9D" w:rsidRPr="00F521F8" w:rsidRDefault="000A7D9D" w:rsidP="00F31937">
            <w:pPr>
              <w:spacing w:before="120" w:after="120"/>
              <w:rPr>
                <w:b/>
                <w:bCs/>
                <w:noProof/>
                <w:color w:val="000000" w:themeColor="text1"/>
                <w:sz w:val="24"/>
                <w:szCs w:val="24"/>
              </w:rPr>
            </w:pPr>
            <w:r w:rsidRPr="00F521F8">
              <w:rPr>
                <w:b/>
                <w:bCs/>
                <w:noProof/>
                <w:color w:val="000000" w:themeColor="text1"/>
                <w:sz w:val="24"/>
                <w:szCs w:val="24"/>
              </w:rPr>
              <w:t>Scientific consistency</w:t>
            </w:r>
          </w:p>
        </w:tc>
        <w:tc>
          <w:tcPr>
            <w:tcW w:w="1057" w:type="dxa"/>
            <w:tcBorders>
              <w:top w:val="single" w:sz="4" w:space="0" w:color="auto"/>
              <w:left w:val="single" w:sz="4" w:space="0" w:color="auto"/>
              <w:bottom w:val="single" w:sz="4" w:space="0" w:color="auto"/>
              <w:right w:val="single" w:sz="4" w:space="0" w:color="auto"/>
            </w:tcBorders>
            <w:hideMark/>
          </w:tcPr>
          <w:p w14:paraId="7B602A75" w14:textId="77777777" w:rsidR="000A7D9D" w:rsidRPr="00F521F8" w:rsidRDefault="000A7D9D" w:rsidP="00F31937">
            <w:pPr>
              <w:spacing w:before="120" w:after="120"/>
              <w:rPr>
                <w:noProof/>
                <w:color w:val="000000" w:themeColor="text1"/>
                <w:sz w:val="24"/>
                <w:szCs w:val="24"/>
              </w:rPr>
            </w:pPr>
            <w:r w:rsidRPr="00F521F8">
              <w:rPr>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3349C324" w14:textId="77777777" w:rsidR="000A7D9D" w:rsidRPr="00F521F8" w:rsidRDefault="000A7D9D" w:rsidP="00F31937">
            <w:pPr>
              <w:spacing w:before="120" w:after="120"/>
              <w:rPr>
                <w:noProof/>
                <w:color w:val="000000" w:themeColor="text1"/>
                <w:sz w:val="24"/>
                <w:szCs w:val="24"/>
              </w:rPr>
            </w:pPr>
            <w:r w:rsidRPr="00F521F8">
              <w:rPr>
                <w:noProof/>
                <w:color w:val="000000" w:themeColor="text1"/>
                <w:sz w:val="24"/>
                <w:szCs w:val="24"/>
              </w:rPr>
              <w:t>Opportunity to align priority setting, timeline, process and methodology with other related legislation to improve coherence in the scientific advice provided to the Commission. Reuse of data collected under other chemical legislation.</w:t>
            </w:r>
          </w:p>
        </w:tc>
      </w:tr>
      <w:tr w:rsidR="000A7D9D" w:rsidRPr="00F521F8" w14:paraId="4278D3C2"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59B54EC5" w14:textId="77777777" w:rsidR="000A7D9D" w:rsidRPr="00F521F8" w:rsidRDefault="000A7D9D" w:rsidP="00F31937">
            <w:pPr>
              <w:spacing w:before="120" w:after="120"/>
              <w:rPr>
                <w:b/>
                <w:bCs/>
                <w:noProof/>
                <w:color w:val="000000" w:themeColor="text1"/>
                <w:sz w:val="24"/>
                <w:szCs w:val="24"/>
              </w:rPr>
            </w:pPr>
            <w:r w:rsidRPr="00F521F8">
              <w:rPr>
                <w:b/>
                <w:bCs/>
                <w:noProof/>
                <w:color w:val="000000" w:themeColor="text1"/>
                <w:sz w:val="24"/>
                <w:szCs w:val="24"/>
              </w:rPr>
              <w:t>Robustness of assessment and acceptance</w:t>
            </w:r>
          </w:p>
        </w:tc>
        <w:tc>
          <w:tcPr>
            <w:tcW w:w="1057" w:type="dxa"/>
            <w:tcBorders>
              <w:top w:val="single" w:sz="4" w:space="0" w:color="auto"/>
              <w:left w:val="single" w:sz="4" w:space="0" w:color="auto"/>
              <w:bottom w:val="single" w:sz="4" w:space="0" w:color="auto"/>
              <w:right w:val="single" w:sz="4" w:space="0" w:color="auto"/>
            </w:tcBorders>
            <w:hideMark/>
          </w:tcPr>
          <w:p w14:paraId="1B9BC871" w14:textId="77777777" w:rsidR="000A7D9D" w:rsidRPr="00F521F8" w:rsidRDefault="000A7D9D" w:rsidP="00F31937">
            <w:pPr>
              <w:spacing w:before="120" w:after="120"/>
              <w:rPr>
                <w:noProof/>
                <w:color w:val="000000" w:themeColor="text1"/>
                <w:sz w:val="24"/>
                <w:szCs w:val="24"/>
              </w:rPr>
            </w:pPr>
            <w:r w:rsidRPr="00F521F8">
              <w:rPr>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4265479B" w14:textId="77777777" w:rsidR="000A7D9D" w:rsidRPr="00F521F8" w:rsidRDefault="000A7D9D" w:rsidP="00F31937">
            <w:pPr>
              <w:spacing w:before="120" w:after="120"/>
              <w:rPr>
                <w:noProof/>
                <w:color w:val="000000" w:themeColor="text1"/>
                <w:sz w:val="24"/>
                <w:szCs w:val="24"/>
              </w:rPr>
            </w:pPr>
            <w:r w:rsidRPr="00F521F8">
              <w:rPr>
                <w:noProof/>
                <w:color w:val="000000" w:themeColor="text1"/>
                <w:sz w:val="24"/>
                <w:szCs w:val="24"/>
              </w:rPr>
              <w:t>Centralising scientific work from dispersed Commission services and committees to one central EU Agency and its experts. Involvement of ECHA’s scientific committees adds more scientific robustness to the process.</w:t>
            </w:r>
          </w:p>
        </w:tc>
      </w:tr>
      <w:tr w:rsidR="000A7D9D" w:rsidRPr="00F521F8" w14:paraId="1F0AE6A3"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30609A23" w14:textId="77777777" w:rsidR="000A7D9D" w:rsidRPr="00F521F8" w:rsidRDefault="000A7D9D" w:rsidP="00F31937">
            <w:pPr>
              <w:spacing w:before="120" w:after="120"/>
              <w:rPr>
                <w:b/>
                <w:bCs/>
                <w:noProof/>
                <w:color w:val="000000" w:themeColor="text1"/>
                <w:sz w:val="24"/>
                <w:szCs w:val="24"/>
              </w:rPr>
            </w:pPr>
            <w:r w:rsidRPr="00F521F8">
              <w:rPr>
                <w:b/>
                <w:bCs/>
                <w:noProof/>
                <w:color w:val="000000" w:themeColor="text1"/>
                <w:sz w:val="24"/>
                <w:szCs w:val="24"/>
              </w:rPr>
              <w:t>Independence</w:t>
            </w:r>
          </w:p>
        </w:tc>
        <w:tc>
          <w:tcPr>
            <w:tcW w:w="1057" w:type="dxa"/>
            <w:tcBorders>
              <w:top w:val="single" w:sz="4" w:space="0" w:color="auto"/>
              <w:left w:val="single" w:sz="4" w:space="0" w:color="auto"/>
              <w:bottom w:val="single" w:sz="4" w:space="0" w:color="auto"/>
              <w:right w:val="single" w:sz="4" w:space="0" w:color="auto"/>
            </w:tcBorders>
            <w:hideMark/>
          </w:tcPr>
          <w:p w14:paraId="0505F055" w14:textId="77777777" w:rsidR="000A7D9D" w:rsidRPr="00F521F8" w:rsidRDefault="000A7D9D" w:rsidP="00F31937">
            <w:pPr>
              <w:spacing w:before="120" w:after="120"/>
              <w:rPr>
                <w:noProof/>
                <w:color w:val="000000" w:themeColor="text1"/>
                <w:sz w:val="24"/>
                <w:szCs w:val="24"/>
              </w:rPr>
            </w:pPr>
            <w:r w:rsidRPr="00F521F8">
              <w:rPr>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4FE1A885" w14:textId="77777777" w:rsidR="000A7D9D" w:rsidRPr="00F521F8" w:rsidRDefault="000A7D9D" w:rsidP="00F31937">
            <w:pPr>
              <w:spacing w:before="120" w:after="120"/>
              <w:rPr>
                <w:noProof/>
                <w:color w:val="000000" w:themeColor="text1"/>
                <w:sz w:val="24"/>
                <w:szCs w:val="24"/>
              </w:rPr>
            </w:pPr>
            <w:r w:rsidRPr="00F521F8">
              <w:rPr>
                <w:noProof/>
                <w:color w:val="000000" w:themeColor="text1"/>
                <w:sz w:val="24"/>
                <w:szCs w:val="24"/>
              </w:rPr>
              <w:t>Moving scientific work from dispersed Commission services and committees to Agency experts and well-established committees in the European Chemicals Agency with a stricter separation between science and policy. ECHA and its committees work under stricter conflict of interest avoidance rules, improving guarantees of independent scientific advice to the Commission.</w:t>
            </w:r>
          </w:p>
        </w:tc>
      </w:tr>
      <w:tr w:rsidR="000A7D9D" w:rsidRPr="00F521F8" w14:paraId="5E080E68"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003EB969" w14:textId="77777777" w:rsidR="000A7D9D" w:rsidRPr="00F521F8" w:rsidRDefault="000A7D9D" w:rsidP="00F31937">
            <w:pPr>
              <w:spacing w:before="120" w:after="120"/>
              <w:rPr>
                <w:b/>
                <w:bCs/>
                <w:noProof/>
                <w:color w:val="000000" w:themeColor="text1"/>
                <w:sz w:val="24"/>
                <w:szCs w:val="24"/>
              </w:rPr>
            </w:pPr>
            <w:r w:rsidRPr="00F521F8">
              <w:rPr>
                <w:b/>
                <w:bCs/>
                <w:noProof/>
                <w:color w:val="000000" w:themeColor="text1"/>
                <w:sz w:val="24"/>
                <w:szCs w:val="24"/>
              </w:rPr>
              <w:t>Transparency</w:t>
            </w:r>
          </w:p>
        </w:tc>
        <w:tc>
          <w:tcPr>
            <w:tcW w:w="1057" w:type="dxa"/>
            <w:tcBorders>
              <w:top w:val="single" w:sz="4" w:space="0" w:color="auto"/>
              <w:left w:val="single" w:sz="4" w:space="0" w:color="auto"/>
              <w:bottom w:val="single" w:sz="4" w:space="0" w:color="auto"/>
              <w:right w:val="single" w:sz="4" w:space="0" w:color="auto"/>
            </w:tcBorders>
            <w:hideMark/>
          </w:tcPr>
          <w:p w14:paraId="015B9B7C" w14:textId="77777777" w:rsidR="000A7D9D" w:rsidRPr="00F521F8" w:rsidRDefault="000A7D9D" w:rsidP="00F31937">
            <w:pPr>
              <w:spacing w:before="120" w:after="120"/>
              <w:rPr>
                <w:noProof/>
                <w:color w:val="000000" w:themeColor="text1"/>
                <w:sz w:val="24"/>
                <w:szCs w:val="24"/>
              </w:rPr>
            </w:pPr>
            <w:r w:rsidRPr="00F521F8">
              <w:rPr>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32688937" w14:textId="77777777" w:rsidR="000A7D9D" w:rsidRPr="00F521F8" w:rsidRDefault="000A7D9D" w:rsidP="00F31937">
            <w:pPr>
              <w:spacing w:before="120" w:after="120"/>
              <w:rPr>
                <w:noProof/>
                <w:color w:val="000000" w:themeColor="text1"/>
                <w:sz w:val="24"/>
                <w:szCs w:val="24"/>
              </w:rPr>
            </w:pPr>
            <w:r w:rsidRPr="00F521F8">
              <w:rPr>
                <w:noProof/>
                <w:color w:val="000000" w:themeColor="text1"/>
                <w:sz w:val="24"/>
                <w:szCs w:val="24"/>
              </w:rPr>
              <w:t>ECHA’s involvement will bring additional transparency to the process:</w:t>
            </w:r>
          </w:p>
          <w:p w14:paraId="6F64C86C" w14:textId="77777777" w:rsidR="000A7D9D" w:rsidRPr="00F521F8" w:rsidRDefault="000A7D9D" w:rsidP="000A7D9D">
            <w:pPr>
              <w:pStyle w:val="ListParagraph"/>
              <w:widowControl w:val="0"/>
              <w:numPr>
                <w:ilvl w:val="0"/>
                <w:numId w:val="21"/>
              </w:numPr>
              <w:snapToGrid w:val="0"/>
              <w:spacing w:before="120" w:after="120"/>
              <w:ind w:left="720"/>
              <w:rPr>
                <w:noProof/>
                <w:color w:val="000000" w:themeColor="text1"/>
              </w:rPr>
            </w:pPr>
            <w:r w:rsidRPr="00F521F8">
              <w:rPr>
                <w:noProof/>
                <w:color w:val="000000" w:themeColor="text1"/>
              </w:rPr>
              <w:t>Overall process transparency</w:t>
            </w:r>
          </w:p>
          <w:p w14:paraId="0869DAAA" w14:textId="77777777" w:rsidR="000A7D9D" w:rsidRPr="00F521F8" w:rsidRDefault="000A7D9D" w:rsidP="000A7D9D">
            <w:pPr>
              <w:pStyle w:val="ListParagraph"/>
              <w:widowControl w:val="0"/>
              <w:numPr>
                <w:ilvl w:val="0"/>
                <w:numId w:val="21"/>
              </w:numPr>
              <w:snapToGrid w:val="0"/>
              <w:spacing w:before="120" w:after="120"/>
              <w:ind w:left="720"/>
              <w:rPr>
                <w:noProof/>
                <w:color w:val="000000" w:themeColor="text1"/>
              </w:rPr>
            </w:pPr>
            <w:r w:rsidRPr="00F521F8">
              <w:rPr>
                <w:noProof/>
                <w:color w:val="000000" w:themeColor="text1"/>
              </w:rPr>
              <w:t>Publication of regulatory intentions of EU authorities improves predictability for industry stakeholders</w:t>
            </w:r>
          </w:p>
          <w:p w14:paraId="5FF64FF2" w14:textId="77777777" w:rsidR="000A7D9D" w:rsidRPr="00F521F8" w:rsidRDefault="000A7D9D" w:rsidP="000A7D9D">
            <w:pPr>
              <w:pStyle w:val="ListParagraph"/>
              <w:widowControl w:val="0"/>
              <w:numPr>
                <w:ilvl w:val="0"/>
                <w:numId w:val="21"/>
              </w:numPr>
              <w:snapToGrid w:val="0"/>
              <w:spacing w:before="120" w:after="120"/>
              <w:ind w:left="720"/>
              <w:rPr>
                <w:noProof/>
                <w:color w:val="000000" w:themeColor="text1"/>
              </w:rPr>
            </w:pPr>
            <w:r w:rsidRPr="00F521F8">
              <w:rPr>
                <w:noProof/>
                <w:color w:val="000000" w:themeColor="text1"/>
              </w:rPr>
              <w:t>Public consultation/call for evidence</w:t>
            </w:r>
          </w:p>
          <w:p w14:paraId="0765ECDB" w14:textId="77777777" w:rsidR="000A7D9D" w:rsidRPr="00F521F8" w:rsidRDefault="000A7D9D" w:rsidP="000A7D9D">
            <w:pPr>
              <w:pStyle w:val="ListParagraph"/>
              <w:widowControl w:val="0"/>
              <w:numPr>
                <w:ilvl w:val="0"/>
                <w:numId w:val="21"/>
              </w:numPr>
              <w:snapToGrid w:val="0"/>
              <w:spacing w:before="120" w:after="120"/>
              <w:ind w:left="720"/>
              <w:rPr>
                <w:noProof/>
                <w:color w:val="000000" w:themeColor="text1"/>
              </w:rPr>
            </w:pPr>
            <w:r w:rsidRPr="00F521F8">
              <w:rPr>
                <w:noProof/>
                <w:color w:val="000000" w:themeColor="text1"/>
              </w:rPr>
              <w:t>Stakeholder involvement/observer status</w:t>
            </w:r>
          </w:p>
          <w:p w14:paraId="6C3C3D49" w14:textId="77777777" w:rsidR="000A7D9D" w:rsidRPr="00F521F8" w:rsidRDefault="000A7D9D" w:rsidP="000A7D9D">
            <w:pPr>
              <w:pStyle w:val="ListParagraph"/>
              <w:widowControl w:val="0"/>
              <w:numPr>
                <w:ilvl w:val="0"/>
                <w:numId w:val="21"/>
              </w:numPr>
              <w:snapToGrid w:val="0"/>
              <w:spacing w:before="120" w:after="120"/>
              <w:ind w:left="720"/>
              <w:rPr>
                <w:noProof/>
                <w:color w:val="000000" w:themeColor="text1"/>
              </w:rPr>
            </w:pPr>
            <w:r w:rsidRPr="00F521F8">
              <w:rPr>
                <w:noProof/>
                <w:color w:val="000000" w:themeColor="text1"/>
              </w:rPr>
              <w:t>Dissemination of scientific data and outcomes</w:t>
            </w:r>
          </w:p>
        </w:tc>
      </w:tr>
    </w:tbl>
    <w:p w14:paraId="761D9367" w14:textId="77777777" w:rsidR="000A7D9D" w:rsidRPr="00F521F8" w:rsidRDefault="000A7D9D" w:rsidP="000A7D9D">
      <w:pPr>
        <w:pStyle w:val="BodyText"/>
        <w:jc w:val="both"/>
        <w:rPr>
          <w:b/>
          <w:bCs/>
          <w:noProof/>
        </w:rPr>
      </w:pPr>
    </w:p>
    <w:p w14:paraId="67ACDEA3" w14:textId="77777777" w:rsidR="000A7D9D" w:rsidRPr="00F521F8" w:rsidRDefault="000A7D9D" w:rsidP="000A7D9D">
      <w:pPr>
        <w:pStyle w:val="BodyText"/>
        <w:jc w:val="both"/>
        <w:rPr>
          <w:b/>
          <w:bCs/>
          <w:noProof/>
        </w:rPr>
      </w:pPr>
      <w:r w:rsidRPr="00F521F8">
        <w:rPr>
          <w:b/>
          <w:bCs/>
          <w:noProof/>
        </w:rPr>
        <w:t>Projected impact on ECHA:</w:t>
      </w:r>
    </w:p>
    <w:p w14:paraId="6DE5F5BE" w14:textId="77777777" w:rsidR="000A7D9D" w:rsidRPr="00F521F8" w:rsidRDefault="000A7D9D" w:rsidP="000A7D9D">
      <w:pPr>
        <w:pStyle w:val="BodyText"/>
        <w:widowControl w:val="0"/>
        <w:numPr>
          <w:ilvl w:val="0"/>
          <w:numId w:val="88"/>
        </w:numPr>
        <w:jc w:val="both"/>
        <w:rPr>
          <w:noProof/>
        </w:rPr>
      </w:pPr>
      <w:r w:rsidRPr="00F521F8">
        <w:rPr>
          <w:noProof/>
        </w:rPr>
        <w:t xml:space="preserve">ECHA Committees/bodies: </w:t>
      </w:r>
      <w:r w:rsidRPr="00F521F8">
        <w:rPr>
          <w:b/>
          <w:bCs/>
          <w:noProof/>
        </w:rPr>
        <w:t>low impact</w:t>
      </w:r>
      <w:r w:rsidRPr="00F521F8">
        <w:rPr>
          <w:noProof/>
        </w:rPr>
        <w:t xml:space="preserve">. The task generates low impact on the setup / organisation / staffing of Committees/bodies. The involvement of committees is on ad hoc basis, maximum one opinion every 5 years </w:t>
      </w:r>
    </w:p>
    <w:p w14:paraId="2A1174C2" w14:textId="77777777" w:rsidR="000A7D9D" w:rsidRPr="00F521F8" w:rsidRDefault="000A7D9D" w:rsidP="000A7D9D">
      <w:pPr>
        <w:pStyle w:val="BodyText"/>
        <w:widowControl w:val="0"/>
        <w:numPr>
          <w:ilvl w:val="0"/>
          <w:numId w:val="88"/>
        </w:numPr>
        <w:jc w:val="both"/>
        <w:rPr>
          <w:b/>
          <w:bCs/>
          <w:noProof/>
        </w:rPr>
      </w:pPr>
      <w:r w:rsidRPr="00F521F8">
        <w:rPr>
          <w:noProof/>
        </w:rPr>
        <w:t xml:space="preserve">ECHA data model and IT infrastructure: </w:t>
      </w:r>
      <w:r w:rsidRPr="00F521F8">
        <w:rPr>
          <w:b/>
          <w:bCs/>
          <w:noProof/>
        </w:rPr>
        <w:t>low impact</w:t>
      </w:r>
      <w:r w:rsidRPr="00F521F8">
        <w:rPr>
          <w:noProof/>
        </w:rPr>
        <w:t>. The task can be implemented with adjustments / configuration of existing data structures and IT systems</w:t>
      </w:r>
    </w:p>
    <w:p w14:paraId="7AB8FE54" w14:textId="77777777" w:rsidR="000A7D9D" w:rsidRPr="00F521F8" w:rsidRDefault="000A7D9D" w:rsidP="000A7D9D">
      <w:pPr>
        <w:pStyle w:val="BodyText"/>
        <w:widowControl w:val="0"/>
        <w:numPr>
          <w:ilvl w:val="0"/>
          <w:numId w:val="88"/>
        </w:numPr>
        <w:jc w:val="both"/>
        <w:rPr>
          <w:b/>
          <w:bCs/>
          <w:noProof/>
        </w:rPr>
      </w:pPr>
      <w:r w:rsidRPr="00F521F8">
        <w:rPr>
          <w:noProof/>
        </w:rPr>
        <w:t>ECHA key experts:</w:t>
      </w:r>
      <w:r w:rsidRPr="00F521F8">
        <w:rPr>
          <w:b/>
          <w:bCs/>
          <w:noProof/>
        </w:rPr>
        <w:t xml:space="preserve"> medium impact</w:t>
      </w:r>
      <w:r w:rsidRPr="00F521F8">
        <w:rPr>
          <w:noProof/>
        </w:rPr>
        <w:t>. The task relies on expert competencies, which are limited within ECHA and also critical to REACH/CLP/BPR regulatory tasks</w:t>
      </w:r>
    </w:p>
    <w:p w14:paraId="2601E423" w14:textId="77777777" w:rsidR="000A7D9D" w:rsidRPr="00F521F8" w:rsidRDefault="000A7D9D" w:rsidP="000A7D9D">
      <w:pPr>
        <w:pStyle w:val="BodyText"/>
        <w:rPr>
          <w:noProof/>
        </w:rPr>
      </w:pPr>
      <w:r w:rsidRPr="00F521F8">
        <w:rPr>
          <w:b/>
          <w:bCs/>
          <w:noProof/>
        </w:rPr>
        <w:t>Workload and resource implications:</w:t>
      </w:r>
    </w:p>
    <w:p w14:paraId="3199E3DD" w14:textId="77777777" w:rsidR="000A7D9D" w:rsidRPr="00F521F8" w:rsidRDefault="000A7D9D" w:rsidP="000A7D9D">
      <w:pPr>
        <w:spacing w:after="120"/>
        <w:rPr>
          <w:rFonts w:ascii="Times New Roman" w:hAnsi="Times New Roman" w:cs="Times New Roman"/>
          <w:noProof/>
          <w:sz w:val="24"/>
          <w:szCs w:val="24"/>
          <w:u w:val="single"/>
        </w:rPr>
      </w:pPr>
      <w:r w:rsidRPr="00F521F8">
        <w:rPr>
          <w:rFonts w:ascii="Times New Roman" w:hAnsi="Times New Roman" w:cs="Times New Roman"/>
          <w:noProof/>
          <w:sz w:val="24"/>
          <w:szCs w:val="24"/>
          <w:u w:val="single"/>
        </w:rPr>
        <w:t>Current workload and resource use</w:t>
      </w:r>
    </w:p>
    <w:p w14:paraId="77C76442" w14:textId="77777777" w:rsidR="000A7D9D" w:rsidRPr="00F521F8" w:rsidRDefault="000A7D9D" w:rsidP="000A7D9D">
      <w:pPr>
        <w:spacing w:before="120" w:after="120"/>
        <w:jc w:val="both"/>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rPr>
        <w:t>The SCHEER Committee has worked on six chemical-related medical device opinions in the period 2014-2022 (i.e. average of 1 opinion every 2 years):</w:t>
      </w:r>
    </w:p>
    <w:tbl>
      <w:tblPr>
        <w:tblStyle w:val="TableGrid7"/>
        <w:tblW w:w="9525" w:type="dxa"/>
        <w:tblInd w:w="108" w:type="dxa"/>
        <w:tblLook w:val="04A0" w:firstRow="1" w:lastRow="0" w:firstColumn="1" w:lastColumn="0" w:noHBand="0" w:noVBand="1"/>
      </w:tblPr>
      <w:tblGrid>
        <w:gridCol w:w="8010"/>
        <w:gridCol w:w="1515"/>
      </w:tblGrid>
      <w:tr w:rsidR="000A7D9D" w:rsidRPr="00F521F8" w14:paraId="350CD9B2" w14:textId="77777777" w:rsidTr="00F31937">
        <w:tc>
          <w:tcPr>
            <w:tcW w:w="8010" w:type="dxa"/>
            <w:shd w:val="clear" w:color="auto" w:fill="auto"/>
          </w:tcPr>
          <w:p w14:paraId="375E230D" w14:textId="77777777" w:rsidR="000A7D9D" w:rsidRPr="00F521F8" w:rsidRDefault="000A7D9D" w:rsidP="00F31937">
            <w:pPr>
              <w:jc w:val="both"/>
              <w:rPr>
                <w:rFonts w:ascii="Times New Roman" w:hAnsi="Times New Roman"/>
                <w:b/>
                <w:bCs/>
                <w:noProof/>
                <w:sz w:val="24"/>
                <w:szCs w:val="24"/>
              </w:rPr>
            </w:pPr>
            <w:r w:rsidRPr="00F521F8">
              <w:rPr>
                <w:rFonts w:ascii="Times New Roman" w:hAnsi="Times New Roman"/>
                <w:b/>
                <w:bCs/>
                <w:noProof/>
                <w:sz w:val="24"/>
                <w:szCs w:val="24"/>
              </w:rPr>
              <w:t xml:space="preserve">Medical Devices </w:t>
            </w:r>
          </w:p>
        </w:tc>
        <w:tc>
          <w:tcPr>
            <w:tcW w:w="1515" w:type="dxa"/>
            <w:shd w:val="clear" w:color="auto" w:fill="auto"/>
          </w:tcPr>
          <w:p w14:paraId="317372EE" w14:textId="77777777" w:rsidR="000A7D9D" w:rsidRPr="00F521F8" w:rsidRDefault="000A7D9D" w:rsidP="00F31937">
            <w:pPr>
              <w:jc w:val="both"/>
              <w:rPr>
                <w:rFonts w:ascii="Times New Roman" w:hAnsi="Times New Roman"/>
                <w:b/>
                <w:noProof/>
                <w:sz w:val="24"/>
                <w:szCs w:val="24"/>
              </w:rPr>
            </w:pPr>
          </w:p>
        </w:tc>
      </w:tr>
      <w:tr w:rsidR="000A7D9D" w:rsidRPr="00F521F8" w14:paraId="7416E357" w14:textId="77777777" w:rsidTr="00F31937">
        <w:tc>
          <w:tcPr>
            <w:tcW w:w="8010" w:type="dxa"/>
          </w:tcPr>
          <w:p w14:paraId="49085535" w14:textId="77777777" w:rsidR="000A7D9D" w:rsidRPr="00F521F8" w:rsidRDefault="00187DBF" w:rsidP="00F31937">
            <w:pPr>
              <w:jc w:val="both"/>
              <w:rPr>
                <w:rFonts w:ascii="Times New Roman" w:hAnsi="Times New Roman"/>
                <w:noProof/>
                <w:sz w:val="24"/>
                <w:szCs w:val="24"/>
              </w:rPr>
            </w:pPr>
            <w:hyperlink r:id="rId79" w:tgtFrame="_blank" w:history="1">
              <w:r w:rsidR="000A7D9D" w:rsidRPr="00F521F8">
                <w:rPr>
                  <w:rFonts w:ascii="Times New Roman" w:hAnsi="Times New Roman"/>
                  <w:noProof/>
                  <w:sz w:val="24"/>
                  <w:szCs w:val="24"/>
                </w:rPr>
                <w:t>Guidelines on the benefit-risk assessment of the presence of phthalates in certain medical devices covering phthalates which are carcinogenic, mutagenic, toxic to reproduction (CMR) or have endocrine-disrupting (ED) properties</w:t>
              </w:r>
            </w:hyperlink>
          </w:p>
        </w:tc>
        <w:tc>
          <w:tcPr>
            <w:tcW w:w="1515" w:type="dxa"/>
          </w:tcPr>
          <w:p w14:paraId="5FB9C066" w14:textId="77777777" w:rsidR="000A7D9D" w:rsidRPr="00F521F8" w:rsidRDefault="000A7D9D" w:rsidP="00F31937">
            <w:pPr>
              <w:jc w:val="both"/>
              <w:rPr>
                <w:rFonts w:ascii="Times New Roman" w:hAnsi="Times New Roman"/>
                <w:noProof/>
                <w:sz w:val="24"/>
                <w:szCs w:val="24"/>
              </w:rPr>
            </w:pPr>
            <w:r w:rsidRPr="00F521F8">
              <w:rPr>
                <w:rFonts w:ascii="Times New Roman" w:hAnsi="Times New Roman"/>
                <w:noProof/>
                <w:sz w:val="24"/>
                <w:szCs w:val="24"/>
              </w:rPr>
              <w:t>June 2019</w:t>
            </w:r>
          </w:p>
        </w:tc>
      </w:tr>
      <w:tr w:rsidR="000A7D9D" w:rsidRPr="00F521F8" w14:paraId="4E6B734A" w14:textId="77777777" w:rsidTr="00F31937">
        <w:tc>
          <w:tcPr>
            <w:tcW w:w="8010" w:type="dxa"/>
            <w:tcBorders>
              <w:bottom w:val="single" w:sz="4" w:space="0" w:color="auto"/>
            </w:tcBorders>
          </w:tcPr>
          <w:p w14:paraId="2D1C7C17" w14:textId="77777777" w:rsidR="000A7D9D" w:rsidRPr="00F521F8" w:rsidRDefault="000A7D9D" w:rsidP="00F31937">
            <w:pPr>
              <w:jc w:val="both"/>
              <w:rPr>
                <w:rFonts w:ascii="Times New Roman" w:hAnsi="Times New Roman"/>
                <w:noProof/>
                <w:sz w:val="24"/>
                <w:szCs w:val="24"/>
              </w:rPr>
            </w:pPr>
            <w:r w:rsidRPr="00F521F8">
              <w:rPr>
                <w:rFonts w:ascii="Times New Roman" w:hAnsi="Times New Roman"/>
                <w:noProof/>
                <w:color w:val="000000" w:themeColor="text1"/>
                <w:sz w:val="24"/>
                <w:szCs w:val="24"/>
              </w:rPr>
              <w:t>Opinion on the safety of medical devices containing DEHP-plasticized PVC or other plasticizers on neonates and other groups possibly at risk</w:t>
            </w:r>
          </w:p>
        </w:tc>
        <w:tc>
          <w:tcPr>
            <w:tcW w:w="1515" w:type="dxa"/>
            <w:tcBorders>
              <w:bottom w:val="single" w:sz="4" w:space="0" w:color="auto"/>
            </w:tcBorders>
          </w:tcPr>
          <w:p w14:paraId="38D13F05" w14:textId="77777777" w:rsidR="000A7D9D" w:rsidRPr="00F521F8" w:rsidRDefault="000A7D9D" w:rsidP="00F31937">
            <w:pPr>
              <w:jc w:val="both"/>
              <w:rPr>
                <w:rFonts w:ascii="Times New Roman" w:hAnsi="Times New Roman"/>
                <w:noProof/>
                <w:sz w:val="24"/>
                <w:szCs w:val="24"/>
              </w:rPr>
            </w:pPr>
            <w:r w:rsidRPr="00F521F8">
              <w:rPr>
                <w:rFonts w:ascii="Times New Roman" w:hAnsi="Times New Roman"/>
                <w:noProof/>
                <w:sz w:val="24"/>
                <w:szCs w:val="24"/>
              </w:rPr>
              <w:t>Feb 2016</w:t>
            </w:r>
          </w:p>
        </w:tc>
      </w:tr>
      <w:tr w:rsidR="000A7D9D" w:rsidRPr="00F521F8" w14:paraId="59DEC189" w14:textId="77777777" w:rsidTr="00F31937">
        <w:tc>
          <w:tcPr>
            <w:tcW w:w="8010" w:type="dxa"/>
            <w:tcBorders>
              <w:bottom w:val="single" w:sz="4" w:space="0" w:color="auto"/>
            </w:tcBorders>
          </w:tcPr>
          <w:p w14:paraId="0B32BADF" w14:textId="77777777" w:rsidR="000A7D9D" w:rsidRPr="00F521F8" w:rsidRDefault="000A7D9D" w:rsidP="00F31937">
            <w:pPr>
              <w:jc w:val="both"/>
              <w:rPr>
                <w:rFonts w:ascii="Times New Roman" w:hAnsi="Times New Roman"/>
                <w:noProof/>
                <w:color w:val="F79646"/>
                <w:sz w:val="24"/>
                <w:szCs w:val="24"/>
              </w:rPr>
            </w:pPr>
            <w:r w:rsidRPr="00F521F8">
              <w:rPr>
                <w:rFonts w:ascii="Times New Roman" w:hAnsi="Times New Roman"/>
                <w:noProof/>
                <w:color w:val="000000" w:themeColor="text1"/>
                <w:sz w:val="24"/>
                <w:szCs w:val="24"/>
              </w:rPr>
              <w:t>Opinion on the safety of dental amalgam and alternative dental restoration materials for patients and users</w:t>
            </w:r>
          </w:p>
        </w:tc>
        <w:tc>
          <w:tcPr>
            <w:tcW w:w="1515" w:type="dxa"/>
            <w:tcBorders>
              <w:bottom w:val="single" w:sz="4" w:space="0" w:color="auto"/>
            </w:tcBorders>
          </w:tcPr>
          <w:p w14:paraId="3437C073" w14:textId="77777777" w:rsidR="000A7D9D" w:rsidRPr="00F521F8" w:rsidRDefault="000A7D9D" w:rsidP="00F31937">
            <w:pPr>
              <w:jc w:val="both"/>
              <w:rPr>
                <w:rFonts w:ascii="Times New Roman" w:hAnsi="Times New Roman"/>
                <w:noProof/>
                <w:sz w:val="24"/>
                <w:szCs w:val="24"/>
              </w:rPr>
            </w:pPr>
            <w:r w:rsidRPr="00F521F8">
              <w:rPr>
                <w:rFonts w:ascii="Times New Roman" w:hAnsi="Times New Roman"/>
                <w:noProof/>
                <w:sz w:val="24"/>
                <w:szCs w:val="24"/>
              </w:rPr>
              <w:t>Apr 2015</w:t>
            </w:r>
          </w:p>
        </w:tc>
      </w:tr>
      <w:tr w:rsidR="000A7D9D" w:rsidRPr="00F521F8" w14:paraId="33C0E159" w14:textId="77777777" w:rsidTr="00F31937">
        <w:trPr>
          <w:trHeight w:val="300"/>
        </w:trPr>
        <w:tc>
          <w:tcPr>
            <w:tcW w:w="8010" w:type="dxa"/>
            <w:tcBorders>
              <w:bottom w:val="single" w:sz="4" w:space="0" w:color="auto"/>
            </w:tcBorders>
          </w:tcPr>
          <w:p w14:paraId="51B382BB" w14:textId="77777777" w:rsidR="000A7D9D" w:rsidRPr="00F521F8" w:rsidRDefault="000A7D9D" w:rsidP="00F31937">
            <w:pPr>
              <w:jc w:val="both"/>
              <w:rPr>
                <w:rFonts w:ascii="Times New Roman" w:eastAsiaTheme="minorEastAsia" w:hAnsi="Times New Roman"/>
                <w:noProof/>
                <w:sz w:val="24"/>
                <w:szCs w:val="24"/>
              </w:rPr>
            </w:pPr>
            <w:r w:rsidRPr="00F521F8">
              <w:rPr>
                <w:rFonts w:ascii="Times New Roman" w:eastAsiaTheme="minorEastAsia" w:hAnsi="Times New Roman"/>
                <w:noProof/>
                <w:sz w:val="24"/>
                <w:szCs w:val="24"/>
              </w:rPr>
              <w:t>Opinion on the safety of surgical meshes used in urogynaecological surgery</w:t>
            </w:r>
          </w:p>
        </w:tc>
        <w:tc>
          <w:tcPr>
            <w:tcW w:w="1515" w:type="dxa"/>
            <w:tcBorders>
              <w:bottom w:val="single" w:sz="4" w:space="0" w:color="auto"/>
            </w:tcBorders>
          </w:tcPr>
          <w:p w14:paraId="6EAB113A" w14:textId="77777777" w:rsidR="000A7D9D" w:rsidRPr="00F521F8" w:rsidRDefault="000A7D9D" w:rsidP="00F31937">
            <w:pPr>
              <w:jc w:val="both"/>
              <w:rPr>
                <w:rFonts w:ascii="Times New Roman" w:hAnsi="Times New Roman"/>
                <w:noProof/>
                <w:sz w:val="24"/>
                <w:szCs w:val="24"/>
              </w:rPr>
            </w:pPr>
            <w:r w:rsidRPr="00F521F8">
              <w:rPr>
                <w:rFonts w:ascii="Times New Roman" w:hAnsi="Times New Roman"/>
                <w:noProof/>
                <w:sz w:val="24"/>
                <w:szCs w:val="24"/>
              </w:rPr>
              <w:t>Dec 2015</w:t>
            </w:r>
          </w:p>
        </w:tc>
      </w:tr>
      <w:tr w:rsidR="000A7D9D" w:rsidRPr="00F521F8" w14:paraId="09831B49" w14:textId="77777777" w:rsidTr="00F31937">
        <w:tc>
          <w:tcPr>
            <w:tcW w:w="8010" w:type="dxa"/>
            <w:tcBorders>
              <w:bottom w:val="single" w:sz="4" w:space="0" w:color="auto"/>
            </w:tcBorders>
          </w:tcPr>
          <w:p w14:paraId="0991CFCE" w14:textId="77777777" w:rsidR="000A7D9D" w:rsidRPr="00F521F8" w:rsidRDefault="000A7D9D" w:rsidP="00F31937">
            <w:pPr>
              <w:jc w:val="both"/>
              <w:rPr>
                <w:rFonts w:ascii="Times New Roman" w:hAnsi="Times New Roman"/>
                <w:noProof/>
                <w:sz w:val="24"/>
                <w:szCs w:val="24"/>
              </w:rPr>
            </w:pPr>
            <w:r w:rsidRPr="00F521F8">
              <w:rPr>
                <w:rFonts w:ascii="Times New Roman" w:hAnsi="Times New Roman"/>
                <w:noProof/>
                <w:sz w:val="24"/>
                <w:szCs w:val="24"/>
              </w:rPr>
              <w:t>Opinion on the safety of the use of bisphenol A in medical devices</w:t>
            </w:r>
          </w:p>
        </w:tc>
        <w:tc>
          <w:tcPr>
            <w:tcW w:w="1515" w:type="dxa"/>
            <w:tcBorders>
              <w:bottom w:val="single" w:sz="4" w:space="0" w:color="auto"/>
            </w:tcBorders>
          </w:tcPr>
          <w:p w14:paraId="39DDB55A" w14:textId="77777777" w:rsidR="000A7D9D" w:rsidRPr="00F521F8" w:rsidRDefault="000A7D9D" w:rsidP="00F31937">
            <w:pPr>
              <w:jc w:val="both"/>
              <w:rPr>
                <w:rFonts w:ascii="Times New Roman" w:hAnsi="Times New Roman"/>
                <w:noProof/>
                <w:sz w:val="24"/>
                <w:szCs w:val="24"/>
              </w:rPr>
            </w:pPr>
            <w:r w:rsidRPr="00F521F8">
              <w:rPr>
                <w:rFonts w:ascii="Times New Roman" w:hAnsi="Times New Roman"/>
                <w:noProof/>
                <w:sz w:val="24"/>
                <w:szCs w:val="24"/>
              </w:rPr>
              <w:t>Feb 2015</w:t>
            </w:r>
          </w:p>
        </w:tc>
      </w:tr>
      <w:tr w:rsidR="000A7D9D" w:rsidRPr="00F521F8" w14:paraId="66F2636A" w14:textId="77777777" w:rsidTr="00F31937">
        <w:trPr>
          <w:trHeight w:val="300"/>
        </w:trPr>
        <w:tc>
          <w:tcPr>
            <w:tcW w:w="8010" w:type="dxa"/>
            <w:tcBorders>
              <w:bottom w:val="single" w:sz="4" w:space="0" w:color="auto"/>
            </w:tcBorders>
          </w:tcPr>
          <w:p w14:paraId="05BA6DFB" w14:textId="77777777" w:rsidR="000A7D9D" w:rsidRPr="00F521F8" w:rsidRDefault="000A7D9D" w:rsidP="00F31937">
            <w:pPr>
              <w:jc w:val="both"/>
              <w:rPr>
                <w:rFonts w:ascii="Times New Roman" w:eastAsiaTheme="minorEastAsia" w:hAnsi="Times New Roman"/>
                <w:noProof/>
                <w:sz w:val="24"/>
                <w:szCs w:val="24"/>
              </w:rPr>
            </w:pPr>
            <w:r w:rsidRPr="00F521F8">
              <w:rPr>
                <w:rFonts w:ascii="Times New Roman" w:eastAsiaTheme="minorEastAsia" w:hAnsi="Times New Roman"/>
                <w:noProof/>
                <w:sz w:val="24"/>
                <w:szCs w:val="24"/>
              </w:rPr>
              <w:t>Opinion on the safety of Metal-on-Metal joint replacements with a particular focus on hip implants</w:t>
            </w:r>
          </w:p>
        </w:tc>
        <w:tc>
          <w:tcPr>
            <w:tcW w:w="1515" w:type="dxa"/>
            <w:tcBorders>
              <w:bottom w:val="single" w:sz="4" w:space="0" w:color="auto"/>
            </w:tcBorders>
          </w:tcPr>
          <w:p w14:paraId="5C19DAF9" w14:textId="77777777" w:rsidR="000A7D9D" w:rsidRPr="00F521F8" w:rsidRDefault="000A7D9D" w:rsidP="00F31937">
            <w:pPr>
              <w:jc w:val="both"/>
              <w:rPr>
                <w:rFonts w:ascii="Times New Roman" w:hAnsi="Times New Roman"/>
                <w:noProof/>
                <w:sz w:val="24"/>
                <w:szCs w:val="24"/>
              </w:rPr>
            </w:pPr>
            <w:r w:rsidRPr="00F521F8">
              <w:rPr>
                <w:rFonts w:ascii="Times New Roman" w:hAnsi="Times New Roman"/>
                <w:noProof/>
                <w:sz w:val="24"/>
                <w:szCs w:val="24"/>
              </w:rPr>
              <w:t>Sept 2014</w:t>
            </w:r>
          </w:p>
        </w:tc>
      </w:tr>
    </w:tbl>
    <w:p w14:paraId="7BDCB4FE" w14:textId="77777777" w:rsidR="000A7D9D" w:rsidRDefault="000A7D9D" w:rsidP="000A7D9D">
      <w:pPr>
        <w:spacing w:before="120" w:after="120"/>
        <w:jc w:val="both"/>
        <w:rPr>
          <w:rFonts w:ascii="Times New Roman" w:hAnsi="Times New Roman" w:cs="Times New Roman"/>
          <w:noProof/>
          <w:color w:val="000000" w:themeColor="text1"/>
          <w:sz w:val="24"/>
          <w:szCs w:val="24"/>
        </w:rPr>
      </w:pPr>
    </w:p>
    <w:p w14:paraId="5D186C28" w14:textId="77777777" w:rsidR="000A7D9D" w:rsidRPr="00F521F8" w:rsidRDefault="000A7D9D" w:rsidP="000A7D9D">
      <w:pPr>
        <w:spacing w:before="120" w:after="120"/>
        <w:jc w:val="both"/>
        <w:rPr>
          <w:rFonts w:ascii="Times New Roman" w:hAnsi="Times New Roman" w:cs="Times New Roman"/>
          <w:noProof/>
          <w:color w:val="000000" w:themeColor="text1"/>
          <w:sz w:val="24"/>
          <w:szCs w:val="24"/>
        </w:rPr>
      </w:pPr>
      <w:r w:rsidRPr="00F521F8">
        <w:rPr>
          <w:rFonts w:ascii="Times New Roman" w:hAnsi="Times New Roman" w:cs="Times New Roman"/>
          <w:noProof/>
          <w:color w:val="000000" w:themeColor="text1"/>
          <w:sz w:val="24"/>
          <w:szCs w:val="24"/>
        </w:rPr>
        <w:t>The DG SANTE Secretariat covers both SCCS and SCHEER tasks and consists of 4 FTE from the Commission staff + 2 FTE from an outsourced contract (</w:t>
      </w:r>
      <w:r>
        <w:rPr>
          <w:rFonts w:ascii="Times New Roman" w:hAnsi="Times New Roman" w:cs="Times New Roman"/>
          <w:noProof/>
          <w:color w:val="000000" w:themeColor="text1"/>
          <w:sz w:val="24"/>
          <w:szCs w:val="24"/>
        </w:rPr>
        <w:t xml:space="preserve">EUR </w:t>
      </w:r>
      <w:r w:rsidRPr="00F521F8">
        <w:rPr>
          <w:rFonts w:ascii="Times New Roman" w:hAnsi="Times New Roman" w:cs="Times New Roman"/>
          <w:noProof/>
          <w:color w:val="000000" w:themeColor="text1"/>
          <w:sz w:val="24"/>
          <w:szCs w:val="24"/>
        </w:rPr>
        <w:t>250</w:t>
      </w:r>
      <w:r>
        <w:rPr>
          <w:rFonts w:ascii="Times New Roman" w:hAnsi="Times New Roman" w:cs="Times New Roman"/>
          <w:noProof/>
          <w:color w:val="000000" w:themeColor="text1"/>
          <w:sz w:val="24"/>
          <w:szCs w:val="24"/>
        </w:rPr>
        <w:t xml:space="preserve"> </w:t>
      </w:r>
      <w:r w:rsidRPr="00F521F8">
        <w:rPr>
          <w:rFonts w:ascii="Times New Roman" w:hAnsi="Times New Roman" w:cs="Times New Roman"/>
          <w:noProof/>
          <w:color w:val="000000" w:themeColor="text1"/>
          <w:sz w:val="24"/>
          <w:szCs w:val="24"/>
        </w:rPr>
        <w:t>000 annually) for technical and administrative support (literature search, editing and proofreading of opinions, website mastering, assistance for the Health-EU newsletter, dissemination activities), equally split over both committees.  The SCHEER committee itself consists of 17 external experts. The advice on chemicals in medical devices can be roughly estimated to constitute ca. 10 % of the work of the SCHEER committee (4 out of 29 opinions during 2015-2022), which corresponds to ca. 0</w:t>
      </w:r>
      <w:r>
        <w:rPr>
          <w:rFonts w:ascii="Times New Roman" w:hAnsi="Times New Roman" w:cs="Times New Roman"/>
          <w:noProof/>
          <w:color w:val="000000" w:themeColor="text1"/>
          <w:sz w:val="24"/>
          <w:szCs w:val="24"/>
        </w:rPr>
        <w:t>.</w:t>
      </w:r>
      <w:r w:rsidRPr="00F521F8">
        <w:rPr>
          <w:rFonts w:ascii="Times New Roman" w:hAnsi="Times New Roman" w:cs="Times New Roman"/>
          <w:noProof/>
          <w:color w:val="000000" w:themeColor="text1"/>
          <w:sz w:val="24"/>
          <w:szCs w:val="24"/>
        </w:rPr>
        <w:t>3 FTE (10% of 3 FTEs from SCHEER secretariat).</w:t>
      </w:r>
    </w:p>
    <w:p w14:paraId="0CFA2C5A" w14:textId="77777777" w:rsidR="000A7D9D" w:rsidRPr="00F521F8" w:rsidRDefault="000A7D9D" w:rsidP="000A7D9D">
      <w:pPr>
        <w:spacing w:before="120" w:after="120"/>
        <w:jc w:val="both"/>
        <w:rPr>
          <w:rFonts w:ascii="Times New Roman" w:hAnsi="Times New Roman" w:cs="Times New Roman"/>
          <w:noProof/>
          <w:sz w:val="24"/>
          <w:szCs w:val="24"/>
          <w:lang w:val="en-US"/>
        </w:rPr>
      </w:pPr>
      <w:r w:rsidRPr="00F521F8">
        <w:rPr>
          <w:rFonts w:ascii="Times New Roman" w:hAnsi="Times New Roman" w:cs="Times New Roman"/>
          <w:noProof/>
          <w:sz w:val="24"/>
          <w:szCs w:val="24"/>
          <w:lang w:val="en-US"/>
        </w:rPr>
        <w:t xml:space="preserve">The operational costs for two committees (that includes special indemnities, accommodation, daily allowances, travel costs, reimbursement for rapporteurship, etc) operated by the Commission were </w:t>
      </w:r>
      <w:r>
        <w:rPr>
          <w:rFonts w:ascii="Times New Roman" w:hAnsi="Times New Roman" w:cs="Times New Roman"/>
          <w:noProof/>
          <w:sz w:val="24"/>
          <w:szCs w:val="24"/>
          <w:lang w:val="en-US"/>
        </w:rPr>
        <w:t xml:space="preserve">EUR </w:t>
      </w:r>
      <w:r w:rsidRPr="00F521F8">
        <w:rPr>
          <w:rFonts w:ascii="Times New Roman" w:hAnsi="Times New Roman" w:cs="Times New Roman"/>
          <w:noProof/>
          <w:sz w:val="24"/>
          <w:szCs w:val="24"/>
          <w:lang w:val="en-US"/>
        </w:rPr>
        <w:t>2</w:t>
      </w:r>
      <w:r>
        <w:rPr>
          <w:rFonts w:ascii="Times New Roman" w:hAnsi="Times New Roman" w:cs="Times New Roman"/>
          <w:noProof/>
          <w:sz w:val="24"/>
          <w:szCs w:val="24"/>
          <w:lang w:val="en-US"/>
        </w:rPr>
        <w:t xml:space="preserve"> </w:t>
      </w:r>
      <w:r w:rsidRPr="00F521F8">
        <w:rPr>
          <w:rFonts w:ascii="Times New Roman" w:hAnsi="Times New Roman" w:cs="Times New Roman"/>
          <w:noProof/>
          <w:sz w:val="24"/>
          <w:szCs w:val="24"/>
          <w:lang w:val="en-US"/>
        </w:rPr>
        <w:t>883</w:t>
      </w:r>
      <w:r>
        <w:rPr>
          <w:rFonts w:ascii="Times New Roman" w:hAnsi="Times New Roman" w:cs="Times New Roman"/>
          <w:noProof/>
          <w:sz w:val="24"/>
          <w:szCs w:val="24"/>
          <w:lang w:val="en-US"/>
        </w:rPr>
        <w:t xml:space="preserve"> </w:t>
      </w:r>
      <w:r w:rsidRPr="00F521F8">
        <w:rPr>
          <w:rFonts w:ascii="Times New Roman" w:hAnsi="Times New Roman" w:cs="Times New Roman"/>
          <w:noProof/>
          <w:sz w:val="24"/>
          <w:szCs w:val="24"/>
          <w:lang w:val="en-US"/>
        </w:rPr>
        <w:t xml:space="preserve">030 for 6 years (2016-2021), which makes it approximately </w:t>
      </w:r>
      <w:r>
        <w:rPr>
          <w:rFonts w:ascii="Times New Roman" w:hAnsi="Times New Roman" w:cs="Times New Roman"/>
          <w:noProof/>
          <w:sz w:val="24"/>
          <w:szCs w:val="24"/>
          <w:lang w:val="en-US"/>
        </w:rPr>
        <w:t xml:space="preserve">EUR </w:t>
      </w:r>
      <w:r w:rsidRPr="00F521F8">
        <w:rPr>
          <w:rFonts w:ascii="Times New Roman" w:hAnsi="Times New Roman" w:cs="Times New Roman"/>
          <w:noProof/>
          <w:sz w:val="24"/>
          <w:szCs w:val="24"/>
          <w:lang w:val="en-US"/>
        </w:rPr>
        <w:t>240</w:t>
      </w:r>
      <w:r>
        <w:rPr>
          <w:rFonts w:ascii="Times New Roman" w:hAnsi="Times New Roman" w:cs="Times New Roman"/>
          <w:noProof/>
          <w:sz w:val="24"/>
          <w:szCs w:val="24"/>
          <w:lang w:val="en-US"/>
        </w:rPr>
        <w:t xml:space="preserve"> </w:t>
      </w:r>
      <w:r w:rsidRPr="00F521F8">
        <w:rPr>
          <w:rFonts w:ascii="Times New Roman" w:hAnsi="Times New Roman" w:cs="Times New Roman"/>
          <w:noProof/>
          <w:sz w:val="24"/>
          <w:szCs w:val="24"/>
          <w:lang w:val="en-US"/>
        </w:rPr>
        <w:t xml:space="preserve">000 per year per committee. It must be noted that the operational costs in 2019 were </w:t>
      </w:r>
      <w:r>
        <w:rPr>
          <w:rFonts w:ascii="Times New Roman" w:hAnsi="Times New Roman" w:cs="Times New Roman"/>
          <w:noProof/>
          <w:sz w:val="24"/>
          <w:szCs w:val="24"/>
          <w:lang w:val="en-US"/>
        </w:rPr>
        <w:t xml:space="preserve">EUR </w:t>
      </w:r>
      <w:r w:rsidRPr="00F521F8">
        <w:rPr>
          <w:rFonts w:ascii="Times New Roman" w:hAnsi="Times New Roman" w:cs="Times New Roman"/>
          <w:noProof/>
          <w:sz w:val="24"/>
          <w:szCs w:val="24"/>
          <w:lang w:val="en-US"/>
        </w:rPr>
        <w:t>340</w:t>
      </w:r>
      <w:r>
        <w:rPr>
          <w:rFonts w:ascii="Times New Roman" w:hAnsi="Times New Roman" w:cs="Times New Roman"/>
          <w:noProof/>
          <w:sz w:val="24"/>
          <w:szCs w:val="24"/>
          <w:lang w:val="en-US"/>
        </w:rPr>
        <w:t xml:space="preserve"> </w:t>
      </w:r>
      <w:r w:rsidRPr="00F521F8">
        <w:rPr>
          <w:rFonts w:ascii="Times New Roman" w:hAnsi="Times New Roman" w:cs="Times New Roman"/>
          <w:noProof/>
          <w:sz w:val="24"/>
          <w:szCs w:val="24"/>
          <w:lang w:val="en-US"/>
        </w:rPr>
        <w:t xml:space="preserve">000, which then went down because of the pandemic measures. The workload of SCHEER dedicated to support of medical devices regulation amounts to 10% of its time, which corresponds to operational costs of </w:t>
      </w:r>
      <w:r>
        <w:rPr>
          <w:rFonts w:ascii="Times New Roman" w:hAnsi="Times New Roman" w:cs="Times New Roman"/>
          <w:noProof/>
          <w:sz w:val="24"/>
          <w:szCs w:val="24"/>
          <w:lang w:val="en-US"/>
        </w:rPr>
        <w:t xml:space="preserve">EUR </w:t>
      </w:r>
      <w:r w:rsidRPr="00F521F8">
        <w:rPr>
          <w:rFonts w:ascii="Times New Roman" w:hAnsi="Times New Roman" w:cs="Times New Roman"/>
          <w:noProof/>
          <w:sz w:val="24"/>
          <w:szCs w:val="24"/>
          <w:lang w:val="en-US"/>
        </w:rPr>
        <w:t>24</w:t>
      </w:r>
      <w:r>
        <w:rPr>
          <w:rFonts w:ascii="Times New Roman" w:hAnsi="Times New Roman" w:cs="Times New Roman"/>
          <w:noProof/>
          <w:sz w:val="24"/>
          <w:szCs w:val="24"/>
          <w:lang w:val="en-US"/>
        </w:rPr>
        <w:t xml:space="preserve"> </w:t>
      </w:r>
      <w:r w:rsidRPr="00F521F8">
        <w:rPr>
          <w:rFonts w:ascii="Times New Roman" w:hAnsi="Times New Roman" w:cs="Times New Roman"/>
          <w:noProof/>
          <w:sz w:val="24"/>
          <w:szCs w:val="24"/>
          <w:lang w:val="en-US"/>
        </w:rPr>
        <w:t xml:space="preserve">000 (or at higher level of 2019 to </w:t>
      </w:r>
      <w:r>
        <w:rPr>
          <w:rFonts w:ascii="Times New Roman" w:hAnsi="Times New Roman" w:cs="Times New Roman"/>
          <w:noProof/>
          <w:sz w:val="24"/>
          <w:szCs w:val="24"/>
          <w:lang w:val="en-US"/>
        </w:rPr>
        <w:t xml:space="preserve">EUR </w:t>
      </w:r>
      <w:r w:rsidRPr="00F521F8">
        <w:rPr>
          <w:rFonts w:ascii="Times New Roman" w:hAnsi="Times New Roman" w:cs="Times New Roman"/>
          <w:noProof/>
          <w:sz w:val="24"/>
          <w:szCs w:val="24"/>
          <w:lang w:val="en-US"/>
        </w:rPr>
        <w:t>34</w:t>
      </w:r>
      <w:r>
        <w:rPr>
          <w:rFonts w:ascii="Times New Roman" w:hAnsi="Times New Roman" w:cs="Times New Roman"/>
          <w:noProof/>
          <w:sz w:val="24"/>
          <w:szCs w:val="24"/>
          <w:lang w:val="en-US"/>
        </w:rPr>
        <w:t xml:space="preserve"> </w:t>
      </w:r>
      <w:r w:rsidRPr="00F521F8">
        <w:rPr>
          <w:rFonts w:ascii="Times New Roman" w:hAnsi="Times New Roman" w:cs="Times New Roman"/>
          <w:noProof/>
          <w:sz w:val="24"/>
          <w:szCs w:val="24"/>
          <w:lang w:val="en-US"/>
        </w:rPr>
        <w:t>000).</w:t>
      </w:r>
    </w:p>
    <w:p w14:paraId="748428CC" w14:textId="77777777" w:rsidR="000A7D9D" w:rsidRPr="00F521F8" w:rsidRDefault="000A7D9D" w:rsidP="000A7D9D">
      <w:pPr>
        <w:spacing w:before="120" w:after="120"/>
        <w:jc w:val="both"/>
        <w:rPr>
          <w:rFonts w:ascii="Times New Roman" w:hAnsi="Times New Roman" w:cs="Times New Roman"/>
          <w:noProof/>
          <w:color w:val="000000" w:themeColor="text1"/>
          <w:sz w:val="24"/>
          <w:szCs w:val="24"/>
        </w:rPr>
      </w:pPr>
      <w:r w:rsidRPr="00F521F8">
        <w:rPr>
          <w:rFonts w:ascii="Times New Roman" w:hAnsi="Times New Roman" w:cs="Times New Roman"/>
          <w:noProof/>
          <w:color w:val="000000" w:themeColor="text1"/>
          <w:sz w:val="24"/>
          <w:szCs w:val="24"/>
        </w:rPr>
        <w:t>The DG SANTE medical device unit spends, according to its own accounts, 0</w:t>
      </w:r>
      <w:r>
        <w:rPr>
          <w:rFonts w:ascii="Times New Roman" w:hAnsi="Times New Roman" w:cs="Times New Roman"/>
          <w:noProof/>
          <w:color w:val="000000" w:themeColor="text1"/>
          <w:sz w:val="24"/>
          <w:szCs w:val="24"/>
        </w:rPr>
        <w:t>.</w:t>
      </w:r>
      <w:r w:rsidRPr="00F521F8">
        <w:rPr>
          <w:rFonts w:ascii="Times New Roman" w:hAnsi="Times New Roman" w:cs="Times New Roman"/>
          <w:noProof/>
          <w:color w:val="000000" w:themeColor="text1"/>
          <w:sz w:val="24"/>
          <w:szCs w:val="24"/>
        </w:rPr>
        <w:t xml:space="preserve">1 FTE annually on following up on such scientific opinions requested from SCHEER. </w:t>
      </w:r>
    </w:p>
    <w:p w14:paraId="0D1E0B7B" w14:textId="77777777" w:rsidR="000A7D9D" w:rsidRPr="00F521F8" w:rsidRDefault="000A7D9D" w:rsidP="000A7D9D">
      <w:pPr>
        <w:spacing w:before="120" w:after="120"/>
        <w:rPr>
          <w:rFonts w:ascii="Times New Roman" w:hAnsi="Times New Roman" w:cs="Times New Roman"/>
          <w:noProof/>
          <w:sz w:val="24"/>
          <w:szCs w:val="24"/>
          <w:lang w:val="en-US"/>
        </w:rPr>
      </w:pPr>
      <w:r w:rsidRPr="00F521F8">
        <w:rPr>
          <w:rFonts w:ascii="Times New Roman" w:hAnsi="Times New Roman" w:cs="Times New Roman"/>
          <w:noProof/>
          <w:sz w:val="24"/>
          <w:szCs w:val="24"/>
          <w:lang w:val="en-US"/>
        </w:rPr>
        <w:t>The current resources spent by the Commission can be summarized as follows:</w:t>
      </w:r>
    </w:p>
    <w:tbl>
      <w:tblPr>
        <w:tblStyle w:val="TableGrid5"/>
        <w:tblW w:w="0" w:type="auto"/>
        <w:tblLook w:val="04A0" w:firstRow="1" w:lastRow="0" w:firstColumn="1" w:lastColumn="0" w:noHBand="0" w:noVBand="1"/>
      </w:tblPr>
      <w:tblGrid>
        <w:gridCol w:w="4811"/>
        <w:gridCol w:w="4818"/>
      </w:tblGrid>
      <w:tr w:rsidR="000A7D9D" w:rsidRPr="00F521F8" w14:paraId="6D82A0E7" w14:textId="77777777" w:rsidTr="00F31937">
        <w:trPr>
          <w:trHeight w:val="300"/>
        </w:trPr>
        <w:tc>
          <w:tcPr>
            <w:tcW w:w="4811" w:type="dxa"/>
          </w:tcPr>
          <w:p w14:paraId="54AB1A6A" w14:textId="77777777" w:rsidR="000A7D9D" w:rsidRPr="00F521F8" w:rsidRDefault="000A7D9D" w:rsidP="00F31937">
            <w:pPr>
              <w:spacing w:after="240"/>
              <w:rPr>
                <w:rFonts w:ascii="Times New Roman" w:hAnsi="Times New Roman"/>
                <w:noProof/>
                <w:sz w:val="24"/>
                <w:szCs w:val="24"/>
              </w:rPr>
            </w:pPr>
            <w:r w:rsidRPr="00F521F8">
              <w:rPr>
                <w:rFonts w:ascii="Times New Roman" w:hAnsi="Times New Roman"/>
                <w:noProof/>
                <w:sz w:val="24"/>
                <w:szCs w:val="24"/>
              </w:rPr>
              <w:t>DG SANTE (policy unit)</w:t>
            </w:r>
          </w:p>
        </w:tc>
        <w:tc>
          <w:tcPr>
            <w:tcW w:w="4818" w:type="dxa"/>
          </w:tcPr>
          <w:p w14:paraId="43213F35" w14:textId="77777777" w:rsidR="000A7D9D" w:rsidRPr="00F521F8" w:rsidRDefault="000A7D9D" w:rsidP="00F31937">
            <w:pPr>
              <w:spacing w:after="240"/>
              <w:rPr>
                <w:rFonts w:ascii="Times New Roman" w:hAnsi="Times New Roman"/>
                <w:noProof/>
                <w:sz w:val="24"/>
                <w:szCs w:val="24"/>
              </w:rPr>
            </w:pPr>
            <w:r w:rsidRPr="00F521F8">
              <w:rPr>
                <w:rFonts w:ascii="Times New Roman" w:hAnsi="Times New Roman"/>
                <w:noProof/>
                <w:sz w:val="24"/>
                <w:szCs w:val="24"/>
              </w:rPr>
              <w:t>0</w:t>
            </w:r>
            <w:r>
              <w:rPr>
                <w:rFonts w:ascii="Times New Roman" w:hAnsi="Times New Roman"/>
                <w:noProof/>
                <w:sz w:val="24"/>
                <w:szCs w:val="24"/>
              </w:rPr>
              <w:t>.</w:t>
            </w:r>
            <w:r w:rsidRPr="00F521F8">
              <w:rPr>
                <w:rFonts w:ascii="Times New Roman" w:hAnsi="Times New Roman"/>
                <w:noProof/>
                <w:sz w:val="24"/>
                <w:szCs w:val="24"/>
              </w:rPr>
              <w:t>1 FTE per year</w:t>
            </w:r>
          </w:p>
        </w:tc>
      </w:tr>
      <w:tr w:rsidR="000A7D9D" w:rsidRPr="00F521F8" w14:paraId="7908DB20" w14:textId="77777777" w:rsidTr="00F31937">
        <w:trPr>
          <w:trHeight w:val="300"/>
        </w:trPr>
        <w:tc>
          <w:tcPr>
            <w:tcW w:w="4811" w:type="dxa"/>
          </w:tcPr>
          <w:p w14:paraId="4763B727" w14:textId="77777777" w:rsidR="000A7D9D" w:rsidRPr="00F521F8" w:rsidRDefault="000A7D9D" w:rsidP="00F31937">
            <w:pPr>
              <w:spacing w:after="240"/>
              <w:rPr>
                <w:rFonts w:ascii="Times New Roman" w:hAnsi="Times New Roman"/>
                <w:noProof/>
                <w:sz w:val="24"/>
                <w:szCs w:val="24"/>
              </w:rPr>
            </w:pPr>
            <w:r w:rsidRPr="00F521F8">
              <w:rPr>
                <w:rFonts w:ascii="Times New Roman" w:hAnsi="Times New Roman"/>
                <w:noProof/>
                <w:sz w:val="24"/>
                <w:szCs w:val="24"/>
              </w:rPr>
              <w:t>DG SANTE (Committees unit, including external support)</w:t>
            </w:r>
          </w:p>
        </w:tc>
        <w:tc>
          <w:tcPr>
            <w:tcW w:w="4818" w:type="dxa"/>
          </w:tcPr>
          <w:p w14:paraId="5776291C" w14:textId="77777777" w:rsidR="000A7D9D" w:rsidRPr="00F521F8" w:rsidRDefault="000A7D9D" w:rsidP="00F31937">
            <w:pPr>
              <w:rPr>
                <w:rFonts w:ascii="Times New Roman" w:hAnsi="Times New Roman"/>
                <w:noProof/>
                <w:sz w:val="24"/>
                <w:szCs w:val="24"/>
              </w:rPr>
            </w:pPr>
            <w:r w:rsidRPr="00F521F8">
              <w:rPr>
                <w:rFonts w:ascii="Times New Roman" w:hAnsi="Times New Roman"/>
                <w:noProof/>
                <w:sz w:val="24"/>
                <w:szCs w:val="24"/>
              </w:rPr>
              <w:t>0.3 FTE (10% of the SCHEER secretariat)</w:t>
            </w:r>
          </w:p>
          <w:p w14:paraId="6B13FE1F" w14:textId="77777777" w:rsidR="000A7D9D" w:rsidRPr="00F521F8" w:rsidRDefault="000A7D9D" w:rsidP="00F31937">
            <w:pPr>
              <w:spacing w:after="240"/>
              <w:rPr>
                <w:rFonts w:ascii="Times New Roman" w:hAnsi="Times New Roman"/>
                <w:noProof/>
                <w:sz w:val="24"/>
                <w:szCs w:val="24"/>
              </w:rPr>
            </w:pPr>
            <w:r w:rsidRPr="00F521F8">
              <w:rPr>
                <w:rFonts w:ascii="Times New Roman" w:hAnsi="Times New Roman"/>
                <w:noProof/>
                <w:sz w:val="24"/>
                <w:szCs w:val="24"/>
              </w:rPr>
              <w:t xml:space="preserve">Operational costs ca. </w:t>
            </w:r>
            <w:r>
              <w:rPr>
                <w:rFonts w:ascii="Times New Roman" w:hAnsi="Times New Roman"/>
                <w:noProof/>
                <w:sz w:val="24"/>
                <w:szCs w:val="24"/>
              </w:rPr>
              <w:t xml:space="preserve">EUR </w:t>
            </w:r>
            <w:r w:rsidRPr="00F521F8">
              <w:rPr>
                <w:rFonts w:ascii="Times New Roman" w:hAnsi="Times New Roman"/>
                <w:noProof/>
                <w:sz w:val="24"/>
                <w:szCs w:val="24"/>
              </w:rPr>
              <w:t>24</w:t>
            </w:r>
            <w:r>
              <w:rPr>
                <w:rFonts w:ascii="Times New Roman" w:hAnsi="Times New Roman"/>
                <w:noProof/>
                <w:sz w:val="24"/>
                <w:szCs w:val="24"/>
              </w:rPr>
              <w:t xml:space="preserve"> 000</w:t>
            </w:r>
            <w:r w:rsidRPr="00F521F8">
              <w:rPr>
                <w:rFonts w:ascii="Times New Roman" w:hAnsi="Times New Roman"/>
                <w:noProof/>
                <w:sz w:val="24"/>
                <w:szCs w:val="24"/>
              </w:rPr>
              <w:t xml:space="preserve">/year (at peak </w:t>
            </w:r>
            <w:r>
              <w:rPr>
                <w:rFonts w:ascii="Times New Roman" w:hAnsi="Times New Roman"/>
                <w:noProof/>
                <w:sz w:val="24"/>
                <w:szCs w:val="24"/>
              </w:rPr>
              <w:t xml:space="preserve">EUR </w:t>
            </w:r>
            <w:r w:rsidRPr="00F521F8">
              <w:rPr>
                <w:rFonts w:ascii="Times New Roman" w:hAnsi="Times New Roman"/>
                <w:noProof/>
                <w:sz w:val="24"/>
                <w:szCs w:val="24"/>
              </w:rPr>
              <w:t>34</w:t>
            </w:r>
            <w:r>
              <w:rPr>
                <w:rFonts w:ascii="Times New Roman" w:hAnsi="Times New Roman"/>
                <w:noProof/>
                <w:sz w:val="24"/>
                <w:szCs w:val="24"/>
              </w:rPr>
              <w:t xml:space="preserve"> </w:t>
            </w:r>
            <w:r w:rsidRPr="00F521F8">
              <w:rPr>
                <w:rFonts w:ascii="Times New Roman" w:hAnsi="Times New Roman"/>
                <w:noProof/>
                <w:sz w:val="24"/>
                <w:szCs w:val="24"/>
              </w:rPr>
              <w:t>000/year)</w:t>
            </w:r>
          </w:p>
        </w:tc>
      </w:tr>
      <w:tr w:rsidR="000A7D9D" w:rsidRPr="00F521F8" w14:paraId="71B0CA7B" w14:textId="77777777" w:rsidTr="00F31937">
        <w:trPr>
          <w:trHeight w:val="300"/>
        </w:trPr>
        <w:tc>
          <w:tcPr>
            <w:tcW w:w="4811" w:type="dxa"/>
          </w:tcPr>
          <w:p w14:paraId="63CB622B" w14:textId="77777777" w:rsidR="000A7D9D" w:rsidRPr="00F521F8" w:rsidRDefault="000A7D9D" w:rsidP="00F31937">
            <w:pPr>
              <w:spacing w:after="240"/>
              <w:rPr>
                <w:rFonts w:ascii="Times New Roman" w:hAnsi="Times New Roman"/>
                <w:b/>
                <w:bCs/>
                <w:noProof/>
                <w:sz w:val="24"/>
                <w:szCs w:val="24"/>
              </w:rPr>
            </w:pPr>
            <w:r w:rsidRPr="00F521F8">
              <w:rPr>
                <w:rFonts w:ascii="Times New Roman" w:hAnsi="Times New Roman"/>
                <w:b/>
                <w:bCs/>
                <w:noProof/>
                <w:sz w:val="24"/>
                <w:szCs w:val="24"/>
              </w:rPr>
              <w:t>Total</w:t>
            </w:r>
          </w:p>
        </w:tc>
        <w:tc>
          <w:tcPr>
            <w:tcW w:w="4818" w:type="dxa"/>
          </w:tcPr>
          <w:p w14:paraId="0C81FC18" w14:textId="77777777" w:rsidR="000A7D9D" w:rsidRPr="00F521F8" w:rsidRDefault="000A7D9D" w:rsidP="00F31937">
            <w:pPr>
              <w:spacing w:after="240"/>
              <w:rPr>
                <w:rFonts w:ascii="Times New Roman" w:hAnsi="Times New Roman"/>
                <w:b/>
                <w:bCs/>
                <w:noProof/>
                <w:sz w:val="24"/>
                <w:szCs w:val="24"/>
              </w:rPr>
            </w:pPr>
            <w:r w:rsidRPr="00CC31EE">
              <w:rPr>
                <w:rFonts w:ascii="Times New Roman" w:hAnsi="Times New Roman"/>
                <w:b/>
                <w:bCs/>
                <w:i/>
                <w:noProof/>
                <w:sz w:val="24"/>
                <w:szCs w:val="24"/>
              </w:rPr>
              <w:t>Ca.</w:t>
            </w:r>
            <w:r w:rsidRPr="00F521F8">
              <w:rPr>
                <w:rFonts w:ascii="Times New Roman" w:hAnsi="Times New Roman"/>
                <w:b/>
                <w:bCs/>
                <w:noProof/>
                <w:sz w:val="24"/>
                <w:szCs w:val="24"/>
              </w:rPr>
              <w:t xml:space="preserve"> 0</w:t>
            </w:r>
            <w:r>
              <w:rPr>
                <w:rFonts w:ascii="Times New Roman" w:hAnsi="Times New Roman"/>
                <w:b/>
                <w:bCs/>
                <w:noProof/>
                <w:sz w:val="24"/>
                <w:szCs w:val="24"/>
              </w:rPr>
              <w:t>.</w:t>
            </w:r>
            <w:r w:rsidRPr="00F521F8">
              <w:rPr>
                <w:rFonts w:ascii="Times New Roman" w:hAnsi="Times New Roman"/>
                <w:b/>
                <w:bCs/>
                <w:noProof/>
                <w:sz w:val="24"/>
                <w:szCs w:val="24"/>
              </w:rPr>
              <w:t>4 FTEs annually</w:t>
            </w:r>
          </w:p>
        </w:tc>
      </w:tr>
    </w:tbl>
    <w:p w14:paraId="2654BF81" w14:textId="77777777" w:rsidR="000A7D9D" w:rsidRDefault="000A7D9D" w:rsidP="000A7D9D">
      <w:pPr>
        <w:spacing w:before="120" w:after="120"/>
        <w:jc w:val="both"/>
        <w:rPr>
          <w:rFonts w:ascii="Times New Roman" w:hAnsi="Times New Roman" w:cs="Times New Roman"/>
          <w:noProof/>
          <w:color w:val="000000" w:themeColor="text1"/>
          <w:sz w:val="24"/>
          <w:szCs w:val="24"/>
        </w:rPr>
      </w:pPr>
    </w:p>
    <w:p w14:paraId="1C438438" w14:textId="77777777" w:rsidR="000A7D9D" w:rsidRPr="00F521F8" w:rsidRDefault="000A7D9D" w:rsidP="000A7D9D">
      <w:pPr>
        <w:spacing w:before="120" w:after="120"/>
        <w:jc w:val="both"/>
        <w:rPr>
          <w:rFonts w:ascii="Times New Roman" w:hAnsi="Times New Roman" w:cs="Times New Roman"/>
          <w:noProof/>
          <w:color w:val="000000" w:themeColor="text1"/>
          <w:sz w:val="24"/>
          <w:szCs w:val="24"/>
        </w:rPr>
      </w:pPr>
      <w:r w:rsidRPr="00F521F8">
        <w:rPr>
          <w:rFonts w:ascii="Times New Roman" w:hAnsi="Times New Roman" w:cs="Times New Roman"/>
          <w:noProof/>
          <w:color w:val="000000" w:themeColor="text1"/>
          <w:sz w:val="24"/>
          <w:szCs w:val="24"/>
        </w:rPr>
        <w:t xml:space="preserve">It should be noted that such Commission resources do not include contributions to the administrative overhead of the Commission (HR, Finance, IT tools, etc.). </w:t>
      </w:r>
    </w:p>
    <w:p w14:paraId="65340F57" w14:textId="77777777" w:rsidR="000A7D9D" w:rsidRPr="00F521F8" w:rsidRDefault="000A7D9D" w:rsidP="000A7D9D">
      <w:pPr>
        <w:spacing w:before="120" w:after="120"/>
        <w:rPr>
          <w:rFonts w:ascii="Times New Roman" w:hAnsi="Times New Roman" w:cs="Times New Roman"/>
          <w:noProof/>
          <w:color w:val="000000"/>
          <w:sz w:val="24"/>
          <w:szCs w:val="24"/>
        </w:rPr>
      </w:pPr>
      <w:r w:rsidRPr="00F521F8">
        <w:rPr>
          <w:rFonts w:ascii="Times New Roman" w:hAnsi="Times New Roman" w:cs="Times New Roman"/>
          <w:noProof/>
          <w:color w:val="000000" w:themeColor="text1"/>
          <w:sz w:val="24"/>
          <w:szCs w:val="24"/>
          <w:u w:val="single"/>
        </w:rPr>
        <w:t>Current budget line:</w:t>
      </w:r>
      <w:r w:rsidRPr="00F521F8">
        <w:rPr>
          <w:rFonts w:ascii="Times New Roman" w:hAnsi="Times New Roman" w:cs="Times New Roman"/>
          <w:noProof/>
          <w:color w:val="000000" w:themeColor="text1"/>
          <w:sz w:val="24"/>
          <w:szCs w:val="24"/>
        </w:rPr>
        <w:t xml:space="preserve"> Budget line of DG SANTE (EU4Health programme)</w:t>
      </w:r>
    </w:p>
    <w:p w14:paraId="193D62E3" w14:textId="77777777" w:rsidR="000A7D9D" w:rsidRPr="00F521F8" w:rsidRDefault="000A7D9D" w:rsidP="000A7D9D">
      <w:pPr>
        <w:spacing w:after="120"/>
        <w:rPr>
          <w:rFonts w:ascii="Times New Roman" w:hAnsi="Times New Roman" w:cs="Times New Roman"/>
          <w:noProof/>
          <w:sz w:val="24"/>
          <w:szCs w:val="24"/>
          <w:u w:val="single"/>
        </w:rPr>
      </w:pPr>
      <w:r w:rsidRPr="00F521F8">
        <w:rPr>
          <w:rFonts w:ascii="Times New Roman" w:hAnsi="Times New Roman" w:cs="Times New Roman"/>
          <w:noProof/>
          <w:sz w:val="24"/>
          <w:szCs w:val="24"/>
          <w:u w:val="single"/>
        </w:rPr>
        <w:t>Future workload and resource needs:</w:t>
      </w:r>
    </w:p>
    <w:p w14:paraId="63074F9E" w14:textId="77777777" w:rsidR="000A7D9D" w:rsidRPr="00F521F8" w:rsidRDefault="000A7D9D" w:rsidP="000A7D9D">
      <w:pPr>
        <w:pStyle w:val="BodyText"/>
        <w:jc w:val="both"/>
        <w:rPr>
          <w:noProof/>
          <w:color w:val="000000" w:themeColor="text1"/>
        </w:rPr>
      </w:pPr>
      <w:r w:rsidRPr="00F521F8">
        <w:rPr>
          <w:noProof/>
          <w:color w:val="000000" w:themeColor="text1"/>
        </w:rPr>
        <w:t xml:space="preserve">The review of the guidelines on how to performing risk-benefit analysis of use of phthalates in medical devices is due in 2024. It will be still reviewed by the SCHEER committee, the work has started in April 2023. The next review will be due in 2029. </w:t>
      </w:r>
    </w:p>
    <w:p w14:paraId="2A86403C" w14:textId="77777777" w:rsidR="000A7D9D" w:rsidRPr="00F521F8" w:rsidRDefault="000A7D9D" w:rsidP="000A7D9D">
      <w:pPr>
        <w:pStyle w:val="BodyText"/>
        <w:jc w:val="both"/>
        <w:rPr>
          <w:noProof/>
          <w:color w:val="000000" w:themeColor="text1"/>
        </w:rPr>
      </w:pPr>
      <w:r w:rsidRPr="00F521F8">
        <w:rPr>
          <w:noProof/>
          <w:color w:val="000000" w:themeColor="text1"/>
        </w:rPr>
        <w:t xml:space="preserve">The Commission does not envisage in the near future asking for the guidelines on how to perform risk-benefit analysis of use of CMRs and ED in medical devices. </w:t>
      </w:r>
    </w:p>
    <w:p w14:paraId="7B5AFD7C" w14:textId="77777777" w:rsidR="000A7D9D" w:rsidRPr="00F521F8" w:rsidRDefault="000A7D9D" w:rsidP="000A7D9D">
      <w:pPr>
        <w:pStyle w:val="BodyText"/>
        <w:rPr>
          <w:noProof/>
          <w:color w:val="000000" w:themeColor="text1"/>
        </w:rPr>
      </w:pPr>
      <w:r w:rsidRPr="00F521F8">
        <w:rPr>
          <w:noProof/>
          <w:color w:val="000000" w:themeColor="text1"/>
        </w:rPr>
        <w:t>ECHA resource needs would be as follows:</w:t>
      </w:r>
    </w:p>
    <w:p w14:paraId="6CBB6705" w14:textId="77777777" w:rsidR="000A7D9D" w:rsidRPr="00F521F8" w:rsidRDefault="000A7D9D" w:rsidP="000A7D9D">
      <w:pPr>
        <w:widowControl w:val="0"/>
        <w:numPr>
          <w:ilvl w:val="0"/>
          <w:numId w:val="92"/>
        </w:numPr>
        <w:spacing w:before="120" w:after="120" w:line="240" w:lineRule="auto"/>
        <w:contextualSpacing/>
        <w:jc w:val="both"/>
        <w:rPr>
          <w:rFonts w:ascii="Times New Roman" w:hAnsi="Times New Roman" w:cs="Times New Roman"/>
          <w:noProof/>
          <w:color w:val="000000" w:themeColor="text1"/>
          <w:sz w:val="24"/>
          <w:szCs w:val="24"/>
        </w:rPr>
      </w:pPr>
      <w:r w:rsidRPr="120044EF">
        <w:rPr>
          <w:rFonts w:ascii="Times New Roman" w:hAnsi="Times New Roman" w:cs="Times New Roman"/>
          <w:noProof/>
          <w:sz w:val="24"/>
          <w:szCs w:val="24"/>
        </w:rPr>
        <w:t>Development of a guideline for performing risk-benefit assessment of the presence of phthalates in certain medical devices every 5 years, including, where requested or appropriate, scientif</w:t>
      </w:r>
      <w:r>
        <w:rPr>
          <w:rFonts w:ascii="Times New Roman" w:hAnsi="Times New Roman" w:cs="Times New Roman"/>
          <w:noProof/>
          <w:sz w:val="24"/>
          <w:szCs w:val="24"/>
        </w:rPr>
        <w:t>ic committee opinion forming: 0.</w:t>
      </w:r>
      <w:r w:rsidRPr="120044EF">
        <w:rPr>
          <w:rFonts w:ascii="Times New Roman" w:hAnsi="Times New Roman" w:cs="Times New Roman"/>
          <w:noProof/>
          <w:sz w:val="24"/>
          <w:szCs w:val="24"/>
        </w:rPr>
        <w:t xml:space="preserve">2 FTE (~unit cost of 1 REACH restriction = 1 (light dossier) </w:t>
      </w:r>
      <w:r>
        <w:rPr>
          <w:rFonts w:ascii="Times New Roman" w:hAnsi="Times New Roman" w:cs="Times New Roman"/>
          <w:noProof/>
          <w:sz w:val="24"/>
          <w:szCs w:val="24"/>
        </w:rPr>
        <w:t>–</w:t>
      </w:r>
      <w:r w:rsidRPr="120044EF">
        <w:rPr>
          <w:rFonts w:ascii="Times New Roman" w:hAnsi="Times New Roman" w:cs="Times New Roman"/>
          <w:noProof/>
          <w:sz w:val="24"/>
          <w:szCs w:val="24"/>
        </w:rPr>
        <w:t xml:space="preserve"> 1</w:t>
      </w:r>
      <w:r>
        <w:rPr>
          <w:rFonts w:ascii="Times New Roman" w:hAnsi="Times New Roman" w:cs="Times New Roman"/>
          <w:noProof/>
          <w:sz w:val="24"/>
          <w:szCs w:val="24"/>
        </w:rPr>
        <w:t>.</w:t>
      </w:r>
      <w:r w:rsidRPr="120044EF">
        <w:rPr>
          <w:rFonts w:ascii="Times New Roman" w:hAnsi="Times New Roman" w:cs="Times New Roman"/>
          <w:noProof/>
          <w:sz w:val="24"/>
          <w:szCs w:val="24"/>
        </w:rPr>
        <w:t>5 (complex dossier) FTE)</w:t>
      </w:r>
    </w:p>
    <w:p w14:paraId="6C6C1716" w14:textId="77777777" w:rsidR="000A7D9D" w:rsidRPr="00F521F8" w:rsidRDefault="000A7D9D" w:rsidP="000A7D9D">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120044EF">
        <w:rPr>
          <w:rFonts w:ascii="Times New Roman" w:hAnsi="Times New Roman" w:cs="Times New Roman"/>
          <w:noProof/>
          <w:sz w:val="24"/>
          <w:szCs w:val="24"/>
        </w:rPr>
        <w:t>Development of a guideline for performing risk-benefit assessment on the use of CMR and endocrine-disrupting substances or other ad hoc mandate on chemicals in medical devices every 5 years: 0</w:t>
      </w:r>
      <w:r>
        <w:rPr>
          <w:rFonts w:ascii="Times New Roman" w:hAnsi="Times New Roman" w:cs="Times New Roman"/>
          <w:noProof/>
          <w:sz w:val="24"/>
          <w:szCs w:val="24"/>
        </w:rPr>
        <w:t>.</w:t>
      </w:r>
      <w:r w:rsidRPr="120044EF">
        <w:rPr>
          <w:rFonts w:ascii="Times New Roman" w:hAnsi="Times New Roman" w:cs="Times New Roman"/>
          <w:noProof/>
          <w:sz w:val="24"/>
          <w:szCs w:val="24"/>
        </w:rPr>
        <w:t xml:space="preserve">2 FTE (~unit cost of 1 REACH restriction = 1 </w:t>
      </w:r>
      <w:r>
        <w:rPr>
          <w:rFonts w:ascii="Times New Roman" w:hAnsi="Times New Roman" w:cs="Times New Roman"/>
          <w:noProof/>
          <w:sz w:val="24"/>
          <w:szCs w:val="24"/>
        </w:rPr>
        <w:t>–</w:t>
      </w:r>
      <w:r w:rsidRPr="120044EF">
        <w:rPr>
          <w:rFonts w:ascii="Times New Roman" w:hAnsi="Times New Roman" w:cs="Times New Roman"/>
          <w:noProof/>
          <w:sz w:val="24"/>
          <w:szCs w:val="24"/>
        </w:rPr>
        <w:t xml:space="preserve"> 1</w:t>
      </w:r>
      <w:r>
        <w:rPr>
          <w:rFonts w:ascii="Times New Roman" w:hAnsi="Times New Roman" w:cs="Times New Roman"/>
          <w:noProof/>
          <w:sz w:val="24"/>
          <w:szCs w:val="24"/>
        </w:rPr>
        <w:t>.</w:t>
      </w:r>
      <w:r w:rsidRPr="120044EF">
        <w:rPr>
          <w:rFonts w:ascii="Times New Roman" w:hAnsi="Times New Roman" w:cs="Times New Roman"/>
          <w:noProof/>
          <w:sz w:val="24"/>
          <w:szCs w:val="24"/>
        </w:rPr>
        <w:t>5 FTE)</w:t>
      </w:r>
    </w:p>
    <w:p w14:paraId="09BE92F8" w14:textId="77777777" w:rsidR="000A7D9D" w:rsidRPr="00F521F8" w:rsidRDefault="000A7D9D" w:rsidP="000A7D9D">
      <w:pPr>
        <w:widowControl w:val="0"/>
        <w:numPr>
          <w:ilvl w:val="0"/>
          <w:numId w:val="92"/>
        </w:numPr>
        <w:spacing w:before="120" w:after="120" w:line="240" w:lineRule="auto"/>
        <w:contextualSpacing/>
        <w:jc w:val="both"/>
        <w:rPr>
          <w:rFonts w:ascii="Times New Roman" w:hAnsi="Times New Roman" w:cs="Times New Roman"/>
          <w:noProof/>
          <w:sz w:val="24"/>
          <w:szCs w:val="24"/>
        </w:rPr>
      </w:pPr>
      <w:r w:rsidRPr="120044EF">
        <w:rPr>
          <w:rFonts w:ascii="Times New Roman" w:hAnsi="Times New Roman" w:cs="Times New Roman"/>
          <w:noProof/>
          <w:color w:val="000000" w:themeColor="text1"/>
          <w:sz w:val="24"/>
          <w:szCs w:val="24"/>
        </w:rPr>
        <w:t>Scientific support services: substance i</w:t>
      </w:r>
      <w:r w:rsidRPr="120044EF">
        <w:rPr>
          <w:rFonts w:ascii="Times New Roman" w:hAnsi="Times New Roman" w:cs="Times New Roman"/>
          <w:noProof/>
          <w:sz w:val="24"/>
          <w:szCs w:val="24"/>
        </w:rPr>
        <w:t xml:space="preserve">dentification and prioritisation, data management and </w:t>
      </w:r>
      <w:r w:rsidRPr="120044EF">
        <w:rPr>
          <w:rFonts w:ascii="Times New Roman" w:hAnsi="Times New Roman" w:cs="Times New Roman"/>
          <w:noProof/>
          <w:color w:val="000000" w:themeColor="text1"/>
          <w:sz w:val="24"/>
          <w:szCs w:val="24"/>
        </w:rPr>
        <w:t>dissemination</w:t>
      </w:r>
      <w:r w:rsidRPr="120044EF">
        <w:rPr>
          <w:rFonts w:ascii="Times New Roman" w:hAnsi="Times New Roman" w:cs="Times New Roman"/>
          <w:noProof/>
          <w:sz w:val="24"/>
          <w:szCs w:val="24"/>
        </w:rPr>
        <w:t>: contribution of 0</w:t>
      </w:r>
      <w:r>
        <w:rPr>
          <w:rFonts w:ascii="Times New Roman" w:hAnsi="Times New Roman" w:cs="Times New Roman"/>
          <w:noProof/>
          <w:sz w:val="24"/>
          <w:szCs w:val="24"/>
        </w:rPr>
        <w:t>.</w:t>
      </w:r>
      <w:r w:rsidRPr="120044EF">
        <w:rPr>
          <w:rFonts w:ascii="Times New Roman" w:hAnsi="Times New Roman" w:cs="Times New Roman"/>
          <w:noProof/>
          <w:sz w:val="24"/>
          <w:szCs w:val="24"/>
        </w:rPr>
        <w:t>1 FTE based on the size of the task</w:t>
      </w:r>
    </w:p>
    <w:p w14:paraId="6F18DDD4" w14:textId="77777777" w:rsidR="000A7D9D" w:rsidRPr="00F521F8"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 xml:space="preserve">IT tool development cost (data submission, processing, </w:t>
      </w:r>
      <w:r w:rsidRPr="120044EF">
        <w:rPr>
          <w:rFonts w:ascii="Times New Roman" w:hAnsi="Times New Roman" w:cs="Times New Roman"/>
          <w:noProof/>
          <w:color w:val="000000" w:themeColor="text1"/>
          <w:sz w:val="24"/>
          <w:szCs w:val="24"/>
        </w:rPr>
        <w:t>output</w:t>
      </w:r>
      <w:r w:rsidRPr="120044EF">
        <w:rPr>
          <w:rFonts w:ascii="Times New Roman" w:hAnsi="Times New Roman" w:cs="Times New Roman"/>
          <w:noProof/>
          <w:sz w:val="24"/>
          <w:szCs w:val="24"/>
        </w:rPr>
        <w:t>): contribution of 15% for common components (0.1 FTE)</w:t>
      </w:r>
    </w:p>
    <w:p w14:paraId="2802EE86" w14:textId="77777777" w:rsidR="000A7D9D" w:rsidRPr="00F521F8" w:rsidRDefault="000A7D9D" w:rsidP="000A7D9D">
      <w:pPr>
        <w:widowControl w:val="0"/>
        <w:numPr>
          <w:ilvl w:val="0"/>
          <w:numId w:val="92"/>
        </w:numPr>
        <w:spacing w:before="120" w:after="120" w:line="240" w:lineRule="auto"/>
        <w:contextualSpacing/>
        <w:rPr>
          <w:rFonts w:ascii="Times New Roman" w:hAnsi="Times New Roman" w:cs="Times New Roman"/>
          <w:noProof/>
          <w:sz w:val="24"/>
          <w:szCs w:val="24"/>
        </w:rPr>
      </w:pPr>
      <w:r w:rsidRPr="120044EF">
        <w:rPr>
          <w:rFonts w:ascii="Times New Roman" w:hAnsi="Times New Roman" w:cs="Times New Roman"/>
          <w:noProof/>
          <w:sz w:val="24"/>
          <w:szCs w:val="24"/>
        </w:rPr>
        <w:t>Horizontal support (governance &amp; enablers / administrative overhead): contribution of 15% (0.1 FTE)</w:t>
      </w:r>
    </w:p>
    <w:p w14:paraId="138562B9" w14:textId="77777777" w:rsidR="000A7D9D" w:rsidRPr="00F521F8" w:rsidRDefault="000A7D9D" w:rsidP="000A7D9D">
      <w:pPr>
        <w:rPr>
          <w:rFonts w:ascii="Times New Roman" w:hAnsi="Times New Roman" w:cs="Times New Roman"/>
          <w:noProof/>
          <w:sz w:val="24"/>
          <w:szCs w:val="24"/>
        </w:rPr>
      </w:pPr>
      <w:r w:rsidRPr="00F521F8">
        <w:rPr>
          <w:rFonts w:ascii="Times New Roman" w:hAnsi="Times New Roman" w:cs="Times New Roman"/>
          <w:noProof/>
          <w:sz w:val="24"/>
          <w:szCs w:val="24"/>
        </w:rPr>
        <w:t>-----------</w:t>
      </w:r>
    </w:p>
    <w:p w14:paraId="7F291717"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rPr>
        <w:t>Total: 0.7 FTEs</w:t>
      </w:r>
    </w:p>
    <w:p w14:paraId="6667BCEC" w14:textId="77777777" w:rsidR="000A7D9D" w:rsidRPr="00F521F8" w:rsidRDefault="000A7D9D" w:rsidP="000A7D9D">
      <w:pPr>
        <w:pStyle w:val="BodyText"/>
        <w:jc w:val="both"/>
        <w:rPr>
          <w:noProof/>
        </w:rPr>
      </w:pPr>
      <w:r w:rsidRPr="00F521F8">
        <w:rPr>
          <w:noProof/>
        </w:rPr>
        <w:t xml:space="preserve">Considering that the envisaged frequency of the work is very low, the involvement of the Committees is only where necessary, the first work will likely materialise only in 2029, the work can be absorbed by the agency without any additional resources. </w:t>
      </w:r>
    </w:p>
    <w:p w14:paraId="34C79568" w14:textId="77777777" w:rsidR="000A7D9D" w:rsidRPr="00F521F8" w:rsidRDefault="000A7D9D" w:rsidP="000A7D9D">
      <w:pPr>
        <w:pStyle w:val="BodyText"/>
        <w:jc w:val="both"/>
        <w:rPr>
          <w:rFonts w:eastAsiaTheme="minorEastAsia"/>
          <w:noProof/>
          <w:lang w:val="en-US" w:eastAsia="en-GB"/>
        </w:rPr>
      </w:pPr>
      <w:r w:rsidRPr="00F521F8">
        <w:rPr>
          <w:rFonts w:eastAsiaTheme="minorEastAsia"/>
          <w:noProof/>
          <w:lang w:val="en-US" w:eastAsia="en-GB"/>
        </w:rPr>
        <w:t>Summary of additional resource needs for the medical devices regulation:</w:t>
      </w:r>
    </w:p>
    <w:tbl>
      <w:tblPr>
        <w:tblStyle w:val="TableGrid"/>
        <w:tblW w:w="9629" w:type="dxa"/>
        <w:tblLook w:val="04A0" w:firstRow="1" w:lastRow="0" w:firstColumn="1" w:lastColumn="0" w:noHBand="0" w:noVBand="1"/>
      </w:tblPr>
      <w:tblGrid>
        <w:gridCol w:w="1454"/>
        <w:gridCol w:w="3135"/>
        <w:gridCol w:w="2925"/>
        <w:gridCol w:w="2115"/>
      </w:tblGrid>
      <w:tr w:rsidR="000A7D9D" w:rsidRPr="00C56424" w14:paraId="4EACEBD4" w14:textId="77777777" w:rsidTr="00F31937">
        <w:trPr>
          <w:trHeight w:val="300"/>
        </w:trPr>
        <w:tc>
          <w:tcPr>
            <w:tcW w:w="1454" w:type="dxa"/>
            <w:shd w:val="clear" w:color="auto" w:fill="D9D9D9" w:themeFill="background1" w:themeFillShade="D9"/>
          </w:tcPr>
          <w:p w14:paraId="67BB914B"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3135" w:type="dxa"/>
            <w:shd w:val="clear" w:color="auto" w:fill="D9D9D9" w:themeFill="background1" w:themeFillShade="D9"/>
          </w:tcPr>
          <w:p w14:paraId="21C1D446"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2925" w:type="dxa"/>
            <w:shd w:val="clear" w:color="auto" w:fill="D9D9D9" w:themeFill="background1" w:themeFillShade="D9"/>
          </w:tcPr>
          <w:p w14:paraId="23F935BB" w14:textId="77777777" w:rsidR="000A7D9D" w:rsidRPr="00C56424" w:rsidRDefault="000A7D9D" w:rsidP="00F31937">
            <w:pPr>
              <w:pStyle w:val="BodyText"/>
              <w:tabs>
                <w:tab w:val="left" w:pos="4170"/>
              </w:tabs>
              <w:rPr>
                <w:noProof/>
                <w:sz w:val="20"/>
                <w:szCs w:val="20"/>
              </w:rPr>
            </w:pPr>
          </w:p>
        </w:tc>
        <w:tc>
          <w:tcPr>
            <w:tcW w:w="2115" w:type="dxa"/>
            <w:shd w:val="clear" w:color="auto" w:fill="D9D9D9" w:themeFill="background1" w:themeFillShade="D9"/>
          </w:tcPr>
          <w:p w14:paraId="2A8F1888" w14:textId="77777777" w:rsidR="000A7D9D" w:rsidRPr="00C56424" w:rsidRDefault="000A7D9D" w:rsidP="00F31937">
            <w:pPr>
              <w:pStyle w:val="BodyText"/>
              <w:tabs>
                <w:tab w:val="left" w:pos="4170"/>
              </w:tabs>
              <w:spacing w:after="0"/>
              <w:rPr>
                <w:noProof/>
                <w:sz w:val="20"/>
                <w:szCs w:val="20"/>
              </w:rPr>
            </w:pPr>
          </w:p>
        </w:tc>
      </w:tr>
      <w:tr w:rsidR="000A7D9D" w:rsidRPr="00187DBF" w14:paraId="1A047112" w14:textId="77777777" w:rsidTr="00F31937">
        <w:trPr>
          <w:trHeight w:val="300"/>
        </w:trPr>
        <w:tc>
          <w:tcPr>
            <w:tcW w:w="1454" w:type="dxa"/>
            <w:vMerge w:val="restart"/>
            <w:shd w:val="clear" w:color="auto" w:fill="D9D9D9" w:themeFill="background1" w:themeFillShade="D9"/>
          </w:tcPr>
          <w:p w14:paraId="5ADFF65C" w14:textId="77777777" w:rsidR="000A7D9D" w:rsidRPr="00C56424" w:rsidRDefault="000A7D9D" w:rsidP="00F31937">
            <w:pPr>
              <w:pStyle w:val="BodyText"/>
              <w:rPr>
                <w:noProof/>
                <w:sz w:val="20"/>
                <w:szCs w:val="20"/>
              </w:rPr>
            </w:pPr>
            <w:r w:rsidRPr="00C56424">
              <w:rPr>
                <w:noProof/>
                <w:sz w:val="20"/>
                <w:szCs w:val="20"/>
              </w:rPr>
              <w:t>ECHA</w:t>
            </w:r>
          </w:p>
        </w:tc>
        <w:tc>
          <w:tcPr>
            <w:tcW w:w="3135" w:type="dxa"/>
            <w:vMerge w:val="restart"/>
            <w:shd w:val="clear" w:color="auto" w:fill="D9D9D9" w:themeFill="background1" w:themeFillShade="D9"/>
          </w:tcPr>
          <w:p w14:paraId="5CFB1929" w14:textId="77777777" w:rsidR="000A7D9D" w:rsidRPr="00C56424" w:rsidRDefault="000A7D9D" w:rsidP="00F31937">
            <w:pPr>
              <w:pStyle w:val="BodyText"/>
              <w:rPr>
                <w:noProof/>
                <w:sz w:val="20"/>
                <w:szCs w:val="20"/>
              </w:rPr>
            </w:pPr>
            <w:r w:rsidRPr="00C56424">
              <w:rPr>
                <w:noProof/>
                <w:sz w:val="20"/>
                <w:szCs w:val="20"/>
              </w:rPr>
              <w:t>- Guideline on phthalates</w:t>
            </w:r>
          </w:p>
          <w:p w14:paraId="28012FC2" w14:textId="77777777" w:rsidR="000A7D9D" w:rsidRPr="00C56424" w:rsidRDefault="000A7D9D" w:rsidP="00F31937">
            <w:pPr>
              <w:pStyle w:val="BodyText"/>
              <w:rPr>
                <w:noProof/>
                <w:sz w:val="20"/>
                <w:szCs w:val="20"/>
              </w:rPr>
            </w:pPr>
            <w:r w:rsidRPr="00C56424">
              <w:rPr>
                <w:noProof/>
                <w:sz w:val="20"/>
                <w:szCs w:val="20"/>
              </w:rPr>
              <w:t>- Guideline on CMRs or EDs</w:t>
            </w:r>
          </w:p>
        </w:tc>
        <w:tc>
          <w:tcPr>
            <w:tcW w:w="2925" w:type="dxa"/>
            <w:shd w:val="clear" w:color="auto" w:fill="D9D9D9" w:themeFill="background1" w:themeFillShade="D9"/>
          </w:tcPr>
          <w:p w14:paraId="5091F49A"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115" w:type="dxa"/>
            <w:shd w:val="clear" w:color="auto" w:fill="D9D9D9" w:themeFill="background1" w:themeFillShade="D9"/>
          </w:tcPr>
          <w:p w14:paraId="0A618A98"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noProof/>
                <w:sz w:val="20"/>
                <w:szCs w:val="20"/>
                <w:lang w:val="fr-BE"/>
              </w:rPr>
              <w:t>EUR 0</w:t>
            </w:r>
            <w:r w:rsidRPr="00C56424">
              <w:rPr>
                <w:noProof/>
                <w:sz w:val="20"/>
                <w:szCs w:val="20"/>
                <w:lang w:val="fr-BE"/>
              </w:rPr>
              <w:t xml:space="preserve"> </w:t>
            </w:r>
          </w:p>
          <w:p w14:paraId="5B0EAA1B"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 0</w:t>
            </w:r>
          </w:p>
          <w:p w14:paraId="5CA0B32F"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noProof/>
                <w:sz w:val="20"/>
                <w:szCs w:val="20"/>
                <w:lang w:val="fr-BE"/>
              </w:rPr>
              <w:t>EUR 0</w:t>
            </w:r>
          </w:p>
          <w:p w14:paraId="1C070910"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2027: </w:t>
            </w:r>
            <w:r w:rsidRPr="00C56424">
              <w:rPr>
                <w:b/>
                <w:noProof/>
                <w:sz w:val="20"/>
                <w:szCs w:val="20"/>
                <w:lang w:val="fr-BE"/>
              </w:rPr>
              <w:t>EUR 0</w:t>
            </w:r>
          </w:p>
          <w:p w14:paraId="54F36F5F"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2028:</w:t>
            </w:r>
            <w:r w:rsidRPr="00C56424">
              <w:rPr>
                <w:b/>
                <w:noProof/>
                <w:sz w:val="20"/>
                <w:szCs w:val="20"/>
                <w:lang w:val="fr-BE"/>
              </w:rPr>
              <w:t xml:space="preserve"> EUR 0</w:t>
            </w:r>
          </w:p>
        </w:tc>
      </w:tr>
      <w:tr w:rsidR="000A7D9D" w:rsidRPr="00C56424" w14:paraId="02A07A98" w14:textId="77777777" w:rsidTr="00F31937">
        <w:trPr>
          <w:trHeight w:val="300"/>
        </w:trPr>
        <w:tc>
          <w:tcPr>
            <w:tcW w:w="1454" w:type="dxa"/>
            <w:vMerge/>
            <w:shd w:val="clear" w:color="auto" w:fill="D9D9D9" w:themeFill="background1" w:themeFillShade="D9"/>
          </w:tcPr>
          <w:p w14:paraId="3772860C" w14:textId="77777777" w:rsidR="000A7D9D" w:rsidRPr="00C56424" w:rsidRDefault="000A7D9D" w:rsidP="00F31937">
            <w:pPr>
              <w:pStyle w:val="BodyText"/>
              <w:rPr>
                <w:noProof/>
                <w:sz w:val="20"/>
                <w:szCs w:val="20"/>
                <w:lang w:val="fr-BE"/>
              </w:rPr>
            </w:pPr>
          </w:p>
        </w:tc>
        <w:tc>
          <w:tcPr>
            <w:tcW w:w="3135" w:type="dxa"/>
            <w:vMerge/>
            <w:shd w:val="clear" w:color="auto" w:fill="D9D9D9" w:themeFill="background1" w:themeFillShade="D9"/>
          </w:tcPr>
          <w:p w14:paraId="3F8D5147" w14:textId="77777777" w:rsidR="000A7D9D" w:rsidRPr="00C56424" w:rsidRDefault="000A7D9D" w:rsidP="00F31937">
            <w:pPr>
              <w:pStyle w:val="BodyText"/>
              <w:rPr>
                <w:noProof/>
                <w:sz w:val="20"/>
                <w:szCs w:val="20"/>
                <w:lang w:val="fr-BE"/>
              </w:rPr>
            </w:pPr>
          </w:p>
        </w:tc>
        <w:tc>
          <w:tcPr>
            <w:tcW w:w="2925" w:type="dxa"/>
            <w:shd w:val="clear" w:color="auto" w:fill="D9D9D9" w:themeFill="background1" w:themeFillShade="D9"/>
          </w:tcPr>
          <w:p w14:paraId="2B73DF3F"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115" w:type="dxa"/>
            <w:shd w:val="clear" w:color="auto" w:fill="D9D9D9" w:themeFill="background1" w:themeFillShade="D9"/>
          </w:tcPr>
          <w:p w14:paraId="17482E2F"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2024:  </w:t>
            </w:r>
            <w:r w:rsidRPr="00C56424">
              <w:rPr>
                <w:b/>
                <w:noProof/>
                <w:sz w:val="20"/>
                <w:szCs w:val="20"/>
              </w:rPr>
              <w:t>0 FTE</w:t>
            </w:r>
          </w:p>
          <w:p w14:paraId="472080B0"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2025:  </w:t>
            </w:r>
            <w:r w:rsidRPr="00C56424">
              <w:rPr>
                <w:b/>
                <w:noProof/>
                <w:sz w:val="20"/>
                <w:szCs w:val="20"/>
              </w:rPr>
              <w:t>0 FTE</w:t>
            </w:r>
          </w:p>
          <w:p w14:paraId="44F5C1F2"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0 FTE</w:t>
            </w:r>
          </w:p>
          <w:p w14:paraId="231E2ADF"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2027:  </w:t>
            </w:r>
            <w:r w:rsidRPr="00C56424">
              <w:rPr>
                <w:b/>
                <w:noProof/>
                <w:sz w:val="20"/>
                <w:szCs w:val="20"/>
              </w:rPr>
              <w:t>0 FTE</w:t>
            </w:r>
          </w:p>
          <w:p w14:paraId="575F6B33" w14:textId="77777777" w:rsidR="000A7D9D" w:rsidRPr="00C56424" w:rsidRDefault="000A7D9D" w:rsidP="00F31937">
            <w:pPr>
              <w:pStyle w:val="BodyText"/>
              <w:tabs>
                <w:tab w:val="left" w:pos="4170"/>
              </w:tabs>
              <w:spacing w:after="0"/>
              <w:rPr>
                <w:noProof/>
                <w:sz w:val="20"/>
                <w:szCs w:val="20"/>
              </w:rPr>
            </w:pPr>
            <w:r w:rsidRPr="00C56424">
              <w:rPr>
                <w:noProof/>
                <w:sz w:val="20"/>
                <w:szCs w:val="20"/>
              </w:rPr>
              <w:t>2028:</w:t>
            </w:r>
            <w:r w:rsidRPr="00C56424">
              <w:rPr>
                <w:b/>
                <w:noProof/>
                <w:sz w:val="20"/>
                <w:szCs w:val="20"/>
              </w:rPr>
              <w:t xml:space="preserve">  0 FTE</w:t>
            </w:r>
          </w:p>
        </w:tc>
      </w:tr>
    </w:tbl>
    <w:p w14:paraId="618BBE62" w14:textId="77777777" w:rsidR="000A7D9D" w:rsidRPr="00F521F8" w:rsidRDefault="000A7D9D" w:rsidP="000A7D9D">
      <w:pPr>
        <w:pStyle w:val="BodyText"/>
        <w:tabs>
          <w:tab w:val="left" w:pos="4170"/>
        </w:tabs>
        <w:spacing w:before="120"/>
        <w:rPr>
          <w:noProof/>
        </w:rPr>
      </w:pPr>
      <w:r w:rsidRPr="00F521F8">
        <w:rPr>
          <w:noProof/>
          <w:u w:val="single"/>
        </w:rPr>
        <w:t>Future budget line:</w:t>
      </w:r>
      <w:r w:rsidRPr="00F521F8">
        <w:rPr>
          <w:noProof/>
        </w:rPr>
        <w:t xml:space="preserve"> DG SANTE </w:t>
      </w:r>
    </w:p>
    <w:p w14:paraId="4913930A" w14:textId="77777777" w:rsidR="000A7D9D" w:rsidRDefault="000A7D9D" w:rsidP="000A7D9D">
      <w:pPr>
        <w:pStyle w:val="BodyText"/>
        <w:tabs>
          <w:tab w:val="left" w:pos="4170"/>
        </w:tabs>
        <w:rPr>
          <w:noProof/>
        </w:rPr>
      </w:pPr>
      <w:r w:rsidRPr="00F521F8">
        <w:rPr>
          <w:noProof/>
          <w:u w:val="single"/>
        </w:rPr>
        <w:t>Candidate for fees:</w:t>
      </w:r>
      <w:r w:rsidRPr="00F521F8">
        <w:rPr>
          <w:noProof/>
        </w:rPr>
        <w:t xml:space="preserve"> No</w:t>
      </w:r>
    </w:p>
    <w:p w14:paraId="0EFCC485" w14:textId="77777777" w:rsidR="000A7D9D" w:rsidRDefault="000A7D9D" w:rsidP="000A7D9D">
      <w:pPr>
        <w:pStyle w:val="BodyText"/>
        <w:spacing w:line="259" w:lineRule="auto"/>
        <w:rPr>
          <w:b/>
          <w:bCs/>
          <w:noProof/>
        </w:rPr>
      </w:pPr>
    </w:p>
    <w:p w14:paraId="120BECA6"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69" w:name="_Toc150499936"/>
      <w:r w:rsidRPr="00291F95">
        <w:rPr>
          <w:rFonts w:ascii="Times New Roman" w:hAnsi="Times New Roman"/>
          <w:smallCaps/>
          <w:noProof/>
          <w:color w:val="auto"/>
          <w:sz w:val="24"/>
          <w:szCs w:val="20"/>
          <w:lang w:eastAsia="en-US"/>
        </w:rPr>
        <w:t>EEA founding regulation (1210/90)</w:t>
      </w:r>
      <w:bookmarkEnd w:id="69"/>
    </w:p>
    <w:p w14:paraId="6E8256F9" w14:textId="77777777" w:rsidR="000A7D9D" w:rsidRPr="00F521F8" w:rsidRDefault="000A7D9D" w:rsidP="000A7D9D">
      <w:pPr>
        <w:pStyle w:val="BodyText"/>
        <w:rPr>
          <w:b/>
          <w:bCs/>
          <w:noProof/>
        </w:rPr>
      </w:pPr>
      <w:r w:rsidRPr="00F521F8">
        <w:rPr>
          <w:b/>
          <w:bCs/>
          <w:noProof/>
        </w:rPr>
        <w:t>Responsible body:</w:t>
      </w:r>
    </w:p>
    <w:p w14:paraId="194F70EA" w14:textId="77777777" w:rsidR="000A7D9D" w:rsidRPr="00F521F8" w:rsidRDefault="000A7D9D" w:rsidP="000A7D9D">
      <w:pPr>
        <w:pStyle w:val="BodyText"/>
        <w:rPr>
          <w:noProof/>
        </w:rPr>
      </w:pPr>
      <w:r w:rsidRPr="00F521F8">
        <w:rPr>
          <w:noProof/>
          <w:u w:val="single"/>
        </w:rPr>
        <w:t>Currently:</w:t>
      </w:r>
      <w:r w:rsidRPr="00F521F8">
        <w:rPr>
          <w:noProof/>
        </w:rPr>
        <w:t xml:space="preserve"> EEA</w:t>
      </w:r>
    </w:p>
    <w:p w14:paraId="17AB8E90" w14:textId="77777777" w:rsidR="000A7D9D" w:rsidRPr="00F521F8" w:rsidRDefault="000A7D9D" w:rsidP="000A7D9D">
      <w:pPr>
        <w:pStyle w:val="BodyText"/>
        <w:rPr>
          <w:noProof/>
        </w:rPr>
      </w:pPr>
      <w:r w:rsidRPr="00F521F8">
        <w:rPr>
          <w:noProof/>
          <w:u w:val="single"/>
        </w:rPr>
        <w:t>(Re-)attribution planned to:</w:t>
      </w:r>
      <w:r w:rsidRPr="00F521F8">
        <w:rPr>
          <w:noProof/>
        </w:rPr>
        <w:t xml:space="preserve"> EEA, expanding the existing tasks</w:t>
      </w:r>
    </w:p>
    <w:p w14:paraId="2B88DDB7" w14:textId="77777777" w:rsidR="000A7D9D" w:rsidRPr="00F521F8" w:rsidRDefault="000A7D9D" w:rsidP="000A7D9D">
      <w:pPr>
        <w:pStyle w:val="BodyText"/>
        <w:rPr>
          <w:b/>
          <w:bCs/>
          <w:noProof/>
        </w:rPr>
      </w:pPr>
      <w:r w:rsidRPr="00F521F8">
        <w:rPr>
          <w:b/>
          <w:bCs/>
          <w:noProof/>
        </w:rPr>
        <w:t xml:space="preserve">Legal basis for reattribution: </w:t>
      </w:r>
      <w:r w:rsidRPr="00F521F8">
        <w:rPr>
          <w:noProof/>
        </w:rPr>
        <w:t>omnibus regulation on reattribution of task</w:t>
      </w:r>
    </w:p>
    <w:p w14:paraId="3CAE802F" w14:textId="77777777" w:rsidR="000A7D9D" w:rsidRPr="00F521F8" w:rsidRDefault="000A7D9D" w:rsidP="000A7D9D">
      <w:pPr>
        <w:pStyle w:val="BodyText"/>
        <w:rPr>
          <w:noProof/>
        </w:rPr>
      </w:pPr>
      <w:r w:rsidRPr="00F521F8">
        <w:rPr>
          <w:b/>
          <w:bCs/>
          <w:noProof/>
        </w:rPr>
        <w:t xml:space="preserve">Type of task: </w:t>
      </w:r>
      <w:r w:rsidRPr="00F521F8">
        <w:rPr>
          <w:noProof/>
        </w:rPr>
        <w:t>New</w:t>
      </w:r>
    </w:p>
    <w:p w14:paraId="0D786897" w14:textId="77777777" w:rsidR="000A7D9D" w:rsidRPr="00F521F8" w:rsidRDefault="000A7D9D" w:rsidP="000A7D9D">
      <w:pPr>
        <w:pStyle w:val="BodyText"/>
        <w:jc w:val="both"/>
        <w:rPr>
          <w:b/>
          <w:bCs/>
          <w:noProof/>
        </w:rPr>
      </w:pPr>
      <w:r w:rsidRPr="00F521F8">
        <w:rPr>
          <w:b/>
          <w:bCs/>
          <w:noProof/>
        </w:rPr>
        <w:t xml:space="preserve">Brief task overview: </w:t>
      </w:r>
    </w:p>
    <w:p w14:paraId="5F511057" w14:textId="77777777" w:rsidR="000A7D9D" w:rsidRPr="00F521F8" w:rsidRDefault="000A7D9D" w:rsidP="000A7D9D">
      <w:pPr>
        <w:pStyle w:val="BodyText"/>
        <w:widowControl w:val="0"/>
        <w:numPr>
          <w:ilvl w:val="0"/>
          <w:numId w:val="150"/>
        </w:numPr>
        <w:jc w:val="both"/>
        <w:rPr>
          <w:noProof/>
        </w:rPr>
      </w:pPr>
      <w:r w:rsidRPr="00F521F8">
        <w:rPr>
          <w:noProof/>
        </w:rPr>
        <w:t>Developing methodologies for assessment related to chemicals in the fields falling within its mission</w:t>
      </w:r>
    </w:p>
    <w:p w14:paraId="43ECCF3E" w14:textId="77777777" w:rsidR="000A7D9D" w:rsidRPr="00F521F8" w:rsidRDefault="000A7D9D" w:rsidP="000A7D9D">
      <w:pPr>
        <w:pStyle w:val="BodyText"/>
        <w:widowControl w:val="0"/>
        <w:numPr>
          <w:ilvl w:val="0"/>
          <w:numId w:val="150"/>
        </w:numPr>
        <w:jc w:val="both"/>
        <w:rPr>
          <w:noProof/>
        </w:rPr>
      </w:pPr>
      <w:r w:rsidRPr="00F521F8">
        <w:rPr>
          <w:noProof/>
        </w:rPr>
        <w:t xml:space="preserve">Cooperating with other agencies as regards exchange of data, defining formats and controlled vocabularies and development of methodologies related to chemicals. </w:t>
      </w:r>
    </w:p>
    <w:p w14:paraId="6ED75E1A" w14:textId="77777777" w:rsidR="000A7D9D" w:rsidRPr="00F521F8" w:rsidRDefault="000A7D9D" w:rsidP="000A7D9D">
      <w:pPr>
        <w:pStyle w:val="BodyText"/>
        <w:rPr>
          <w:b/>
          <w:bCs/>
          <w:noProof/>
        </w:rPr>
      </w:pPr>
      <w:r w:rsidRPr="00F521F8">
        <w:rPr>
          <w:b/>
          <w:bCs/>
          <w:noProof/>
        </w:rPr>
        <w:t>Detailed process description:</w:t>
      </w:r>
    </w:p>
    <w:p w14:paraId="574210D1" w14:textId="77777777" w:rsidR="000A7D9D" w:rsidRPr="00F521F8" w:rsidRDefault="000A7D9D" w:rsidP="000A7D9D">
      <w:pPr>
        <w:pStyle w:val="BodyText"/>
        <w:rPr>
          <w:noProof/>
          <w:u w:val="single"/>
        </w:rPr>
      </w:pPr>
      <w:r w:rsidRPr="00F521F8">
        <w:rPr>
          <w:noProof/>
          <w:u w:val="single"/>
        </w:rPr>
        <w:t>Current process:</w:t>
      </w:r>
    </w:p>
    <w:p w14:paraId="1C8C080E" w14:textId="77777777" w:rsidR="000A7D9D" w:rsidRPr="00F521F8" w:rsidRDefault="000A7D9D" w:rsidP="000A7D9D">
      <w:pPr>
        <w:pStyle w:val="BodyText"/>
        <w:rPr>
          <w:rFonts w:eastAsiaTheme="minorEastAsia"/>
          <w:i/>
          <w:iCs/>
          <w:noProof/>
        </w:rPr>
      </w:pPr>
      <w:r w:rsidRPr="00F521F8">
        <w:rPr>
          <w:rFonts w:eastAsiaTheme="minorEastAsia"/>
          <w:i/>
          <w:iCs/>
          <w:noProof/>
        </w:rPr>
        <w:t>Task 1</w:t>
      </w:r>
    </w:p>
    <w:p w14:paraId="431DCAAA" w14:textId="77777777" w:rsidR="000A7D9D" w:rsidRPr="00F521F8" w:rsidRDefault="000A7D9D" w:rsidP="000A7D9D">
      <w:pPr>
        <w:spacing w:after="120"/>
        <w:jc w:val="both"/>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sz w:val="24"/>
          <w:szCs w:val="24"/>
        </w:rPr>
        <w:t xml:space="preserve">EEA has some very specific tasks with some relevance to the development of methodologies mentioned in the current founding regulation. These are: </w:t>
      </w:r>
    </w:p>
    <w:p w14:paraId="68F4C3D5" w14:textId="77777777" w:rsidR="000A7D9D" w:rsidRPr="00F521F8" w:rsidRDefault="000A7D9D" w:rsidP="000A7D9D">
      <w:pPr>
        <w:jc w:val="both"/>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sz w:val="24"/>
          <w:szCs w:val="24"/>
        </w:rPr>
        <w:t xml:space="preserve">(iv) to help ensure that environmental data at European level are comparable and, if necessary, to encourage by appropriate means improved harmonization of methods of measurement; </w:t>
      </w:r>
    </w:p>
    <w:p w14:paraId="1109A7AF" w14:textId="77777777" w:rsidR="000A7D9D" w:rsidRPr="00F521F8" w:rsidRDefault="000A7D9D" w:rsidP="000A7D9D">
      <w:pPr>
        <w:jc w:val="both"/>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sz w:val="24"/>
          <w:szCs w:val="24"/>
        </w:rPr>
        <w:t xml:space="preserve">(viii) to stimulate the development of methods of assessing the cost of damage to the environment and the costs of environmental preventive, protection and restoration policies; </w:t>
      </w:r>
    </w:p>
    <w:p w14:paraId="3A72AE3B" w14:textId="77777777" w:rsidR="000A7D9D" w:rsidRPr="00F521F8" w:rsidRDefault="000A7D9D" w:rsidP="000A7D9D">
      <w:pPr>
        <w:pStyle w:val="BodyText"/>
        <w:jc w:val="both"/>
        <w:rPr>
          <w:rFonts w:eastAsiaTheme="minorEastAsia"/>
          <w:noProof/>
        </w:rPr>
      </w:pPr>
      <w:r w:rsidRPr="00F521F8">
        <w:rPr>
          <w:rFonts w:eastAsiaTheme="minorEastAsia"/>
          <w:noProof/>
        </w:rPr>
        <w:t>(xii) to support the Commission in the process of exchange of information on the development of Environmental Assessment methodologies and best practice;</w:t>
      </w:r>
    </w:p>
    <w:p w14:paraId="5C92D61D" w14:textId="77777777" w:rsidR="000A7D9D" w:rsidRPr="00F521F8" w:rsidRDefault="000A7D9D" w:rsidP="000A7D9D">
      <w:pPr>
        <w:pStyle w:val="BodyText"/>
        <w:jc w:val="both"/>
        <w:rPr>
          <w:noProof/>
        </w:rPr>
      </w:pPr>
      <w:r w:rsidRPr="00F521F8">
        <w:rPr>
          <w:noProof/>
        </w:rPr>
        <w:t>EEA however lacks the mandate and obligation to develop methodologies and for the assessment related to chemicals. This disadvantages the EEA as compared to other agencies.</w:t>
      </w:r>
    </w:p>
    <w:p w14:paraId="082CF7B9" w14:textId="77777777" w:rsidR="000A7D9D" w:rsidRPr="00F521F8" w:rsidRDefault="000A7D9D" w:rsidP="000A7D9D">
      <w:pPr>
        <w:pStyle w:val="BodyText"/>
        <w:rPr>
          <w:i/>
          <w:iCs/>
          <w:noProof/>
        </w:rPr>
      </w:pPr>
      <w:r w:rsidRPr="00F521F8">
        <w:rPr>
          <w:i/>
          <w:iCs/>
          <w:noProof/>
        </w:rPr>
        <w:t>Task 2</w:t>
      </w:r>
    </w:p>
    <w:p w14:paraId="402817E0" w14:textId="77777777" w:rsidR="000A7D9D" w:rsidRPr="00F521F8" w:rsidRDefault="000A7D9D" w:rsidP="000A7D9D">
      <w:pPr>
        <w:pStyle w:val="BodyText"/>
        <w:jc w:val="both"/>
        <w:rPr>
          <w:noProof/>
        </w:rPr>
      </w:pPr>
      <w:r w:rsidRPr="00F521F8">
        <w:rPr>
          <w:noProof/>
        </w:rPr>
        <w:t xml:space="preserve">The EEA founding regulation contains some provisions related cooperation. The Article 15 states: </w:t>
      </w:r>
    </w:p>
    <w:p w14:paraId="5D28B188" w14:textId="77777777" w:rsidR="000A7D9D" w:rsidRPr="00F521F8" w:rsidRDefault="000A7D9D" w:rsidP="000A7D9D">
      <w:pPr>
        <w:jc w:val="both"/>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sz w:val="24"/>
          <w:szCs w:val="24"/>
        </w:rPr>
        <w:t xml:space="preserve">1. The Agency shall actively seek the cooperation of other Community bodies and programmes, and notably the Joint Research Centre, the Statistical Office and the Community's environmental research and development programmes. In particular: </w:t>
      </w:r>
    </w:p>
    <w:p w14:paraId="7D2FA158" w14:textId="77777777" w:rsidR="000A7D9D" w:rsidRPr="00F521F8" w:rsidRDefault="000A7D9D" w:rsidP="000A7D9D">
      <w:pPr>
        <w:pStyle w:val="ListParagraph"/>
        <w:widowControl w:val="0"/>
        <w:numPr>
          <w:ilvl w:val="0"/>
          <w:numId w:val="56"/>
        </w:numPr>
        <w:rPr>
          <w:rFonts w:eastAsiaTheme="minorEastAsia"/>
          <w:noProof/>
        </w:rPr>
      </w:pPr>
      <w:r w:rsidRPr="00F521F8">
        <w:rPr>
          <w:rFonts w:eastAsiaTheme="minorEastAsia"/>
          <w:noProof/>
        </w:rPr>
        <w:t xml:space="preserve">cooperation with the Joint Research Centre shall include the tasks set out in the Annex under A, </w:t>
      </w:r>
    </w:p>
    <w:p w14:paraId="274D9F3C" w14:textId="77777777" w:rsidR="000A7D9D" w:rsidRPr="00F521F8" w:rsidRDefault="000A7D9D" w:rsidP="000A7D9D">
      <w:pPr>
        <w:pStyle w:val="ListParagraph"/>
        <w:widowControl w:val="0"/>
        <w:numPr>
          <w:ilvl w:val="0"/>
          <w:numId w:val="56"/>
        </w:numPr>
        <w:spacing w:after="120"/>
        <w:jc w:val="both"/>
        <w:rPr>
          <w:rFonts w:eastAsiaTheme="minorEastAsia"/>
          <w:noProof/>
        </w:rPr>
      </w:pPr>
      <w:r w:rsidRPr="00F521F8">
        <w:rPr>
          <w:rFonts w:eastAsiaTheme="minorEastAsia"/>
          <w:noProof/>
        </w:rPr>
        <w:t>coordination with the Statistical Office of the European Communities (Eurostat) and the statistical programme of the European Communities will follow the guidelines outlined in the Annex under B.</w:t>
      </w:r>
    </w:p>
    <w:p w14:paraId="67E29AC9" w14:textId="77777777" w:rsidR="000A7D9D" w:rsidRPr="00F521F8" w:rsidRDefault="000A7D9D" w:rsidP="000A7D9D">
      <w:pPr>
        <w:spacing w:after="120"/>
        <w:jc w:val="both"/>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sz w:val="24"/>
          <w:szCs w:val="24"/>
        </w:rPr>
        <w:t>2. The Agency shall also cooperate actively with other bodies such as the European Space Agency, the Organization for Economic Cooperation and Development, the Council of Europe and the International Energy Agency as well as the United Nations and its specialized agencies, particularly the United Nations Environment Programme (UNEP), the World Meteorological Organization and the International Atomic Energy Authority.</w:t>
      </w:r>
    </w:p>
    <w:p w14:paraId="7B58F0A0" w14:textId="77777777" w:rsidR="000A7D9D" w:rsidRPr="00F521F8" w:rsidRDefault="000A7D9D" w:rsidP="000A7D9D">
      <w:pPr>
        <w:spacing w:after="120"/>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sz w:val="24"/>
          <w:szCs w:val="24"/>
        </w:rPr>
        <w:t xml:space="preserve">2a. The Agency may cooperate in areas of common interest with those institutions in countries which are not members of the European Communities which can provide data, information and expertise, methodologies of data collection, analysis and assessment which are of mutual interest and which are necessary for the successful completion of the Agency's work. </w:t>
      </w:r>
    </w:p>
    <w:p w14:paraId="1E1421A3" w14:textId="77777777" w:rsidR="000A7D9D" w:rsidRPr="00F521F8" w:rsidRDefault="000A7D9D" w:rsidP="000A7D9D">
      <w:pPr>
        <w:spacing w:after="120"/>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sz w:val="24"/>
          <w:szCs w:val="24"/>
        </w:rPr>
        <w:t>3. The cooperation referred to in paragraphs 1, 2 and 2a must in particular take account of the need to avoid any duplication of effort.</w:t>
      </w:r>
    </w:p>
    <w:p w14:paraId="055B3945" w14:textId="77777777" w:rsidR="000A7D9D" w:rsidRPr="00F521F8" w:rsidRDefault="000A7D9D" w:rsidP="000A7D9D">
      <w:pPr>
        <w:pStyle w:val="BodyText"/>
        <w:spacing w:line="259" w:lineRule="auto"/>
        <w:rPr>
          <w:noProof/>
        </w:rPr>
      </w:pPr>
      <w:r w:rsidRPr="00F521F8">
        <w:rPr>
          <w:rFonts w:eastAsiaTheme="minorEastAsia"/>
          <w:noProof/>
        </w:rPr>
        <w:t xml:space="preserve">The Annex A to the regulation lists some areas for cooperation with JRC: </w:t>
      </w:r>
    </w:p>
    <w:p w14:paraId="17B0B162" w14:textId="77777777" w:rsidR="000A7D9D" w:rsidRPr="00F521F8" w:rsidRDefault="000A7D9D" w:rsidP="000A7D9D">
      <w:pPr>
        <w:jc w:val="both"/>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sz w:val="24"/>
          <w:szCs w:val="24"/>
        </w:rPr>
        <w:t xml:space="preserve">A. Cooperation with the Joint Research Centre </w:t>
      </w:r>
    </w:p>
    <w:p w14:paraId="7091C19C" w14:textId="77777777" w:rsidR="000A7D9D" w:rsidRPr="00F521F8" w:rsidRDefault="000A7D9D" w:rsidP="000A7D9D">
      <w:pPr>
        <w:pStyle w:val="ListParagraph"/>
        <w:widowControl w:val="0"/>
        <w:numPr>
          <w:ilvl w:val="0"/>
          <w:numId w:val="55"/>
        </w:numPr>
        <w:rPr>
          <w:rFonts w:eastAsiaTheme="minorEastAsia"/>
          <w:noProof/>
        </w:rPr>
      </w:pPr>
      <w:r w:rsidRPr="00F521F8">
        <w:rPr>
          <w:rFonts w:eastAsiaTheme="minorEastAsia"/>
          <w:noProof/>
        </w:rPr>
        <w:t xml:space="preserve">Harmonization of environmental measurement methods (1). </w:t>
      </w:r>
    </w:p>
    <w:p w14:paraId="22BD62AD" w14:textId="77777777" w:rsidR="000A7D9D" w:rsidRPr="00F521F8" w:rsidRDefault="000A7D9D" w:rsidP="000A7D9D">
      <w:pPr>
        <w:pStyle w:val="ListParagraph"/>
        <w:widowControl w:val="0"/>
        <w:numPr>
          <w:ilvl w:val="0"/>
          <w:numId w:val="55"/>
        </w:numPr>
        <w:rPr>
          <w:rFonts w:eastAsiaTheme="minorEastAsia"/>
          <w:noProof/>
        </w:rPr>
      </w:pPr>
      <w:r w:rsidRPr="00F521F8">
        <w:rPr>
          <w:rFonts w:eastAsiaTheme="minorEastAsia"/>
          <w:noProof/>
        </w:rPr>
        <w:t xml:space="preserve">Intercalibration of instruments (1). </w:t>
      </w:r>
    </w:p>
    <w:p w14:paraId="567F5AFE" w14:textId="77777777" w:rsidR="000A7D9D" w:rsidRPr="00F521F8" w:rsidRDefault="000A7D9D" w:rsidP="000A7D9D">
      <w:pPr>
        <w:pStyle w:val="ListParagraph"/>
        <w:widowControl w:val="0"/>
        <w:numPr>
          <w:ilvl w:val="0"/>
          <w:numId w:val="55"/>
        </w:numPr>
        <w:rPr>
          <w:rFonts w:eastAsiaTheme="minorEastAsia"/>
          <w:noProof/>
        </w:rPr>
      </w:pPr>
      <w:r w:rsidRPr="00F521F8">
        <w:rPr>
          <w:rFonts w:eastAsiaTheme="minorEastAsia"/>
          <w:noProof/>
        </w:rPr>
        <w:t xml:space="preserve">Standardization of data formats. </w:t>
      </w:r>
    </w:p>
    <w:p w14:paraId="6ED29B70" w14:textId="77777777" w:rsidR="000A7D9D" w:rsidRPr="00F521F8" w:rsidRDefault="000A7D9D" w:rsidP="000A7D9D">
      <w:pPr>
        <w:pStyle w:val="ListParagraph"/>
        <w:widowControl w:val="0"/>
        <w:numPr>
          <w:ilvl w:val="0"/>
          <w:numId w:val="55"/>
        </w:numPr>
        <w:rPr>
          <w:rFonts w:eastAsiaTheme="minorEastAsia"/>
          <w:noProof/>
        </w:rPr>
      </w:pPr>
      <w:r w:rsidRPr="00F521F8">
        <w:rPr>
          <w:rFonts w:eastAsiaTheme="minorEastAsia"/>
          <w:noProof/>
        </w:rPr>
        <w:t xml:space="preserve">Development of new environmental measurement methods and instruments. </w:t>
      </w:r>
    </w:p>
    <w:p w14:paraId="20A1F760" w14:textId="77777777" w:rsidR="000A7D9D" w:rsidRPr="00F521F8" w:rsidRDefault="000A7D9D" w:rsidP="000A7D9D">
      <w:pPr>
        <w:pStyle w:val="ListParagraph"/>
        <w:widowControl w:val="0"/>
        <w:numPr>
          <w:ilvl w:val="0"/>
          <w:numId w:val="55"/>
        </w:numPr>
        <w:spacing w:after="120"/>
        <w:rPr>
          <w:rFonts w:eastAsiaTheme="minorEastAsia"/>
          <w:noProof/>
        </w:rPr>
      </w:pPr>
      <w:r w:rsidRPr="00F521F8">
        <w:rPr>
          <w:rFonts w:eastAsiaTheme="minorEastAsia"/>
          <w:noProof/>
        </w:rPr>
        <w:t>Other tasks as agreed between the Executive Director of the Agency and the Director-General of the Joint Research Centre.</w:t>
      </w:r>
    </w:p>
    <w:p w14:paraId="009BCFB5" w14:textId="77777777" w:rsidR="000A7D9D" w:rsidRPr="00F521F8" w:rsidRDefault="000A7D9D" w:rsidP="000A7D9D">
      <w:pPr>
        <w:pStyle w:val="BodyText"/>
        <w:jc w:val="both"/>
        <w:rPr>
          <w:rFonts w:eastAsiaTheme="minorEastAsia"/>
          <w:noProof/>
        </w:rPr>
      </w:pPr>
      <w:r w:rsidRPr="00F521F8">
        <w:rPr>
          <w:rFonts w:eastAsiaTheme="minorEastAsia"/>
          <w:noProof/>
        </w:rPr>
        <w:t>The existing provisions do not give an explicit mandate nor obligation to EEA to cooperate with ECHA, EMA and EFSA in those areas. In order to achieve the one substance, one assessment ambition, it is necessary to strengthen the provisions on cooperation.</w:t>
      </w:r>
    </w:p>
    <w:p w14:paraId="747BFE36" w14:textId="77777777" w:rsidR="000A7D9D" w:rsidRPr="00F521F8" w:rsidRDefault="000A7D9D" w:rsidP="000A7D9D">
      <w:pPr>
        <w:pStyle w:val="BodyText"/>
        <w:rPr>
          <w:noProof/>
          <w:u w:val="single"/>
        </w:rPr>
      </w:pPr>
      <w:r w:rsidRPr="00F521F8">
        <w:rPr>
          <w:noProof/>
          <w:u w:val="single"/>
        </w:rPr>
        <w:t>Future process:</w:t>
      </w:r>
    </w:p>
    <w:p w14:paraId="53D444F2" w14:textId="77777777" w:rsidR="000A7D9D" w:rsidRPr="00F521F8" w:rsidRDefault="000A7D9D" w:rsidP="000A7D9D">
      <w:pPr>
        <w:pStyle w:val="BodyText"/>
        <w:rPr>
          <w:i/>
          <w:iCs/>
          <w:noProof/>
        </w:rPr>
      </w:pPr>
      <w:r w:rsidRPr="00F521F8">
        <w:rPr>
          <w:i/>
          <w:iCs/>
          <w:noProof/>
        </w:rPr>
        <w:t>Task 1:</w:t>
      </w:r>
    </w:p>
    <w:p w14:paraId="1165C984" w14:textId="77777777" w:rsidR="000A7D9D" w:rsidRPr="00F521F8" w:rsidRDefault="000A7D9D" w:rsidP="000A7D9D">
      <w:pPr>
        <w:pStyle w:val="BodyText"/>
        <w:jc w:val="both"/>
        <w:rPr>
          <w:noProof/>
        </w:rPr>
      </w:pPr>
      <w:r w:rsidRPr="00F521F8">
        <w:rPr>
          <w:noProof/>
        </w:rPr>
        <w:t>EEA will have a mandate to develop methodologies for the assessments related to chemicals it performs and it will develop such methodologies based on its needs.</w:t>
      </w:r>
    </w:p>
    <w:p w14:paraId="08F07904" w14:textId="77777777" w:rsidR="000A7D9D" w:rsidRPr="00F521F8" w:rsidRDefault="000A7D9D" w:rsidP="000A7D9D">
      <w:pPr>
        <w:pStyle w:val="BodyText"/>
        <w:jc w:val="both"/>
        <w:rPr>
          <w:i/>
          <w:iCs/>
          <w:noProof/>
        </w:rPr>
      </w:pPr>
      <w:r w:rsidRPr="00F521F8">
        <w:rPr>
          <w:i/>
          <w:iCs/>
          <w:noProof/>
        </w:rPr>
        <w:t>Task 2:</w:t>
      </w:r>
    </w:p>
    <w:p w14:paraId="0C5F3A71" w14:textId="77777777" w:rsidR="000A7D9D" w:rsidRPr="00F521F8" w:rsidRDefault="000A7D9D" w:rsidP="000A7D9D">
      <w:pPr>
        <w:pStyle w:val="BodyText"/>
        <w:jc w:val="both"/>
        <w:rPr>
          <w:noProof/>
        </w:rPr>
      </w:pPr>
      <w:r w:rsidRPr="00F521F8">
        <w:rPr>
          <w:noProof/>
        </w:rPr>
        <w:t>EEA actively cooperates with ECHA, EFSA and EMA as regards:</w:t>
      </w:r>
    </w:p>
    <w:p w14:paraId="3C51A611" w14:textId="77777777" w:rsidR="000A7D9D" w:rsidRPr="00F521F8" w:rsidRDefault="000A7D9D" w:rsidP="000A7D9D">
      <w:pPr>
        <w:pStyle w:val="BodyText"/>
        <w:widowControl w:val="0"/>
        <w:numPr>
          <w:ilvl w:val="0"/>
          <w:numId w:val="58"/>
        </w:numPr>
        <w:spacing w:after="0"/>
        <w:jc w:val="both"/>
        <w:rPr>
          <w:noProof/>
        </w:rPr>
      </w:pPr>
      <w:r w:rsidRPr="00F521F8">
        <w:rPr>
          <w:noProof/>
        </w:rPr>
        <w:t>exchange of data on chemicals and defining formats and controlled vocabularies for such data</w:t>
      </w:r>
    </w:p>
    <w:p w14:paraId="235CA9AD" w14:textId="77777777" w:rsidR="000A7D9D" w:rsidRPr="00F521F8" w:rsidRDefault="000A7D9D" w:rsidP="000A7D9D">
      <w:pPr>
        <w:pStyle w:val="BodyText"/>
        <w:widowControl w:val="0"/>
        <w:numPr>
          <w:ilvl w:val="0"/>
          <w:numId w:val="58"/>
        </w:numPr>
        <w:spacing w:after="0"/>
        <w:jc w:val="both"/>
        <w:rPr>
          <w:noProof/>
        </w:rPr>
      </w:pPr>
      <w:r w:rsidRPr="00F521F8">
        <w:rPr>
          <w:noProof/>
        </w:rPr>
        <w:t xml:space="preserve">development of methodologies related to chemicals, </w:t>
      </w:r>
    </w:p>
    <w:p w14:paraId="34E620F9" w14:textId="77777777" w:rsidR="000A7D9D" w:rsidRPr="00F521F8" w:rsidRDefault="000A7D9D" w:rsidP="000A7D9D">
      <w:pPr>
        <w:pStyle w:val="BodyText"/>
        <w:widowControl w:val="0"/>
        <w:numPr>
          <w:ilvl w:val="0"/>
          <w:numId w:val="58"/>
        </w:numPr>
        <w:spacing w:after="0"/>
        <w:jc w:val="both"/>
        <w:rPr>
          <w:noProof/>
        </w:rPr>
      </w:pPr>
      <w:r w:rsidRPr="00F521F8">
        <w:rPr>
          <w:noProof/>
        </w:rPr>
        <w:t xml:space="preserve">operation of early warning system for chemicals </w:t>
      </w:r>
    </w:p>
    <w:p w14:paraId="7B8BC31A" w14:textId="77777777" w:rsidR="000A7D9D" w:rsidRPr="00F521F8" w:rsidRDefault="000A7D9D" w:rsidP="000A7D9D">
      <w:pPr>
        <w:pStyle w:val="BodyText"/>
        <w:widowControl w:val="0"/>
        <w:numPr>
          <w:ilvl w:val="0"/>
          <w:numId w:val="58"/>
        </w:numPr>
        <w:jc w:val="both"/>
        <w:rPr>
          <w:noProof/>
        </w:rPr>
      </w:pPr>
      <w:r w:rsidRPr="00F521F8">
        <w:rPr>
          <w:noProof/>
        </w:rPr>
        <w:t>operation of framework of indicators of chemical policies</w:t>
      </w:r>
    </w:p>
    <w:p w14:paraId="3BC8A3B2" w14:textId="77777777" w:rsidR="000A7D9D" w:rsidRPr="00F521F8" w:rsidRDefault="000A7D9D" w:rsidP="000A7D9D">
      <w:pPr>
        <w:pStyle w:val="BodyText"/>
        <w:jc w:val="both"/>
        <w:rPr>
          <w:noProof/>
        </w:rPr>
      </w:pPr>
      <w:r w:rsidRPr="00F521F8">
        <w:rPr>
          <w:noProof/>
        </w:rPr>
        <w:t xml:space="preserve">The cooperation is foreseen both ways, i.e. when EEA itself makes some development in those specified areas within its domain as well as when EFSA, ECHA and EMA make some development in those areas within their domains. The goal is to ensure coherence, consistency and interoperability in the specified areas. </w:t>
      </w:r>
    </w:p>
    <w:p w14:paraId="1B3CC932" w14:textId="77777777" w:rsidR="000A7D9D" w:rsidRPr="00F521F8" w:rsidRDefault="000A7D9D" w:rsidP="000A7D9D">
      <w:pPr>
        <w:pStyle w:val="BodyText"/>
        <w:jc w:val="both"/>
        <w:rPr>
          <w:noProof/>
        </w:rPr>
      </w:pPr>
      <w:r w:rsidRPr="00F521F8">
        <w:rPr>
          <w:b/>
          <w:bCs/>
          <w:noProof/>
        </w:rPr>
        <w:t xml:space="preserve">Proximity to Agency mandate: </w:t>
      </w:r>
      <w:r w:rsidRPr="00F521F8">
        <w:rPr>
          <w:noProof/>
        </w:rPr>
        <w:t>Both tasks fit well with the mandate of EEA as both tasks target the areas of the EEA mandate.</w:t>
      </w:r>
    </w:p>
    <w:p w14:paraId="05FF3B5D" w14:textId="77777777" w:rsidR="000A7D9D" w:rsidRPr="00F521F8" w:rsidRDefault="000A7D9D" w:rsidP="000A7D9D">
      <w:pPr>
        <w:pStyle w:val="BodyText"/>
        <w:jc w:val="both"/>
        <w:rPr>
          <w:noProof/>
        </w:rPr>
      </w:pPr>
      <w:r w:rsidRPr="00F521F8">
        <w:rPr>
          <w:b/>
          <w:bCs/>
          <w:noProof/>
        </w:rPr>
        <w:t xml:space="preserve">Projected synergies and added value of reattribution: </w:t>
      </w:r>
      <w:r w:rsidRPr="00F521F8">
        <w:rPr>
          <w:noProof/>
        </w:rPr>
        <w:t xml:space="preserve">Improving coherence, consistency and interoperability among the Agencies work is the key added value. </w:t>
      </w:r>
    </w:p>
    <w:p w14:paraId="2B951B1B" w14:textId="77777777" w:rsidR="000A7D9D" w:rsidRPr="00F521F8" w:rsidRDefault="000A7D9D" w:rsidP="000A7D9D">
      <w:pPr>
        <w:pStyle w:val="BodyText"/>
        <w:rPr>
          <w:b/>
          <w:bCs/>
          <w:noProof/>
        </w:rPr>
      </w:pPr>
      <w:r w:rsidRPr="00F521F8">
        <w:rPr>
          <w:b/>
          <w:bCs/>
          <w:noProof/>
        </w:rPr>
        <w:t>Projected impact on EEA:</w:t>
      </w:r>
    </w:p>
    <w:p w14:paraId="123D96C1" w14:textId="77777777" w:rsidR="000A7D9D" w:rsidRPr="00F521F8" w:rsidRDefault="000A7D9D" w:rsidP="000A7D9D">
      <w:pPr>
        <w:pStyle w:val="BodyText"/>
        <w:widowControl w:val="0"/>
        <w:numPr>
          <w:ilvl w:val="0"/>
          <w:numId w:val="88"/>
        </w:numPr>
        <w:jc w:val="both"/>
        <w:rPr>
          <w:b/>
          <w:bCs/>
          <w:noProof/>
        </w:rPr>
      </w:pPr>
      <w:r w:rsidRPr="00F521F8">
        <w:rPr>
          <w:noProof/>
        </w:rPr>
        <w:t xml:space="preserve">EEA Committees/bodies: </w:t>
      </w:r>
      <w:r w:rsidRPr="00F521F8">
        <w:rPr>
          <w:b/>
          <w:bCs/>
          <w:noProof/>
        </w:rPr>
        <w:t>no impact</w:t>
      </w:r>
      <w:r w:rsidRPr="00F521F8">
        <w:rPr>
          <w:noProof/>
        </w:rPr>
        <w:t xml:space="preserve">. The task does not involve the committee/network. </w:t>
      </w:r>
    </w:p>
    <w:p w14:paraId="5FCD2993" w14:textId="77777777" w:rsidR="000A7D9D" w:rsidRPr="00F521F8" w:rsidRDefault="000A7D9D" w:rsidP="000A7D9D">
      <w:pPr>
        <w:pStyle w:val="BodyText"/>
        <w:widowControl w:val="0"/>
        <w:numPr>
          <w:ilvl w:val="0"/>
          <w:numId w:val="88"/>
        </w:numPr>
        <w:jc w:val="both"/>
        <w:rPr>
          <w:b/>
          <w:bCs/>
          <w:noProof/>
        </w:rPr>
      </w:pPr>
      <w:r w:rsidRPr="00F521F8">
        <w:rPr>
          <w:noProof/>
        </w:rPr>
        <w:t xml:space="preserve">EEA data model and IT infrastructure: </w:t>
      </w:r>
      <w:r w:rsidRPr="00F521F8">
        <w:rPr>
          <w:b/>
          <w:bCs/>
          <w:noProof/>
        </w:rPr>
        <w:t>low impact</w:t>
      </w:r>
      <w:r w:rsidRPr="00F521F8">
        <w:rPr>
          <w:noProof/>
        </w:rPr>
        <w:t>. The task can be implemented with adjustments / configuration of existing data structures and IT systems</w:t>
      </w:r>
    </w:p>
    <w:p w14:paraId="5CC0E6D5" w14:textId="77777777" w:rsidR="000A7D9D" w:rsidRPr="00F521F8" w:rsidRDefault="000A7D9D" w:rsidP="000A7D9D">
      <w:pPr>
        <w:pStyle w:val="BodyText"/>
        <w:widowControl w:val="0"/>
        <w:numPr>
          <w:ilvl w:val="0"/>
          <w:numId w:val="88"/>
        </w:numPr>
        <w:jc w:val="both"/>
        <w:rPr>
          <w:noProof/>
        </w:rPr>
      </w:pPr>
      <w:r w:rsidRPr="00F521F8">
        <w:rPr>
          <w:noProof/>
        </w:rPr>
        <w:t>EEA key experts:</w:t>
      </w:r>
      <w:r w:rsidRPr="00F521F8">
        <w:rPr>
          <w:b/>
          <w:bCs/>
          <w:noProof/>
        </w:rPr>
        <w:t xml:space="preserve"> low impact</w:t>
      </w:r>
      <w:r w:rsidRPr="00F521F8">
        <w:rPr>
          <w:noProof/>
        </w:rPr>
        <w:t xml:space="preserve">. The task relies on expert competencies, but the task is limited and spread over time in its nature. </w:t>
      </w:r>
    </w:p>
    <w:p w14:paraId="6F6471F0" w14:textId="77777777" w:rsidR="000A7D9D" w:rsidRPr="00F521F8" w:rsidRDefault="000A7D9D" w:rsidP="000A7D9D">
      <w:pPr>
        <w:pStyle w:val="BodyText"/>
        <w:rPr>
          <w:noProof/>
        </w:rPr>
      </w:pPr>
      <w:r w:rsidRPr="00F521F8">
        <w:rPr>
          <w:b/>
          <w:bCs/>
          <w:noProof/>
        </w:rPr>
        <w:t>Workload and resource implications:</w:t>
      </w:r>
    </w:p>
    <w:p w14:paraId="7B73E7FD" w14:textId="77777777" w:rsidR="000A7D9D" w:rsidRPr="00F521F8" w:rsidRDefault="000A7D9D" w:rsidP="000A7D9D">
      <w:pPr>
        <w:spacing w:after="120"/>
        <w:rPr>
          <w:rFonts w:ascii="Times New Roman" w:hAnsi="Times New Roman" w:cs="Times New Roman"/>
          <w:noProof/>
          <w:sz w:val="24"/>
          <w:szCs w:val="24"/>
          <w:u w:val="single"/>
        </w:rPr>
      </w:pPr>
      <w:r w:rsidRPr="00F521F8">
        <w:rPr>
          <w:rFonts w:ascii="Times New Roman" w:hAnsi="Times New Roman" w:cs="Times New Roman"/>
          <w:noProof/>
          <w:sz w:val="24"/>
          <w:szCs w:val="24"/>
          <w:u w:val="single"/>
        </w:rPr>
        <w:t>Future workload and resource needs:</w:t>
      </w:r>
    </w:p>
    <w:p w14:paraId="2897D304" w14:textId="77777777" w:rsidR="000A7D9D" w:rsidRPr="00F521F8" w:rsidRDefault="000A7D9D" w:rsidP="000A7D9D">
      <w:pPr>
        <w:pStyle w:val="BodyText"/>
        <w:jc w:val="both"/>
        <w:rPr>
          <w:noProof/>
          <w:color w:val="000000" w:themeColor="text1"/>
        </w:rPr>
      </w:pPr>
      <w:r w:rsidRPr="00F521F8">
        <w:rPr>
          <w:noProof/>
          <w:color w:val="000000" w:themeColor="text1"/>
        </w:rPr>
        <w:t>The work on the new tasks is limited and spread over time in it is nature. On a need basis, it requires that EEA will develop methodologies for the assessment it performs as regards chemicals. The development and setting the methodology is a standard practice for whoever performs the assessments, so this task can be seen as a formalisation of existing EEA work. There is no need for additional resources for this task.</w:t>
      </w:r>
    </w:p>
    <w:p w14:paraId="63870EE7" w14:textId="77777777" w:rsidR="000A7D9D" w:rsidRPr="00F521F8" w:rsidRDefault="000A7D9D" w:rsidP="000A7D9D">
      <w:pPr>
        <w:pStyle w:val="BodyText"/>
        <w:jc w:val="both"/>
        <w:rPr>
          <w:noProof/>
          <w:color w:val="000000" w:themeColor="text1"/>
        </w:rPr>
      </w:pPr>
      <w:r w:rsidRPr="00F521F8">
        <w:rPr>
          <w:noProof/>
          <w:color w:val="000000" w:themeColor="text1"/>
        </w:rPr>
        <w:t xml:space="preserve">EEA will also need to cooperate with ECHA, EFSA and EMA in the areas on data, formats, methodologies, early warning system and indicator framework. The need for additional resources for cooperation on these are already covered under the legislative proposal on data (operation of common data platform, operation of early warning system and operation of indicator framework) and there is no need for additional resources on this general formal mandate for agency to cooperate. </w:t>
      </w:r>
    </w:p>
    <w:p w14:paraId="4F539493" w14:textId="77777777" w:rsidR="000A7D9D" w:rsidRPr="00F521F8" w:rsidRDefault="000A7D9D" w:rsidP="000A7D9D">
      <w:pPr>
        <w:pStyle w:val="BodyText"/>
        <w:jc w:val="both"/>
        <w:rPr>
          <w:rFonts w:eastAsiaTheme="minorEastAsia"/>
          <w:noProof/>
          <w:lang w:val="en-US" w:eastAsia="en-GB"/>
        </w:rPr>
      </w:pPr>
      <w:r w:rsidRPr="00F521F8">
        <w:rPr>
          <w:rFonts w:eastAsiaTheme="minorEastAsia"/>
          <w:noProof/>
          <w:lang w:val="en-US" w:eastAsia="en-GB"/>
        </w:rPr>
        <w:t>Summary of additional resource needs for EEA founding regulation:</w:t>
      </w:r>
    </w:p>
    <w:tbl>
      <w:tblPr>
        <w:tblStyle w:val="TableGrid"/>
        <w:tblW w:w="0" w:type="auto"/>
        <w:tblLook w:val="04A0" w:firstRow="1" w:lastRow="0" w:firstColumn="1" w:lastColumn="0" w:noHBand="0" w:noVBand="1"/>
      </w:tblPr>
      <w:tblGrid>
        <w:gridCol w:w="1454"/>
        <w:gridCol w:w="2475"/>
        <w:gridCol w:w="2940"/>
        <w:gridCol w:w="2760"/>
      </w:tblGrid>
      <w:tr w:rsidR="000A7D9D" w:rsidRPr="00C56424" w14:paraId="02067219" w14:textId="77777777" w:rsidTr="00F31937">
        <w:trPr>
          <w:trHeight w:val="300"/>
        </w:trPr>
        <w:tc>
          <w:tcPr>
            <w:tcW w:w="1454" w:type="dxa"/>
            <w:shd w:val="clear" w:color="auto" w:fill="D9D9D9" w:themeFill="background1" w:themeFillShade="D9"/>
          </w:tcPr>
          <w:p w14:paraId="5477B161"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2475" w:type="dxa"/>
            <w:shd w:val="clear" w:color="auto" w:fill="D9D9D9" w:themeFill="background1" w:themeFillShade="D9"/>
          </w:tcPr>
          <w:p w14:paraId="0EDCB83F"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2940" w:type="dxa"/>
            <w:shd w:val="clear" w:color="auto" w:fill="D9D9D9" w:themeFill="background1" w:themeFillShade="D9"/>
          </w:tcPr>
          <w:p w14:paraId="449512D7" w14:textId="77777777" w:rsidR="000A7D9D" w:rsidRPr="00C56424" w:rsidRDefault="000A7D9D" w:rsidP="00F31937">
            <w:pPr>
              <w:pStyle w:val="BodyText"/>
              <w:tabs>
                <w:tab w:val="left" w:pos="4170"/>
              </w:tabs>
              <w:rPr>
                <w:noProof/>
                <w:sz w:val="20"/>
                <w:szCs w:val="20"/>
              </w:rPr>
            </w:pPr>
          </w:p>
        </w:tc>
        <w:tc>
          <w:tcPr>
            <w:tcW w:w="2760" w:type="dxa"/>
            <w:shd w:val="clear" w:color="auto" w:fill="D9D9D9" w:themeFill="background1" w:themeFillShade="D9"/>
          </w:tcPr>
          <w:p w14:paraId="2600A6A9" w14:textId="77777777" w:rsidR="000A7D9D" w:rsidRPr="00C56424" w:rsidRDefault="000A7D9D" w:rsidP="00F31937">
            <w:pPr>
              <w:pStyle w:val="BodyText"/>
              <w:tabs>
                <w:tab w:val="left" w:pos="4170"/>
              </w:tabs>
              <w:spacing w:after="0"/>
              <w:rPr>
                <w:noProof/>
                <w:sz w:val="20"/>
                <w:szCs w:val="20"/>
              </w:rPr>
            </w:pPr>
          </w:p>
        </w:tc>
      </w:tr>
      <w:tr w:rsidR="000A7D9D" w:rsidRPr="00187DBF" w14:paraId="3D39BF2A" w14:textId="77777777" w:rsidTr="00F31937">
        <w:trPr>
          <w:trHeight w:val="300"/>
        </w:trPr>
        <w:tc>
          <w:tcPr>
            <w:tcW w:w="1454" w:type="dxa"/>
            <w:vMerge w:val="restart"/>
            <w:shd w:val="clear" w:color="auto" w:fill="D9D9D9" w:themeFill="background1" w:themeFillShade="D9"/>
          </w:tcPr>
          <w:p w14:paraId="4C53CE3F" w14:textId="77777777" w:rsidR="000A7D9D" w:rsidRPr="00C56424" w:rsidRDefault="000A7D9D" w:rsidP="00F31937">
            <w:pPr>
              <w:pStyle w:val="BodyText"/>
              <w:spacing w:line="259" w:lineRule="auto"/>
              <w:rPr>
                <w:noProof/>
                <w:sz w:val="20"/>
                <w:szCs w:val="20"/>
              </w:rPr>
            </w:pPr>
            <w:r w:rsidRPr="00C56424">
              <w:rPr>
                <w:noProof/>
                <w:sz w:val="20"/>
                <w:szCs w:val="20"/>
              </w:rPr>
              <w:t>EEA</w:t>
            </w:r>
          </w:p>
        </w:tc>
        <w:tc>
          <w:tcPr>
            <w:tcW w:w="2475" w:type="dxa"/>
            <w:vMerge w:val="restart"/>
            <w:shd w:val="clear" w:color="auto" w:fill="D9D9D9" w:themeFill="background1" w:themeFillShade="D9"/>
          </w:tcPr>
          <w:p w14:paraId="461C2453" w14:textId="77777777" w:rsidR="000A7D9D" w:rsidRPr="00C56424" w:rsidRDefault="000A7D9D" w:rsidP="00F31937">
            <w:pPr>
              <w:pStyle w:val="BodyText"/>
              <w:spacing w:after="0" w:line="259" w:lineRule="auto"/>
              <w:rPr>
                <w:noProof/>
                <w:sz w:val="20"/>
                <w:szCs w:val="20"/>
              </w:rPr>
            </w:pPr>
            <w:r w:rsidRPr="00C56424">
              <w:rPr>
                <w:noProof/>
                <w:sz w:val="20"/>
                <w:szCs w:val="20"/>
              </w:rPr>
              <w:t xml:space="preserve">- Development of methodologies for assessments related to chemicals within its missions </w:t>
            </w:r>
          </w:p>
          <w:p w14:paraId="40AA620A" w14:textId="77777777" w:rsidR="000A7D9D" w:rsidRPr="00C56424" w:rsidRDefault="000A7D9D" w:rsidP="00F31937">
            <w:pPr>
              <w:pStyle w:val="BodyText"/>
              <w:spacing w:after="0"/>
              <w:rPr>
                <w:noProof/>
                <w:sz w:val="20"/>
                <w:szCs w:val="20"/>
              </w:rPr>
            </w:pPr>
            <w:r w:rsidRPr="00C56424">
              <w:rPr>
                <w:noProof/>
                <w:sz w:val="20"/>
                <w:szCs w:val="20"/>
              </w:rPr>
              <w:t>- Cooperation with ECHA, EFSA, EMA on issues related to chemical</w:t>
            </w:r>
          </w:p>
        </w:tc>
        <w:tc>
          <w:tcPr>
            <w:tcW w:w="2940" w:type="dxa"/>
            <w:shd w:val="clear" w:color="auto" w:fill="D9D9D9" w:themeFill="background1" w:themeFillShade="D9"/>
          </w:tcPr>
          <w:p w14:paraId="637FE3F6"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2760" w:type="dxa"/>
            <w:shd w:val="clear" w:color="auto" w:fill="D9D9D9" w:themeFill="background1" w:themeFillShade="D9"/>
          </w:tcPr>
          <w:p w14:paraId="3C593566"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noProof/>
                <w:sz w:val="20"/>
                <w:szCs w:val="20"/>
                <w:lang w:val="fr-BE"/>
              </w:rPr>
              <w:t>EUR 0</w:t>
            </w:r>
            <w:r w:rsidRPr="00C56424">
              <w:rPr>
                <w:noProof/>
                <w:sz w:val="20"/>
                <w:szCs w:val="20"/>
                <w:lang w:val="fr-BE"/>
              </w:rPr>
              <w:t xml:space="preserve"> </w:t>
            </w:r>
          </w:p>
          <w:p w14:paraId="45626C83"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 0</w:t>
            </w:r>
          </w:p>
          <w:p w14:paraId="6BE9AAFD"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noProof/>
                <w:sz w:val="20"/>
                <w:szCs w:val="20"/>
                <w:lang w:val="fr-BE"/>
              </w:rPr>
              <w:t>EUR 0</w:t>
            </w:r>
          </w:p>
          <w:p w14:paraId="7E519E19"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2027: </w:t>
            </w:r>
            <w:r w:rsidRPr="00C56424">
              <w:rPr>
                <w:b/>
                <w:noProof/>
                <w:sz w:val="20"/>
                <w:szCs w:val="20"/>
                <w:lang w:val="fr-BE"/>
              </w:rPr>
              <w:t>EUR 0</w:t>
            </w:r>
          </w:p>
          <w:p w14:paraId="1C2B1E65"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2028: </w:t>
            </w:r>
            <w:r w:rsidRPr="00C56424">
              <w:rPr>
                <w:b/>
                <w:noProof/>
                <w:sz w:val="20"/>
                <w:szCs w:val="20"/>
                <w:lang w:val="fr-BE"/>
              </w:rPr>
              <w:t>EUR 0</w:t>
            </w:r>
          </w:p>
        </w:tc>
      </w:tr>
      <w:tr w:rsidR="000A7D9D" w:rsidRPr="00C56424" w14:paraId="37C8F374" w14:textId="77777777" w:rsidTr="00F31937">
        <w:trPr>
          <w:trHeight w:val="300"/>
        </w:trPr>
        <w:tc>
          <w:tcPr>
            <w:tcW w:w="1454" w:type="dxa"/>
            <w:vMerge/>
            <w:shd w:val="clear" w:color="auto" w:fill="D9D9D9" w:themeFill="background1" w:themeFillShade="D9"/>
          </w:tcPr>
          <w:p w14:paraId="6B678A1E" w14:textId="77777777" w:rsidR="000A7D9D" w:rsidRPr="00C56424" w:rsidRDefault="000A7D9D" w:rsidP="00F31937">
            <w:pPr>
              <w:pStyle w:val="BodyText"/>
              <w:rPr>
                <w:noProof/>
                <w:sz w:val="20"/>
                <w:szCs w:val="20"/>
                <w:lang w:val="fr-BE"/>
              </w:rPr>
            </w:pPr>
          </w:p>
        </w:tc>
        <w:tc>
          <w:tcPr>
            <w:tcW w:w="2475" w:type="dxa"/>
            <w:vMerge/>
            <w:shd w:val="clear" w:color="auto" w:fill="D9D9D9" w:themeFill="background1" w:themeFillShade="D9"/>
          </w:tcPr>
          <w:p w14:paraId="7E2A9542" w14:textId="77777777" w:rsidR="000A7D9D" w:rsidRPr="00C56424" w:rsidRDefault="000A7D9D" w:rsidP="00F31937">
            <w:pPr>
              <w:pStyle w:val="BodyText"/>
              <w:rPr>
                <w:noProof/>
                <w:sz w:val="20"/>
                <w:szCs w:val="20"/>
                <w:lang w:val="fr-BE"/>
              </w:rPr>
            </w:pPr>
          </w:p>
        </w:tc>
        <w:tc>
          <w:tcPr>
            <w:tcW w:w="2940" w:type="dxa"/>
            <w:shd w:val="clear" w:color="auto" w:fill="D9D9D9" w:themeFill="background1" w:themeFillShade="D9"/>
          </w:tcPr>
          <w:p w14:paraId="42AD08A0"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2760" w:type="dxa"/>
            <w:shd w:val="clear" w:color="auto" w:fill="D9D9D9" w:themeFill="background1" w:themeFillShade="D9"/>
          </w:tcPr>
          <w:p w14:paraId="0330C183"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2024:  </w:t>
            </w:r>
            <w:r w:rsidRPr="00C56424">
              <w:rPr>
                <w:b/>
                <w:noProof/>
                <w:sz w:val="20"/>
                <w:szCs w:val="20"/>
              </w:rPr>
              <w:t>0 FTE</w:t>
            </w:r>
          </w:p>
          <w:p w14:paraId="007C7AD6"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2025:  </w:t>
            </w:r>
            <w:r w:rsidRPr="00C56424">
              <w:rPr>
                <w:b/>
                <w:noProof/>
                <w:sz w:val="20"/>
                <w:szCs w:val="20"/>
              </w:rPr>
              <w:t>0 FTE</w:t>
            </w:r>
          </w:p>
          <w:p w14:paraId="428118B8"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2026:  </w:t>
            </w:r>
            <w:r w:rsidRPr="00C56424">
              <w:rPr>
                <w:b/>
                <w:noProof/>
                <w:sz w:val="20"/>
                <w:szCs w:val="20"/>
              </w:rPr>
              <w:t>0 FTE</w:t>
            </w:r>
          </w:p>
          <w:p w14:paraId="6D9E256C"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2027:  </w:t>
            </w:r>
            <w:r w:rsidRPr="00C56424">
              <w:rPr>
                <w:b/>
                <w:noProof/>
                <w:sz w:val="20"/>
                <w:szCs w:val="20"/>
              </w:rPr>
              <w:t>0 FTE</w:t>
            </w:r>
          </w:p>
          <w:p w14:paraId="670EA47B"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2028:  </w:t>
            </w:r>
            <w:r w:rsidRPr="00C56424">
              <w:rPr>
                <w:b/>
                <w:noProof/>
                <w:sz w:val="20"/>
                <w:szCs w:val="20"/>
              </w:rPr>
              <w:t>0 FTE</w:t>
            </w:r>
          </w:p>
        </w:tc>
      </w:tr>
    </w:tbl>
    <w:p w14:paraId="33306AC7" w14:textId="77777777" w:rsidR="000A7D9D" w:rsidRPr="00F521F8" w:rsidRDefault="000A7D9D" w:rsidP="000A7D9D">
      <w:pPr>
        <w:pStyle w:val="BodyText"/>
        <w:tabs>
          <w:tab w:val="left" w:pos="4170"/>
        </w:tabs>
        <w:spacing w:before="120" w:line="259" w:lineRule="auto"/>
        <w:rPr>
          <w:noProof/>
        </w:rPr>
      </w:pPr>
      <w:r w:rsidRPr="00F521F8">
        <w:rPr>
          <w:noProof/>
          <w:u w:val="single"/>
        </w:rPr>
        <w:t>Future budget line:</w:t>
      </w:r>
      <w:r w:rsidRPr="00F521F8">
        <w:rPr>
          <w:noProof/>
        </w:rPr>
        <w:t xml:space="preserve"> DG Environment</w:t>
      </w:r>
    </w:p>
    <w:p w14:paraId="637D32A0" w14:textId="77777777" w:rsidR="000A7D9D" w:rsidRPr="00F521F8" w:rsidRDefault="000A7D9D" w:rsidP="000A7D9D">
      <w:pPr>
        <w:pStyle w:val="BodyText"/>
        <w:tabs>
          <w:tab w:val="left" w:pos="4170"/>
        </w:tabs>
        <w:rPr>
          <w:noProof/>
        </w:rPr>
      </w:pPr>
      <w:r w:rsidRPr="00F521F8">
        <w:rPr>
          <w:noProof/>
          <w:u w:val="single"/>
        </w:rPr>
        <w:t>Candidate for fees:</w:t>
      </w:r>
      <w:r w:rsidRPr="00F521F8">
        <w:rPr>
          <w:noProof/>
        </w:rPr>
        <w:t xml:space="preserve"> No</w:t>
      </w:r>
    </w:p>
    <w:p w14:paraId="550C1843" w14:textId="77777777" w:rsidR="000A7D9D" w:rsidRDefault="000A7D9D" w:rsidP="000A7D9D">
      <w:pPr>
        <w:pStyle w:val="BodyText"/>
        <w:rPr>
          <w:i/>
          <w:iCs/>
          <w:noProof/>
        </w:rPr>
      </w:pPr>
    </w:p>
    <w:p w14:paraId="4C0BB102"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70" w:name="_Toc150499937"/>
      <w:r w:rsidRPr="00291F95">
        <w:rPr>
          <w:rFonts w:ascii="Times New Roman" w:hAnsi="Times New Roman"/>
          <w:smallCaps/>
          <w:noProof/>
          <w:color w:val="auto"/>
          <w:sz w:val="24"/>
          <w:szCs w:val="20"/>
          <w:lang w:eastAsia="en-US"/>
        </w:rPr>
        <w:t>General Food Law (178/2002)</w:t>
      </w:r>
      <w:bookmarkEnd w:id="70"/>
    </w:p>
    <w:p w14:paraId="77927E6D" w14:textId="77777777" w:rsidR="000A7D9D" w:rsidRPr="00F521F8" w:rsidRDefault="000A7D9D" w:rsidP="000A7D9D">
      <w:pPr>
        <w:pStyle w:val="BodyText"/>
        <w:rPr>
          <w:b/>
          <w:bCs/>
          <w:noProof/>
        </w:rPr>
      </w:pPr>
      <w:r w:rsidRPr="00F521F8">
        <w:rPr>
          <w:b/>
          <w:bCs/>
          <w:noProof/>
        </w:rPr>
        <w:t>Responsible body:</w:t>
      </w:r>
    </w:p>
    <w:p w14:paraId="4A092098" w14:textId="77777777" w:rsidR="000A7D9D" w:rsidRPr="00F521F8" w:rsidRDefault="000A7D9D" w:rsidP="000A7D9D">
      <w:pPr>
        <w:pStyle w:val="BodyText"/>
        <w:rPr>
          <w:noProof/>
        </w:rPr>
      </w:pPr>
      <w:r w:rsidRPr="00F521F8">
        <w:rPr>
          <w:noProof/>
          <w:u w:val="single"/>
        </w:rPr>
        <w:t>Currently:</w:t>
      </w:r>
      <w:r w:rsidRPr="00F521F8">
        <w:rPr>
          <w:noProof/>
        </w:rPr>
        <w:t xml:space="preserve"> EFSA</w:t>
      </w:r>
    </w:p>
    <w:p w14:paraId="5B3450F1" w14:textId="77777777" w:rsidR="000A7D9D" w:rsidRPr="00F521F8" w:rsidRDefault="000A7D9D" w:rsidP="000A7D9D">
      <w:pPr>
        <w:pStyle w:val="BodyText"/>
        <w:rPr>
          <w:noProof/>
        </w:rPr>
      </w:pPr>
      <w:r w:rsidRPr="00F521F8">
        <w:rPr>
          <w:noProof/>
          <w:u w:val="single"/>
        </w:rPr>
        <w:t>(Re-)attribution planned to:</w:t>
      </w:r>
      <w:r w:rsidRPr="00F521F8">
        <w:rPr>
          <w:noProof/>
        </w:rPr>
        <w:t xml:space="preserve"> EFSA, expanding and modifying the existing tasks</w:t>
      </w:r>
    </w:p>
    <w:p w14:paraId="011212B5" w14:textId="77777777" w:rsidR="000A7D9D" w:rsidRPr="00F521F8" w:rsidRDefault="000A7D9D" w:rsidP="000A7D9D">
      <w:pPr>
        <w:pStyle w:val="BodyText"/>
        <w:rPr>
          <w:b/>
          <w:bCs/>
          <w:noProof/>
        </w:rPr>
      </w:pPr>
      <w:r w:rsidRPr="00F521F8">
        <w:rPr>
          <w:b/>
          <w:bCs/>
          <w:noProof/>
        </w:rPr>
        <w:t xml:space="preserve">Legal basis for reattribution: </w:t>
      </w:r>
      <w:r w:rsidRPr="00F521F8">
        <w:rPr>
          <w:noProof/>
        </w:rPr>
        <w:t>omnibus regulation on reattribution of task</w:t>
      </w:r>
    </w:p>
    <w:p w14:paraId="2D646579" w14:textId="77777777" w:rsidR="000A7D9D" w:rsidRPr="00F521F8" w:rsidRDefault="000A7D9D" w:rsidP="000A7D9D">
      <w:pPr>
        <w:pStyle w:val="BodyText"/>
        <w:rPr>
          <w:noProof/>
        </w:rPr>
      </w:pPr>
      <w:r w:rsidRPr="00F521F8">
        <w:rPr>
          <w:b/>
          <w:bCs/>
          <w:noProof/>
        </w:rPr>
        <w:t xml:space="preserve">Type of task: </w:t>
      </w:r>
      <w:r w:rsidRPr="00F521F8">
        <w:rPr>
          <w:noProof/>
        </w:rPr>
        <w:t>New</w:t>
      </w:r>
    </w:p>
    <w:p w14:paraId="7F95A3E1" w14:textId="77777777" w:rsidR="000A7D9D" w:rsidRPr="00F521F8" w:rsidRDefault="000A7D9D" w:rsidP="000A7D9D">
      <w:pPr>
        <w:pStyle w:val="BodyText"/>
        <w:jc w:val="both"/>
        <w:rPr>
          <w:b/>
          <w:bCs/>
          <w:noProof/>
        </w:rPr>
      </w:pPr>
      <w:r w:rsidRPr="00F521F8">
        <w:rPr>
          <w:b/>
          <w:bCs/>
          <w:noProof/>
        </w:rPr>
        <w:t xml:space="preserve">Brief task overview: </w:t>
      </w:r>
    </w:p>
    <w:p w14:paraId="2ABCDAAD" w14:textId="77777777" w:rsidR="000A7D9D" w:rsidRPr="00F521F8" w:rsidRDefault="000A7D9D" w:rsidP="000A7D9D">
      <w:pPr>
        <w:pStyle w:val="BodyText"/>
        <w:widowControl w:val="0"/>
        <w:numPr>
          <w:ilvl w:val="0"/>
          <w:numId w:val="57"/>
        </w:numPr>
        <w:jc w:val="both"/>
        <w:rPr>
          <w:noProof/>
        </w:rPr>
      </w:pPr>
      <w:r w:rsidRPr="00F521F8">
        <w:rPr>
          <w:noProof/>
        </w:rPr>
        <w:t>Developing methodologies for assessment of chemicals in the fields falling within its mission</w:t>
      </w:r>
    </w:p>
    <w:p w14:paraId="2A1DD852" w14:textId="77777777" w:rsidR="000A7D9D" w:rsidRPr="00F521F8" w:rsidRDefault="000A7D9D" w:rsidP="000A7D9D">
      <w:pPr>
        <w:pStyle w:val="BodyText"/>
        <w:widowControl w:val="0"/>
        <w:numPr>
          <w:ilvl w:val="0"/>
          <w:numId w:val="57"/>
        </w:numPr>
        <w:jc w:val="both"/>
        <w:rPr>
          <w:noProof/>
        </w:rPr>
      </w:pPr>
      <w:r w:rsidRPr="00F521F8">
        <w:rPr>
          <w:noProof/>
        </w:rPr>
        <w:t>Cooperating with other agencies as regards exchange of data, defining formats and controlled vocabularies, development of methodologies related to chemicals</w:t>
      </w:r>
    </w:p>
    <w:p w14:paraId="5600817A" w14:textId="77777777" w:rsidR="000A7D9D" w:rsidRPr="00F521F8" w:rsidRDefault="000A7D9D" w:rsidP="000A7D9D">
      <w:pPr>
        <w:pStyle w:val="BodyText"/>
        <w:widowControl w:val="0"/>
        <w:numPr>
          <w:ilvl w:val="0"/>
          <w:numId w:val="57"/>
        </w:numPr>
        <w:jc w:val="both"/>
        <w:rPr>
          <w:noProof/>
        </w:rPr>
      </w:pPr>
      <w:r w:rsidRPr="00F521F8">
        <w:rPr>
          <w:noProof/>
        </w:rPr>
        <w:t>Preventing and solving divergent opinions on chemicals with ECHA and EMA</w:t>
      </w:r>
    </w:p>
    <w:p w14:paraId="6C740E4B" w14:textId="77777777" w:rsidR="000A7D9D" w:rsidRPr="00F521F8" w:rsidRDefault="000A7D9D" w:rsidP="000A7D9D">
      <w:pPr>
        <w:pStyle w:val="BodyText"/>
        <w:rPr>
          <w:b/>
          <w:bCs/>
          <w:noProof/>
        </w:rPr>
      </w:pPr>
      <w:r w:rsidRPr="00F521F8">
        <w:rPr>
          <w:b/>
          <w:bCs/>
          <w:noProof/>
        </w:rPr>
        <w:t>Detailed process description:</w:t>
      </w:r>
    </w:p>
    <w:p w14:paraId="3B553F71" w14:textId="77777777" w:rsidR="000A7D9D" w:rsidRPr="00F521F8" w:rsidRDefault="000A7D9D" w:rsidP="000A7D9D">
      <w:pPr>
        <w:pStyle w:val="BodyText"/>
        <w:rPr>
          <w:noProof/>
          <w:u w:val="single"/>
        </w:rPr>
      </w:pPr>
      <w:r w:rsidRPr="00F521F8">
        <w:rPr>
          <w:noProof/>
          <w:u w:val="single"/>
        </w:rPr>
        <w:t>Current process:</w:t>
      </w:r>
    </w:p>
    <w:p w14:paraId="506FB6FA" w14:textId="77777777" w:rsidR="000A7D9D" w:rsidRPr="00F521F8" w:rsidRDefault="000A7D9D" w:rsidP="000A7D9D">
      <w:pPr>
        <w:pStyle w:val="BodyText"/>
        <w:rPr>
          <w:rFonts w:eastAsiaTheme="minorEastAsia"/>
          <w:i/>
          <w:iCs/>
          <w:noProof/>
        </w:rPr>
      </w:pPr>
      <w:r w:rsidRPr="00F521F8">
        <w:rPr>
          <w:rFonts w:eastAsiaTheme="minorEastAsia"/>
          <w:i/>
          <w:iCs/>
          <w:noProof/>
        </w:rPr>
        <w:t>Task 1</w:t>
      </w:r>
    </w:p>
    <w:p w14:paraId="68CB885C" w14:textId="77777777" w:rsidR="000A7D9D" w:rsidRPr="00F521F8" w:rsidRDefault="000A7D9D" w:rsidP="000A7D9D">
      <w:pPr>
        <w:spacing w:after="120"/>
        <w:jc w:val="both"/>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sz w:val="24"/>
          <w:szCs w:val="24"/>
        </w:rPr>
        <w:t xml:space="preserve">EFSA has a very clear tasks in Article 23 to promote and coordinate the development of uniform risk assessment methodologies in the fields falling within its mission. The mandate is sufficient and no change is required. </w:t>
      </w:r>
    </w:p>
    <w:p w14:paraId="633B0EB5" w14:textId="77777777" w:rsidR="000A7D9D" w:rsidRPr="00F521F8" w:rsidRDefault="000A7D9D" w:rsidP="000A7D9D">
      <w:pPr>
        <w:pStyle w:val="BodyText"/>
        <w:rPr>
          <w:i/>
          <w:iCs/>
          <w:noProof/>
        </w:rPr>
      </w:pPr>
      <w:r w:rsidRPr="00F521F8">
        <w:rPr>
          <w:i/>
          <w:iCs/>
          <w:noProof/>
        </w:rPr>
        <w:t>Task 2</w:t>
      </w:r>
    </w:p>
    <w:p w14:paraId="6BB0150F" w14:textId="77777777" w:rsidR="000A7D9D" w:rsidRPr="00F521F8" w:rsidRDefault="000A7D9D" w:rsidP="000A7D9D">
      <w:pPr>
        <w:pStyle w:val="BodyText"/>
        <w:jc w:val="both"/>
        <w:rPr>
          <w:noProof/>
        </w:rPr>
      </w:pPr>
      <w:r w:rsidRPr="00F521F8">
        <w:rPr>
          <w:noProof/>
        </w:rPr>
        <w:t xml:space="preserve">The EFSA founding regulation contains some provisions related to cooperation. The Article 22 that defines the mission of EFSA states: </w:t>
      </w:r>
    </w:p>
    <w:p w14:paraId="5D24E273" w14:textId="77777777" w:rsidR="000A7D9D" w:rsidRPr="00F521F8" w:rsidRDefault="000A7D9D" w:rsidP="000A7D9D">
      <w:pPr>
        <w:pStyle w:val="ListParagraph"/>
        <w:widowControl w:val="0"/>
        <w:numPr>
          <w:ilvl w:val="0"/>
          <w:numId w:val="54"/>
        </w:numPr>
        <w:spacing w:after="120"/>
        <w:jc w:val="both"/>
        <w:rPr>
          <w:noProof/>
        </w:rPr>
      </w:pPr>
      <w:r w:rsidRPr="00F521F8">
        <w:rPr>
          <w:noProof/>
        </w:rPr>
        <w:t xml:space="preserve">The Authority shall carry out its tasks in conditions which enable it to serve as a point of reference by virtue of its independence, the scientific and technical quality of the opinions it issues and the information it disseminates, the transparency of its procedures and methods of operation, and its diligence in performing the tasks assigned to it.  </w:t>
      </w:r>
      <w:r w:rsidRPr="00F521F8">
        <w:rPr>
          <w:noProof/>
        </w:rPr>
        <w:br/>
        <w:t>It shall act in close cooperation with the competent bodies in the Member States that carry out similar tasks to those of the Authority and, where appropriate, with the relevant Union agencies.</w:t>
      </w:r>
    </w:p>
    <w:p w14:paraId="6B10354F" w14:textId="77777777" w:rsidR="000A7D9D" w:rsidRPr="00F521F8" w:rsidRDefault="000A7D9D" w:rsidP="000A7D9D">
      <w:pPr>
        <w:spacing w:after="120"/>
        <w:jc w:val="both"/>
        <w:rPr>
          <w:rFonts w:ascii="Times New Roman" w:eastAsiaTheme="minorEastAsia" w:hAnsi="Times New Roman" w:cs="Times New Roman"/>
          <w:noProof/>
          <w:sz w:val="24"/>
          <w:szCs w:val="24"/>
        </w:rPr>
      </w:pPr>
      <w:r w:rsidRPr="00F521F8">
        <w:rPr>
          <w:rFonts w:ascii="Times New Roman" w:eastAsiaTheme="minorEastAsia" w:hAnsi="Times New Roman" w:cs="Times New Roman"/>
          <w:noProof/>
          <w:sz w:val="24"/>
          <w:szCs w:val="24"/>
        </w:rPr>
        <w:t>The existing provisions are rather general. In order to achieve the one substance, one assessment ambition, it is necessary to strengthen the provisions on cooperation.</w:t>
      </w:r>
    </w:p>
    <w:p w14:paraId="67DA083D" w14:textId="77777777" w:rsidR="000A7D9D" w:rsidRPr="00F521F8" w:rsidRDefault="000A7D9D" w:rsidP="000A7D9D">
      <w:pPr>
        <w:spacing w:after="120"/>
        <w:jc w:val="both"/>
        <w:rPr>
          <w:rFonts w:ascii="Times New Roman" w:hAnsi="Times New Roman" w:cs="Times New Roman"/>
          <w:i/>
          <w:iCs/>
          <w:noProof/>
          <w:sz w:val="24"/>
          <w:szCs w:val="24"/>
          <w:u w:val="single"/>
        </w:rPr>
      </w:pPr>
      <w:r w:rsidRPr="00F521F8">
        <w:rPr>
          <w:rFonts w:ascii="Times New Roman" w:hAnsi="Times New Roman" w:cs="Times New Roman"/>
          <w:i/>
          <w:iCs/>
          <w:noProof/>
          <w:sz w:val="24"/>
          <w:szCs w:val="24"/>
        </w:rPr>
        <w:t>Task 3</w:t>
      </w:r>
    </w:p>
    <w:p w14:paraId="327B05C5" w14:textId="77777777" w:rsidR="000A7D9D" w:rsidRPr="00F521F8" w:rsidRDefault="000A7D9D" w:rsidP="000A7D9D">
      <w:pPr>
        <w:spacing w:after="120"/>
        <w:jc w:val="both"/>
        <w:rPr>
          <w:rFonts w:ascii="Times New Roman" w:hAnsi="Times New Roman" w:cs="Times New Roman"/>
          <w:noProof/>
          <w:sz w:val="24"/>
          <w:szCs w:val="24"/>
        </w:rPr>
      </w:pPr>
      <w:r w:rsidRPr="00F521F8">
        <w:rPr>
          <w:rFonts w:ascii="Times New Roman" w:hAnsi="Times New Roman" w:cs="Times New Roman"/>
          <w:noProof/>
          <w:sz w:val="24"/>
          <w:szCs w:val="24"/>
        </w:rPr>
        <w:t>EFSA founding regulation specifies provisions for preventing and solving divergent scientific opinions with other agencies. Article 30 states:</w:t>
      </w:r>
    </w:p>
    <w:p w14:paraId="349928D7" w14:textId="77777777" w:rsidR="000A7D9D" w:rsidRPr="00F521F8" w:rsidRDefault="000A7D9D" w:rsidP="000A7D9D">
      <w:pPr>
        <w:pStyle w:val="ListParagraph"/>
        <w:widowControl w:val="0"/>
        <w:numPr>
          <w:ilvl w:val="0"/>
          <w:numId w:val="53"/>
        </w:numPr>
        <w:jc w:val="both"/>
        <w:rPr>
          <w:rFonts w:eastAsia="Verdana"/>
          <w:noProof/>
        </w:rPr>
      </w:pPr>
      <w:r w:rsidRPr="00F521F8">
        <w:rPr>
          <w:rFonts w:eastAsia="Verdana"/>
          <w:noProof/>
        </w:rPr>
        <w:t>The Authority shall exercise vigilance in order to identify at an early stage any potential source of divergence between its scientific opinions and the scientific opinions issued by other bodies carrying out similar tasks.</w:t>
      </w:r>
    </w:p>
    <w:p w14:paraId="72C08483" w14:textId="77777777" w:rsidR="000A7D9D" w:rsidRPr="00F521F8" w:rsidRDefault="000A7D9D" w:rsidP="000A7D9D">
      <w:pPr>
        <w:pStyle w:val="ListParagraph"/>
        <w:widowControl w:val="0"/>
        <w:numPr>
          <w:ilvl w:val="0"/>
          <w:numId w:val="53"/>
        </w:numPr>
        <w:jc w:val="both"/>
        <w:rPr>
          <w:rFonts w:eastAsia="Verdana"/>
          <w:noProof/>
        </w:rPr>
      </w:pPr>
      <w:r w:rsidRPr="00F521F8">
        <w:rPr>
          <w:rFonts w:eastAsia="Verdana"/>
          <w:noProof/>
        </w:rPr>
        <w:t xml:space="preserve">Where the Authority identifies a potential source of divergence, it shall contact the body in question to ensure that all relevant scientific information is shared and in order to identify potentially contentious scientific issues. </w:t>
      </w:r>
    </w:p>
    <w:p w14:paraId="5EA88F92" w14:textId="77777777" w:rsidR="000A7D9D" w:rsidRPr="00F521F8" w:rsidRDefault="000A7D9D" w:rsidP="000A7D9D">
      <w:pPr>
        <w:pStyle w:val="ListParagraph"/>
        <w:widowControl w:val="0"/>
        <w:numPr>
          <w:ilvl w:val="0"/>
          <w:numId w:val="53"/>
        </w:numPr>
        <w:jc w:val="both"/>
        <w:rPr>
          <w:rFonts w:eastAsia="Verdana"/>
          <w:noProof/>
        </w:rPr>
      </w:pPr>
      <w:r w:rsidRPr="00F521F8">
        <w:rPr>
          <w:rFonts w:eastAsia="Verdana"/>
          <w:noProof/>
        </w:rPr>
        <w:t xml:space="preserve">Where a substantive divergence over scientific issues has been identified and the body in question is a Community agency or one of the Commission's Scientific Committees, the Authority and the body concerned shall be obliged to cooperate with a view to either resolving the divergence or presenting a joint document to the Commission clarifying the contentious scientific issues and identifying the relevant uncertainties in the data. This document shall be made public. </w:t>
      </w:r>
    </w:p>
    <w:p w14:paraId="0398C928" w14:textId="77777777" w:rsidR="000A7D9D" w:rsidRPr="00F521F8" w:rsidRDefault="000A7D9D" w:rsidP="000A7D9D">
      <w:pPr>
        <w:pStyle w:val="ListParagraph"/>
        <w:widowControl w:val="0"/>
        <w:numPr>
          <w:ilvl w:val="0"/>
          <w:numId w:val="53"/>
        </w:numPr>
        <w:spacing w:after="120"/>
        <w:jc w:val="both"/>
        <w:rPr>
          <w:rFonts w:eastAsia="Verdana"/>
          <w:noProof/>
        </w:rPr>
      </w:pPr>
      <w:r w:rsidRPr="00F521F8">
        <w:rPr>
          <w:rFonts w:eastAsia="Verdana"/>
          <w:noProof/>
        </w:rPr>
        <w:t>Where a substantive divergence over scientific issues has been identified and the body in question is a Member State body, the Authority and the national body shall be obliged to cooperate with a view to either resolving the divergence or preparing a joint document clarifying the contentious scientific issues and identifying the relevant uncertainties in the data. This document shall be made public.</w:t>
      </w:r>
    </w:p>
    <w:p w14:paraId="1769B357" w14:textId="77777777" w:rsidR="000A7D9D" w:rsidRPr="00F521F8" w:rsidRDefault="000A7D9D" w:rsidP="000A7D9D">
      <w:pPr>
        <w:spacing w:after="120"/>
        <w:jc w:val="both"/>
        <w:rPr>
          <w:rFonts w:ascii="Times New Roman" w:hAnsi="Times New Roman" w:cs="Times New Roman"/>
          <w:noProof/>
          <w:sz w:val="24"/>
          <w:szCs w:val="24"/>
        </w:rPr>
      </w:pPr>
      <w:r w:rsidRPr="00F521F8">
        <w:rPr>
          <w:rFonts w:ascii="Times New Roman" w:hAnsi="Times New Roman" w:cs="Times New Roman"/>
          <w:noProof/>
          <w:sz w:val="24"/>
          <w:szCs w:val="24"/>
        </w:rPr>
        <w:t xml:space="preserve">The provisions need to be aligned with those for other agencies. In addition, there is a need to strengthen the requirement to solve the divergent view by agencies among themselves, before the matter is referred to the Commission to be solved. </w:t>
      </w:r>
    </w:p>
    <w:p w14:paraId="4D11BFBC" w14:textId="77777777" w:rsidR="000A7D9D" w:rsidRPr="00F521F8" w:rsidRDefault="000A7D9D" w:rsidP="000A7D9D">
      <w:pPr>
        <w:spacing w:after="120"/>
        <w:jc w:val="both"/>
        <w:rPr>
          <w:rFonts w:ascii="Times New Roman" w:hAnsi="Times New Roman" w:cs="Times New Roman"/>
          <w:noProof/>
          <w:sz w:val="24"/>
          <w:szCs w:val="24"/>
          <w:u w:val="single"/>
        </w:rPr>
      </w:pPr>
      <w:r w:rsidRPr="00F521F8">
        <w:rPr>
          <w:rFonts w:ascii="Times New Roman" w:hAnsi="Times New Roman" w:cs="Times New Roman"/>
          <w:noProof/>
          <w:sz w:val="24"/>
          <w:szCs w:val="24"/>
          <w:u w:val="single"/>
        </w:rPr>
        <w:t>Future process:</w:t>
      </w:r>
    </w:p>
    <w:p w14:paraId="3CF572CD" w14:textId="77777777" w:rsidR="000A7D9D" w:rsidRPr="00F521F8" w:rsidRDefault="000A7D9D" w:rsidP="000A7D9D">
      <w:pPr>
        <w:pStyle w:val="BodyText"/>
        <w:rPr>
          <w:i/>
          <w:iCs/>
          <w:noProof/>
        </w:rPr>
      </w:pPr>
      <w:r w:rsidRPr="00F521F8">
        <w:rPr>
          <w:i/>
          <w:iCs/>
          <w:noProof/>
        </w:rPr>
        <w:t>Task 1:</w:t>
      </w:r>
    </w:p>
    <w:p w14:paraId="2F4204B4" w14:textId="77777777" w:rsidR="000A7D9D" w:rsidRPr="00F521F8" w:rsidRDefault="000A7D9D" w:rsidP="000A7D9D">
      <w:pPr>
        <w:pStyle w:val="BodyText"/>
        <w:jc w:val="both"/>
        <w:rPr>
          <w:noProof/>
        </w:rPr>
      </w:pPr>
      <w:r w:rsidRPr="00F521F8">
        <w:rPr>
          <w:rFonts w:eastAsiaTheme="minorEastAsia"/>
          <w:noProof/>
        </w:rPr>
        <w:t>The existing mandate for development of methodologies is sufficient and no change is required.</w:t>
      </w:r>
      <w:r w:rsidRPr="00F521F8">
        <w:rPr>
          <w:noProof/>
        </w:rPr>
        <w:t xml:space="preserve"> </w:t>
      </w:r>
    </w:p>
    <w:p w14:paraId="12BB4C41" w14:textId="77777777" w:rsidR="000A7D9D" w:rsidRPr="00F521F8" w:rsidRDefault="000A7D9D" w:rsidP="000A7D9D">
      <w:pPr>
        <w:pStyle w:val="BodyText"/>
        <w:jc w:val="both"/>
        <w:rPr>
          <w:i/>
          <w:iCs/>
          <w:noProof/>
        </w:rPr>
      </w:pPr>
      <w:r w:rsidRPr="00F521F8">
        <w:rPr>
          <w:i/>
          <w:iCs/>
          <w:noProof/>
        </w:rPr>
        <w:t>Task 2:</w:t>
      </w:r>
    </w:p>
    <w:p w14:paraId="36690B71" w14:textId="77777777" w:rsidR="000A7D9D" w:rsidRPr="00F521F8" w:rsidRDefault="000A7D9D" w:rsidP="000A7D9D">
      <w:pPr>
        <w:pStyle w:val="BodyText"/>
        <w:jc w:val="both"/>
        <w:rPr>
          <w:noProof/>
        </w:rPr>
      </w:pPr>
      <w:r w:rsidRPr="00F521F8">
        <w:rPr>
          <w:noProof/>
        </w:rPr>
        <w:t>EFSA actively cooperates with ECHA, EEA and EMA as regards:</w:t>
      </w:r>
    </w:p>
    <w:p w14:paraId="76E8BFDF" w14:textId="77777777" w:rsidR="000A7D9D" w:rsidRPr="00F521F8" w:rsidRDefault="000A7D9D" w:rsidP="000A7D9D">
      <w:pPr>
        <w:pStyle w:val="BodyText"/>
        <w:widowControl w:val="0"/>
        <w:numPr>
          <w:ilvl w:val="0"/>
          <w:numId w:val="58"/>
        </w:numPr>
        <w:spacing w:after="0"/>
        <w:jc w:val="both"/>
        <w:rPr>
          <w:noProof/>
        </w:rPr>
      </w:pPr>
      <w:r w:rsidRPr="00F521F8">
        <w:rPr>
          <w:noProof/>
        </w:rPr>
        <w:t>exchange of data on chemicals and defining formats and controlled vocabularies for such data</w:t>
      </w:r>
    </w:p>
    <w:p w14:paraId="5A15B556" w14:textId="77777777" w:rsidR="000A7D9D" w:rsidRPr="00F521F8" w:rsidRDefault="000A7D9D" w:rsidP="000A7D9D">
      <w:pPr>
        <w:pStyle w:val="BodyText"/>
        <w:widowControl w:val="0"/>
        <w:numPr>
          <w:ilvl w:val="0"/>
          <w:numId w:val="58"/>
        </w:numPr>
        <w:spacing w:after="0"/>
        <w:jc w:val="both"/>
        <w:rPr>
          <w:noProof/>
        </w:rPr>
      </w:pPr>
      <w:r w:rsidRPr="00F521F8">
        <w:rPr>
          <w:noProof/>
        </w:rPr>
        <w:t xml:space="preserve">development of methodologies related to chemicals, </w:t>
      </w:r>
    </w:p>
    <w:p w14:paraId="0DDA90AB" w14:textId="77777777" w:rsidR="000A7D9D" w:rsidRPr="00F521F8" w:rsidRDefault="000A7D9D" w:rsidP="000A7D9D">
      <w:pPr>
        <w:pStyle w:val="BodyText"/>
        <w:widowControl w:val="0"/>
        <w:numPr>
          <w:ilvl w:val="0"/>
          <w:numId w:val="58"/>
        </w:numPr>
        <w:spacing w:after="0"/>
        <w:jc w:val="both"/>
        <w:rPr>
          <w:noProof/>
        </w:rPr>
      </w:pPr>
      <w:r w:rsidRPr="00F521F8">
        <w:rPr>
          <w:noProof/>
        </w:rPr>
        <w:t xml:space="preserve">operation of early warning system for chemicals </w:t>
      </w:r>
    </w:p>
    <w:p w14:paraId="14EC9D3B" w14:textId="77777777" w:rsidR="000A7D9D" w:rsidRPr="00F521F8" w:rsidRDefault="000A7D9D" w:rsidP="000A7D9D">
      <w:pPr>
        <w:pStyle w:val="BodyText"/>
        <w:widowControl w:val="0"/>
        <w:numPr>
          <w:ilvl w:val="0"/>
          <w:numId w:val="58"/>
        </w:numPr>
        <w:jc w:val="both"/>
        <w:rPr>
          <w:noProof/>
        </w:rPr>
      </w:pPr>
      <w:r w:rsidRPr="00F521F8">
        <w:rPr>
          <w:noProof/>
        </w:rPr>
        <w:t>operation of framework of indicators of chemical policies</w:t>
      </w:r>
    </w:p>
    <w:p w14:paraId="5458A13F" w14:textId="77777777" w:rsidR="000A7D9D" w:rsidRPr="00F521F8" w:rsidRDefault="000A7D9D" w:rsidP="000A7D9D">
      <w:pPr>
        <w:pStyle w:val="BodyText"/>
        <w:jc w:val="both"/>
        <w:rPr>
          <w:noProof/>
        </w:rPr>
      </w:pPr>
      <w:r w:rsidRPr="00F521F8">
        <w:rPr>
          <w:noProof/>
        </w:rPr>
        <w:t xml:space="preserve">The cooperation is foreseen both ways, </w:t>
      </w:r>
      <w:r w:rsidRPr="00F521F8">
        <w:rPr>
          <w:i/>
          <w:iCs/>
          <w:noProof/>
        </w:rPr>
        <w:t>i.e.</w:t>
      </w:r>
      <w:r w:rsidRPr="00F521F8">
        <w:rPr>
          <w:noProof/>
        </w:rPr>
        <w:t xml:space="preserve"> when EFSA itself makes some development in those specified areas within its domain as well as when EEA, ECHA or EMA make some development in those areas within their domains. The goal is to ensure coherence, consistency and interoperability in the specified areas. </w:t>
      </w:r>
    </w:p>
    <w:p w14:paraId="672ECC4B" w14:textId="77777777" w:rsidR="000A7D9D" w:rsidRPr="00F521F8" w:rsidRDefault="000A7D9D" w:rsidP="000A7D9D">
      <w:pPr>
        <w:pStyle w:val="BodyText"/>
        <w:jc w:val="both"/>
        <w:rPr>
          <w:i/>
          <w:iCs/>
          <w:noProof/>
        </w:rPr>
      </w:pPr>
      <w:r w:rsidRPr="00F521F8">
        <w:rPr>
          <w:i/>
          <w:iCs/>
          <w:noProof/>
        </w:rPr>
        <w:t>Task 3:</w:t>
      </w:r>
    </w:p>
    <w:p w14:paraId="0960545B" w14:textId="77777777" w:rsidR="000A7D9D" w:rsidRPr="00F521F8" w:rsidRDefault="000A7D9D" w:rsidP="000A7D9D">
      <w:pPr>
        <w:pStyle w:val="BodyText"/>
        <w:spacing w:line="259" w:lineRule="auto"/>
        <w:jc w:val="both"/>
        <w:rPr>
          <w:noProof/>
        </w:rPr>
      </w:pPr>
      <w:r w:rsidRPr="00F521F8">
        <w:rPr>
          <w:noProof/>
        </w:rPr>
        <w:t xml:space="preserve">EFSA and body concerned shall first attempt to solve the divergent opinion on scientific or technical issues by themselves. They shall revert the decision to the Commission only if they were not able to solve the issue. In addition, if the divergence come from different hazard identification or characterisation, then the Commission shall request ECHA to prepare a proposal for harmonised classification under the CLP regulation. </w:t>
      </w:r>
    </w:p>
    <w:p w14:paraId="4F90EB3E" w14:textId="77777777" w:rsidR="000A7D9D" w:rsidRPr="00F521F8" w:rsidRDefault="000A7D9D" w:rsidP="000A7D9D">
      <w:pPr>
        <w:pStyle w:val="BodyText"/>
        <w:jc w:val="both"/>
        <w:rPr>
          <w:noProof/>
        </w:rPr>
      </w:pPr>
      <w:r w:rsidRPr="00F521F8">
        <w:rPr>
          <w:b/>
          <w:bCs/>
          <w:noProof/>
        </w:rPr>
        <w:t xml:space="preserve">Proximity to Agency mandate: </w:t>
      </w:r>
      <w:r w:rsidRPr="00F521F8">
        <w:rPr>
          <w:noProof/>
        </w:rPr>
        <w:t>The tasks fit well with the mandate of EFSA as both tasks target the areas of the EFSA mandate, and they are just improvement of existing tasks.</w:t>
      </w:r>
    </w:p>
    <w:p w14:paraId="059D8E9B" w14:textId="77777777" w:rsidR="000A7D9D" w:rsidRPr="00F521F8" w:rsidRDefault="000A7D9D" w:rsidP="000A7D9D">
      <w:pPr>
        <w:pStyle w:val="BodyText"/>
        <w:jc w:val="both"/>
        <w:rPr>
          <w:noProof/>
        </w:rPr>
      </w:pPr>
      <w:r w:rsidRPr="00F521F8">
        <w:rPr>
          <w:b/>
          <w:bCs/>
          <w:noProof/>
        </w:rPr>
        <w:t xml:space="preserve">Projected synergies and added value of reattribution: </w:t>
      </w:r>
      <w:r w:rsidRPr="00F521F8">
        <w:rPr>
          <w:noProof/>
        </w:rPr>
        <w:t xml:space="preserve">Improving coherence, consistency and interoperability among the Agencies work is the key added value. </w:t>
      </w:r>
    </w:p>
    <w:p w14:paraId="08748510" w14:textId="77777777" w:rsidR="000A7D9D" w:rsidRPr="00F521F8" w:rsidRDefault="000A7D9D" w:rsidP="000A7D9D">
      <w:pPr>
        <w:pStyle w:val="BodyText"/>
        <w:rPr>
          <w:b/>
          <w:bCs/>
          <w:noProof/>
        </w:rPr>
      </w:pPr>
      <w:r w:rsidRPr="00F521F8">
        <w:rPr>
          <w:b/>
          <w:bCs/>
          <w:noProof/>
        </w:rPr>
        <w:t>Projected impact on EFSA:</w:t>
      </w:r>
    </w:p>
    <w:p w14:paraId="7921657D" w14:textId="77777777" w:rsidR="000A7D9D" w:rsidRPr="00F521F8" w:rsidRDefault="000A7D9D" w:rsidP="000A7D9D">
      <w:pPr>
        <w:pStyle w:val="BodyText"/>
        <w:widowControl w:val="0"/>
        <w:numPr>
          <w:ilvl w:val="0"/>
          <w:numId w:val="88"/>
        </w:numPr>
        <w:jc w:val="both"/>
        <w:rPr>
          <w:noProof/>
        </w:rPr>
      </w:pPr>
      <w:r w:rsidRPr="00F521F8">
        <w:rPr>
          <w:noProof/>
        </w:rPr>
        <w:t xml:space="preserve">EFSA Committees/bodies: </w:t>
      </w:r>
      <w:r w:rsidRPr="00F521F8">
        <w:rPr>
          <w:b/>
          <w:bCs/>
          <w:noProof/>
        </w:rPr>
        <w:t>low impact</w:t>
      </w:r>
      <w:r w:rsidRPr="00F521F8">
        <w:rPr>
          <w:noProof/>
        </w:rPr>
        <w:t xml:space="preserve">. The task might require some ad hoc involvement of committee/panels or their consultation. </w:t>
      </w:r>
    </w:p>
    <w:p w14:paraId="113F72D6" w14:textId="77777777" w:rsidR="000A7D9D" w:rsidRPr="00F521F8" w:rsidRDefault="000A7D9D" w:rsidP="000A7D9D">
      <w:pPr>
        <w:pStyle w:val="BodyText"/>
        <w:widowControl w:val="0"/>
        <w:numPr>
          <w:ilvl w:val="0"/>
          <w:numId w:val="88"/>
        </w:numPr>
        <w:jc w:val="both"/>
        <w:rPr>
          <w:b/>
          <w:bCs/>
          <w:noProof/>
        </w:rPr>
      </w:pPr>
      <w:r w:rsidRPr="00F521F8">
        <w:rPr>
          <w:noProof/>
        </w:rPr>
        <w:t xml:space="preserve">EFSA data model and IT infrastructure: </w:t>
      </w:r>
      <w:r w:rsidRPr="00F521F8">
        <w:rPr>
          <w:b/>
          <w:bCs/>
          <w:noProof/>
        </w:rPr>
        <w:t>low impact</w:t>
      </w:r>
      <w:r w:rsidRPr="00F521F8">
        <w:rPr>
          <w:noProof/>
        </w:rPr>
        <w:t>. The task can be implemented with adjustments / configuration of existing data structures and IT systems</w:t>
      </w:r>
    </w:p>
    <w:p w14:paraId="4A252A1F" w14:textId="77777777" w:rsidR="000A7D9D" w:rsidRPr="00F521F8" w:rsidRDefault="000A7D9D" w:rsidP="000A7D9D">
      <w:pPr>
        <w:pStyle w:val="BodyText"/>
        <w:widowControl w:val="0"/>
        <w:numPr>
          <w:ilvl w:val="0"/>
          <w:numId w:val="88"/>
        </w:numPr>
        <w:jc w:val="both"/>
        <w:rPr>
          <w:noProof/>
        </w:rPr>
      </w:pPr>
      <w:r w:rsidRPr="00F521F8">
        <w:rPr>
          <w:noProof/>
        </w:rPr>
        <w:t>EFSA key experts:</w:t>
      </w:r>
      <w:r w:rsidRPr="00F521F8">
        <w:rPr>
          <w:b/>
          <w:bCs/>
          <w:noProof/>
        </w:rPr>
        <w:t xml:space="preserve"> low impact</w:t>
      </w:r>
      <w:r w:rsidRPr="00F521F8">
        <w:rPr>
          <w:noProof/>
        </w:rPr>
        <w:t xml:space="preserve">. The task relies on expert competencies, but the task is limited and spread over time in its nature. </w:t>
      </w:r>
    </w:p>
    <w:p w14:paraId="0ECDD1D0" w14:textId="77777777" w:rsidR="000A7D9D" w:rsidRPr="00F521F8" w:rsidRDefault="000A7D9D" w:rsidP="000A7D9D">
      <w:pPr>
        <w:pStyle w:val="BodyText"/>
        <w:rPr>
          <w:noProof/>
        </w:rPr>
      </w:pPr>
      <w:r w:rsidRPr="00F521F8">
        <w:rPr>
          <w:b/>
          <w:bCs/>
          <w:noProof/>
        </w:rPr>
        <w:t>Workload and resource implications:</w:t>
      </w:r>
    </w:p>
    <w:p w14:paraId="08F6D748" w14:textId="77777777" w:rsidR="000A7D9D" w:rsidRPr="00F521F8" w:rsidRDefault="000A7D9D" w:rsidP="000A7D9D">
      <w:pPr>
        <w:spacing w:after="120"/>
        <w:rPr>
          <w:rFonts w:ascii="Times New Roman" w:hAnsi="Times New Roman" w:cs="Times New Roman"/>
          <w:noProof/>
          <w:sz w:val="24"/>
          <w:szCs w:val="24"/>
          <w:u w:val="single"/>
        </w:rPr>
      </w:pPr>
      <w:r w:rsidRPr="00F521F8">
        <w:rPr>
          <w:rFonts w:ascii="Times New Roman" w:hAnsi="Times New Roman" w:cs="Times New Roman"/>
          <w:noProof/>
          <w:sz w:val="24"/>
          <w:szCs w:val="24"/>
          <w:u w:val="single"/>
        </w:rPr>
        <w:t>Future workload and resource needs:</w:t>
      </w:r>
    </w:p>
    <w:p w14:paraId="00AD99E9" w14:textId="77777777" w:rsidR="000A7D9D" w:rsidRPr="00F521F8" w:rsidRDefault="000A7D9D" w:rsidP="000A7D9D">
      <w:pPr>
        <w:pStyle w:val="BodyText"/>
        <w:jc w:val="both"/>
        <w:rPr>
          <w:noProof/>
          <w:color w:val="000000" w:themeColor="text1"/>
        </w:rPr>
      </w:pPr>
      <w:r w:rsidRPr="00F521F8">
        <w:rPr>
          <w:noProof/>
          <w:color w:val="000000" w:themeColor="text1"/>
        </w:rPr>
        <w:t>EFSA will need to cooperate with ECHA, EEA and EMA in the areas on data, formats, methodologies, early warning system and indicator framework. The need for additional resources for cooperation on these are already covered under the legislative proposal on data (operation of common data platform) or they are already within the mandate of EFSA (early warning system). Consequently, there is no need for additional resources on this general formal mandate for Authority to cooperate.</w:t>
      </w:r>
    </w:p>
    <w:p w14:paraId="1EF62E54" w14:textId="77777777" w:rsidR="000A7D9D" w:rsidRPr="00F521F8" w:rsidRDefault="000A7D9D" w:rsidP="000A7D9D">
      <w:pPr>
        <w:pStyle w:val="BodyText"/>
        <w:jc w:val="both"/>
        <w:rPr>
          <w:noProof/>
          <w:color w:val="000000" w:themeColor="text1"/>
        </w:rPr>
      </w:pPr>
      <w:r w:rsidRPr="00F521F8">
        <w:rPr>
          <w:noProof/>
          <w:color w:val="000000" w:themeColor="text1"/>
        </w:rPr>
        <w:t xml:space="preserve">EFSA will need to try to solve any divergence in technical or scientific issue with the other agency. EFSA already has such obligation in the existing regulation. The new task will require that the agencies make more effort to solve the issue among themselves, instead of just forwarding the problem to the Commission. Although it might require slightly higher amount of work by the Authority as compared to today, such situations are rare and therefore this can be absorbed by the Authority without any additional resources. </w:t>
      </w:r>
    </w:p>
    <w:p w14:paraId="655C0636" w14:textId="77777777" w:rsidR="000A7D9D" w:rsidRPr="00F521F8" w:rsidRDefault="000A7D9D" w:rsidP="000A7D9D">
      <w:pPr>
        <w:pStyle w:val="BodyText"/>
        <w:jc w:val="both"/>
        <w:rPr>
          <w:rFonts w:eastAsiaTheme="minorEastAsia"/>
          <w:noProof/>
          <w:lang w:val="en-US" w:eastAsia="en-GB"/>
        </w:rPr>
      </w:pPr>
      <w:r w:rsidRPr="00F521F8">
        <w:rPr>
          <w:rFonts w:eastAsiaTheme="minorEastAsia"/>
          <w:noProof/>
          <w:lang w:val="en-US" w:eastAsia="en-GB"/>
        </w:rPr>
        <w:t>Summary of additional resource needs for General Food Law regulation:</w:t>
      </w:r>
    </w:p>
    <w:tbl>
      <w:tblPr>
        <w:tblStyle w:val="TableGrid"/>
        <w:tblW w:w="0" w:type="auto"/>
        <w:tblLook w:val="04A0" w:firstRow="1" w:lastRow="0" w:firstColumn="1" w:lastColumn="0" w:noHBand="0" w:noVBand="1"/>
      </w:tblPr>
      <w:tblGrid>
        <w:gridCol w:w="1454"/>
        <w:gridCol w:w="4575"/>
        <w:gridCol w:w="2025"/>
        <w:gridCol w:w="1575"/>
      </w:tblGrid>
      <w:tr w:rsidR="000A7D9D" w:rsidRPr="00C56424" w14:paraId="746977A1" w14:textId="77777777" w:rsidTr="00F31937">
        <w:trPr>
          <w:trHeight w:val="300"/>
        </w:trPr>
        <w:tc>
          <w:tcPr>
            <w:tcW w:w="1454" w:type="dxa"/>
            <w:shd w:val="clear" w:color="auto" w:fill="D9D9D9" w:themeFill="background1" w:themeFillShade="D9"/>
          </w:tcPr>
          <w:p w14:paraId="166725B7" w14:textId="77777777" w:rsidR="000A7D9D" w:rsidRPr="00C56424" w:rsidRDefault="000A7D9D" w:rsidP="00F31937">
            <w:pPr>
              <w:pStyle w:val="BodyText"/>
              <w:spacing w:line="259" w:lineRule="auto"/>
              <w:rPr>
                <w:b/>
                <w:bCs/>
                <w:noProof/>
                <w:sz w:val="20"/>
                <w:szCs w:val="20"/>
              </w:rPr>
            </w:pPr>
            <w:r w:rsidRPr="00C56424">
              <w:rPr>
                <w:b/>
                <w:bCs/>
                <w:noProof/>
                <w:sz w:val="20"/>
                <w:szCs w:val="20"/>
              </w:rPr>
              <w:t>Agency</w:t>
            </w:r>
          </w:p>
        </w:tc>
        <w:tc>
          <w:tcPr>
            <w:tcW w:w="4575" w:type="dxa"/>
            <w:shd w:val="clear" w:color="auto" w:fill="D9D9D9" w:themeFill="background1" w:themeFillShade="D9"/>
          </w:tcPr>
          <w:p w14:paraId="0E1EA26B" w14:textId="77777777" w:rsidR="000A7D9D" w:rsidRPr="00C56424" w:rsidRDefault="000A7D9D" w:rsidP="00F31937">
            <w:pPr>
              <w:pStyle w:val="BodyText"/>
              <w:rPr>
                <w:b/>
                <w:bCs/>
                <w:noProof/>
                <w:sz w:val="20"/>
                <w:szCs w:val="20"/>
              </w:rPr>
            </w:pPr>
            <w:r w:rsidRPr="00C56424">
              <w:rPr>
                <w:b/>
                <w:bCs/>
                <w:noProof/>
                <w:sz w:val="20"/>
                <w:szCs w:val="20"/>
              </w:rPr>
              <w:t>Summary of tasks</w:t>
            </w:r>
          </w:p>
        </w:tc>
        <w:tc>
          <w:tcPr>
            <w:tcW w:w="2025" w:type="dxa"/>
            <w:shd w:val="clear" w:color="auto" w:fill="D9D9D9" w:themeFill="background1" w:themeFillShade="D9"/>
          </w:tcPr>
          <w:p w14:paraId="48499A8B" w14:textId="77777777" w:rsidR="000A7D9D" w:rsidRPr="00C56424" w:rsidRDefault="000A7D9D" w:rsidP="00F31937">
            <w:pPr>
              <w:pStyle w:val="BodyText"/>
              <w:tabs>
                <w:tab w:val="left" w:pos="4170"/>
              </w:tabs>
              <w:rPr>
                <w:noProof/>
                <w:sz w:val="20"/>
                <w:szCs w:val="20"/>
              </w:rPr>
            </w:pPr>
          </w:p>
        </w:tc>
        <w:tc>
          <w:tcPr>
            <w:tcW w:w="1575" w:type="dxa"/>
            <w:shd w:val="clear" w:color="auto" w:fill="D9D9D9" w:themeFill="background1" w:themeFillShade="D9"/>
          </w:tcPr>
          <w:p w14:paraId="4ABA9EC3" w14:textId="77777777" w:rsidR="000A7D9D" w:rsidRPr="00C56424" w:rsidRDefault="000A7D9D" w:rsidP="00F31937">
            <w:pPr>
              <w:pStyle w:val="BodyText"/>
              <w:tabs>
                <w:tab w:val="left" w:pos="4170"/>
              </w:tabs>
              <w:spacing w:after="0"/>
              <w:rPr>
                <w:noProof/>
                <w:sz w:val="20"/>
                <w:szCs w:val="20"/>
              </w:rPr>
            </w:pPr>
          </w:p>
        </w:tc>
      </w:tr>
      <w:tr w:rsidR="000A7D9D" w:rsidRPr="00187DBF" w14:paraId="773729C3" w14:textId="77777777" w:rsidTr="00F31937">
        <w:trPr>
          <w:trHeight w:val="300"/>
        </w:trPr>
        <w:tc>
          <w:tcPr>
            <w:tcW w:w="1454" w:type="dxa"/>
            <w:vMerge w:val="restart"/>
            <w:shd w:val="clear" w:color="auto" w:fill="D9D9D9" w:themeFill="background1" w:themeFillShade="D9"/>
          </w:tcPr>
          <w:p w14:paraId="0D1F3EB2" w14:textId="77777777" w:rsidR="000A7D9D" w:rsidRPr="00C56424" w:rsidRDefault="000A7D9D" w:rsidP="00F31937">
            <w:pPr>
              <w:pStyle w:val="BodyText"/>
              <w:spacing w:line="259" w:lineRule="auto"/>
              <w:rPr>
                <w:noProof/>
                <w:sz w:val="20"/>
                <w:szCs w:val="20"/>
              </w:rPr>
            </w:pPr>
            <w:r w:rsidRPr="00C56424">
              <w:rPr>
                <w:noProof/>
                <w:sz w:val="20"/>
                <w:szCs w:val="20"/>
              </w:rPr>
              <w:t>EFSA</w:t>
            </w:r>
          </w:p>
        </w:tc>
        <w:tc>
          <w:tcPr>
            <w:tcW w:w="4575" w:type="dxa"/>
            <w:vMerge w:val="restart"/>
            <w:shd w:val="clear" w:color="auto" w:fill="D9D9D9" w:themeFill="background1" w:themeFillShade="D9"/>
          </w:tcPr>
          <w:p w14:paraId="02B4F907" w14:textId="77777777" w:rsidR="000A7D9D" w:rsidRPr="00C56424" w:rsidRDefault="000A7D9D" w:rsidP="00F31937">
            <w:pPr>
              <w:pStyle w:val="BodyText"/>
              <w:spacing w:after="0"/>
              <w:rPr>
                <w:noProof/>
                <w:sz w:val="20"/>
                <w:szCs w:val="20"/>
              </w:rPr>
            </w:pPr>
            <w:r w:rsidRPr="00C56424">
              <w:rPr>
                <w:noProof/>
                <w:sz w:val="20"/>
                <w:szCs w:val="20"/>
              </w:rPr>
              <w:t>- Cooperation with ECHA, EFSA, EMA on issues related to chemical</w:t>
            </w:r>
          </w:p>
          <w:p w14:paraId="73C22428" w14:textId="77777777" w:rsidR="000A7D9D" w:rsidRPr="00C56424" w:rsidRDefault="000A7D9D" w:rsidP="00F31937">
            <w:pPr>
              <w:pStyle w:val="BodyText"/>
              <w:spacing w:after="0"/>
              <w:rPr>
                <w:noProof/>
                <w:sz w:val="20"/>
                <w:szCs w:val="20"/>
              </w:rPr>
            </w:pPr>
            <w:r w:rsidRPr="00C56424">
              <w:rPr>
                <w:noProof/>
                <w:sz w:val="20"/>
                <w:szCs w:val="20"/>
              </w:rPr>
              <w:t xml:space="preserve">- Preventing and solving divergent opinions or assessments </w:t>
            </w:r>
          </w:p>
        </w:tc>
        <w:tc>
          <w:tcPr>
            <w:tcW w:w="2025" w:type="dxa"/>
            <w:shd w:val="clear" w:color="auto" w:fill="D9D9D9" w:themeFill="background1" w:themeFillShade="D9"/>
          </w:tcPr>
          <w:p w14:paraId="79F20F96" w14:textId="77777777" w:rsidR="000A7D9D" w:rsidRPr="00C56424" w:rsidRDefault="000A7D9D" w:rsidP="00F31937">
            <w:pPr>
              <w:pStyle w:val="BodyText"/>
              <w:tabs>
                <w:tab w:val="left" w:pos="4170"/>
              </w:tabs>
              <w:rPr>
                <w:noProof/>
                <w:sz w:val="20"/>
                <w:szCs w:val="20"/>
              </w:rPr>
            </w:pPr>
            <w:r w:rsidRPr="00C56424">
              <w:rPr>
                <w:noProof/>
                <w:sz w:val="20"/>
                <w:szCs w:val="20"/>
              </w:rPr>
              <w:t>Financial resource needs:</w:t>
            </w:r>
          </w:p>
        </w:tc>
        <w:tc>
          <w:tcPr>
            <w:tcW w:w="1575" w:type="dxa"/>
            <w:shd w:val="clear" w:color="auto" w:fill="D9D9D9" w:themeFill="background1" w:themeFillShade="D9"/>
          </w:tcPr>
          <w:p w14:paraId="564CE467"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2024: </w:t>
            </w:r>
            <w:r w:rsidRPr="00C56424">
              <w:rPr>
                <w:b/>
                <w:noProof/>
                <w:sz w:val="20"/>
                <w:szCs w:val="20"/>
                <w:lang w:val="fr-BE"/>
              </w:rPr>
              <w:t>EUR 0</w:t>
            </w:r>
            <w:r w:rsidRPr="00C56424">
              <w:rPr>
                <w:noProof/>
                <w:sz w:val="20"/>
                <w:szCs w:val="20"/>
                <w:lang w:val="fr-BE"/>
              </w:rPr>
              <w:t xml:space="preserve"> </w:t>
            </w:r>
          </w:p>
          <w:p w14:paraId="5EE32772"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2025: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4B6D2D0F"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 xml:space="preserve">2026: </w:t>
            </w:r>
            <w:r w:rsidRPr="00C56424">
              <w:rPr>
                <w:b/>
                <w:noProof/>
                <w:sz w:val="20"/>
                <w:szCs w:val="20"/>
                <w:lang w:val="fr-BE"/>
              </w:rPr>
              <w:t>EUR 0</w:t>
            </w:r>
          </w:p>
          <w:p w14:paraId="366680D3" w14:textId="77777777" w:rsidR="000A7D9D" w:rsidRPr="00C56424" w:rsidRDefault="000A7D9D" w:rsidP="00F31937">
            <w:pPr>
              <w:pStyle w:val="BodyText"/>
              <w:tabs>
                <w:tab w:val="left" w:pos="4170"/>
              </w:tabs>
              <w:spacing w:after="0"/>
              <w:rPr>
                <w:b/>
                <w:noProof/>
                <w:sz w:val="20"/>
                <w:szCs w:val="20"/>
                <w:lang w:val="fr-BE"/>
              </w:rPr>
            </w:pPr>
            <w:r w:rsidRPr="00C56424">
              <w:rPr>
                <w:noProof/>
                <w:sz w:val="20"/>
                <w:szCs w:val="20"/>
                <w:lang w:val="fr-BE"/>
              </w:rPr>
              <w:t xml:space="preserve">2027: </w:t>
            </w:r>
            <w:r w:rsidRPr="00C56424">
              <w:rPr>
                <w:b/>
                <w:noProof/>
                <w:sz w:val="20"/>
                <w:szCs w:val="20"/>
                <w:lang w:val="fr-BE"/>
              </w:rPr>
              <w:t>EUR</w:t>
            </w:r>
            <w:r w:rsidRPr="00C56424">
              <w:rPr>
                <w:noProof/>
                <w:sz w:val="20"/>
                <w:szCs w:val="20"/>
                <w:lang w:val="fr-BE"/>
              </w:rPr>
              <w:t xml:space="preserve"> </w:t>
            </w:r>
            <w:r w:rsidRPr="00C56424">
              <w:rPr>
                <w:b/>
                <w:noProof/>
                <w:sz w:val="20"/>
                <w:szCs w:val="20"/>
                <w:lang w:val="fr-BE"/>
              </w:rPr>
              <w:t>0</w:t>
            </w:r>
          </w:p>
          <w:p w14:paraId="1568F978" w14:textId="77777777" w:rsidR="000A7D9D" w:rsidRPr="00C56424" w:rsidRDefault="000A7D9D" w:rsidP="00F31937">
            <w:pPr>
              <w:pStyle w:val="BodyText"/>
              <w:tabs>
                <w:tab w:val="left" w:pos="4170"/>
              </w:tabs>
              <w:spacing w:after="0"/>
              <w:rPr>
                <w:noProof/>
                <w:sz w:val="20"/>
                <w:szCs w:val="20"/>
                <w:lang w:val="fr-BE"/>
              </w:rPr>
            </w:pPr>
            <w:r w:rsidRPr="00C56424">
              <w:rPr>
                <w:noProof/>
                <w:sz w:val="20"/>
                <w:szCs w:val="20"/>
                <w:lang w:val="fr-BE"/>
              </w:rPr>
              <w:t>2028:</w:t>
            </w:r>
            <w:r w:rsidRPr="00C56424">
              <w:rPr>
                <w:b/>
                <w:noProof/>
                <w:sz w:val="20"/>
                <w:szCs w:val="20"/>
                <w:lang w:val="fr-BE"/>
              </w:rPr>
              <w:t xml:space="preserve"> EUR 0</w:t>
            </w:r>
          </w:p>
        </w:tc>
      </w:tr>
      <w:tr w:rsidR="000A7D9D" w:rsidRPr="00C56424" w14:paraId="791BAF70" w14:textId="77777777" w:rsidTr="00F31937">
        <w:trPr>
          <w:trHeight w:val="300"/>
        </w:trPr>
        <w:tc>
          <w:tcPr>
            <w:tcW w:w="1454" w:type="dxa"/>
            <w:vMerge/>
            <w:shd w:val="clear" w:color="auto" w:fill="D9D9D9" w:themeFill="background1" w:themeFillShade="D9"/>
          </w:tcPr>
          <w:p w14:paraId="1A4A0E63" w14:textId="77777777" w:rsidR="000A7D9D" w:rsidRPr="00C56424" w:rsidRDefault="000A7D9D" w:rsidP="00F31937">
            <w:pPr>
              <w:pStyle w:val="BodyText"/>
              <w:rPr>
                <w:noProof/>
                <w:sz w:val="20"/>
                <w:szCs w:val="20"/>
                <w:lang w:val="fr-BE"/>
              </w:rPr>
            </w:pPr>
          </w:p>
        </w:tc>
        <w:tc>
          <w:tcPr>
            <w:tcW w:w="4575" w:type="dxa"/>
            <w:vMerge/>
            <w:shd w:val="clear" w:color="auto" w:fill="D9D9D9" w:themeFill="background1" w:themeFillShade="D9"/>
          </w:tcPr>
          <w:p w14:paraId="261698D9" w14:textId="77777777" w:rsidR="000A7D9D" w:rsidRPr="00C56424" w:rsidRDefault="000A7D9D" w:rsidP="00F31937">
            <w:pPr>
              <w:pStyle w:val="BodyText"/>
              <w:rPr>
                <w:noProof/>
                <w:sz w:val="20"/>
                <w:szCs w:val="20"/>
                <w:lang w:val="fr-BE"/>
              </w:rPr>
            </w:pPr>
          </w:p>
        </w:tc>
        <w:tc>
          <w:tcPr>
            <w:tcW w:w="2025" w:type="dxa"/>
            <w:shd w:val="clear" w:color="auto" w:fill="D9D9D9" w:themeFill="background1" w:themeFillShade="D9"/>
          </w:tcPr>
          <w:p w14:paraId="4BF28F1A" w14:textId="77777777" w:rsidR="000A7D9D" w:rsidRPr="00C56424" w:rsidRDefault="000A7D9D" w:rsidP="00F31937">
            <w:pPr>
              <w:pStyle w:val="BodyText"/>
              <w:tabs>
                <w:tab w:val="left" w:pos="4170"/>
              </w:tabs>
              <w:rPr>
                <w:noProof/>
                <w:sz w:val="20"/>
                <w:szCs w:val="20"/>
              </w:rPr>
            </w:pPr>
            <w:r w:rsidRPr="00C56424">
              <w:rPr>
                <w:noProof/>
                <w:sz w:val="20"/>
                <w:szCs w:val="20"/>
              </w:rPr>
              <w:t>Human resource needs:</w:t>
            </w:r>
          </w:p>
        </w:tc>
        <w:tc>
          <w:tcPr>
            <w:tcW w:w="1575" w:type="dxa"/>
            <w:shd w:val="clear" w:color="auto" w:fill="D9D9D9" w:themeFill="background1" w:themeFillShade="D9"/>
          </w:tcPr>
          <w:p w14:paraId="3368C338"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2024:  </w:t>
            </w:r>
            <w:r w:rsidRPr="00C56424">
              <w:rPr>
                <w:b/>
                <w:noProof/>
                <w:sz w:val="20"/>
                <w:szCs w:val="20"/>
              </w:rPr>
              <w:t>0 FTE</w:t>
            </w:r>
          </w:p>
          <w:p w14:paraId="55160EF6"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2025:  </w:t>
            </w:r>
            <w:r w:rsidRPr="00C56424">
              <w:rPr>
                <w:b/>
                <w:noProof/>
                <w:sz w:val="20"/>
                <w:szCs w:val="20"/>
              </w:rPr>
              <w:t>0 FTE</w:t>
            </w:r>
          </w:p>
          <w:p w14:paraId="4A48E87B"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2026:  </w:t>
            </w:r>
            <w:r w:rsidRPr="00C56424">
              <w:rPr>
                <w:b/>
                <w:noProof/>
                <w:sz w:val="20"/>
                <w:szCs w:val="20"/>
              </w:rPr>
              <w:t>0 FTE</w:t>
            </w:r>
          </w:p>
          <w:p w14:paraId="6A0B8CD9" w14:textId="77777777" w:rsidR="000A7D9D" w:rsidRPr="00C56424" w:rsidRDefault="000A7D9D" w:rsidP="00F31937">
            <w:pPr>
              <w:pStyle w:val="BodyText"/>
              <w:tabs>
                <w:tab w:val="left" w:pos="4170"/>
              </w:tabs>
              <w:spacing w:after="0"/>
              <w:rPr>
                <w:b/>
                <w:noProof/>
                <w:sz w:val="20"/>
                <w:szCs w:val="20"/>
              </w:rPr>
            </w:pPr>
            <w:r w:rsidRPr="00C56424">
              <w:rPr>
                <w:noProof/>
                <w:sz w:val="20"/>
                <w:szCs w:val="20"/>
              </w:rPr>
              <w:t xml:space="preserve">2027:  </w:t>
            </w:r>
            <w:r w:rsidRPr="00C56424">
              <w:rPr>
                <w:b/>
                <w:noProof/>
                <w:sz w:val="20"/>
                <w:szCs w:val="20"/>
              </w:rPr>
              <w:t>0 FTE</w:t>
            </w:r>
          </w:p>
          <w:p w14:paraId="58275CB0" w14:textId="77777777" w:rsidR="000A7D9D" w:rsidRPr="00C56424" w:rsidRDefault="000A7D9D" w:rsidP="00F31937">
            <w:pPr>
              <w:pStyle w:val="BodyText"/>
              <w:tabs>
                <w:tab w:val="left" w:pos="4170"/>
              </w:tabs>
              <w:spacing w:after="0"/>
              <w:rPr>
                <w:noProof/>
                <w:sz w:val="20"/>
                <w:szCs w:val="20"/>
              </w:rPr>
            </w:pPr>
            <w:r w:rsidRPr="00C56424">
              <w:rPr>
                <w:noProof/>
                <w:sz w:val="20"/>
                <w:szCs w:val="20"/>
              </w:rPr>
              <w:t xml:space="preserve">2028:  </w:t>
            </w:r>
            <w:r w:rsidRPr="00C56424">
              <w:rPr>
                <w:b/>
                <w:noProof/>
                <w:sz w:val="20"/>
                <w:szCs w:val="20"/>
              </w:rPr>
              <w:t>0 FTE</w:t>
            </w:r>
          </w:p>
        </w:tc>
      </w:tr>
    </w:tbl>
    <w:p w14:paraId="36266448" w14:textId="77777777" w:rsidR="000A7D9D" w:rsidRPr="00F521F8" w:rsidRDefault="000A7D9D" w:rsidP="000A7D9D">
      <w:pPr>
        <w:pStyle w:val="BodyText"/>
        <w:tabs>
          <w:tab w:val="left" w:pos="4170"/>
        </w:tabs>
        <w:spacing w:before="120"/>
        <w:rPr>
          <w:noProof/>
          <w:color w:val="000000" w:themeColor="text1"/>
        </w:rPr>
      </w:pPr>
      <w:r w:rsidRPr="00F521F8">
        <w:rPr>
          <w:noProof/>
          <w:u w:val="single"/>
        </w:rPr>
        <w:t>Future budget line:</w:t>
      </w:r>
      <w:r w:rsidRPr="00F521F8">
        <w:rPr>
          <w:noProof/>
        </w:rPr>
        <w:t xml:space="preserve"> </w:t>
      </w:r>
      <w:r>
        <w:rPr>
          <w:noProof/>
        </w:rPr>
        <w:t>None</w:t>
      </w:r>
    </w:p>
    <w:p w14:paraId="79E1FD16" w14:textId="77777777" w:rsidR="000A7D9D" w:rsidRPr="00F521F8" w:rsidRDefault="000A7D9D" w:rsidP="000A7D9D">
      <w:pPr>
        <w:pStyle w:val="BodyText"/>
        <w:tabs>
          <w:tab w:val="left" w:pos="4170"/>
        </w:tabs>
        <w:rPr>
          <w:noProof/>
        </w:rPr>
      </w:pPr>
      <w:r w:rsidRPr="00F521F8">
        <w:rPr>
          <w:noProof/>
          <w:u w:val="single"/>
        </w:rPr>
        <w:t>Candidate for fees:</w:t>
      </w:r>
      <w:r w:rsidRPr="00F521F8">
        <w:rPr>
          <w:noProof/>
        </w:rPr>
        <w:t xml:space="preserve"> No</w:t>
      </w:r>
    </w:p>
    <w:p w14:paraId="6DB73A83" w14:textId="77777777" w:rsidR="000A7D9D" w:rsidRDefault="000A7D9D" w:rsidP="000A7D9D">
      <w:pPr>
        <w:pStyle w:val="BodyText"/>
        <w:tabs>
          <w:tab w:val="left" w:pos="4170"/>
        </w:tabs>
        <w:rPr>
          <w:noProof/>
        </w:rPr>
      </w:pPr>
    </w:p>
    <w:p w14:paraId="294CA7CE"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71" w:name="_Toc150499938"/>
      <w:r w:rsidRPr="00291F95">
        <w:rPr>
          <w:rFonts w:ascii="Times New Roman" w:hAnsi="Times New Roman"/>
          <w:smallCaps/>
          <w:noProof/>
          <w:color w:val="auto"/>
          <w:sz w:val="24"/>
          <w:szCs w:val="20"/>
          <w:lang w:eastAsia="en-US"/>
        </w:rPr>
        <w:t>EU Common Data Platform on Chemicals</w:t>
      </w:r>
      <w:bookmarkEnd w:id="71"/>
    </w:p>
    <w:p w14:paraId="7CCE592E"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Responsible body:</w:t>
      </w:r>
    </w:p>
    <w:p w14:paraId="134047A1"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u w:val="single"/>
        </w:rPr>
        <w:t>Currently:</w:t>
      </w:r>
      <w:r w:rsidRPr="00F521F8">
        <w:rPr>
          <w:rFonts w:ascii="Times New Roman" w:hAnsi="Times New Roman" w:cs="Times New Roman"/>
          <w:noProof/>
          <w:sz w:val="24"/>
          <w:szCs w:val="24"/>
        </w:rPr>
        <w:t xml:space="preserve"> N/A, no current process</w:t>
      </w:r>
    </w:p>
    <w:p w14:paraId="2408A02A" w14:textId="77777777" w:rsidR="000A7D9D" w:rsidRDefault="000A7D9D" w:rsidP="000A7D9D">
      <w:pPr>
        <w:spacing w:after="120"/>
        <w:jc w:val="both"/>
        <w:rPr>
          <w:b/>
          <w:bCs/>
          <w:noProof/>
        </w:rPr>
      </w:pPr>
      <w:r w:rsidRPr="494FBD40">
        <w:rPr>
          <w:rFonts w:ascii="Times New Roman" w:hAnsi="Times New Roman" w:cs="Times New Roman"/>
          <w:noProof/>
          <w:sz w:val="24"/>
          <w:szCs w:val="24"/>
          <w:u w:val="single"/>
        </w:rPr>
        <w:t>(Re-)attribution planned to</w:t>
      </w:r>
      <w:r w:rsidRPr="494FBD40">
        <w:rPr>
          <w:rFonts w:ascii="Times New Roman" w:hAnsi="Times New Roman" w:cs="Times New Roman"/>
          <w:noProof/>
          <w:sz w:val="24"/>
          <w:szCs w:val="24"/>
        </w:rPr>
        <w:t xml:space="preserve">: ECHA, EFSA, EMA, EEA, </w:t>
      </w:r>
      <w:r>
        <w:rPr>
          <w:rFonts w:ascii="Times New Roman" w:hAnsi="Times New Roman" w:cs="Times New Roman"/>
          <w:noProof/>
          <w:sz w:val="24"/>
          <w:szCs w:val="24"/>
        </w:rPr>
        <w:t xml:space="preserve">EU-OSHA, </w:t>
      </w:r>
      <w:r w:rsidRPr="494FBD40">
        <w:rPr>
          <w:rFonts w:ascii="Times New Roman" w:hAnsi="Times New Roman" w:cs="Times New Roman"/>
          <w:noProof/>
          <w:sz w:val="24"/>
          <w:szCs w:val="24"/>
        </w:rPr>
        <w:t>JRC</w:t>
      </w:r>
      <w:r w:rsidRPr="00BB139D">
        <w:rPr>
          <w:rFonts w:ascii="Times New Roman" w:hAnsi="Times New Roman" w:cs="Times New Roman"/>
          <w:noProof/>
          <w:sz w:val="24"/>
          <w:szCs w:val="24"/>
          <w:u w:val="single"/>
        </w:rPr>
        <w:t xml:space="preserve">Legal basis for reattribution: </w:t>
      </w:r>
      <w:r w:rsidRPr="6BB4A9AE">
        <w:rPr>
          <w:rFonts w:ascii="Times New Roman" w:eastAsia="Times New Roman" w:hAnsi="Times New Roman" w:cs="Times New Roman"/>
          <w:noProof/>
          <w:sz w:val="24"/>
          <w:szCs w:val="24"/>
        </w:rPr>
        <w:t xml:space="preserve"> </w:t>
      </w:r>
      <w:r w:rsidRPr="00BB139D">
        <w:rPr>
          <w:rFonts w:ascii="Times New Roman" w:hAnsi="Times New Roman" w:cs="Times New Roman"/>
          <w:noProof/>
          <w:sz w:val="24"/>
          <w:szCs w:val="24"/>
        </w:rPr>
        <w:t>Proposal for a</w:t>
      </w:r>
      <w:r w:rsidRPr="6BB4A9AE">
        <w:rPr>
          <w:rFonts w:ascii="Times New Roman" w:hAnsi="Times New Roman" w:cs="Times New Roman"/>
          <w:noProof/>
          <w:sz w:val="24"/>
          <w:szCs w:val="24"/>
        </w:rPr>
        <w:t xml:space="preserve"> r</w:t>
      </w:r>
      <w:r w:rsidRPr="00BB139D">
        <w:rPr>
          <w:rFonts w:ascii="Times New Roman" w:hAnsi="Times New Roman" w:cs="Times New Roman"/>
          <w:noProof/>
          <w:sz w:val="24"/>
          <w:szCs w:val="24"/>
        </w:rPr>
        <w:t xml:space="preserve">egulation of the </w:t>
      </w:r>
      <w:r w:rsidRPr="6BB4A9AE">
        <w:rPr>
          <w:rFonts w:ascii="Times New Roman" w:hAnsi="Times New Roman" w:cs="Times New Roman"/>
          <w:noProof/>
          <w:sz w:val="24"/>
          <w:szCs w:val="24"/>
        </w:rPr>
        <w:t>E</w:t>
      </w:r>
      <w:r w:rsidRPr="00BB139D">
        <w:rPr>
          <w:rFonts w:ascii="Times New Roman" w:hAnsi="Times New Roman" w:cs="Times New Roman"/>
          <w:noProof/>
          <w:sz w:val="24"/>
          <w:szCs w:val="24"/>
        </w:rPr>
        <w:t xml:space="preserve">uropean </w:t>
      </w:r>
      <w:r w:rsidRPr="6BB4A9AE">
        <w:rPr>
          <w:rFonts w:ascii="Times New Roman" w:hAnsi="Times New Roman" w:cs="Times New Roman"/>
          <w:noProof/>
          <w:sz w:val="24"/>
          <w:szCs w:val="24"/>
        </w:rPr>
        <w:t>P</w:t>
      </w:r>
      <w:r w:rsidRPr="00BB139D">
        <w:rPr>
          <w:rFonts w:ascii="Times New Roman" w:hAnsi="Times New Roman" w:cs="Times New Roman"/>
          <w:noProof/>
          <w:sz w:val="24"/>
          <w:szCs w:val="24"/>
        </w:rPr>
        <w:t xml:space="preserve">arliament and of the </w:t>
      </w:r>
      <w:r w:rsidRPr="6BB4A9AE">
        <w:rPr>
          <w:rFonts w:ascii="Times New Roman" w:hAnsi="Times New Roman" w:cs="Times New Roman"/>
          <w:noProof/>
          <w:sz w:val="24"/>
          <w:szCs w:val="24"/>
        </w:rPr>
        <w:t>C</w:t>
      </w:r>
      <w:r w:rsidRPr="00BB139D">
        <w:rPr>
          <w:rFonts w:ascii="Times New Roman" w:hAnsi="Times New Roman" w:cs="Times New Roman"/>
          <w:noProof/>
          <w:sz w:val="24"/>
          <w:szCs w:val="24"/>
        </w:rPr>
        <w:t>ouncil</w:t>
      </w:r>
      <w:r w:rsidRPr="6BB4A9AE">
        <w:rPr>
          <w:rFonts w:ascii="Times New Roman" w:hAnsi="Times New Roman" w:cs="Times New Roman"/>
          <w:noProof/>
          <w:sz w:val="24"/>
          <w:szCs w:val="24"/>
        </w:rPr>
        <w:t xml:space="preserve"> </w:t>
      </w:r>
      <w:r w:rsidRPr="00BB139D">
        <w:rPr>
          <w:rFonts w:ascii="Times New Roman" w:hAnsi="Times New Roman" w:cs="Times New Roman"/>
          <w:noProof/>
          <w:sz w:val="24"/>
          <w:szCs w:val="24"/>
        </w:rPr>
        <w:t>establishing a common data platform on chemicals, laying down rules to ensure that the data contained in it are findable, accessible, interoperable and reusable and establishing a monitoring and outlook framework for chemicals</w:t>
      </w:r>
    </w:p>
    <w:p w14:paraId="79F53954" w14:textId="77777777" w:rsidR="000A7D9D" w:rsidRPr="00BB139D" w:rsidRDefault="000A7D9D" w:rsidP="000A7D9D">
      <w:pPr>
        <w:spacing w:after="120"/>
        <w:rPr>
          <w:rFonts w:ascii="Times New Roman" w:eastAsia="Calibri" w:hAnsi="Times New Roman" w:cs="Times New Roman"/>
          <w:noProof/>
          <w:sz w:val="24"/>
          <w:szCs w:val="24"/>
        </w:rPr>
      </w:pPr>
      <w:r w:rsidRPr="00BB139D">
        <w:rPr>
          <w:rFonts w:ascii="Times New Roman" w:hAnsi="Times New Roman" w:cs="Times New Roman"/>
          <w:b/>
          <w:bCs/>
          <w:noProof/>
          <w:sz w:val="24"/>
          <w:szCs w:val="24"/>
        </w:rPr>
        <w:t xml:space="preserve">Type of task: </w:t>
      </w:r>
      <w:r w:rsidRPr="00BB139D">
        <w:rPr>
          <w:rFonts w:ascii="Times New Roman" w:hAnsi="Times New Roman" w:cs="Times New Roman"/>
          <w:noProof/>
          <w:sz w:val="24"/>
          <w:szCs w:val="24"/>
        </w:rPr>
        <w:t>new (new infrastructure but building on existing data and services)</w:t>
      </w:r>
    </w:p>
    <w:p w14:paraId="4FA5560F" w14:textId="77777777" w:rsidR="000A7D9D" w:rsidRPr="00F521F8" w:rsidRDefault="000A7D9D" w:rsidP="000A7D9D">
      <w:pPr>
        <w:pStyle w:val="BodyText"/>
        <w:jc w:val="both"/>
        <w:rPr>
          <w:noProof/>
        </w:rPr>
      </w:pPr>
      <w:r w:rsidRPr="6BB4A9AE">
        <w:rPr>
          <w:b/>
          <w:bCs/>
          <w:noProof/>
        </w:rPr>
        <w:t xml:space="preserve">Brief task overview: </w:t>
      </w:r>
      <w:r>
        <w:rPr>
          <w:noProof/>
        </w:rPr>
        <w:t xml:space="preserve">Setting up and operation of the common data platform on chemicals. </w:t>
      </w:r>
    </w:p>
    <w:p w14:paraId="14E351BF" w14:textId="77777777" w:rsidR="000A7D9D" w:rsidRPr="00F521F8" w:rsidRDefault="000A7D9D" w:rsidP="000A7D9D">
      <w:pPr>
        <w:pStyle w:val="BodyText"/>
        <w:rPr>
          <w:b/>
          <w:bCs/>
          <w:noProof/>
        </w:rPr>
      </w:pPr>
      <w:r w:rsidRPr="00F521F8">
        <w:rPr>
          <w:b/>
          <w:bCs/>
          <w:noProof/>
        </w:rPr>
        <w:t>Detailed process description:</w:t>
      </w:r>
    </w:p>
    <w:p w14:paraId="6FC3CD1F" w14:textId="77777777" w:rsidR="000A7D9D" w:rsidRPr="00F521F8" w:rsidRDefault="000A7D9D" w:rsidP="000A7D9D">
      <w:pPr>
        <w:spacing w:after="120"/>
        <w:jc w:val="both"/>
        <w:rPr>
          <w:rFonts w:ascii="Times New Roman" w:hAnsi="Times New Roman" w:cs="Times New Roman"/>
          <w:noProof/>
          <w:color w:val="000000"/>
          <w:sz w:val="24"/>
          <w:szCs w:val="24"/>
          <w:u w:val="single"/>
        </w:rPr>
      </w:pPr>
      <w:r w:rsidRPr="6BB4A9AE">
        <w:rPr>
          <w:rFonts w:ascii="Times New Roman" w:hAnsi="Times New Roman" w:cs="Times New Roman"/>
          <w:noProof/>
          <w:sz w:val="24"/>
          <w:szCs w:val="24"/>
        </w:rPr>
        <w:t>The principal aim of this new IT infrastructure operating as part of the Green Deal Data Space is to support effective and coherent chemical safety assessments. It will provide integrated, user-differentiated and highly functional access to chemicals-related datasets owned or managed by EU agencies and IPCHEM (see section 18 below) and provide space for dedicated services supporting EU chemicals policy and legislative implementation. Those dedicated services include the provision of information on the obligations under EU acts on chemicals</w:t>
      </w:r>
      <w:r>
        <w:rPr>
          <w:rFonts w:ascii="Times New Roman" w:hAnsi="Times New Roman" w:cs="Times New Roman"/>
          <w:noProof/>
          <w:sz w:val="24"/>
          <w:szCs w:val="24"/>
        </w:rPr>
        <w:t xml:space="preserve"> </w:t>
      </w:r>
      <w:r w:rsidRPr="6BB4A9AE">
        <w:rPr>
          <w:rFonts w:ascii="Times New Roman" w:hAnsi="Times New Roman" w:cs="Times New Roman"/>
          <w:noProof/>
          <w:sz w:val="24"/>
          <w:szCs w:val="24"/>
        </w:rPr>
        <w:t>(see section 2</w:t>
      </w:r>
      <w:r>
        <w:rPr>
          <w:rFonts w:ascii="Times New Roman" w:hAnsi="Times New Roman" w:cs="Times New Roman"/>
          <w:noProof/>
          <w:sz w:val="24"/>
          <w:szCs w:val="24"/>
        </w:rPr>
        <w:t>3</w:t>
      </w:r>
      <w:r w:rsidRPr="6BB4A9AE">
        <w:rPr>
          <w:rFonts w:ascii="Times New Roman" w:hAnsi="Times New Roman" w:cs="Times New Roman"/>
          <w:noProof/>
          <w:sz w:val="24"/>
          <w:szCs w:val="24"/>
        </w:rPr>
        <w:t>), a repository of reference values (see section 2</w:t>
      </w:r>
      <w:r>
        <w:rPr>
          <w:rFonts w:ascii="Times New Roman" w:hAnsi="Times New Roman" w:cs="Times New Roman"/>
          <w:noProof/>
          <w:sz w:val="24"/>
          <w:szCs w:val="24"/>
        </w:rPr>
        <w:t>2</w:t>
      </w:r>
      <w:r w:rsidRPr="6BB4A9AE">
        <w:rPr>
          <w:rFonts w:ascii="Times New Roman" w:hAnsi="Times New Roman" w:cs="Times New Roman"/>
          <w:noProof/>
          <w:sz w:val="24"/>
          <w:szCs w:val="24"/>
        </w:rPr>
        <w:t xml:space="preserve">), information on regulatory processes on chemicals (see section </w:t>
      </w:r>
      <w:r>
        <w:rPr>
          <w:rFonts w:ascii="Times New Roman" w:hAnsi="Times New Roman" w:cs="Times New Roman"/>
          <w:noProof/>
          <w:sz w:val="24"/>
          <w:szCs w:val="24"/>
        </w:rPr>
        <w:t>21</w:t>
      </w:r>
      <w:r w:rsidRPr="6BB4A9AE">
        <w:rPr>
          <w:rFonts w:ascii="Times New Roman" w:hAnsi="Times New Roman" w:cs="Times New Roman"/>
          <w:noProof/>
          <w:sz w:val="24"/>
          <w:szCs w:val="24"/>
        </w:rPr>
        <w:t>)</w:t>
      </w:r>
      <w:r>
        <w:rPr>
          <w:rFonts w:ascii="Times New Roman" w:hAnsi="Times New Roman" w:cs="Times New Roman"/>
          <w:noProof/>
          <w:sz w:val="24"/>
          <w:szCs w:val="24"/>
        </w:rPr>
        <w:t>, information platform for chemical monitoring (see section 20) and the database on environmental sustainability related information on chemicals (see section 24)</w:t>
      </w:r>
      <w:r w:rsidRPr="6BB4A9AE">
        <w:rPr>
          <w:rFonts w:ascii="Times New Roman" w:hAnsi="Times New Roman" w:cs="Times New Roman"/>
          <w:noProof/>
          <w:sz w:val="24"/>
          <w:szCs w:val="24"/>
        </w:rPr>
        <w:t xml:space="preserve">. An integral aspect of the platform is its governance, ensuring continuous evolution and relevance through the inclusion of further functionalities, datasets and services (e.g. on academic studies) and ensuring support to the thriving ecosystem of services outside the platform. </w:t>
      </w:r>
    </w:p>
    <w:p w14:paraId="45A11C11" w14:textId="77777777" w:rsidR="000A7D9D" w:rsidRPr="00F521F8" w:rsidRDefault="000A7D9D" w:rsidP="000A7D9D">
      <w:pPr>
        <w:spacing w:after="120"/>
        <w:rPr>
          <w:rFonts w:ascii="Times New Roman" w:hAnsi="Times New Roman" w:cs="Times New Roman"/>
          <w:noProof/>
          <w:color w:val="000000"/>
          <w:sz w:val="24"/>
          <w:szCs w:val="24"/>
          <w:u w:val="single"/>
        </w:rPr>
      </w:pPr>
      <w:r w:rsidRPr="00F521F8">
        <w:rPr>
          <w:rFonts w:ascii="Times New Roman" w:hAnsi="Times New Roman" w:cs="Times New Roman"/>
          <w:noProof/>
          <w:color w:val="000000" w:themeColor="text1"/>
          <w:sz w:val="24"/>
          <w:szCs w:val="24"/>
          <w:u w:val="single"/>
        </w:rPr>
        <w:t>Current process:</w:t>
      </w:r>
    </w:p>
    <w:p w14:paraId="50BE911D" w14:textId="77777777" w:rsidR="000A7D9D" w:rsidRPr="00F521F8" w:rsidRDefault="000A7D9D" w:rsidP="000A7D9D">
      <w:pPr>
        <w:spacing w:after="120"/>
        <w:jc w:val="both"/>
        <w:rPr>
          <w:rFonts w:ascii="Times New Roman" w:hAnsi="Times New Roman" w:cs="Times New Roman"/>
          <w:noProof/>
          <w:color w:val="000000" w:themeColor="text1"/>
          <w:sz w:val="24"/>
          <w:szCs w:val="24"/>
        </w:rPr>
      </w:pPr>
      <w:r w:rsidRPr="00F521F8">
        <w:rPr>
          <w:rFonts w:ascii="Times New Roman" w:hAnsi="Times New Roman" w:cs="Times New Roman"/>
          <w:noProof/>
          <w:color w:val="000000" w:themeColor="text1"/>
          <w:sz w:val="24"/>
          <w:szCs w:val="24"/>
        </w:rPr>
        <w:t>A comprehensive assessment of the status of the chemicals data landscape was made in a feasibility study on a common open data platform</w:t>
      </w:r>
      <w:r>
        <w:rPr>
          <w:rStyle w:val="FootnoteReference"/>
          <w:noProof/>
          <w:color w:val="000000" w:themeColor="text1"/>
        </w:rPr>
        <w:footnoteReference w:id="58"/>
      </w:r>
      <w:r w:rsidRPr="00F521F8">
        <w:rPr>
          <w:rFonts w:ascii="Times New Roman" w:hAnsi="Times New Roman" w:cs="Times New Roman"/>
          <w:noProof/>
          <w:color w:val="000000" w:themeColor="text1"/>
          <w:sz w:val="24"/>
          <w:szCs w:val="24"/>
        </w:rPr>
        <w:t>. There is a large amount of chemicals data in databases, much of it compiled following legal provisions</w:t>
      </w:r>
      <w:r>
        <w:rPr>
          <w:rFonts w:ascii="Times New Roman" w:hAnsi="Times New Roman" w:cs="Times New Roman"/>
          <w:noProof/>
          <w:color w:val="000000" w:themeColor="text1"/>
          <w:sz w:val="24"/>
          <w:szCs w:val="24"/>
        </w:rPr>
        <w:t xml:space="preserve"> and </w:t>
      </w:r>
      <w:r w:rsidRPr="00F521F8">
        <w:rPr>
          <w:rFonts w:ascii="Times New Roman" w:hAnsi="Times New Roman" w:cs="Times New Roman"/>
          <w:noProof/>
          <w:color w:val="000000" w:themeColor="text1"/>
          <w:sz w:val="24"/>
          <w:szCs w:val="24"/>
        </w:rPr>
        <w:t xml:space="preserve">used in </w:t>
      </w:r>
      <w:r>
        <w:rPr>
          <w:rFonts w:ascii="Times New Roman" w:hAnsi="Times New Roman" w:cs="Times New Roman"/>
          <w:noProof/>
          <w:color w:val="000000" w:themeColor="text1"/>
          <w:sz w:val="24"/>
          <w:szCs w:val="24"/>
        </w:rPr>
        <w:t xml:space="preserve">the regulatory </w:t>
      </w:r>
      <w:r w:rsidRPr="00F521F8">
        <w:rPr>
          <w:rFonts w:ascii="Times New Roman" w:hAnsi="Times New Roman" w:cs="Times New Roman"/>
          <w:noProof/>
          <w:color w:val="000000" w:themeColor="text1"/>
          <w:sz w:val="24"/>
          <w:szCs w:val="24"/>
        </w:rPr>
        <w:t xml:space="preserve">processes but also disseminated by EU agencies and the Commission for transparency and public use. Comprehensive IT development has been taking place in the agencies, optimising tools applied to internal data within the sectors, at least in specific circumstances also using common building blocks (e.g. IUCLID for information on chemical hazards). IPCHEM (see section </w:t>
      </w:r>
      <w:r>
        <w:rPr>
          <w:rFonts w:ascii="Times New Roman" w:hAnsi="Times New Roman" w:cs="Times New Roman"/>
          <w:noProof/>
          <w:color w:val="000000" w:themeColor="text1"/>
          <w:sz w:val="24"/>
          <w:szCs w:val="24"/>
        </w:rPr>
        <w:t>20</w:t>
      </w:r>
      <w:r w:rsidRPr="00F521F8">
        <w:rPr>
          <w:rFonts w:ascii="Times New Roman" w:hAnsi="Times New Roman" w:cs="Times New Roman"/>
          <w:noProof/>
          <w:color w:val="000000" w:themeColor="text1"/>
          <w:sz w:val="24"/>
          <w:szCs w:val="24"/>
        </w:rPr>
        <w:t xml:space="preserve">) has been developed for use across sectors but is limited to chemical occurrence data. </w:t>
      </w:r>
    </w:p>
    <w:p w14:paraId="39D1F6AD" w14:textId="77777777" w:rsidR="000A7D9D" w:rsidRPr="00F521F8" w:rsidRDefault="000A7D9D" w:rsidP="000A7D9D">
      <w:pPr>
        <w:spacing w:after="120"/>
        <w:jc w:val="both"/>
        <w:rPr>
          <w:rFonts w:ascii="Times New Roman" w:hAnsi="Times New Roman" w:cs="Times New Roman"/>
          <w:noProof/>
          <w:color w:val="000000" w:themeColor="text1"/>
          <w:sz w:val="24"/>
          <w:szCs w:val="24"/>
        </w:rPr>
      </w:pPr>
      <w:r w:rsidRPr="6BB4A9AE">
        <w:rPr>
          <w:rFonts w:ascii="Times New Roman" w:hAnsi="Times New Roman" w:cs="Times New Roman"/>
          <w:noProof/>
          <w:color w:val="000000" w:themeColor="text1"/>
          <w:sz w:val="24"/>
          <w:szCs w:val="24"/>
        </w:rPr>
        <w:t xml:space="preserve">Effective common access to different types of chemicals data across those solutions has however not been made available and is therefore also not systematically applied in EU chemicals assessments, also as any ad hoc integration is hampered by different conditions of use, differences in data formats and applied controlled vocabularies, not least for chemical substance identification. </w:t>
      </w:r>
    </w:p>
    <w:p w14:paraId="46F12F54" w14:textId="77777777" w:rsidR="000A7D9D" w:rsidRPr="00F521F8" w:rsidRDefault="000A7D9D" w:rsidP="000A7D9D">
      <w:pPr>
        <w:spacing w:after="120"/>
        <w:jc w:val="both"/>
        <w:rPr>
          <w:rFonts w:ascii="Times New Roman" w:hAnsi="Times New Roman" w:cs="Times New Roman"/>
          <w:noProof/>
          <w:color w:val="000000" w:themeColor="text1"/>
          <w:sz w:val="24"/>
          <w:szCs w:val="24"/>
        </w:rPr>
      </w:pPr>
      <w:r w:rsidRPr="6BB4A9AE">
        <w:rPr>
          <w:rFonts w:ascii="Times New Roman" w:hAnsi="Times New Roman" w:cs="Times New Roman"/>
          <w:noProof/>
          <w:color w:val="000000" w:themeColor="text1"/>
          <w:sz w:val="24"/>
          <w:szCs w:val="24"/>
        </w:rPr>
        <w:t xml:space="preserve">There is inefficiency and duplication as individual projects repeat the same efforts merging and curating certain data across sectors for specific needs such as the validation of predictive tools. There is also a loss of coherence or there is even divergence between assessments of the same or similar substances or groups of substances due to differences in the datasets used. </w:t>
      </w:r>
    </w:p>
    <w:p w14:paraId="2DB1733F" w14:textId="77777777" w:rsidR="000A7D9D" w:rsidRPr="00F521F8" w:rsidRDefault="000A7D9D" w:rsidP="000A7D9D">
      <w:pPr>
        <w:spacing w:after="120"/>
        <w:rPr>
          <w:rFonts w:ascii="Times New Roman" w:hAnsi="Times New Roman" w:cs="Times New Roman"/>
          <w:noProof/>
          <w:color w:val="000000"/>
          <w:sz w:val="24"/>
          <w:szCs w:val="24"/>
          <w:u w:val="single"/>
        </w:rPr>
      </w:pPr>
      <w:r w:rsidRPr="6BB4A9AE">
        <w:rPr>
          <w:rFonts w:ascii="Times New Roman" w:hAnsi="Times New Roman" w:cs="Times New Roman"/>
          <w:noProof/>
          <w:color w:val="000000" w:themeColor="text1"/>
          <w:sz w:val="24"/>
          <w:szCs w:val="24"/>
          <w:u w:val="single"/>
        </w:rPr>
        <w:t>Changes envisioned as part of setting up the common data platform</w:t>
      </w:r>
    </w:p>
    <w:p w14:paraId="0B9F078A" w14:textId="77777777" w:rsidR="000A7D9D" w:rsidRPr="00F521F8" w:rsidRDefault="000A7D9D" w:rsidP="000A7D9D">
      <w:pPr>
        <w:jc w:val="both"/>
        <w:rPr>
          <w:rFonts w:ascii="Times New Roman" w:hAnsi="Times New Roman" w:cs="Times New Roman"/>
          <w:noProof/>
          <w:color w:val="000000"/>
          <w:sz w:val="24"/>
          <w:szCs w:val="24"/>
        </w:rPr>
      </w:pPr>
      <w:r w:rsidRPr="6BB4A9AE">
        <w:rPr>
          <w:rFonts w:ascii="Times New Roman" w:hAnsi="Times New Roman" w:cs="Times New Roman"/>
          <w:noProof/>
          <w:color w:val="000000" w:themeColor="text1"/>
          <w:sz w:val="24"/>
          <w:szCs w:val="24"/>
        </w:rPr>
        <w:t xml:space="preserve">The feasibility study on a common open data platform on chemical safety data has already identified the steps needed to establish the platform and based on the input by various stakeholders identified a set of use cases that could be prioritised for the initial implementation of the platform, with the functionalities and datasets to be integrated. The work in the study has </w:t>
      </w:r>
      <w:r>
        <w:rPr>
          <w:rFonts w:ascii="Times New Roman" w:hAnsi="Times New Roman" w:cs="Times New Roman"/>
          <w:noProof/>
          <w:color w:val="000000" w:themeColor="text1"/>
          <w:sz w:val="24"/>
          <w:szCs w:val="24"/>
        </w:rPr>
        <w:t xml:space="preserve">been </w:t>
      </w:r>
      <w:r w:rsidRPr="6BB4A9AE">
        <w:rPr>
          <w:rFonts w:ascii="Times New Roman" w:hAnsi="Times New Roman" w:cs="Times New Roman"/>
          <w:noProof/>
          <w:color w:val="000000" w:themeColor="text1"/>
          <w:sz w:val="24"/>
          <w:szCs w:val="24"/>
        </w:rPr>
        <w:t xml:space="preserve">validated by the experts responsible for the datasets considered for initial integration in the platform: a dedicated interservice team led by ECHA, identified as the appropriate host for the platform. </w:t>
      </w:r>
    </w:p>
    <w:p w14:paraId="6EF0EFD4" w14:textId="77777777" w:rsidR="000A7D9D" w:rsidRPr="00F521F8" w:rsidRDefault="000A7D9D" w:rsidP="000A7D9D">
      <w:pPr>
        <w:spacing w:after="120"/>
        <w:jc w:val="both"/>
        <w:rPr>
          <w:rFonts w:ascii="Times New Roman" w:hAnsi="Times New Roman" w:cs="Times New Roman"/>
          <w:noProof/>
          <w:color w:val="000000"/>
          <w:sz w:val="24"/>
          <w:szCs w:val="24"/>
        </w:rPr>
      </w:pPr>
      <w:r w:rsidRPr="6BB4A9AE">
        <w:rPr>
          <w:rFonts w:ascii="Times New Roman" w:hAnsi="Times New Roman" w:cs="Times New Roman"/>
          <w:noProof/>
          <w:color w:val="000000" w:themeColor="text1"/>
          <w:sz w:val="24"/>
          <w:szCs w:val="24"/>
        </w:rPr>
        <w:t>The team turned it into a practical 3-year development and operations roadmap, and quantified resources in the Project Initiation Document. It can be summarised around three main headlines:</w:t>
      </w:r>
    </w:p>
    <w:p w14:paraId="2C2D88C9" w14:textId="77777777" w:rsidR="000A7D9D" w:rsidRPr="00F521F8" w:rsidRDefault="000A7D9D" w:rsidP="000A7D9D">
      <w:pPr>
        <w:pStyle w:val="ListParagraph"/>
        <w:widowControl w:val="0"/>
        <w:numPr>
          <w:ilvl w:val="0"/>
          <w:numId w:val="118"/>
        </w:numPr>
        <w:jc w:val="both"/>
        <w:rPr>
          <w:noProof/>
          <w:color w:val="000000"/>
        </w:rPr>
      </w:pPr>
      <w:r>
        <w:rPr>
          <w:noProof/>
        </w:rPr>
        <w:t xml:space="preserve">design and construction of a </w:t>
      </w:r>
      <w:r w:rsidRPr="6BB4A9AE">
        <w:rPr>
          <w:b/>
          <w:bCs/>
          <w:noProof/>
        </w:rPr>
        <w:t>data container</w:t>
      </w:r>
      <w:r>
        <w:rPr>
          <w:noProof/>
        </w:rPr>
        <w:t xml:space="preserve">: the technical platform solution and the data definitions and ingestion mechanisms that enable it to receive data. While ECHA is responsible for the IT infrastructure of the data container, cooperation (and – depending on the data type – lead) by the other agencies in setting the data definitions and supporting the general governance of the platform on aspects such as the determination of basic functionalities (ingestion, use and outputs, dedicated services featuring in the platform) and further evolution is essential. </w:t>
      </w:r>
    </w:p>
    <w:p w14:paraId="69E548BB" w14:textId="77777777" w:rsidR="000A7D9D" w:rsidRPr="00F521F8" w:rsidRDefault="000A7D9D" w:rsidP="000A7D9D">
      <w:pPr>
        <w:pStyle w:val="ListParagraph"/>
        <w:widowControl w:val="0"/>
        <w:numPr>
          <w:ilvl w:val="0"/>
          <w:numId w:val="118"/>
        </w:numPr>
        <w:spacing w:after="120"/>
        <w:jc w:val="both"/>
        <w:rPr>
          <w:noProof/>
          <w:color w:val="000000"/>
        </w:rPr>
      </w:pPr>
      <w:r w:rsidRPr="00D316DE">
        <w:rPr>
          <w:noProof/>
        </w:rPr>
        <w:t xml:space="preserve">The </w:t>
      </w:r>
      <w:r w:rsidRPr="00D316DE">
        <w:rPr>
          <w:b/>
          <w:bCs/>
          <w:noProof/>
        </w:rPr>
        <w:t>data content</w:t>
      </w:r>
      <w:r w:rsidRPr="00D316DE">
        <w:rPr>
          <w:noProof/>
        </w:rPr>
        <w:t xml:space="preserve"> activities: data transformation, curation and confidentiality assessment. Upload of every integrated dataset will, while based on commonly agreed rules and vocabularies, and supported as appropriate with ingestion tools, remain the responsibility of the data source owners (i.e. agencies), unless explicitly agreed otherwise.</w:t>
      </w:r>
      <w:r>
        <w:rPr>
          <w:noProof/>
        </w:rPr>
        <w:t xml:space="preserve"> For data source owners, this work will overlap with work on standard data formats and controlled vocabularies of own datasets. </w:t>
      </w:r>
      <w:r w:rsidRPr="6BB4A9AE">
        <w:rPr>
          <w:noProof/>
          <w:color w:val="000000" w:themeColor="text1"/>
        </w:rPr>
        <w:t xml:space="preserve">Preparation of </w:t>
      </w:r>
      <w:r w:rsidRPr="6BB4A9AE">
        <w:rPr>
          <w:b/>
          <w:bCs/>
          <w:noProof/>
          <w:color w:val="000000" w:themeColor="text1"/>
        </w:rPr>
        <w:t>dedicated services</w:t>
      </w:r>
      <w:r w:rsidRPr="6BB4A9AE">
        <w:rPr>
          <w:noProof/>
          <w:color w:val="000000" w:themeColor="text1"/>
        </w:rPr>
        <w:t xml:space="preserve"> available in the platform will include both work on technical platform functionality as well as on data content. Currently, identified services (covered separately in the sections below) include: </w:t>
      </w:r>
      <w:r>
        <w:rPr>
          <w:noProof/>
          <w:color w:val="000000" w:themeColor="text1"/>
        </w:rPr>
        <w:t xml:space="preserve">platform on chemicals monitoring (transfer of current IPCHEM), </w:t>
      </w:r>
      <w:r w:rsidRPr="6BB4A9AE">
        <w:rPr>
          <w:noProof/>
          <w:color w:val="000000" w:themeColor="text1"/>
        </w:rPr>
        <w:t xml:space="preserve">repository of reference values, information on obligations under EU acts on chemicals (expansion of current EUCLEF), information on regulatory processes (expansion of current PACT), </w:t>
      </w:r>
      <w:r>
        <w:rPr>
          <w:noProof/>
          <w:color w:val="000000" w:themeColor="text1"/>
        </w:rPr>
        <w:t xml:space="preserve"> </w:t>
      </w:r>
      <w:r w:rsidRPr="6BB4A9AE">
        <w:rPr>
          <w:noProof/>
          <w:color w:val="000000" w:themeColor="text1"/>
        </w:rPr>
        <w:t xml:space="preserve">repository of standard data formats and controlled vocabularies </w:t>
      </w:r>
      <w:r w:rsidRPr="6BB4A9AE">
        <w:rPr>
          <w:rFonts w:cs="Arial"/>
          <w:noProof/>
          <w:color w:val="000000" w:themeColor="text1"/>
        </w:rPr>
        <w:t>and database on environmental sustainability related data</w:t>
      </w:r>
      <w:r w:rsidRPr="6BB4A9AE">
        <w:rPr>
          <w:noProof/>
          <w:color w:val="000000" w:themeColor="text1"/>
        </w:rPr>
        <w:t xml:space="preserve">. </w:t>
      </w:r>
    </w:p>
    <w:p w14:paraId="1C24133D" w14:textId="77777777" w:rsidR="000A7D9D" w:rsidRPr="00F521F8" w:rsidRDefault="000A7D9D" w:rsidP="000A7D9D">
      <w:pPr>
        <w:pStyle w:val="BodyText"/>
        <w:jc w:val="both"/>
        <w:rPr>
          <w:noProof/>
        </w:rPr>
      </w:pPr>
      <w:r>
        <w:rPr>
          <w:noProof/>
        </w:rPr>
        <w:t>The comprehensive roadmap of the Project Initiation Document includes a detailed list of 32 deliverables on content (in addition to 8 deliverables related to project management), planned across the three years of development. Herein some highlight on the extent of planned minimum viable product (MVP):</w:t>
      </w:r>
    </w:p>
    <w:p w14:paraId="2F02D4D1" w14:textId="77777777" w:rsidR="000A7D9D" w:rsidRPr="00F521F8" w:rsidRDefault="000A7D9D" w:rsidP="000A7D9D">
      <w:pPr>
        <w:pStyle w:val="BodyText"/>
        <w:widowControl w:val="0"/>
        <w:numPr>
          <w:ilvl w:val="0"/>
          <w:numId w:val="123"/>
        </w:numPr>
        <w:jc w:val="both"/>
        <w:rPr>
          <w:noProof/>
        </w:rPr>
      </w:pPr>
      <w:r>
        <w:rPr>
          <w:noProof/>
        </w:rPr>
        <w:t xml:space="preserve">Improving the quality of assessments and facilitating a one substance-one assessment approach is the principal supported </w:t>
      </w:r>
      <w:r w:rsidRPr="6BB4A9AE">
        <w:rPr>
          <w:b/>
          <w:bCs/>
          <w:noProof/>
        </w:rPr>
        <w:t>use case</w:t>
      </w:r>
      <w:r>
        <w:rPr>
          <w:noProof/>
        </w:rPr>
        <w:t>; other use cases include the improvement of quality of safety information and data, grouping and prioritisation of chemicals, enhancing knowledge building through sharing of research outcomes (solution under development), provision of methods and standards.</w:t>
      </w:r>
    </w:p>
    <w:p w14:paraId="1AAB1E9C" w14:textId="77777777" w:rsidR="000A7D9D" w:rsidRPr="00F521F8" w:rsidRDefault="000A7D9D" w:rsidP="000A7D9D">
      <w:pPr>
        <w:pStyle w:val="BodyText"/>
        <w:widowControl w:val="0"/>
        <w:numPr>
          <w:ilvl w:val="0"/>
          <w:numId w:val="123"/>
        </w:numPr>
        <w:jc w:val="both"/>
        <w:rPr>
          <w:noProof/>
        </w:rPr>
      </w:pPr>
      <w:r>
        <w:rPr>
          <w:noProof/>
        </w:rPr>
        <w:t xml:space="preserve">The container/content approach to the development of the </w:t>
      </w:r>
      <w:r w:rsidRPr="6BB4A9AE">
        <w:rPr>
          <w:b/>
          <w:bCs/>
          <w:noProof/>
        </w:rPr>
        <w:t>technical platform</w:t>
      </w:r>
      <w:r>
        <w:rPr>
          <w:noProof/>
        </w:rPr>
        <w:t xml:space="preserve"> will be automated to the extent possible, using existing ‘building blocks’ i.e. relevant services provided by the cloud platform. It will follow the “intentional architecture, emergent designs” principle, leading to a container with availability of all necessary networking and development services in the public cloud, with the necessary management tools, identity rules, enforceable policies and security controls, and a modular and extensible character for further evolution of e.g. analytical functionalities. </w:t>
      </w:r>
    </w:p>
    <w:p w14:paraId="31C2017E" w14:textId="77777777" w:rsidR="000A7D9D" w:rsidRPr="00F521F8" w:rsidRDefault="000A7D9D" w:rsidP="000A7D9D">
      <w:pPr>
        <w:pStyle w:val="BodyText"/>
        <w:widowControl w:val="0"/>
        <w:numPr>
          <w:ilvl w:val="0"/>
          <w:numId w:val="123"/>
        </w:numPr>
        <w:spacing w:after="0"/>
        <w:ind w:left="714" w:hanging="357"/>
        <w:jc w:val="both"/>
        <w:rPr>
          <w:noProof/>
        </w:rPr>
      </w:pPr>
      <w:r>
        <w:rPr>
          <w:noProof/>
        </w:rPr>
        <w:t>Each dataset planned for integration will be prepared for ingestion into the platform by:</w:t>
      </w:r>
    </w:p>
    <w:p w14:paraId="7AC008CD" w14:textId="77777777" w:rsidR="000A7D9D" w:rsidRPr="00F521F8" w:rsidRDefault="000A7D9D" w:rsidP="000A7D9D">
      <w:pPr>
        <w:widowControl w:val="0"/>
        <w:numPr>
          <w:ilvl w:val="1"/>
          <w:numId w:val="123"/>
        </w:numPr>
        <w:spacing w:after="60" w:line="240" w:lineRule="auto"/>
        <w:rPr>
          <w:rFonts w:ascii="Times New Roman" w:hAnsi="Times New Roman" w:cs="Times New Roman"/>
          <w:noProof/>
          <w:sz w:val="24"/>
          <w:szCs w:val="24"/>
        </w:rPr>
      </w:pPr>
      <w:r w:rsidRPr="00F521F8">
        <w:rPr>
          <w:rFonts w:ascii="Times New Roman" w:hAnsi="Times New Roman" w:cs="Times New Roman"/>
          <w:noProof/>
          <w:sz w:val="24"/>
          <w:szCs w:val="24"/>
        </w:rPr>
        <w:t>Basic curation / profiling / metadata according to platform requirements</w:t>
      </w:r>
    </w:p>
    <w:p w14:paraId="341E8BFF" w14:textId="77777777" w:rsidR="000A7D9D" w:rsidRPr="00F521F8" w:rsidRDefault="000A7D9D" w:rsidP="000A7D9D">
      <w:pPr>
        <w:widowControl w:val="0"/>
        <w:numPr>
          <w:ilvl w:val="1"/>
          <w:numId w:val="123"/>
        </w:numPr>
        <w:spacing w:after="60" w:line="240" w:lineRule="auto"/>
        <w:rPr>
          <w:rFonts w:ascii="Times New Roman" w:hAnsi="Times New Roman" w:cs="Times New Roman"/>
          <w:noProof/>
          <w:sz w:val="24"/>
          <w:szCs w:val="24"/>
        </w:rPr>
      </w:pPr>
      <w:r w:rsidRPr="6BB4A9AE">
        <w:rPr>
          <w:rFonts w:ascii="Times New Roman" w:hAnsi="Times New Roman" w:cs="Times New Roman"/>
          <w:noProof/>
          <w:sz w:val="24"/>
          <w:szCs w:val="24"/>
        </w:rPr>
        <w:t>Mapping and conversion to agreed formats, use of controlled vocabularies</w:t>
      </w:r>
    </w:p>
    <w:p w14:paraId="12ED824B" w14:textId="77777777" w:rsidR="000A7D9D" w:rsidRPr="00F521F8" w:rsidRDefault="000A7D9D" w:rsidP="000A7D9D">
      <w:pPr>
        <w:widowControl w:val="0"/>
        <w:numPr>
          <w:ilvl w:val="1"/>
          <w:numId w:val="123"/>
        </w:numPr>
        <w:spacing w:after="60" w:line="240" w:lineRule="auto"/>
        <w:rPr>
          <w:rFonts w:ascii="Times New Roman" w:hAnsi="Times New Roman" w:cs="Times New Roman"/>
          <w:noProof/>
          <w:sz w:val="24"/>
          <w:szCs w:val="24"/>
        </w:rPr>
      </w:pPr>
      <w:r w:rsidRPr="6BB4A9AE">
        <w:rPr>
          <w:rFonts w:ascii="Times New Roman" w:hAnsi="Times New Roman" w:cs="Times New Roman"/>
          <w:noProof/>
          <w:sz w:val="24"/>
          <w:szCs w:val="24"/>
        </w:rPr>
        <w:t>Incorporation of agreed substance identifiers, controlled vocabularies and tagging</w:t>
      </w:r>
    </w:p>
    <w:p w14:paraId="3CAC23C1" w14:textId="77777777" w:rsidR="000A7D9D" w:rsidRPr="00F521F8" w:rsidRDefault="000A7D9D" w:rsidP="000A7D9D">
      <w:pPr>
        <w:widowControl w:val="0"/>
        <w:numPr>
          <w:ilvl w:val="1"/>
          <w:numId w:val="123"/>
        </w:numPr>
        <w:spacing w:after="60" w:line="240" w:lineRule="auto"/>
        <w:rPr>
          <w:rFonts w:ascii="Times New Roman" w:hAnsi="Times New Roman" w:cs="Times New Roman"/>
          <w:noProof/>
          <w:sz w:val="24"/>
          <w:szCs w:val="24"/>
        </w:rPr>
      </w:pPr>
      <w:r w:rsidRPr="6BB4A9AE">
        <w:rPr>
          <w:rFonts w:ascii="Times New Roman" w:hAnsi="Times New Roman" w:cs="Times New Roman"/>
          <w:noProof/>
          <w:sz w:val="24"/>
          <w:szCs w:val="24"/>
        </w:rPr>
        <w:t>Allocation of confidentiality levels / user groups (in MVP, confidential data should be filtered before being disseminated through the platform)</w:t>
      </w:r>
    </w:p>
    <w:p w14:paraId="32E478E8" w14:textId="77777777" w:rsidR="000A7D9D" w:rsidRPr="00F521F8" w:rsidRDefault="000A7D9D" w:rsidP="000A7D9D">
      <w:pPr>
        <w:widowControl w:val="0"/>
        <w:numPr>
          <w:ilvl w:val="1"/>
          <w:numId w:val="123"/>
        </w:numPr>
        <w:spacing w:after="60" w:line="240" w:lineRule="auto"/>
        <w:rPr>
          <w:rFonts w:ascii="Times New Roman" w:hAnsi="Times New Roman" w:cs="Times New Roman"/>
          <w:noProof/>
          <w:sz w:val="24"/>
          <w:szCs w:val="24"/>
        </w:rPr>
      </w:pPr>
      <w:r w:rsidRPr="00F521F8">
        <w:rPr>
          <w:rFonts w:ascii="Times New Roman" w:hAnsi="Times New Roman" w:cs="Times New Roman"/>
          <w:noProof/>
          <w:sz w:val="24"/>
          <w:szCs w:val="24"/>
        </w:rPr>
        <w:t>Quality control after conversion</w:t>
      </w:r>
    </w:p>
    <w:p w14:paraId="01FF354D" w14:textId="77777777" w:rsidR="000A7D9D" w:rsidRPr="00F521F8" w:rsidRDefault="000A7D9D" w:rsidP="000A7D9D">
      <w:pPr>
        <w:widowControl w:val="0"/>
        <w:numPr>
          <w:ilvl w:val="1"/>
          <w:numId w:val="123"/>
        </w:numPr>
        <w:spacing w:after="120" w:line="240" w:lineRule="auto"/>
        <w:rPr>
          <w:rFonts w:ascii="Times New Roman" w:hAnsi="Times New Roman" w:cs="Times New Roman"/>
          <w:noProof/>
          <w:sz w:val="24"/>
          <w:szCs w:val="24"/>
        </w:rPr>
      </w:pPr>
      <w:r w:rsidRPr="00F521F8">
        <w:rPr>
          <w:rFonts w:ascii="Times New Roman" w:hAnsi="Times New Roman" w:cs="Times New Roman"/>
          <w:noProof/>
          <w:sz w:val="24"/>
          <w:szCs w:val="24"/>
        </w:rPr>
        <w:t>Mechanisms for (periodic) ingestion by the platform; updates, versioning</w:t>
      </w:r>
    </w:p>
    <w:p w14:paraId="36AC765B" w14:textId="77777777" w:rsidR="000A7D9D" w:rsidRPr="00F521F8" w:rsidRDefault="000A7D9D" w:rsidP="000A7D9D">
      <w:pPr>
        <w:pStyle w:val="BodyText"/>
        <w:widowControl w:val="0"/>
        <w:numPr>
          <w:ilvl w:val="0"/>
          <w:numId w:val="123"/>
        </w:numPr>
        <w:jc w:val="both"/>
        <w:rPr>
          <w:noProof/>
        </w:rPr>
      </w:pPr>
      <w:r>
        <w:rPr>
          <w:noProof/>
        </w:rPr>
        <w:t>The following datasets will be included in the MVP integration:</w:t>
      </w:r>
    </w:p>
    <w:p w14:paraId="1145616C" w14:textId="77777777" w:rsidR="000A7D9D" w:rsidRPr="00F521F8" w:rsidRDefault="000A7D9D" w:rsidP="000A7D9D">
      <w:pPr>
        <w:pStyle w:val="BodyText"/>
        <w:widowControl w:val="0"/>
        <w:numPr>
          <w:ilvl w:val="1"/>
          <w:numId w:val="123"/>
        </w:numPr>
        <w:spacing w:after="60"/>
        <w:jc w:val="both"/>
        <w:rPr>
          <w:noProof/>
        </w:rPr>
      </w:pPr>
      <w:r w:rsidRPr="6BB4A9AE">
        <w:rPr>
          <w:b/>
          <w:bCs/>
          <w:noProof/>
        </w:rPr>
        <w:t>ECHA REACH:</w:t>
      </w:r>
      <w:r>
        <w:rPr>
          <w:noProof/>
        </w:rPr>
        <w:t xml:space="preserve"> REACH registrations including Chemical Safety Reports (CSR). This dataset already features IUCLID formatted data covering substance information, physico-chemical properties, (eco)toxicological data, environmental fate and use information for more than 24 000 unique substances.</w:t>
      </w:r>
    </w:p>
    <w:p w14:paraId="2DB726FB" w14:textId="77777777" w:rsidR="000A7D9D" w:rsidRPr="00F521F8" w:rsidRDefault="000A7D9D" w:rsidP="000A7D9D">
      <w:pPr>
        <w:pStyle w:val="BodyText"/>
        <w:widowControl w:val="0"/>
        <w:numPr>
          <w:ilvl w:val="1"/>
          <w:numId w:val="123"/>
        </w:numPr>
        <w:spacing w:after="60"/>
        <w:jc w:val="both"/>
        <w:rPr>
          <w:noProof/>
        </w:rPr>
      </w:pPr>
      <w:r w:rsidRPr="6BB4A9AE">
        <w:rPr>
          <w:b/>
          <w:bCs/>
          <w:noProof/>
        </w:rPr>
        <w:t>ECHA Classification, Labelling and Packaging (CLP):</w:t>
      </w:r>
      <w:r>
        <w:rPr>
          <w:noProof/>
        </w:rPr>
        <w:t xml:space="preserve"> Classification and labelling (C&amp;L) inventory. Based on industry C&amp;L notifications for more than 200 000 substances and EU harmonised classifications for ca. 4 600 substances. The C&amp;L inventory is based on a IUCLID C&amp;L format and structured metadata.</w:t>
      </w:r>
    </w:p>
    <w:p w14:paraId="665F2E3E" w14:textId="77777777" w:rsidR="000A7D9D" w:rsidRPr="00F521F8" w:rsidRDefault="000A7D9D" w:rsidP="000A7D9D">
      <w:pPr>
        <w:pStyle w:val="BodyText"/>
        <w:widowControl w:val="0"/>
        <w:numPr>
          <w:ilvl w:val="1"/>
          <w:numId w:val="123"/>
        </w:numPr>
        <w:spacing w:after="60"/>
        <w:jc w:val="both"/>
        <w:rPr>
          <w:noProof/>
        </w:rPr>
      </w:pPr>
      <w:r w:rsidRPr="6BB4A9AE">
        <w:rPr>
          <w:b/>
          <w:bCs/>
          <w:noProof/>
        </w:rPr>
        <w:t>ECHA Biocidal Products Regulation (BPR):</w:t>
      </w:r>
      <w:r>
        <w:rPr>
          <w:noProof/>
        </w:rPr>
        <w:t xml:space="preserve"> biocidal active substance approval process data features more than 900 active substance-product type combinations. The authorised biocidal products dataset contains over 6 000 approved products. The process information is in a structured format but assessment reports, opinions etc. are included as attachments. The conversion of SPCs (summary of product characteristics) IUCLID format is underway.</w:t>
      </w:r>
    </w:p>
    <w:p w14:paraId="6C7DF02A" w14:textId="77777777" w:rsidR="000A7D9D" w:rsidRPr="00F521F8" w:rsidRDefault="000A7D9D" w:rsidP="000A7D9D">
      <w:pPr>
        <w:pStyle w:val="BodyText"/>
        <w:widowControl w:val="0"/>
        <w:numPr>
          <w:ilvl w:val="1"/>
          <w:numId w:val="123"/>
        </w:numPr>
        <w:spacing w:after="60"/>
        <w:jc w:val="both"/>
        <w:rPr>
          <w:noProof/>
        </w:rPr>
      </w:pPr>
      <w:r w:rsidRPr="6BB4A9AE">
        <w:rPr>
          <w:b/>
          <w:bCs/>
          <w:noProof/>
        </w:rPr>
        <w:t>ECHA Prior Informed Consent (PIC)</w:t>
      </w:r>
      <w:r>
        <w:rPr>
          <w:noProof/>
        </w:rPr>
        <w:t>: Substances subject to PIC the Regulation (ca 260 listed substances or substance groups).</w:t>
      </w:r>
    </w:p>
    <w:p w14:paraId="36736DD3" w14:textId="77777777" w:rsidR="000A7D9D" w:rsidRPr="00F521F8" w:rsidRDefault="000A7D9D" w:rsidP="000A7D9D">
      <w:pPr>
        <w:pStyle w:val="BodyText"/>
        <w:widowControl w:val="0"/>
        <w:numPr>
          <w:ilvl w:val="1"/>
          <w:numId w:val="123"/>
        </w:numPr>
        <w:spacing w:after="60"/>
        <w:jc w:val="both"/>
        <w:rPr>
          <w:noProof/>
        </w:rPr>
      </w:pPr>
      <w:r w:rsidRPr="6BB4A9AE">
        <w:rPr>
          <w:b/>
          <w:bCs/>
          <w:noProof/>
        </w:rPr>
        <w:t>ECHA Persistent Organic Pollutants (POP)</w:t>
      </w:r>
      <w:r>
        <w:rPr>
          <w:noProof/>
        </w:rPr>
        <w:t xml:space="preserve">: 1) list of POPs, featuring 30 substances or substance groups; 2) list of substances proposed to be included in the POP list of the Stockholm Convention. </w:t>
      </w:r>
    </w:p>
    <w:p w14:paraId="05490728" w14:textId="77777777" w:rsidR="000A7D9D" w:rsidRPr="00F521F8" w:rsidRDefault="000A7D9D" w:rsidP="000A7D9D">
      <w:pPr>
        <w:pStyle w:val="BodyText"/>
        <w:widowControl w:val="0"/>
        <w:numPr>
          <w:ilvl w:val="1"/>
          <w:numId w:val="123"/>
        </w:numPr>
        <w:spacing w:after="60"/>
        <w:jc w:val="both"/>
        <w:rPr>
          <w:noProof/>
          <w:lang w:val="en-US"/>
        </w:rPr>
      </w:pPr>
      <w:r w:rsidRPr="00F521F8">
        <w:rPr>
          <w:b/>
          <w:bCs/>
          <w:noProof/>
          <w:lang w:val="en-US"/>
        </w:rPr>
        <w:t>EFSA OpenFoodTox:</w:t>
      </w:r>
      <w:r w:rsidRPr="00F521F8">
        <w:rPr>
          <w:noProof/>
          <w:lang w:val="en-US"/>
        </w:rPr>
        <w:t xml:space="preserve"> summary of all EFSA chemical risk assessments including chemical identifiers, critical endpoints, toxicological reference values and metadata from EFSA outputs.</w:t>
      </w:r>
    </w:p>
    <w:p w14:paraId="5DA4324A" w14:textId="77777777" w:rsidR="000A7D9D" w:rsidRPr="00F521F8" w:rsidRDefault="000A7D9D" w:rsidP="000A7D9D">
      <w:pPr>
        <w:pStyle w:val="BodyText"/>
        <w:widowControl w:val="0"/>
        <w:numPr>
          <w:ilvl w:val="1"/>
          <w:numId w:val="123"/>
        </w:numPr>
        <w:spacing w:after="60"/>
        <w:jc w:val="both"/>
        <w:rPr>
          <w:noProof/>
          <w:lang w:val="en-IE"/>
        </w:rPr>
      </w:pPr>
      <w:r w:rsidRPr="6BB4A9AE">
        <w:rPr>
          <w:b/>
          <w:bCs/>
          <w:noProof/>
        </w:rPr>
        <w:t xml:space="preserve">EFSA Chemical Monitoring Data: </w:t>
      </w:r>
      <w:r w:rsidRPr="6BB4A9AE">
        <w:rPr>
          <w:rStyle w:val="normaltextrun"/>
          <w:rFonts w:eastAsia="Verdana"/>
          <w:noProof/>
          <w:color w:val="000000" w:themeColor="text1"/>
        </w:rPr>
        <w:t xml:space="preserve"> Chemical monitoring data for pesticides and veterinary medicinal product residues and contaminants data.</w:t>
      </w:r>
      <w:r>
        <w:rPr>
          <w:noProof/>
        </w:rPr>
        <w:t xml:space="preserve"> The individual measurements of chemicals in food/feed and other materials sampled as part of official controls and enforcement activities in SSD2 format. Sampling by member states </w:t>
      </w:r>
      <w:r w:rsidRPr="6BB4A9AE">
        <w:rPr>
          <w:rFonts w:eastAsia="Verdana"/>
          <w:noProof/>
          <w:lang w:val="en-IE"/>
        </w:rPr>
        <w:t>is legally mandated under Regulation (EU) 2017/625 and associated implementing acts. Additionally, measurements of chemicals in food and feed received from industry or other sources in response to call for data. This data is available in IPCHEM</w:t>
      </w:r>
      <w:r w:rsidRPr="6BB4A9AE">
        <w:rPr>
          <w:noProof/>
          <w:lang w:val="en-IE"/>
        </w:rPr>
        <w:t>.</w:t>
      </w:r>
    </w:p>
    <w:p w14:paraId="7F2A39E3" w14:textId="77777777" w:rsidR="000A7D9D" w:rsidRPr="00F521F8" w:rsidRDefault="000A7D9D" w:rsidP="000A7D9D">
      <w:pPr>
        <w:pStyle w:val="BodyText"/>
        <w:widowControl w:val="0"/>
        <w:numPr>
          <w:ilvl w:val="1"/>
          <w:numId w:val="123"/>
        </w:numPr>
        <w:spacing w:after="60"/>
        <w:jc w:val="both"/>
        <w:rPr>
          <w:rFonts w:eastAsia="Verdana"/>
          <w:noProof/>
        </w:rPr>
      </w:pPr>
      <w:r w:rsidRPr="6BB4A9AE">
        <w:rPr>
          <w:b/>
          <w:bCs/>
          <w:noProof/>
        </w:rPr>
        <w:t>EFSA OpenEFSA: A</w:t>
      </w:r>
      <w:r w:rsidRPr="6BB4A9AE">
        <w:rPr>
          <w:rFonts w:eastAsia="Verdana"/>
          <w:noProof/>
        </w:rPr>
        <w:t>ll information related to EFSA's scientific work. Tracking of the risk assessment process from receipt of dossier to adoption of the opinion. Information available includes status of assessments, dossiers and studies, meeting agendas and minutes, information on experts (DOIs), public consultations).</w:t>
      </w:r>
    </w:p>
    <w:p w14:paraId="11FBC715" w14:textId="77777777" w:rsidR="000A7D9D" w:rsidRPr="00F521F8" w:rsidRDefault="000A7D9D" w:rsidP="000A7D9D">
      <w:pPr>
        <w:pStyle w:val="BodyText"/>
        <w:widowControl w:val="0"/>
        <w:numPr>
          <w:ilvl w:val="1"/>
          <w:numId w:val="123"/>
        </w:numPr>
        <w:spacing w:after="60"/>
        <w:jc w:val="both"/>
        <w:rPr>
          <w:noProof/>
        </w:rPr>
      </w:pPr>
      <w:r w:rsidRPr="6BB4A9AE">
        <w:rPr>
          <w:b/>
          <w:bCs/>
          <w:noProof/>
        </w:rPr>
        <w:t>EFSA EU_PPP Agency IUCLID:</w:t>
      </w:r>
      <w:r>
        <w:rPr>
          <w:noProof/>
        </w:rPr>
        <w:t xml:space="preserve"> </w:t>
      </w:r>
      <w:r w:rsidRPr="6BB4A9AE">
        <w:rPr>
          <w:rFonts w:eastAsia="Verdana"/>
          <w:noProof/>
          <w:lang w:val="en-IE"/>
        </w:rPr>
        <w:t>IUCLID dossiers submitted by applicants (industry) under Regulation (EC) No 1107/2009 concerning the placing of plant protection products on the market.</w:t>
      </w:r>
      <w:r>
        <w:rPr>
          <w:noProof/>
        </w:rPr>
        <w:t xml:space="preserve"> Four submission types are supported, EU PPP Active substance, EU PPP Microorganism, EU PPP Maximum Residues Levels, EU PPP Basic substance.</w:t>
      </w:r>
    </w:p>
    <w:p w14:paraId="03112FCC" w14:textId="77777777" w:rsidR="000A7D9D" w:rsidRPr="00F521F8" w:rsidRDefault="000A7D9D" w:rsidP="000A7D9D">
      <w:pPr>
        <w:pStyle w:val="BodyText"/>
        <w:widowControl w:val="0"/>
        <w:numPr>
          <w:ilvl w:val="1"/>
          <w:numId w:val="123"/>
        </w:numPr>
        <w:spacing w:after="60"/>
        <w:jc w:val="both"/>
        <w:rPr>
          <w:noProof/>
        </w:rPr>
      </w:pPr>
      <w:r w:rsidRPr="6BB4A9AE">
        <w:rPr>
          <w:b/>
          <w:bCs/>
          <w:noProof/>
        </w:rPr>
        <w:t>EEA Air Quality:</w:t>
      </w:r>
      <w:r>
        <w:rPr>
          <w:noProof/>
        </w:rPr>
        <w:t xml:space="preserve"> The EEA gathers air quality data from a wide range of sources including current status of Europe’s air quality through five different air pollutants (European Air Quality Index), latest measurements from Europe's air quality monitoring network and Statistics for air pollutants calculated from officially-verified country data for years until ‘X-2’.</w:t>
      </w:r>
    </w:p>
    <w:p w14:paraId="45635D4E" w14:textId="77777777" w:rsidR="000A7D9D" w:rsidRPr="00F521F8" w:rsidRDefault="00187DBF" w:rsidP="000A7D9D">
      <w:pPr>
        <w:pStyle w:val="BodyText"/>
        <w:widowControl w:val="0"/>
        <w:numPr>
          <w:ilvl w:val="1"/>
          <w:numId w:val="123"/>
        </w:numPr>
        <w:spacing w:after="60"/>
        <w:jc w:val="both"/>
        <w:rPr>
          <w:noProof/>
        </w:rPr>
      </w:pPr>
      <w:hyperlink r:id="rId80">
        <w:r w:rsidR="000A7D9D" w:rsidRPr="00F521F8">
          <w:rPr>
            <w:b/>
            <w:bCs/>
            <w:noProof/>
          </w:rPr>
          <w:t>EEA Waterbase Water Quality</w:t>
        </w:r>
      </w:hyperlink>
      <w:r w:rsidR="000A7D9D" w:rsidRPr="00F521F8">
        <w:rPr>
          <w:b/>
          <w:bCs/>
          <w:noProof/>
        </w:rPr>
        <w:t>:</w:t>
      </w:r>
      <w:r w:rsidR="000A7D9D" w:rsidRPr="00F521F8">
        <w:rPr>
          <w:noProof/>
        </w:rPr>
        <w:t xml:space="preserve"> The dataset contains time series of concentrations of nutrients, organic matter, hazardous substances and other chemicals in rivers, lakes, groundwater, transitional, coastal and marine waters. This database also contains the records reported under the Water Framework Directive Watch List for chemicals in surface waters.</w:t>
      </w:r>
    </w:p>
    <w:p w14:paraId="0FFF5C06" w14:textId="77777777" w:rsidR="000A7D9D" w:rsidRPr="00F521F8" w:rsidRDefault="000A7D9D" w:rsidP="000A7D9D">
      <w:pPr>
        <w:pStyle w:val="BodyText"/>
        <w:widowControl w:val="0"/>
        <w:numPr>
          <w:ilvl w:val="1"/>
          <w:numId w:val="123"/>
        </w:numPr>
        <w:spacing w:after="60"/>
        <w:jc w:val="both"/>
        <w:rPr>
          <w:noProof/>
        </w:rPr>
      </w:pPr>
      <w:r w:rsidRPr="00F521F8">
        <w:rPr>
          <w:b/>
          <w:bCs/>
          <w:noProof/>
        </w:rPr>
        <w:t xml:space="preserve">EEA Waterbase emissions: </w:t>
      </w:r>
      <w:r w:rsidRPr="00F521F8">
        <w:rPr>
          <w:noProof/>
        </w:rPr>
        <w:t>The dataset contains time series of emissions of nutrients and hazardous substances to water, reported by EEA member countries and cooperating countries. It also contains data on yearly riverine input loads to transitional, coastal and marine waters.</w:t>
      </w:r>
    </w:p>
    <w:p w14:paraId="5279FEC3" w14:textId="77777777" w:rsidR="000A7D9D" w:rsidRPr="00F521F8" w:rsidRDefault="000A7D9D" w:rsidP="000A7D9D">
      <w:pPr>
        <w:pStyle w:val="BodyText"/>
        <w:widowControl w:val="0"/>
        <w:numPr>
          <w:ilvl w:val="1"/>
          <w:numId w:val="123"/>
        </w:numPr>
        <w:spacing w:after="60"/>
        <w:jc w:val="both"/>
        <w:rPr>
          <w:noProof/>
        </w:rPr>
      </w:pPr>
      <w:r w:rsidRPr="6BB4A9AE">
        <w:rPr>
          <w:b/>
          <w:bCs/>
          <w:noProof/>
        </w:rPr>
        <w:t xml:space="preserve">EEA Industrial emissions: </w:t>
      </w:r>
      <w:r w:rsidRPr="004B6BC3">
        <w:rPr>
          <w:bCs/>
          <w:noProof/>
        </w:rPr>
        <w:t>The data set contains</w:t>
      </w:r>
      <w:r w:rsidRPr="6BB4A9AE">
        <w:rPr>
          <w:b/>
          <w:bCs/>
          <w:noProof/>
        </w:rPr>
        <w:t xml:space="preserve"> </w:t>
      </w:r>
      <w:r>
        <w:rPr>
          <w:noProof/>
        </w:rPr>
        <w:t>data reported by Member States in the scope of the E-PRTR Regulation and Industrial Emissions Directive. The data is reported annually and includes releases to air/water/land and pollutant transfers of 91 pollutants and waste transfers of hazardous and non-hazardous waste (facilities in the scope of E-PRTR); environmental permit information, application of best available techniques (BAT) conclusions, inspections and other information on IED installations; air emissions, operating hours and energy input from large combustion plants; and nominal capacity from waste incinerators. This data is contained within the same database. The information is displayed in the European Industrial Emissions Portal and the full database is published on the EEA data service in access format, with some extracts published as Excel spreadsheets.</w:t>
      </w:r>
    </w:p>
    <w:p w14:paraId="2D2F5B9A" w14:textId="77777777" w:rsidR="000A7D9D" w:rsidRPr="00F521F8" w:rsidRDefault="000A7D9D" w:rsidP="000A7D9D">
      <w:pPr>
        <w:pStyle w:val="BodyText"/>
        <w:widowControl w:val="0"/>
        <w:numPr>
          <w:ilvl w:val="1"/>
          <w:numId w:val="123"/>
        </w:numPr>
        <w:spacing w:after="60"/>
        <w:jc w:val="both"/>
        <w:rPr>
          <w:noProof/>
        </w:rPr>
      </w:pPr>
      <w:r w:rsidRPr="00F521F8">
        <w:rPr>
          <w:b/>
          <w:bCs/>
          <w:noProof/>
        </w:rPr>
        <w:t>EEA National Emission reductions Commitments (NEC) Directive emission inventory data:</w:t>
      </w:r>
      <w:r w:rsidRPr="00F521F8">
        <w:rPr>
          <w:noProof/>
        </w:rPr>
        <w:t xml:space="preserve">  Data on emissions of air pollutants (ammonia (NH3), non-methane volatile organic compounds (NMVOC), nitrogen oxides (NOx), particulate matter 2.5 (PM2.5) and sulphur dioxide (SO2)) reported annually by Member States to the European Commission (with copies to EEA) under Directive 2016/2284 of the European Parliament and of the Council on the reduction of national emissions of certain atmospheric pollutants.</w:t>
      </w:r>
    </w:p>
    <w:p w14:paraId="0CD9F7D8" w14:textId="77777777" w:rsidR="000A7D9D" w:rsidRPr="00F521F8" w:rsidRDefault="000A7D9D" w:rsidP="000A7D9D">
      <w:pPr>
        <w:pStyle w:val="BodyText"/>
        <w:widowControl w:val="0"/>
        <w:numPr>
          <w:ilvl w:val="1"/>
          <w:numId w:val="123"/>
        </w:numPr>
        <w:spacing w:after="60"/>
        <w:jc w:val="both"/>
        <w:rPr>
          <w:noProof/>
        </w:rPr>
      </w:pPr>
      <w:r w:rsidRPr="00F521F8">
        <w:rPr>
          <w:b/>
          <w:bCs/>
          <w:noProof/>
        </w:rPr>
        <w:t xml:space="preserve">EMA human medicinal products data </w:t>
      </w:r>
      <w:r w:rsidRPr="00F521F8">
        <w:rPr>
          <w:noProof/>
        </w:rPr>
        <w:t xml:space="preserve">(environmental risk assessment and non-clinical </w:t>
      </w:r>
      <w:r>
        <w:rPr>
          <w:noProof/>
        </w:rPr>
        <w:t>safety</w:t>
      </w:r>
      <w:r w:rsidRPr="00F521F8">
        <w:rPr>
          <w:noProof/>
        </w:rPr>
        <w:t xml:space="preserve"> data)</w:t>
      </w:r>
    </w:p>
    <w:p w14:paraId="2105C53B" w14:textId="77777777" w:rsidR="000A7D9D" w:rsidRPr="00F521F8" w:rsidRDefault="000A7D9D" w:rsidP="000A7D9D">
      <w:pPr>
        <w:pStyle w:val="BodyText"/>
        <w:widowControl w:val="0"/>
        <w:numPr>
          <w:ilvl w:val="1"/>
          <w:numId w:val="123"/>
        </w:numPr>
        <w:spacing w:after="60"/>
        <w:jc w:val="both"/>
        <w:rPr>
          <w:noProof/>
        </w:rPr>
      </w:pPr>
      <w:r w:rsidRPr="6BB4A9AE">
        <w:rPr>
          <w:b/>
          <w:bCs/>
          <w:noProof/>
        </w:rPr>
        <w:t xml:space="preserve">EMA veterinary medicinal products </w:t>
      </w:r>
      <w:r>
        <w:rPr>
          <w:noProof/>
        </w:rPr>
        <w:t xml:space="preserve">(environmental risk assessment and </w:t>
      </w:r>
      <w:r w:rsidRPr="004B6BC3">
        <w:rPr>
          <w:noProof/>
        </w:rPr>
        <w:t>maximum residue limit (MRL)</w:t>
      </w:r>
      <w:r>
        <w:rPr>
          <w:noProof/>
        </w:rPr>
        <w:t xml:space="preserve"> values and MRL assessment data)</w:t>
      </w:r>
    </w:p>
    <w:p w14:paraId="756C1EE7" w14:textId="77777777" w:rsidR="000A7D9D" w:rsidRPr="00F521F8" w:rsidRDefault="000A7D9D" w:rsidP="000A7D9D">
      <w:pPr>
        <w:pStyle w:val="BodyText"/>
        <w:widowControl w:val="0"/>
        <w:numPr>
          <w:ilvl w:val="0"/>
          <w:numId w:val="123"/>
        </w:numPr>
        <w:jc w:val="both"/>
        <w:rPr>
          <w:noProof/>
        </w:rPr>
      </w:pPr>
      <w:r w:rsidRPr="6BB4A9AE">
        <w:rPr>
          <w:b/>
          <w:bCs/>
          <w:noProof/>
        </w:rPr>
        <w:t>IPCHEM (JRC)</w:t>
      </w:r>
      <w:r w:rsidRPr="004B6BC3">
        <w:rPr>
          <w:noProof/>
        </w:rPr>
        <w:t>: the</w:t>
      </w:r>
      <w:r>
        <w:rPr>
          <w:noProof/>
        </w:rPr>
        <w:t xml:space="preserve"> existing platform for chemical occurrence data in its function and with data will be integrated into the common data platform in two steps (see also section 18). Its data is structured into four modules, according to the chemical monitoring data categorisation: Environmental monitoring, Human Bio-Monitoring, Food and Feed, and Products and Indoor Air. </w:t>
      </w:r>
    </w:p>
    <w:p w14:paraId="4FEA8625" w14:textId="77777777" w:rsidR="000A7D9D" w:rsidRPr="00F521F8" w:rsidRDefault="000A7D9D" w:rsidP="000A7D9D">
      <w:pPr>
        <w:pStyle w:val="BodyText"/>
        <w:widowControl w:val="0"/>
        <w:numPr>
          <w:ilvl w:val="0"/>
          <w:numId w:val="123"/>
        </w:numPr>
        <w:jc w:val="both"/>
        <w:rPr>
          <w:noProof/>
        </w:rPr>
      </w:pPr>
      <w:r>
        <w:rPr>
          <w:noProof/>
        </w:rPr>
        <w:t xml:space="preserve">Further datasets to be integrated are identified also as </w:t>
      </w:r>
      <w:r w:rsidRPr="6BB4A9AE">
        <w:rPr>
          <w:b/>
          <w:bCs/>
          <w:noProof/>
        </w:rPr>
        <w:t>dedicated services</w:t>
      </w:r>
      <w:r>
        <w:rPr>
          <w:noProof/>
        </w:rPr>
        <w:t xml:space="preserve"> as they include the need for preparation and curation:</w:t>
      </w:r>
    </w:p>
    <w:p w14:paraId="73290797" w14:textId="77777777" w:rsidR="000A7D9D" w:rsidRPr="00F521F8" w:rsidRDefault="000A7D9D" w:rsidP="000A7D9D">
      <w:pPr>
        <w:pStyle w:val="BodyText"/>
        <w:widowControl w:val="0"/>
        <w:numPr>
          <w:ilvl w:val="1"/>
          <w:numId w:val="123"/>
        </w:numPr>
        <w:spacing w:after="60"/>
        <w:jc w:val="both"/>
        <w:rPr>
          <w:noProof/>
        </w:rPr>
      </w:pPr>
      <w:r w:rsidRPr="6BB4A9AE">
        <w:rPr>
          <w:b/>
          <w:bCs/>
          <w:noProof/>
        </w:rPr>
        <w:t>Regulatory processes information:</w:t>
      </w:r>
      <w:r>
        <w:rPr>
          <w:noProof/>
        </w:rPr>
        <w:t xml:space="preserve"> 9 different ECHA processes and related regulatory process data are currently included ECHA’s Public Activities Coordination Tool (PACT), providing an overview of substance-specific activities. The scope of the tool under the platform (see section 19) will include contributions by all the agencies. </w:t>
      </w:r>
    </w:p>
    <w:p w14:paraId="08151702" w14:textId="77777777" w:rsidR="000A7D9D" w:rsidRPr="00F521F8" w:rsidRDefault="000A7D9D" w:rsidP="000A7D9D">
      <w:pPr>
        <w:pStyle w:val="BodyText"/>
        <w:widowControl w:val="0"/>
        <w:numPr>
          <w:ilvl w:val="1"/>
          <w:numId w:val="123"/>
        </w:numPr>
        <w:spacing w:after="60"/>
        <w:jc w:val="both"/>
        <w:rPr>
          <w:noProof/>
        </w:rPr>
      </w:pPr>
      <w:r w:rsidRPr="6BB4A9AE">
        <w:rPr>
          <w:b/>
          <w:bCs/>
          <w:noProof/>
        </w:rPr>
        <w:t>EU Chemicals Legislation Finder (EUCLEF):</w:t>
      </w:r>
      <w:r>
        <w:rPr>
          <w:noProof/>
        </w:rPr>
        <w:t xml:space="preserve"> An overview of the European Union’s legislation on chemicals. This existing service by ECHA will in future be included under the platform (see section 23). It currently contains 51 pieces of legislation and is integrated in ECHA’s substance database. For each piece of legislation included in EUCLEF, a summary is provided containing the scope, obligations, exemptions, regulatory activities and lists of impacted substances, together with links to the full legal texts in all EU languages. The data management of EUCLEF data is outsourced by ECHA to a service provider. </w:t>
      </w:r>
    </w:p>
    <w:p w14:paraId="2C20519D" w14:textId="77777777" w:rsidR="000A7D9D" w:rsidRPr="00F521F8" w:rsidRDefault="000A7D9D" w:rsidP="000A7D9D">
      <w:pPr>
        <w:pStyle w:val="BodyText"/>
        <w:widowControl w:val="0"/>
        <w:numPr>
          <w:ilvl w:val="1"/>
          <w:numId w:val="123"/>
        </w:numPr>
        <w:spacing w:after="60"/>
        <w:jc w:val="both"/>
        <w:rPr>
          <w:noProof/>
        </w:rPr>
      </w:pPr>
      <w:r w:rsidRPr="6BB4A9AE">
        <w:rPr>
          <w:b/>
          <w:bCs/>
          <w:noProof/>
        </w:rPr>
        <w:t xml:space="preserve">Repository of reference values: </w:t>
      </w:r>
      <w:r>
        <w:rPr>
          <w:noProof/>
        </w:rPr>
        <w:t xml:space="preserve">reference values covered by the datasets described above will be made available from the moment the datasets are ingested in the platform. The outcome of the related </w:t>
      </w:r>
      <w:r w:rsidRPr="6BB4A9AE">
        <w:rPr>
          <w:b/>
          <w:bCs/>
          <w:noProof/>
        </w:rPr>
        <w:t>Health-based limit value repository (HBLVR)</w:t>
      </w:r>
      <w:r>
        <w:rPr>
          <w:noProof/>
        </w:rPr>
        <w:t xml:space="preserve"> study will inform when and in which format the additional datasets could be incorporated in the platform.</w:t>
      </w:r>
    </w:p>
    <w:p w14:paraId="6EE7BC1D" w14:textId="77777777" w:rsidR="000A7D9D" w:rsidRPr="00F521F8" w:rsidRDefault="000A7D9D" w:rsidP="000A7D9D">
      <w:pPr>
        <w:pStyle w:val="BodyText"/>
        <w:widowControl w:val="0"/>
        <w:numPr>
          <w:ilvl w:val="1"/>
          <w:numId w:val="123"/>
        </w:numPr>
        <w:spacing w:after="60"/>
        <w:jc w:val="both"/>
        <w:rPr>
          <w:noProof/>
        </w:rPr>
      </w:pPr>
      <w:r w:rsidRPr="6BB4A9AE">
        <w:rPr>
          <w:b/>
          <w:bCs/>
          <w:noProof/>
        </w:rPr>
        <w:t>Format</w:t>
      </w:r>
      <w:r>
        <w:rPr>
          <w:b/>
          <w:bCs/>
          <w:noProof/>
        </w:rPr>
        <w:t>s</w:t>
      </w:r>
      <w:r w:rsidRPr="6BB4A9AE">
        <w:rPr>
          <w:b/>
          <w:bCs/>
          <w:noProof/>
        </w:rPr>
        <w:t xml:space="preserve"> and controlled vocabularies: </w:t>
      </w:r>
      <w:r>
        <w:rPr>
          <w:noProof/>
        </w:rPr>
        <w:t>agreed rules will be effectively shared on the platform itself for integration purposes but also for use beyond the platform. This dataset will include the work of (common) substance identification that can be then used across any substance-specific chemical datasets.</w:t>
      </w:r>
    </w:p>
    <w:p w14:paraId="4B289AB2" w14:textId="77777777" w:rsidR="000A7D9D" w:rsidRDefault="000A7D9D" w:rsidP="000A7D9D">
      <w:pPr>
        <w:pStyle w:val="BodyText"/>
        <w:widowControl w:val="0"/>
        <w:numPr>
          <w:ilvl w:val="1"/>
          <w:numId w:val="123"/>
        </w:numPr>
        <w:jc w:val="both"/>
        <w:rPr>
          <w:noProof/>
        </w:rPr>
      </w:pPr>
      <w:r>
        <w:rPr>
          <w:noProof/>
        </w:rPr>
        <w:t>.</w:t>
      </w:r>
    </w:p>
    <w:p w14:paraId="6FC389BC" w14:textId="77777777" w:rsidR="000A7D9D" w:rsidRDefault="000A7D9D" w:rsidP="000A7D9D">
      <w:pPr>
        <w:pStyle w:val="BodyText"/>
        <w:widowControl w:val="0"/>
        <w:numPr>
          <w:ilvl w:val="0"/>
          <w:numId w:val="123"/>
        </w:numPr>
        <w:jc w:val="both"/>
        <w:rPr>
          <w:noProof/>
        </w:rPr>
      </w:pPr>
      <w:r>
        <w:rPr>
          <w:noProof/>
        </w:rPr>
        <w:t>Introducing principal data-related dimension of the</w:t>
      </w:r>
      <w:r w:rsidRPr="004B6BC3">
        <w:rPr>
          <w:noProof/>
        </w:rPr>
        <w:t xml:space="preserve"> </w:t>
      </w:r>
      <w:r>
        <w:rPr>
          <w:noProof/>
        </w:rPr>
        <w:t xml:space="preserve">current </w:t>
      </w:r>
      <w:r>
        <w:rPr>
          <w:b/>
          <w:bCs/>
          <w:noProof/>
        </w:rPr>
        <w:t xml:space="preserve">European Observatory for Nanomaterials (EUON) </w:t>
      </w:r>
      <w:r>
        <w:rPr>
          <w:noProof/>
        </w:rPr>
        <w:t xml:space="preserve">in the common data platform has been agreed through identification of the observatory as one of further dedicated services on the platform, allowing it also to expand to other chemicals/materials selected to benefit from such additional compilation. </w:t>
      </w:r>
    </w:p>
    <w:p w14:paraId="3B87E0CA" w14:textId="77777777" w:rsidR="000A7D9D" w:rsidRPr="00F521F8" w:rsidRDefault="000A7D9D" w:rsidP="000A7D9D">
      <w:pPr>
        <w:pStyle w:val="BodyText"/>
        <w:widowControl w:val="0"/>
        <w:numPr>
          <w:ilvl w:val="0"/>
          <w:numId w:val="123"/>
        </w:numPr>
        <w:jc w:val="both"/>
        <w:rPr>
          <w:noProof/>
        </w:rPr>
      </w:pPr>
      <w:r>
        <w:rPr>
          <w:noProof/>
        </w:rPr>
        <w:t xml:space="preserve">As part of the new study notification mechanism, a database of study notifications will be established and accessible through the common data platform. </w:t>
      </w:r>
    </w:p>
    <w:p w14:paraId="66C78A02" w14:textId="77777777" w:rsidR="000A7D9D" w:rsidRPr="00F521F8" w:rsidRDefault="000A7D9D" w:rsidP="000A7D9D">
      <w:pPr>
        <w:pStyle w:val="BodyText"/>
        <w:jc w:val="both"/>
        <w:rPr>
          <w:noProof/>
        </w:rPr>
      </w:pPr>
      <w:r w:rsidRPr="6BB4A9AE">
        <w:rPr>
          <w:b/>
          <w:bCs/>
          <w:noProof/>
        </w:rPr>
        <w:t>Proximity to the mandate of the EU</w:t>
      </w:r>
      <w:r>
        <w:rPr>
          <w:b/>
          <w:bCs/>
          <w:noProof/>
        </w:rPr>
        <w:t xml:space="preserve"> </w:t>
      </w:r>
      <w:r w:rsidRPr="6BB4A9AE">
        <w:rPr>
          <w:b/>
          <w:bCs/>
          <w:noProof/>
        </w:rPr>
        <w:t xml:space="preserve">agencies: </w:t>
      </w:r>
      <w:r>
        <w:rPr>
          <w:noProof/>
        </w:rPr>
        <w:t xml:space="preserve">While ECHA’s core mandate is focused </w:t>
      </w:r>
      <w:r w:rsidRPr="004B6BC3">
        <w:rPr>
          <w:noProof/>
        </w:rPr>
        <w:t xml:space="preserve">on </w:t>
      </w:r>
      <w:r>
        <w:rPr>
          <w:noProof/>
        </w:rPr>
        <w:t>the safety assessment of chemicals,</w:t>
      </w:r>
      <w:r w:rsidRPr="6BB4A9AE">
        <w:rPr>
          <w:b/>
          <w:bCs/>
          <w:noProof/>
        </w:rPr>
        <w:t xml:space="preserve"> </w:t>
      </w:r>
      <w:r w:rsidRPr="004B6BC3">
        <w:rPr>
          <w:noProof/>
        </w:rPr>
        <w:t>it also</w:t>
      </w:r>
      <w:r>
        <w:rPr>
          <w:noProof/>
        </w:rPr>
        <w:t xml:space="preserve"> includes the dissemination of information on chemicals and, as expressed in its vision, being ‘the centre of knowledge on the sustainable management of chemicals’. </w:t>
      </w:r>
      <w:r w:rsidRPr="004B6BC3">
        <w:rPr>
          <w:noProof/>
        </w:rPr>
        <w:t>A</w:t>
      </w:r>
      <w:r w:rsidRPr="6BB4A9AE">
        <w:rPr>
          <w:b/>
          <w:bCs/>
          <w:noProof/>
        </w:rPr>
        <w:t xml:space="preserve"> </w:t>
      </w:r>
      <w:r>
        <w:rPr>
          <w:noProof/>
        </w:rPr>
        <w:t xml:space="preserve">better sharing of data between EU authorities can contribute to the success of ECHA’s core mandate. There is a similar proximity in the mandates of the other agencies involved in the development and operation of the platform through collaboration on the interoperability of their respective data to be integrated in the platform. The use of shared data can contribute to the success of their core mandates when tasked with assessments involving chemicals. </w:t>
      </w:r>
    </w:p>
    <w:p w14:paraId="10066CC2" w14:textId="77777777" w:rsidR="000A7D9D" w:rsidRPr="00F521F8" w:rsidRDefault="000A7D9D" w:rsidP="000A7D9D">
      <w:pPr>
        <w:pStyle w:val="BodyText"/>
        <w:rPr>
          <w:b/>
          <w:noProof/>
        </w:rPr>
      </w:pPr>
      <w:r w:rsidRPr="00F521F8">
        <w:rPr>
          <w:b/>
          <w:noProof/>
        </w:rPr>
        <w:t>Projected synergies and added value of (re)attribution:</w:t>
      </w:r>
    </w:p>
    <w:tbl>
      <w:tblPr>
        <w:tblStyle w:val="TableGrid18"/>
        <w:tblW w:w="0" w:type="auto"/>
        <w:tblLook w:val="04A0" w:firstRow="1" w:lastRow="0" w:firstColumn="1" w:lastColumn="0" w:noHBand="0" w:noVBand="1"/>
      </w:tblPr>
      <w:tblGrid>
        <w:gridCol w:w="1729"/>
        <w:gridCol w:w="1116"/>
        <w:gridCol w:w="6784"/>
      </w:tblGrid>
      <w:tr w:rsidR="000A7D9D" w:rsidRPr="00F521F8" w14:paraId="637C405E"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618715E2" w14:textId="77777777" w:rsidR="000A7D9D" w:rsidRPr="00F521F8" w:rsidRDefault="000A7D9D" w:rsidP="00F31937">
            <w:pPr>
              <w:spacing w:before="120" w:after="120"/>
              <w:rPr>
                <w:rFonts w:ascii="Times New Roman" w:hAnsi="Times New Roman"/>
                <w:b/>
                <w:bCs/>
                <w:noProof/>
                <w:color w:val="0046AD"/>
                <w:sz w:val="24"/>
                <w:szCs w:val="24"/>
              </w:rPr>
            </w:pPr>
            <w:r w:rsidRPr="00F521F8">
              <w:rPr>
                <w:rFonts w:ascii="Times New Roman" w:hAnsi="Times New Roman"/>
                <w:b/>
                <w:bCs/>
                <w:noProof/>
                <w:color w:val="0046AD"/>
                <w:sz w:val="24"/>
                <w:szCs w:val="24"/>
              </w:rPr>
              <w:t>Type</w:t>
            </w:r>
          </w:p>
        </w:tc>
        <w:tc>
          <w:tcPr>
            <w:tcW w:w="7900" w:type="dxa"/>
            <w:gridSpan w:val="2"/>
            <w:tcBorders>
              <w:top w:val="single" w:sz="4" w:space="0" w:color="auto"/>
              <w:left w:val="single" w:sz="4" w:space="0" w:color="auto"/>
              <w:bottom w:val="single" w:sz="4" w:space="0" w:color="auto"/>
              <w:right w:val="single" w:sz="4" w:space="0" w:color="auto"/>
            </w:tcBorders>
            <w:hideMark/>
          </w:tcPr>
          <w:p w14:paraId="165F5CEA" w14:textId="77777777" w:rsidR="000A7D9D" w:rsidRPr="00F521F8" w:rsidRDefault="000A7D9D" w:rsidP="00F31937">
            <w:pPr>
              <w:spacing w:before="120" w:after="120"/>
              <w:rPr>
                <w:rFonts w:ascii="Times New Roman" w:hAnsi="Times New Roman"/>
                <w:b/>
                <w:bCs/>
                <w:noProof/>
                <w:color w:val="0046AD"/>
                <w:sz w:val="24"/>
                <w:szCs w:val="24"/>
              </w:rPr>
            </w:pPr>
            <w:r w:rsidRPr="00F521F8">
              <w:rPr>
                <w:rFonts w:ascii="Times New Roman" w:hAnsi="Times New Roman"/>
                <w:b/>
                <w:bCs/>
                <w:noProof/>
                <w:color w:val="0046AD"/>
                <w:sz w:val="24"/>
                <w:szCs w:val="24"/>
              </w:rPr>
              <w:t>Synergies</w:t>
            </w:r>
          </w:p>
        </w:tc>
      </w:tr>
      <w:tr w:rsidR="000A7D9D" w:rsidRPr="00F521F8" w14:paraId="19119F47"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30BE3B4E"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sz w:val="24"/>
                <w:szCs w:val="24"/>
              </w:rPr>
              <w:t>Reuse of capabilities</w:t>
            </w:r>
          </w:p>
        </w:tc>
        <w:tc>
          <w:tcPr>
            <w:tcW w:w="1116" w:type="dxa"/>
            <w:tcBorders>
              <w:top w:val="single" w:sz="4" w:space="0" w:color="auto"/>
              <w:left w:val="single" w:sz="4" w:space="0" w:color="auto"/>
              <w:bottom w:val="single" w:sz="4" w:space="0" w:color="auto"/>
              <w:right w:val="single" w:sz="4" w:space="0" w:color="auto"/>
            </w:tcBorders>
            <w:hideMark/>
          </w:tcPr>
          <w:p w14:paraId="0CF5DB0F"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4EE17902" w14:textId="77777777" w:rsidR="000A7D9D" w:rsidRPr="00F521F8" w:rsidRDefault="000A7D9D" w:rsidP="00F31937">
            <w:pPr>
              <w:spacing w:before="120" w:after="120"/>
              <w:rPr>
                <w:rFonts w:ascii="Times New Roman" w:hAnsi="Times New Roman"/>
                <w:noProof/>
                <w:color w:val="000000"/>
                <w:sz w:val="24"/>
                <w:szCs w:val="24"/>
              </w:rPr>
            </w:pPr>
            <w:r w:rsidRPr="6BB4A9AE">
              <w:rPr>
                <w:rFonts w:ascii="Times New Roman" w:hAnsi="Times New Roman"/>
                <w:noProof/>
                <w:color w:val="000000" w:themeColor="text1"/>
                <w:sz w:val="24"/>
                <w:szCs w:val="24"/>
              </w:rPr>
              <w:t>Process and expertise: ECHA and other agencies already support similar work on data dissemination under REACH and other legislation. Several key capacities can be reused/reinforced:</w:t>
            </w:r>
          </w:p>
          <w:p w14:paraId="3AEC2229" w14:textId="77777777" w:rsidR="000A7D9D" w:rsidRPr="00F521F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F521F8">
              <w:rPr>
                <w:rFonts w:ascii="Times New Roman" w:hAnsi="Times New Roman"/>
                <w:noProof/>
                <w:color w:val="000000" w:themeColor="text1"/>
                <w:sz w:val="24"/>
                <w:szCs w:val="24"/>
              </w:rPr>
              <w:t xml:space="preserve">IT capabilities for data integration and public and confidential data dissemination </w:t>
            </w:r>
          </w:p>
          <w:p w14:paraId="0FE74FF8" w14:textId="77777777" w:rsidR="000A7D9D" w:rsidRPr="00F521F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F521F8">
              <w:rPr>
                <w:rFonts w:ascii="Times New Roman" w:hAnsi="Times New Roman"/>
                <w:noProof/>
                <w:color w:val="000000" w:themeColor="text1"/>
                <w:sz w:val="24"/>
                <w:szCs w:val="24"/>
              </w:rPr>
              <w:t>IT capabilities for data submission and publication of regulatory intentions</w:t>
            </w:r>
          </w:p>
          <w:p w14:paraId="37F3A51A" w14:textId="77777777" w:rsidR="000A7D9D" w:rsidRPr="00F521F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F521F8">
              <w:rPr>
                <w:rFonts w:ascii="Times New Roman" w:hAnsi="Times New Roman"/>
                <w:noProof/>
                <w:color w:val="000000" w:themeColor="text1"/>
                <w:sz w:val="24"/>
                <w:szCs w:val="24"/>
              </w:rPr>
              <w:t>solutions of the chemicals legislation finder and chemical occurrence data IPCHEM</w:t>
            </w:r>
          </w:p>
        </w:tc>
      </w:tr>
      <w:tr w:rsidR="000A7D9D" w:rsidRPr="00F521F8" w14:paraId="5AB3A088"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54182F8C"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sz w:val="24"/>
                <w:szCs w:val="24"/>
              </w:rPr>
              <w:t>Re-use of data</w:t>
            </w:r>
          </w:p>
        </w:tc>
        <w:tc>
          <w:tcPr>
            <w:tcW w:w="1116" w:type="dxa"/>
            <w:tcBorders>
              <w:top w:val="single" w:sz="4" w:space="0" w:color="auto"/>
              <w:left w:val="single" w:sz="4" w:space="0" w:color="auto"/>
              <w:bottom w:val="single" w:sz="4" w:space="0" w:color="auto"/>
              <w:right w:val="single" w:sz="4" w:space="0" w:color="auto"/>
            </w:tcBorders>
            <w:hideMark/>
          </w:tcPr>
          <w:p w14:paraId="3EE4F603"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70BE96FF" w14:textId="77777777" w:rsidR="000A7D9D" w:rsidRPr="00F521F8" w:rsidRDefault="000A7D9D" w:rsidP="00F31937">
            <w:pPr>
              <w:spacing w:before="120" w:after="120"/>
              <w:rPr>
                <w:rFonts w:ascii="Times New Roman" w:hAnsi="Times New Roman"/>
                <w:noProof/>
                <w:color w:val="000000"/>
                <w:sz w:val="24"/>
                <w:szCs w:val="24"/>
              </w:rPr>
            </w:pPr>
            <w:r w:rsidRPr="6BB4A9AE">
              <w:rPr>
                <w:rFonts w:ascii="Times New Roman" w:hAnsi="Times New Roman"/>
                <w:noProof/>
                <w:color w:val="000000" w:themeColor="text1"/>
                <w:sz w:val="24"/>
                <w:szCs w:val="24"/>
              </w:rPr>
              <w:t>Reuse of data collected under other chemical legislation to populate the new platform aimed to facilitate re-use by ECHA and other agencies (as well as other users).</w:t>
            </w:r>
          </w:p>
        </w:tc>
      </w:tr>
      <w:tr w:rsidR="000A7D9D" w:rsidRPr="00F521F8" w14:paraId="24E9763B"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382270D3"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sz w:val="24"/>
                <w:szCs w:val="24"/>
              </w:rPr>
              <w:t>Workload balancing</w:t>
            </w:r>
          </w:p>
        </w:tc>
        <w:tc>
          <w:tcPr>
            <w:tcW w:w="1116" w:type="dxa"/>
            <w:tcBorders>
              <w:top w:val="single" w:sz="4" w:space="0" w:color="auto"/>
              <w:left w:val="single" w:sz="4" w:space="0" w:color="auto"/>
              <w:bottom w:val="single" w:sz="4" w:space="0" w:color="auto"/>
              <w:right w:val="single" w:sz="4" w:space="0" w:color="auto"/>
            </w:tcBorders>
            <w:hideMark/>
          </w:tcPr>
          <w:p w14:paraId="1C4F2C51"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Low</w:t>
            </w:r>
          </w:p>
        </w:tc>
        <w:tc>
          <w:tcPr>
            <w:tcW w:w="6784" w:type="dxa"/>
            <w:tcBorders>
              <w:top w:val="single" w:sz="4" w:space="0" w:color="auto"/>
              <w:left w:val="single" w:sz="4" w:space="0" w:color="auto"/>
              <w:bottom w:val="single" w:sz="4" w:space="0" w:color="auto"/>
              <w:right w:val="single" w:sz="4" w:space="0" w:color="auto"/>
            </w:tcBorders>
            <w:hideMark/>
          </w:tcPr>
          <w:p w14:paraId="2463D4DA"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With IT development work clearly defined in a 3-year project plan and after that a running phase with much less resources, there is a clear resource plan and little or no room for workload balancing (and resource estimates are already annualised).</w:t>
            </w:r>
          </w:p>
        </w:tc>
      </w:tr>
      <w:tr w:rsidR="000A7D9D" w:rsidRPr="00F521F8" w14:paraId="370CA46E"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2B697067"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sz w:val="24"/>
                <w:szCs w:val="24"/>
              </w:rPr>
              <w:t>IT tools: automation and economies of scale</w:t>
            </w:r>
          </w:p>
        </w:tc>
        <w:tc>
          <w:tcPr>
            <w:tcW w:w="1116" w:type="dxa"/>
            <w:tcBorders>
              <w:top w:val="single" w:sz="4" w:space="0" w:color="auto"/>
              <w:left w:val="single" w:sz="4" w:space="0" w:color="auto"/>
              <w:bottom w:val="single" w:sz="4" w:space="0" w:color="auto"/>
              <w:right w:val="single" w:sz="4" w:space="0" w:color="auto"/>
            </w:tcBorders>
            <w:hideMark/>
          </w:tcPr>
          <w:p w14:paraId="0709F763"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24644DE2" w14:textId="77777777" w:rsidR="000A7D9D" w:rsidRPr="00F521F8" w:rsidRDefault="000A7D9D" w:rsidP="00F31937">
            <w:pPr>
              <w:spacing w:before="120" w:after="120"/>
              <w:rPr>
                <w:rFonts w:ascii="Times New Roman" w:hAnsi="Times New Roman"/>
                <w:noProof/>
                <w:color w:val="000000"/>
                <w:sz w:val="24"/>
                <w:szCs w:val="24"/>
              </w:rPr>
            </w:pPr>
            <w:r w:rsidRPr="6BB4A9AE">
              <w:rPr>
                <w:rFonts w:ascii="Times New Roman" w:hAnsi="Times New Roman"/>
                <w:noProof/>
                <w:color w:val="000000" w:themeColor="text1"/>
                <w:sz w:val="24"/>
                <w:szCs w:val="24"/>
              </w:rPr>
              <w:t>Reuse of IT capabilities for regulatory intentions management and data dissemination building blocks. ECHA is also required to build an EU repository of reference values and manage the chemicals legislation finder, building on existing tools.</w:t>
            </w:r>
          </w:p>
        </w:tc>
      </w:tr>
      <w:tr w:rsidR="000A7D9D" w:rsidRPr="00F521F8" w14:paraId="089AFB93"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7B0CD4D1"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sz w:val="24"/>
                <w:szCs w:val="24"/>
              </w:rPr>
              <w:t>Support services: economies of scale</w:t>
            </w:r>
          </w:p>
        </w:tc>
        <w:tc>
          <w:tcPr>
            <w:tcW w:w="1116" w:type="dxa"/>
            <w:tcBorders>
              <w:top w:val="single" w:sz="4" w:space="0" w:color="auto"/>
              <w:left w:val="single" w:sz="4" w:space="0" w:color="auto"/>
              <w:bottom w:val="single" w:sz="4" w:space="0" w:color="auto"/>
              <w:right w:val="single" w:sz="4" w:space="0" w:color="auto"/>
            </w:tcBorders>
            <w:hideMark/>
          </w:tcPr>
          <w:p w14:paraId="364D535B"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4F83A698"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Reuse of scientific support services (e.g. substance identification, data management and dissemination). Reuse of administrative services.</w:t>
            </w:r>
          </w:p>
        </w:tc>
      </w:tr>
    </w:tbl>
    <w:p w14:paraId="3CB1EE86" w14:textId="77777777" w:rsidR="000A7D9D" w:rsidRPr="00F521F8" w:rsidRDefault="000A7D9D" w:rsidP="000A7D9D">
      <w:pPr>
        <w:pStyle w:val="BodyText"/>
        <w:rPr>
          <w:noProof/>
        </w:rPr>
      </w:pPr>
    </w:p>
    <w:tbl>
      <w:tblPr>
        <w:tblStyle w:val="TableGrid19"/>
        <w:tblW w:w="0" w:type="auto"/>
        <w:tblLook w:val="04A0" w:firstRow="1" w:lastRow="0" w:firstColumn="1" w:lastColumn="0" w:noHBand="0" w:noVBand="1"/>
      </w:tblPr>
      <w:tblGrid>
        <w:gridCol w:w="1822"/>
        <w:gridCol w:w="1059"/>
        <w:gridCol w:w="6748"/>
      </w:tblGrid>
      <w:tr w:rsidR="000A7D9D" w:rsidRPr="00F521F8" w14:paraId="214D0192"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11186665" w14:textId="77777777" w:rsidR="000A7D9D" w:rsidRPr="00F521F8" w:rsidRDefault="000A7D9D" w:rsidP="00F31937">
            <w:pPr>
              <w:spacing w:before="120" w:after="120"/>
              <w:rPr>
                <w:rFonts w:ascii="Times New Roman" w:hAnsi="Times New Roman"/>
                <w:b/>
                <w:bCs/>
                <w:noProof/>
                <w:color w:val="0046AD"/>
                <w:sz w:val="24"/>
                <w:szCs w:val="24"/>
              </w:rPr>
            </w:pPr>
            <w:r w:rsidRPr="00F521F8">
              <w:rPr>
                <w:rFonts w:ascii="Times New Roman" w:hAnsi="Times New Roman"/>
                <w:b/>
                <w:bCs/>
                <w:noProof/>
                <w:color w:val="0046AD"/>
                <w:sz w:val="24"/>
                <w:szCs w:val="24"/>
              </w:rPr>
              <w:t>Type</w:t>
            </w:r>
          </w:p>
        </w:tc>
        <w:tc>
          <w:tcPr>
            <w:tcW w:w="7807" w:type="dxa"/>
            <w:gridSpan w:val="2"/>
            <w:tcBorders>
              <w:top w:val="single" w:sz="4" w:space="0" w:color="auto"/>
              <w:left w:val="single" w:sz="4" w:space="0" w:color="auto"/>
              <w:bottom w:val="single" w:sz="4" w:space="0" w:color="auto"/>
              <w:right w:val="single" w:sz="4" w:space="0" w:color="auto"/>
            </w:tcBorders>
          </w:tcPr>
          <w:p w14:paraId="701CF0C1" w14:textId="77777777" w:rsidR="000A7D9D" w:rsidRPr="00F521F8" w:rsidRDefault="000A7D9D" w:rsidP="00F31937">
            <w:pPr>
              <w:spacing w:before="120" w:after="120"/>
              <w:rPr>
                <w:rFonts w:ascii="Times New Roman" w:hAnsi="Times New Roman"/>
                <w:b/>
                <w:bCs/>
                <w:noProof/>
                <w:color w:val="0046AD"/>
                <w:sz w:val="24"/>
                <w:szCs w:val="24"/>
              </w:rPr>
            </w:pPr>
            <w:r w:rsidRPr="00F521F8">
              <w:rPr>
                <w:rFonts w:ascii="Times New Roman" w:hAnsi="Times New Roman"/>
                <w:b/>
                <w:bCs/>
                <w:noProof/>
                <w:color w:val="0046AD"/>
                <w:sz w:val="24"/>
                <w:szCs w:val="24"/>
              </w:rPr>
              <w:t>Added value</w:t>
            </w:r>
          </w:p>
        </w:tc>
      </w:tr>
      <w:tr w:rsidR="000A7D9D" w:rsidRPr="00F521F8" w14:paraId="69994D80"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2241EF6B"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sz w:val="24"/>
                <w:szCs w:val="24"/>
              </w:rPr>
              <w:t>Scientific consistency</w:t>
            </w:r>
          </w:p>
        </w:tc>
        <w:tc>
          <w:tcPr>
            <w:tcW w:w="1059" w:type="dxa"/>
            <w:tcBorders>
              <w:top w:val="single" w:sz="4" w:space="0" w:color="auto"/>
              <w:left w:val="single" w:sz="4" w:space="0" w:color="auto"/>
              <w:bottom w:val="single" w:sz="4" w:space="0" w:color="auto"/>
              <w:right w:val="single" w:sz="4" w:space="0" w:color="auto"/>
            </w:tcBorders>
            <w:hideMark/>
          </w:tcPr>
          <w:p w14:paraId="568AAA3F"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High</w:t>
            </w:r>
          </w:p>
        </w:tc>
        <w:tc>
          <w:tcPr>
            <w:tcW w:w="6748" w:type="dxa"/>
            <w:tcBorders>
              <w:top w:val="single" w:sz="4" w:space="0" w:color="auto"/>
              <w:left w:val="single" w:sz="4" w:space="0" w:color="auto"/>
              <w:bottom w:val="single" w:sz="4" w:space="0" w:color="auto"/>
              <w:right w:val="single" w:sz="4" w:space="0" w:color="auto"/>
            </w:tcBorders>
            <w:hideMark/>
          </w:tcPr>
          <w:p w14:paraId="20B20C94"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Opportunity to improve data sharing between EU authorities to improve coherence in the scientific advice provided to the Commission. Reuse of data collected under several chemical legislations.</w:t>
            </w:r>
          </w:p>
        </w:tc>
      </w:tr>
      <w:tr w:rsidR="000A7D9D" w:rsidRPr="00F521F8" w14:paraId="3329CF63"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393F0922"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sz w:val="24"/>
                <w:szCs w:val="24"/>
              </w:rPr>
              <w:t>Robustness of assessment and acceptance</w:t>
            </w:r>
          </w:p>
        </w:tc>
        <w:tc>
          <w:tcPr>
            <w:tcW w:w="1059" w:type="dxa"/>
            <w:tcBorders>
              <w:top w:val="single" w:sz="4" w:space="0" w:color="auto"/>
              <w:left w:val="single" w:sz="4" w:space="0" w:color="auto"/>
              <w:bottom w:val="single" w:sz="4" w:space="0" w:color="auto"/>
              <w:right w:val="single" w:sz="4" w:space="0" w:color="auto"/>
            </w:tcBorders>
            <w:hideMark/>
          </w:tcPr>
          <w:p w14:paraId="424E2AD4"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High</w:t>
            </w:r>
          </w:p>
        </w:tc>
        <w:tc>
          <w:tcPr>
            <w:tcW w:w="6748" w:type="dxa"/>
            <w:tcBorders>
              <w:top w:val="single" w:sz="4" w:space="0" w:color="auto"/>
              <w:left w:val="single" w:sz="4" w:space="0" w:color="auto"/>
              <w:bottom w:val="single" w:sz="4" w:space="0" w:color="auto"/>
              <w:right w:val="single" w:sz="4" w:space="0" w:color="auto"/>
            </w:tcBorders>
            <w:hideMark/>
          </w:tcPr>
          <w:p w14:paraId="4BCDD9D0" w14:textId="77777777" w:rsidR="000A7D9D" w:rsidRPr="00F521F8" w:rsidRDefault="000A7D9D" w:rsidP="00F31937">
            <w:pPr>
              <w:spacing w:before="120" w:after="120"/>
              <w:rPr>
                <w:rFonts w:ascii="Times New Roman" w:hAnsi="Times New Roman"/>
                <w:noProof/>
                <w:color w:val="000000" w:themeColor="text1"/>
                <w:sz w:val="24"/>
                <w:szCs w:val="24"/>
              </w:rPr>
            </w:pPr>
            <w:r w:rsidRPr="6BB4A9AE">
              <w:rPr>
                <w:rFonts w:ascii="Times New Roman" w:hAnsi="Times New Roman"/>
                <w:noProof/>
                <w:color w:val="000000" w:themeColor="text1"/>
                <w:sz w:val="24"/>
                <w:szCs w:val="24"/>
              </w:rPr>
              <w:t>Centralising all data on chemicals in one central EU platform will broaden the knowledge base and improve the robustness of the scientific advice provided to the Commission; re-use of (same) data will facilitate acceptance of conclusions.</w:t>
            </w:r>
          </w:p>
        </w:tc>
      </w:tr>
      <w:tr w:rsidR="000A7D9D" w:rsidRPr="00F521F8" w14:paraId="1663628C"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6605E619"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sz w:val="24"/>
                <w:szCs w:val="24"/>
              </w:rPr>
              <w:t>Independence</w:t>
            </w:r>
          </w:p>
        </w:tc>
        <w:tc>
          <w:tcPr>
            <w:tcW w:w="1059" w:type="dxa"/>
            <w:tcBorders>
              <w:top w:val="single" w:sz="4" w:space="0" w:color="auto"/>
              <w:left w:val="single" w:sz="4" w:space="0" w:color="auto"/>
              <w:bottom w:val="single" w:sz="4" w:space="0" w:color="auto"/>
              <w:right w:val="single" w:sz="4" w:space="0" w:color="auto"/>
            </w:tcBorders>
            <w:hideMark/>
          </w:tcPr>
          <w:p w14:paraId="0B5944D2"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Low</w:t>
            </w:r>
          </w:p>
        </w:tc>
        <w:tc>
          <w:tcPr>
            <w:tcW w:w="6748" w:type="dxa"/>
            <w:tcBorders>
              <w:top w:val="single" w:sz="4" w:space="0" w:color="auto"/>
              <w:left w:val="single" w:sz="4" w:space="0" w:color="auto"/>
              <w:bottom w:val="single" w:sz="4" w:space="0" w:color="auto"/>
              <w:right w:val="single" w:sz="4" w:space="0" w:color="auto"/>
            </w:tcBorders>
            <w:hideMark/>
          </w:tcPr>
          <w:p w14:paraId="7AB1E9CD"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w:t>
            </w:r>
          </w:p>
        </w:tc>
      </w:tr>
      <w:tr w:rsidR="000A7D9D" w:rsidRPr="00F521F8" w14:paraId="01BBD657"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7DC85F1C"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sz w:val="24"/>
                <w:szCs w:val="24"/>
              </w:rPr>
              <w:t>Transparency</w:t>
            </w:r>
          </w:p>
        </w:tc>
        <w:tc>
          <w:tcPr>
            <w:tcW w:w="1059" w:type="dxa"/>
            <w:tcBorders>
              <w:top w:val="single" w:sz="4" w:space="0" w:color="auto"/>
              <w:left w:val="single" w:sz="4" w:space="0" w:color="auto"/>
              <w:bottom w:val="single" w:sz="4" w:space="0" w:color="auto"/>
              <w:right w:val="single" w:sz="4" w:space="0" w:color="auto"/>
            </w:tcBorders>
            <w:hideMark/>
          </w:tcPr>
          <w:p w14:paraId="0AF5B59A"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High</w:t>
            </w:r>
          </w:p>
        </w:tc>
        <w:tc>
          <w:tcPr>
            <w:tcW w:w="6748" w:type="dxa"/>
            <w:tcBorders>
              <w:top w:val="single" w:sz="4" w:space="0" w:color="auto"/>
              <w:left w:val="single" w:sz="4" w:space="0" w:color="auto"/>
              <w:bottom w:val="single" w:sz="4" w:space="0" w:color="auto"/>
              <w:right w:val="single" w:sz="4" w:space="0" w:color="auto"/>
            </w:tcBorders>
            <w:hideMark/>
          </w:tcPr>
          <w:p w14:paraId="0F449550"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sz w:val="24"/>
                <w:szCs w:val="24"/>
              </w:rPr>
              <w:t>Centralising all data on chemicals in one central EU platform will help to improve:</w:t>
            </w:r>
          </w:p>
          <w:p w14:paraId="5520D2A9" w14:textId="77777777" w:rsidR="000A7D9D" w:rsidRPr="00F521F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F521F8">
              <w:rPr>
                <w:rFonts w:ascii="Times New Roman" w:hAnsi="Times New Roman"/>
                <w:noProof/>
                <w:color w:val="000000" w:themeColor="text1"/>
                <w:sz w:val="24"/>
                <w:szCs w:val="24"/>
              </w:rPr>
              <w:t>Overall process transparency for EU chemicals legislation</w:t>
            </w:r>
          </w:p>
          <w:p w14:paraId="673E8ADD" w14:textId="77777777" w:rsidR="000A7D9D" w:rsidRPr="00F521F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6BB4A9AE">
              <w:rPr>
                <w:rFonts w:ascii="Times New Roman" w:hAnsi="Times New Roman"/>
                <w:noProof/>
                <w:color w:val="000000" w:themeColor="text1"/>
                <w:sz w:val="24"/>
                <w:szCs w:val="24"/>
              </w:rPr>
              <w:t xml:space="preserve">Predictability for industry stakeholders thanks to the publication of regulatory intentions </w:t>
            </w:r>
          </w:p>
          <w:p w14:paraId="65622895" w14:textId="77777777" w:rsidR="000A7D9D" w:rsidRPr="00F521F8"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F521F8">
              <w:rPr>
                <w:rFonts w:ascii="Times New Roman" w:hAnsi="Times New Roman"/>
                <w:noProof/>
                <w:color w:val="000000" w:themeColor="text1"/>
                <w:sz w:val="24"/>
                <w:szCs w:val="24"/>
              </w:rPr>
              <w:t>Dissemination of scientific data and outcomes</w:t>
            </w:r>
          </w:p>
        </w:tc>
      </w:tr>
    </w:tbl>
    <w:p w14:paraId="1E1A84E6" w14:textId="77777777" w:rsidR="000A7D9D" w:rsidRDefault="000A7D9D" w:rsidP="000A7D9D">
      <w:pPr>
        <w:pStyle w:val="BodyText"/>
        <w:spacing w:before="120"/>
        <w:jc w:val="both"/>
        <w:rPr>
          <w:b/>
          <w:bCs/>
          <w:noProof/>
        </w:rPr>
      </w:pPr>
    </w:p>
    <w:p w14:paraId="7A69355C" w14:textId="77777777" w:rsidR="000A7D9D" w:rsidRPr="00F521F8" w:rsidRDefault="000A7D9D" w:rsidP="000A7D9D">
      <w:pPr>
        <w:pStyle w:val="BodyText"/>
        <w:spacing w:before="120"/>
        <w:jc w:val="both"/>
        <w:rPr>
          <w:noProof/>
        </w:rPr>
      </w:pPr>
      <w:r w:rsidRPr="6BB4A9AE">
        <w:rPr>
          <w:b/>
          <w:bCs/>
          <w:noProof/>
        </w:rPr>
        <w:t xml:space="preserve">Main risks and opportunities: </w:t>
      </w:r>
    </w:p>
    <w:p w14:paraId="3130F80B" w14:textId="77777777" w:rsidR="000A7D9D" w:rsidRPr="00F521F8" w:rsidRDefault="000A7D9D" w:rsidP="000A7D9D">
      <w:pPr>
        <w:pStyle w:val="BodyText"/>
        <w:numPr>
          <w:ilvl w:val="0"/>
          <w:numId w:val="3"/>
        </w:numPr>
        <w:spacing w:before="120"/>
        <w:jc w:val="both"/>
        <w:rPr>
          <w:noProof/>
        </w:rPr>
      </w:pPr>
      <w:r>
        <w:rPr>
          <w:noProof/>
        </w:rPr>
        <w:t xml:space="preserve">Risks: Complex IT project with many stakeholders. Needs robust governance, clear roles and responsibilities, resources and funding. Legal text needs to include legal basis for ECHA to build and host and govern the platform and for other EU authorities a legal obligation to provide data. </w:t>
      </w:r>
    </w:p>
    <w:p w14:paraId="3EA88DF2" w14:textId="77777777" w:rsidR="000A7D9D" w:rsidRPr="00F521F8" w:rsidRDefault="000A7D9D" w:rsidP="000A7D9D">
      <w:pPr>
        <w:pStyle w:val="BodyText"/>
        <w:numPr>
          <w:ilvl w:val="0"/>
          <w:numId w:val="3"/>
        </w:numPr>
        <w:spacing w:before="120"/>
        <w:jc w:val="both"/>
        <w:rPr>
          <w:noProof/>
        </w:rPr>
      </w:pPr>
      <w:r>
        <w:rPr>
          <w:noProof/>
        </w:rPr>
        <w:t xml:space="preserve">Opportunities: The </w:t>
      </w:r>
      <w:r w:rsidRPr="004B6BC3">
        <w:rPr>
          <w:noProof/>
        </w:rPr>
        <w:t xml:space="preserve">proposal for a regulation establishing a common data platform and a monitoring and outlook framework for chemicals </w:t>
      </w:r>
      <w:r>
        <w:rPr>
          <w:noProof/>
        </w:rPr>
        <w:t xml:space="preserve">should take away barriers to sharing (confidential) data and support its re-use. Opportunities include also further benefits arising from coordinated development of IT services between agencies and a frame that will facilitate the evolution of existing and the development of new digital services and application of artificial intelligence based on chemicals data (e.g. predictive tools, safe and sustainable by design). </w:t>
      </w:r>
    </w:p>
    <w:p w14:paraId="635A4F7C" w14:textId="77777777" w:rsidR="000A7D9D" w:rsidRPr="00F521F8" w:rsidRDefault="000A7D9D" w:rsidP="000A7D9D">
      <w:pPr>
        <w:pStyle w:val="BodyText"/>
        <w:rPr>
          <w:b/>
          <w:bCs/>
          <w:noProof/>
        </w:rPr>
      </w:pPr>
      <w:r w:rsidRPr="6BB4A9AE">
        <w:rPr>
          <w:b/>
          <w:bCs/>
          <w:noProof/>
        </w:rPr>
        <w:t>Projected impact on agencies:</w:t>
      </w:r>
    </w:p>
    <w:p w14:paraId="1AA82855" w14:textId="77777777" w:rsidR="000A7D9D" w:rsidRPr="00F521F8" w:rsidRDefault="000A7D9D" w:rsidP="000A7D9D">
      <w:pPr>
        <w:pStyle w:val="BodyText"/>
        <w:widowControl w:val="0"/>
        <w:numPr>
          <w:ilvl w:val="0"/>
          <w:numId w:val="88"/>
        </w:numPr>
        <w:rPr>
          <w:b/>
          <w:bCs/>
          <w:noProof/>
        </w:rPr>
      </w:pPr>
      <w:r>
        <w:rPr>
          <w:noProof/>
        </w:rPr>
        <w:t xml:space="preserve">Committees/bodies of the agencies: </w:t>
      </w:r>
      <w:r w:rsidRPr="6BB4A9AE">
        <w:rPr>
          <w:b/>
          <w:bCs/>
          <w:noProof/>
        </w:rPr>
        <w:t>no impact</w:t>
      </w:r>
      <w:r>
        <w:rPr>
          <w:noProof/>
        </w:rPr>
        <w:t>. The task does not require the involvement of committees /bodies</w:t>
      </w:r>
    </w:p>
    <w:p w14:paraId="40200804" w14:textId="77777777" w:rsidR="000A7D9D" w:rsidRPr="00D316DE" w:rsidRDefault="000A7D9D" w:rsidP="000A7D9D">
      <w:pPr>
        <w:pStyle w:val="BodyText"/>
        <w:widowControl w:val="0"/>
        <w:numPr>
          <w:ilvl w:val="0"/>
          <w:numId w:val="88"/>
        </w:numPr>
        <w:rPr>
          <w:noProof/>
        </w:rPr>
      </w:pPr>
      <w:r w:rsidRPr="00D316DE">
        <w:rPr>
          <w:noProof/>
        </w:rPr>
        <w:t xml:space="preserve">Data model(s) and IT infrastructure: </w:t>
      </w:r>
      <w:r w:rsidRPr="00D316DE">
        <w:rPr>
          <w:b/>
          <w:bCs/>
          <w:noProof/>
        </w:rPr>
        <w:t>high impact</w:t>
      </w:r>
      <w:r w:rsidRPr="00D316DE">
        <w:rPr>
          <w:noProof/>
        </w:rPr>
        <w:t>. The task requires investment in entirely new data structures and IT systems/capabilities, principally on ECHA’s side but also on the side of data source owners preparing datasets for integration into the common data platform</w:t>
      </w:r>
    </w:p>
    <w:p w14:paraId="27E051B4" w14:textId="77777777" w:rsidR="000A7D9D" w:rsidRPr="00F521F8" w:rsidRDefault="000A7D9D" w:rsidP="000A7D9D">
      <w:pPr>
        <w:pStyle w:val="BodyText"/>
        <w:widowControl w:val="0"/>
        <w:numPr>
          <w:ilvl w:val="0"/>
          <w:numId w:val="88"/>
        </w:numPr>
        <w:rPr>
          <w:b/>
          <w:bCs/>
          <w:noProof/>
        </w:rPr>
      </w:pPr>
      <w:r>
        <w:rPr>
          <w:noProof/>
        </w:rPr>
        <w:t>Key experts:</w:t>
      </w:r>
      <w:r w:rsidRPr="6BB4A9AE">
        <w:rPr>
          <w:b/>
          <w:bCs/>
          <w:noProof/>
        </w:rPr>
        <w:t xml:space="preserve"> high impact</w:t>
      </w:r>
      <w:r>
        <w:rPr>
          <w:noProof/>
        </w:rPr>
        <w:t>. The task relies heavily on expert competencies; while an important segment of preparing the IT solutions can be outsourced, work on internal data linkages and rules supporting integration will rely on internal experts, which are limited within the agencies and also critical to ensure continuity of ongoing regulatory tasks</w:t>
      </w:r>
    </w:p>
    <w:p w14:paraId="63AB2E78" w14:textId="77777777" w:rsidR="000A7D9D" w:rsidRPr="00F521F8" w:rsidRDefault="000A7D9D" w:rsidP="000A7D9D">
      <w:pPr>
        <w:pStyle w:val="BodyText"/>
        <w:rPr>
          <w:noProof/>
        </w:rPr>
      </w:pPr>
      <w:r w:rsidRPr="00F521F8">
        <w:rPr>
          <w:b/>
          <w:bCs/>
          <w:noProof/>
        </w:rPr>
        <w:t>Projected workload and resource implications:</w:t>
      </w:r>
      <w:r w:rsidRPr="00F521F8">
        <w:rPr>
          <w:noProof/>
        </w:rPr>
        <w:t xml:space="preserve"> </w:t>
      </w:r>
    </w:p>
    <w:p w14:paraId="3922A7C2" w14:textId="77777777" w:rsidR="000A7D9D" w:rsidRPr="00F521F8" w:rsidRDefault="000A7D9D" w:rsidP="000A7D9D">
      <w:pPr>
        <w:spacing w:after="120"/>
        <w:jc w:val="both"/>
        <w:rPr>
          <w:rFonts w:ascii="Times New Roman" w:hAnsi="Times New Roman" w:cs="Times New Roman"/>
          <w:noProof/>
          <w:sz w:val="24"/>
          <w:szCs w:val="24"/>
        </w:rPr>
      </w:pPr>
      <w:r w:rsidRPr="6BB4A9AE">
        <w:rPr>
          <w:rFonts w:ascii="Times New Roman" w:hAnsi="Times New Roman" w:cs="Times New Roman"/>
          <w:noProof/>
          <w:sz w:val="24"/>
          <w:szCs w:val="24"/>
        </w:rPr>
        <w:t>There are extensive resources already employed in current IT/data infrastructures of the agencies, and in the planning of the (re)attribution of tasks an IT overhead is considered to ensure the tasks are adequately supported</w:t>
      </w:r>
      <w:r>
        <w:rPr>
          <w:rFonts w:ascii="Times New Roman" w:hAnsi="Times New Roman" w:cs="Times New Roman"/>
          <w:noProof/>
          <w:sz w:val="24"/>
          <w:szCs w:val="24"/>
        </w:rPr>
        <w:t xml:space="preserve">. </w:t>
      </w:r>
      <w:r w:rsidRPr="6BB4A9AE">
        <w:rPr>
          <w:rFonts w:ascii="Times New Roman" w:hAnsi="Times New Roman" w:cs="Times New Roman"/>
          <w:noProof/>
          <w:sz w:val="24"/>
          <w:szCs w:val="24"/>
        </w:rPr>
        <w:t xml:space="preserve">It is expected that some reattribution will take place to optimally exploit synergies with the work on the common data platform. That platform is however a new infrastructure that in spite of longer-term benefits such as an increased effectiveness of tasks and efficiencies of individual IT solutions (formats, vocabularies, reusable building blocks, addressing at least part of dissemination expectation etc.) requires investment to </w:t>
      </w:r>
      <w:r>
        <w:rPr>
          <w:rFonts w:ascii="Times New Roman" w:hAnsi="Times New Roman" w:cs="Times New Roman"/>
          <w:noProof/>
          <w:sz w:val="24"/>
          <w:szCs w:val="24"/>
        </w:rPr>
        <w:t xml:space="preserve">be </w:t>
      </w:r>
      <w:r w:rsidRPr="6BB4A9AE">
        <w:rPr>
          <w:rFonts w:ascii="Times New Roman" w:hAnsi="Times New Roman" w:cs="Times New Roman"/>
          <w:noProof/>
          <w:sz w:val="24"/>
          <w:szCs w:val="24"/>
        </w:rPr>
        <w:t>develop</w:t>
      </w:r>
      <w:r>
        <w:rPr>
          <w:rFonts w:ascii="Times New Roman" w:hAnsi="Times New Roman" w:cs="Times New Roman"/>
          <w:noProof/>
          <w:sz w:val="24"/>
          <w:szCs w:val="24"/>
        </w:rPr>
        <w:t>ed</w:t>
      </w:r>
      <w:r w:rsidRPr="6BB4A9AE">
        <w:rPr>
          <w:rFonts w:ascii="Times New Roman" w:hAnsi="Times New Roman" w:cs="Times New Roman"/>
          <w:noProof/>
          <w:sz w:val="24"/>
          <w:szCs w:val="24"/>
        </w:rPr>
        <w:t xml:space="preserve">, </w:t>
      </w:r>
      <w:r>
        <w:rPr>
          <w:rFonts w:ascii="Times New Roman" w:hAnsi="Times New Roman" w:cs="Times New Roman"/>
          <w:noProof/>
          <w:sz w:val="24"/>
          <w:szCs w:val="24"/>
        </w:rPr>
        <w:t xml:space="preserve">to prepare the datasets in adequate formats and to cover necessary </w:t>
      </w:r>
      <w:r w:rsidRPr="6BB4A9AE">
        <w:rPr>
          <w:rFonts w:ascii="Times New Roman" w:hAnsi="Times New Roman" w:cs="Times New Roman"/>
          <w:noProof/>
          <w:sz w:val="24"/>
          <w:szCs w:val="24"/>
        </w:rPr>
        <w:t xml:space="preserve">overhead for operations. For dedicated services described separately in specific sections below, only a summary of the resource estimation is given as a repetition, in </w:t>
      </w:r>
      <w:r>
        <w:rPr>
          <w:rFonts w:ascii="Times New Roman" w:hAnsi="Times New Roman" w:cs="Times New Roman"/>
          <w:noProof/>
          <w:sz w:val="24"/>
          <w:szCs w:val="24"/>
        </w:rPr>
        <w:t xml:space="preserve">order to </w:t>
      </w:r>
      <w:r w:rsidRPr="6BB4A9AE">
        <w:rPr>
          <w:rFonts w:ascii="Times New Roman" w:hAnsi="Times New Roman" w:cs="Times New Roman"/>
          <w:noProof/>
          <w:sz w:val="24"/>
          <w:szCs w:val="24"/>
        </w:rPr>
        <w:t>avoid potential double counting.</w:t>
      </w:r>
      <w:r w:rsidRPr="6BB4A9AE">
        <w:rPr>
          <w:rFonts w:ascii="Times New Roman" w:hAnsi="Times New Roman" w:cs="Times New Roman"/>
          <w:noProof/>
          <w:sz w:val="24"/>
          <w:szCs w:val="24"/>
          <w:u w:val="single"/>
        </w:rPr>
        <w:t xml:space="preserve"> </w:t>
      </w:r>
    </w:p>
    <w:p w14:paraId="018A821D" w14:textId="77777777" w:rsidR="000A7D9D" w:rsidRPr="00F521F8" w:rsidRDefault="000A7D9D" w:rsidP="000A7D9D">
      <w:pPr>
        <w:spacing w:after="120"/>
        <w:jc w:val="both"/>
        <w:rPr>
          <w:rFonts w:ascii="Times New Roman" w:hAnsi="Times New Roman" w:cs="Times New Roman"/>
          <w:noProof/>
          <w:sz w:val="24"/>
          <w:szCs w:val="24"/>
        </w:rPr>
      </w:pPr>
      <w:r w:rsidRPr="6BB4A9AE">
        <w:rPr>
          <w:rFonts w:ascii="Times New Roman" w:hAnsi="Times New Roman" w:cs="Times New Roman"/>
          <w:noProof/>
          <w:sz w:val="24"/>
          <w:szCs w:val="24"/>
        </w:rPr>
        <w:t xml:space="preserve">Estimates for agencies are made on the basis of </w:t>
      </w:r>
      <w:r>
        <w:rPr>
          <w:rFonts w:ascii="Times New Roman" w:hAnsi="Times New Roman" w:cs="Times New Roman"/>
          <w:noProof/>
          <w:sz w:val="24"/>
          <w:szCs w:val="24"/>
        </w:rPr>
        <w:t xml:space="preserve">the datasets identified to be included in the MVP (see above) and the current state of the dataset and </w:t>
      </w:r>
      <w:r w:rsidRPr="6BB4A9AE">
        <w:rPr>
          <w:rFonts w:ascii="Times New Roman" w:hAnsi="Times New Roman" w:cs="Times New Roman"/>
          <w:noProof/>
          <w:sz w:val="24"/>
          <w:szCs w:val="24"/>
        </w:rPr>
        <w:t>under the assumption that ECHA develops and hosts the common data platform.</w:t>
      </w:r>
      <w:r w:rsidRPr="6BB4A9AE">
        <w:rPr>
          <w:rFonts w:ascii="Times New Roman" w:hAnsi="Times New Roman" w:cs="Times New Roman"/>
          <w:noProof/>
          <w:sz w:val="24"/>
          <w:szCs w:val="24"/>
          <w:u w:val="single"/>
        </w:rPr>
        <w:t xml:space="preserve"> </w:t>
      </w:r>
    </w:p>
    <w:p w14:paraId="39AE54B3" w14:textId="77777777" w:rsidR="000A7D9D" w:rsidRPr="00F521F8" w:rsidRDefault="000A7D9D" w:rsidP="000A7D9D">
      <w:pPr>
        <w:spacing w:after="120"/>
        <w:jc w:val="both"/>
        <w:rPr>
          <w:rFonts w:ascii="Times New Roman" w:hAnsi="Times New Roman" w:cs="Times New Roman"/>
          <w:noProof/>
          <w:sz w:val="24"/>
          <w:szCs w:val="24"/>
        </w:rPr>
      </w:pPr>
      <w:r w:rsidRPr="00F521F8">
        <w:rPr>
          <w:rFonts w:ascii="Times New Roman" w:hAnsi="Times New Roman" w:cs="Times New Roman"/>
          <w:noProof/>
          <w:sz w:val="24"/>
          <w:szCs w:val="24"/>
        </w:rPr>
        <w:t>The estimation of workload/resources required is targeting different aspects of the platform’s lifecycle:</w:t>
      </w:r>
    </w:p>
    <w:tbl>
      <w:tblPr>
        <w:tblW w:w="9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810"/>
        <w:gridCol w:w="5415"/>
      </w:tblGrid>
      <w:tr w:rsidR="000A7D9D" w:rsidRPr="006B7D57" w14:paraId="5AE6997C"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F4196A"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b/>
                <w:bCs/>
                <w:noProof/>
                <w:sz w:val="20"/>
                <w:szCs w:val="20"/>
                <w:lang w:val="en-US" w:eastAsia="en-GB"/>
              </w:rPr>
              <w:t>Work description </w:t>
            </w:r>
            <w:r w:rsidRPr="006B7D57">
              <w:rPr>
                <w:rFonts w:ascii="Times New Roman" w:eastAsia="Calibri" w:hAnsi="Times New Roman" w:cs="Times New Roman"/>
                <w:noProof/>
                <w:sz w:val="20"/>
                <w:szCs w:val="20"/>
                <w:lang w:eastAsia="en-GB"/>
              </w:rPr>
              <w:t xml:space="preserve">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7FDA44"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b/>
                <w:noProof/>
                <w:sz w:val="20"/>
                <w:szCs w:val="20"/>
                <w:lang w:val="en-US" w:eastAsia="en-GB"/>
              </w:rPr>
              <w:t>Who </w:t>
            </w:r>
            <w:r w:rsidRPr="006B7D57">
              <w:rPr>
                <w:rFonts w:ascii="Times New Roman" w:eastAsia="Calibri" w:hAnsi="Times New Roman" w:cs="Times New Roman"/>
                <w:noProof/>
                <w:sz w:val="20"/>
                <w:szCs w:val="20"/>
                <w:lang w:eastAsia="en-GB"/>
              </w:rPr>
              <w:t> </w:t>
            </w:r>
          </w:p>
        </w:tc>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E525C3"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b/>
                <w:noProof/>
                <w:sz w:val="20"/>
                <w:szCs w:val="20"/>
                <w:lang w:val="en-US" w:eastAsia="en-GB"/>
              </w:rPr>
              <w:t>Resource needs estimate</w:t>
            </w:r>
            <w:r w:rsidRPr="006B7D57">
              <w:rPr>
                <w:rFonts w:ascii="Times New Roman" w:eastAsia="Calibri" w:hAnsi="Times New Roman" w:cs="Times New Roman"/>
                <w:noProof/>
                <w:sz w:val="20"/>
                <w:szCs w:val="20"/>
                <w:lang w:eastAsia="en-GB"/>
              </w:rPr>
              <w:t> </w:t>
            </w:r>
          </w:p>
        </w:tc>
      </w:tr>
      <w:tr w:rsidR="000A7D9D" w:rsidRPr="006B7D57" w14:paraId="32E62095"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9B0D53"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b/>
                <w:noProof/>
                <w:sz w:val="20"/>
                <w:szCs w:val="20"/>
                <w:lang w:val="en-US" w:eastAsia="en-GB"/>
              </w:rPr>
              <w:t xml:space="preserve">Development of the platform </w:t>
            </w:r>
            <w:r w:rsidRPr="006B7D57">
              <w:rPr>
                <w:rFonts w:ascii="Times New Roman" w:eastAsia="Calibri" w:hAnsi="Times New Roman" w:cs="Times New Roman"/>
                <w:noProof/>
                <w:sz w:val="20"/>
                <w:szCs w:val="20"/>
                <w:lang w:val="en-US" w:eastAsia="en-GB"/>
              </w:rPr>
              <w:t> (including infrastructure costs until go-live)</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5B1CD7"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 </w:t>
            </w:r>
          </w:p>
        </w:tc>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E4F54"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 </w:t>
            </w:r>
          </w:p>
        </w:tc>
      </w:tr>
      <w:tr w:rsidR="000A7D9D" w:rsidRPr="006B7D57" w14:paraId="75D1A85D"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7CD084"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Project management</w:t>
            </w:r>
          </w:p>
          <w:p w14:paraId="6C58305E"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Infrastructure setup</w:t>
            </w:r>
          </w:p>
          <w:p w14:paraId="0E446CE1"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Governance setup and operation</w:t>
            </w:r>
          </w:p>
          <w:p w14:paraId="7211A869"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Coordination of and consultation on common data formats, rules and controlled vocabularies, functionalities and platform evolution (future planning)</w:t>
            </w:r>
          </w:p>
          <w:p w14:paraId="2A76B896"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p>
          <w:p w14:paraId="27941076"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483AA8" w14:textId="77777777" w:rsidR="000A7D9D" w:rsidRPr="006B7D57" w:rsidRDefault="000A7D9D" w:rsidP="00F31937">
            <w:pPr>
              <w:textAlignment w:val="baseline"/>
              <w:rPr>
                <w:rFonts w:ascii="Times New Roman" w:eastAsia="Calibri" w:hAnsi="Times New Roman" w:cs="Times New Roman"/>
                <w:noProof/>
                <w:sz w:val="20"/>
                <w:szCs w:val="20"/>
                <w:lang w:eastAsia="en-GB"/>
              </w:rPr>
            </w:pPr>
          </w:p>
          <w:p w14:paraId="4BFF3D49" w14:textId="77777777" w:rsidR="000A7D9D" w:rsidRPr="006B7D57" w:rsidRDefault="000A7D9D" w:rsidP="00F31937">
            <w:pPr>
              <w:textAlignment w:val="baseline"/>
              <w:rPr>
                <w:rFonts w:ascii="Times New Roman" w:eastAsia="Calibri" w:hAnsi="Times New Roman" w:cs="Times New Roman"/>
                <w:noProof/>
                <w:sz w:val="20"/>
                <w:szCs w:val="20"/>
                <w:lang w:eastAsia="en-GB"/>
              </w:rPr>
            </w:pPr>
          </w:p>
          <w:p w14:paraId="19DEF5E9" w14:textId="77777777" w:rsidR="000A7D9D" w:rsidRPr="006B7D57" w:rsidRDefault="000A7D9D" w:rsidP="00F31937">
            <w:pPr>
              <w:textAlignment w:val="baseline"/>
              <w:rPr>
                <w:rFonts w:ascii="Times New Roman" w:eastAsia="Calibri" w:hAnsi="Times New Roman" w:cs="Times New Roman"/>
                <w:noProof/>
                <w:sz w:val="20"/>
                <w:szCs w:val="20"/>
                <w:lang w:eastAsia="en-GB"/>
              </w:rPr>
            </w:pPr>
          </w:p>
          <w:p w14:paraId="198C9DB3" w14:textId="77777777" w:rsidR="000A7D9D" w:rsidRPr="006B7D57" w:rsidRDefault="000A7D9D" w:rsidP="00F31937">
            <w:pPr>
              <w:textAlignment w:val="baseline"/>
              <w:rPr>
                <w:rFonts w:ascii="Times New Roman" w:eastAsia="Calibri" w:hAnsi="Times New Roman" w:cs="Times New Roman"/>
                <w:noProof/>
                <w:sz w:val="20"/>
                <w:szCs w:val="20"/>
                <w:lang w:eastAsia="en-GB"/>
              </w:rPr>
            </w:pPr>
          </w:p>
          <w:p w14:paraId="428A9C64"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ECHA,</w:t>
            </w:r>
          </w:p>
          <w:p w14:paraId="5A9E834A"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EFSA,</w:t>
            </w:r>
          </w:p>
          <w:p w14:paraId="0E1F9B5B"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EEA,</w:t>
            </w:r>
          </w:p>
          <w:p w14:paraId="6D97B3FE"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EMA, EU-OSHA,</w:t>
            </w:r>
          </w:p>
          <w:p w14:paraId="6FE1117B" w14:textId="77777777" w:rsidR="000A7D9D" w:rsidRPr="006B7D57" w:rsidRDefault="000A7D9D" w:rsidP="00F31937">
            <w:pPr>
              <w:textAlignment w:val="baseline"/>
              <w:rPr>
                <w:rFonts w:ascii="Times New Roman" w:eastAsia="Calibri" w:hAnsi="Times New Roman" w:cs="Times New Roman"/>
                <w:noProof/>
                <w:sz w:val="20"/>
                <w:szCs w:val="20"/>
                <w:lang w:val="en-IE" w:eastAsia="en-GB"/>
              </w:rPr>
            </w:pPr>
            <w:r w:rsidRPr="006B7D57">
              <w:rPr>
                <w:rFonts w:ascii="Times New Roman" w:eastAsia="Calibri" w:hAnsi="Times New Roman" w:cs="Times New Roman"/>
                <w:noProof/>
                <w:sz w:val="20"/>
                <w:szCs w:val="20"/>
                <w:lang w:val="es-ES" w:eastAsia="en-GB"/>
              </w:rPr>
              <w:t xml:space="preserve">COM incl. </w:t>
            </w:r>
            <w:r w:rsidRPr="006B7D57">
              <w:rPr>
                <w:rFonts w:ascii="Times New Roman" w:eastAsia="Calibri" w:hAnsi="Times New Roman" w:cs="Times New Roman"/>
                <w:noProof/>
                <w:sz w:val="20"/>
                <w:szCs w:val="20"/>
                <w:lang w:val="en-IE" w:eastAsia="en-GB"/>
              </w:rPr>
              <w:t>JRC</w:t>
            </w:r>
          </w:p>
          <w:p w14:paraId="28687F6A" w14:textId="77777777" w:rsidR="000A7D9D" w:rsidRPr="006B7D57" w:rsidRDefault="000A7D9D" w:rsidP="00F31937">
            <w:pPr>
              <w:textAlignment w:val="baseline"/>
              <w:rPr>
                <w:rFonts w:ascii="Times New Roman" w:eastAsia="Calibri" w:hAnsi="Times New Roman" w:cs="Times New Roman"/>
                <w:noProof/>
                <w:sz w:val="20"/>
                <w:szCs w:val="20"/>
                <w:lang w:val="en-IE" w:eastAsia="en-GB"/>
              </w:rPr>
            </w:pPr>
          </w:p>
        </w:tc>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ECD65B"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val="en-US" w:eastAsia="en-GB"/>
              </w:rPr>
              <w:t>Development by 2027; development duration 3 years for years 2025, 2026, 2027, annual estimates of staff expenditure, with possible outsourcing and IT costs, one-off:</w:t>
            </w:r>
          </w:p>
          <w:p w14:paraId="57E83A86"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ECHA: Staff 8.5 FTE (includes supervision of subcontracting); EUR 1 500 000</w:t>
            </w:r>
          </w:p>
          <w:p w14:paraId="0319FBE1"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EFSA: Staff 1.5 FTEs; EUR 320 000</w:t>
            </w:r>
          </w:p>
          <w:p w14:paraId="16E08802"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EEA: Staff 1.5 FTE</w:t>
            </w:r>
          </w:p>
          <w:p w14:paraId="3ECE8115"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EMA: Staff 1.5 FTEs</w:t>
            </w:r>
          </w:p>
          <w:p w14:paraId="133AD0A2" w14:textId="77777777" w:rsidR="000A7D9D" w:rsidRPr="006B7D57" w:rsidRDefault="000A7D9D" w:rsidP="00F31937">
            <w:pPr>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EU-OSHA: Staff 0 FTEs</w:t>
            </w:r>
          </w:p>
          <w:p w14:paraId="52628DB3"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JRC: see IPCHEM below; existing staff, EUR 60 000 per year, included in existing IPCHEM support</w:t>
            </w:r>
          </w:p>
          <w:p w14:paraId="29E2E45F" w14:textId="77777777" w:rsidR="000A7D9D" w:rsidRPr="006B7D57" w:rsidRDefault="000A7D9D" w:rsidP="00F31937">
            <w:pPr>
              <w:textAlignment w:val="baseline"/>
              <w:rPr>
                <w:rFonts w:ascii="Times New Roman" w:eastAsia="Calibri" w:hAnsi="Times New Roman" w:cs="Times New Roman"/>
                <w:noProof/>
                <w:sz w:val="20"/>
                <w:szCs w:val="20"/>
                <w:lang w:eastAsia="en-GB"/>
              </w:rPr>
            </w:pPr>
          </w:p>
          <w:p w14:paraId="005FC9E9"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 xml:space="preserve">Note: estimate includes any infrastructure -specific work related to the dedicated services of the common data platform. </w:t>
            </w:r>
          </w:p>
        </w:tc>
      </w:tr>
      <w:tr w:rsidR="000A7D9D" w:rsidRPr="006B7D57" w14:paraId="094642D9"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34E4E3"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b/>
                <w:noProof/>
                <w:sz w:val="20"/>
                <w:szCs w:val="20"/>
                <w:lang w:val="en-US" w:eastAsia="en-GB"/>
              </w:rPr>
              <w:t>Preparation for integration of selected datasets (1</w:t>
            </w:r>
            <w:r w:rsidRPr="006B7D57">
              <w:rPr>
                <w:rFonts w:ascii="Times New Roman" w:eastAsia="Calibri" w:hAnsi="Times New Roman" w:cs="Times New Roman"/>
                <w:b/>
                <w:noProof/>
                <w:sz w:val="20"/>
                <w:szCs w:val="20"/>
                <w:vertAlign w:val="superscript"/>
                <w:lang w:val="en-US" w:eastAsia="en-GB"/>
              </w:rPr>
              <w:t>st</w:t>
            </w:r>
            <w:r w:rsidRPr="006B7D57">
              <w:rPr>
                <w:rFonts w:ascii="Times New Roman" w:eastAsia="Calibri" w:hAnsi="Times New Roman" w:cs="Times New Roman"/>
                <w:b/>
                <w:noProof/>
                <w:sz w:val="20"/>
                <w:szCs w:val="20"/>
                <w:lang w:val="en-US" w:eastAsia="en-GB"/>
              </w:rPr>
              <w:t xml:space="preserve"> time)</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3D85F3"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 </w:t>
            </w:r>
          </w:p>
        </w:tc>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487892"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 </w:t>
            </w:r>
          </w:p>
        </w:tc>
      </w:tr>
      <w:tr w:rsidR="000A7D9D" w:rsidRPr="006B7D57" w14:paraId="05182805"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7F2F15"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Basic curation / profiling / metadata</w:t>
            </w:r>
          </w:p>
          <w:p w14:paraId="153E37EF"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Mapping and conversion to agreed formats, use of agreed substance identifiers, controlled vocabularies and tagging, quality control</w:t>
            </w:r>
          </w:p>
          <w:p w14:paraId="0EF4969B"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Confidentiality levels/user groups/filtering</w:t>
            </w:r>
          </w:p>
          <w:p w14:paraId="5842766C"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Mechanisms for (periodic) ingestion by the platform; updates, versioning</w:t>
            </w:r>
          </w:p>
          <w:p w14:paraId="08C5FD55"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n-US" w:eastAsia="en-GB"/>
              </w:rPr>
              <w:t>For dedicated services: preparation of datasets and functionalities</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944F2A"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ECHA,</w:t>
            </w:r>
          </w:p>
          <w:p w14:paraId="0AADDB53"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EFSA,</w:t>
            </w:r>
          </w:p>
          <w:p w14:paraId="4AC3A331"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EEA,</w:t>
            </w:r>
          </w:p>
          <w:p w14:paraId="4E5876CD"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EMA, EU-OSHA</w:t>
            </w:r>
          </w:p>
          <w:p w14:paraId="32D274CF" w14:textId="77777777" w:rsidR="000A7D9D" w:rsidRPr="006B7D57" w:rsidRDefault="000A7D9D" w:rsidP="00F31937">
            <w:pPr>
              <w:textAlignment w:val="baseline"/>
              <w:rPr>
                <w:rFonts w:ascii="Times New Roman" w:eastAsia="Calibri" w:hAnsi="Times New Roman" w:cs="Times New Roman"/>
                <w:noProof/>
                <w:sz w:val="20"/>
                <w:szCs w:val="20"/>
                <w:lang w:val="en-IE" w:eastAsia="en-GB"/>
              </w:rPr>
            </w:pPr>
            <w:r w:rsidRPr="006B7D57">
              <w:rPr>
                <w:rFonts w:ascii="Times New Roman" w:eastAsia="Calibri" w:hAnsi="Times New Roman" w:cs="Times New Roman"/>
                <w:noProof/>
                <w:sz w:val="20"/>
                <w:szCs w:val="20"/>
                <w:lang w:val="es-ES" w:eastAsia="en-GB"/>
              </w:rPr>
              <w:t xml:space="preserve">COM incl. </w:t>
            </w:r>
            <w:r w:rsidRPr="006B7D57">
              <w:rPr>
                <w:rFonts w:ascii="Times New Roman" w:eastAsia="Calibri" w:hAnsi="Times New Roman" w:cs="Times New Roman"/>
                <w:noProof/>
                <w:sz w:val="20"/>
                <w:szCs w:val="20"/>
                <w:lang w:val="en-IE" w:eastAsia="en-GB"/>
              </w:rPr>
              <w:t>JRC</w:t>
            </w:r>
          </w:p>
          <w:p w14:paraId="4ED7F6F9" w14:textId="77777777" w:rsidR="000A7D9D" w:rsidRPr="006B7D57" w:rsidRDefault="000A7D9D" w:rsidP="00F31937">
            <w:pPr>
              <w:textAlignment w:val="baseline"/>
              <w:rPr>
                <w:rFonts w:ascii="Times New Roman" w:eastAsia="Calibri" w:hAnsi="Times New Roman" w:cs="Times New Roman"/>
                <w:noProof/>
                <w:sz w:val="20"/>
                <w:szCs w:val="20"/>
                <w:lang w:eastAsia="en-GB"/>
              </w:rPr>
            </w:pPr>
          </w:p>
        </w:tc>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2A9D20"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val="en-US" w:eastAsia="en-GB"/>
              </w:rPr>
              <w:t>Development by 2027; development duration 3 years for years 2025, 2026, 2027, annual estimates of staff expenditure, with possible outsourcing and II costs, one-off:</w:t>
            </w:r>
          </w:p>
          <w:p w14:paraId="53DAB954"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 xml:space="preserve">ECHA: Staff 1.5 FTE (includes supervision of subcontracting); EUR 170 000 </w:t>
            </w:r>
          </w:p>
          <w:p w14:paraId="0904AA27" w14:textId="77777777" w:rsidR="000A7D9D" w:rsidRPr="006B7D57" w:rsidRDefault="000A7D9D" w:rsidP="00F31937">
            <w:pPr>
              <w:textAlignment w:val="baseline"/>
              <w:rPr>
                <w:rFonts w:ascii="Times New Roman" w:eastAsia="Calibri" w:hAnsi="Times New Roman" w:cs="Times New Roman"/>
                <w:noProof/>
                <w:sz w:val="20"/>
                <w:szCs w:val="20"/>
                <w:lang w:val="nl-BE" w:eastAsia="en-GB"/>
              </w:rPr>
            </w:pPr>
            <w:r w:rsidRPr="006B7D57">
              <w:rPr>
                <w:rFonts w:ascii="Times New Roman" w:eastAsia="Calibri" w:hAnsi="Times New Roman" w:cs="Times New Roman"/>
                <w:noProof/>
                <w:sz w:val="20"/>
                <w:szCs w:val="20"/>
                <w:lang w:val="nl-BE" w:eastAsia="en-GB"/>
              </w:rPr>
              <w:t>EFSA: Staff 3.5 FTEs; EUR 350 000</w:t>
            </w:r>
          </w:p>
          <w:p w14:paraId="13005D75" w14:textId="77777777" w:rsidR="000A7D9D" w:rsidRPr="006B7D57" w:rsidRDefault="000A7D9D" w:rsidP="00F31937">
            <w:pPr>
              <w:textAlignment w:val="baseline"/>
              <w:rPr>
                <w:rFonts w:ascii="Times New Roman" w:eastAsia="Calibri" w:hAnsi="Times New Roman" w:cs="Times New Roman"/>
                <w:noProof/>
                <w:sz w:val="20"/>
                <w:szCs w:val="20"/>
                <w:lang w:val="nl-BE" w:eastAsia="en-GB"/>
              </w:rPr>
            </w:pPr>
            <w:r w:rsidRPr="006B7D57">
              <w:rPr>
                <w:rFonts w:ascii="Times New Roman" w:eastAsia="Calibri" w:hAnsi="Times New Roman" w:cs="Times New Roman"/>
                <w:noProof/>
                <w:sz w:val="20"/>
                <w:szCs w:val="20"/>
                <w:lang w:val="nl-BE" w:eastAsia="en-GB"/>
              </w:rPr>
              <w:t>EEA: Staff 1.5 FTE; EUR 200 000</w:t>
            </w:r>
          </w:p>
          <w:p w14:paraId="100E0954"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EMA: Staff 1.5 FTE; EUR 100 000</w:t>
            </w:r>
          </w:p>
          <w:p w14:paraId="05889B5C" w14:textId="77777777" w:rsidR="000A7D9D" w:rsidRPr="006B7D57" w:rsidRDefault="000A7D9D" w:rsidP="00F31937">
            <w:pPr>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EU-OSHA: Staff 0 FTE</w:t>
            </w:r>
          </w:p>
          <w:p w14:paraId="64BCC29B"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 xml:space="preserve">JRC: see IPCHEM below; existing staff, EUR 120 000 per year, included in existing IPCHEM support </w:t>
            </w:r>
          </w:p>
          <w:p w14:paraId="38829844"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 xml:space="preserve">Note: estimate includes any dataset-ingestion specific work related to the dedicated services (preparation of all MVP identified services attributed to ECHA). </w:t>
            </w:r>
          </w:p>
        </w:tc>
      </w:tr>
      <w:tr w:rsidR="000A7D9D" w:rsidRPr="006B7D57" w14:paraId="11B10B2E"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C40DF4" w14:textId="77777777" w:rsidR="000A7D9D" w:rsidRPr="006B7D57" w:rsidRDefault="000A7D9D" w:rsidP="00F31937">
            <w:pPr>
              <w:textAlignment w:val="baseline"/>
              <w:rPr>
                <w:rFonts w:ascii="Times New Roman" w:eastAsia="Calibri" w:hAnsi="Times New Roman" w:cs="Times New Roman"/>
                <w:b/>
                <w:bCs/>
                <w:noProof/>
                <w:sz w:val="20"/>
                <w:szCs w:val="20"/>
                <w:lang w:eastAsia="en-GB"/>
              </w:rPr>
            </w:pPr>
            <w:r w:rsidRPr="006B7D57">
              <w:rPr>
                <w:rFonts w:ascii="Times New Roman" w:eastAsia="Calibri" w:hAnsi="Times New Roman" w:cs="Times New Roman"/>
                <w:b/>
                <w:bCs/>
                <w:noProof/>
                <w:sz w:val="20"/>
                <w:szCs w:val="20"/>
                <w:lang w:eastAsia="en-GB"/>
              </w:rPr>
              <w:t>Operation of the platform after 3-year development phase, including infrastructure costs after the go-live</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57FDB8"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ECHA,</w:t>
            </w:r>
          </w:p>
          <w:p w14:paraId="30AD3889"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EFSA,</w:t>
            </w:r>
          </w:p>
          <w:p w14:paraId="005EBE8F"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EEA,</w:t>
            </w:r>
          </w:p>
          <w:p w14:paraId="4DC11ECF" w14:textId="77777777" w:rsidR="000A7D9D" w:rsidRPr="006B7D57" w:rsidRDefault="000A7D9D" w:rsidP="00F31937">
            <w:pPr>
              <w:textAlignment w:val="baseline"/>
              <w:rPr>
                <w:rFonts w:ascii="Times New Roman" w:eastAsia="Calibri" w:hAnsi="Times New Roman" w:cs="Times New Roman"/>
                <w:noProof/>
                <w:sz w:val="20"/>
                <w:szCs w:val="20"/>
                <w:lang w:val="es-ES" w:eastAsia="en-GB"/>
              </w:rPr>
            </w:pPr>
            <w:r w:rsidRPr="006B7D57">
              <w:rPr>
                <w:rFonts w:ascii="Times New Roman" w:eastAsia="Calibri" w:hAnsi="Times New Roman" w:cs="Times New Roman"/>
                <w:noProof/>
                <w:sz w:val="20"/>
                <w:szCs w:val="20"/>
                <w:lang w:val="es-ES" w:eastAsia="en-GB"/>
              </w:rPr>
              <w:t>EMA, EU-OSHA</w:t>
            </w:r>
          </w:p>
          <w:p w14:paraId="04C7C126" w14:textId="77777777" w:rsidR="000A7D9D" w:rsidRPr="006B7D57" w:rsidRDefault="000A7D9D" w:rsidP="00F31937">
            <w:pPr>
              <w:textAlignment w:val="baseline"/>
              <w:rPr>
                <w:rFonts w:ascii="Times New Roman" w:eastAsia="Calibri" w:hAnsi="Times New Roman" w:cs="Times New Roman"/>
                <w:noProof/>
                <w:sz w:val="20"/>
                <w:szCs w:val="20"/>
                <w:lang w:val="en-US" w:eastAsia="en-GB"/>
              </w:rPr>
            </w:pPr>
            <w:r w:rsidRPr="006B7D57">
              <w:rPr>
                <w:rFonts w:ascii="Times New Roman" w:eastAsia="Calibri" w:hAnsi="Times New Roman" w:cs="Times New Roman"/>
                <w:noProof/>
                <w:sz w:val="20"/>
                <w:szCs w:val="20"/>
                <w:lang w:val="es-ES" w:eastAsia="en-GB"/>
              </w:rPr>
              <w:t xml:space="preserve">COM incl. </w:t>
            </w:r>
            <w:r w:rsidRPr="006B7D57">
              <w:rPr>
                <w:rFonts w:ascii="Times New Roman" w:eastAsia="Calibri" w:hAnsi="Times New Roman" w:cs="Times New Roman"/>
                <w:noProof/>
                <w:sz w:val="20"/>
                <w:szCs w:val="20"/>
                <w:lang w:val="en-IE" w:eastAsia="en-GB"/>
              </w:rPr>
              <w:t>JRC</w:t>
            </w:r>
          </w:p>
        </w:tc>
        <w:tc>
          <w:tcPr>
            <w:tcW w:w="5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49776A"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val="en-US" w:eastAsia="en-GB"/>
              </w:rPr>
              <w:t>Recurrent costs, annual estimates of staff expenditure and costs:</w:t>
            </w:r>
          </w:p>
          <w:p w14:paraId="63770894" w14:textId="77777777" w:rsidR="000A7D9D" w:rsidRPr="006B7D57" w:rsidRDefault="000A7D9D" w:rsidP="00F31937">
            <w:pPr>
              <w:textAlignment w:val="baseline"/>
              <w:rPr>
                <w:rFonts w:ascii="Times New Roman" w:eastAsia="Calibri" w:hAnsi="Times New Roman" w:cs="Times New Roman"/>
                <w:noProof/>
                <w:sz w:val="20"/>
                <w:szCs w:val="20"/>
                <w:lang w:val="nl-BE" w:eastAsia="en-GB"/>
              </w:rPr>
            </w:pPr>
            <w:r w:rsidRPr="006B7D57">
              <w:rPr>
                <w:rFonts w:ascii="Times New Roman" w:eastAsia="Calibri" w:hAnsi="Times New Roman" w:cs="Times New Roman"/>
                <w:noProof/>
                <w:sz w:val="20"/>
                <w:szCs w:val="20"/>
                <w:lang w:val="nl-BE" w:eastAsia="en-GB"/>
              </w:rPr>
              <w:t>ECHA: Staff 4 FTE; EUR 600 000</w:t>
            </w:r>
          </w:p>
          <w:p w14:paraId="68910555" w14:textId="77777777" w:rsidR="000A7D9D" w:rsidRPr="006B7D57" w:rsidRDefault="000A7D9D" w:rsidP="00F31937">
            <w:pPr>
              <w:textAlignment w:val="baseline"/>
              <w:rPr>
                <w:rFonts w:ascii="Times New Roman" w:eastAsia="Calibri" w:hAnsi="Times New Roman" w:cs="Times New Roman"/>
                <w:noProof/>
                <w:sz w:val="20"/>
                <w:szCs w:val="20"/>
                <w:lang w:val="nl-BE" w:eastAsia="en-GB"/>
              </w:rPr>
            </w:pPr>
            <w:r w:rsidRPr="006B7D57">
              <w:rPr>
                <w:rFonts w:ascii="Times New Roman" w:eastAsia="Calibri" w:hAnsi="Times New Roman" w:cs="Times New Roman"/>
                <w:noProof/>
                <w:sz w:val="20"/>
                <w:szCs w:val="20"/>
                <w:lang w:val="nl-BE" w:eastAsia="en-GB"/>
              </w:rPr>
              <w:t>EFSA: Staff 2 FTE; EUR 500 000</w:t>
            </w:r>
          </w:p>
          <w:p w14:paraId="1E86797A"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EEA: Staff 1 FTE; EUR 200 000</w:t>
            </w:r>
          </w:p>
          <w:p w14:paraId="27EF10DE"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EMA: Staff 2 FTE; EUR 0</w:t>
            </w:r>
          </w:p>
          <w:p w14:paraId="1966DC6F" w14:textId="77777777" w:rsidR="000A7D9D" w:rsidRPr="006B7D57" w:rsidRDefault="000A7D9D" w:rsidP="00F31937">
            <w:pPr>
              <w:textAlignment w:val="baseline"/>
              <w:rPr>
                <w:rFonts w:ascii="Times New Roman" w:eastAsia="Calibri" w:hAnsi="Times New Roman" w:cs="Times New Roman"/>
                <w:noProof/>
                <w:sz w:val="20"/>
                <w:szCs w:val="20"/>
                <w:highlight w:val="yellow"/>
                <w:lang w:eastAsia="en-GB"/>
              </w:rPr>
            </w:pPr>
            <w:r w:rsidRPr="006B7D57">
              <w:rPr>
                <w:rFonts w:ascii="Times New Roman" w:eastAsia="Calibri" w:hAnsi="Times New Roman" w:cs="Times New Roman"/>
                <w:noProof/>
                <w:sz w:val="20"/>
                <w:szCs w:val="20"/>
                <w:lang w:eastAsia="en-GB"/>
              </w:rPr>
              <w:t xml:space="preserve">EU-OSHA: Staff 0 FTE </w:t>
            </w:r>
          </w:p>
          <w:p w14:paraId="1A234241"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 xml:space="preserve">Note: IPCHEM would be fully integrated, the majority of its data managed by EEA, and part by ECHA. </w:t>
            </w:r>
          </w:p>
          <w:p w14:paraId="55B1665E" w14:textId="77777777" w:rsidR="000A7D9D" w:rsidRPr="006B7D57" w:rsidRDefault="000A7D9D" w:rsidP="00F31937">
            <w:pPr>
              <w:textAlignment w:val="baseline"/>
              <w:rPr>
                <w:rFonts w:ascii="Times New Roman" w:eastAsia="Calibri" w:hAnsi="Times New Roman" w:cs="Times New Roman"/>
                <w:noProof/>
                <w:sz w:val="20"/>
                <w:szCs w:val="20"/>
                <w:lang w:eastAsia="en-GB"/>
              </w:rPr>
            </w:pPr>
            <w:r w:rsidRPr="006B7D57">
              <w:rPr>
                <w:rFonts w:ascii="Times New Roman" w:eastAsia="Calibri" w:hAnsi="Times New Roman" w:cs="Times New Roman"/>
                <w:noProof/>
                <w:sz w:val="20"/>
                <w:szCs w:val="20"/>
                <w:lang w:eastAsia="en-GB"/>
              </w:rPr>
              <w:t xml:space="preserve">Also includes evolution for at least 1 low and 1 medium complexity project (see below). </w:t>
            </w:r>
          </w:p>
        </w:tc>
      </w:tr>
    </w:tbl>
    <w:p w14:paraId="50068DD2" w14:textId="77777777" w:rsidR="000A7D9D" w:rsidRPr="00F521F8" w:rsidRDefault="000A7D9D" w:rsidP="000A7D9D">
      <w:pPr>
        <w:spacing w:before="120" w:after="120"/>
        <w:jc w:val="both"/>
        <w:rPr>
          <w:rFonts w:ascii="Times New Roman" w:hAnsi="Times New Roman" w:cs="Times New Roman"/>
          <w:noProof/>
          <w:sz w:val="24"/>
          <w:szCs w:val="24"/>
        </w:rPr>
      </w:pPr>
      <w:r w:rsidRPr="6BB4A9AE">
        <w:rPr>
          <w:rFonts w:ascii="Times New Roman" w:hAnsi="Times New Roman" w:cs="Times New Roman"/>
          <w:noProof/>
          <w:sz w:val="24"/>
          <w:szCs w:val="24"/>
        </w:rPr>
        <w:t xml:space="preserve">In total, the development of the platform and the integration of the datasets identified in the MVP is estimated to require </w:t>
      </w:r>
      <w:r>
        <w:rPr>
          <w:rFonts w:ascii="Times New Roman" w:hAnsi="Times New Roman" w:cs="Times New Roman"/>
          <w:noProof/>
          <w:sz w:val="24"/>
          <w:szCs w:val="24"/>
        </w:rPr>
        <w:t xml:space="preserve">21 FTEs and ca. EUR 2 823 000 </w:t>
      </w:r>
      <w:r w:rsidRPr="6BB4A9AE">
        <w:rPr>
          <w:rFonts w:ascii="Times New Roman" w:hAnsi="Times New Roman" w:cs="Times New Roman"/>
          <w:noProof/>
          <w:sz w:val="24"/>
          <w:szCs w:val="24"/>
        </w:rPr>
        <w:t xml:space="preserve">annually in the first 3 years, and recurrent operational requirements at the level of </w:t>
      </w:r>
      <w:r>
        <w:rPr>
          <w:rFonts w:ascii="Times New Roman" w:hAnsi="Times New Roman" w:cs="Times New Roman"/>
          <w:noProof/>
          <w:sz w:val="24"/>
          <w:szCs w:val="24"/>
        </w:rPr>
        <w:t>9</w:t>
      </w:r>
      <w:r w:rsidRPr="6BB4A9AE">
        <w:rPr>
          <w:rFonts w:ascii="Times New Roman" w:hAnsi="Times New Roman" w:cs="Times New Roman"/>
          <w:noProof/>
          <w:sz w:val="24"/>
          <w:szCs w:val="24"/>
        </w:rPr>
        <w:t xml:space="preserve"> FTEs and </w:t>
      </w:r>
      <w:r>
        <w:rPr>
          <w:rFonts w:ascii="Times New Roman" w:hAnsi="Times New Roman" w:cs="Times New Roman"/>
          <w:noProof/>
          <w:sz w:val="24"/>
          <w:szCs w:val="24"/>
        </w:rPr>
        <w:t xml:space="preserve">EUR </w:t>
      </w:r>
      <w:r w:rsidRPr="6BB4A9AE">
        <w:rPr>
          <w:rFonts w:ascii="Times New Roman" w:hAnsi="Times New Roman" w:cs="Times New Roman"/>
          <w:noProof/>
          <w:sz w:val="24"/>
          <w:szCs w:val="24"/>
        </w:rPr>
        <w:t>1</w:t>
      </w:r>
      <w:r>
        <w:rPr>
          <w:rFonts w:ascii="Times New Roman" w:hAnsi="Times New Roman" w:cs="Times New Roman"/>
          <w:noProof/>
          <w:sz w:val="24"/>
          <w:szCs w:val="24"/>
        </w:rPr>
        <w:t xml:space="preserve"> 3</w:t>
      </w:r>
      <w:r w:rsidRPr="6BB4A9AE">
        <w:rPr>
          <w:rFonts w:ascii="Times New Roman" w:hAnsi="Times New Roman" w:cs="Times New Roman"/>
          <w:noProof/>
          <w:sz w:val="24"/>
          <w:szCs w:val="24"/>
        </w:rPr>
        <w:t>00</w:t>
      </w:r>
      <w:r>
        <w:rPr>
          <w:rFonts w:ascii="Times New Roman" w:hAnsi="Times New Roman" w:cs="Times New Roman"/>
          <w:noProof/>
          <w:sz w:val="24"/>
          <w:szCs w:val="24"/>
        </w:rPr>
        <w:t xml:space="preserve"> 000 </w:t>
      </w:r>
      <w:r w:rsidRPr="6BB4A9AE">
        <w:rPr>
          <w:rFonts w:ascii="Times New Roman" w:hAnsi="Times New Roman" w:cs="Times New Roman"/>
          <w:noProof/>
          <w:sz w:val="24"/>
          <w:szCs w:val="24"/>
        </w:rPr>
        <w:t xml:space="preserve">annually afterwards. </w:t>
      </w:r>
    </w:p>
    <w:p w14:paraId="267B8E47" w14:textId="77777777" w:rsidR="000A7D9D" w:rsidRPr="00F521F8" w:rsidRDefault="000A7D9D" w:rsidP="000A7D9D">
      <w:pPr>
        <w:spacing w:before="120" w:after="120"/>
        <w:jc w:val="both"/>
        <w:rPr>
          <w:rFonts w:ascii="Times New Roman" w:eastAsiaTheme="minorEastAsia" w:hAnsi="Times New Roman" w:cs="Times New Roman"/>
          <w:noProof/>
          <w:sz w:val="24"/>
          <w:szCs w:val="24"/>
          <w:lang w:val="en-US" w:eastAsia="en-GB"/>
        </w:rPr>
      </w:pPr>
      <w:r w:rsidRPr="6BB4A9AE">
        <w:rPr>
          <w:rFonts w:ascii="Times New Roman" w:eastAsiaTheme="minorEastAsia" w:hAnsi="Times New Roman" w:cs="Times New Roman"/>
          <w:noProof/>
          <w:sz w:val="24"/>
          <w:szCs w:val="24"/>
          <w:lang w:val="en-US" w:eastAsia="en-GB"/>
        </w:rPr>
        <w:t>Summary of additional resource needs for the common data platform on chemicals:</w:t>
      </w:r>
    </w:p>
    <w:tbl>
      <w:tblPr>
        <w:tblStyle w:val="TableGrid"/>
        <w:tblW w:w="9629" w:type="dxa"/>
        <w:tblLook w:val="04A0" w:firstRow="1" w:lastRow="0" w:firstColumn="1" w:lastColumn="0" w:noHBand="0" w:noVBand="1"/>
      </w:tblPr>
      <w:tblGrid>
        <w:gridCol w:w="1454"/>
        <w:gridCol w:w="3300"/>
        <w:gridCol w:w="2115"/>
        <w:gridCol w:w="2760"/>
      </w:tblGrid>
      <w:tr w:rsidR="000A7D9D" w:rsidRPr="00A34B27" w14:paraId="78636283" w14:textId="77777777" w:rsidTr="00F31937">
        <w:trPr>
          <w:trHeight w:val="300"/>
        </w:trPr>
        <w:tc>
          <w:tcPr>
            <w:tcW w:w="1454" w:type="dxa"/>
            <w:shd w:val="clear" w:color="auto" w:fill="D9D9D9" w:themeFill="background1" w:themeFillShade="D9"/>
          </w:tcPr>
          <w:p w14:paraId="6D0DFD3A" w14:textId="77777777" w:rsidR="000A7D9D" w:rsidRPr="00A34B27" w:rsidRDefault="000A7D9D" w:rsidP="00F31937">
            <w:pPr>
              <w:pStyle w:val="BodyText"/>
              <w:spacing w:line="259" w:lineRule="auto"/>
              <w:rPr>
                <w:b/>
                <w:bCs/>
                <w:noProof/>
                <w:sz w:val="20"/>
                <w:szCs w:val="20"/>
              </w:rPr>
            </w:pPr>
            <w:r w:rsidRPr="00A34B27">
              <w:rPr>
                <w:b/>
                <w:bCs/>
                <w:noProof/>
                <w:sz w:val="20"/>
                <w:szCs w:val="20"/>
              </w:rPr>
              <w:t>Agency</w:t>
            </w:r>
          </w:p>
        </w:tc>
        <w:tc>
          <w:tcPr>
            <w:tcW w:w="3300" w:type="dxa"/>
            <w:shd w:val="clear" w:color="auto" w:fill="D9D9D9" w:themeFill="background1" w:themeFillShade="D9"/>
          </w:tcPr>
          <w:p w14:paraId="4CB88631" w14:textId="77777777" w:rsidR="000A7D9D" w:rsidRPr="00A34B27" w:rsidRDefault="000A7D9D" w:rsidP="00F31937">
            <w:pPr>
              <w:pStyle w:val="BodyText"/>
              <w:rPr>
                <w:b/>
                <w:bCs/>
                <w:noProof/>
                <w:sz w:val="20"/>
                <w:szCs w:val="20"/>
              </w:rPr>
            </w:pPr>
            <w:r w:rsidRPr="00A34B27">
              <w:rPr>
                <w:b/>
                <w:bCs/>
                <w:noProof/>
                <w:sz w:val="20"/>
                <w:szCs w:val="20"/>
              </w:rPr>
              <w:t>Summary of tasks</w:t>
            </w:r>
          </w:p>
        </w:tc>
        <w:tc>
          <w:tcPr>
            <w:tcW w:w="2115" w:type="dxa"/>
            <w:shd w:val="clear" w:color="auto" w:fill="D9D9D9" w:themeFill="background1" w:themeFillShade="D9"/>
          </w:tcPr>
          <w:p w14:paraId="5E00E3D6" w14:textId="77777777" w:rsidR="000A7D9D" w:rsidRPr="00A34B27" w:rsidRDefault="000A7D9D" w:rsidP="00F31937">
            <w:pPr>
              <w:pStyle w:val="BodyText"/>
              <w:tabs>
                <w:tab w:val="left" w:pos="4170"/>
              </w:tabs>
              <w:rPr>
                <w:noProof/>
                <w:sz w:val="20"/>
                <w:szCs w:val="20"/>
              </w:rPr>
            </w:pPr>
          </w:p>
        </w:tc>
        <w:tc>
          <w:tcPr>
            <w:tcW w:w="2760" w:type="dxa"/>
            <w:shd w:val="clear" w:color="auto" w:fill="D9D9D9" w:themeFill="background1" w:themeFillShade="D9"/>
          </w:tcPr>
          <w:p w14:paraId="63316102" w14:textId="77777777" w:rsidR="000A7D9D" w:rsidRPr="00A34B27" w:rsidRDefault="000A7D9D" w:rsidP="00F31937">
            <w:pPr>
              <w:pStyle w:val="BodyText"/>
              <w:tabs>
                <w:tab w:val="left" w:pos="4170"/>
              </w:tabs>
              <w:spacing w:after="0"/>
              <w:rPr>
                <w:noProof/>
                <w:sz w:val="20"/>
                <w:szCs w:val="20"/>
              </w:rPr>
            </w:pPr>
          </w:p>
        </w:tc>
      </w:tr>
      <w:tr w:rsidR="000A7D9D" w:rsidRPr="00A34B27" w14:paraId="57E32972" w14:textId="77777777" w:rsidTr="00F31937">
        <w:trPr>
          <w:trHeight w:val="300"/>
        </w:trPr>
        <w:tc>
          <w:tcPr>
            <w:tcW w:w="1454" w:type="dxa"/>
            <w:vMerge w:val="restart"/>
            <w:shd w:val="clear" w:color="auto" w:fill="D9D9D9" w:themeFill="background1" w:themeFillShade="D9"/>
          </w:tcPr>
          <w:p w14:paraId="17C74529" w14:textId="77777777" w:rsidR="000A7D9D" w:rsidRPr="00A34B27" w:rsidRDefault="000A7D9D" w:rsidP="00F31937">
            <w:pPr>
              <w:pStyle w:val="BodyText"/>
              <w:rPr>
                <w:noProof/>
                <w:sz w:val="20"/>
                <w:szCs w:val="20"/>
              </w:rPr>
            </w:pPr>
            <w:r w:rsidRPr="00A34B27">
              <w:rPr>
                <w:noProof/>
                <w:sz w:val="20"/>
                <w:szCs w:val="20"/>
              </w:rPr>
              <w:t>ECHA</w:t>
            </w:r>
          </w:p>
        </w:tc>
        <w:tc>
          <w:tcPr>
            <w:tcW w:w="3300" w:type="dxa"/>
            <w:vMerge w:val="restart"/>
            <w:shd w:val="clear" w:color="auto" w:fill="D9D9D9" w:themeFill="background1" w:themeFillShade="D9"/>
          </w:tcPr>
          <w:p w14:paraId="52B4FC40" w14:textId="77777777" w:rsidR="000A7D9D" w:rsidRPr="00A34B27" w:rsidRDefault="000A7D9D" w:rsidP="00F31937">
            <w:pPr>
              <w:pStyle w:val="BodyText"/>
              <w:rPr>
                <w:noProof/>
                <w:sz w:val="20"/>
                <w:szCs w:val="20"/>
              </w:rPr>
            </w:pPr>
          </w:p>
        </w:tc>
        <w:tc>
          <w:tcPr>
            <w:tcW w:w="2115" w:type="dxa"/>
            <w:shd w:val="clear" w:color="auto" w:fill="D9D9D9" w:themeFill="background1" w:themeFillShade="D9"/>
          </w:tcPr>
          <w:p w14:paraId="043E1299" w14:textId="77777777" w:rsidR="000A7D9D" w:rsidRPr="00A34B27" w:rsidRDefault="000A7D9D" w:rsidP="00F31937">
            <w:pPr>
              <w:pStyle w:val="BodyText"/>
              <w:tabs>
                <w:tab w:val="left" w:pos="4170"/>
              </w:tabs>
              <w:rPr>
                <w:noProof/>
                <w:sz w:val="20"/>
                <w:szCs w:val="20"/>
              </w:rPr>
            </w:pPr>
            <w:r w:rsidRPr="00A34B27">
              <w:rPr>
                <w:noProof/>
                <w:sz w:val="20"/>
                <w:szCs w:val="20"/>
              </w:rPr>
              <w:t>Financial resource needs:</w:t>
            </w:r>
          </w:p>
        </w:tc>
        <w:tc>
          <w:tcPr>
            <w:tcW w:w="2760" w:type="dxa"/>
            <w:shd w:val="clear" w:color="auto" w:fill="D9D9D9" w:themeFill="background1" w:themeFillShade="D9"/>
          </w:tcPr>
          <w:p w14:paraId="5C5C27E9" w14:textId="77777777" w:rsidR="000A7D9D" w:rsidRPr="00A34B27" w:rsidRDefault="000A7D9D" w:rsidP="00F31937">
            <w:pPr>
              <w:pStyle w:val="BodyText"/>
              <w:tabs>
                <w:tab w:val="left" w:pos="4170"/>
              </w:tabs>
              <w:spacing w:after="0"/>
              <w:rPr>
                <w:b/>
                <w:noProof/>
                <w:sz w:val="20"/>
                <w:szCs w:val="20"/>
                <w:lang w:val="fr-BE"/>
              </w:rPr>
            </w:pPr>
            <w:r w:rsidRPr="00A34B27">
              <w:rPr>
                <w:noProof/>
                <w:sz w:val="20"/>
                <w:szCs w:val="20"/>
                <w:lang w:val="fr-BE"/>
              </w:rPr>
              <w:t xml:space="preserve">2025: </w:t>
            </w:r>
            <w:r w:rsidRPr="00A34B27">
              <w:rPr>
                <w:b/>
                <w:noProof/>
                <w:sz w:val="20"/>
                <w:szCs w:val="20"/>
                <w:lang w:val="fr-BE"/>
              </w:rPr>
              <w:t>EUR 0</w:t>
            </w:r>
          </w:p>
          <w:p w14:paraId="5673F58D" w14:textId="77777777" w:rsidR="000A7D9D" w:rsidRPr="00A34B27" w:rsidRDefault="000A7D9D" w:rsidP="00F31937">
            <w:pPr>
              <w:pStyle w:val="BodyText"/>
              <w:tabs>
                <w:tab w:val="left" w:pos="4170"/>
              </w:tabs>
              <w:spacing w:after="0"/>
              <w:rPr>
                <w:b/>
                <w:noProof/>
                <w:sz w:val="20"/>
                <w:szCs w:val="20"/>
                <w:lang w:val="fr-BE"/>
              </w:rPr>
            </w:pPr>
            <w:r w:rsidRPr="00A34B27">
              <w:rPr>
                <w:noProof/>
                <w:sz w:val="20"/>
                <w:szCs w:val="20"/>
                <w:lang w:val="fr-BE"/>
              </w:rPr>
              <w:t xml:space="preserve">2026: </w:t>
            </w:r>
            <w:r w:rsidRPr="00A34B27">
              <w:rPr>
                <w:b/>
                <w:noProof/>
                <w:sz w:val="20"/>
                <w:szCs w:val="20"/>
                <w:lang w:val="fr-BE"/>
              </w:rPr>
              <w:t>EUR 2 226 000</w:t>
            </w:r>
          </w:p>
          <w:p w14:paraId="39A00F3E" w14:textId="77777777" w:rsidR="000A7D9D" w:rsidRPr="00A34B27" w:rsidRDefault="000A7D9D" w:rsidP="00F31937">
            <w:pPr>
              <w:pStyle w:val="BodyText"/>
              <w:tabs>
                <w:tab w:val="left" w:pos="4170"/>
              </w:tabs>
              <w:spacing w:after="0"/>
              <w:rPr>
                <w:b/>
                <w:noProof/>
                <w:sz w:val="20"/>
                <w:szCs w:val="20"/>
                <w:lang w:val="fr-BE"/>
              </w:rPr>
            </w:pPr>
            <w:r w:rsidRPr="00A34B27">
              <w:rPr>
                <w:noProof/>
                <w:sz w:val="20"/>
                <w:szCs w:val="20"/>
                <w:lang w:val="fr-BE"/>
              </w:rPr>
              <w:t xml:space="preserve">2027: </w:t>
            </w:r>
            <w:r w:rsidRPr="00A34B27">
              <w:rPr>
                <w:b/>
                <w:noProof/>
                <w:sz w:val="20"/>
                <w:szCs w:val="20"/>
                <w:lang w:val="fr-BE"/>
              </w:rPr>
              <w:t>EUR 2 793 000</w:t>
            </w:r>
          </w:p>
          <w:p w14:paraId="4C75A260"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2028: </w:t>
            </w:r>
            <w:r w:rsidRPr="00A34B27">
              <w:rPr>
                <w:b/>
                <w:noProof/>
                <w:sz w:val="20"/>
                <w:szCs w:val="20"/>
                <w:lang w:val="fr-BE"/>
              </w:rPr>
              <w:t>EUR 600 000</w:t>
            </w:r>
          </w:p>
        </w:tc>
      </w:tr>
      <w:tr w:rsidR="000A7D9D" w:rsidRPr="00A34B27" w14:paraId="2BAA2F2D" w14:textId="77777777" w:rsidTr="00F31937">
        <w:trPr>
          <w:trHeight w:val="300"/>
        </w:trPr>
        <w:tc>
          <w:tcPr>
            <w:tcW w:w="1454" w:type="dxa"/>
            <w:vMerge/>
            <w:shd w:val="clear" w:color="auto" w:fill="D9D9D9" w:themeFill="background1" w:themeFillShade="D9"/>
          </w:tcPr>
          <w:p w14:paraId="40B9DBD2" w14:textId="77777777" w:rsidR="000A7D9D" w:rsidRPr="00A34B27" w:rsidRDefault="000A7D9D" w:rsidP="00F31937">
            <w:pPr>
              <w:pStyle w:val="BodyText"/>
              <w:rPr>
                <w:noProof/>
                <w:sz w:val="20"/>
                <w:szCs w:val="20"/>
                <w:lang w:val="fr-BE"/>
              </w:rPr>
            </w:pPr>
          </w:p>
        </w:tc>
        <w:tc>
          <w:tcPr>
            <w:tcW w:w="3300" w:type="dxa"/>
            <w:vMerge/>
            <w:shd w:val="clear" w:color="auto" w:fill="D9D9D9" w:themeFill="background1" w:themeFillShade="D9"/>
          </w:tcPr>
          <w:p w14:paraId="3532E639" w14:textId="77777777" w:rsidR="000A7D9D" w:rsidRPr="00A34B27" w:rsidRDefault="000A7D9D" w:rsidP="00F31937">
            <w:pPr>
              <w:pStyle w:val="BodyText"/>
              <w:rPr>
                <w:noProof/>
                <w:sz w:val="20"/>
                <w:szCs w:val="20"/>
                <w:lang w:val="fr-BE"/>
              </w:rPr>
            </w:pPr>
          </w:p>
        </w:tc>
        <w:tc>
          <w:tcPr>
            <w:tcW w:w="2115" w:type="dxa"/>
            <w:shd w:val="clear" w:color="auto" w:fill="D9D9D9" w:themeFill="background1" w:themeFillShade="D9"/>
          </w:tcPr>
          <w:p w14:paraId="7CB6F7DD" w14:textId="77777777" w:rsidR="000A7D9D" w:rsidRPr="00A34B27" w:rsidRDefault="000A7D9D" w:rsidP="00F31937">
            <w:pPr>
              <w:pStyle w:val="BodyText"/>
              <w:tabs>
                <w:tab w:val="left" w:pos="4170"/>
              </w:tabs>
              <w:rPr>
                <w:noProof/>
                <w:sz w:val="20"/>
                <w:szCs w:val="20"/>
              </w:rPr>
            </w:pPr>
            <w:r w:rsidRPr="00A34B27">
              <w:rPr>
                <w:noProof/>
                <w:sz w:val="20"/>
                <w:szCs w:val="20"/>
              </w:rPr>
              <w:t>Human resource needs:</w:t>
            </w:r>
          </w:p>
        </w:tc>
        <w:tc>
          <w:tcPr>
            <w:tcW w:w="2760" w:type="dxa"/>
            <w:shd w:val="clear" w:color="auto" w:fill="D9D9D9" w:themeFill="background1" w:themeFillShade="D9"/>
          </w:tcPr>
          <w:p w14:paraId="124FCD5A" w14:textId="77777777" w:rsidR="000A7D9D" w:rsidRPr="00A34B27" w:rsidRDefault="000A7D9D" w:rsidP="00F31937">
            <w:pPr>
              <w:pStyle w:val="BodyText"/>
              <w:tabs>
                <w:tab w:val="left" w:pos="4170"/>
              </w:tabs>
              <w:spacing w:after="0"/>
              <w:rPr>
                <w:b/>
                <w:noProof/>
                <w:sz w:val="20"/>
                <w:szCs w:val="20"/>
                <w:lang w:val="fr-BE"/>
              </w:rPr>
            </w:pPr>
            <w:r w:rsidRPr="00A34B27">
              <w:rPr>
                <w:noProof/>
                <w:sz w:val="20"/>
                <w:szCs w:val="20"/>
                <w:lang w:val="fr-BE"/>
              </w:rPr>
              <w:t>2025:</w:t>
            </w:r>
            <w:r w:rsidRPr="00A34B27">
              <w:rPr>
                <w:b/>
                <w:noProof/>
                <w:sz w:val="20"/>
                <w:szCs w:val="20"/>
                <w:lang w:val="fr-BE"/>
              </w:rPr>
              <w:t xml:space="preserve">  4 TA, 6  CAs</w:t>
            </w:r>
          </w:p>
          <w:p w14:paraId="1A85B71C"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2026:  </w:t>
            </w:r>
            <w:r w:rsidRPr="00A34B27">
              <w:rPr>
                <w:b/>
                <w:noProof/>
                <w:sz w:val="20"/>
                <w:szCs w:val="20"/>
                <w:lang w:val="fr-BE"/>
              </w:rPr>
              <w:t>4 TA, 6  CAs</w:t>
            </w:r>
          </w:p>
          <w:p w14:paraId="16CE769B"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2027:  </w:t>
            </w:r>
            <w:r w:rsidRPr="00A34B27">
              <w:rPr>
                <w:b/>
                <w:noProof/>
                <w:sz w:val="20"/>
                <w:szCs w:val="20"/>
                <w:lang w:val="fr-BE"/>
              </w:rPr>
              <w:t>4 TA, 6 CAs</w:t>
            </w:r>
          </w:p>
          <w:p w14:paraId="09A8CC16"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2028:  </w:t>
            </w:r>
            <w:r w:rsidRPr="00A34B27">
              <w:rPr>
                <w:b/>
                <w:noProof/>
                <w:sz w:val="20"/>
                <w:szCs w:val="20"/>
                <w:lang w:val="fr-BE"/>
              </w:rPr>
              <w:t>4 TA, 0 CAs</w:t>
            </w:r>
          </w:p>
        </w:tc>
      </w:tr>
      <w:tr w:rsidR="000A7D9D" w:rsidRPr="00A34B27" w14:paraId="75A1C99C" w14:textId="77777777" w:rsidTr="00F31937">
        <w:trPr>
          <w:trHeight w:val="300"/>
        </w:trPr>
        <w:tc>
          <w:tcPr>
            <w:tcW w:w="1454" w:type="dxa"/>
            <w:vMerge w:val="restart"/>
            <w:shd w:val="clear" w:color="auto" w:fill="D9D9D9" w:themeFill="background1" w:themeFillShade="D9"/>
          </w:tcPr>
          <w:p w14:paraId="3AE09A41" w14:textId="77777777" w:rsidR="000A7D9D" w:rsidRPr="00A34B27" w:rsidRDefault="000A7D9D" w:rsidP="00F31937">
            <w:pPr>
              <w:pStyle w:val="BodyText"/>
              <w:rPr>
                <w:noProof/>
                <w:sz w:val="20"/>
                <w:szCs w:val="20"/>
              </w:rPr>
            </w:pPr>
            <w:r w:rsidRPr="00A34B27">
              <w:rPr>
                <w:noProof/>
                <w:sz w:val="20"/>
                <w:szCs w:val="20"/>
              </w:rPr>
              <w:t>EEA</w:t>
            </w:r>
          </w:p>
        </w:tc>
        <w:tc>
          <w:tcPr>
            <w:tcW w:w="3300" w:type="dxa"/>
            <w:vMerge w:val="restart"/>
            <w:shd w:val="clear" w:color="auto" w:fill="D9D9D9" w:themeFill="background1" w:themeFillShade="D9"/>
          </w:tcPr>
          <w:p w14:paraId="558A7F56" w14:textId="77777777" w:rsidR="000A7D9D" w:rsidRPr="00A34B27" w:rsidRDefault="000A7D9D" w:rsidP="00F31937">
            <w:pPr>
              <w:pStyle w:val="BodyText"/>
              <w:rPr>
                <w:noProof/>
                <w:sz w:val="20"/>
                <w:szCs w:val="20"/>
              </w:rPr>
            </w:pPr>
          </w:p>
        </w:tc>
        <w:tc>
          <w:tcPr>
            <w:tcW w:w="2115" w:type="dxa"/>
            <w:shd w:val="clear" w:color="auto" w:fill="D9D9D9" w:themeFill="background1" w:themeFillShade="D9"/>
          </w:tcPr>
          <w:p w14:paraId="3D43EA46" w14:textId="77777777" w:rsidR="000A7D9D" w:rsidRPr="00A34B27" w:rsidRDefault="000A7D9D" w:rsidP="00F31937">
            <w:pPr>
              <w:pStyle w:val="BodyText"/>
              <w:tabs>
                <w:tab w:val="left" w:pos="4170"/>
              </w:tabs>
              <w:rPr>
                <w:noProof/>
                <w:sz w:val="20"/>
                <w:szCs w:val="20"/>
              </w:rPr>
            </w:pPr>
            <w:r w:rsidRPr="00A34B27">
              <w:rPr>
                <w:noProof/>
                <w:sz w:val="20"/>
                <w:szCs w:val="20"/>
              </w:rPr>
              <w:t>Financial resource needs:</w:t>
            </w:r>
          </w:p>
        </w:tc>
        <w:tc>
          <w:tcPr>
            <w:tcW w:w="2760" w:type="dxa"/>
            <w:shd w:val="clear" w:color="auto" w:fill="D9D9D9" w:themeFill="background1" w:themeFillShade="D9"/>
          </w:tcPr>
          <w:p w14:paraId="717F45B6" w14:textId="77777777" w:rsidR="000A7D9D" w:rsidRPr="00A34B27" w:rsidRDefault="000A7D9D" w:rsidP="00F31937">
            <w:pPr>
              <w:pStyle w:val="BodyText"/>
              <w:tabs>
                <w:tab w:val="left" w:pos="4170"/>
              </w:tabs>
              <w:spacing w:after="0"/>
              <w:rPr>
                <w:b/>
                <w:noProof/>
                <w:sz w:val="20"/>
                <w:szCs w:val="20"/>
              </w:rPr>
            </w:pPr>
            <w:r w:rsidRPr="00A34B27">
              <w:rPr>
                <w:noProof/>
                <w:sz w:val="20"/>
                <w:szCs w:val="20"/>
              </w:rPr>
              <w:t xml:space="preserve">2025: </w:t>
            </w:r>
            <w:r w:rsidRPr="00A34B27">
              <w:rPr>
                <w:b/>
                <w:noProof/>
                <w:sz w:val="20"/>
                <w:szCs w:val="20"/>
              </w:rPr>
              <w:t xml:space="preserve">EUR 0 </w:t>
            </w:r>
          </w:p>
          <w:p w14:paraId="3AA23F7E" w14:textId="77777777" w:rsidR="000A7D9D" w:rsidRPr="00A34B27" w:rsidRDefault="000A7D9D" w:rsidP="00F31937">
            <w:pPr>
              <w:pStyle w:val="BodyText"/>
              <w:tabs>
                <w:tab w:val="left" w:pos="4170"/>
              </w:tabs>
              <w:spacing w:after="0"/>
              <w:rPr>
                <w:noProof/>
                <w:sz w:val="20"/>
                <w:szCs w:val="20"/>
              </w:rPr>
            </w:pPr>
            <w:r w:rsidRPr="00A34B27">
              <w:rPr>
                <w:noProof/>
                <w:sz w:val="20"/>
                <w:szCs w:val="20"/>
              </w:rPr>
              <w:t xml:space="preserve">2026: </w:t>
            </w:r>
            <w:r w:rsidRPr="00A34B27">
              <w:rPr>
                <w:b/>
                <w:noProof/>
                <w:sz w:val="20"/>
                <w:szCs w:val="20"/>
              </w:rPr>
              <w:t>EUR 266 000</w:t>
            </w:r>
          </w:p>
          <w:p w14:paraId="7D6A9FA8" w14:textId="77777777" w:rsidR="000A7D9D" w:rsidRPr="00A34B27" w:rsidRDefault="000A7D9D" w:rsidP="00F31937">
            <w:pPr>
              <w:pStyle w:val="BodyText"/>
              <w:tabs>
                <w:tab w:val="left" w:pos="4170"/>
              </w:tabs>
              <w:spacing w:after="0"/>
              <w:rPr>
                <w:noProof/>
                <w:sz w:val="20"/>
                <w:szCs w:val="20"/>
              </w:rPr>
            </w:pPr>
            <w:r w:rsidRPr="00A34B27">
              <w:rPr>
                <w:noProof/>
                <w:sz w:val="20"/>
                <w:szCs w:val="20"/>
              </w:rPr>
              <w:t xml:space="preserve">2027: </w:t>
            </w:r>
            <w:r w:rsidRPr="00A34B27">
              <w:rPr>
                <w:b/>
                <w:noProof/>
                <w:sz w:val="20"/>
                <w:szCs w:val="20"/>
              </w:rPr>
              <w:t>EUR 334 000</w:t>
            </w:r>
          </w:p>
          <w:p w14:paraId="7E7BFCE5" w14:textId="77777777" w:rsidR="000A7D9D" w:rsidRPr="00A34B27" w:rsidRDefault="000A7D9D" w:rsidP="00F31937">
            <w:pPr>
              <w:pStyle w:val="BodyText"/>
              <w:tabs>
                <w:tab w:val="left" w:pos="4170"/>
              </w:tabs>
              <w:spacing w:after="0"/>
              <w:rPr>
                <w:noProof/>
                <w:sz w:val="20"/>
                <w:szCs w:val="20"/>
              </w:rPr>
            </w:pPr>
            <w:r w:rsidRPr="00A34B27">
              <w:rPr>
                <w:noProof/>
                <w:sz w:val="20"/>
                <w:szCs w:val="20"/>
              </w:rPr>
              <w:t xml:space="preserve">2028: </w:t>
            </w:r>
            <w:r w:rsidRPr="00A34B27">
              <w:rPr>
                <w:b/>
                <w:noProof/>
                <w:sz w:val="20"/>
                <w:szCs w:val="20"/>
              </w:rPr>
              <w:t>EUR 200 000</w:t>
            </w:r>
          </w:p>
        </w:tc>
      </w:tr>
      <w:tr w:rsidR="000A7D9D" w:rsidRPr="00A34B27" w14:paraId="5518AB65" w14:textId="77777777" w:rsidTr="00F31937">
        <w:trPr>
          <w:trHeight w:val="300"/>
        </w:trPr>
        <w:tc>
          <w:tcPr>
            <w:tcW w:w="1454" w:type="dxa"/>
            <w:vMerge/>
            <w:shd w:val="clear" w:color="auto" w:fill="D9D9D9" w:themeFill="background1" w:themeFillShade="D9"/>
          </w:tcPr>
          <w:p w14:paraId="5AC05F94" w14:textId="77777777" w:rsidR="000A7D9D" w:rsidRPr="00A34B27" w:rsidRDefault="000A7D9D" w:rsidP="00F31937">
            <w:pPr>
              <w:pStyle w:val="BodyText"/>
              <w:rPr>
                <w:noProof/>
                <w:sz w:val="20"/>
                <w:szCs w:val="20"/>
              </w:rPr>
            </w:pPr>
          </w:p>
        </w:tc>
        <w:tc>
          <w:tcPr>
            <w:tcW w:w="3300" w:type="dxa"/>
            <w:vMerge/>
            <w:shd w:val="clear" w:color="auto" w:fill="D9D9D9" w:themeFill="background1" w:themeFillShade="D9"/>
          </w:tcPr>
          <w:p w14:paraId="211F9EFD" w14:textId="77777777" w:rsidR="000A7D9D" w:rsidRPr="00A34B27" w:rsidRDefault="000A7D9D" w:rsidP="00F31937">
            <w:pPr>
              <w:pStyle w:val="BodyText"/>
              <w:rPr>
                <w:noProof/>
                <w:sz w:val="20"/>
                <w:szCs w:val="20"/>
              </w:rPr>
            </w:pPr>
          </w:p>
        </w:tc>
        <w:tc>
          <w:tcPr>
            <w:tcW w:w="2115" w:type="dxa"/>
            <w:shd w:val="clear" w:color="auto" w:fill="D9D9D9" w:themeFill="background1" w:themeFillShade="D9"/>
          </w:tcPr>
          <w:p w14:paraId="55230ACE" w14:textId="77777777" w:rsidR="000A7D9D" w:rsidRPr="00A34B27" w:rsidRDefault="000A7D9D" w:rsidP="00F31937">
            <w:pPr>
              <w:pStyle w:val="BodyText"/>
              <w:tabs>
                <w:tab w:val="left" w:pos="4170"/>
              </w:tabs>
              <w:rPr>
                <w:noProof/>
                <w:sz w:val="20"/>
                <w:szCs w:val="20"/>
              </w:rPr>
            </w:pPr>
            <w:r w:rsidRPr="00A34B27">
              <w:rPr>
                <w:noProof/>
                <w:sz w:val="20"/>
                <w:szCs w:val="20"/>
              </w:rPr>
              <w:t>Human resource needs:</w:t>
            </w:r>
          </w:p>
        </w:tc>
        <w:tc>
          <w:tcPr>
            <w:tcW w:w="2760" w:type="dxa"/>
            <w:shd w:val="clear" w:color="auto" w:fill="D9D9D9" w:themeFill="background1" w:themeFillShade="D9"/>
          </w:tcPr>
          <w:p w14:paraId="3C6251D5"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2025: </w:t>
            </w:r>
            <w:r w:rsidRPr="00A34B27">
              <w:rPr>
                <w:b/>
                <w:noProof/>
                <w:sz w:val="20"/>
                <w:szCs w:val="20"/>
                <w:lang w:val="fr-BE"/>
              </w:rPr>
              <w:t>1 TA, 2 CAs</w:t>
            </w:r>
          </w:p>
          <w:p w14:paraId="22EA3FC8"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2026: </w:t>
            </w:r>
            <w:r w:rsidRPr="00A34B27">
              <w:rPr>
                <w:b/>
                <w:noProof/>
                <w:sz w:val="20"/>
                <w:szCs w:val="20"/>
                <w:lang w:val="fr-BE"/>
              </w:rPr>
              <w:t>1 TA, 2 CAs</w:t>
            </w:r>
          </w:p>
          <w:p w14:paraId="0F9DA89C"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2027: </w:t>
            </w:r>
            <w:r w:rsidRPr="00A34B27">
              <w:rPr>
                <w:b/>
                <w:noProof/>
                <w:sz w:val="20"/>
                <w:szCs w:val="20"/>
                <w:lang w:val="fr-BE"/>
              </w:rPr>
              <w:t>1 TA, 2 CAs</w:t>
            </w:r>
          </w:p>
          <w:p w14:paraId="2E5A310E"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2028: </w:t>
            </w:r>
            <w:r w:rsidRPr="00A34B27">
              <w:rPr>
                <w:b/>
                <w:noProof/>
                <w:sz w:val="20"/>
                <w:szCs w:val="20"/>
                <w:lang w:val="fr-BE"/>
              </w:rPr>
              <w:t>1 TA, 0 CAs</w:t>
            </w:r>
          </w:p>
        </w:tc>
      </w:tr>
      <w:tr w:rsidR="000A7D9D" w:rsidRPr="00A34B27" w14:paraId="2D855BD1" w14:textId="77777777" w:rsidTr="00F31937">
        <w:trPr>
          <w:trHeight w:val="300"/>
        </w:trPr>
        <w:tc>
          <w:tcPr>
            <w:tcW w:w="1454" w:type="dxa"/>
            <w:vMerge w:val="restart"/>
            <w:shd w:val="clear" w:color="auto" w:fill="D9D9D9" w:themeFill="background1" w:themeFillShade="D9"/>
          </w:tcPr>
          <w:p w14:paraId="2E741C35" w14:textId="77777777" w:rsidR="000A7D9D" w:rsidRPr="00A34B27" w:rsidRDefault="000A7D9D" w:rsidP="00F31937">
            <w:pPr>
              <w:pStyle w:val="BodyText"/>
              <w:rPr>
                <w:noProof/>
                <w:sz w:val="20"/>
                <w:szCs w:val="20"/>
              </w:rPr>
            </w:pPr>
            <w:r w:rsidRPr="00A34B27">
              <w:rPr>
                <w:noProof/>
                <w:sz w:val="20"/>
                <w:szCs w:val="20"/>
              </w:rPr>
              <w:t>EFSA</w:t>
            </w:r>
          </w:p>
        </w:tc>
        <w:tc>
          <w:tcPr>
            <w:tcW w:w="3300" w:type="dxa"/>
            <w:vMerge w:val="restart"/>
            <w:shd w:val="clear" w:color="auto" w:fill="D9D9D9" w:themeFill="background1" w:themeFillShade="D9"/>
          </w:tcPr>
          <w:p w14:paraId="376AE0EA" w14:textId="77777777" w:rsidR="000A7D9D" w:rsidRPr="00A34B27" w:rsidRDefault="000A7D9D" w:rsidP="00F31937">
            <w:pPr>
              <w:pStyle w:val="BodyText"/>
              <w:rPr>
                <w:noProof/>
                <w:sz w:val="20"/>
                <w:szCs w:val="20"/>
              </w:rPr>
            </w:pPr>
          </w:p>
        </w:tc>
        <w:tc>
          <w:tcPr>
            <w:tcW w:w="2115" w:type="dxa"/>
            <w:shd w:val="clear" w:color="auto" w:fill="D9D9D9" w:themeFill="background1" w:themeFillShade="D9"/>
          </w:tcPr>
          <w:p w14:paraId="1A434BAC" w14:textId="77777777" w:rsidR="000A7D9D" w:rsidRPr="00A34B27" w:rsidRDefault="000A7D9D" w:rsidP="00F31937">
            <w:pPr>
              <w:pStyle w:val="BodyText"/>
              <w:tabs>
                <w:tab w:val="left" w:pos="4170"/>
              </w:tabs>
              <w:rPr>
                <w:noProof/>
                <w:sz w:val="20"/>
                <w:szCs w:val="20"/>
              </w:rPr>
            </w:pPr>
            <w:r w:rsidRPr="00A34B27">
              <w:rPr>
                <w:noProof/>
                <w:sz w:val="20"/>
                <w:szCs w:val="20"/>
              </w:rPr>
              <w:t>Financial resource needs:</w:t>
            </w:r>
          </w:p>
        </w:tc>
        <w:tc>
          <w:tcPr>
            <w:tcW w:w="2760" w:type="dxa"/>
            <w:shd w:val="clear" w:color="auto" w:fill="D9D9D9" w:themeFill="background1" w:themeFillShade="D9"/>
          </w:tcPr>
          <w:p w14:paraId="22BAD715" w14:textId="77777777" w:rsidR="000A7D9D" w:rsidRPr="00A34B27" w:rsidRDefault="000A7D9D" w:rsidP="00F31937">
            <w:pPr>
              <w:pStyle w:val="BodyText"/>
              <w:tabs>
                <w:tab w:val="left" w:pos="4170"/>
              </w:tabs>
              <w:spacing w:after="0"/>
              <w:rPr>
                <w:b/>
                <w:noProof/>
                <w:sz w:val="20"/>
                <w:szCs w:val="20"/>
                <w:lang w:val="fr-BE"/>
              </w:rPr>
            </w:pPr>
            <w:r w:rsidRPr="00A34B27">
              <w:rPr>
                <w:noProof/>
                <w:sz w:val="20"/>
                <w:szCs w:val="20"/>
                <w:lang w:val="fr-BE"/>
              </w:rPr>
              <w:t xml:space="preserve">2025: </w:t>
            </w:r>
            <w:r w:rsidRPr="00A34B27">
              <w:rPr>
                <w:b/>
                <w:noProof/>
                <w:sz w:val="20"/>
                <w:szCs w:val="20"/>
                <w:lang w:val="fr-BE"/>
              </w:rPr>
              <w:t>EUR 670 000</w:t>
            </w:r>
          </w:p>
          <w:p w14:paraId="74DA130C" w14:textId="77777777" w:rsidR="000A7D9D" w:rsidRPr="00A34B27" w:rsidRDefault="000A7D9D" w:rsidP="00F31937">
            <w:pPr>
              <w:pStyle w:val="BodyText"/>
              <w:tabs>
                <w:tab w:val="left" w:pos="4170"/>
              </w:tabs>
              <w:spacing w:after="0"/>
              <w:rPr>
                <w:b/>
                <w:noProof/>
                <w:sz w:val="20"/>
                <w:szCs w:val="20"/>
                <w:lang w:val="fr-BE"/>
              </w:rPr>
            </w:pPr>
            <w:r w:rsidRPr="00A34B27">
              <w:rPr>
                <w:noProof/>
                <w:sz w:val="20"/>
                <w:szCs w:val="20"/>
                <w:lang w:val="fr-BE"/>
              </w:rPr>
              <w:t xml:space="preserve">2026: </w:t>
            </w:r>
            <w:r w:rsidRPr="00A34B27">
              <w:rPr>
                <w:b/>
                <w:noProof/>
                <w:sz w:val="20"/>
                <w:szCs w:val="20"/>
                <w:lang w:val="fr-BE"/>
              </w:rPr>
              <w:t>EUR 670 000</w:t>
            </w:r>
          </w:p>
          <w:p w14:paraId="6D19AC11" w14:textId="77777777" w:rsidR="000A7D9D" w:rsidRPr="00A34B27" w:rsidRDefault="000A7D9D" w:rsidP="00F31937">
            <w:pPr>
              <w:pStyle w:val="BodyText"/>
              <w:tabs>
                <w:tab w:val="left" w:pos="4170"/>
              </w:tabs>
              <w:spacing w:after="0"/>
              <w:rPr>
                <w:b/>
                <w:noProof/>
                <w:sz w:val="20"/>
                <w:szCs w:val="20"/>
                <w:lang w:val="fr-BE"/>
              </w:rPr>
            </w:pPr>
            <w:r w:rsidRPr="00A34B27">
              <w:rPr>
                <w:noProof/>
                <w:sz w:val="20"/>
                <w:szCs w:val="20"/>
                <w:lang w:val="fr-BE"/>
              </w:rPr>
              <w:t xml:space="preserve">2027: </w:t>
            </w:r>
            <w:r w:rsidRPr="00A34B27">
              <w:rPr>
                <w:b/>
                <w:noProof/>
                <w:sz w:val="20"/>
                <w:szCs w:val="20"/>
                <w:lang w:val="fr-BE"/>
              </w:rPr>
              <w:t>EUR 670 000</w:t>
            </w:r>
          </w:p>
          <w:p w14:paraId="0CEAF9FF"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2028: </w:t>
            </w:r>
            <w:r w:rsidRPr="00A34B27">
              <w:rPr>
                <w:b/>
                <w:noProof/>
                <w:sz w:val="20"/>
                <w:szCs w:val="20"/>
                <w:lang w:val="fr-BE"/>
              </w:rPr>
              <w:t>EUR 500 000</w:t>
            </w:r>
          </w:p>
        </w:tc>
      </w:tr>
      <w:tr w:rsidR="000A7D9D" w:rsidRPr="00A34B27" w14:paraId="31F91B3A" w14:textId="77777777" w:rsidTr="00F31937">
        <w:trPr>
          <w:trHeight w:val="300"/>
        </w:trPr>
        <w:tc>
          <w:tcPr>
            <w:tcW w:w="1454" w:type="dxa"/>
            <w:vMerge/>
            <w:shd w:val="clear" w:color="auto" w:fill="D9D9D9" w:themeFill="background1" w:themeFillShade="D9"/>
          </w:tcPr>
          <w:p w14:paraId="702032E5" w14:textId="77777777" w:rsidR="000A7D9D" w:rsidRPr="00A34B27" w:rsidRDefault="000A7D9D" w:rsidP="00F31937">
            <w:pPr>
              <w:pStyle w:val="BodyText"/>
              <w:rPr>
                <w:noProof/>
                <w:sz w:val="20"/>
                <w:szCs w:val="20"/>
                <w:lang w:val="fr-BE"/>
              </w:rPr>
            </w:pPr>
          </w:p>
        </w:tc>
        <w:tc>
          <w:tcPr>
            <w:tcW w:w="3300" w:type="dxa"/>
            <w:vMerge/>
            <w:shd w:val="clear" w:color="auto" w:fill="D9D9D9" w:themeFill="background1" w:themeFillShade="D9"/>
          </w:tcPr>
          <w:p w14:paraId="1E4D7075" w14:textId="77777777" w:rsidR="000A7D9D" w:rsidRPr="00A34B27" w:rsidRDefault="000A7D9D" w:rsidP="00F31937">
            <w:pPr>
              <w:pStyle w:val="BodyText"/>
              <w:rPr>
                <w:noProof/>
                <w:sz w:val="20"/>
                <w:szCs w:val="20"/>
                <w:lang w:val="fr-BE"/>
              </w:rPr>
            </w:pPr>
          </w:p>
        </w:tc>
        <w:tc>
          <w:tcPr>
            <w:tcW w:w="2115" w:type="dxa"/>
            <w:shd w:val="clear" w:color="auto" w:fill="D9D9D9" w:themeFill="background1" w:themeFillShade="D9"/>
          </w:tcPr>
          <w:p w14:paraId="1BDFF653" w14:textId="77777777" w:rsidR="000A7D9D" w:rsidRPr="00A34B27" w:rsidRDefault="000A7D9D" w:rsidP="00F31937">
            <w:pPr>
              <w:pStyle w:val="BodyText"/>
              <w:tabs>
                <w:tab w:val="left" w:pos="4170"/>
              </w:tabs>
              <w:rPr>
                <w:noProof/>
                <w:sz w:val="20"/>
                <w:szCs w:val="20"/>
              </w:rPr>
            </w:pPr>
            <w:r w:rsidRPr="00A34B27">
              <w:rPr>
                <w:noProof/>
                <w:sz w:val="20"/>
                <w:szCs w:val="20"/>
              </w:rPr>
              <w:t>Human resource needs:</w:t>
            </w:r>
          </w:p>
        </w:tc>
        <w:tc>
          <w:tcPr>
            <w:tcW w:w="2760" w:type="dxa"/>
            <w:shd w:val="clear" w:color="auto" w:fill="D9D9D9" w:themeFill="background1" w:themeFillShade="D9"/>
          </w:tcPr>
          <w:p w14:paraId="79F97C01" w14:textId="77777777" w:rsidR="000A7D9D" w:rsidRPr="00A34B27" w:rsidRDefault="000A7D9D" w:rsidP="00F31937">
            <w:pPr>
              <w:pStyle w:val="BodyText"/>
              <w:tabs>
                <w:tab w:val="left" w:pos="4170"/>
              </w:tabs>
              <w:spacing w:after="0"/>
              <w:rPr>
                <w:b/>
                <w:noProof/>
                <w:sz w:val="20"/>
                <w:szCs w:val="20"/>
                <w:lang w:val="fr-BE"/>
              </w:rPr>
            </w:pPr>
            <w:r w:rsidRPr="00A34B27">
              <w:rPr>
                <w:noProof/>
                <w:sz w:val="20"/>
                <w:szCs w:val="20"/>
                <w:lang w:val="fr-BE"/>
              </w:rPr>
              <w:t xml:space="preserve">2025:  </w:t>
            </w:r>
            <w:r w:rsidRPr="00A34B27">
              <w:rPr>
                <w:b/>
                <w:noProof/>
                <w:sz w:val="20"/>
                <w:szCs w:val="20"/>
                <w:lang w:val="fr-BE"/>
              </w:rPr>
              <w:t>0 TA, 5 CAs</w:t>
            </w:r>
          </w:p>
          <w:p w14:paraId="731738DB"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2026:  </w:t>
            </w:r>
            <w:r w:rsidRPr="00A34B27">
              <w:rPr>
                <w:b/>
                <w:noProof/>
                <w:sz w:val="20"/>
                <w:szCs w:val="20"/>
                <w:lang w:val="fr-BE"/>
              </w:rPr>
              <w:t>0 TA, 5 CAs</w:t>
            </w:r>
          </w:p>
          <w:p w14:paraId="5CED2B8F"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2027:  </w:t>
            </w:r>
            <w:r w:rsidRPr="00A34B27">
              <w:rPr>
                <w:b/>
                <w:noProof/>
                <w:sz w:val="20"/>
                <w:szCs w:val="20"/>
                <w:lang w:val="fr-BE"/>
              </w:rPr>
              <w:t>0 TA, 5 CAs</w:t>
            </w:r>
          </w:p>
          <w:p w14:paraId="11ACEC7C"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2028:  </w:t>
            </w:r>
            <w:r w:rsidRPr="00A34B27">
              <w:rPr>
                <w:b/>
                <w:noProof/>
                <w:sz w:val="20"/>
                <w:szCs w:val="20"/>
                <w:lang w:val="fr-BE"/>
              </w:rPr>
              <w:t>0 TA, 2 CAs</w:t>
            </w:r>
          </w:p>
        </w:tc>
      </w:tr>
      <w:tr w:rsidR="000A7D9D" w:rsidRPr="00A34B27" w14:paraId="20A280D0" w14:textId="77777777" w:rsidTr="00F31937">
        <w:trPr>
          <w:trHeight w:val="300"/>
        </w:trPr>
        <w:tc>
          <w:tcPr>
            <w:tcW w:w="1454" w:type="dxa"/>
            <w:vMerge w:val="restart"/>
            <w:shd w:val="clear" w:color="auto" w:fill="D9D9D9" w:themeFill="background1" w:themeFillShade="D9"/>
          </w:tcPr>
          <w:p w14:paraId="3C96532B" w14:textId="77777777" w:rsidR="000A7D9D" w:rsidRPr="00A34B27" w:rsidRDefault="000A7D9D" w:rsidP="00F31937">
            <w:pPr>
              <w:pStyle w:val="BodyText"/>
              <w:rPr>
                <w:noProof/>
                <w:sz w:val="20"/>
                <w:szCs w:val="20"/>
              </w:rPr>
            </w:pPr>
            <w:r w:rsidRPr="00A34B27">
              <w:rPr>
                <w:noProof/>
                <w:sz w:val="20"/>
                <w:szCs w:val="20"/>
              </w:rPr>
              <w:t>EMA</w:t>
            </w:r>
          </w:p>
        </w:tc>
        <w:tc>
          <w:tcPr>
            <w:tcW w:w="3300" w:type="dxa"/>
            <w:vMerge w:val="restart"/>
            <w:shd w:val="clear" w:color="auto" w:fill="D9D9D9" w:themeFill="background1" w:themeFillShade="D9"/>
          </w:tcPr>
          <w:p w14:paraId="6E015CF4" w14:textId="77777777" w:rsidR="000A7D9D" w:rsidRPr="00A34B27" w:rsidRDefault="000A7D9D" w:rsidP="00F31937">
            <w:pPr>
              <w:pStyle w:val="BodyText"/>
              <w:rPr>
                <w:noProof/>
                <w:sz w:val="20"/>
                <w:szCs w:val="20"/>
              </w:rPr>
            </w:pPr>
          </w:p>
        </w:tc>
        <w:tc>
          <w:tcPr>
            <w:tcW w:w="2115" w:type="dxa"/>
            <w:shd w:val="clear" w:color="auto" w:fill="D9D9D9" w:themeFill="background1" w:themeFillShade="D9"/>
          </w:tcPr>
          <w:p w14:paraId="4557EFA8" w14:textId="77777777" w:rsidR="000A7D9D" w:rsidRPr="00A34B27" w:rsidRDefault="000A7D9D" w:rsidP="00F31937">
            <w:pPr>
              <w:pStyle w:val="BodyText"/>
              <w:tabs>
                <w:tab w:val="left" w:pos="4170"/>
              </w:tabs>
              <w:rPr>
                <w:noProof/>
                <w:sz w:val="20"/>
                <w:szCs w:val="20"/>
              </w:rPr>
            </w:pPr>
            <w:r w:rsidRPr="00A34B27">
              <w:rPr>
                <w:noProof/>
                <w:sz w:val="20"/>
                <w:szCs w:val="20"/>
              </w:rPr>
              <w:t>Financial resource needs:</w:t>
            </w:r>
          </w:p>
        </w:tc>
        <w:tc>
          <w:tcPr>
            <w:tcW w:w="2760" w:type="dxa"/>
            <w:shd w:val="clear" w:color="auto" w:fill="D9D9D9" w:themeFill="background1" w:themeFillShade="D9"/>
          </w:tcPr>
          <w:p w14:paraId="5991D2FA" w14:textId="77777777" w:rsidR="000A7D9D" w:rsidRPr="00A34B27" w:rsidRDefault="000A7D9D" w:rsidP="00F31937">
            <w:pPr>
              <w:pStyle w:val="BodyText"/>
              <w:tabs>
                <w:tab w:val="left" w:pos="4170"/>
              </w:tabs>
              <w:spacing w:after="0"/>
              <w:rPr>
                <w:b/>
                <w:noProof/>
                <w:sz w:val="20"/>
                <w:szCs w:val="20"/>
              </w:rPr>
            </w:pPr>
            <w:r w:rsidRPr="00A34B27">
              <w:rPr>
                <w:noProof/>
                <w:sz w:val="20"/>
                <w:szCs w:val="20"/>
              </w:rPr>
              <w:t xml:space="preserve">2025: </w:t>
            </w:r>
            <w:r w:rsidRPr="00A34B27">
              <w:rPr>
                <w:b/>
                <w:noProof/>
                <w:sz w:val="20"/>
                <w:szCs w:val="20"/>
              </w:rPr>
              <w:t>EUR 100 000</w:t>
            </w:r>
          </w:p>
          <w:p w14:paraId="4A579D95" w14:textId="77777777" w:rsidR="000A7D9D" w:rsidRPr="00A34B27" w:rsidRDefault="000A7D9D" w:rsidP="00F31937">
            <w:pPr>
              <w:pStyle w:val="BodyText"/>
              <w:tabs>
                <w:tab w:val="left" w:pos="4170"/>
              </w:tabs>
              <w:spacing w:after="0"/>
              <w:rPr>
                <w:noProof/>
                <w:sz w:val="20"/>
                <w:szCs w:val="20"/>
              </w:rPr>
            </w:pPr>
            <w:r w:rsidRPr="00A34B27">
              <w:rPr>
                <w:noProof/>
                <w:sz w:val="20"/>
                <w:szCs w:val="20"/>
              </w:rPr>
              <w:t xml:space="preserve">2026: </w:t>
            </w:r>
            <w:r w:rsidRPr="00A34B27">
              <w:rPr>
                <w:b/>
                <w:noProof/>
                <w:sz w:val="20"/>
                <w:szCs w:val="20"/>
              </w:rPr>
              <w:t>EUR 100 000</w:t>
            </w:r>
          </w:p>
          <w:p w14:paraId="1E453206" w14:textId="77777777" w:rsidR="000A7D9D" w:rsidRPr="00A34B27" w:rsidRDefault="000A7D9D" w:rsidP="00F31937">
            <w:pPr>
              <w:pStyle w:val="BodyText"/>
              <w:tabs>
                <w:tab w:val="left" w:pos="4170"/>
              </w:tabs>
              <w:spacing w:after="0"/>
              <w:rPr>
                <w:noProof/>
                <w:sz w:val="20"/>
                <w:szCs w:val="20"/>
              </w:rPr>
            </w:pPr>
            <w:r w:rsidRPr="00A34B27">
              <w:rPr>
                <w:noProof/>
                <w:sz w:val="20"/>
                <w:szCs w:val="20"/>
              </w:rPr>
              <w:t xml:space="preserve">2027: </w:t>
            </w:r>
            <w:r w:rsidRPr="00A34B27">
              <w:rPr>
                <w:b/>
                <w:noProof/>
                <w:sz w:val="20"/>
                <w:szCs w:val="20"/>
              </w:rPr>
              <w:t>EUR 100 000</w:t>
            </w:r>
          </w:p>
          <w:p w14:paraId="5F9CE24D" w14:textId="77777777" w:rsidR="000A7D9D" w:rsidRPr="00A34B27" w:rsidRDefault="000A7D9D" w:rsidP="00F31937">
            <w:pPr>
              <w:pStyle w:val="BodyText"/>
              <w:tabs>
                <w:tab w:val="left" w:pos="4170"/>
              </w:tabs>
              <w:spacing w:after="0"/>
              <w:rPr>
                <w:noProof/>
                <w:sz w:val="20"/>
                <w:szCs w:val="20"/>
              </w:rPr>
            </w:pPr>
            <w:r w:rsidRPr="00A34B27">
              <w:rPr>
                <w:noProof/>
                <w:sz w:val="20"/>
                <w:szCs w:val="20"/>
              </w:rPr>
              <w:t xml:space="preserve">2028: </w:t>
            </w:r>
            <w:r w:rsidRPr="00A34B27">
              <w:rPr>
                <w:b/>
                <w:noProof/>
                <w:sz w:val="20"/>
                <w:szCs w:val="20"/>
              </w:rPr>
              <w:t>EUR 0</w:t>
            </w:r>
          </w:p>
        </w:tc>
      </w:tr>
      <w:tr w:rsidR="000A7D9D" w:rsidRPr="00A34B27" w14:paraId="4A374C26" w14:textId="77777777" w:rsidTr="00F31937">
        <w:trPr>
          <w:trHeight w:val="300"/>
        </w:trPr>
        <w:tc>
          <w:tcPr>
            <w:tcW w:w="1454" w:type="dxa"/>
            <w:vMerge/>
            <w:shd w:val="clear" w:color="auto" w:fill="D9D9D9" w:themeFill="background1" w:themeFillShade="D9"/>
          </w:tcPr>
          <w:p w14:paraId="15346110" w14:textId="77777777" w:rsidR="000A7D9D" w:rsidRPr="00A34B27" w:rsidRDefault="000A7D9D" w:rsidP="00F31937">
            <w:pPr>
              <w:pStyle w:val="BodyText"/>
              <w:rPr>
                <w:noProof/>
                <w:sz w:val="20"/>
                <w:szCs w:val="20"/>
              </w:rPr>
            </w:pPr>
          </w:p>
        </w:tc>
        <w:tc>
          <w:tcPr>
            <w:tcW w:w="3300" w:type="dxa"/>
            <w:vMerge/>
            <w:shd w:val="clear" w:color="auto" w:fill="D9D9D9" w:themeFill="background1" w:themeFillShade="D9"/>
          </w:tcPr>
          <w:p w14:paraId="157C70D1" w14:textId="77777777" w:rsidR="000A7D9D" w:rsidRPr="00A34B27" w:rsidRDefault="000A7D9D" w:rsidP="00F31937">
            <w:pPr>
              <w:pStyle w:val="BodyText"/>
              <w:rPr>
                <w:noProof/>
                <w:sz w:val="20"/>
                <w:szCs w:val="20"/>
              </w:rPr>
            </w:pPr>
          </w:p>
        </w:tc>
        <w:tc>
          <w:tcPr>
            <w:tcW w:w="2115" w:type="dxa"/>
            <w:shd w:val="clear" w:color="auto" w:fill="D9D9D9" w:themeFill="background1" w:themeFillShade="D9"/>
          </w:tcPr>
          <w:p w14:paraId="6200B8C6" w14:textId="77777777" w:rsidR="000A7D9D" w:rsidRPr="00A34B27" w:rsidRDefault="000A7D9D" w:rsidP="00F31937">
            <w:pPr>
              <w:pStyle w:val="BodyText"/>
              <w:tabs>
                <w:tab w:val="left" w:pos="4170"/>
              </w:tabs>
              <w:rPr>
                <w:noProof/>
                <w:sz w:val="20"/>
                <w:szCs w:val="20"/>
              </w:rPr>
            </w:pPr>
            <w:r w:rsidRPr="00A34B27">
              <w:rPr>
                <w:noProof/>
                <w:sz w:val="20"/>
                <w:szCs w:val="20"/>
              </w:rPr>
              <w:t>Human resource needs:</w:t>
            </w:r>
          </w:p>
        </w:tc>
        <w:tc>
          <w:tcPr>
            <w:tcW w:w="2760" w:type="dxa"/>
            <w:shd w:val="clear" w:color="auto" w:fill="D9D9D9" w:themeFill="background1" w:themeFillShade="D9"/>
          </w:tcPr>
          <w:p w14:paraId="50BD5C45"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2025:  </w:t>
            </w:r>
            <w:r w:rsidRPr="00A34B27">
              <w:rPr>
                <w:b/>
                <w:noProof/>
                <w:sz w:val="20"/>
                <w:szCs w:val="20"/>
                <w:lang w:val="fr-BE"/>
              </w:rPr>
              <w:t>0 TA, 3 CAs</w:t>
            </w:r>
          </w:p>
          <w:p w14:paraId="0B89A2D4"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2026:  </w:t>
            </w:r>
            <w:r w:rsidRPr="00A34B27">
              <w:rPr>
                <w:b/>
                <w:noProof/>
                <w:sz w:val="20"/>
                <w:szCs w:val="20"/>
                <w:lang w:val="fr-BE"/>
              </w:rPr>
              <w:t>0 TA, 3 CAs</w:t>
            </w:r>
          </w:p>
          <w:p w14:paraId="3A3857BD"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2027:  </w:t>
            </w:r>
            <w:r w:rsidRPr="00A34B27">
              <w:rPr>
                <w:b/>
                <w:noProof/>
                <w:sz w:val="20"/>
                <w:szCs w:val="20"/>
                <w:lang w:val="fr-BE"/>
              </w:rPr>
              <w:t>0 TA, 3 CAs</w:t>
            </w:r>
          </w:p>
          <w:p w14:paraId="1E8AB465"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2028:  </w:t>
            </w:r>
            <w:r w:rsidRPr="00A34B27">
              <w:rPr>
                <w:b/>
                <w:noProof/>
                <w:sz w:val="20"/>
                <w:szCs w:val="20"/>
                <w:lang w:val="fr-BE"/>
              </w:rPr>
              <w:t>0 TA, 2 CAs</w:t>
            </w:r>
          </w:p>
        </w:tc>
      </w:tr>
      <w:tr w:rsidR="000A7D9D" w:rsidRPr="00A34B27" w14:paraId="757347D2" w14:textId="77777777" w:rsidTr="00F31937">
        <w:trPr>
          <w:trHeight w:val="300"/>
        </w:trPr>
        <w:tc>
          <w:tcPr>
            <w:tcW w:w="1454" w:type="dxa"/>
            <w:vMerge w:val="restart"/>
            <w:shd w:val="clear" w:color="auto" w:fill="D9D9D9" w:themeFill="background1" w:themeFillShade="D9"/>
          </w:tcPr>
          <w:p w14:paraId="46713641" w14:textId="77777777" w:rsidR="000A7D9D" w:rsidRPr="00A34B27" w:rsidRDefault="000A7D9D" w:rsidP="00F31937">
            <w:pPr>
              <w:pStyle w:val="BodyText"/>
              <w:rPr>
                <w:noProof/>
                <w:sz w:val="20"/>
                <w:szCs w:val="20"/>
              </w:rPr>
            </w:pPr>
            <w:r w:rsidRPr="00A34B27">
              <w:rPr>
                <w:noProof/>
                <w:sz w:val="20"/>
                <w:szCs w:val="20"/>
              </w:rPr>
              <w:t>EU - OSHA</w:t>
            </w:r>
          </w:p>
        </w:tc>
        <w:tc>
          <w:tcPr>
            <w:tcW w:w="3300" w:type="dxa"/>
            <w:vMerge w:val="restart"/>
            <w:shd w:val="clear" w:color="auto" w:fill="D9D9D9" w:themeFill="background1" w:themeFillShade="D9"/>
          </w:tcPr>
          <w:p w14:paraId="003B3D66" w14:textId="77777777" w:rsidR="000A7D9D" w:rsidRPr="00A34B27" w:rsidRDefault="000A7D9D" w:rsidP="00F31937">
            <w:pPr>
              <w:pStyle w:val="BodyText"/>
              <w:rPr>
                <w:noProof/>
                <w:sz w:val="20"/>
                <w:szCs w:val="20"/>
              </w:rPr>
            </w:pPr>
          </w:p>
        </w:tc>
        <w:tc>
          <w:tcPr>
            <w:tcW w:w="2115" w:type="dxa"/>
            <w:shd w:val="clear" w:color="auto" w:fill="D9D9D9" w:themeFill="background1" w:themeFillShade="D9"/>
          </w:tcPr>
          <w:p w14:paraId="7BAF271A" w14:textId="77777777" w:rsidR="000A7D9D" w:rsidRPr="00A34B27" w:rsidRDefault="000A7D9D" w:rsidP="00F31937">
            <w:pPr>
              <w:pStyle w:val="BodyText"/>
              <w:tabs>
                <w:tab w:val="left" w:pos="4170"/>
              </w:tabs>
              <w:rPr>
                <w:noProof/>
                <w:sz w:val="20"/>
                <w:szCs w:val="20"/>
              </w:rPr>
            </w:pPr>
            <w:r w:rsidRPr="00A34B27">
              <w:rPr>
                <w:noProof/>
                <w:sz w:val="20"/>
                <w:szCs w:val="20"/>
              </w:rPr>
              <w:t>Financial resource needs:</w:t>
            </w:r>
          </w:p>
        </w:tc>
        <w:tc>
          <w:tcPr>
            <w:tcW w:w="2760" w:type="dxa"/>
            <w:shd w:val="clear" w:color="auto" w:fill="D9D9D9" w:themeFill="background1" w:themeFillShade="D9"/>
          </w:tcPr>
          <w:p w14:paraId="097C015E" w14:textId="77777777" w:rsidR="000A7D9D" w:rsidRPr="00A34B27" w:rsidRDefault="000A7D9D" w:rsidP="00F31937">
            <w:pPr>
              <w:pStyle w:val="BodyText"/>
              <w:tabs>
                <w:tab w:val="left" w:pos="4170"/>
              </w:tabs>
              <w:spacing w:after="0"/>
              <w:rPr>
                <w:b/>
                <w:noProof/>
                <w:sz w:val="20"/>
                <w:szCs w:val="20"/>
              </w:rPr>
            </w:pPr>
            <w:r w:rsidRPr="00A34B27">
              <w:rPr>
                <w:noProof/>
                <w:sz w:val="20"/>
                <w:szCs w:val="20"/>
              </w:rPr>
              <w:t xml:space="preserve">2025: </w:t>
            </w:r>
            <w:r w:rsidRPr="00A34B27">
              <w:rPr>
                <w:b/>
                <w:noProof/>
                <w:sz w:val="20"/>
                <w:szCs w:val="20"/>
              </w:rPr>
              <w:t>EUR 0</w:t>
            </w:r>
          </w:p>
          <w:p w14:paraId="754D2AD1" w14:textId="77777777" w:rsidR="000A7D9D" w:rsidRPr="00A34B27" w:rsidRDefault="000A7D9D" w:rsidP="00F31937">
            <w:pPr>
              <w:pStyle w:val="BodyText"/>
              <w:tabs>
                <w:tab w:val="left" w:pos="4170"/>
              </w:tabs>
              <w:spacing w:after="0"/>
              <w:rPr>
                <w:noProof/>
                <w:sz w:val="20"/>
                <w:szCs w:val="20"/>
              </w:rPr>
            </w:pPr>
            <w:r w:rsidRPr="00A34B27">
              <w:rPr>
                <w:noProof/>
                <w:sz w:val="20"/>
                <w:szCs w:val="20"/>
              </w:rPr>
              <w:t xml:space="preserve">2026: </w:t>
            </w:r>
            <w:r w:rsidRPr="00A34B27">
              <w:rPr>
                <w:b/>
                <w:noProof/>
                <w:sz w:val="20"/>
                <w:szCs w:val="20"/>
              </w:rPr>
              <w:t>EUR 0</w:t>
            </w:r>
          </w:p>
          <w:p w14:paraId="2C70928E" w14:textId="77777777" w:rsidR="000A7D9D" w:rsidRPr="00A34B27" w:rsidRDefault="000A7D9D" w:rsidP="00F31937">
            <w:pPr>
              <w:pStyle w:val="BodyText"/>
              <w:tabs>
                <w:tab w:val="left" w:pos="4170"/>
              </w:tabs>
              <w:spacing w:after="0"/>
              <w:rPr>
                <w:noProof/>
                <w:sz w:val="20"/>
                <w:szCs w:val="20"/>
              </w:rPr>
            </w:pPr>
            <w:r w:rsidRPr="00A34B27">
              <w:rPr>
                <w:noProof/>
                <w:sz w:val="20"/>
                <w:szCs w:val="20"/>
              </w:rPr>
              <w:t xml:space="preserve">2027: </w:t>
            </w:r>
            <w:r w:rsidRPr="00A34B27">
              <w:rPr>
                <w:b/>
                <w:noProof/>
                <w:sz w:val="20"/>
                <w:szCs w:val="20"/>
              </w:rPr>
              <w:t>EUR 0</w:t>
            </w:r>
          </w:p>
          <w:p w14:paraId="75B32A86"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rPr>
              <w:t xml:space="preserve">2028: </w:t>
            </w:r>
            <w:r w:rsidRPr="00A34B27">
              <w:rPr>
                <w:b/>
                <w:noProof/>
                <w:sz w:val="20"/>
                <w:szCs w:val="20"/>
              </w:rPr>
              <w:t>EUR 0</w:t>
            </w:r>
          </w:p>
        </w:tc>
      </w:tr>
      <w:tr w:rsidR="000A7D9D" w:rsidRPr="00A34B27" w14:paraId="1FBBA511" w14:textId="77777777" w:rsidTr="00F31937">
        <w:trPr>
          <w:trHeight w:val="300"/>
        </w:trPr>
        <w:tc>
          <w:tcPr>
            <w:tcW w:w="1454" w:type="dxa"/>
            <w:vMerge/>
            <w:shd w:val="clear" w:color="auto" w:fill="D9D9D9" w:themeFill="background1" w:themeFillShade="D9"/>
          </w:tcPr>
          <w:p w14:paraId="629727EA" w14:textId="77777777" w:rsidR="000A7D9D" w:rsidRPr="00A34B27" w:rsidRDefault="000A7D9D" w:rsidP="00F31937">
            <w:pPr>
              <w:pStyle w:val="BodyText"/>
              <w:rPr>
                <w:noProof/>
                <w:sz w:val="20"/>
                <w:szCs w:val="20"/>
              </w:rPr>
            </w:pPr>
          </w:p>
        </w:tc>
        <w:tc>
          <w:tcPr>
            <w:tcW w:w="3300" w:type="dxa"/>
            <w:vMerge/>
            <w:shd w:val="clear" w:color="auto" w:fill="D9D9D9" w:themeFill="background1" w:themeFillShade="D9"/>
          </w:tcPr>
          <w:p w14:paraId="5BE33A1C" w14:textId="77777777" w:rsidR="000A7D9D" w:rsidRPr="00A34B27" w:rsidRDefault="000A7D9D" w:rsidP="00F31937">
            <w:pPr>
              <w:pStyle w:val="BodyText"/>
              <w:rPr>
                <w:noProof/>
                <w:sz w:val="20"/>
                <w:szCs w:val="20"/>
              </w:rPr>
            </w:pPr>
          </w:p>
        </w:tc>
        <w:tc>
          <w:tcPr>
            <w:tcW w:w="2115" w:type="dxa"/>
            <w:shd w:val="clear" w:color="auto" w:fill="D9D9D9" w:themeFill="background1" w:themeFillShade="D9"/>
          </w:tcPr>
          <w:p w14:paraId="373938E9" w14:textId="77777777" w:rsidR="000A7D9D" w:rsidRPr="00A34B27" w:rsidRDefault="000A7D9D" w:rsidP="00F31937">
            <w:pPr>
              <w:pStyle w:val="BodyText"/>
              <w:tabs>
                <w:tab w:val="left" w:pos="4170"/>
              </w:tabs>
              <w:rPr>
                <w:noProof/>
                <w:sz w:val="20"/>
                <w:szCs w:val="20"/>
              </w:rPr>
            </w:pPr>
            <w:r w:rsidRPr="00A34B27">
              <w:rPr>
                <w:noProof/>
                <w:sz w:val="20"/>
                <w:szCs w:val="20"/>
              </w:rPr>
              <w:t>Human resource needs:</w:t>
            </w:r>
          </w:p>
        </w:tc>
        <w:tc>
          <w:tcPr>
            <w:tcW w:w="2760" w:type="dxa"/>
            <w:shd w:val="clear" w:color="auto" w:fill="D9D9D9" w:themeFill="background1" w:themeFillShade="D9"/>
          </w:tcPr>
          <w:p w14:paraId="29491C56"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2025:  </w:t>
            </w:r>
            <w:r w:rsidRPr="00A34B27">
              <w:rPr>
                <w:b/>
                <w:noProof/>
                <w:sz w:val="20"/>
                <w:szCs w:val="20"/>
                <w:lang w:val="fr-BE"/>
              </w:rPr>
              <w:t>0 FTE</w:t>
            </w:r>
          </w:p>
          <w:p w14:paraId="74D0D2F9"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2026:  </w:t>
            </w:r>
            <w:r w:rsidRPr="00A34B27">
              <w:rPr>
                <w:b/>
                <w:noProof/>
                <w:sz w:val="20"/>
                <w:szCs w:val="20"/>
                <w:lang w:val="fr-BE"/>
              </w:rPr>
              <w:t>0 FTE</w:t>
            </w:r>
          </w:p>
          <w:p w14:paraId="0A3AA275"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2027:  </w:t>
            </w:r>
            <w:r w:rsidRPr="00A34B27">
              <w:rPr>
                <w:b/>
                <w:noProof/>
                <w:sz w:val="20"/>
                <w:szCs w:val="20"/>
                <w:lang w:val="fr-BE"/>
              </w:rPr>
              <w:t>0 FTE</w:t>
            </w:r>
          </w:p>
          <w:p w14:paraId="067709B2" w14:textId="77777777" w:rsidR="000A7D9D" w:rsidRPr="00A34B27" w:rsidRDefault="000A7D9D" w:rsidP="00F31937">
            <w:pPr>
              <w:pStyle w:val="BodyText"/>
              <w:tabs>
                <w:tab w:val="left" w:pos="4170"/>
              </w:tabs>
              <w:spacing w:after="0"/>
              <w:rPr>
                <w:noProof/>
                <w:sz w:val="20"/>
                <w:szCs w:val="20"/>
                <w:lang w:val="fr-BE"/>
              </w:rPr>
            </w:pPr>
            <w:r w:rsidRPr="00A34B27">
              <w:rPr>
                <w:noProof/>
                <w:sz w:val="20"/>
                <w:szCs w:val="20"/>
                <w:lang w:val="fr-BE"/>
              </w:rPr>
              <w:t xml:space="preserve">2028:  </w:t>
            </w:r>
            <w:r w:rsidRPr="00A34B27">
              <w:rPr>
                <w:b/>
                <w:noProof/>
                <w:sz w:val="20"/>
                <w:szCs w:val="20"/>
                <w:lang w:val="fr-BE"/>
              </w:rPr>
              <w:t>0 FTE</w:t>
            </w:r>
          </w:p>
        </w:tc>
      </w:tr>
      <w:tr w:rsidR="000A7D9D" w:rsidRPr="00A34B27" w14:paraId="6A7B8AC7" w14:textId="77777777" w:rsidTr="00F31937">
        <w:trPr>
          <w:trHeight w:val="300"/>
        </w:trPr>
        <w:tc>
          <w:tcPr>
            <w:tcW w:w="1454" w:type="dxa"/>
            <w:shd w:val="clear" w:color="auto" w:fill="D9D9D9" w:themeFill="background1" w:themeFillShade="D9"/>
          </w:tcPr>
          <w:p w14:paraId="7CB847E0" w14:textId="77777777" w:rsidR="000A7D9D" w:rsidRPr="00A34B27" w:rsidRDefault="000A7D9D" w:rsidP="00F31937">
            <w:pPr>
              <w:pStyle w:val="BodyText"/>
              <w:rPr>
                <w:noProof/>
                <w:sz w:val="20"/>
                <w:szCs w:val="20"/>
              </w:rPr>
            </w:pPr>
            <w:r w:rsidRPr="00A34B27">
              <w:rPr>
                <w:noProof/>
                <w:sz w:val="20"/>
                <w:szCs w:val="20"/>
              </w:rPr>
              <w:t>JRC</w:t>
            </w:r>
          </w:p>
        </w:tc>
        <w:tc>
          <w:tcPr>
            <w:tcW w:w="3300" w:type="dxa"/>
            <w:shd w:val="clear" w:color="auto" w:fill="D9D9D9" w:themeFill="background1" w:themeFillShade="D9"/>
          </w:tcPr>
          <w:p w14:paraId="44AA6040" w14:textId="77777777" w:rsidR="000A7D9D" w:rsidRPr="00A34B27" w:rsidRDefault="000A7D9D" w:rsidP="00F31937">
            <w:pPr>
              <w:pStyle w:val="BodyText"/>
              <w:rPr>
                <w:noProof/>
                <w:sz w:val="20"/>
                <w:szCs w:val="20"/>
              </w:rPr>
            </w:pPr>
          </w:p>
        </w:tc>
        <w:tc>
          <w:tcPr>
            <w:tcW w:w="2115" w:type="dxa"/>
            <w:shd w:val="clear" w:color="auto" w:fill="D9D9D9" w:themeFill="background1" w:themeFillShade="D9"/>
          </w:tcPr>
          <w:p w14:paraId="573B4519" w14:textId="77777777" w:rsidR="000A7D9D" w:rsidRPr="00A34B27" w:rsidRDefault="000A7D9D" w:rsidP="00F31937">
            <w:pPr>
              <w:pStyle w:val="BodyText"/>
              <w:tabs>
                <w:tab w:val="left" w:pos="4170"/>
              </w:tabs>
              <w:rPr>
                <w:noProof/>
                <w:sz w:val="20"/>
                <w:szCs w:val="20"/>
              </w:rPr>
            </w:pPr>
            <w:r w:rsidRPr="00A34B27">
              <w:rPr>
                <w:noProof/>
                <w:sz w:val="20"/>
                <w:szCs w:val="20"/>
              </w:rPr>
              <w:t>Financial resource needs:</w:t>
            </w:r>
          </w:p>
          <w:p w14:paraId="17D6C5B9" w14:textId="77777777" w:rsidR="000A7D9D" w:rsidRPr="00A34B27" w:rsidRDefault="000A7D9D" w:rsidP="00F31937">
            <w:pPr>
              <w:pStyle w:val="BodyText"/>
              <w:rPr>
                <w:noProof/>
                <w:sz w:val="20"/>
                <w:szCs w:val="20"/>
              </w:rPr>
            </w:pPr>
          </w:p>
        </w:tc>
        <w:tc>
          <w:tcPr>
            <w:tcW w:w="2760" w:type="dxa"/>
            <w:shd w:val="clear" w:color="auto" w:fill="D9D9D9" w:themeFill="background1" w:themeFillShade="D9"/>
          </w:tcPr>
          <w:p w14:paraId="256C046E" w14:textId="77777777" w:rsidR="000A7D9D" w:rsidRPr="00A34B27" w:rsidRDefault="000A7D9D" w:rsidP="00F31937">
            <w:pPr>
              <w:pStyle w:val="BodyText"/>
              <w:tabs>
                <w:tab w:val="left" w:pos="4170"/>
              </w:tabs>
              <w:spacing w:after="0"/>
              <w:rPr>
                <w:noProof/>
                <w:sz w:val="20"/>
                <w:szCs w:val="20"/>
              </w:rPr>
            </w:pPr>
            <w:r w:rsidRPr="00A34B27">
              <w:rPr>
                <w:noProof/>
                <w:sz w:val="20"/>
                <w:szCs w:val="20"/>
              </w:rPr>
              <w:t xml:space="preserve">2025: </w:t>
            </w:r>
            <w:r w:rsidRPr="00A34B27">
              <w:rPr>
                <w:b/>
                <w:noProof/>
                <w:sz w:val="20"/>
                <w:szCs w:val="20"/>
              </w:rPr>
              <w:t>EUR 180 000</w:t>
            </w:r>
          </w:p>
          <w:p w14:paraId="3BF2A89B" w14:textId="77777777" w:rsidR="000A7D9D" w:rsidRPr="00A34B27" w:rsidRDefault="000A7D9D" w:rsidP="00F31937">
            <w:pPr>
              <w:pStyle w:val="BodyText"/>
              <w:tabs>
                <w:tab w:val="left" w:pos="4170"/>
              </w:tabs>
              <w:spacing w:after="0"/>
              <w:rPr>
                <w:noProof/>
                <w:sz w:val="20"/>
                <w:szCs w:val="20"/>
              </w:rPr>
            </w:pPr>
            <w:r w:rsidRPr="00A34B27">
              <w:rPr>
                <w:noProof/>
                <w:sz w:val="20"/>
                <w:szCs w:val="20"/>
              </w:rPr>
              <w:t xml:space="preserve">2026: </w:t>
            </w:r>
            <w:r w:rsidRPr="00A34B27">
              <w:rPr>
                <w:b/>
                <w:noProof/>
                <w:sz w:val="20"/>
                <w:szCs w:val="20"/>
              </w:rPr>
              <w:t>EUR 180 000</w:t>
            </w:r>
          </w:p>
          <w:p w14:paraId="673B286F" w14:textId="77777777" w:rsidR="000A7D9D" w:rsidRPr="00A34B27" w:rsidRDefault="000A7D9D" w:rsidP="00F31937">
            <w:pPr>
              <w:pStyle w:val="BodyText"/>
              <w:tabs>
                <w:tab w:val="left" w:pos="4170"/>
              </w:tabs>
              <w:spacing w:after="0"/>
              <w:rPr>
                <w:b/>
                <w:noProof/>
                <w:sz w:val="20"/>
                <w:szCs w:val="20"/>
              </w:rPr>
            </w:pPr>
            <w:r w:rsidRPr="00A34B27">
              <w:rPr>
                <w:noProof/>
                <w:sz w:val="20"/>
                <w:szCs w:val="20"/>
              </w:rPr>
              <w:t xml:space="preserve">2027: </w:t>
            </w:r>
            <w:r w:rsidRPr="00A34B27">
              <w:rPr>
                <w:b/>
                <w:noProof/>
                <w:sz w:val="20"/>
                <w:szCs w:val="20"/>
              </w:rPr>
              <w:t>EUR 180 000</w:t>
            </w:r>
          </w:p>
          <w:p w14:paraId="638B1A44" w14:textId="77777777" w:rsidR="000A7D9D" w:rsidRPr="00A34B27" w:rsidRDefault="000A7D9D" w:rsidP="00F31937">
            <w:pPr>
              <w:pStyle w:val="BodyText"/>
              <w:tabs>
                <w:tab w:val="left" w:pos="4170"/>
              </w:tabs>
              <w:spacing w:after="0"/>
              <w:rPr>
                <w:noProof/>
                <w:sz w:val="20"/>
                <w:szCs w:val="20"/>
              </w:rPr>
            </w:pPr>
            <w:r w:rsidRPr="00A34B27">
              <w:rPr>
                <w:noProof/>
                <w:sz w:val="20"/>
                <w:szCs w:val="20"/>
              </w:rPr>
              <w:t>2028:</w:t>
            </w:r>
            <w:r w:rsidRPr="00A34B27">
              <w:rPr>
                <w:b/>
                <w:noProof/>
                <w:sz w:val="20"/>
                <w:szCs w:val="20"/>
              </w:rPr>
              <w:t xml:space="preserve"> EUR 0</w:t>
            </w:r>
          </w:p>
        </w:tc>
      </w:tr>
    </w:tbl>
    <w:p w14:paraId="2087D999" w14:textId="77777777" w:rsidR="000A7D9D" w:rsidRPr="00F521F8" w:rsidRDefault="000A7D9D" w:rsidP="000A7D9D">
      <w:pPr>
        <w:pStyle w:val="BodyText"/>
        <w:tabs>
          <w:tab w:val="left" w:pos="4170"/>
        </w:tabs>
        <w:spacing w:before="120"/>
        <w:rPr>
          <w:noProof/>
          <w:color w:val="000000" w:themeColor="text1"/>
        </w:rPr>
      </w:pPr>
      <w:r w:rsidRPr="00F521F8">
        <w:rPr>
          <w:noProof/>
          <w:u w:val="single"/>
        </w:rPr>
        <w:t>Future budget line:</w:t>
      </w:r>
      <w:r w:rsidRPr="00F521F8">
        <w:rPr>
          <w:noProof/>
        </w:rPr>
        <w:t xml:space="preserve"> DG Environment</w:t>
      </w:r>
      <w:r>
        <w:rPr>
          <w:noProof/>
        </w:rPr>
        <w:t>,</w:t>
      </w:r>
      <w:r w:rsidRPr="00F521F8">
        <w:rPr>
          <w:noProof/>
        </w:rPr>
        <w:t xml:space="preserve"> </w:t>
      </w:r>
      <w:r>
        <w:rPr>
          <w:noProof/>
        </w:rPr>
        <w:t>DG SANTE</w:t>
      </w:r>
    </w:p>
    <w:p w14:paraId="16B38C3D" w14:textId="77777777" w:rsidR="000A7D9D" w:rsidRPr="00F521F8" w:rsidRDefault="000A7D9D" w:rsidP="000A7D9D">
      <w:pPr>
        <w:spacing w:after="240"/>
        <w:rPr>
          <w:rFonts w:ascii="Times New Roman" w:hAnsi="Times New Roman" w:cs="Times New Roman"/>
          <w:b/>
          <w:noProof/>
          <w:sz w:val="24"/>
          <w:szCs w:val="24"/>
        </w:rPr>
      </w:pPr>
      <w:r w:rsidRPr="00F521F8">
        <w:rPr>
          <w:rFonts w:ascii="Times New Roman" w:hAnsi="Times New Roman" w:cs="Times New Roman"/>
          <w:noProof/>
          <w:sz w:val="24"/>
          <w:szCs w:val="24"/>
          <w:u w:val="single"/>
        </w:rPr>
        <w:t>Candidate for fees:</w:t>
      </w:r>
      <w:r w:rsidRPr="00F521F8">
        <w:rPr>
          <w:rFonts w:ascii="Times New Roman" w:hAnsi="Times New Roman" w:cs="Times New Roman"/>
          <w:noProof/>
          <w:sz w:val="24"/>
          <w:szCs w:val="24"/>
        </w:rPr>
        <w:t xml:space="preserve"> No</w:t>
      </w:r>
    </w:p>
    <w:p w14:paraId="0117C8D8" w14:textId="77777777" w:rsidR="000A7D9D" w:rsidRDefault="000A7D9D" w:rsidP="000A7D9D">
      <w:pPr>
        <w:spacing w:after="240"/>
        <w:rPr>
          <w:b/>
          <w:noProof/>
        </w:rPr>
      </w:pPr>
    </w:p>
    <w:p w14:paraId="0880C14B"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72" w:name="_Toc150499939"/>
      <w:r w:rsidRPr="00291F95">
        <w:rPr>
          <w:rFonts w:ascii="Times New Roman" w:hAnsi="Times New Roman"/>
          <w:smallCaps/>
          <w:noProof/>
          <w:color w:val="auto"/>
          <w:sz w:val="24"/>
          <w:szCs w:val="20"/>
          <w:lang w:eastAsia="en-US"/>
        </w:rPr>
        <w:t>Information Platform for Chemical Monitoring (IPCHEM)</w:t>
      </w:r>
      <w:bookmarkEnd w:id="72"/>
    </w:p>
    <w:p w14:paraId="4E83FDEA" w14:textId="77777777" w:rsidR="000A7D9D" w:rsidRPr="00F521F8" w:rsidRDefault="000A7D9D" w:rsidP="000A7D9D">
      <w:pPr>
        <w:spacing w:after="120"/>
        <w:rPr>
          <w:rFonts w:ascii="Times New Roman" w:hAnsi="Times New Roman" w:cs="Times New Roman"/>
          <w:b/>
          <w:bCs/>
          <w:noProof/>
          <w:sz w:val="24"/>
          <w:szCs w:val="24"/>
        </w:rPr>
      </w:pPr>
      <w:bookmarkStart w:id="73" w:name="_Hlk102377166"/>
      <w:r w:rsidRPr="00F521F8">
        <w:rPr>
          <w:rFonts w:ascii="Times New Roman" w:hAnsi="Times New Roman" w:cs="Times New Roman"/>
          <w:b/>
          <w:bCs/>
          <w:noProof/>
          <w:sz w:val="24"/>
          <w:szCs w:val="24"/>
        </w:rPr>
        <w:t>Responsible body:</w:t>
      </w:r>
    </w:p>
    <w:p w14:paraId="38B0CAAB"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u w:val="single"/>
        </w:rPr>
        <w:t>Currently:</w:t>
      </w:r>
      <w:r w:rsidRPr="00F521F8">
        <w:rPr>
          <w:rFonts w:ascii="Times New Roman" w:hAnsi="Times New Roman" w:cs="Times New Roman"/>
          <w:noProof/>
          <w:sz w:val="24"/>
          <w:szCs w:val="24"/>
        </w:rPr>
        <w:t xml:space="preserve"> Commission (JRC), EFSA and EEA</w:t>
      </w:r>
    </w:p>
    <w:p w14:paraId="715BDD62" w14:textId="77777777" w:rsidR="000A7D9D" w:rsidRPr="00F521F8" w:rsidRDefault="000A7D9D" w:rsidP="000A7D9D">
      <w:pPr>
        <w:spacing w:after="120"/>
        <w:rPr>
          <w:rFonts w:ascii="Times New Roman" w:hAnsi="Times New Roman" w:cs="Times New Roman"/>
          <w:noProof/>
          <w:sz w:val="24"/>
          <w:szCs w:val="24"/>
        </w:rPr>
      </w:pPr>
      <w:r w:rsidRPr="6BB4A9AE">
        <w:rPr>
          <w:rFonts w:ascii="Times New Roman" w:hAnsi="Times New Roman" w:cs="Times New Roman"/>
          <w:noProof/>
          <w:sz w:val="24"/>
          <w:szCs w:val="24"/>
        </w:rPr>
        <w:t>(</w:t>
      </w:r>
      <w:r w:rsidRPr="6BB4A9AE">
        <w:rPr>
          <w:rFonts w:ascii="Times New Roman" w:hAnsi="Times New Roman" w:cs="Times New Roman"/>
          <w:noProof/>
          <w:sz w:val="24"/>
          <w:szCs w:val="24"/>
          <w:u w:val="single"/>
        </w:rPr>
        <w:t>Re-)attribution planned to</w:t>
      </w:r>
      <w:r w:rsidRPr="6BB4A9AE">
        <w:rPr>
          <w:rFonts w:ascii="Times New Roman" w:hAnsi="Times New Roman" w:cs="Times New Roman"/>
          <w:noProof/>
          <w:sz w:val="24"/>
          <w:szCs w:val="24"/>
        </w:rPr>
        <w:t>: ECHA (operation and maintenance of IPCHEM, hosting occupational monitoring data), EEA (for collecting and hosting human biomonitoring data (HBM), hosting environmental occurrence data and indoor air quality data)</w:t>
      </w:r>
      <w:r>
        <w:rPr>
          <w:rFonts w:ascii="Times New Roman" w:hAnsi="Times New Roman" w:cs="Times New Roman"/>
          <w:noProof/>
          <w:sz w:val="24"/>
          <w:szCs w:val="24"/>
        </w:rPr>
        <w:t>, EMA (providing relevant data), EU-OSHA (providing relevant data)</w:t>
      </w:r>
    </w:p>
    <w:p w14:paraId="6C48DB94" w14:textId="77777777" w:rsidR="000A7D9D" w:rsidRPr="00F521F8" w:rsidRDefault="000A7D9D" w:rsidP="000A7D9D">
      <w:pPr>
        <w:spacing w:after="120"/>
        <w:rPr>
          <w:rFonts w:ascii="Times New Roman" w:hAnsi="Times New Roman" w:cs="Times New Roman"/>
          <w:noProof/>
          <w:sz w:val="24"/>
          <w:szCs w:val="24"/>
        </w:rPr>
      </w:pPr>
      <w:r w:rsidRPr="6BB4A9AE">
        <w:rPr>
          <w:rFonts w:ascii="Times New Roman" w:hAnsi="Times New Roman" w:cs="Times New Roman"/>
          <w:b/>
          <w:bCs/>
          <w:noProof/>
          <w:sz w:val="24"/>
          <w:szCs w:val="24"/>
        </w:rPr>
        <w:t xml:space="preserve">Legal basis for (re-)attribution: </w:t>
      </w:r>
      <w:r w:rsidRPr="6BB4A9AE">
        <w:rPr>
          <w:rFonts w:ascii="Times New Roman" w:hAnsi="Times New Roman" w:cs="Times New Roman"/>
          <w:noProof/>
          <w:sz w:val="24"/>
          <w:szCs w:val="24"/>
        </w:rPr>
        <w:t xml:space="preserve"> Proposal for a regulation of the European Parliament and of the Council establishing a common data platform on chemicals, laying down rules to ensure that the data contained in it are findable, accessible, interoperable and reusable and establishing a monitoring and outlook framework for chemicals</w:t>
      </w:r>
    </w:p>
    <w:p w14:paraId="421CBB05"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 xml:space="preserve">Type of task: </w:t>
      </w:r>
      <w:r w:rsidRPr="00F521F8">
        <w:rPr>
          <w:rFonts w:ascii="Times New Roman" w:hAnsi="Times New Roman" w:cs="Times New Roman"/>
          <w:noProof/>
          <w:sz w:val="24"/>
          <w:szCs w:val="24"/>
        </w:rPr>
        <w:t>Existing</w:t>
      </w:r>
    </w:p>
    <w:p w14:paraId="633F8B33"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Brief task overview:</w:t>
      </w:r>
    </w:p>
    <w:p w14:paraId="17CC224F" w14:textId="77777777" w:rsidR="000A7D9D" w:rsidRPr="00F521F8" w:rsidRDefault="000A7D9D" w:rsidP="000A7D9D">
      <w:pPr>
        <w:pStyle w:val="ListParagraph"/>
        <w:widowControl w:val="0"/>
        <w:numPr>
          <w:ilvl w:val="0"/>
          <w:numId w:val="128"/>
        </w:numPr>
        <w:spacing w:after="120"/>
        <w:rPr>
          <w:b/>
          <w:bCs/>
          <w:noProof/>
        </w:rPr>
      </w:pPr>
      <w:r w:rsidRPr="00F521F8">
        <w:rPr>
          <w:rStyle w:val="normaltextrun"/>
          <w:noProof/>
          <w:shd w:val="clear" w:color="auto" w:fill="FFFFFF"/>
        </w:rPr>
        <w:t>Overall operation and maintenance of the Information Platform for Chemical Monitoring (IPCHEM)</w:t>
      </w:r>
      <w:r w:rsidRPr="00F521F8">
        <w:rPr>
          <w:rStyle w:val="normaltextrun"/>
          <w:noProof/>
          <w:color w:val="000000" w:themeColor="text1"/>
        </w:rPr>
        <w:t xml:space="preserve"> </w:t>
      </w:r>
      <w:r w:rsidRPr="00F521F8">
        <w:rPr>
          <w:rStyle w:val="normaltextrun"/>
          <w:noProof/>
        </w:rPr>
        <w:t>and provision of data to be shared via IPCHE</w:t>
      </w:r>
      <w:r w:rsidRPr="00F521F8">
        <w:rPr>
          <w:rStyle w:val="normaltextrun"/>
          <w:noProof/>
          <w:bdr w:val="none" w:sz="0" w:space="0" w:color="auto" w:frame="1"/>
        </w:rPr>
        <w:t>M.</w:t>
      </w:r>
    </w:p>
    <w:p w14:paraId="0D4CF111" w14:textId="77777777" w:rsidR="000A7D9D" w:rsidRPr="00F521F8" w:rsidRDefault="000A7D9D" w:rsidP="000A7D9D">
      <w:pPr>
        <w:pStyle w:val="ListParagraph"/>
        <w:widowControl w:val="0"/>
        <w:numPr>
          <w:ilvl w:val="0"/>
          <w:numId w:val="128"/>
        </w:numPr>
        <w:spacing w:after="120"/>
        <w:rPr>
          <w:rStyle w:val="normaltextrun"/>
          <w:rFonts w:eastAsiaTheme="minorEastAsia"/>
          <w:noProof/>
        </w:rPr>
      </w:pPr>
      <w:r w:rsidRPr="00F521F8">
        <w:rPr>
          <w:rStyle w:val="normaltextrun"/>
          <w:rFonts w:eastAsiaTheme="minorEastAsia"/>
          <w:noProof/>
        </w:rPr>
        <w:t>Collection and hosting of human biomonitoring data</w:t>
      </w:r>
    </w:p>
    <w:p w14:paraId="5BC8CDC6" w14:textId="77777777" w:rsidR="000A7D9D" w:rsidRPr="00F521F8" w:rsidRDefault="000A7D9D" w:rsidP="000A7D9D">
      <w:pPr>
        <w:pStyle w:val="ListParagraph"/>
        <w:widowControl w:val="0"/>
        <w:numPr>
          <w:ilvl w:val="0"/>
          <w:numId w:val="128"/>
        </w:numPr>
        <w:spacing w:after="120"/>
        <w:rPr>
          <w:rStyle w:val="normaltextrun"/>
          <w:rFonts w:eastAsiaTheme="minorEastAsia"/>
          <w:noProof/>
        </w:rPr>
      </w:pPr>
      <w:r w:rsidRPr="6BB4A9AE">
        <w:rPr>
          <w:rStyle w:val="normaltextrun"/>
          <w:rFonts w:eastAsiaTheme="minorEastAsia"/>
          <w:noProof/>
        </w:rPr>
        <w:t>Hosting of environmental occurrence data</w:t>
      </w:r>
    </w:p>
    <w:p w14:paraId="418B1266" w14:textId="77777777" w:rsidR="000A7D9D" w:rsidRPr="00F521F8" w:rsidRDefault="000A7D9D" w:rsidP="000A7D9D">
      <w:pPr>
        <w:pStyle w:val="ListParagraph"/>
        <w:widowControl w:val="0"/>
        <w:numPr>
          <w:ilvl w:val="0"/>
          <w:numId w:val="128"/>
        </w:numPr>
        <w:spacing w:after="120"/>
        <w:rPr>
          <w:rStyle w:val="normaltextrun"/>
          <w:rFonts w:eastAsiaTheme="minorEastAsia"/>
          <w:noProof/>
        </w:rPr>
      </w:pPr>
      <w:r w:rsidRPr="6BB4A9AE">
        <w:rPr>
          <w:rStyle w:val="normaltextrun"/>
          <w:rFonts w:eastAsiaTheme="minorEastAsia"/>
          <w:noProof/>
        </w:rPr>
        <w:t xml:space="preserve">Hosting of indoor air </w:t>
      </w:r>
      <w:r>
        <w:rPr>
          <w:rStyle w:val="normaltextrun"/>
          <w:rFonts w:eastAsiaTheme="minorEastAsia"/>
          <w:noProof/>
        </w:rPr>
        <w:t xml:space="preserve">monitoring </w:t>
      </w:r>
      <w:r w:rsidRPr="6BB4A9AE">
        <w:rPr>
          <w:rStyle w:val="normaltextrun"/>
          <w:rFonts w:eastAsiaTheme="minorEastAsia"/>
          <w:noProof/>
        </w:rPr>
        <w:t>data</w:t>
      </w:r>
    </w:p>
    <w:p w14:paraId="0F4DBB5C" w14:textId="77777777" w:rsidR="000A7D9D" w:rsidRPr="001140D6" w:rsidRDefault="000A7D9D" w:rsidP="000A7D9D">
      <w:pPr>
        <w:pStyle w:val="ListParagraph"/>
        <w:widowControl w:val="0"/>
        <w:numPr>
          <w:ilvl w:val="0"/>
          <w:numId w:val="128"/>
        </w:numPr>
        <w:spacing w:after="120"/>
        <w:rPr>
          <w:rStyle w:val="normaltextrun"/>
          <w:rFonts w:eastAsiaTheme="minorEastAsia"/>
          <w:noProof/>
          <w:color w:val="D13438"/>
        </w:rPr>
      </w:pPr>
      <w:r w:rsidRPr="00F521F8">
        <w:rPr>
          <w:rStyle w:val="normaltextrun"/>
          <w:rFonts w:eastAsiaTheme="minorEastAsia"/>
          <w:noProof/>
        </w:rPr>
        <w:t>Hosting of occupational monitoring data</w:t>
      </w:r>
    </w:p>
    <w:p w14:paraId="341965E8" w14:textId="77777777" w:rsidR="000A7D9D" w:rsidRPr="00F521F8" w:rsidRDefault="000A7D9D" w:rsidP="000A7D9D">
      <w:pPr>
        <w:pStyle w:val="ListParagraph"/>
        <w:widowControl w:val="0"/>
        <w:numPr>
          <w:ilvl w:val="0"/>
          <w:numId w:val="128"/>
        </w:numPr>
        <w:spacing w:after="120"/>
        <w:rPr>
          <w:rStyle w:val="normaltextrun"/>
          <w:rFonts w:eastAsiaTheme="minorEastAsia"/>
          <w:noProof/>
          <w:color w:val="D13438"/>
        </w:rPr>
      </w:pPr>
      <w:r>
        <w:rPr>
          <w:rStyle w:val="normaltextrun"/>
          <w:rFonts w:eastAsiaTheme="minorEastAsia"/>
          <w:noProof/>
        </w:rPr>
        <w:t xml:space="preserve">Providing relevant data </w:t>
      </w:r>
    </w:p>
    <w:p w14:paraId="4D673292"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 xml:space="preserve">Detailed process description: </w:t>
      </w:r>
    </w:p>
    <w:p w14:paraId="0B0BFB36" w14:textId="77777777" w:rsidR="000A7D9D" w:rsidRPr="00F521F8" w:rsidRDefault="000A7D9D" w:rsidP="000A7D9D">
      <w:pPr>
        <w:spacing w:after="120"/>
        <w:rPr>
          <w:rFonts w:ascii="Times New Roman" w:hAnsi="Times New Roman" w:cs="Times New Roman"/>
          <w:bCs/>
          <w:noProof/>
          <w:sz w:val="24"/>
          <w:szCs w:val="24"/>
          <w:u w:val="single"/>
        </w:rPr>
      </w:pPr>
      <w:r w:rsidRPr="00F521F8">
        <w:rPr>
          <w:rFonts w:ascii="Times New Roman" w:hAnsi="Times New Roman" w:cs="Times New Roman"/>
          <w:bCs/>
          <w:noProof/>
          <w:sz w:val="24"/>
          <w:szCs w:val="24"/>
          <w:u w:val="single"/>
        </w:rPr>
        <w:t>Current process:</w:t>
      </w:r>
    </w:p>
    <w:p w14:paraId="65B0F6DE"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00F521F8">
        <w:rPr>
          <w:rFonts w:ascii="Times New Roman" w:hAnsi="Times New Roman" w:cs="Times New Roman"/>
          <w:noProof/>
          <w:sz w:val="24"/>
          <w:szCs w:val="24"/>
          <w:lang w:eastAsia="en-GB"/>
        </w:rPr>
        <w:t xml:space="preserve">IPCHEM provides centralised, readily available and automated access to chemical monitoring data held by the European Commission, European </w:t>
      </w:r>
      <w:r w:rsidRPr="3966D372">
        <w:rPr>
          <w:rFonts w:ascii="Times New Roman" w:hAnsi="Times New Roman" w:cs="Times New Roman"/>
          <w:noProof/>
          <w:sz w:val="24"/>
          <w:szCs w:val="24"/>
          <w:lang w:eastAsia="en-GB"/>
        </w:rPr>
        <w:t>a</w:t>
      </w:r>
      <w:r w:rsidRPr="00F521F8">
        <w:rPr>
          <w:rFonts w:ascii="Times New Roman" w:hAnsi="Times New Roman" w:cs="Times New Roman"/>
          <w:noProof/>
          <w:sz w:val="24"/>
          <w:szCs w:val="24"/>
          <w:lang w:eastAsia="en-GB"/>
        </w:rPr>
        <w:t xml:space="preserve">gencies, Member State Bodies, Research Centres and Academic Institutions. It provides chemical monitoring data and information of defined quality in terms of spatial, temporal, methodological and metrological traceability as well as a reporting tool for chemical monitoring data (see </w:t>
      </w:r>
      <w:hyperlink r:id="rId81">
        <w:r w:rsidRPr="16444E8F">
          <w:rPr>
            <w:rStyle w:val="Hyperlink"/>
            <w:noProof/>
            <w:sz w:val="24"/>
          </w:rPr>
          <w:t>https://ipchem.jrc.ec.europa.eu</w:t>
        </w:r>
      </w:hyperlink>
      <w:r w:rsidRPr="00F521F8">
        <w:rPr>
          <w:rStyle w:val="Hyperlink"/>
          <w:noProof/>
          <w:sz w:val="24"/>
        </w:rPr>
        <w:t>)</w:t>
      </w:r>
      <w:r w:rsidRPr="00F521F8">
        <w:rPr>
          <w:rFonts w:ascii="Times New Roman" w:hAnsi="Times New Roman" w:cs="Times New Roman"/>
          <w:noProof/>
          <w:sz w:val="24"/>
          <w:szCs w:val="24"/>
          <w:lang w:eastAsia="en-GB"/>
        </w:rPr>
        <w:t>.</w:t>
      </w:r>
    </w:p>
    <w:p w14:paraId="50FBA1F3" w14:textId="77777777" w:rsidR="000A7D9D" w:rsidRPr="00F521F8" w:rsidRDefault="000A7D9D" w:rsidP="000A7D9D">
      <w:pPr>
        <w:spacing w:after="120"/>
        <w:jc w:val="both"/>
        <w:textAlignment w:val="baseline"/>
        <w:rPr>
          <w:rFonts w:ascii="Times New Roman" w:hAnsi="Times New Roman" w:cs="Times New Roman"/>
          <w:noProof/>
          <w:sz w:val="24"/>
          <w:szCs w:val="24"/>
          <w:lang w:val="en-US" w:eastAsia="en-GB"/>
        </w:rPr>
      </w:pPr>
      <w:r w:rsidRPr="00F521F8">
        <w:rPr>
          <w:rFonts w:ascii="Times New Roman" w:hAnsi="Times New Roman" w:cs="Times New Roman"/>
          <w:noProof/>
          <w:sz w:val="24"/>
          <w:szCs w:val="24"/>
          <w:lang w:eastAsia="en-GB"/>
        </w:rPr>
        <w:t xml:space="preserve">IPCHEM is a functioning platform hosted and operated by JRC on request of DG ENV. EEA, EFSA and JRC are involved in the operation of the platform as module coordinators and as data providers. Work on </w:t>
      </w:r>
      <w:r w:rsidRPr="00F521F8">
        <w:rPr>
          <w:rFonts w:ascii="Times New Roman" w:hAnsi="Times New Roman" w:cs="Times New Roman"/>
          <w:noProof/>
          <w:sz w:val="24"/>
          <w:szCs w:val="24"/>
          <w:lang w:val="en-US" w:eastAsia="en-GB"/>
        </w:rPr>
        <w:t>IPCHEM is included in the work programme of the agencies.</w:t>
      </w:r>
    </w:p>
    <w:p w14:paraId="6080D86B" w14:textId="77777777" w:rsidR="000A7D9D" w:rsidRPr="00F521F8" w:rsidRDefault="000A7D9D" w:rsidP="000A7D9D">
      <w:pPr>
        <w:spacing w:line="276" w:lineRule="auto"/>
        <w:textAlignment w:val="baseline"/>
        <w:rPr>
          <w:rFonts w:ascii="Times New Roman" w:hAnsi="Times New Roman" w:cs="Times New Roman"/>
          <w:noProof/>
          <w:sz w:val="24"/>
          <w:szCs w:val="24"/>
          <w:lang w:eastAsia="en-GB"/>
        </w:rPr>
      </w:pPr>
      <w:r w:rsidRPr="00F521F8">
        <w:rPr>
          <w:rFonts w:ascii="Times New Roman" w:hAnsi="Times New Roman" w:cs="Times New Roman"/>
          <w:noProof/>
          <w:sz w:val="24"/>
          <w:szCs w:val="24"/>
          <w:lang w:eastAsia="en-GB"/>
        </w:rPr>
        <w:t xml:space="preserve">IPCHEM is currently structured into four thematic modules: </w:t>
      </w:r>
    </w:p>
    <w:p w14:paraId="49FB655A" w14:textId="77777777" w:rsidR="000A7D9D" w:rsidRPr="00F521F8" w:rsidRDefault="000A7D9D" w:rsidP="000A7D9D">
      <w:pPr>
        <w:pStyle w:val="ListParagraph"/>
        <w:numPr>
          <w:ilvl w:val="0"/>
          <w:numId w:val="75"/>
        </w:numPr>
        <w:textAlignment w:val="baseline"/>
        <w:rPr>
          <w:noProof/>
          <w:lang w:eastAsia="en-GB"/>
        </w:rPr>
      </w:pPr>
      <w:r w:rsidRPr="13AEFEEB">
        <w:rPr>
          <w:noProof/>
          <w:lang w:eastAsia="en-GB"/>
        </w:rPr>
        <w:t>Module for environmental occurrence data;</w:t>
      </w:r>
    </w:p>
    <w:p w14:paraId="4C6BF76D" w14:textId="77777777" w:rsidR="000A7D9D" w:rsidRPr="00F521F8" w:rsidRDefault="000A7D9D" w:rsidP="000A7D9D">
      <w:pPr>
        <w:pStyle w:val="ListParagraph"/>
        <w:numPr>
          <w:ilvl w:val="0"/>
          <w:numId w:val="74"/>
        </w:numPr>
        <w:textAlignment w:val="baseline"/>
        <w:rPr>
          <w:noProof/>
          <w:lang w:eastAsia="en-GB"/>
        </w:rPr>
      </w:pPr>
      <w:r w:rsidRPr="00F521F8">
        <w:rPr>
          <w:noProof/>
          <w:lang w:eastAsia="en-GB"/>
        </w:rPr>
        <w:t xml:space="preserve">Module for food and feed </w:t>
      </w:r>
      <w:r>
        <w:rPr>
          <w:noProof/>
          <w:lang w:eastAsia="en-GB"/>
        </w:rPr>
        <w:t xml:space="preserve">occurrence </w:t>
      </w:r>
      <w:r w:rsidRPr="00F521F8">
        <w:rPr>
          <w:noProof/>
          <w:lang w:eastAsia="en-GB"/>
        </w:rPr>
        <w:t>data;</w:t>
      </w:r>
    </w:p>
    <w:p w14:paraId="64FFE03F" w14:textId="77777777" w:rsidR="000A7D9D" w:rsidRPr="00F521F8" w:rsidRDefault="000A7D9D" w:rsidP="000A7D9D">
      <w:pPr>
        <w:pStyle w:val="ListParagraph"/>
        <w:numPr>
          <w:ilvl w:val="0"/>
          <w:numId w:val="74"/>
        </w:numPr>
        <w:textAlignment w:val="baseline"/>
        <w:rPr>
          <w:noProof/>
          <w:lang w:eastAsia="en-GB"/>
        </w:rPr>
      </w:pPr>
      <w:r w:rsidRPr="00F521F8">
        <w:rPr>
          <w:noProof/>
          <w:lang w:eastAsia="en-GB"/>
        </w:rPr>
        <w:t>Module for human biomonitoring data;</w:t>
      </w:r>
    </w:p>
    <w:p w14:paraId="474AADF3" w14:textId="77777777" w:rsidR="000A7D9D" w:rsidRPr="00F521F8" w:rsidRDefault="000A7D9D" w:rsidP="000A7D9D">
      <w:pPr>
        <w:pStyle w:val="ListParagraph"/>
        <w:numPr>
          <w:ilvl w:val="0"/>
          <w:numId w:val="74"/>
        </w:numPr>
        <w:spacing w:after="120"/>
        <w:jc w:val="both"/>
        <w:textAlignment w:val="baseline"/>
        <w:rPr>
          <w:noProof/>
          <w:lang w:val="en-US" w:eastAsia="en-GB"/>
        </w:rPr>
      </w:pPr>
      <w:r w:rsidRPr="13AEFEEB">
        <w:rPr>
          <w:noProof/>
          <w:lang w:eastAsia="en-GB"/>
        </w:rPr>
        <w:t>Module for product and indoor air data. It should be noted that for this module only the indoor air part is developed and populated with data; templates for metadata and data are developed.</w:t>
      </w:r>
      <w:r w:rsidRPr="13AEFEEB">
        <w:rPr>
          <w:noProof/>
          <w:lang w:val="en-US" w:eastAsia="en-GB"/>
        </w:rPr>
        <w:t> </w:t>
      </w:r>
    </w:p>
    <w:p w14:paraId="17000DAF" w14:textId="77777777" w:rsidR="000A7D9D" w:rsidRPr="00F521F8" w:rsidRDefault="000A7D9D" w:rsidP="000A7D9D">
      <w:pPr>
        <w:spacing w:after="120"/>
        <w:jc w:val="both"/>
        <w:rPr>
          <w:rFonts w:ascii="Times New Roman" w:hAnsi="Times New Roman" w:cs="Times New Roman"/>
          <w:noProof/>
          <w:sz w:val="24"/>
          <w:szCs w:val="24"/>
          <w:lang w:eastAsia="en-GB"/>
        </w:rPr>
      </w:pPr>
      <w:r w:rsidRPr="00F521F8">
        <w:rPr>
          <w:rFonts w:ascii="Times New Roman" w:hAnsi="Times New Roman" w:cs="Times New Roman"/>
          <w:noProof/>
          <w:sz w:val="24"/>
          <w:szCs w:val="24"/>
          <w:lang w:eastAsia="en-GB"/>
        </w:rPr>
        <w:t xml:space="preserve">As described in the IPCHEM governance paper, the IPCHEM governance framework involves many actors with multiple roles, who are involved in many ways at different levels, requiring strong interactions and collaboration. </w:t>
      </w:r>
    </w:p>
    <w:p w14:paraId="7819B435" w14:textId="77777777" w:rsidR="000A7D9D" w:rsidRPr="00F521F8" w:rsidRDefault="000A7D9D" w:rsidP="000A7D9D">
      <w:pPr>
        <w:spacing w:after="120"/>
        <w:jc w:val="both"/>
        <w:rPr>
          <w:rFonts w:ascii="Times New Roman" w:hAnsi="Times New Roman" w:cs="Times New Roman"/>
          <w:noProof/>
          <w:sz w:val="24"/>
          <w:szCs w:val="24"/>
          <w:lang w:eastAsia="en-GB"/>
        </w:rPr>
      </w:pPr>
      <w:r w:rsidRPr="00F521F8">
        <w:rPr>
          <w:rFonts w:ascii="Times New Roman" w:hAnsi="Times New Roman" w:cs="Times New Roman"/>
          <w:noProof/>
          <w:sz w:val="24"/>
          <w:szCs w:val="24"/>
          <w:lang w:eastAsia="en-GB"/>
        </w:rPr>
        <w:t>These actors are: Policy Lead, Scientific and Technical Lead, Module coordinators, Data providers and Partners/collaborators.</w:t>
      </w:r>
    </w:p>
    <w:p w14:paraId="0D2359F5" w14:textId="77777777" w:rsidR="000A7D9D" w:rsidRPr="00F521F8" w:rsidRDefault="000A7D9D" w:rsidP="000A7D9D">
      <w:pPr>
        <w:spacing w:line="360" w:lineRule="auto"/>
        <w:jc w:val="both"/>
        <w:rPr>
          <w:rFonts w:ascii="Times New Roman" w:hAnsi="Times New Roman" w:cs="Times New Roman"/>
          <w:noProof/>
          <w:sz w:val="24"/>
          <w:szCs w:val="24"/>
          <w:lang w:eastAsia="en-GB"/>
        </w:rPr>
      </w:pPr>
      <w:r w:rsidRPr="00F521F8">
        <w:rPr>
          <w:rFonts w:ascii="Times New Roman" w:hAnsi="Times New Roman" w:cs="Times New Roman"/>
          <w:noProof/>
          <w:sz w:val="24"/>
          <w:szCs w:val="24"/>
          <w:lang w:eastAsia="en-GB"/>
        </w:rPr>
        <w:t>JRC currently has the scientific and technical lead of IPCHEM, with the main responsibilities of:</w:t>
      </w:r>
    </w:p>
    <w:p w14:paraId="203EB37E" w14:textId="77777777" w:rsidR="000A7D9D" w:rsidRPr="00F521F8" w:rsidRDefault="000A7D9D" w:rsidP="000A7D9D">
      <w:pPr>
        <w:pStyle w:val="ListParagraph"/>
        <w:widowControl w:val="0"/>
        <w:numPr>
          <w:ilvl w:val="0"/>
          <w:numId w:val="77"/>
        </w:numPr>
        <w:spacing w:line="276" w:lineRule="auto"/>
        <w:rPr>
          <w:noProof/>
          <w:lang w:eastAsia="en-GB"/>
        </w:rPr>
      </w:pPr>
      <w:r w:rsidRPr="00F521F8">
        <w:rPr>
          <w:noProof/>
          <w:lang w:eastAsia="en-GB"/>
        </w:rPr>
        <w:t>Developing and maintaining the IPCHEM platform infrastructure, functionality and security;</w:t>
      </w:r>
    </w:p>
    <w:p w14:paraId="2078B80D" w14:textId="77777777" w:rsidR="000A7D9D" w:rsidRPr="00F521F8" w:rsidRDefault="000A7D9D" w:rsidP="000A7D9D">
      <w:pPr>
        <w:pStyle w:val="ListParagraph"/>
        <w:widowControl w:val="0"/>
        <w:numPr>
          <w:ilvl w:val="0"/>
          <w:numId w:val="77"/>
        </w:numPr>
        <w:spacing w:line="276" w:lineRule="auto"/>
        <w:rPr>
          <w:noProof/>
          <w:lang w:eastAsia="en-GB"/>
        </w:rPr>
      </w:pPr>
      <w:r w:rsidRPr="00F521F8">
        <w:rPr>
          <w:noProof/>
          <w:color w:val="000000" w:themeColor="text1"/>
          <w:lang w:eastAsia="en-GB"/>
        </w:rPr>
        <w:t>Coordinating technical development and</w:t>
      </w:r>
      <w:r w:rsidRPr="00F521F8">
        <w:rPr>
          <w:noProof/>
          <w:lang w:eastAsia="en-GB"/>
        </w:rPr>
        <w:t xml:space="preserve"> facilitating harmonisation (standardisation) of metadata and data reporting; </w:t>
      </w:r>
    </w:p>
    <w:p w14:paraId="523984F1" w14:textId="77777777" w:rsidR="000A7D9D" w:rsidRPr="00F521F8" w:rsidRDefault="000A7D9D" w:rsidP="000A7D9D">
      <w:pPr>
        <w:pStyle w:val="ListParagraph"/>
        <w:widowControl w:val="0"/>
        <w:numPr>
          <w:ilvl w:val="0"/>
          <w:numId w:val="77"/>
        </w:numPr>
        <w:spacing w:line="276" w:lineRule="auto"/>
        <w:rPr>
          <w:noProof/>
          <w:lang w:eastAsia="en-GB"/>
        </w:rPr>
      </w:pPr>
      <w:r w:rsidRPr="00F521F8">
        <w:rPr>
          <w:noProof/>
          <w:lang w:eastAsia="en-GB"/>
        </w:rPr>
        <w:t>Data integration and liaison with data providers;</w:t>
      </w:r>
    </w:p>
    <w:p w14:paraId="03ADF090" w14:textId="77777777" w:rsidR="000A7D9D" w:rsidRPr="00F521F8" w:rsidRDefault="000A7D9D" w:rsidP="000A7D9D">
      <w:pPr>
        <w:pStyle w:val="ListParagraph"/>
        <w:widowControl w:val="0"/>
        <w:numPr>
          <w:ilvl w:val="0"/>
          <w:numId w:val="77"/>
        </w:numPr>
        <w:spacing w:line="276" w:lineRule="auto"/>
        <w:rPr>
          <w:noProof/>
          <w:lang w:eastAsia="en-GB"/>
        </w:rPr>
      </w:pPr>
      <w:r w:rsidRPr="00F521F8">
        <w:rPr>
          <w:noProof/>
          <w:lang w:eastAsia="en-GB"/>
        </w:rPr>
        <w:t>Contribution to exploitation of IPCHEM for policy priorities;</w:t>
      </w:r>
    </w:p>
    <w:p w14:paraId="42F28414" w14:textId="77777777" w:rsidR="000A7D9D" w:rsidRPr="00F521F8" w:rsidRDefault="000A7D9D" w:rsidP="000A7D9D">
      <w:pPr>
        <w:pStyle w:val="ListParagraph"/>
        <w:widowControl w:val="0"/>
        <w:numPr>
          <w:ilvl w:val="0"/>
          <w:numId w:val="77"/>
        </w:numPr>
        <w:spacing w:line="276" w:lineRule="auto"/>
        <w:rPr>
          <w:noProof/>
          <w:lang w:eastAsia="en-GB"/>
        </w:rPr>
      </w:pPr>
      <w:r w:rsidRPr="00F521F8">
        <w:rPr>
          <w:noProof/>
          <w:lang w:eastAsia="en-GB"/>
        </w:rPr>
        <w:t>Promoting IPCHEM by facilitating its use through technical guidance;</w:t>
      </w:r>
    </w:p>
    <w:p w14:paraId="6CC1BCD8" w14:textId="77777777" w:rsidR="000A7D9D" w:rsidRPr="00F521F8" w:rsidRDefault="000A7D9D" w:rsidP="000A7D9D">
      <w:pPr>
        <w:pStyle w:val="ListParagraph"/>
        <w:widowControl w:val="0"/>
        <w:numPr>
          <w:ilvl w:val="0"/>
          <w:numId w:val="77"/>
        </w:numPr>
        <w:spacing w:line="276" w:lineRule="auto"/>
        <w:rPr>
          <w:noProof/>
          <w:lang w:eastAsia="en-GB"/>
        </w:rPr>
      </w:pPr>
      <w:r w:rsidRPr="00F521F8">
        <w:rPr>
          <w:noProof/>
          <w:lang w:eastAsia="en-GB"/>
        </w:rPr>
        <w:t xml:space="preserve">Supporting and guiding module coordinators; </w:t>
      </w:r>
    </w:p>
    <w:p w14:paraId="5F76928B" w14:textId="77777777" w:rsidR="000A7D9D" w:rsidRPr="00F521F8" w:rsidRDefault="000A7D9D" w:rsidP="000A7D9D">
      <w:pPr>
        <w:pStyle w:val="ListParagraph"/>
        <w:widowControl w:val="0"/>
        <w:numPr>
          <w:ilvl w:val="0"/>
          <w:numId w:val="77"/>
        </w:numPr>
        <w:spacing w:after="120" w:line="276" w:lineRule="auto"/>
        <w:rPr>
          <w:noProof/>
        </w:rPr>
      </w:pPr>
      <w:r w:rsidRPr="00F521F8">
        <w:rPr>
          <w:noProof/>
          <w:lang w:eastAsia="en-GB"/>
        </w:rPr>
        <w:t>Strategy formulation and priority setting</w:t>
      </w:r>
      <w:r w:rsidRPr="00F521F8">
        <w:rPr>
          <w:noProof/>
        </w:rPr>
        <w:t>.</w:t>
      </w:r>
    </w:p>
    <w:p w14:paraId="62E0C3DF" w14:textId="77777777" w:rsidR="000A7D9D" w:rsidRPr="00F521F8" w:rsidRDefault="000A7D9D" w:rsidP="000A7D9D">
      <w:pPr>
        <w:jc w:val="both"/>
        <w:rPr>
          <w:rFonts w:ascii="Times New Roman" w:hAnsi="Times New Roman" w:cs="Times New Roman"/>
          <w:noProof/>
          <w:sz w:val="24"/>
          <w:szCs w:val="24"/>
          <w:lang w:eastAsia="en-GB"/>
        </w:rPr>
      </w:pPr>
      <w:r w:rsidRPr="13AEFEEB">
        <w:rPr>
          <w:rFonts w:ascii="Times New Roman" w:hAnsi="Times New Roman" w:cs="Times New Roman"/>
          <w:noProof/>
          <w:sz w:val="24"/>
          <w:szCs w:val="24"/>
          <w:lang w:eastAsia="en-GB"/>
        </w:rPr>
        <w:t xml:space="preserve">The four modules are coordinated by different actors, based on the best match of the thematic area with ongoing activities. Current coordinators are EFSA for food and feed, EEA for environment and human biomonitoring and JRC for indoor air and products. The responsibilities of the module coordinators focus on: </w:t>
      </w:r>
    </w:p>
    <w:p w14:paraId="63C738FF" w14:textId="77777777" w:rsidR="000A7D9D" w:rsidRPr="00F521F8" w:rsidRDefault="000A7D9D" w:rsidP="000A7D9D">
      <w:pPr>
        <w:pStyle w:val="ListParagraph"/>
        <w:widowControl w:val="0"/>
        <w:numPr>
          <w:ilvl w:val="0"/>
          <w:numId w:val="76"/>
        </w:numPr>
        <w:spacing w:line="259" w:lineRule="auto"/>
        <w:jc w:val="both"/>
        <w:rPr>
          <w:noProof/>
          <w:lang w:eastAsia="en-GB"/>
        </w:rPr>
      </w:pPr>
      <w:r w:rsidRPr="00F521F8">
        <w:rPr>
          <w:noProof/>
          <w:lang w:eastAsia="en-GB"/>
        </w:rPr>
        <w:t>Identifying important data sets and data providers;</w:t>
      </w:r>
    </w:p>
    <w:p w14:paraId="6CE2798F" w14:textId="77777777" w:rsidR="000A7D9D" w:rsidRPr="00F521F8" w:rsidRDefault="000A7D9D" w:rsidP="000A7D9D">
      <w:pPr>
        <w:pStyle w:val="ListParagraph"/>
        <w:widowControl w:val="0"/>
        <w:numPr>
          <w:ilvl w:val="0"/>
          <w:numId w:val="76"/>
        </w:numPr>
        <w:spacing w:line="259" w:lineRule="auto"/>
        <w:jc w:val="both"/>
        <w:rPr>
          <w:noProof/>
          <w:lang w:eastAsia="en-GB"/>
        </w:rPr>
      </w:pPr>
      <w:r w:rsidRPr="00F521F8">
        <w:rPr>
          <w:noProof/>
          <w:lang w:eastAsia="en-GB"/>
        </w:rPr>
        <w:t>Supporting the evolution of metadata and data templates in the thematic area;</w:t>
      </w:r>
    </w:p>
    <w:p w14:paraId="475E4481" w14:textId="77777777" w:rsidR="000A7D9D" w:rsidRPr="00F521F8" w:rsidRDefault="000A7D9D" w:rsidP="000A7D9D">
      <w:pPr>
        <w:pStyle w:val="ListParagraph"/>
        <w:widowControl w:val="0"/>
        <w:numPr>
          <w:ilvl w:val="0"/>
          <w:numId w:val="76"/>
        </w:numPr>
        <w:spacing w:line="259" w:lineRule="auto"/>
        <w:jc w:val="both"/>
        <w:rPr>
          <w:noProof/>
          <w:lang w:eastAsia="en-GB"/>
        </w:rPr>
      </w:pPr>
      <w:r w:rsidRPr="00F521F8">
        <w:rPr>
          <w:noProof/>
          <w:lang w:eastAsia="en-GB"/>
        </w:rPr>
        <w:t>Contributing to the utilisation of IPCHEM for addressing policy questions;</w:t>
      </w:r>
    </w:p>
    <w:p w14:paraId="0676F5E3" w14:textId="77777777" w:rsidR="000A7D9D" w:rsidRPr="00F521F8" w:rsidRDefault="000A7D9D" w:rsidP="000A7D9D">
      <w:pPr>
        <w:pStyle w:val="ListParagraph"/>
        <w:widowControl w:val="0"/>
        <w:numPr>
          <w:ilvl w:val="0"/>
          <w:numId w:val="76"/>
        </w:numPr>
        <w:spacing w:line="259" w:lineRule="auto"/>
        <w:jc w:val="both"/>
        <w:rPr>
          <w:noProof/>
          <w:lang w:eastAsia="en-GB"/>
        </w:rPr>
      </w:pPr>
      <w:r w:rsidRPr="00F521F8">
        <w:rPr>
          <w:noProof/>
          <w:lang w:eastAsia="en-GB"/>
        </w:rPr>
        <w:t>Liaison with data providers;</w:t>
      </w:r>
    </w:p>
    <w:p w14:paraId="1CC3C3F5" w14:textId="77777777" w:rsidR="000A7D9D" w:rsidRPr="00F521F8" w:rsidRDefault="000A7D9D" w:rsidP="000A7D9D">
      <w:pPr>
        <w:pStyle w:val="ListParagraph"/>
        <w:widowControl w:val="0"/>
        <w:numPr>
          <w:ilvl w:val="0"/>
          <w:numId w:val="76"/>
        </w:numPr>
        <w:spacing w:after="120" w:line="259" w:lineRule="auto"/>
        <w:jc w:val="both"/>
        <w:rPr>
          <w:noProof/>
          <w:lang w:val="en-US" w:eastAsia="en-GB"/>
        </w:rPr>
      </w:pPr>
      <w:r w:rsidRPr="00F521F8">
        <w:rPr>
          <w:noProof/>
          <w:lang w:eastAsia="en-GB"/>
        </w:rPr>
        <w:t>Promoting IPCHEM as policy/regulatory support tool.</w:t>
      </w:r>
    </w:p>
    <w:p w14:paraId="1D415437" w14:textId="77777777" w:rsidR="000A7D9D" w:rsidRPr="00F521F8" w:rsidRDefault="000A7D9D" w:rsidP="000A7D9D">
      <w:pPr>
        <w:jc w:val="both"/>
        <w:rPr>
          <w:rFonts w:ascii="Times New Roman" w:hAnsi="Times New Roman" w:cs="Times New Roman"/>
          <w:noProof/>
          <w:sz w:val="24"/>
          <w:szCs w:val="24"/>
          <w:lang w:eastAsia="en-GB"/>
        </w:rPr>
      </w:pPr>
      <w:r w:rsidRPr="13AEFEEB">
        <w:rPr>
          <w:rFonts w:ascii="Times New Roman" w:hAnsi="Times New Roman" w:cs="Times New Roman"/>
          <w:noProof/>
          <w:sz w:val="24"/>
          <w:szCs w:val="24"/>
          <w:lang w:eastAsia="en-GB"/>
        </w:rPr>
        <w:t>The table below describes the four categories of data included in IPCHEM, the associated data sources and updating frequency, actors involved in the data integration process outside the IPCHEM team, to which extent data formats are already harmonised and possible future entities to take care of these data flows:</w:t>
      </w:r>
    </w:p>
    <w:p w14:paraId="6E487D05" w14:textId="77777777" w:rsidR="000A7D9D" w:rsidRDefault="000A7D9D" w:rsidP="000A7D9D">
      <w:pPr>
        <w:rPr>
          <w:rStyle w:val="Hyperlink"/>
          <w:noProof/>
        </w:rPr>
      </w:pPr>
    </w:p>
    <w:tbl>
      <w:tblPr>
        <w:tblStyle w:val="TableGrid"/>
        <w:tblW w:w="0" w:type="auto"/>
        <w:tblLayout w:type="fixed"/>
        <w:tblLook w:val="04A0" w:firstRow="1" w:lastRow="0" w:firstColumn="1" w:lastColumn="0" w:noHBand="0" w:noVBand="1"/>
      </w:tblPr>
      <w:tblGrid>
        <w:gridCol w:w="230"/>
        <w:gridCol w:w="1023"/>
        <w:gridCol w:w="971"/>
        <w:gridCol w:w="1064"/>
        <w:gridCol w:w="1509"/>
        <w:gridCol w:w="2211"/>
        <w:gridCol w:w="1250"/>
        <w:gridCol w:w="1374"/>
      </w:tblGrid>
      <w:tr w:rsidR="000A7D9D" w14:paraId="29E03FE7" w14:textId="77777777" w:rsidTr="00F31937">
        <w:trPr>
          <w:trHeight w:val="300"/>
        </w:trPr>
        <w:tc>
          <w:tcPr>
            <w:tcW w:w="227" w:type="dxa"/>
            <w:tcMar>
              <w:left w:w="105" w:type="dxa"/>
              <w:right w:w="105" w:type="dxa"/>
            </w:tcMar>
          </w:tcPr>
          <w:p w14:paraId="6DF12E1D" w14:textId="77777777" w:rsidR="000A7D9D" w:rsidRDefault="000A7D9D" w:rsidP="00F31937">
            <w:pPr>
              <w:spacing w:before="120" w:after="120"/>
              <w:jc w:val="both"/>
              <w:rPr>
                <w:rFonts w:eastAsia="Verdana" w:cs="Verdana"/>
                <w:noProof/>
                <w:color w:val="000000" w:themeColor="text1"/>
                <w:sz w:val="16"/>
                <w:szCs w:val="16"/>
              </w:rPr>
            </w:pPr>
          </w:p>
        </w:tc>
        <w:tc>
          <w:tcPr>
            <w:tcW w:w="1023" w:type="dxa"/>
            <w:tcMar>
              <w:left w:w="105" w:type="dxa"/>
              <w:right w:w="105" w:type="dxa"/>
            </w:tcMar>
          </w:tcPr>
          <w:p w14:paraId="5882EDC5"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b/>
                <w:bCs/>
                <w:noProof/>
                <w:color w:val="000000" w:themeColor="text1"/>
                <w:sz w:val="16"/>
                <w:szCs w:val="16"/>
              </w:rPr>
              <w:t>Source of data</w:t>
            </w:r>
          </w:p>
        </w:tc>
        <w:tc>
          <w:tcPr>
            <w:tcW w:w="971" w:type="dxa"/>
            <w:tcMar>
              <w:left w:w="105" w:type="dxa"/>
              <w:right w:w="105" w:type="dxa"/>
            </w:tcMar>
          </w:tcPr>
          <w:p w14:paraId="31E87350"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b/>
                <w:bCs/>
                <w:noProof/>
                <w:color w:val="000000" w:themeColor="text1"/>
                <w:sz w:val="16"/>
                <w:szCs w:val="16"/>
              </w:rPr>
              <w:t>Regular updates</w:t>
            </w:r>
          </w:p>
        </w:tc>
        <w:tc>
          <w:tcPr>
            <w:tcW w:w="1064" w:type="dxa"/>
            <w:tcMar>
              <w:left w:w="105" w:type="dxa"/>
              <w:right w:w="105" w:type="dxa"/>
            </w:tcMar>
          </w:tcPr>
          <w:p w14:paraId="3D9C883F"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b/>
                <w:bCs/>
                <w:noProof/>
                <w:color w:val="000000" w:themeColor="text1"/>
                <w:sz w:val="16"/>
                <w:szCs w:val="16"/>
              </w:rPr>
              <w:t>Current players in data handling</w:t>
            </w:r>
          </w:p>
        </w:tc>
        <w:tc>
          <w:tcPr>
            <w:tcW w:w="1509" w:type="dxa"/>
            <w:tcMar>
              <w:left w:w="105" w:type="dxa"/>
              <w:right w:w="105" w:type="dxa"/>
            </w:tcMar>
          </w:tcPr>
          <w:p w14:paraId="3923BDF7"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b/>
                <w:bCs/>
                <w:noProof/>
                <w:color w:val="000000" w:themeColor="text1"/>
                <w:sz w:val="16"/>
                <w:szCs w:val="16"/>
              </w:rPr>
              <w:t>Standard formats</w:t>
            </w:r>
          </w:p>
        </w:tc>
        <w:tc>
          <w:tcPr>
            <w:tcW w:w="2211" w:type="dxa"/>
            <w:tcMar>
              <w:left w:w="105" w:type="dxa"/>
              <w:right w:w="105" w:type="dxa"/>
            </w:tcMar>
          </w:tcPr>
          <w:p w14:paraId="2B3B87D8"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b/>
                <w:bCs/>
                <w:noProof/>
                <w:color w:val="000000" w:themeColor="text1"/>
                <w:sz w:val="16"/>
                <w:szCs w:val="16"/>
              </w:rPr>
              <w:t xml:space="preserve">Frequency of related requests to integrate such data into IPCHEM </w:t>
            </w:r>
          </w:p>
        </w:tc>
        <w:tc>
          <w:tcPr>
            <w:tcW w:w="1250" w:type="dxa"/>
            <w:tcMar>
              <w:left w:w="105" w:type="dxa"/>
              <w:right w:w="105" w:type="dxa"/>
            </w:tcMar>
          </w:tcPr>
          <w:p w14:paraId="25D73E84"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b/>
                <w:bCs/>
                <w:noProof/>
                <w:color w:val="000000" w:themeColor="text1"/>
                <w:sz w:val="16"/>
                <w:szCs w:val="16"/>
              </w:rPr>
              <w:t>Future expected requests</w:t>
            </w:r>
          </w:p>
        </w:tc>
        <w:tc>
          <w:tcPr>
            <w:tcW w:w="1374" w:type="dxa"/>
            <w:tcMar>
              <w:left w:w="105" w:type="dxa"/>
              <w:right w:w="105" w:type="dxa"/>
            </w:tcMar>
          </w:tcPr>
          <w:p w14:paraId="4D8607A6"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b/>
                <w:bCs/>
                <w:noProof/>
                <w:color w:val="000000" w:themeColor="text1"/>
                <w:sz w:val="16"/>
                <w:szCs w:val="16"/>
              </w:rPr>
              <w:t>Possible future handling (EU-CDPC data provider)</w:t>
            </w:r>
          </w:p>
        </w:tc>
      </w:tr>
      <w:tr w:rsidR="000A7D9D" w14:paraId="3AECAE93" w14:textId="77777777" w:rsidTr="00F31937">
        <w:trPr>
          <w:trHeight w:val="300"/>
        </w:trPr>
        <w:tc>
          <w:tcPr>
            <w:tcW w:w="227" w:type="dxa"/>
            <w:tcMar>
              <w:left w:w="105" w:type="dxa"/>
              <w:right w:w="105" w:type="dxa"/>
            </w:tcMar>
          </w:tcPr>
          <w:p w14:paraId="1B00372B"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1</w:t>
            </w:r>
          </w:p>
        </w:tc>
        <w:tc>
          <w:tcPr>
            <w:tcW w:w="1023" w:type="dxa"/>
            <w:tcMar>
              <w:left w:w="105" w:type="dxa"/>
              <w:right w:w="105" w:type="dxa"/>
            </w:tcMar>
          </w:tcPr>
          <w:p w14:paraId="72513393"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MS</w:t>
            </w:r>
          </w:p>
        </w:tc>
        <w:tc>
          <w:tcPr>
            <w:tcW w:w="971" w:type="dxa"/>
            <w:tcMar>
              <w:left w:w="105" w:type="dxa"/>
              <w:right w:w="105" w:type="dxa"/>
            </w:tcMar>
          </w:tcPr>
          <w:p w14:paraId="30348F21"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Yes</w:t>
            </w:r>
          </w:p>
        </w:tc>
        <w:tc>
          <w:tcPr>
            <w:tcW w:w="1064" w:type="dxa"/>
            <w:tcMar>
              <w:left w:w="105" w:type="dxa"/>
              <w:right w:w="105" w:type="dxa"/>
            </w:tcMar>
          </w:tcPr>
          <w:p w14:paraId="6B63C139"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through agency (EEA, EFSA)</w:t>
            </w:r>
          </w:p>
        </w:tc>
        <w:tc>
          <w:tcPr>
            <w:tcW w:w="1509" w:type="dxa"/>
            <w:tcMar>
              <w:left w:w="105" w:type="dxa"/>
              <w:right w:w="105" w:type="dxa"/>
            </w:tcMar>
          </w:tcPr>
          <w:p w14:paraId="6CF8988C"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Highly standardised for food and feed</w:t>
            </w:r>
          </w:p>
          <w:p w14:paraId="180121FB"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Standardised to some extent for environ. Data</w:t>
            </w:r>
          </w:p>
        </w:tc>
        <w:tc>
          <w:tcPr>
            <w:tcW w:w="2211" w:type="dxa"/>
            <w:tcMar>
              <w:left w:w="105" w:type="dxa"/>
              <w:right w:w="105" w:type="dxa"/>
            </w:tcMar>
          </w:tcPr>
          <w:p w14:paraId="7E815C0B"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6 datasets with annual updates contributing most to the number of records in IPCHEM</w:t>
            </w:r>
          </w:p>
        </w:tc>
        <w:tc>
          <w:tcPr>
            <w:tcW w:w="1250" w:type="dxa"/>
            <w:tcMar>
              <w:left w:w="105" w:type="dxa"/>
              <w:right w:w="105" w:type="dxa"/>
            </w:tcMar>
          </w:tcPr>
          <w:p w14:paraId="43B5053C"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Increasing number, getting more structured</w:t>
            </w:r>
          </w:p>
        </w:tc>
        <w:tc>
          <w:tcPr>
            <w:tcW w:w="1374" w:type="dxa"/>
            <w:tcMar>
              <w:left w:w="105" w:type="dxa"/>
              <w:right w:w="105" w:type="dxa"/>
            </w:tcMar>
          </w:tcPr>
          <w:p w14:paraId="1296B6BA"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EU agencies</w:t>
            </w:r>
          </w:p>
        </w:tc>
      </w:tr>
      <w:tr w:rsidR="000A7D9D" w14:paraId="1CC2D69E" w14:textId="77777777" w:rsidTr="00F31937">
        <w:trPr>
          <w:trHeight w:val="300"/>
        </w:trPr>
        <w:tc>
          <w:tcPr>
            <w:tcW w:w="227" w:type="dxa"/>
            <w:tcMar>
              <w:left w:w="105" w:type="dxa"/>
              <w:right w:w="105" w:type="dxa"/>
            </w:tcMar>
          </w:tcPr>
          <w:p w14:paraId="24F20F4D"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2</w:t>
            </w:r>
          </w:p>
          <w:p w14:paraId="7541C4E7" w14:textId="77777777" w:rsidR="000A7D9D" w:rsidRDefault="000A7D9D" w:rsidP="00F31937">
            <w:pPr>
              <w:spacing w:before="120" w:after="120"/>
              <w:jc w:val="both"/>
              <w:rPr>
                <w:rFonts w:eastAsia="Verdana" w:cs="Verdana"/>
                <w:noProof/>
                <w:color w:val="000000" w:themeColor="text1"/>
                <w:sz w:val="16"/>
                <w:szCs w:val="16"/>
              </w:rPr>
            </w:pPr>
          </w:p>
        </w:tc>
        <w:tc>
          <w:tcPr>
            <w:tcW w:w="1023" w:type="dxa"/>
            <w:tcMar>
              <w:left w:w="105" w:type="dxa"/>
              <w:right w:w="105" w:type="dxa"/>
            </w:tcMar>
          </w:tcPr>
          <w:p w14:paraId="772BBA24"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MS</w:t>
            </w:r>
          </w:p>
        </w:tc>
        <w:tc>
          <w:tcPr>
            <w:tcW w:w="971" w:type="dxa"/>
            <w:tcMar>
              <w:left w:w="105" w:type="dxa"/>
              <w:right w:w="105" w:type="dxa"/>
            </w:tcMar>
          </w:tcPr>
          <w:p w14:paraId="6390EA64"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Yes</w:t>
            </w:r>
          </w:p>
        </w:tc>
        <w:tc>
          <w:tcPr>
            <w:tcW w:w="1064" w:type="dxa"/>
            <w:tcMar>
              <w:left w:w="105" w:type="dxa"/>
              <w:right w:w="105" w:type="dxa"/>
            </w:tcMar>
          </w:tcPr>
          <w:p w14:paraId="497CED26"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Direct interaction with national agency</w:t>
            </w:r>
          </w:p>
        </w:tc>
        <w:tc>
          <w:tcPr>
            <w:tcW w:w="1509" w:type="dxa"/>
            <w:tcMar>
              <w:left w:w="105" w:type="dxa"/>
              <w:right w:w="105" w:type="dxa"/>
            </w:tcMar>
          </w:tcPr>
          <w:p w14:paraId="58A29715"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Well managed data sets but all in different formats</w:t>
            </w:r>
          </w:p>
        </w:tc>
        <w:tc>
          <w:tcPr>
            <w:tcW w:w="2211" w:type="dxa"/>
            <w:tcMar>
              <w:left w:w="105" w:type="dxa"/>
              <w:right w:w="105" w:type="dxa"/>
            </w:tcMar>
          </w:tcPr>
          <w:p w14:paraId="708AD705"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 xml:space="preserve">7 datasets with regular updates, contributing substantially to the number of records in IPCHEM + indoor air data and occupational monitoring data* from MS in the pipeline </w:t>
            </w:r>
          </w:p>
        </w:tc>
        <w:tc>
          <w:tcPr>
            <w:tcW w:w="1250" w:type="dxa"/>
            <w:tcMar>
              <w:left w:w="105" w:type="dxa"/>
              <w:right w:w="105" w:type="dxa"/>
            </w:tcMar>
          </w:tcPr>
          <w:p w14:paraId="1967C538"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moving more towards category 1 with these data</w:t>
            </w:r>
          </w:p>
        </w:tc>
        <w:tc>
          <w:tcPr>
            <w:tcW w:w="1374" w:type="dxa"/>
            <w:tcMar>
              <w:left w:w="105" w:type="dxa"/>
              <w:right w:w="105" w:type="dxa"/>
            </w:tcMar>
          </w:tcPr>
          <w:p w14:paraId="3D05A61F"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EU agencies</w:t>
            </w:r>
          </w:p>
        </w:tc>
      </w:tr>
      <w:tr w:rsidR="000A7D9D" w14:paraId="464048CE" w14:textId="77777777" w:rsidTr="00F31937">
        <w:trPr>
          <w:trHeight w:val="300"/>
        </w:trPr>
        <w:tc>
          <w:tcPr>
            <w:tcW w:w="227" w:type="dxa"/>
            <w:tcMar>
              <w:left w:w="105" w:type="dxa"/>
              <w:right w:w="105" w:type="dxa"/>
            </w:tcMar>
          </w:tcPr>
          <w:p w14:paraId="79B03FB1"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3</w:t>
            </w:r>
          </w:p>
        </w:tc>
        <w:tc>
          <w:tcPr>
            <w:tcW w:w="1023" w:type="dxa"/>
            <w:tcMar>
              <w:left w:w="105" w:type="dxa"/>
              <w:right w:w="105" w:type="dxa"/>
            </w:tcMar>
          </w:tcPr>
          <w:p w14:paraId="79885066"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EU funded research projects</w:t>
            </w:r>
          </w:p>
        </w:tc>
        <w:tc>
          <w:tcPr>
            <w:tcW w:w="971" w:type="dxa"/>
            <w:tcMar>
              <w:left w:w="105" w:type="dxa"/>
              <w:right w:w="105" w:type="dxa"/>
            </w:tcMar>
          </w:tcPr>
          <w:p w14:paraId="7D8156DB"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No</w:t>
            </w:r>
          </w:p>
        </w:tc>
        <w:tc>
          <w:tcPr>
            <w:tcW w:w="1064" w:type="dxa"/>
            <w:tcMar>
              <w:left w:w="105" w:type="dxa"/>
              <w:right w:w="105" w:type="dxa"/>
            </w:tcMar>
          </w:tcPr>
          <w:p w14:paraId="65EE0EDC"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Individual projects or Cluster level data WG</w:t>
            </w:r>
          </w:p>
        </w:tc>
        <w:tc>
          <w:tcPr>
            <w:tcW w:w="1509" w:type="dxa"/>
            <w:tcMar>
              <w:left w:w="105" w:type="dxa"/>
              <w:right w:w="105" w:type="dxa"/>
            </w:tcMar>
          </w:tcPr>
          <w:p w14:paraId="78BCFF23"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Less standardised, all different; but reaching more harmonisation in Clusters recently</w:t>
            </w:r>
          </w:p>
        </w:tc>
        <w:tc>
          <w:tcPr>
            <w:tcW w:w="2211" w:type="dxa"/>
            <w:tcMar>
              <w:left w:w="105" w:type="dxa"/>
              <w:right w:w="105" w:type="dxa"/>
            </w:tcMar>
          </w:tcPr>
          <w:p w14:paraId="0594CD2A"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 xml:space="preserve">10 EU projects already included + 4 new large EU projects or Clusters in the pipeline </w:t>
            </w:r>
          </w:p>
        </w:tc>
        <w:tc>
          <w:tcPr>
            <w:tcW w:w="1250" w:type="dxa"/>
            <w:tcMar>
              <w:left w:w="105" w:type="dxa"/>
              <w:right w:w="105" w:type="dxa"/>
            </w:tcMar>
          </w:tcPr>
          <w:p w14:paraId="388F8A04"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 xml:space="preserve">Remaining at similar level, e.g. an average 2-3 research clusters supported in parallel </w:t>
            </w:r>
          </w:p>
        </w:tc>
        <w:tc>
          <w:tcPr>
            <w:tcW w:w="1374" w:type="dxa"/>
            <w:tcMar>
              <w:left w:w="105" w:type="dxa"/>
              <w:right w:w="105" w:type="dxa"/>
            </w:tcMar>
          </w:tcPr>
          <w:p w14:paraId="75AE9969"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w:t>
            </w:r>
          </w:p>
        </w:tc>
      </w:tr>
      <w:tr w:rsidR="000A7D9D" w14:paraId="435B96E1" w14:textId="77777777" w:rsidTr="00F31937">
        <w:trPr>
          <w:trHeight w:val="300"/>
        </w:trPr>
        <w:tc>
          <w:tcPr>
            <w:tcW w:w="227" w:type="dxa"/>
            <w:tcMar>
              <w:left w:w="105" w:type="dxa"/>
              <w:right w:w="105" w:type="dxa"/>
            </w:tcMar>
          </w:tcPr>
          <w:p w14:paraId="2B35E3D3"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4</w:t>
            </w:r>
          </w:p>
        </w:tc>
        <w:tc>
          <w:tcPr>
            <w:tcW w:w="1023" w:type="dxa"/>
            <w:tcMar>
              <w:left w:w="105" w:type="dxa"/>
              <w:right w:w="105" w:type="dxa"/>
            </w:tcMar>
          </w:tcPr>
          <w:p w14:paraId="4D71D916"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National or regional research projects</w:t>
            </w:r>
          </w:p>
        </w:tc>
        <w:tc>
          <w:tcPr>
            <w:tcW w:w="971" w:type="dxa"/>
            <w:tcMar>
              <w:left w:w="105" w:type="dxa"/>
              <w:right w:w="105" w:type="dxa"/>
            </w:tcMar>
          </w:tcPr>
          <w:p w14:paraId="23A20D1E"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No or very low frequency</w:t>
            </w:r>
          </w:p>
        </w:tc>
        <w:tc>
          <w:tcPr>
            <w:tcW w:w="1064" w:type="dxa"/>
            <w:tcMar>
              <w:left w:w="105" w:type="dxa"/>
              <w:right w:w="105" w:type="dxa"/>
            </w:tcMar>
          </w:tcPr>
          <w:p w14:paraId="1ADDEF7F"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Direct interaction with research organisation</w:t>
            </w:r>
          </w:p>
        </w:tc>
        <w:tc>
          <w:tcPr>
            <w:tcW w:w="1509" w:type="dxa"/>
            <w:tcMar>
              <w:left w:w="105" w:type="dxa"/>
              <w:right w:w="105" w:type="dxa"/>
            </w:tcMar>
          </w:tcPr>
          <w:p w14:paraId="4F39AC6F"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Less standardised, all different</w:t>
            </w:r>
          </w:p>
        </w:tc>
        <w:tc>
          <w:tcPr>
            <w:tcW w:w="2211" w:type="dxa"/>
            <w:tcMar>
              <w:left w:w="105" w:type="dxa"/>
              <w:right w:w="105" w:type="dxa"/>
            </w:tcMar>
          </w:tcPr>
          <w:p w14:paraId="7298FB3C"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~6 datasets</w:t>
            </w:r>
          </w:p>
          <w:p w14:paraId="71EB0FA0"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(encouraged in the beginning to populate IPCHEM, now not promoted any more)</w:t>
            </w:r>
          </w:p>
        </w:tc>
        <w:tc>
          <w:tcPr>
            <w:tcW w:w="1250" w:type="dxa"/>
            <w:tcMar>
              <w:left w:w="105" w:type="dxa"/>
              <w:right w:w="105" w:type="dxa"/>
            </w:tcMar>
          </w:tcPr>
          <w:p w14:paraId="61C35D71"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Decreasing trend, less relevant for the future</w:t>
            </w:r>
          </w:p>
        </w:tc>
        <w:tc>
          <w:tcPr>
            <w:tcW w:w="1374" w:type="dxa"/>
            <w:tcMar>
              <w:left w:w="105" w:type="dxa"/>
              <w:right w:w="105" w:type="dxa"/>
            </w:tcMar>
          </w:tcPr>
          <w:p w14:paraId="1EE49CAF" w14:textId="77777777" w:rsidR="000A7D9D" w:rsidRDefault="000A7D9D" w:rsidP="00F31937">
            <w:pPr>
              <w:spacing w:before="120" w:after="120"/>
              <w:jc w:val="both"/>
              <w:rPr>
                <w:rFonts w:eastAsia="Verdana" w:cs="Verdana"/>
                <w:noProof/>
                <w:color w:val="000000" w:themeColor="text1"/>
                <w:sz w:val="16"/>
                <w:szCs w:val="16"/>
              </w:rPr>
            </w:pPr>
            <w:r w:rsidRPr="411B1C9B">
              <w:rPr>
                <w:rFonts w:eastAsia="Verdana" w:cs="Verdana"/>
                <w:noProof/>
                <w:color w:val="000000" w:themeColor="text1"/>
                <w:sz w:val="16"/>
                <w:szCs w:val="16"/>
              </w:rPr>
              <w:t>**</w:t>
            </w:r>
          </w:p>
        </w:tc>
      </w:tr>
    </w:tbl>
    <w:p w14:paraId="2BB7FD26" w14:textId="77777777" w:rsidR="000A7D9D" w:rsidRDefault="000A7D9D" w:rsidP="000A7D9D">
      <w:pPr>
        <w:rPr>
          <w:bCs/>
          <w:noProof/>
        </w:rPr>
      </w:pPr>
    </w:p>
    <w:p w14:paraId="4C775240" w14:textId="77777777" w:rsidR="000A7D9D" w:rsidRPr="00F521F8" w:rsidRDefault="000A7D9D" w:rsidP="000A7D9D">
      <w:pPr>
        <w:spacing w:after="120"/>
        <w:rPr>
          <w:rFonts w:ascii="Times New Roman" w:hAnsi="Times New Roman" w:cs="Times New Roman"/>
          <w:noProof/>
          <w:sz w:val="24"/>
          <w:szCs w:val="24"/>
          <w:u w:val="single"/>
        </w:rPr>
      </w:pPr>
      <w:r w:rsidRPr="00F521F8">
        <w:rPr>
          <w:rFonts w:ascii="Times New Roman" w:hAnsi="Times New Roman" w:cs="Times New Roman"/>
          <w:noProof/>
          <w:sz w:val="24"/>
          <w:szCs w:val="24"/>
          <w:u w:val="single"/>
        </w:rPr>
        <w:t>Changes in the process:</w:t>
      </w:r>
    </w:p>
    <w:p w14:paraId="189B4AFA" w14:textId="77777777" w:rsidR="000A7D9D" w:rsidRPr="00F521F8" w:rsidRDefault="000A7D9D" w:rsidP="000A7D9D">
      <w:pPr>
        <w:spacing w:after="120"/>
        <w:jc w:val="both"/>
        <w:textAlignment w:val="baseline"/>
        <w:rPr>
          <w:rFonts w:ascii="Times New Roman" w:hAnsi="Times New Roman" w:cs="Times New Roman"/>
          <w:noProof/>
          <w:color w:val="000000" w:themeColor="text1"/>
          <w:sz w:val="24"/>
          <w:szCs w:val="24"/>
          <w:lang w:val="en-US" w:eastAsia="en-GB"/>
        </w:rPr>
      </w:pPr>
      <w:r w:rsidRPr="13AEFEEB">
        <w:rPr>
          <w:rFonts w:ascii="Times New Roman" w:hAnsi="Times New Roman" w:cs="Times New Roman"/>
          <w:noProof/>
          <w:color w:val="000000" w:themeColor="text1"/>
          <w:sz w:val="24"/>
          <w:szCs w:val="24"/>
          <w:lang w:eastAsia="en-GB"/>
        </w:rPr>
        <w:t>ECHA shall operate and maintain IPCHEM as part of the common data platform on chemicals.</w:t>
      </w:r>
      <w:r w:rsidRPr="13AEFEEB">
        <w:rPr>
          <w:rFonts w:ascii="Times New Roman" w:hAnsi="Times New Roman" w:cs="Times New Roman"/>
          <w:noProof/>
          <w:color w:val="000000" w:themeColor="text1"/>
          <w:sz w:val="24"/>
          <w:szCs w:val="24"/>
          <w:lang w:val="en-US" w:eastAsia="en-GB"/>
        </w:rPr>
        <w:t> In addition, ECHA will be required to host and maintain occurrence data related to workplace monitoring.</w:t>
      </w:r>
    </w:p>
    <w:p w14:paraId="1898179D" w14:textId="77777777" w:rsidR="000A7D9D" w:rsidRPr="00F521F8" w:rsidRDefault="000A7D9D" w:rsidP="000A7D9D">
      <w:pPr>
        <w:spacing w:after="120"/>
        <w:jc w:val="both"/>
        <w:textAlignment w:val="baseline"/>
        <w:rPr>
          <w:rFonts w:ascii="Times New Roman" w:hAnsi="Times New Roman" w:cs="Times New Roman"/>
          <w:noProof/>
          <w:sz w:val="24"/>
          <w:szCs w:val="24"/>
          <w:lang w:val="en-US" w:eastAsia="en-GB"/>
        </w:rPr>
      </w:pPr>
      <w:r w:rsidRPr="13AEFEEB">
        <w:rPr>
          <w:rFonts w:ascii="Times New Roman" w:hAnsi="Times New Roman" w:cs="Times New Roman"/>
          <w:noProof/>
          <w:color w:val="000000" w:themeColor="text1"/>
          <w:sz w:val="24"/>
          <w:szCs w:val="24"/>
          <w:lang w:eastAsia="en-GB"/>
        </w:rPr>
        <w:t>EEA will be responsible for collecting and hosting the human biomonitoring data and for hosting environmental monitoring data and indoor air data currently collected or hosted by JRC as part of IPCHEM.</w:t>
      </w:r>
      <w:r w:rsidRPr="13AEFEEB">
        <w:rPr>
          <w:rFonts w:ascii="Times New Roman" w:hAnsi="Times New Roman" w:cs="Times New Roman"/>
          <w:noProof/>
          <w:color w:val="000000" w:themeColor="text1"/>
          <w:sz w:val="24"/>
          <w:szCs w:val="24"/>
          <w:lang w:val="en-US" w:eastAsia="en-GB"/>
        </w:rPr>
        <w:t> </w:t>
      </w:r>
    </w:p>
    <w:p w14:paraId="1DCE9DC1" w14:textId="77777777" w:rsidR="000A7D9D" w:rsidRPr="00F521F8" w:rsidRDefault="000A7D9D" w:rsidP="000A7D9D">
      <w:pPr>
        <w:spacing w:after="120"/>
        <w:jc w:val="both"/>
        <w:rPr>
          <w:rFonts w:ascii="Times New Roman" w:eastAsia="Verdana" w:hAnsi="Times New Roman" w:cs="Times New Roman"/>
          <w:noProof/>
          <w:color w:val="000000" w:themeColor="text1"/>
          <w:sz w:val="24"/>
          <w:szCs w:val="24"/>
        </w:rPr>
      </w:pPr>
      <w:r w:rsidRPr="13AEFEEB">
        <w:rPr>
          <w:rFonts w:ascii="Times New Roman" w:eastAsia="Verdana" w:hAnsi="Times New Roman" w:cs="Times New Roman"/>
          <w:noProof/>
          <w:color w:val="000000" w:themeColor="text1"/>
          <w:sz w:val="24"/>
          <w:szCs w:val="24"/>
        </w:rPr>
        <w:t>IPCHEM will be integrated in the</w:t>
      </w:r>
      <w:r w:rsidRPr="13AEFEEB">
        <w:rPr>
          <w:rFonts w:ascii="Times New Roman" w:eastAsia="Verdana" w:hAnsi="Times New Roman" w:cs="Times New Roman"/>
          <w:noProof/>
          <w:color w:val="000000" w:themeColor="text1"/>
          <w:sz w:val="24"/>
          <w:szCs w:val="24"/>
          <w:lang w:eastAsia="en-GB"/>
        </w:rPr>
        <w:t xml:space="preserve"> c</w:t>
      </w:r>
      <w:r w:rsidRPr="13AEFEEB">
        <w:rPr>
          <w:rFonts w:ascii="Times New Roman" w:hAnsi="Times New Roman" w:cs="Times New Roman"/>
          <w:noProof/>
          <w:color w:val="000000" w:themeColor="text1"/>
          <w:sz w:val="24"/>
          <w:szCs w:val="24"/>
          <w:lang w:eastAsia="en-GB"/>
        </w:rPr>
        <w:t xml:space="preserve">ommon data platform </w:t>
      </w:r>
      <w:r w:rsidRPr="13AEFEEB">
        <w:rPr>
          <w:rFonts w:ascii="Times New Roman" w:eastAsia="Verdana" w:hAnsi="Times New Roman" w:cs="Times New Roman"/>
          <w:noProof/>
          <w:color w:val="000000" w:themeColor="text1"/>
          <w:sz w:val="24"/>
          <w:szCs w:val="24"/>
        </w:rPr>
        <w:t>with its functionalities and data representing part of Minimum Viable Product.</w:t>
      </w:r>
    </w:p>
    <w:p w14:paraId="1A86C60A" w14:textId="77777777" w:rsidR="000A7D9D" w:rsidRPr="00F521F8" w:rsidRDefault="000A7D9D" w:rsidP="000A7D9D">
      <w:pPr>
        <w:spacing w:before="120" w:after="120"/>
        <w:jc w:val="both"/>
        <w:rPr>
          <w:rFonts w:ascii="Times New Roman" w:eastAsia="Verdana" w:hAnsi="Times New Roman" w:cs="Times New Roman"/>
          <w:noProof/>
          <w:color w:val="000000" w:themeColor="text1"/>
          <w:sz w:val="24"/>
          <w:szCs w:val="24"/>
        </w:rPr>
      </w:pPr>
      <w:r w:rsidRPr="13AEFEEB">
        <w:rPr>
          <w:rFonts w:ascii="Times New Roman" w:eastAsia="Verdana" w:hAnsi="Times New Roman" w:cs="Times New Roman"/>
          <w:noProof/>
          <w:color w:val="000000" w:themeColor="text1"/>
          <w:sz w:val="24"/>
          <w:szCs w:val="24"/>
        </w:rPr>
        <w:t>The required tasks are divided according to the container-content concept. The container considers the IPCHEM platform with its data management structure and user interface, while the content refers to the monitoring data contained in the four IPCHEM modules, based on data already included and on anticipated future data needs.</w:t>
      </w:r>
    </w:p>
    <w:p w14:paraId="3F6827B4" w14:textId="77777777" w:rsidR="000A7D9D" w:rsidRPr="00F521F8" w:rsidRDefault="000A7D9D" w:rsidP="000A7D9D">
      <w:pPr>
        <w:spacing w:after="120"/>
        <w:jc w:val="both"/>
        <w:rPr>
          <w:rFonts w:ascii="Times New Roman" w:hAnsi="Times New Roman" w:cs="Times New Roman"/>
          <w:noProof/>
          <w:sz w:val="24"/>
          <w:szCs w:val="24"/>
          <w:lang w:eastAsia="en-GB"/>
        </w:rPr>
      </w:pPr>
      <w:r w:rsidRPr="13AEFEEB">
        <w:rPr>
          <w:rFonts w:ascii="Times New Roman" w:eastAsia="Verdana" w:hAnsi="Times New Roman" w:cs="Times New Roman"/>
          <w:noProof/>
          <w:color w:val="000000" w:themeColor="text1"/>
          <w:sz w:val="24"/>
          <w:szCs w:val="24"/>
        </w:rPr>
        <w:t>Regarding the content, t</w:t>
      </w:r>
      <w:r w:rsidRPr="13AEFEEB">
        <w:rPr>
          <w:rFonts w:ascii="Times New Roman" w:hAnsi="Times New Roman" w:cs="Times New Roman"/>
          <w:noProof/>
          <w:sz w:val="24"/>
          <w:szCs w:val="24"/>
          <w:lang w:eastAsia="en-GB"/>
        </w:rPr>
        <w:t>he four categories of data included in IPCHEM, the associated data sources and updating frequency, actors involved in the data integration process outside the IPCHEM team, to which extent data formats are already harmonised and possible future entities to take care of these data flows are shown in the table above.</w:t>
      </w:r>
    </w:p>
    <w:p w14:paraId="19C7F577" w14:textId="77777777" w:rsidR="000A7D9D" w:rsidRPr="00F521F8" w:rsidRDefault="000A7D9D" w:rsidP="000A7D9D">
      <w:pPr>
        <w:spacing w:after="120"/>
        <w:jc w:val="both"/>
        <w:rPr>
          <w:rFonts w:ascii="Times New Roman" w:eastAsia="Verdana" w:hAnsi="Times New Roman" w:cs="Times New Roman"/>
          <w:noProof/>
          <w:color w:val="000000" w:themeColor="text1"/>
          <w:sz w:val="24"/>
          <w:szCs w:val="24"/>
        </w:rPr>
      </w:pPr>
      <w:r w:rsidRPr="00F521F8">
        <w:rPr>
          <w:rFonts w:ascii="Times New Roman" w:eastAsia="Verdana" w:hAnsi="Times New Roman" w:cs="Times New Roman"/>
          <w:noProof/>
          <w:color w:val="000000" w:themeColor="text1"/>
          <w:sz w:val="24"/>
          <w:szCs w:val="24"/>
        </w:rPr>
        <w:t>Regarding the container, the term refers to the IPCHEM platform with i</w:t>
      </w:r>
      <w:r w:rsidRPr="00F521F8">
        <w:rPr>
          <w:rFonts w:ascii="Times New Roman" w:eastAsia="Verdana" w:hAnsi="Times New Roman" w:cs="Times New Roman"/>
          <w:noProof/>
          <w:color w:val="0078D4"/>
          <w:sz w:val="24"/>
          <w:szCs w:val="24"/>
          <w:u w:val="single"/>
        </w:rPr>
        <w:t>t</w:t>
      </w:r>
      <w:r w:rsidRPr="00F521F8">
        <w:rPr>
          <w:rFonts w:ascii="Times New Roman" w:eastAsia="Verdana" w:hAnsi="Times New Roman" w:cs="Times New Roman"/>
          <w:noProof/>
          <w:color w:val="000000" w:themeColor="text1"/>
          <w:sz w:val="24"/>
          <w:szCs w:val="24"/>
        </w:rPr>
        <w:t xml:space="preserve">s architecture, data management structures and user interface. </w:t>
      </w:r>
    </w:p>
    <w:p w14:paraId="27209E3D" w14:textId="77777777" w:rsidR="000A7D9D" w:rsidRPr="00F521F8" w:rsidRDefault="000A7D9D" w:rsidP="000A7D9D">
      <w:pPr>
        <w:spacing w:before="120" w:after="120"/>
        <w:jc w:val="both"/>
        <w:rPr>
          <w:rFonts w:ascii="Times New Roman" w:eastAsia="Verdana" w:hAnsi="Times New Roman" w:cs="Times New Roman"/>
          <w:noProof/>
          <w:color w:val="000000" w:themeColor="text1"/>
          <w:sz w:val="24"/>
          <w:szCs w:val="24"/>
        </w:rPr>
      </w:pPr>
      <w:r w:rsidRPr="13AEFEEB">
        <w:rPr>
          <w:rFonts w:ascii="Times New Roman" w:eastAsia="Verdana" w:hAnsi="Times New Roman" w:cs="Times New Roman"/>
          <w:noProof/>
          <w:color w:val="000000" w:themeColor="text1"/>
          <w:sz w:val="24"/>
          <w:szCs w:val="24"/>
        </w:rPr>
        <w:t>In the process of integration into the c</w:t>
      </w:r>
      <w:r w:rsidRPr="13AEFEEB">
        <w:rPr>
          <w:rFonts w:ascii="Times New Roman" w:hAnsi="Times New Roman" w:cs="Times New Roman"/>
          <w:noProof/>
          <w:color w:val="000000" w:themeColor="text1"/>
          <w:sz w:val="24"/>
          <w:szCs w:val="24"/>
          <w:lang w:eastAsia="en-GB"/>
        </w:rPr>
        <w:t>ommon data platform on chemicals</w:t>
      </w:r>
      <w:r w:rsidRPr="13AEFEEB">
        <w:rPr>
          <w:rFonts w:ascii="Times New Roman" w:eastAsia="Verdana" w:hAnsi="Times New Roman" w:cs="Times New Roman"/>
          <w:noProof/>
          <w:color w:val="000000" w:themeColor="text1"/>
          <w:sz w:val="24"/>
          <w:szCs w:val="24"/>
        </w:rPr>
        <w:t>, the data management structure is considered separately from the user interface.</w:t>
      </w:r>
    </w:p>
    <w:p w14:paraId="296352FE" w14:textId="77777777" w:rsidR="000A7D9D" w:rsidRPr="00F521F8" w:rsidRDefault="000A7D9D" w:rsidP="000A7D9D">
      <w:pPr>
        <w:pStyle w:val="ListParagraph"/>
        <w:numPr>
          <w:ilvl w:val="0"/>
          <w:numId w:val="109"/>
        </w:numPr>
        <w:spacing w:after="120"/>
        <w:jc w:val="both"/>
        <w:rPr>
          <w:rFonts w:eastAsia="Verdana"/>
          <w:noProof/>
          <w:color w:val="000000" w:themeColor="text1"/>
        </w:rPr>
      </w:pPr>
      <w:r w:rsidRPr="00F521F8">
        <w:rPr>
          <w:rFonts w:eastAsia="Verdana"/>
          <w:b/>
          <w:bCs/>
          <w:noProof/>
          <w:color w:val="000000" w:themeColor="text1"/>
        </w:rPr>
        <w:t>User interface</w:t>
      </w:r>
      <w:r w:rsidRPr="00F521F8">
        <w:rPr>
          <w:rFonts w:eastAsia="Verdana"/>
          <w:noProof/>
          <w:color w:val="000000" w:themeColor="text1"/>
        </w:rPr>
        <w:t>: The current user interface of IPCHEM was built over many years, is difficult to maintain and also not entirely fit for purpose to address all relevant envisaged uses and search types of IPCHEM.</w:t>
      </w:r>
    </w:p>
    <w:p w14:paraId="6273A307" w14:textId="77777777" w:rsidR="000A7D9D" w:rsidRPr="00F521F8" w:rsidRDefault="000A7D9D" w:rsidP="000A7D9D">
      <w:pPr>
        <w:pStyle w:val="ListParagraph"/>
        <w:spacing w:after="120"/>
        <w:ind w:left="360"/>
        <w:jc w:val="both"/>
        <w:rPr>
          <w:rFonts w:eastAsia="Verdana"/>
          <w:noProof/>
          <w:color w:val="000000" w:themeColor="text1"/>
        </w:rPr>
      </w:pPr>
      <w:r w:rsidRPr="13AEFEEB">
        <w:rPr>
          <w:rFonts w:eastAsia="Verdana"/>
          <w:noProof/>
          <w:color w:val="000000" w:themeColor="text1"/>
        </w:rPr>
        <w:t>It is therefore proposed to re-build the user interface in the context of the integration into the common data platform. The prototype user interface developed by the JRC IPCHEM team in June 2022 should be considered as a starting point and to help estimate the resources needed. The new user interface implementation is expected to be driven by the IPCHEM and the</w:t>
      </w:r>
      <w:r w:rsidRPr="13AEFEEB">
        <w:rPr>
          <w:rFonts w:eastAsia="Verdana"/>
          <w:noProof/>
          <w:color w:val="0078D4"/>
          <w:u w:val="single"/>
        </w:rPr>
        <w:t xml:space="preserve"> </w:t>
      </w:r>
      <w:r w:rsidRPr="13AEFEEB">
        <w:rPr>
          <w:rFonts w:eastAsia="Verdana"/>
          <w:noProof/>
          <w:color w:val="000000" w:themeColor="text1"/>
        </w:rPr>
        <w:t>common data platform’s use cases involving monitoring (occurrence) data.</w:t>
      </w:r>
    </w:p>
    <w:p w14:paraId="09422BB2" w14:textId="77777777" w:rsidR="000A7D9D" w:rsidRPr="00F521F8" w:rsidRDefault="000A7D9D" w:rsidP="000A7D9D">
      <w:pPr>
        <w:pStyle w:val="ListParagraph"/>
        <w:numPr>
          <w:ilvl w:val="0"/>
          <w:numId w:val="109"/>
        </w:numPr>
        <w:jc w:val="both"/>
        <w:rPr>
          <w:rFonts w:eastAsia="Verdana"/>
          <w:noProof/>
          <w:color w:val="000000" w:themeColor="text1"/>
        </w:rPr>
      </w:pPr>
      <w:r w:rsidRPr="13AEFEEB">
        <w:rPr>
          <w:rFonts w:eastAsia="Verdana"/>
          <w:b/>
          <w:bCs/>
          <w:noProof/>
          <w:color w:val="000000" w:themeColor="text1"/>
        </w:rPr>
        <w:t xml:space="preserve">Data management structure: </w:t>
      </w:r>
      <w:r w:rsidRPr="13AEFEEB">
        <w:rPr>
          <w:rFonts w:eastAsia="Verdana"/>
          <w:noProof/>
          <w:color w:val="000000" w:themeColor="text1"/>
        </w:rPr>
        <w:t xml:space="preserve">IPCHEM has a generalised structure, that aims to accommodate the monitoring data regarding different media and coming from several data providers. The current harmonisation process encompasses all the transformation steps required from the source data structure to the IPCHEM harmonized one. Two different record layouts are enforced, one for the individual measurement type of datasets and the other for the statistical type of datasets; in both cases, only a common subset of the data is harmonised, and quality checked, while the remaining information provided are encapsulated as-is into a generic field called source data, using the </w:t>
      </w:r>
      <w:r>
        <w:rPr>
          <w:rFonts w:eastAsia="Verdana"/>
          <w:noProof/>
          <w:color w:val="000000" w:themeColor="text1"/>
        </w:rPr>
        <w:t>JavaScript Object Notation (</w:t>
      </w:r>
      <w:r w:rsidRPr="13AEFEEB">
        <w:rPr>
          <w:rFonts w:eastAsia="Verdana"/>
          <w:noProof/>
          <w:color w:val="000000" w:themeColor="text1"/>
        </w:rPr>
        <w:t>JSON</w:t>
      </w:r>
      <w:r>
        <w:rPr>
          <w:rFonts w:eastAsia="Verdana"/>
          <w:noProof/>
          <w:color w:val="000000" w:themeColor="text1"/>
        </w:rPr>
        <w:t>)</w:t>
      </w:r>
      <w:r w:rsidRPr="13AEFEEB">
        <w:rPr>
          <w:rFonts w:eastAsia="Verdana"/>
          <w:noProof/>
          <w:color w:val="000000" w:themeColor="text1"/>
        </w:rPr>
        <w:t xml:space="preserve"> format as a convenient yet flexible vehicle.</w:t>
      </w:r>
    </w:p>
    <w:p w14:paraId="4A931192" w14:textId="77777777" w:rsidR="000A7D9D" w:rsidRPr="00F521F8" w:rsidRDefault="000A7D9D" w:rsidP="000A7D9D">
      <w:pPr>
        <w:pStyle w:val="ListParagraph"/>
        <w:ind w:left="360"/>
        <w:jc w:val="both"/>
        <w:rPr>
          <w:rFonts w:eastAsia="Verdana"/>
          <w:noProof/>
          <w:color w:val="000000" w:themeColor="text1"/>
        </w:rPr>
      </w:pPr>
      <w:r w:rsidRPr="00F521F8">
        <w:rPr>
          <w:rFonts w:eastAsia="Verdana"/>
          <w:noProof/>
          <w:color w:val="000000" w:themeColor="text1"/>
        </w:rPr>
        <w:t xml:space="preserve">IPCHEM has two sub-systems: IPCHEM Portal is the subsystem providing access to the harmonised and integrated data, while IPCHEM Share is the subsystem providing the file-sharing feature, compliant with the requirements defined by JRC </w:t>
      </w:r>
      <w:r>
        <w:rPr>
          <w:rFonts w:eastAsia="Verdana"/>
          <w:noProof/>
          <w:color w:val="000000" w:themeColor="text1"/>
        </w:rPr>
        <w:t xml:space="preserve">Local Informatics Security Officer </w:t>
      </w:r>
      <w:r w:rsidRPr="00F521F8">
        <w:rPr>
          <w:rFonts w:eastAsia="Verdana"/>
          <w:noProof/>
          <w:color w:val="000000" w:themeColor="text1"/>
        </w:rPr>
        <w:t xml:space="preserve">for the secure hosting of sensitive non classified data (e.g. two-factor authentication, encryption at rest, token secured </w:t>
      </w:r>
      <w:r>
        <w:rPr>
          <w:rFonts w:eastAsia="Verdana"/>
          <w:noProof/>
          <w:color w:val="000000" w:themeColor="text1"/>
        </w:rPr>
        <w:t>application programming interface (</w:t>
      </w:r>
      <w:r w:rsidRPr="00F521F8">
        <w:rPr>
          <w:rFonts w:eastAsia="Verdana"/>
          <w:noProof/>
          <w:color w:val="000000" w:themeColor="text1"/>
        </w:rPr>
        <w:t>API</w:t>
      </w:r>
      <w:r>
        <w:rPr>
          <w:rFonts w:eastAsia="Verdana"/>
          <w:noProof/>
          <w:color w:val="000000" w:themeColor="text1"/>
        </w:rPr>
        <w:t>)</w:t>
      </w:r>
      <w:r w:rsidRPr="00F521F8">
        <w:rPr>
          <w:rFonts w:eastAsia="Verdana"/>
          <w:noProof/>
          <w:color w:val="000000" w:themeColor="text1"/>
        </w:rPr>
        <w:t xml:space="preserve">, etc.). </w:t>
      </w:r>
    </w:p>
    <w:p w14:paraId="0715F9F1" w14:textId="77777777" w:rsidR="000A7D9D" w:rsidRPr="00F521F8" w:rsidRDefault="000A7D9D" w:rsidP="000A7D9D">
      <w:pPr>
        <w:pStyle w:val="ListParagraph"/>
        <w:ind w:left="360"/>
        <w:jc w:val="both"/>
        <w:rPr>
          <w:rFonts w:eastAsia="Verdana"/>
          <w:noProof/>
          <w:color w:val="000000" w:themeColor="text1"/>
        </w:rPr>
      </w:pPr>
      <w:r w:rsidRPr="00F521F8">
        <w:rPr>
          <w:rFonts w:eastAsia="Verdana"/>
          <w:noProof/>
          <w:color w:val="000000" w:themeColor="text1"/>
        </w:rPr>
        <w:t xml:space="preserve">It is advised to preserve this current structure of the system, in the transfer to the </w:t>
      </w:r>
      <w:r>
        <w:rPr>
          <w:rFonts w:eastAsia="Verdana"/>
          <w:noProof/>
          <w:color w:val="000000" w:themeColor="text1"/>
        </w:rPr>
        <w:t>common data platform</w:t>
      </w:r>
      <w:r w:rsidRPr="00F521F8">
        <w:rPr>
          <w:rFonts w:eastAsia="Verdana"/>
          <w:noProof/>
          <w:color w:val="000000" w:themeColor="text1"/>
        </w:rPr>
        <w:t>. The IPCHEM team is preparing detailed documentation and can support the hand-over.</w:t>
      </w:r>
    </w:p>
    <w:p w14:paraId="7122353D" w14:textId="77777777" w:rsidR="000A7D9D" w:rsidRPr="00F521F8" w:rsidRDefault="000A7D9D" w:rsidP="000A7D9D">
      <w:pPr>
        <w:spacing w:before="120"/>
        <w:jc w:val="both"/>
        <w:rPr>
          <w:rFonts w:ascii="Times New Roman" w:eastAsia="Verdana" w:hAnsi="Times New Roman" w:cs="Times New Roman"/>
          <w:noProof/>
          <w:color w:val="000000" w:themeColor="text1"/>
          <w:sz w:val="24"/>
          <w:szCs w:val="24"/>
        </w:rPr>
      </w:pPr>
      <w:r w:rsidRPr="00F521F8">
        <w:rPr>
          <w:rFonts w:ascii="Times New Roman" w:eastAsia="Verdana" w:hAnsi="Times New Roman" w:cs="Times New Roman"/>
          <w:noProof/>
          <w:color w:val="000000" w:themeColor="text1"/>
          <w:sz w:val="24"/>
          <w:szCs w:val="24"/>
        </w:rPr>
        <w:t xml:space="preserve">A 2-step approach is proposed as the most efficient way of integrating IPCHEM into the </w:t>
      </w:r>
      <w:r>
        <w:rPr>
          <w:rFonts w:ascii="Times New Roman" w:eastAsia="Verdana" w:hAnsi="Times New Roman" w:cs="Times New Roman"/>
          <w:noProof/>
          <w:color w:val="000000" w:themeColor="text1"/>
          <w:sz w:val="24"/>
          <w:szCs w:val="24"/>
        </w:rPr>
        <w:t>common data platform</w:t>
      </w:r>
      <w:r w:rsidRPr="00F521F8">
        <w:rPr>
          <w:rFonts w:ascii="Times New Roman" w:eastAsia="Verdana" w:hAnsi="Times New Roman" w:cs="Times New Roman"/>
          <w:noProof/>
          <w:color w:val="000000" w:themeColor="text1"/>
          <w:sz w:val="24"/>
          <w:szCs w:val="24"/>
        </w:rPr>
        <w:t>:</w:t>
      </w:r>
    </w:p>
    <w:p w14:paraId="4861692F" w14:textId="77777777" w:rsidR="000A7D9D" w:rsidRPr="00F521F8" w:rsidRDefault="000A7D9D" w:rsidP="000A7D9D">
      <w:pPr>
        <w:spacing w:before="120"/>
        <w:jc w:val="both"/>
        <w:rPr>
          <w:rFonts w:ascii="Times New Roman" w:eastAsia="Verdana" w:hAnsi="Times New Roman" w:cs="Times New Roman"/>
          <w:b/>
          <w:bCs/>
          <w:noProof/>
          <w:color w:val="000000" w:themeColor="text1"/>
          <w:sz w:val="24"/>
          <w:szCs w:val="24"/>
        </w:rPr>
      </w:pPr>
      <w:r w:rsidRPr="13AEFEEB">
        <w:rPr>
          <w:rFonts w:ascii="Times New Roman" w:eastAsia="Verdana" w:hAnsi="Times New Roman" w:cs="Times New Roman"/>
          <w:b/>
          <w:bCs/>
          <w:noProof/>
          <w:color w:val="000000" w:themeColor="text1"/>
          <w:sz w:val="24"/>
          <w:szCs w:val="24"/>
        </w:rPr>
        <w:t>1</w:t>
      </w:r>
      <w:r w:rsidRPr="13AEFEEB">
        <w:rPr>
          <w:rFonts w:ascii="Times New Roman" w:eastAsia="Verdana" w:hAnsi="Times New Roman" w:cs="Times New Roman"/>
          <w:b/>
          <w:bCs/>
          <w:noProof/>
          <w:color w:val="000000" w:themeColor="text1"/>
          <w:sz w:val="24"/>
          <w:szCs w:val="24"/>
          <w:vertAlign w:val="superscript"/>
        </w:rPr>
        <w:t>st</w:t>
      </w:r>
      <w:r w:rsidRPr="13AEFEEB">
        <w:rPr>
          <w:rFonts w:ascii="Times New Roman" w:eastAsia="Verdana" w:hAnsi="Times New Roman" w:cs="Times New Roman"/>
          <w:b/>
          <w:bCs/>
          <w:noProof/>
          <w:color w:val="000000" w:themeColor="text1"/>
          <w:sz w:val="24"/>
          <w:szCs w:val="24"/>
        </w:rPr>
        <w:t xml:space="preserve"> phase (months 1-12): making monitoring data from IPCHEM findable via the common data platform, and preparatory work for functionality handover (co-work JRC/ECHA)</w:t>
      </w:r>
    </w:p>
    <w:p w14:paraId="5C0D0C03" w14:textId="77777777" w:rsidR="000A7D9D" w:rsidRPr="00F521F8" w:rsidRDefault="000A7D9D" w:rsidP="000A7D9D">
      <w:pPr>
        <w:keepNext/>
        <w:spacing w:before="120"/>
        <w:jc w:val="both"/>
        <w:rPr>
          <w:rFonts w:ascii="Times New Roman" w:eastAsia="Verdana" w:hAnsi="Times New Roman" w:cs="Times New Roman"/>
          <w:noProof/>
          <w:color w:val="000000" w:themeColor="text1"/>
          <w:sz w:val="24"/>
          <w:szCs w:val="24"/>
        </w:rPr>
      </w:pPr>
      <w:r w:rsidRPr="00F521F8">
        <w:rPr>
          <w:rFonts w:ascii="Times New Roman" w:eastAsia="Verdana" w:hAnsi="Times New Roman" w:cs="Times New Roman"/>
          <w:b/>
          <w:bCs/>
          <w:noProof/>
          <w:color w:val="000000" w:themeColor="text1"/>
          <w:sz w:val="24"/>
          <w:szCs w:val="24"/>
        </w:rPr>
        <w:t xml:space="preserve">Aims: </w:t>
      </w:r>
    </w:p>
    <w:p w14:paraId="7B92A40E" w14:textId="77777777" w:rsidR="000A7D9D" w:rsidRPr="00F521F8" w:rsidRDefault="000A7D9D" w:rsidP="000A7D9D">
      <w:pPr>
        <w:pStyle w:val="ListParagraph"/>
        <w:numPr>
          <w:ilvl w:val="0"/>
          <w:numId w:val="115"/>
        </w:numPr>
        <w:spacing w:after="160" w:line="259" w:lineRule="auto"/>
        <w:jc w:val="both"/>
        <w:rPr>
          <w:rFonts w:eastAsia="Verdana"/>
          <w:noProof/>
          <w:color w:val="000000" w:themeColor="text1"/>
        </w:rPr>
      </w:pPr>
      <w:r w:rsidRPr="13AEFEEB">
        <w:rPr>
          <w:rFonts w:eastAsia="Verdana"/>
          <w:noProof/>
          <w:color w:val="000000" w:themeColor="text1"/>
        </w:rPr>
        <w:t xml:space="preserve">IPCHEM extended team contributes to the work on data, in particular the selection of substance identifiers and the selection of the supported format for inclusion of monitoring (occurrence) data. </w:t>
      </w:r>
    </w:p>
    <w:p w14:paraId="43ACAC8A" w14:textId="77777777" w:rsidR="000A7D9D" w:rsidRPr="00F521F8" w:rsidRDefault="000A7D9D" w:rsidP="000A7D9D">
      <w:pPr>
        <w:pStyle w:val="ListParagraph"/>
        <w:numPr>
          <w:ilvl w:val="0"/>
          <w:numId w:val="115"/>
        </w:numPr>
        <w:spacing w:after="160" w:line="259" w:lineRule="auto"/>
        <w:jc w:val="both"/>
        <w:rPr>
          <w:rFonts w:eastAsia="Verdana"/>
          <w:noProof/>
          <w:color w:val="000000" w:themeColor="text1"/>
        </w:rPr>
      </w:pPr>
      <w:r w:rsidRPr="13AEFEEB">
        <w:rPr>
          <w:rFonts w:eastAsia="Verdana"/>
          <w:noProof/>
          <w:color w:val="000000" w:themeColor="text1"/>
        </w:rPr>
        <w:t>IPCHEM data contribution to the common data platform is analysed (data governance and policy) in accordance with the legislative proposal on data</w:t>
      </w:r>
    </w:p>
    <w:p w14:paraId="526402EC" w14:textId="77777777" w:rsidR="000A7D9D" w:rsidRPr="00F521F8" w:rsidRDefault="000A7D9D" w:rsidP="000A7D9D">
      <w:pPr>
        <w:pStyle w:val="ListParagraph"/>
        <w:numPr>
          <w:ilvl w:val="0"/>
          <w:numId w:val="115"/>
        </w:numPr>
        <w:spacing w:after="160" w:line="259" w:lineRule="auto"/>
        <w:jc w:val="both"/>
        <w:rPr>
          <w:rFonts w:eastAsia="Verdana"/>
          <w:noProof/>
          <w:color w:val="000000" w:themeColor="text1"/>
        </w:rPr>
      </w:pPr>
      <w:r w:rsidRPr="13AEFEEB">
        <w:rPr>
          <w:rFonts w:eastAsia="Verdana"/>
          <w:noProof/>
          <w:color w:val="000000" w:themeColor="text1"/>
        </w:rPr>
        <w:t>IPCHEM extended team carries out a study to make metadata and data available in IPCHEM more FAIR, including harmonisation of module specific metadata and data fields with the common data platform requirements (point above), including in the preparation for the anticipated future data providers to the platform for individual datasets</w:t>
      </w:r>
    </w:p>
    <w:p w14:paraId="61D0FAF0" w14:textId="77777777" w:rsidR="000A7D9D" w:rsidRPr="00F521F8" w:rsidRDefault="000A7D9D" w:rsidP="000A7D9D">
      <w:pPr>
        <w:pStyle w:val="ListParagraph"/>
        <w:numPr>
          <w:ilvl w:val="0"/>
          <w:numId w:val="115"/>
        </w:numPr>
        <w:spacing w:after="160" w:line="259" w:lineRule="auto"/>
        <w:jc w:val="both"/>
        <w:rPr>
          <w:rFonts w:eastAsia="Verdana"/>
          <w:noProof/>
          <w:color w:val="000000" w:themeColor="text1"/>
        </w:rPr>
      </w:pPr>
      <w:r w:rsidRPr="13AEFEEB">
        <w:rPr>
          <w:rFonts w:eastAsia="Verdana"/>
          <w:noProof/>
          <w:color w:val="000000" w:themeColor="text1"/>
        </w:rPr>
        <w:t>Linking IPCHEM to the common data platform via metadata and substance identifiers; substance search will bring back links to IPCHEM datasets with the metadata description in agreed format</w:t>
      </w:r>
      <w:r w:rsidRPr="13AEFEEB">
        <w:rPr>
          <w:rFonts w:eastAsia="Verdana"/>
          <w:noProof/>
          <w:color w:val="000000" w:themeColor="text1"/>
          <w:vertAlign w:val="superscript"/>
        </w:rPr>
        <w:t>22</w:t>
      </w:r>
    </w:p>
    <w:p w14:paraId="2937B5E9" w14:textId="77777777" w:rsidR="000A7D9D" w:rsidRPr="00F521F8" w:rsidRDefault="000A7D9D" w:rsidP="000A7D9D">
      <w:pPr>
        <w:pStyle w:val="ListParagraph"/>
        <w:numPr>
          <w:ilvl w:val="0"/>
          <w:numId w:val="115"/>
        </w:numPr>
        <w:spacing w:after="160" w:line="259" w:lineRule="auto"/>
        <w:jc w:val="both"/>
        <w:rPr>
          <w:rFonts w:eastAsia="Verdana"/>
          <w:noProof/>
          <w:color w:val="000000" w:themeColor="text1"/>
        </w:rPr>
      </w:pPr>
      <w:r w:rsidRPr="00F521F8">
        <w:rPr>
          <w:rFonts w:eastAsia="Verdana"/>
          <w:noProof/>
          <w:color w:val="000000" w:themeColor="text1"/>
        </w:rPr>
        <w:t>Analysis (container/functionality handover), identification of use cases, implementation planning</w:t>
      </w:r>
    </w:p>
    <w:p w14:paraId="594A74A0" w14:textId="77777777" w:rsidR="000A7D9D" w:rsidRPr="00F521F8" w:rsidRDefault="000A7D9D" w:rsidP="000A7D9D">
      <w:pPr>
        <w:keepNext/>
        <w:spacing w:before="120" w:after="120"/>
        <w:jc w:val="both"/>
        <w:rPr>
          <w:rFonts w:ascii="Times New Roman" w:eastAsia="Verdana" w:hAnsi="Times New Roman" w:cs="Times New Roman"/>
          <w:noProof/>
          <w:color w:val="000000" w:themeColor="text1"/>
          <w:sz w:val="24"/>
          <w:szCs w:val="24"/>
        </w:rPr>
      </w:pPr>
      <w:r w:rsidRPr="00F521F8">
        <w:rPr>
          <w:rFonts w:ascii="Times New Roman" w:eastAsia="Verdana" w:hAnsi="Times New Roman" w:cs="Times New Roman"/>
          <w:b/>
          <w:bCs/>
          <w:noProof/>
          <w:color w:val="000000" w:themeColor="text1"/>
          <w:sz w:val="24"/>
          <w:szCs w:val="24"/>
        </w:rPr>
        <w:t>Tasks</w:t>
      </w:r>
    </w:p>
    <w:p w14:paraId="1868F4D2" w14:textId="77777777" w:rsidR="000A7D9D" w:rsidRPr="00F521F8" w:rsidRDefault="000A7D9D" w:rsidP="000A7D9D">
      <w:pPr>
        <w:pStyle w:val="ListParagraph"/>
        <w:numPr>
          <w:ilvl w:val="0"/>
          <w:numId w:val="114"/>
        </w:numPr>
        <w:spacing w:after="160" w:line="259" w:lineRule="auto"/>
        <w:rPr>
          <w:rFonts w:eastAsia="Verdana"/>
          <w:noProof/>
          <w:color w:val="000000" w:themeColor="text1"/>
        </w:rPr>
      </w:pPr>
      <w:r w:rsidRPr="00F521F8">
        <w:rPr>
          <w:rFonts w:eastAsia="Verdana"/>
          <w:noProof/>
          <w:color w:val="000000" w:themeColor="text1"/>
        </w:rPr>
        <w:t>IPCHEM/EU-CDPC linking:</w:t>
      </w:r>
    </w:p>
    <w:p w14:paraId="0D84D5D6" w14:textId="77777777" w:rsidR="000A7D9D" w:rsidRPr="00F521F8" w:rsidRDefault="000A7D9D" w:rsidP="000A7D9D">
      <w:pPr>
        <w:pStyle w:val="ListParagraph"/>
        <w:numPr>
          <w:ilvl w:val="1"/>
          <w:numId w:val="114"/>
        </w:numPr>
        <w:spacing w:after="160" w:line="259" w:lineRule="auto"/>
        <w:rPr>
          <w:rFonts w:eastAsia="Verdana"/>
          <w:noProof/>
          <w:color w:val="000000" w:themeColor="text1"/>
        </w:rPr>
      </w:pPr>
      <w:r w:rsidRPr="00F521F8">
        <w:rPr>
          <w:rFonts w:eastAsia="Verdana"/>
          <w:noProof/>
          <w:color w:val="000000" w:themeColor="text1"/>
        </w:rPr>
        <w:t>Analysis and design for the integration of:</w:t>
      </w:r>
    </w:p>
    <w:p w14:paraId="3C0C3966" w14:textId="77777777" w:rsidR="000A7D9D" w:rsidRPr="00F521F8" w:rsidRDefault="000A7D9D" w:rsidP="000A7D9D">
      <w:pPr>
        <w:pStyle w:val="ListParagraph"/>
        <w:numPr>
          <w:ilvl w:val="2"/>
          <w:numId w:val="114"/>
        </w:numPr>
        <w:spacing w:after="160" w:line="259" w:lineRule="auto"/>
        <w:rPr>
          <w:rFonts w:eastAsia="Verdana"/>
          <w:noProof/>
          <w:color w:val="000000" w:themeColor="text1"/>
        </w:rPr>
      </w:pPr>
      <w:r w:rsidRPr="00F521F8">
        <w:rPr>
          <w:rFonts w:eastAsia="Verdana"/>
          <w:noProof/>
          <w:color w:val="000000" w:themeColor="text1"/>
        </w:rPr>
        <w:t>Substance identity</w:t>
      </w:r>
    </w:p>
    <w:p w14:paraId="3C02E2E9" w14:textId="77777777" w:rsidR="000A7D9D" w:rsidRPr="00F521F8" w:rsidRDefault="000A7D9D" w:rsidP="000A7D9D">
      <w:pPr>
        <w:pStyle w:val="ListParagraph"/>
        <w:numPr>
          <w:ilvl w:val="2"/>
          <w:numId w:val="114"/>
        </w:numPr>
        <w:spacing w:after="160" w:line="259" w:lineRule="auto"/>
        <w:rPr>
          <w:rFonts w:eastAsia="Verdana"/>
          <w:noProof/>
          <w:color w:val="000000" w:themeColor="text1"/>
        </w:rPr>
      </w:pPr>
      <w:r w:rsidRPr="00F521F8">
        <w:rPr>
          <w:rFonts w:eastAsia="Verdana"/>
          <w:noProof/>
          <w:color w:val="000000" w:themeColor="text1"/>
        </w:rPr>
        <w:t>Harmonised metadata (common to all modules)</w:t>
      </w:r>
    </w:p>
    <w:p w14:paraId="55C7CADA" w14:textId="77777777" w:rsidR="000A7D9D" w:rsidRPr="00F521F8" w:rsidRDefault="000A7D9D" w:rsidP="000A7D9D">
      <w:pPr>
        <w:pStyle w:val="ListParagraph"/>
        <w:numPr>
          <w:ilvl w:val="1"/>
          <w:numId w:val="114"/>
        </w:numPr>
        <w:spacing w:after="160" w:line="259" w:lineRule="auto"/>
        <w:rPr>
          <w:rFonts w:eastAsia="Verdana"/>
          <w:noProof/>
          <w:color w:val="000000" w:themeColor="text1"/>
        </w:rPr>
      </w:pPr>
      <w:r w:rsidRPr="00F521F8">
        <w:rPr>
          <w:rFonts w:eastAsia="Verdana"/>
          <w:noProof/>
          <w:color w:val="000000" w:themeColor="text1"/>
        </w:rPr>
        <w:t>Implementation</w:t>
      </w:r>
    </w:p>
    <w:p w14:paraId="6CBDEE9A" w14:textId="77777777" w:rsidR="000A7D9D" w:rsidRPr="00F521F8" w:rsidRDefault="000A7D9D" w:rsidP="000A7D9D">
      <w:pPr>
        <w:pStyle w:val="ListParagraph"/>
        <w:numPr>
          <w:ilvl w:val="2"/>
          <w:numId w:val="114"/>
        </w:numPr>
        <w:spacing w:after="160" w:line="259" w:lineRule="auto"/>
        <w:rPr>
          <w:rFonts w:eastAsia="Verdana"/>
          <w:noProof/>
          <w:color w:val="000000" w:themeColor="text1"/>
        </w:rPr>
      </w:pPr>
      <w:r w:rsidRPr="00F521F8">
        <w:rPr>
          <w:rFonts w:eastAsia="Verdana"/>
          <w:noProof/>
          <w:color w:val="000000" w:themeColor="text1"/>
        </w:rPr>
        <w:t>Preparation of SID translation tables, metadata for IPCHEM datasets</w:t>
      </w:r>
    </w:p>
    <w:p w14:paraId="4D7768E1" w14:textId="77777777" w:rsidR="000A7D9D" w:rsidRPr="00F521F8" w:rsidRDefault="000A7D9D" w:rsidP="000A7D9D">
      <w:pPr>
        <w:pStyle w:val="ListParagraph"/>
        <w:numPr>
          <w:ilvl w:val="2"/>
          <w:numId w:val="114"/>
        </w:numPr>
        <w:spacing w:after="160" w:line="259" w:lineRule="auto"/>
        <w:rPr>
          <w:rFonts w:eastAsia="Verdana"/>
          <w:noProof/>
          <w:color w:val="000000" w:themeColor="text1"/>
        </w:rPr>
      </w:pPr>
      <w:r w:rsidRPr="00F521F8">
        <w:rPr>
          <w:rFonts w:eastAsia="Verdana"/>
          <w:noProof/>
          <w:color w:val="000000" w:themeColor="text1"/>
        </w:rPr>
        <w:t>accessibility of harmonised metadata, as designed in [a.ii.](automated approach)</w:t>
      </w:r>
    </w:p>
    <w:p w14:paraId="78FF5EF8" w14:textId="77777777" w:rsidR="000A7D9D" w:rsidRPr="00F521F8" w:rsidRDefault="000A7D9D" w:rsidP="000A7D9D">
      <w:pPr>
        <w:pStyle w:val="ListParagraph"/>
        <w:numPr>
          <w:ilvl w:val="1"/>
          <w:numId w:val="114"/>
        </w:numPr>
        <w:spacing w:after="160" w:line="259" w:lineRule="auto"/>
        <w:rPr>
          <w:rFonts w:eastAsia="Verdana"/>
          <w:noProof/>
          <w:color w:val="000000" w:themeColor="text1"/>
        </w:rPr>
      </w:pPr>
      <w:r w:rsidRPr="00F521F8">
        <w:rPr>
          <w:rFonts w:eastAsia="Verdana"/>
          <w:noProof/>
          <w:color w:val="000000" w:themeColor="text1"/>
        </w:rPr>
        <w:t>Testing</w:t>
      </w:r>
    </w:p>
    <w:p w14:paraId="77EB4B1F" w14:textId="77777777" w:rsidR="000A7D9D" w:rsidRPr="00F521F8" w:rsidRDefault="000A7D9D" w:rsidP="000A7D9D">
      <w:pPr>
        <w:pStyle w:val="ListParagraph"/>
        <w:numPr>
          <w:ilvl w:val="1"/>
          <w:numId w:val="114"/>
        </w:numPr>
        <w:spacing w:after="120" w:line="259" w:lineRule="auto"/>
        <w:rPr>
          <w:noProof/>
        </w:rPr>
      </w:pPr>
      <w:r w:rsidRPr="00F521F8">
        <w:rPr>
          <w:rFonts w:eastAsia="Verdana"/>
          <w:noProof/>
          <w:color w:val="000000" w:themeColor="text1"/>
        </w:rPr>
        <w:t>Maintenance/Servicing</w:t>
      </w:r>
    </w:p>
    <w:p w14:paraId="18ADEE5B" w14:textId="77777777" w:rsidR="000A7D9D" w:rsidRPr="00F521F8" w:rsidRDefault="000A7D9D" w:rsidP="000A7D9D">
      <w:pPr>
        <w:pStyle w:val="ListParagraph"/>
        <w:numPr>
          <w:ilvl w:val="0"/>
          <w:numId w:val="114"/>
        </w:numPr>
        <w:spacing w:after="160" w:line="259" w:lineRule="auto"/>
        <w:rPr>
          <w:rFonts w:eastAsia="Verdana"/>
          <w:noProof/>
          <w:color w:val="000000" w:themeColor="text1"/>
        </w:rPr>
      </w:pPr>
      <w:r w:rsidRPr="13AEFEEB">
        <w:rPr>
          <w:rFonts w:eastAsia="Verdana"/>
          <w:noProof/>
          <w:color w:val="000000" w:themeColor="text1"/>
        </w:rPr>
        <w:t xml:space="preserve">Handover preparation IPCHEM/common data platform </w:t>
      </w:r>
    </w:p>
    <w:p w14:paraId="639DE9E8" w14:textId="77777777" w:rsidR="000A7D9D" w:rsidRPr="00F521F8" w:rsidRDefault="000A7D9D" w:rsidP="000A7D9D">
      <w:pPr>
        <w:pStyle w:val="ListParagraph"/>
        <w:numPr>
          <w:ilvl w:val="1"/>
          <w:numId w:val="114"/>
        </w:numPr>
        <w:spacing w:after="160" w:line="259" w:lineRule="auto"/>
        <w:rPr>
          <w:rFonts w:eastAsia="Verdana"/>
          <w:noProof/>
          <w:color w:val="000000" w:themeColor="text1"/>
        </w:rPr>
      </w:pPr>
      <w:r w:rsidRPr="00F521F8">
        <w:rPr>
          <w:rFonts w:eastAsia="Verdana"/>
          <w:noProof/>
          <w:color w:val="000000" w:themeColor="text1"/>
        </w:rPr>
        <w:t>Analysis and design:</w:t>
      </w:r>
    </w:p>
    <w:p w14:paraId="3C2342BF" w14:textId="77777777" w:rsidR="000A7D9D" w:rsidRPr="00F521F8" w:rsidRDefault="000A7D9D" w:rsidP="000A7D9D">
      <w:pPr>
        <w:pStyle w:val="ListParagraph"/>
        <w:numPr>
          <w:ilvl w:val="2"/>
          <w:numId w:val="114"/>
        </w:numPr>
        <w:spacing w:after="160" w:line="259" w:lineRule="auto"/>
        <w:rPr>
          <w:rFonts w:eastAsia="Verdana"/>
          <w:noProof/>
          <w:color w:val="000000" w:themeColor="text1"/>
        </w:rPr>
      </w:pPr>
      <w:r w:rsidRPr="13AEFEEB">
        <w:rPr>
          <w:rFonts w:eastAsia="Verdana"/>
          <w:noProof/>
          <w:color w:val="000000" w:themeColor="text1"/>
        </w:rPr>
        <w:t>Evaluation of the IPCHEM data governance within the common data platform (to/with platform data providers, existing IPCHEM datasets and future updates, possible use of DIGIT’s hosting facilities)</w:t>
      </w:r>
    </w:p>
    <w:p w14:paraId="2FC46E95" w14:textId="77777777" w:rsidR="000A7D9D" w:rsidRPr="00F521F8" w:rsidRDefault="000A7D9D" w:rsidP="000A7D9D">
      <w:pPr>
        <w:pStyle w:val="ListParagraph"/>
        <w:numPr>
          <w:ilvl w:val="2"/>
          <w:numId w:val="114"/>
        </w:numPr>
        <w:spacing w:after="160" w:line="259" w:lineRule="auto"/>
        <w:rPr>
          <w:rFonts w:eastAsia="Verdana"/>
          <w:noProof/>
          <w:color w:val="000000" w:themeColor="text1"/>
        </w:rPr>
      </w:pPr>
      <w:r w:rsidRPr="00F521F8">
        <w:rPr>
          <w:rFonts w:eastAsia="Verdana"/>
          <w:noProof/>
          <w:color w:val="000000" w:themeColor="text1"/>
        </w:rPr>
        <w:t>FAIR evolution of the IPCHEM platform for better data harmonization and reuse:</w:t>
      </w:r>
    </w:p>
    <w:p w14:paraId="1DD311C3" w14:textId="77777777" w:rsidR="000A7D9D" w:rsidRPr="00F521F8" w:rsidRDefault="000A7D9D" w:rsidP="000A7D9D">
      <w:pPr>
        <w:pStyle w:val="ListParagraph"/>
        <w:numPr>
          <w:ilvl w:val="3"/>
          <w:numId w:val="114"/>
        </w:numPr>
        <w:spacing w:after="160" w:line="259" w:lineRule="auto"/>
        <w:rPr>
          <w:rFonts w:eastAsia="Verdana"/>
          <w:noProof/>
          <w:color w:val="000000" w:themeColor="text1"/>
        </w:rPr>
      </w:pPr>
      <w:r w:rsidRPr="00F521F8">
        <w:rPr>
          <w:rFonts w:eastAsia="Verdana"/>
          <w:noProof/>
          <w:color w:val="000000" w:themeColor="text1"/>
        </w:rPr>
        <w:t>Definition of harmonised formats including module specific metadata and data fields for monitoring (occurrence) data, part of joint WA3 initiative</w:t>
      </w:r>
    </w:p>
    <w:p w14:paraId="455D3231" w14:textId="77777777" w:rsidR="000A7D9D" w:rsidRPr="00F521F8" w:rsidRDefault="000A7D9D" w:rsidP="000A7D9D">
      <w:pPr>
        <w:pStyle w:val="ListParagraph"/>
        <w:numPr>
          <w:ilvl w:val="3"/>
          <w:numId w:val="114"/>
        </w:numPr>
        <w:spacing w:after="160" w:line="259" w:lineRule="auto"/>
        <w:rPr>
          <w:rFonts w:eastAsia="Verdana"/>
          <w:noProof/>
          <w:color w:val="000000" w:themeColor="text1"/>
        </w:rPr>
      </w:pPr>
      <w:r w:rsidRPr="00F521F8">
        <w:rPr>
          <w:rFonts w:eastAsia="Verdana"/>
          <w:noProof/>
          <w:color w:val="000000" w:themeColor="text1"/>
        </w:rPr>
        <w:t>Solution design for managing harmonised module specific metadata and data fields</w:t>
      </w:r>
    </w:p>
    <w:p w14:paraId="235B5F2A" w14:textId="77777777" w:rsidR="000A7D9D" w:rsidRPr="00F521F8" w:rsidRDefault="000A7D9D" w:rsidP="000A7D9D">
      <w:pPr>
        <w:pStyle w:val="ListParagraph"/>
        <w:numPr>
          <w:ilvl w:val="2"/>
          <w:numId w:val="114"/>
        </w:numPr>
        <w:spacing w:after="160" w:line="259" w:lineRule="auto"/>
        <w:rPr>
          <w:rFonts w:eastAsia="Verdana"/>
          <w:noProof/>
          <w:color w:val="000000" w:themeColor="text1"/>
        </w:rPr>
      </w:pPr>
      <w:r w:rsidRPr="13AEFEEB">
        <w:rPr>
          <w:rFonts w:eastAsia="Verdana"/>
          <w:noProof/>
          <w:color w:val="000000" w:themeColor="text1"/>
        </w:rPr>
        <w:t>Strategy definition for IPCHEM functionalities handover to the common data platform, including the secure sharing facilities (aka IPCHEM Share), the dataset integration software procedures, and identifying the user interface capabilities that are required by the platform's use cases involving monitoring (occurrence) data (possible use of DIGIT’s hosting facilities)</w:t>
      </w:r>
    </w:p>
    <w:p w14:paraId="035E8E2D" w14:textId="77777777" w:rsidR="000A7D9D" w:rsidRPr="00F521F8" w:rsidRDefault="000A7D9D" w:rsidP="000A7D9D">
      <w:pPr>
        <w:pStyle w:val="ListParagraph"/>
        <w:numPr>
          <w:ilvl w:val="1"/>
          <w:numId w:val="114"/>
        </w:numPr>
        <w:spacing w:after="120" w:line="259" w:lineRule="auto"/>
        <w:rPr>
          <w:rFonts w:eastAsia="Verdana"/>
          <w:noProof/>
          <w:color w:val="000000" w:themeColor="text1"/>
        </w:rPr>
      </w:pPr>
      <w:r w:rsidRPr="00F521F8">
        <w:rPr>
          <w:rFonts w:eastAsia="Verdana"/>
          <w:noProof/>
          <w:color w:val="000000" w:themeColor="text1"/>
        </w:rPr>
        <w:t>Governance aspects, data management</w:t>
      </w:r>
    </w:p>
    <w:p w14:paraId="5D810580" w14:textId="77777777" w:rsidR="000A7D9D" w:rsidRPr="00F521F8" w:rsidRDefault="000A7D9D" w:rsidP="000A7D9D">
      <w:pPr>
        <w:keepNext/>
        <w:spacing w:after="120"/>
        <w:jc w:val="both"/>
        <w:rPr>
          <w:rFonts w:ascii="Times New Roman" w:eastAsia="Verdana" w:hAnsi="Times New Roman" w:cs="Times New Roman"/>
          <w:noProof/>
          <w:color w:val="000000" w:themeColor="text1"/>
          <w:sz w:val="24"/>
          <w:szCs w:val="24"/>
        </w:rPr>
      </w:pPr>
      <w:r w:rsidRPr="00F521F8">
        <w:rPr>
          <w:rFonts w:ascii="Times New Roman" w:eastAsia="Verdana" w:hAnsi="Times New Roman" w:cs="Times New Roman"/>
          <w:b/>
          <w:bCs/>
          <w:noProof/>
          <w:color w:val="000000" w:themeColor="text1"/>
          <w:sz w:val="24"/>
          <w:szCs w:val="24"/>
        </w:rPr>
        <w:t>Resource needs 1</w:t>
      </w:r>
      <w:r w:rsidRPr="00F521F8">
        <w:rPr>
          <w:rFonts w:ascii="Times New Roman" w:eastAsia="Verdana" w:hAnsi="Times New Roman" w:cs="Times New Roman"/>
          <w:b/>
          <w:bCs/>
          <w:noProof/>
          <w:color w:val="000000" w:themeColor="text1"/>
          <w:sz w:val="24"/>
          <w:szCs w:val="24"/>
          <w:vertAlign w:val="superscript"/>
        </w:rPr>
        <w:t>st</w:t>
      </w:r>
      <w:r w:rsidRPr="00F521F8">
        <w:rPr>
          <w:rFonts w:ascii="Times New Roman" w:eastAsia="Verdana" w:hAnsi="Times New Roman" w:cs="Times New Roman"/>
          <w:b/>
          <w:bCs/>
          <w:noProof/>
          <w:color w:val="000000" w:themeColor="text1"/>
          <w:sz w:val="24"/>
          <w:szCs w:val="24"/>
        </w:rPr>
        <w:t xml:space="preserve"> phase</w:t>
      </w:r>
    </w:p>
    <w:p w14:paraId="39BCDF56" w14:textId="77777777" w:rsidR="000A7D9D" w:rsidRPr="00F521F8" w:rsidRDefault="000A7D9D" w:rsidP="000A7D9D">
      <w:pPr>
        <w:pStyle w:val="ListParagraph"/>
        <w:numPr>
          <w:ilvl w:val="0"/>
          <w:numId w:val="113"/>
        </w:numPr>
        <w:spacing w:after="160" w:line="259" w:lineRule="auto"/>
        <w:rPr>
          <w:rFonts w:eastAsia="Verdana"/>
          <w:noProof/>
          <w:color w:val="000000" w:themeColor="text1"/>
        </w:rPr>
      </w:pPr>
      <w:r w:rsidRPr="00F521F8">
        <w:rPr>
          <w:rFonts w:eastAsia="Verdana"/>
          <w:noProof/>
          <w:color w:val="000000" w:themeColor="text1"/>
        </w:rPr>
        <w:t>Platform development (60K)</w:t>
      </w:r>
    </w:p>
    <w:p w14:paraId="1DD0A5EF" w14:textId="77777777" w:rsidR="000A7D9D" w:rsidRPr="00F521F8" w:rsidRDefault="000A7D9D" w:rsidP="000A7D9D">
      <w:pPr>
        <w:pStyle w:val="ListParagraph"/>
        <w:numPr>
          <w:ilvl w:val="1"/>
          <w:numId w:val="112"/>
        </w:numPr>
        <w:spacing w:after="160" w:line="259" w:lineRule="auto"/>
        <w:rPr>
          <w:rFonts w:eastAsia="Verdana"/>
          <w:noProof/>
          <w:color w:val="000000" w:themeColor="text1"/>
        </w:rPr>
      </w:pPr>
      <w:r w:rsidRPr="13AEFEEB">
        <w:rPr>
          <w:rFonts w:eastAsia="Verdana"/>
          <w:noProof/>
          <w:color w:val="000000" w:themeColor="text1"/>
        </w:rPr>
        <w:t>1 developer full time for 8 months for complementing in IPCHEM the information and formatting required for the linking with the common data platform, in addition to what is already available in the public repository (</w:t>
      </w:r>
      <w:hyperlink r:id="rId82">
        <w:r w:rsidRPr="13AEFEEB">
          <w:rPr>
            <w:rStyle w:val="Hyperlink"/>
            <w:rFonts w:eastAsia="Verdana"/>
            <w:noProof/>
          </w:rPr>
          <w:t>https://ipchem.jrc.ec.europa.eu/public</w:t>
        </w:r>
      </w:hyperlink>
      <w:r w:rsidRPr="13AEFEEB">
        <w:rPr>
          <w:rFonts w:eastAsia="Verdana"/>
          <w:noProof/>
          <w:color w:val="000000" w:themeColor="text1"/>
        </w:rPr>
        <w:t>), or in the IPCHEM share subsystem (</w:t>
      </w:r>
      <w:hyperlink r:id="rId83">
        <w:r w:rsidRPr="13AEFEEB">
          <w:rPr>
            <w:rStyle w:val="Hyperlink"/>
            <w:rFonts w:eastAsia="Verdana"/>
            <w:noProof/>
          </w:rPr>
          <w:t>https://ipchem.jrc.ec.europa.eu/share</w:t>
        </w:r>
      </w:hyperlink>
      <w:r w:rsidRPr="13AEFEEB">
        <w:rPr>
          <w:rFonts w:eastAsia="Verdana"/>
          <w:noProof/>
          <w:color w:val="000000" w:themeColor="text1"/>
        </w:rPr>
        <w:t xml:space="preserve"> via secure API); this encompasses possible enhancements (e.g. JSON-LD / RDF metadata format, DCAT-AP service, etc.) to make the system more FAIR;</w:t>
      </w:r>
    </w:p>
    <w:p w14:paraId="687A846F" w14:textId="77777777" w:rsidR="000A7D9D" w:rsidRPr="00F521F8" w:rsidRDefault="000A7D9D" w:rsidP="000A7D9D">
      <w:pPr>
        <w:pStyle w:val="ListParagraph"/>
        <w:numPr>
          <w:ilvl w:val="0"/>
          <w:numId w:val="113"/>
        </w:numPr>
        <w:spacing w:after="160" w:line="259" w:lineRule="auto"/>
        <w:rPr>
          <w:rFonts w:eastAsia="Verdana"/>
          <w:noProof/>
          <w:color w:val="000000" w:themeColor="text1"/>
        </w:rPr>
      </w:pPr>
      <w:r w:rsidRPr="00F521F8">
        <w:rPr>
          <w:rFonts w:eastAsia="Verdana"/>
          <w:noProof/>
          <w:color w:val="000000" w:themeColor="text1"/>
        </w:rPr>
        <w:t>Handover preparation (120K)</w:t>
      </w:r>
    </w:p>
    <w:p w14:paraId="3F378285" w14:textId="77777777" w:rsidR="000A7D9D" w:rsidRPr="00F521F8" w:rsidRDefault="000A7D9D" w:rsidP="000A7D9D">
      <w:pPr>
        <w:pStyle w:val="ListParagraph"/>
        <w:numPr>
          <w:ilvl w:val="1"/>
          <w:numId w:val="112"/>
        </w:numPr>
        <w:spacing w:after="160" w:line="259" w:lineRule="auto"/>
        <w:rPr>
          <w:rFonts w:eastAsia="Verdana"/>
          <w:noProof/>
          <w:color w:val="000000" w:themeColor="text1"/>
        </w:rPr>
      </w:pPr>
      <w:r w:rsidRPr="00F521F8">
        <w:rPr>
          <w:rFonts w:eastAsia="Verdana"/>
          <w:noProof/>
          <w:color w:val="000000" w:themeColor="text1"/>
        </w:rPr>
        <w:t xml:space="preserve">1 analyst, expert in chemicals monitoring in charge of supporting substance identification and metadata and data harmonisation (in close collaboration with module coordinators) for 12 months </w:t>
      </w:r>
    </w:p>
    <w:p w14:paraId="4F970D3F" w14:textId="77777777" w:rsidR="000A7D9D" w:rsidRPr="00F521F8" w:rsidRDefault="000A7D9D" w:rsidP="000A7D9D">
      <w:pPr>
        <w:pStyle w:val="ListParagraph"/>
        <w:widowControl w:val="0"/>
        <w:numPr>
          <w:ilvl w:val="1"/>
          <w:numId w:val="112"/>
        </w:numPr>
        <w:spacing w:after="120" w:line="259" w:lineRule="auto"/>
        <w:rPr>
          <w:rFonts w:eastAsia="Verdana"/>
          <w:noProof/>
          <w:color w:val="000000" w:themeColor="text1"/>
        </w:rPr>
      </w:pPr>
      <w:r w:rsidRPr="13AEFEEB">
        <w:rPr>
          <w:rFonts w:eastAsia="Verdana"/>
          <w:noProof/>
          <w:color w:val="000000" w:themeColor="text1"/>
        </w:rPr>
        <w:t>1 regulatory expert to prepare the adoption of more harmonised formats and perform impact assessment (on the common data platform, data providers and modules coordinators) for 12 months</w:t>
      </w:r>
    </w:p>
    <w:p w14:paraId="70E3F70F" w14:textId="77777777" w:rsidR="000A7D9D" w:rsidRPr="00F521F8" w:rsidRDefault="000A7D9D" w:rsidP="000A7D9D">
      <w:pPr>
        <w:tabs>
          <w:tab w:val="num" w:pos="1134"/>
          <w:tab w:val="num" w:pos="720"/>
        </w:tabs>
        <w:spacing w:before="120" w:after="120"/>
        <w:jc w:val="both"/>
        <w:rPr>
          <w:rFonts w:ascii="Times New Roman" w:eastAsia="Verdana" w:hAnsi="Times New Roman" w:cs="Times New Roman"/>
          <w:b/>
          <w:bCs/>
          <w:noProof/>
          <w:color w:val="000000" w:themeColor="text1"/>
          <w:sz w:val="24"/>
          <w:szCs w:val="24"/>
        </w:rPr>
      </w:pPr>
      <w:r w:rsidRPr="13AEFEEB">
        <w:rPr>
          <w:rFonts w:ascii="Times New Roman" w:eastAsia="Verdana" w:hAnsi="Times New Roman" w:cs="Times New Roman"/>
          <w:b/>
          <w:bCs/>
          <w:noProof/>
          <w:color w:val="000000" w:themeColor="text1"/>
          <w:sz w:val="24"/>
          <w:szCs w:val="24"/>
        </w:rPr>
        <w:t>2</w:t>
      </w:r>
      <w:r w:rsidRPr="13AEFEEB">
        <w:rPr>
          <w:rFonts w:ascii="Times New Roman" w:eastAsia="Verdana" w:hAnsi="Times New Roman" w:cs="Times New Roman"/>
          <w:b/>
          <w:bCs/>
          <w:noProof/>
          <w:color w:val="000000" w:themeColor="text1"/>
          <w:sz w:val="24"/>
          <w:szCs w:val="24"/>
          <w:vertAlign w:val="superscript"/>
        </w:rPr>
        <w:t>nd</w:t>
      </w:r>
      <w:r w:rsidRPr="13AEFEEB">
        <w:rPr>
          <w:rFonts w:ascii="Times New Roman" w:eastAsia="Verdana" w:hAnsi="Times New Roman" w:cs="Times New Roman"/>
          <w:b/>
          <w:bCs/>
          <w:noProof/>
          <w:color w:val="000000" w:themeColor="text1"/>
          <w:sz w:val="24"/>
          <w:szCs w:val="24"/>
        </w:rPr>
        <w:t xml:space="preserve"> phase (months 12-36): IPCHEM full integration into the common data platform</w:t>
      </w:r>
    </w:p>
    <w:p w14:paraId="7489FE18" w14:textId="77777777" w:rsidR="000A7D9D" w:rsidRPr="00F521F8" w:rsidRDefault="000A7D9D" w:rsidP="000A7D9D">
      <w:pPr>
        <w:spacing w:before="120" w:after="120"/>
        <w:jc w:val="both"/>
        <w:rPr>
          <w:rFonts w:ascii="Times New Roman" w:eastAsia="Verdana" w:hAnsi="Times New Roman" w:cs="Times New Roman"/>
          <w:noProof/>
          <w:color w:val="000000" w:themeColor="text1"/>
          <w:sz w:val="24"/>
          <w:szCs w:val="24"/>
        </w:rPr>
      </w:pPr>
      <w:r w:rsidRPr="00F521F8">
        <w:rPr>
          <w:rFonts w:ascii="Times New Roman" w:eastAsia="Verdana" w:hAnsi="Times New Roman" w:cs="Times New Roman"/>
          <w:b/>
          <w:bCs/>
          <w:noProof/>
          <w:color w:val="000000" w:themeColor="text1"/>
          <w:sz w:val="24"/>
          <w:szCs w:val="24"/>
        </w:rPr>
        <w:t xml:space="preserve">Aims: </w:t>
      </w:r>
    </w:p>
    <w:p w14:paraId="6CE5E477" w14:textId="77777777" w:rsidR="000A7D9D" w:rsidRPr="00F521F8" w:rsidRDefault="000A7D9D" w:rsidP="000A7D9D">
      <w:pPr>
        <w:pStyle w:val="ListParagraph"/>
        <w:numPr>
          <w:ilvl w:val="0"/>
          <w:numId w:val="115"/>
        </w:numPr>
        <w:spacing w:after="160" w:line="259" w:lineRule="auto"/>
        <w:rPr>
          <w:rFonts w:eastAsia="Verdana"/>
          <w:noProof/>
          <w:color w:val="000000" w:themeColor="text1"/>
        </w:rPr>
      </w:pPr>
      <w:r w:rsidRPr="13AEFEEB">
        <w:rPr>
          <w:rFonts w:eastAsia="Verdana"/>
          <w:noProof/>
          <w:color w:val="000000" w:themeColor="text1"/>
        </w:rPr>
        <w:t>Single interface to IPCHEM data through common data platform</w:t>
      </w:r>
    </w:p>
    <w:p w14:paraId="4A7A8BE9" w14:textId="77777777" w:rsidR="000A7D9D" w:rsidRPr="00F521F8" w:rsidRDefault="000A7D9D" w:rsidP="000A7D9D">
      <w:pPr>
        <w:pStyle w:val="ListParagraph"/>
        <w:numPr>
          <w:ilvl w:val="0"/>
          <w:numId w:val="115"/>
        </w:numPr>
        <w:spacing w:after="160" w:line="259" w:lineRule="auto"/>
        <w:rPr>
          <w:rFonts w:eastAsia="Verdana"/>
          <w:noProof/>
          <w:color w:val="000000" w:themeColor="text1"/>
        </w:rPr>
      </w:pPr>
      <w:r w:rsidRPr="13AEFEEB">
        <w:rPr>
          <w:rFonts w:eastAsia="Verdana"/>
          <w:noProof/>
          <w:color w:val="000000" w:themeColor="text1"/>
        </w:rPr>
        <w:t>IPCHEM functionalities are gradually handed over to the platform</w:t>
      </w:r>
    </w:p>
    <w:p w14:paraId="5A564C06" w14:textId="77777777" w:rsidR="000A7D9D" w:rsidRPr="00F521F8" w:rsidRDefault="000A7D9D" w:rsidP="000A7D9D">
      <w:pPr>
        <w:pStyle w:val="ListParagraph"/>
        <w:numPr>
          <w:ilvl w:val="0"/>
          <w:numId w:val="115"/>
        </w:numPr>
        <w:spacing w:after="160" w:line="259" w:lineRule="auto"/>
        <w:rPr>
          <w:rFonts w:eastAsia="Verdana"/>
          <w:noProof/>
          <w:color w:val="000000" w:themeColor="text1"/>
        </w:rPr>
      </w:pPr>
      <w:r w:rsidRPr="00F521F8">
        <w:rPr>
          <w:rFonts w:eastAsia="Verdana"/>
          <w:noProof/>
          <w:color w:val="000000" w:themeColor="text1"/>
        </w:rPr>
        <w:t>A new governance is put in place incorporating harmonisation and regulatory updates</w:t>
      </w:r>
    </w:p>
    <w:p w14:paraId="3BAF6EFA" w14:textId="77777777" w:rsidR="000A7D9D" w:rsidRPr="00F521F8" w:rsidRDefault="000A7D9D" w:rsidP="000A7D9D">
      <w:pPr>
        <w:pStyle w:val="ListParagraph"/>
        <w:numPr>
          <w:ilvl w:val="0"/>
          <w:numId w:val="115"/>
        </w:numPr>
        <w:spacing w:after="160" w:line="259" w:lineRule="auto"/>
        <w:rPr>
          <w:rFonts w:eastAsia="Verdana"/>
          <w:noProof/>
          <w:color w:val="000000" w:themeColor="text1"/>
        </w:rPr>
      </w:pPr>
      <w:r w:rsidRPr="13AEFEEB">
        <w:rPr>
          <w:rFonts w:eastAsia="Verdana"/>
          <w:noProof/>
          <w:color w:val="000000" w:themeColor="text1"/>
        </w:rPr>
        <w:t xml:space="preserve">Data flow is established between the data providers (agencies) and the platform </w:t>
      </w:r>
    </w:p>
    <w:p w14:paraId="54413CC5" w14:textId="77777777" w:rsidR="000A7D9D" w:rsidRPr="00F521F8" w:rsidRDefault="000A7D9D" w:rsidP="000A7D9D">
      <w:pPr>
        <w:keepNext/>
        <w:spacing w:before="120" w:after="120"/>
        <w:jc w:val="both"/>
        <w:rPr>
          <w:rFonts w:ascii="Times New Roman" w:eastAsia="Verdana" w:hAnsi="Times New Roman" w:cs="Times New Roman"/>
          <w:noProof/>
          <w:color w:val="000000" w:themeColor="text1"/>
          <w:sz w:val="24"/>
          <w:szCs w:val="24"/>
        </w:rPr>
      </w:pPr>
      <w:r w:rsidRPr="00F521F8">
        <w:rPr>
          <w:rFonts w:ascii="Times New Roman" w:eastAsia="Verdana" w:hAnsi="Times New Roman" w:cs="Times New Roman"/>
          <w:b/>
          <w:bCs/>
          <w:noProof/>
          <w:color w:val="000000" w:themeColor="text1"/>
          <w:sz w:val="24"/>
          <w:szCs w:val="24"/>
        </w:rPr>
        <w:t>Tasks</w:t>
      </w:r>
    </w:p>
    <w:p w14:paraId="65C52423" w14:textId="77777777" w:rsidR="000A7D9D" w:rsidRPr="00F521F8" w:rsidRDefault="000A7D9D" w:rsidP="000A7D9D">
      <w:pPr>
        <w:pStyle w:val="ListParagraph"/>
        <w:numPr>
          <w:ilvl w:val="0"/>
          <w:numId w:val="111"/>
        </w:numPr>
        <w:spacing w:after="160" w:line="259" w:lineRule="auto"/>
        <w:rPr>
          <w:rFonts w:eastAsia="Verdana"/>
          <w:noProof/>
          <w:color w:val="000000" w:themeColor="text1"/>
        </w:rPr>
      </w:pPr>
      <w:r w:rsidRPr="13AEFEEB">
        <w:rPr>
          <w:rFonts w:eastAsia="Verdana"/>
          <w:noProof/>
          <w:color w:val="000000" w:themeColor="text1"/>
        </w:rPr>
        <w:t>Supporting the common data platform occurrence data governance implementation and IPCHEM functionalities transfer to the platform</w:t>
      </w:r>
    </w:p>
    <w:p w14:paraId="570832FF" w14:textId="77777777" w:rsidR="000A7D9D" w:rsidRPr="00F521F8" w:rsidRDefault="000A7D9D" w:rsidP="000A7D9D">
      <w:pPr>
        <w:pStyle w:val="ListParagraph"/>
        <w:numPr>
          <w:ilvl w:val="1"/>
          <w:numId w:val="111"/>
        </w:numPr>
        <w:spacing w:after="160" w:line="259" w:lineRule="auto"/>
        <w:rPr>
          <w:rFonts w:eastAsia="Verdana"/>
          <w:noProof/>
          <w:color w:val="000000" w:themeColor="text1"/>
        </w:rPr>
      </w:pPr>
      <w:r w:rsidRPr="00F521F8">
        <w:rPr>
          <w:rFonts w:eastAsia="Verdana"/>
          <w:noProof/>
          <w:color w:val="000000" w:themeColor="text1"/>
        </w:rPr>
        <w:t>Data Management</w:t>
      </w:r>
    </w:p>
    <w:p w14:paraId="70994A22" w14:textId="77777777" w:rsidR="000A7D9D" w:rsidRPr="00F521F8" w:rsidRDefault="000A7D9D" w:rsidP="000A7D9D">
      <w:pPr>
        <w:pStyle w:val="ListParagraph"/>
        <w:numPr>
          <w:ilvl w:val="2"/>
          <w:numId w:val="111"/>
        </w:numPr>
        <w:spacing w:after="160" w:line="259" w:lineRule="auto"/>
        <w:rPr>
          <w:rFonts w:eastAsia="Verdana"/>
          <w:noProof/>
          <w:color w:val="000000" w:themeColor="text1"/>
        </w:rPr>
      </w:pPr>
      <w:r w:rsidRPr="00F521F8">
        <w:rPr>
          <w:rFonts w:eastAsia="Verdana"/>
          <w:noProof/>
          <w:color w:val="000000" w:themeColor="text1"/>
        </w:rPr>
        <w:t>Defining a new data governance</w:t>
      </w:r>
    </w:p>
    <w:p w14:paraId="43BDF0F7" w14:textId="77777777" w:rsidR="000A7D9D" w:rsidRPr="00F521F8" w:rsidRDefault="000A7D9D" w:rsidP="000A7D9D">
      <w:pPr>
        <w:pStyle w:val="ListParagraph"/>
        <w:numPr>
          <w:ilvl w:val="2"/>
          <w:numId w:val="111"/>
        </w:numPr>
        <w:spacing w:after="160" w:line="259" w:lineRule="auto"/>
        <w:rPr>
          <w:rFonts w:eastAsia="Verdana"/>
          <w:noProof/>
          <w:color w:val="000000" w:themeColor="text1"/>
        </w:rPr>
      </w:pPr>
      <w:r w:rsidRPr="00F521F8">
        <w:rPr>
          <w:rFonts w:eastAsia="Verdana"/>
          <w:noProof/>
          <w:color w:val="000000" w:themeColor="text1"/>
        </w:rPr>
        <w:t>Defining a new data policy</w:t>
      </w:r>
    </w:p>
    <w:p w14:paraId="68D1FBE2" w14:textId="77777777" w:rsidR="000A7D9D" w:rsidRPr="00F521F8" w:rsidRDefault="000A7D9D" w:rsidP="000A7D9D">
      <w:pPr>
        <w:pStyle w:val="ListParagraph"/>
        <w:numPr>
          <w:ilvl w:val="2"/>
          <w:numId w:val="111"/>
        </w:numPr>
        <w:spacing w:after="160" w:line="259" w:lineRule="auto"/>
        <w:rPr>
          <w:rFonts w:eastAsia="Verdana"/>
          <w:noProof/>
          <w:color w:val="000000" w:themeColor="text1"/>
        </w:rPr>
      </w:pPr>
      <w:r w:rsidRPr="00F521F8">
        <w:rPr>
          <w:rFonts w:eastAsia="Verdana"/>
          <w:noProof/>
          <w:color w:val="000000" w:themeColor="text1"/>
        </w:rPr>
        <w:t>Planning IPCHEM data management handover</w:t>
      </w:r>
    </w:p>
    <w:p w14:paraId="5AB90A3B" w14:textId="77777777" w:rsidR="000A7D9D" w:rsidRPr="00F521F8" w:rsidRDefault="000A7D9D" w:rsidP="000A7D9D">
      <w:pPr>
        <w:pStyle w:val="ListParagraph"/>
        <w:numPr>
          <w:ilvl w:val="1"/>
          <w:numId w:val="111"/>
        </w:numPr>
        <w:spacing w:after="160" w:line="259" w:lineRule="auto"/>
        <w:rPr>
          <w:rFonts w:eastAsia="Verdana"/>
          <w:noProof/>
          <w:color w:val="000000" w:themeColor="text1"/>
        </w:rPr>
      </w:pPr>
      <w:r w:rsidRPr="00F521F8">
        <w:rPr>
          <w:rFonts w:eastAsia="Verdana"/>
          <w:noProof/>
          <w:color w:val="000000" w:themeColor="text1"/>
        </w:rPr>
        <w:t>Implementation</w:t>
      </w:r>
    </w:p>
    <w:p w14:paraId="07CA6050" w14:textId="77777777" w:rsidR="000A7D9D" w:rsidRPr="00F521F8" w:rsidRDefault="000A7D9D" w:rsidP="000A7D9D">
      <w:pPr>
        <w:pStyle w:val="ListParagraph"/>
        <w:numPr>
          <w:ilvl w:val="2"/>
          <w:numId w:val="111"/>
        </w:numPr>
        <w:spacing w:after="160" w:line="259" w:lineRule="auto"/>
        <w:rPr>
          <w:rFonts w:eastAsia="Verdana"/>
          <w:noProof/>
          <w:color w:val="000000" w:themeColor="text1"/>
        </w:rPr>
      </w:pPr>
      <w:r w:rsidRPr="13AEFEEB">
        <w:rPr>
          <w:rFonts w:eastAsia="Verdana"/>
          <w:noProof/>
          <w:color w:val="000000" w:themeColor="text1"/>
        </w:rPr>
        <w:t>Supporting the implementation of IPCHEM functionalities in the platform, including the rebuilding of the user interface with up-to-date technologies, to best address the platform's uses cases involving the monitoring (occurrence) data;</w:t>
      </w:r>
    </w:p>
    <w:p w14:paraId="79DD9F98" w14:textId="77777777" w:rsidR="000A7D9D" w:rsidRPr="00F521F8" w:rsidRDefault="000A7D9D" w:rsidP="000A7D9D">
      <w:pPr>
        <w:pStyle w:val="ListParagraph"/>
        <w:numPr>
          <w:ilvl w:val="2"/>
          <w:numId w:val="111"/>
        </w:numPr>
        <w:spacing w:after="160" w:line="259" w:lineRule="auto"/>
        <w:rPr>
          <w:rFonts w:eastAsia="Verdana"/>
          <w:noProof/>
          <w:color w:val="000000" w:themeColor="text1"/>
        </w:rPr>
      </w:pPr>
      <w:r w:rsidRPr="00F521F8">
        <w:rPr>
          <w:rFonts w:eastAsia="Verdana"/>
          <w:noProof/>
          <w:color w:val="000000" w:themeColor="text1"/>
        </w:rPr>
        <w:t>Implementing IPCHEM data management handover</w:t>
      </w:r>
    </w:p>
    <w:p w14:paraId="464095CF" w14:textId="77777777" w:rsidR="000A7D9D" w:rsidRPr="00F521F8" w:rsidRDefault="000A7D9D" w:rsidP="000A7D9D">
      <w:pPr>
        <w:pStyle w:val="ListParagraph"/>
        <w:numPr>
          <w:ilvl w:val="1"/>
          <w:numId w:val="111"/>
        </w:numPr>
        <w:spacing w:after="160" w:line="259" w:lineRule="auto"/>
        <w:rPr>
          <w:rFonts w:eastAsia="Verdana"/>
          <w:noProof/>
          <w:color w:val="000000" w:themeColor="text1"/>
        </w:rPr>
      </w:pPr>
      <w:r w:rsidRPr="00F521F8">
        <w:rPr>
          <w:rFonts w:eastAsia="Verdana"/>
          <w:noProof/>
          <w:color w:val="000000" w:themeColor="text1"/>
        </w:rPr>
        <w:t>Testing</w:t>
      </w:r>
    </w:p>
    <w:p w14:paraId="36C00F53" w14:textId="77777777" w:rsidR="000A7D9D" w:rsidRPr="00F521F8" w:rsidRDefault="000A7D9D" w:rsidP="000A7D9D">
      <w:pPr>
        <w:pStyle w:val="ListParagraph"/>
        <w:numPr>
          <w:ilvl w:val="1"/>
          <w:numId w:val="111"/>
        </w:numPr>
        <w:spacing w:after="160" w:line="259" w:lineRule="auto"/>
        <w:rPr>
          <w:rFonts w:eastAsia="Verdana"/>
          <w:noProof/>
          <w:color w:val="000000" w:themeColor="text1"/>
        </w:rPr>
      </w:pPr>
      <w:r w:rsidRPr="00F521F8">
        <w:rPr>
          <w:rFonts w:eastAsia="Verdana"/>
          <w:noProof/>
          <w:color w:val="000000" w:themeColor="text1"/>
        </w:rPr>
        <w:t>Maintenance/Servicing</w:t>
      </w:r>
    </w:p>
    <w:p w14:paraId="0118B6ED" w14:textId="77777777" w:rsidR="000A7D9D" w:rsidRPr="00F521F8" w:rsidRDefault="000A7D9D" w:rsidP="000A7D9D">
      <w:pPr>
        <w:pStyle w:val="ListParagraph"/>
        <w:numPr>
          <w:ilvl w:val="2"/>
          <w:numId w:val="111"/>
        </w:numPr>
        <w:spacing w:after="160" w:line="259" w:lineRule="auto"/>
        <w:rPr>
          <w:rFonts w:eastAsia="Verdana"/>
          <w:noProof/>
          <w:color w:val="000000" w:themeColor="text1"/>
        </w:rPr>
      </w:pPr>
      <w:r w:rsidRPr="13AEFEEB">
        <w:rPr>
          <w:rFonts w:eastAsia="Verdana"/>
          <w:noProof/>
          <w:color w:val="000000" w:themeColor="text1"/>
        </w:rPr>
        <w:t>Provisioning of support to data providers for transitioning to platform data submission</w:t>
      </w:r>
    </w:p>
    <w:p w14:paraId="2C2E586C" w14:textId="77777777" w:rsidR="000A7D9D" w:rsidRPr="00F521F8" w:rsidRDefault="000A7D9D" w:rsidP="000A7D9D">
      <w:pPr>
        <w:pStyle w:val="ListParagraph"/>
        <w:numPr>
          <w:ilvl w:val="0"/>
          <w:numId w:val="111"/>
        </w:numPr>
        <w:spacing w:after="160" w:line="259" w:lineRule="auto"/>
        <w:rPr>
          <w:rFonts w:eastAsia="Verdana"/>
          <w:noProof/>
          <w:color w:val="000000" w:themeColor="text1"/>
        </w:rPr>
      </w:pPr>
      <w:r w:rsidRPr="00F521F8">
        <w:rPr>
          <w:rFonts w:eastAsia="Verdana"/>
          <w:noProof/>
          <w:color w:val="000000" w:themeColor="text1"/>
        </w:rPr>
        <w:t xml:space="preserve"> Implementing more rich and FAIR metadata and data formats</w:t>
      </w:r>
    </w:p>
    <w:p w14:paraId="0902F52A" w14:textId="77777777" w:rsidR="000A7D9D" w:rsidRPr="00F521F8" w:rsidRDefault="000A7D9D" w:rsidP="000A7D9D">
      <w:pPr>
        <w:pStyle w:val="ListParagraph"/>
        <w:numPr>
          <w:ilvl w:val="1"/>
          <w:numId w:val="111"/>
        </w:numPr>
        <w:spacing w:after="160" w:line="259" w:lineRule="auto"/>
        <w:rPr>
          <w:rFonts w:eastAsia="Verdana"/>
          <w:noProof/>
          <w:color w:val="000000" w:themeColor="text1"/>
        </w:rPr>
      </w:pPr>
      <w:r w:rsidRPr="00F521F8">
        <w:rPr>
          <w:rFonts w:eastAsia="Verdana"/>
          <w:noProof/>
          <w:color w:val="000000" w:themeColor="text1"/>
        </w:rPr>
        <w:t>Supporting ECHA in the design</w:t>
      </w:r>
    </w:p>
    <w:p w14:paraId="518407A3" w14:textId="77777777" w:rsidR="000A7D9D" w:rsidRPr="00F521F8" w:rsidRDefault="000A7D9D" w:rsidP="000A7D9D">
      <w:pPr>
        <w:pStyle w:val="ListParagraph"/>
        <w:numPr>
          <w:ilvl w:val="0"/>
          <w:numId w:val="111"/>
        </w:numPr>
        <w:spacing w:after="160" w:line="259" w:lineRule="auto"/>
        <w:rPr>
          <w:rFonts w:eastAsia="Verdana"/>
          <w:noProof/>
          <w:color w:val="000000" w:themeColor="text1"/>
        </w:rPr>
      </w:pPr>
      <w:r w:rsidRPr="13AEFEEB">
        <w:rPr>
          <w:rFonts w:eastAsia="Verdana"/>
          <w:noProof/>
          <w:color w:val="000000" w:themeColor="text1"/>
        </w:rPr>
        <w:t xml:space="preserve"> Implementing business analytics features, starting from the platform’s use cases involving the monitoring data </w:t>
      </w:r>
    </w:p>
    <w:p w14:paraId="5125E353" w14:textId="77777777" w:rsidR="000A7D9D" w:rsidRPr="00F521F8" w:rsidRDefault="000A7D9D" w:rsidP="000A7D9D">
      <w:pPr>
        <w:pStyle w:val="ListParagraph"/>
        <w:numPr>
          <w:ilvl w:val="1"/>
          <w:numId w:val="111"/>
        </w:numPr>
        <w:spacing w:after="120" w:line="259" w:lineRule="auto"/>
        <w:rPr>
          <w:rFonts w:eastAsia="Verdana"/>
          <w:noProof/>
          <w:color w:val="000000" w:themeColor="text1"/>
        </w:rPr>
      </w:pPr>
      <w:r w:rsidRPr="00F521F8">
        <w:rPr>
          <w:rFonts w:eastAsia="Verdana"/>
          <w:noProof/>
          <w:color w:val="000000" w:themeColor="text1"/>
        </w:rPr>
        <w:t>Supporting ECHA in the design</w:t>
      </w:r>
    </w:p>
    <w:p w14:paraId="358EC6E9" w14:textId="77777777" w:rsidR="000A7D9D" w:rsidRPr="00F521F8" w:rsidRDefault="000A7D9D" w:rsidP="000A7D9D">
      <w:pPr>
        <w:keepNext/>
        <w:spacing w:before="120" w:after="120"/>
        <w:jc w:val="both"/>
        <w:rPr>
          <w:rFonts w:ascii="Times New Roman" w:eastAsia="Verdana" w:hAnsi="Times New Roman" w:cs="Times New Roman"/>
          <w:noProof/>
          <w:color w:val="000000" w:themeColor="text1"/>
          <w:sz w:val="24"/>
          <w:szCs w:val="24"/>
        </w:rPr>
      </w:pPr>
      <w:r w:rsidRPr="00F521F8">
        <w:rPr>
          <w:rFonts w:ascii="Times New Roman" w:eastAsia="Verdana" w:hAnsi="Times New Roman" w:cs="Times New Roman"/>
          <w:b/>
          <w:bCs/>
          <w:noProof/>
          <w:color w:val="000000" w:themeColor="text1"/>
          <w:sz w:val="24"/>
          <w:szCs w:val="24"/>
        </w:rPr>
        <w:t>Resource needs 2</w:t>
      </w:r>
      <w:r w:rsidRPr="00F521F8">
        <w:rPr>
          <w:rFonts w:ascii="Times New Roman" w:eastAsia="Verdana" w:hAnsi="Times New Roman" w:cs="Times New Roman"/>
          <w:b/>
          <w:bCs/>
          <w:noProof/>
          <w:color w:val="000000" w:themeColor="text1"/>
          <w:sz w:val="24"/>
          <w:szCs w:val="24"/>
          <w:vertAlign w:val="superscript"/>
        </w:rPr>
        <w:t>nd</w:t>
      </w:r>
      <w:r w:rsidRPr="00F521F8">
        <w:rPr>
          <w:rFonts w:ascii="Times New Roman" w:eastAsia="Verdana" w:hAnsi="Times New Roman" w:cs="Times New Roman"/>
          <w:b/>
          <w:bCs/>
          <w:noProof/>
          <w:color w:val="000000" w:themeColor="text1"/>
          <w:sz w:val="24"/>
          <w:szCs w:val="24"/>
        </w:rPr>
        <w:t xml:space="preserve"> phase</w:t>
      </w:r>
    </w:p>
    <w:p w14:paraId="4171B7BB" w14:textId="77777777" w:rsidR="000A7D9D" w:rsidRPr="00F521F8" w:rsidRDefault="000A7D9D" w:rsidP="000A7D9D">
      <w:pPr>
        <w:pStyle w:val="ListParagraph"/>
        <w:numPr>
          <w:ilvl w:val="0"/>
          <w:numId w:val="113"/>
        </w:numPr>
        <w:spacing w:after="160" w:line="259" w:lineRule="auto"/>
        <w:rPr>
          <w:rFonts w:eastAsia="Verdana"/>
          <w:noProof/>
          <w:color w:val="000000" w:themeColor="text1"/>
        </w:rPr>
      </w:pPr>
      <w:r w:rsidRPr="00F521F8">
        <w:rPr>
          <w:rFonts w:eastAsia="Verdana"/>
          <w:noProof/>
          <w:color w:val="000000" w:themeColor="text1"/>
        </w:rPr>
        <w:t>Platform development (100K)</w:t>
      </w:r>
    </w:p>
    <w:p w14:paraId="42A247AB" w14:textId="77777777" w:rsidR="000A7D9D" w:rsidRPr="00F521F8" w:rsidRDefault="000A7D9D" w:rsidP="000A7D9D">
      <w:pPr>
        <w:pStyle w:val="ListParagraph"/>
        <w:numPr>
          <w:ilvl w:val="1"/>
          <w:numId w:val="110"/>
        </w:numPr>
        <w:spacing w:after="160" w:line="259" w:lineRule="auto"/>
        <w:rPr>
          <w:rFonts w:eastAsia="Verdana"/>
          <w:noProof/>
          <w:color w:val="000000" w:themeColor="text1"/>
        </w:rPr>
      </w:pPr>
      <w:r w:rsidRPr="13AEFEEB">
        <w:rPr>
          <w:rFonts w:eastAsia="Verdana"/>
          <w:noProof/>
          <w:color w:val="000000" w:themeColor="text1"/>
        </w:rPr>
        <w:t xml:space="preserve">1 developer full time for 18 months for fully integrating IPCHEM metadata and data into the common data platform  </w:t>
      </w:r>
    </w:p>
    <w:p w14:paraId="66A43094" w14:textId="77777777" w:rsidR="000A7D9D" w:rsidRPr="00F521F8" w:rsidRDefault="000A7D9D" w:rsidP="000A7D9D">
      <w:pPr>
        <w:pStyle w:val="ListParagraph"/>
        <w:numPr>
          <w:ilvl w:val="0"/>
          <w:numId w:val="113"/>
        </w:numPr>
        <w:spacing w:after="160" w:line="259" w:lineRule="auto"/>
        <w:rPr>
          <w:rFonts w:eastAsia="Verdana"/>
          <w:noProof/>
          <w:color w:val="000000" w:themeColor="text1"/>
        </w:rPr>
      </w:pPr>
      <w:r w:rsidRPr="00F521F8">
        <w:rPr>
          <w:rFonts w:eastAsia="Verdana"/>
          <w:noProof/>
          <w:color w:val="000000" w:themeColor="text1"/>
        </w:rPr>
        <w:t>Dataset preparation (220K)</w:t>
      </w:r>
    </w:p>
    <w:p w14:paraId="43E88637" w14:textId="77777777" w:rsidR="000A7D9D" w:rsidRPr="00F521F8" w:rsidRDefault="000A7D9D" w:rsidP="000A7D9D">
      <w:pPr>
        <w:pStyle w:val="ListParagraph"/>
        <w:numPr>
          <w:ilvl w:val="1"/>
          <w:numId w:val="110"/>
        </w:numPr>
        <w:spacing w:after="160" w:line="259" w:lineRule="auto"/>
        <w:rPr>
          <w:rFonts w:eastAsia="Verdana"/>
          <w:noProof/>
          <w:color w:val="000000" w:themeColor="text1"/>
        </w:rPr>
      </w:pPr>
      <w:r w:rsidRPr="00F521F8">
        <w:rPr>
          <w:rFonts w:eastAsia="Verdana"/>
          <w:noProof/>
          <w:color w:val="000000" w:themeColor="text1"/>
        </w:rPr>
        <w:t>1 data analyst, expert in chemicals monitoring, in charge of enhancing the IPCHEM metadata and data formats (i.e. to make metadata and data more rich and FAIR), for 24 months</w:t>
      </w:r>
    </w:p>
    <w:p w14:paraId="4A71CDC3" w14:textId="77777777" w:rsidR="000A7D9D" w:rsidRPr="00F521F8" w:rsidRDefault="000A7D9D" w:rsidP="000A7D9D">
      <w:pPr>
        <w:pStyle w:val="ListParagraph"/>
        <w:widowControl w:val="0"/>
        <w:numPr>
          <w:ilvl w:val="1"/>
          <w:numId w:val="110"/>
        </w:numPr>
        <w:spacing w:after="120" w:line="259" w:lineRule="auto"/>
        <w:rPr>
          <w:rFonts w:eastAsia="Verdana"/>
          <w:noProof/>
          <w:color w:val="000000" w:themeColor="text1"/>
        </w:rPr>
      </w:pPr>
      <w:r w:rsidRPr="00F521F8">
        <w:rPr>
          <w:rFonts w:eastAsia="Verdana"/>
          <w:noProof/>
          <w:color w:val="000000" w:themeColor="text1"/>
        </w:rPr>
        <w:t>1 regulatory expert to prepare full transfer of the data management process (data policy, governance, data flows, etc.), for 18 months</w:t>
      </w:r>
    </w:p>
    <w:p w14:paraId="0AEF8D42" w14:textId="77777777" w:rsidR="000A7D9D" w:rsidRPr="00F521F8" w:rsidRDefault="000A7D9D" w:rsidP="000A7D9D">
      <w:pPr>
        <w:spacing w:after="120"/>
        <w:jc w:val="both"/>
        <w:rPr>
          <w:rStyle w:val="eop"/>
          <w:noProof/>
          <w:color w:val="000000" w:themeColor="text1"/>
        </w:rPr>
      </w:pPr>
      <w:r w:rsidRPr="00F521F8">
        <w:rPr>
          <w:rFonts w:ascii="Times New Roman" w:hAnsi="Times New Roman" w:cs="Times New Roman"/>
          <w:b/>
          <w:bCs/>
          <w:noProof/>
          <w:sz w:val="24"/>
          <w:szCs w:val="24"/>
        </w:rPr>
        <w:t xml:space="preserve">Proximity to agencies’ mandate: </w:t>
      </w:r>
    </w:p>
    <w:p w14:paraId="230AC12B" w14:textId="77777777" w:rsidR="000A7D9D" w:rsidRPr="00F521F8" w:rsidRDefault="000A7D9D" w:rsidP="000A7D9D">
      <w:pPr>
        <w:pStyle w:val="ListParagraph"/>
        <w:numPr>
          <w:ilvl w:val="0"/>
          <w:numId w:val="2"/>
        </w:numPr>
        <w:spacing w:after="120"/>
        <w:jc w:val="both"/>
        <w:rPr>
          <w:rStyle w:val="eop"/>
          <w:noProof/>
          <w:color w:val="000000" w:themeColor="text1"/>
        </w:rPr>
      </w:pPr>
      <w:r w:rsidRPr="00F521F8">
        <w:rPr>
          <w:rStyle w:val="normaltextrun"/>
          <w:noProof/>
          <w:shd w:val="clear" w:color="auto" w:fill="FFFFFF"/>
        </w:rPr>
        <w:t>While ECHA’s core mandate is focused on the safety assessment of chemicals,</w:t>
      </w:r>
      <w:r w:rsidRPr="00F521F8">
        <w:rPr>
          <w:rStyle w:val="normaltextrun"/>
          <w:bCs/>
          <w:noProof/>
          <w:shd w:val="clear" w:color="auto" w:fill="FFFFFF"/>
        </w:rPr>
        <w:t xml:space="preserve"> </w:t>
      </w:r>
      <w:r w:rsidRPr="00F521F8">
        <w:rPr>
          <w:rStyle w:val="normaltextrun"/>
          <w:noProof/>
          <w:shd w:val="clear" w:color="auto" w:fill="FFFFFF"/>
        </w:rPr>
        <w:t>ECHA’s mandate includes the dissemination of information on chemicals. A better sharing of data between EU authorities can contribute to the success of ECHA’s core mandate.</w:t>
      </w:r>
      <w:r w:rsidRPr="00F521F8">
        <w:rPr>
          <w:rStyle w:val="eop"/>
          <w:noProof/>
          <w:color w:val="000000"/>
          <w:shd w:val="clear" w:color="auto" w:fill="FFFFFF"/>
        </w:rPr>
        <w:t xml:space="preserve"> As ECHA is tasked to operate the common data platform on chemicals, the operation of IPCHEM and its integration into that platform fit well with ECHA existing tasks. </w:t>
      </w:r>
    </w:p>
    <w:p w14:paraId="6EA15E31" w14:textId="77777777" w:rsidR="000A7D9D" w:rsidRPr="00F521F8" w:rsidRDefault="000A7D9D" w:rsidP="000A7D9D">
      <w:pPr>
        <w:pStyle w:val="ListParagraph"/>
        <w:numPr>
          <w:ilvl w:val="0"/>
          <w:numId w:val="2"/>
        </w:numPr>
        <w:spacing w:after="120"/>
        <w:jc w:val="both"/>
        <w:rPr>
          <w:rStyle w:val="eop"/>
          <w:noProof/>
          <w:color w:val="000000" w:themeColor="text1"/>
        </w:rPr>
      </w:pPr>
      <w:r w:rsidRPr="00F521F8">
        <w:rPr>
          <w:rStyle w:val="eop"/>
          <w:noProof/>
          <w:color w:val="000000"/>
          <w:shd w:val="clear" w:color="auto" w:fill="FFFFFF"/>
        </w:rPr>
        <w:t xml:space="preserve">EEA already acts as a module coordinator for human biomonitoring and thus hosting of human biomonitoring data would fit with the existing mandate of EEA. Hosting human biomonitoring data, environmental monitoring data and indoor air quality data fits well into EEA work on human health and the environment, as the data provides a good basis for the assessment of environmental impacts on human health. </w:t>
      </w:r>
    </w:p>
    <w:p w14:paraId="3FA77A42" w14:textId="77777777" w:rsidR="000A7D9D" w:rsidRPr="00F521F8" w:rsidRDefault="000A7D9D" w:rsidP="000A7D9D">
      <w:pPr>
        <w:pStyle w:val="ListParagraph"/>
        <w:numPr>
          <w:ilvl w:val="0"/>
          <w:numId w:val="2"/>
        </w:numPr>
        <w:spacing w:after="120"/>
        <w:jc w:val="both"/>
        <w:rPr>
          <w:rStyle w:val="eop"/>
          <w:noProof/>
          <w:color w:val="000000" w:themeColor="text1"/>
        </w:rPr>
      </w:pPr>
      <w:r w:rsidRPr="00F521F8">
        <w:rPr>
          <w:rStyle w:val="eop"/>
          <w:noProof/>
          <w:color w:val="000000"/>
          <w:shd w:val="clear" w:color="auto" w:fill="FFFFFF"/>
        </w:rPr>
        <w:t xml:space="preserve">ECHA is currently performing scientific assessments underpinning the </w:t>
      </w:r>
      <w:r w:rsidRPr="120044EF">
        <w:rPr>
          <w:rStyle w:val="eop"/>
          <w:noProof/>
          <w:color w:val="000000" w:themeColor="text1"/>
        </w:rPr>
        <w:t xml:space="preserve">setting of </w:t>
      </w:r>
      <w:r w:rsidRPr="00F521F8">
        <w:rPr>
          <w:rStyle w:val="eop"/>
          <w:noProof/>
          <w:color w:val="000000"/>
          <w:shd w:val="clear" w:color="auto" w:fill="FFFFFF"/>
        </w:rPr>
        <w:t xml:space="preserve">occupational exposure limit values </w:t>
      </w:r>
      <w:r w:rsidRPr="120044EF">
        <w:rPr>
          <w:rStyle w:val="eop"/>
          <w:noProof/>
          <w:color w:val="000000" w:themeColor="text1"/>
        </w:rPr>
        <w:t>so</w:t>
      </w:r>
      <w:r w:rsidRPr="00F521F8">
        <w:rPr>
          <w:rStyle w:val="eop"/>
          <w:noProof/>
          <w:color w:val="000000"/>
          <w:shd w:val="clear" w:color="auto" w:fill="FFFFFF"/>
        </w:rPr>
        <w:t xml:space="preserve"> hosting occupational monitoring data fits well with its mandate. </w:t>
      </w:r>
    </w:p>
    <w:p w14:paraId="170A0494" w14:textId="77777777" w:rsidR="000A7D9D" w:rsidRPr="00F521F8" w:rsidRDefault="000A7D9D" w:rsidP="000A7D9D">
      <w:pPr>
        <w:spacing w:after="120"/>
        <w:rPr>
          <w:rFonts w:ascii="Times New Roman" w:hAnsi="Times New Roman" w:cs="Times New Roman"/>
          <w:b/>
          <w:bCs/>
          <w:noProof/>
          <w:sz w:val="24"/>
          <w:szCs w:val="24"/>
        </w:rPr>
      </w:pPr>
      <w:r w:rsidRPr="13AEFEEB">
        <w:rPr>
          <w:rFonts w:ascii="Times New Roman" w:hAnsi="Times New Roman" w:cs="Times New Roman"/>
          <w:b/>
          <w:bCs/>
          <w:noProof/>
          <w:sz w:val="24"/>
          <w:szCs w:val="24"/>
        </w:rPr>
        <w:t>Projected synergies and added value of (re-)attribution:</w:t>
      </w:r>
    </w:p>
    <w:tbl>
      <w:tblPr>
        <w:tblStyle w:val="TableGrid18"/>
        <w:tblW w:w="0" w:type="auto"/>
        <w:tblLook w:val="04A0" w:firstRow="1" w:lastRow="0" w:firstColumn="1" w:lastColumn="0" w:noHBand="0" w:noVBand="1"/>
      </w:tblPr>
      <w:tblGrid>
        <w:gridCol w:w="1729"/>
        <w:gridCol w:w="1116"/>
        <w:gridCol w:w="6784"/>
      </w:tblGrid>
      <w:tr w:rsidR="000A7D9D" w:rsidRPr="00F521F8" w14:paraId="0C46D458"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tcPr>
          <w:p w14:paraId="765E69FE" w14:textId="77777777" w:rsidR="000A7D9D" w:rsidRPr="00F521F8" w:rsidRDefault="000A7D9D" w:rsidP="00F31937">
            <w:pPr>
              <w:spacing w:before="120" w:after="120"/>
              <w:rPr>
                <w:rFonts w:ascii="Times New Roman" w:hAnsi="Times New Roman"/>
                <w:b/>
                <w:bCs/>
                <w:noProof/>
                <w:color w:val="4472C4" w:themeColor="accent1"/>
                <w:sz w:val="24"/>
                <w:szCs w:val="24"/>
              </w:rPr>
            </w:pPr>
            <w:r w:rsidRPr="00F521F8">
              <w:rPr>
                <w:rFonts w:ascii="Times New Roman" w:hAnsi="Times New Roman"/>
                <w:b/>
                <w:bCs/>
                <w:noProof/>
                <w:color w:val="4472C4" w:themeColor="accent1"/>
                <w:sz w:val="24"/>
                <w:szCs w:val="24"/>
              </w:rPr>
              <w:t>Type</w:t>
            </w:r>
          </w:p>
        </w:tc>
        <w:tc>
          <w:tcPr>
            <w:tcW w:w="7900" w:type="dxa"/>
            <w:gridSpan w:val="2"/>
            <w:tcBorders>
              <w:top w:val="single" w:sz="4" w:space="0" w:color="auto"/>
              <w:left w:val="single" w:sz="4" w:space="0" w:color="auto"/>
              <w:bottom w:val="single" w:sz="4" w:space="0" w:color="auto"/>
              <w:right w:val="single" w:sz="4" w:space="0" w:color="auto"/>
            </w:tcBorders>
          </w:tcPr>
          <w:p w14:paraId="1F153960" w14:textId="77777777" w:rsidR="000A7D9D" w:rsidRPr="00F521F8" w:rsidRDefault="000A7D9D" w:rsidP="00F31937">
            <w:pPr>
              <w:spacing w:before="120" w:after="120"/>
              <w:rPr>
                <w:rFonts w:ascii="Times New Roman" w:hAnsi="Times New Roman"/>
                <w:b/>
                <w:bCs/>
                <w:noProof/>
                <w:color w:val="4472C4" w:themeColor="accent1"/>
                <w:sz w:val="24"/>
                <w:szCs w:val="24"/>
              </w:rPr>
            </w:pPr>
            <w:r w:rsidRPr="00F521F8">
              <w:rPr>
                <w:rFonts w:ascii="Times New Roman" w:hAnsi="Times New Roman"/>
                <w:b/>
                <w:bCs/>
                <w:noProof/>
                <w:color w:val="4472C4" w:themeColor="accent1"/>
                <w:sz w:val="24"/>
                <w:szCs w:val="24"/>
              </w:rPr>
              <w:t>Synergies</w:t>
            </w:r>
          </w:p>
        </w:tc>
      </w:tr>
      <w:tr w:rsidR="000A7D9D" w:rsidRPr="00F521F8" w14:paraId="4ED2E8BF"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tcPr>
          <w:p w14:paraId="144CFDDA" w14:textId="77777777" w:rsidR="000A7D9D" w:rsidRPr="00F521F8" w:rsidRDefault="000A7D9D" w:rsidP="00F31937">
            <w:pPr>
              <w:spacing w:before="120" w:after="120"/>
              <w:rPr>
                <w:rFonts w:ascii="Times New Roman" w:hAnsi="Times New Roman"/>
                <w:b/>
                <w:bCs/>
                <w:noProof/>
                <w:color w:val="000000" w:themeColor="text1"/>
                <w:sz w:val="24"/>
                <w:szCs w:val="24"/>
              </w:rPr>
            </w:pPr>
            <w:r w:rsidRPr="00F521F8">
              <w:rPr>
                <w:rFonts w:ascii="Times New Roman" w:hAnsi="Times New Roman"/>
                <w:b/>
                <w:bCs/>
                <w:noProof/>
                <w:color w:val="000000" w:themeColor="text1"/>
                <w:sz w:val="24"/>
                <w:szCs w:val="24"/>
              </w:rPr>
              <w:t>Reuse of capabilities</w:t>
            </w:r>
          </w:p>
        </w:tc>
        <w:tc>
          <w:tcPr>
            <w:tcW w:w="1116" w:type="dxa"/>
            <w:tcBorders>
              <w:top w:val="single" w:sz="4" w:space="0" w:color="auto"/>
              <w:left w:val="single" w:sz="4" w:space="0" w:color="auto"/>
              <w:bottom w:val="single" w:sz="4" w:space="0" w:color="auto"/>
              <w:right w:val="single" w:sz="4" w:space="0" w:color="auto"/>
            </w:tcBorders>
          </w:tcPr>
          <w:p w14:paraId="68B34B6A" w14:textId="77777777" w:rsidR="000A7D9D" w:rsidRPr="00F521F8" w:rsidRDefault="000A7D9D" w:rsidP="00F31937">
            <w:pPr>
              <w:spacing w:before="120" w:after="120"/>
              <w:rPr>
                <w:rFonts w:ascii="Times New Roman" w:hAnsi="Times New Roman"/>
                <w:noProof/>
                <w:color w:val="000000" w:themeColor="text1"/>
                <w:sz w:val="24"/>
                <w:szCs w:val="24"/>
              </w:rPr>
            </w:pPr>
            <w:r w:rsidRPr="00F521F8">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tcPr>
          <w:p w14:paraId="41611CB1" w14:textId="77777777" w:rsidR="000A7D9D" w:rsidRPr="00F521F8" w:rsidRDefault="000A7D9D" w:rsidP="00F31937">
            <w:pPr>
              <w:spacing w:before="120" w:after="120"/>
              <w:rPr>
                <w:rFonts w:ascii="Times New Roman" w:hAnsi="Times New Roman"/>
                <w:noProof/>
                <w:color w:val="000000" w:themeColor="text1"/>
                <w:sz w:val="24"/>
                <w:szCs w:val="24"/>
              </w:rPr>
            </w:pPr>
            <w:r w:rsidRPr="00F521F8">
              <w:rPr>
                <w:rFonts w:ascii="Times New Roman" w:hAnsi="Times New Roman"/>
                <w:noProof/>
                <w:color w:val="000000" w:themeColor="text1"/>
                <w:sz w:val="24"/>
                <w:szCs w:val="24"/>
              </w:rPr>
              <w:t xml:space="preserve">Process and expertise: </w:t>
            </w:r>
          </w:p>
          <w:p w14:paraId="45967D74" w14:textId="77777777" w:rsidR="000A7D9D" w:rsidRPr="00F521F8" w:rsidRDefault="000A7D9D" w:rsidP="00F31937">
            <w:pPr>
              <w:spacing w:before="120" w:after="120"/>
              <w:rPr>
                <w:rFonts w:ascii="Times New Roman" w:hAnsi="Times New Roman"/>
                <w:noProof/>
                <w:color w:val="000000" w:themeColor="text1"/>
                <w:sz w:val="24"/>
                <w:szCs w:val="24"/>
              </w:rPr>
            </w:pPr>
            <w:r w:rsidRPr="13AEFEEB">
              <w:rPr>
                <w:rFonts w:ascii="Times New Roman" w:hAnsi="Times New Roman"/>
                <w:noProof/>
                <w:color w:val="000000" w:themeColor="text1"/>
                <w:sz w:val="24"/>
                <w:szCs w:val="24"/>
              </w:rPr>
              <w:t>ECHA already supports similar work on data dissemination under REACH and other legislation. ECHA is also tasked to develop and operate the common data platform on chemicals. Several key capacities can be reused/reinforced:</w:t>
            </w:r>
          </w:p>
          <w:p w14:paraId="3957AC19" w14:textId="77777777" w:rsidR="000A7D9D" w:rsidRPr="00F521F8" w:rsidRDefault="000A7D9D" w:rsidP="000A7D9D">
            <w:pPr>
              <w:numPr>
                <w:ilvl w:val="0"/>
                <w:numId w:val="21"/>
              </w:numPr>
              <w:spacing w:before="120" w:after="120"/>
              <w:ind w:left="720"/>
              <w:contextualSpacing/>
              <w:rPr>
                <w:rFonts w:ascii="Times New Roman" w:hAnsi="Times New Roman"/>
                <w:noProof/>
                <w:color w:val="000000" w:themeColor="text1"/>
                <w:sz w:val="24"/>
                <w:szCs w:val="24"/>
              </w:rPr>
            </w:pPr>
            <w:r w:rsidRPr="00F521F8">
              <w:rPr>
                <w:rFonts w:ascii="Times New Roman" w:hAnsi="Times New Roman"/>
                <w:noProof/>
                <w:color w:val="000000" w:themeColor="text1"/>
                <w:sz w:val="24"/>
                <w:szCs w:val="24"/>
              </w:rPr>
              <w:t xml:space="preserve">IT capabilities for data integration and public and confidential data dissemination </w:t>
            </w:r>
          </w:p>
          <w:p w14:paraId="73721691" w14:textId="77777777" w:rsidR="000A7D9D" w:rsidRPr="00F521F8" w:rsidRDefault="000A7D9D" w:rsidP="000A7D9D">
            <w:pPr>
              <w:numPr>
                <w:ilvl w:val="0"/>
                <w:numId w:val="21"/>
              </w:numPr>
              <w:spacing w:before="120" w:after="120"/>
              <w:ind w:left="720"/>
              <w:contextualSpacing/>
              <w:rPr>
                <w:rFonts w:ascii="Times New Roman" w:hAnsi="Times New Roman"/>
                <w:noProof/>
                <w:color w:val="000000" w:themeColor="text1"/>
                <w:sz w:val="24"/>
                <w:szCs w:val="24"/>
              </w:rPr>
            </w:pPr>
            <w:r w:rsidRPr="00F521F8">
              <w:rPr>
                <w:rFonts w:ascii="Times New Roman" w:hAnsi="Times New Roman"/>
                <w:noProof/>
                <w:color w:val="000000" w:themeColor="text1"/>
                <w:sz w:val="24"/>
                <w:szCs w:val="24"/>
              </w:rPr>
              <w:t>IT capabilities for data submission and publication of regulatory intentions</w:t>
            </w:r>
          </w:p>
          <w:p w14:paraId="7AD8B08F" w14:textId="77777777" w:rsidR="000A7D9D" w:rsidRPr="00F521F8" w:rsidRDefault="000A7D9D" w:rsidP="000A7D9D">
            <w:pPr>
              <w:numPr>
                <w:ilvl w:val="0"/>
                <w:numId w:val="21"/>
              </w:numPr>
              <w:spacing w:before="120" w:after="120"/>
              <w:ind w:left="720"/>
              <w:contextualSpacing/>
              <w:rPr>
                <w:rFonts w:ascii="Times New Roman" w:hAnsi="Times New Roman"/>
                <w:noProof/>
                <w:color w:val="000000" w:themeColor="text1"/>
                <w:sz w:val="24"/>
                <w:szCs w:val="24"/>
              </w:rPr>
            </w:pPr>
            <w:r w:rsidRPr="13AEFEEB">
              <w:rPr>
                <w:rFonts w:ascii="Times New Roman" w:hAnsi="Times New Roman"/>
                <w:noProof/>
                <w:color w:val="000000" w:themeColor="text1"/>
                <w:sz w:val="24"/>
                <w:szCs w:val="24"/>
              </w:rPr>
              <w:t xml:space="preserve">Development and operation of the common data platform on chemicals </w:t>
            </w:r>
          </w:p>
          <w:p w14:paraId="65FA4FC3" w14:textId="77777777" w:rsidR="000A7D9D" w:rsidRPr="00F521F8" w:rsidRDefault="000A7D9D" w:rsidP="00F31937">
            <w:pPr>
              <w:spacing w:before="120" w:after="120"/>
              <w:contextualSpacing/>
              <w:rPr>
                <w:rFonts w:ascii="Times New Roman" w:hAnsi="Times New Roman"/>
                <w:noProof/>
                <w:color w:val="000000" w:themeColor="text1"/>
                <w:sz w:val="24"/>
                <w:szCs w:val="24"/>
              </w:rPr>
            </w:pPr>
            <w:r w:rsidRPr="13AEFEEB">
              <w:rPr>
                <w:rFonts w:ascii="Times New Roman" w:hAnsi="Times New Roman"/>
                <w:noProof/>
                <w:color w:val="000000" w:themeColor="text1"/>
                <w:sz w:val="24"/>
                <w:szCs w:val="24"/>
              </w:rPr>
              <w:t>EEA already hosts environmental occurrence data and has a deep expertise in collecting and hosting the data.</w:t>
            </w:r>
          </w:p>
        </w:tc>
      </w:tr>
      <w:tr w:rsidR="000A7D9D" w:rsidRPr="00F521F8" w14:paraId="42BA6C71"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tcPr>
          <w:p w14:paraId="0C37B95D" w14:textId="77777777" w:rsidR="000A7D9D" w:rsidRPr="00F521F8" w:rsidRDefault="000A7D9D" w:rsidP="00F31937">
            <w:pPr>
              <w:spacing w:before="120" w:after="120"/>
              <w:rPr>
                <w:rFonts w:ascii="Times New Roman" w:hAnsi="Times New Roman"/>
                <w:b/>
                <w:bCs/>
                <w:noProof/>
                <w:color w:val="000000" w:themeColor="text1"/>
                <w:sz w:val="24"/>
                <w:szCs w:val="24"/>
              </w:rPr>
            </w:pPr>
            <w:r w:rsidRPr="00F521F8">
              <w:rPr>
                <w:rFonts w:ascii="Times New Roman" w:hAnsi="Times New Roman"/>
                <w:b/>
                <w:bCs/>
                <w:noProof/>
                <w:color w:val="000000" w:themeColor="text1"/>
                <w:sz w:val="24"/>
                <w:szCs w:val="24"/>
              </w:rPr>
              <w:t>Re-use of data</w:t>
            </w:r>
          </w:p>
        </w:tc>
        <w:tc>
          <w:tcPr>
            <w:tcW w:w="1116" w:type="dxa"/>
            <w:tcBorders>
              <w:top w:val="single" w:sz="4" w:space="0" w:color="auto"/>
              <w:left w:val="single" w:sz="4" w:space="0" w:color="auto"/>
              <w:bottom w:val="single" w:sz="4" w:space="0" w:color="auto"/>
              <w:right w:val="single" w:sz="4" w:space="0" w:color="auto"/>
            </w:tcBorders>
          </w:tcPr>
          <w:p w14:paraId="50CECD52" w14:textId="77777777" w:rsidR="000A7D9D" w:rsidRPr="00F521F8" w:rsidRDefault="000A7D9D" w:rsidP="00F31937">
            <w:pPr>
              <w:spacing w:before="120" w:after="120" w:line="259" w:lineRule="auto"/>
              <w:rPr>
                <w:rFonts w:ascii="Times New Roman" w:hAnsi="Times New Roman"/>
                <w:noProof/>
                <w:sz w:val="24"/>
                <w:szCs w:val="24"/>
              </w:rPr>
            </w:pPr>
            <w:r w:rsidRPr="00F521F8">
              <w:rPr>
                <w:rFonts w:ascii="Times New Roman" w:hAnsi="Times New Roman"/>
                <w:noProof/>
                <w:color w:val="000000" w:themeColor="text1"/>
                <w:sz w:val="24"/>
                <w:szCs w:val="24"/>
              </w:rPr>
              <w:t>N/A</w:t>
            </w:r>
          </w:p>
        </w:tc>
        <w:tc>
          <w:tcPr>
            <w:tcW w:w="6784" w:type="dxa"/>
            <w:tcBorders>
              <w:top w:val="single" w:sz="4" w:space="0" w:color="auto"/>
              <w:left w:val="single" w:sz="4" w:space="0" w:color="auto"/>
              <w:bottom w:val="single" w:sz="4" w:space="0" w:color="auto"/>
              <w:right w:val="single" w:sz="4" w:space="0" w:color="auto"/>
            </w:tcBorders>
          </w:tcPr>
          <w:p w14:paraId="28A7A6E5" w14:textId="77777777" w:rsidR="000A7D9D" w:rsidRPr="00F521F8" w:rsidRDefault="000A7D9D" w:rsidP="00F31937">
            <w:pPr>
              <w:spacing w:before="120" w:after="120"/>
              <w:rPr>
                <w:rFonts w:ascii="Times New Roman" w:hAnsi="Times New Roman"/>
                <w:noProof/>
                <w:color w:val="000000" w:themeColor="text1"/>
                <w:sz w:val="24"/>
                <w:szCs w:val="24"/>
              </w:rPr>
            </w:pPr>
            <w:r w:rsidRPr="00F521F8">
              <w:rPr>
                <w:rFonts w:ascii="Times New Roman" w:hAnsi="Times New Roman"/>
                <w:noProof/>
                <w:color w:val="000000" w:themeColor="text1"/>
                <w:sz w:val="24"/>
                <w:szCs w:val="24"/>
              </w:rPr>
              <w:t>N/A</w:t>
            </w:r>
          </w:p>
        </w:tc>
      </w:tr>
      <w:tr w:rsidR="000A7D9D" w:rsidRPr="00F521F8" w14:paraId="2CB6003D"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tcPr>
          <w:p w14:paraId="04DF0F4F" w14:textId="77777777" w:rsidR="000A7D9D" w:rsidRPr="00F521F8" w:rsidRDefault="000A7D9D" w:rsidP="00F31937">
            <w:pPr>
              <w:spacing w:before="120" w:after="120"/>
              <w:rPr>
                <w:rFonts w:ascii="Times New Roman" w:hAnsi="Times New Roman"/>
                <w:b/>
                <w:bCs/>
                <w:noProof/>
                <w:color w:val="000000" w:themeColor="text1"/>
                <w:sz w:val="24"/>
                <w:szCs w:val="24"/>
              </w:rPr>
            </w:pPr>
            <w:r w:rsidRPr="00F521F8">
              <w:rPr>
                <w:rFonts w:ascii="Times New Roman" w:hAnsi="Times New Roman"/>
                <w:b/>
                <w:bCs/>
                <w:noProof/>
                <w:color w:val="000000" w:themeColor="text1"/>
                <w:sz w:val="24"/>
                <w:szCs w:val="24"/>
              </w:rPr>
              <w:t>Workload balancing</w:t>
            </w:r>
          </w:p>
        </w:tc>
        <w:tc>
          <w:tcPr>
            <w:tcW w:w="1116" w:type="dxa"/>
            <w:tcBorders>
              <w:top w:val="single" w:sz="4" w:space="0" w:color="auto"/>
              <w:left w:val="single" w:sz="4" w:space="0" w:color="auto"/>
              <w:bottom w:val="single" w:sz="4" w:space="0" w:color="auto"/>
              <w:right w:val="single" w:sz="4" w:space="0" w:color="auto"/>
            </w:tcBorders>
          </w:tcPr>
          <w:p w14:paraId="7C5AFE85" w14:textId="77777777" w:rsidR="000A7D9D" w:rsidRPr="00F521F8" w:rsidRDefault="000A7D9D" w:rsidP="00F31937">
            <w:pPr>
              <w:spacing w:before="120" w:after="120" w:line="259" w:lineRule="auto"/>
              <w:rPr>
                <w:rFonts w:ascii="Times New Roman" w:hAnsi="Times New Roman"/>
                <w:noProof/>
                <w:color w:val="000000" w:themeColor="text1"/>
                <w:sz w:val="24"/>
                <w:szCs w:val="24"/>
              </w:rPr>
            </w:pPr>
            <w:r w:rsidRPr="00F521F8">
              <w:rPr>
                <w:rFonts w:ascii="Times New Roman" w:hAnsi="Times New Roman"/>
                <w:noProof/>
                <w:color w:val="000000" w:themeColor="text1"/>
                <w:sz w:val="24"/>
                <w:szCs w:val="24"/>
              </w:rPr>
              <w:t>Low</w:t>
            </w:r>
          </w:p>
        </w:tc>
        <w:tc>
          <w:tcPr>
            <w:tcW w:w="6784" w:type="dxa"/>
            <w:tcBorders>
              <w:top w:val="single" w:sz="4" w:space="0" w:color="auto"/>
              <w:left w:val="single" w:sz="4" w:space="0" w:color="auto"/>
              <w:bottom w:val="single" w:sz="4" w:space="0" w:color="auto"/>
              <w:right w:val="single" w:sz="4" w:space="0" w:color="auto"/>
            </w:tcBorders>
          </w:tcPr>
          <w:p w14:paraId="49E336B1" w14:textId="77777777" w:rsidR="000A7D9D" w:rsidRPr="00F521F8" w:rsidRDefault="000A7D9D" w:rsidP="00F31937">
            <w:pPr>
              <w:spacing w:before="120" w:after="120"/>
              <w:rPr>
                <w:rFonts w:ascii="Times New Roman" w:hAnsi="Times New Roman"/>
                <w:noProof/>
                <w:color w:val="000000" w:themeColor="text1"/>
                <w:sz w:val="24"/>
                <w:szCs w:val="24"/>
              </w:rPr>
            </w:pPr>
            <w:r w:rsidRPr="13AEFEEB">
              <w:rPr>
                <w:rFonts w:ascii="Times New Roman" w:hAnsi="Times New Roman"/>
                <w:noProof/>
                <w:color w:val="000000" w:themeColor="text1"/>
                <w:sz w:val="24"/>
                <w:szCs w:val="24"/>
              </w:rPr>
              <w:t>With the IT development work clearly defined in a 3-year project plan and after that a running phase with much less resources, there is a clear resource plan and little or no room for workload balancing (and resource estimates are already annualised).</w:t>
            </w:r>
          </w:p>
        </w:tc>
      </w:tr>
      <w:tr w:rsidR="000A7D9D" w:rsidRPr="00F521F8" w14:paraId="4A40D46C"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tcPr>
          <w:p w14:paraId="5D33F921" w14:textId="77777777" w:rsidR="000A7D9D" w:rsidRPr="00F521F8" w:rsidRDefault="000A7D9D" w:rsidP="00F31937">
            <w:pPr>
              <w:spacing w:before="120" w:after="120"/>
              <w:rPr>
                <w:rFonts w:ascii="Times New Roman" w:hAnsi="Times New Roman"/>
                <w:b/>
                <w:bCs/>
                <w:noProof/>
                <w:color w:val="000000" w:themeColor="text1"/>
                <w:sz w:val="24"/>
                <w:szCs w:val="24"/>
              </w:rPr>
            </w:pPr>
            <w:r w:rsidRPr="00F521F8">
              <w:rPr>
                <w:rFonts w:ascii="Times New Roman" w:hAnsi="Times New Roman"/>
                <w:b/>
                <w:bCs/>
                <w:noProof/>
                <w:color w:val="000000" w:themeColor="text1"/>
                <w:sz w:val="24"/>
                <w:szCs w:val="24"/>
              </w:rPr>
              <w:t>IT tools: automation and economies of scale</w:t>
            </w:r>
          </w:p>
        </w:tc>
        <w:tc>
          <w:tcPr>
            <w:tcW w:w="1116" w:type="dxa"/>
            <w:tcBorders>
              <w:top w:val="single" w:sz="4" w:space="0" w:color="auto"/>
              <w:left w:val="single" w:sz="4" w:space="0" w:color="auto"/>
              <w:bottom w:val="single" w:sz="4" w:space="0" w:color="auto"/>
              <w:right w:val="single" w:sz="4" w:space="0" w:color="auto"/>
            </w:tcBorders>
          </w:tcPr>
          <w:p w14:paraId="2DE94014" w14:textId="77777777" w:rsidR="000A7D9D" w:rsidRPr="00F521F8" w:rsidRDefault="000A7D9D" w:rsidP="00F31937">
            <w:pPr>
              <w:spacing w:before="120" w:after="120"/>
              <w:rPr>
                <w:rFonts w:ascii="Times New Roman" w:hAnsi="Times New Roman"/>
                <w:noProof/>
                <w:color w:val="000000" w:themeColor="text1"/>
                <w:sz w:val="24"/>
                <w:szCs w:val="24"/>
              </w:rPr>
            </w:pPr>
            <w:r w:rsidRPr="00F521F8">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tcPr>
          <w:p w14:paraId="684C17FB" w14:textId="77777777" w:rsidR="000A7D9D" w:rsidRPr="00F521F8" w:rsidRDefault="000A7D9D" w:rsidP="00F31937">
            <w:pPr>
              <w:spacing w:before="120" w:after="120"/>
              <w:rPr>
                <w:rFonts w:ascii="Times New Roman" w:hAnsi="Times New Roman"/>
                <w:noProof/>
                <w:color w:val="000000" w:themeColor="text1"/>
                <w:sz w:val="24"/>
                <w:szCs w:val="24"/>
              </w:rPr>
            </w:pPr>
            <w:r w:rsidRPr="00F521F8">
              <w:rPr>
                <w:rFonts w:ascii="Times New Roman" w:hAnsi="Times New Roman"/>
                <w:noProof/>
                <w:color w:val="000000" w:themeColor="text1"/>
                <w:sz w:val="24"/>
                <w:szCs w:val="24"/>
              </w:rPr>
              <w:t xml:space="preserve">Reuse of IT, reporting and hosting capabilities. </w:t>
            </w:r>
          </w:p>
        </w:tc>
      </w:tr>
      <w:tr w:rsidR="000A7D9D" w:rsidRPr="00F521F8" w14:paraId="08772992"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tcPr>
          <w:p w14:paraId="3421FDB7" w14:textId="77777777" w:rsidR="000A7D9D" w:rsidRPr="00F521F8" w:rsidRDefault="000A7D9D" w:rsidP="00F31937">
            <w:pPr>
              <w:spacing w:before="120" w:after="120"/>
              <w:rPr>
                <w:rFonts w:ascii="Times New Roman" w:hAnsi="Times New Roman"/>
                <w:b/>
                <w:bCs/>
                <w:noProof/>
                <w:color w:val="000000" w:themeColor="text1"/>
                <w:sz w:val="24"/>
                <w:szCs w:val="24"/>
              </w:rPr>
            </w:pPr>
            <w:r w:rsidRPr="00F521F8">
              <w:rPr>
                <w:rFonts w:ascii="Times New Roman" w:hAnsi="Times New Roman"/>
                <w:b/>
                <w:bCs/>
                <w:noProof/>
                <w:color w:val="000000" w:themeColor="text1"/>
                <w:sz w:val="24"/>
                <w:szCs w:val="24"/>
              </w:rPr>
              <w:t>Support services: economies of scale</w:t>
            </w:r>
          </w:p>
        </w:tc>
        <w:tc>
          <w:tcPr>
            <w:tcW w:w="1116" w:type="dxa"/>
            <w:tcBorders>
              <w:top w:val="single" w:sz="4" w:space="0" w:color="auto"/>
              <w:left w:val="single" w:sz="4" w:space="0" w:color="auto"/>
              <w:bottom w:val="single" w:sz="4" w:space="0" w:color="auto"/>
              <w:right w:val="single" w:sz="4" w:space="0" w:color="auto"/>
            </w:tcBorders>
          </w:tcPr>
          <w:p w14:paraId="170F1E17" w14:textId="77777777" w:rsidR="000A7D9D" w:rsidRPr="00F521F8" w:rsidRDefault="000A7D9D" w:rsidP="00F31937">
            <w:pPr>
              <w:spacing w:before="120" w:after="120"/>
              <w:rPr>
                <w:rFonts w:ascii="Times New Roman" w:hAnsi="Times New Roman"/>
                <w:noProof/>
                <w:color w:val="000000" w:themeColor="text1"/>
                <w:sz w:val="24"/>
                <w:szCs w:val="24"/>
              </w:rPr>
            </w:pPr>
            <w:r w:rsidRPr="00F521F8">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tcPr>
          <w:p w14:paraId="3A020C35" w14:textId="77777777" w:rsidR="000A7D9D" w:rsidRPr="00F521F8" w:rsidRDefault="000A7D9D" w:rsidP="00F31937">
            <w:pPr>
              <w:spacing w:before="120" w:after="120"/>
              <w:rPr>
                <w:rFonts w:ascii="Times New Roman" w:hAnsi="Times New Roman"/>
                <w:noProof/>
                <w:color w:val="000000" w:themeColor="text1"/>
                <w:sz w:val="24"/>
                <w:szCs w:val="24"/>
              </w:rPr>
            </w:pPr>
            <w:r w:rsidRPr="00F521F8">
              <w:rPr>
                <w:rFonts w:ascii="Times New Roman" w:hAnsi="Times New Roman"/>
                <w:noProof/>
                <w:color w:val="000000" w:themeColor="text1"/>
                <w:sz w:val="24"/>
                <w:szCs w:val="24"/>
              </w:rPr>
              <w:t>Reuse of scientific support services and of administrative services.</w:t>
            </w:r>
          </w:p>
          <w:p w14:paraId="7B9B1B67" w14:textId="77777777" w:rsidR="000A7D9D" w:rsidRPr="00F521F8" w:rsidRDefault="000A7D9D" w:rsidP="00F31937">
            <w:pPr>
              <w:spacing w:before="120" w:after="120"/>
              <w:rPr>
                <w:rFonts w:ascii="Times New Roman" w:hAnsi="Times New Roman"/>
                <w:noProof/>
                <w:color w:val="000000" w:themeColor="text1"/>
                <w:sz w:val="24"/>
                <w:szCs w:val="24"/>
              </w:rPr>
            </w:pPr>
          </w:p>
        </w:tc>
      </w:tr>
    </w:tbl>
    <w:p w14:paraId="5E826FEC" w14:textId="77777777" w:rsidR="000A7D9D" w:rsidRPr="00F521F8" w:rsidRDefault="000A7D9D" w:rsidP="000A7D9D">
      <w:pPr>
        <w:rPr>
          <w:rFonts w:ascii="Times New Roman" w:hAnsi="Times New Roman" w:cs="Times New Roman"/>
          <w:b/>
          <w:bCs/>
          <w:noProof/>
          <w:sz w:val="24"/>
          <w:szCs w:val="24"/>
        </w:rPr>
      </w:pPr>
    </w:p>
    <w:p w14:paraId="4D0C9F2E" w14:textId="77777777" w:rsidR="000A7D9D" w:rsidRPr="00F521F8" w:rsidRDefault="000A7D9D" w:rsidP="000A7D9D">
      <w:pPr>
        <w:spacing w:after="120"/>
        <w:rPr>
          <w:rFonts w:ascii="Times New Roman" w:hAnsi="Times New Roman" w:cs="Times New Roman"/>
          <w:b/>
          <w:bCs/>
          <w:noProof/>
          <w:sz w:val="24"/>
          <w:szCs w:val="24"/>
        </w:rPr>
      </w:pPr>
      <w:r w:rsidRPr="13AEFEEB">
        <w:rPr>
          <w:rFonts w:ascii="Times New Roman" w:hAnsi="Times New Roman" w:cs="Times New Roman"/>
          <w:b/>
          <w:bCs/>
          <w:noProof/>
          <w:sz w:val="24"/>
          <w:szCs w:val="24"/>
        </w:rPr>
        <w:t>Projected impact on agencies</w:t>
      </w:r>
    </w:p>
    <w:p w14:paraId="78437782" w14:textId="77777777" w:rsidR="000A7D9D" w:rsidRPr="00F521F8" w:rsidRDefault="000A7D9D" w:rsidP="000A7D9D">
      <w:pPr>
        <w:pStyle w:val="ListParagraph"/>
        <w:widowControl w:val="0"/>
        <w:numPr>
          <w:ilvl w:val="0"/>
          <w:numId w:val="88"/>
        </w:numPr>
        <w:jc w:val="both"/>
        <w:rPr>
          <w:noProof/>
        </w:rPr>
      </w:pPr>
      <w:r>
        <w:rPr>
          <w:noProof/>
        </w:rPr>
        <w:t xml:space="preserve">Committees/bodies: </w:t>
      </w:r>
      <w:r w:rsidRPr="13AEFEEB">
        <w:rPr>
          <w:b/>
          <w:bCs/>
          <w:noProof/>
        </w:rPr>
        <w:t>low impact</w:t>
      </w:r>
      <w:r>
        <w:rPr>
          <w:noProof/>
        </w:rPr>
        <w:t xml:space="preserve">. The task does not require involvement of agencies’ committees /bodies. EEA might use their networks for collecting human biomonitoring data </w:t>
      </w:r>
    </w:p>
    <w:p w14:paraId="4F4CA139" w14:textId="77777777" w:rsidR="000A7D9D" w:rsidRPr="00F521F8" w:rsidRDefault="000A7D9D" w:rsidP="000A7D9D">
      <w:pPr>
        <w:pStyle w:val="BodyText"/>
        <w:widowControl w:val="0"/>
        <w:numPr>
          <w:ilvl w:val="0"/>
          <w:numId w:val="88"/>
        </w:numPr>
        <w:spacing w:after="0"/>
        <w:jc w:val="both"/>
        <w:rPr>
          <w:noProof/>
        </w:rPr>
      </w:pPr>
      <w:r>
        <w:rPr>
          <w:noProof/>
        </w:rPr>
        <w:t xml:space="preserve">Data model and IT infrastructure: </w:t>
      </w:r>
      <w:r w:rsidRPr="13AEFEEB">
        <w:rPr>
          <w:b/>
          <w:bCs/>
          <w:noProof/>
        </w:rPr>
        <w:t>high impact</w:t>
      </w:r>
      <w:r>
        <w:rPr>
          <w:noProof/>
        </w:rPr>
        <w:t>. The task requires investment in data structures and IT systems/capabilities</w:t>
      </w:r>
    </w:p>
    <w:p w14:paraId="49D1F03B" w14:textId="77777777" w:rsidR="000A7D9D" w:rsidRPr="00F521F8" w:rsidRDefault="000A7D9D" w:rsidP="000A7D9D">
      <w:pPr>
        <w:pStyle w:val="BodyText"/>
        <w:widowControl w:val="0"/>
        <w:numPr>
          <w:ilvl w:val="0"/>
          <w:numId w:val="88"/>
        </w:numPr>
        <w:jc w:val="both"/>
        <w:rPr>
          <w:noProof/>
        </w:rPr>
      </w:pPr>
      <w:r>
        <w:rPr>
          <w:noProof/>
        </w:rPr>
        <w:t>Key experts:</w:t>
      </w:r>
      <w:r w:rsidRPr="13AEFEEB">
        <w:rPr>
          <w:b/>
          <w:bCs/>
          <w:noProof/>
        </w:rPr>
        <w:t xml:space="preserve"> high impact</w:t>
      </w:r>
      <w:r>
        <w:rPr>
          <w:noProof/>
        </w:rPr>
        <w:t xml:space="preserve">. The task heavily relies on expert competencies, but these are present in the agencies. </w:t>
      </w:r>
    </w:p>
    <w:p w14:paraId="15F9F030"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Workload and resource implications:</w:t>
      </w:r>
    </w:p>
    <w:p w14:paraId="3080125E" w14:textId="77777777" w:rsidR="000A7D9D" w:rsidRPr="00F521F8" w:rsidRDefault="000A7D9D" w:rsidP="000A7D9D">
      <w:pPr>
        <w:pStyle w:val="BodyText"/>
        <w:rPr>
          <w:noProof/>
          <w:u w:val="single"/>
        </w:rPr>
      </w:pPr>
      <w:r w:rsidRPr="00F521F8">
        <w:rPr>
          <w:noProof/>
          <w:u w:val="single"/>
        </w:rPr>
        <w:t>Current workload and resource use:</w:t>
      </w:r>
    </w:p>
    <w:p w14:paraId="3C4D6B14" w14:textId="77777777" w:rsidR="000A7D9D" w:rsidRPr="00F521F8" w:rsidRDefault="000A7D9D" w:rsidP="000A7D9D">
      <w:pPr>
        <w:pStyle w:val="paragraph"/>
        <w:spacing w:beforeAutospacing="0" w:after="120" w:afterAutospacing="0"/>
        <w:jc w:val="both"/>
        <w:rPr>
          <w:noProof/>
          <w:lang w:val="en-US"/>
        </w:rPr>
      </w:pPr>
      <w:r>
        <w:rPr>
          <w:noProof/>
        </w:rPr>
        <w:t>JRC has a total of 4.5 FTE (2.5 JRC staff, 2 external consultants intramuros)</w:t>
      </w:r>
      <w:r w:rsidRPr="13AEFEEB">
        <w:rPr>
          <w:rFonts w:eastAsia="Calibri"/>
          <w:noProof/>
        </w:rPr>
        <w:t xml:space="preserve"> </w:t>
      </w:r>
      <w:r>
        <w:rPr>
          <w:noProof/>
        </w:rPr>
        <w:t xml:space="preserve">assigned to the IPCHEM operation. There are also resources allocated to the contribution to IPCHEM in the work programmes of EFSA and EEA. </w:t>
      </w:r>
    </w:p>
    <w:bookmarkEnd w:id="73"/>
    <w:p w14:paraId="0111AA52" w14:textId="77777777" w:rsidR="000A7D9D" w:rsidRPr="00F521F8" w:rsidRDefault="000A7D9D" w:rsidP="000A7D9D">
      <w:pPr>
        <w:spacing w:before="120" w:after="120"/>
        <w:rPr>
          <w:rFonts w:ascii="Times New Roman" w:hAnsi="Times New Roman" w:cs="Times New Roman"/>
          <w:noProof/>
          <w:sz w:val="24"/>
          <w:szCs w:val="24"/>
          <w:lang w:val="en-US"/>
        </w:rPr>
      </w:pPr>
      <w:r w:rsidRPr="00F521F8">
        <w:rPr>
          <w:rFonts w:ascii="Times New Roman" w:hAnsi="Times New Roman" w:cs="Times New Roman"/>
          <w:noProof/>
          <w:sz w:val="24"/>
          <w:szCs w:val="24"/>
          <w:lang w:val="en-US"/>
        </w:rPr>
        <w:t>The current resources spent by the Commission can be summarized as follows:</w:t>
      </w:r>
    </w:p>
    <w:tbl>
      <w:tblPr>
        <w:tblStyle w:val="TableGrid5"/>
        <w:tblW w:w="0" w:type="auto"/>
        <w:tblLook w:val="04A0" w:firstRow="1" w:lastRow="0" w:firstColumn="1" w:lastColumn="0" w:noHBand="0" w:noVBand="1"/>
      </w:tblPr>
      <w:tblGrid>
        <w:gridCol w:w="4811"/>
        <w:gridCol w:w="4818"/>
      </w:tblGrid>
      <w:tr w:rsidR="000A7D9D" w:rsidRPr="00F521F8" w14:paraId="56C25252" w14:textId="77777777" w:rsidTr="00F31937">
        <w:trPr>
          <w:trHeight w:val="300"/>
        </w:trPr>
        <w:tc>
          <w:tcPr>
            <w:tcW w:w="4811" w:type="dxa"/>
          </w:tcPr>
          <w:p w14:paraId="1DBFCD47" w14:textId="77777777" w:rsidR="000A7D9D" w:rsidRPr="00F521F8" w:rsidRDefault="000A7D9D" w:rsidP="00F31937">
            <w:pPr>
              <w:spacing w:after="120"/>
              <w:rPr>
                <w:rFonts w:ascii="Times New Roman" w:hAnsi="Times New Roman"/>
                <w:noProof/>
                <w:sz w:val="24"/>
                <w:szCs w:val="24"/>
              </w:rPr>
            </w:pPr>
            <w:r w:rsidRPr="00F521F8">
              <w:rPr>
                <w:rFonts w:ascii="Times New Roman" w:hAnsi="Times New Roman"/>
                <w:noProof/>
                <w:sz w:val="24"/>
                <w:szCs w:val="24"/>
              </w:rPr>
              <w:t xml:space="preserve">DG JRC </w:t>
            </w:r>
          </w:p>
        </w:tc>
        <w:tc>
          <w:tcPr>
            <w:tcW w:w="4818" w:type="dxa"/>
          </w:tcPr>
          <w:p w14:paraId="6232ED31" w14:textId="77777777" w:rsidR="000A7D9D" w:rsidRPr="00F521F8" w:rsidRDefault="000A7D9D" w:rsidP="00F31937">
            <w:pPr>
              <w:spacing w:after="120"/>
              <w:rPr>
                <w:rFonts w:ascii="Times New Roman" w:hAnsi="Times New Roman"/>
                <w:noProof/>
                <w:sz w:val="24"/>
                <w:szCs w:val="24"/>
              </w:rPr>
            </w:pPr>
            <w:r w:rsidRPr="13AEFEEB">
              <w:rPr>
                <w:rFonts w:ascii="Times New Roman" w:hAnsi="Times New Roman"/>
                <w:noProof/>
                <w:sz w:val="24"/>
                <w:szCs w:val="24"/>
              </w:rPr>
              <w:t>4</w:t>
            </w:r>
            <w:r>
              <w:rPr>
                <w:rFonts w:ascii="Times New Roman" w:hAnsi="Times New Roman"/>
                <w:noProof/>
                <w:sz w:val="24"/>
                <w:szCs w:val="24"/>
              </w:rPr>
              <w:t>.</w:t>
            </w:r>
            <w:r w:rsidRPr="13AEFEEB">
              <w:rPr>
                <w:rFonts w:ascii="Times New Roman" w:hAnsi="Times New Roman"/>
                <w:noProof/>
                <w:sz w:val="24"/>
                <w:szCs w:val="24"/>
              </w:rPr>
              <w:t>5 FTE per year (2</w:t>
            </w:r>
            <w:r>
              <w:rPr>
                <w:rFonts w:ascii="Times New Roman" w:hAnsi="Times New Roman"/>
                <w:noProof/>
                <w:sz w:val="24"/>
                <w:szCs w:val="24"/>
              </w:rPr>
              <w:t>.</w:t>
            </w:r>
            <w:r w:rsidRPr="13AEFEEB">
              <w:rPr>
                <w:rFonts w:ascii="Times New Roman" w:hAnsi="Times New Roman"/>
                <w:noProof/>
                <w:sz w:val="24"/>
                <w:szCs w:val="24"/>
              </w:rPr>
              <w:t>5 JRC staff and 2 external consultants intramuros)</w:t>
            </w:r>
          </w:p>
        </w:tc>
      </w:tr>
      <w:tr w:rsidR="000A7D9D" w:rsidRPr="00F521F8" w14:paraId="625FB8B7" w14:textId="77777777" w:rsidTr="00F31937">
        <w:trPr>
          <w:trHeight w:val="300"/>
        </w:trPr>
        <w:tc>
          <w:tcPr>
            <w:tcW w:w="4811" w:type="dxa"/>
          </w:tcPr>
          <w:p w14:paraId="77DCE9F4" w14:textId="77777777" w:rsidR="000A7D9D" w:rsidRPr="00F521F8" w:rsidRDefault="000A7D9D" w:rsidP="00F31937">
            <w:pPr>
              <w:spacing w:after="120" w:line="259" w:lineRule="auto"/>
              <w:rPr>
                <w:rFonts w:ascii="Times New Roman" w:hAnsi="Times New Roman"/>
                <w:noProof/>
                <w:sz w:val="24"/>
                <w:szCs w:val="24"/>
              </w:rPr>
            </w:pPr>
            <w:r w:rsidRPr="00F521F8">
              <w:rPr>
                <w:rFonts w:ascii="Times New Roman" w:hAnsi="Times New Roman"/>
                <w:noProof/>
                <w:sz w:val="24"/>
                <w:szCs w:val="24"/>
              </w:rPr>
              <w:t>Yearly IT maintenance costs from JRC corporate hosting facility</w:t>
            </w:r>
          </w:p>
        </w:tc>
        <w:tc>
          <w:tcPr>
            <w:tcW w:w="4818" w:type="dxa"/>
          </w:tcPr>
          <w:p w14:paraId="7108317F" w14:textId="77777777" w:rsidR="000A7D9D" w:rsidRPr="00F521F8" w:rsidRDefault="000A7D9D" w:rsidP="00F31937">
            <w:pPr>
              <w:spacing w:after="120"/>
              <w:rPr>
                <w:rFonts w:ascii="Times New Roman" w:hAnsi="Times New Roman"/>
                <w:noProof/>
                <w:sz w:val="24"/>
                <w:szCs w:val="24"/>
                <w:lang w:val="en-US"/>
              </w:rPr>
            </w:pPr>
            <w:r>
              <w:rPr>
                <w:rFonts w:ascii="Times New Roman" w:hAnsi="Times New Roman"/>
                <w:noProof/>
                <w:sz w:val="24"/>
                <w:szCs w:val="24"/>
              </w:rPr>
              <w:t xml:space="preserve">EUR </w:t>
            </w:r>
            <w:r w:rsidRPr="00F521F8">
              <w:rPr>
                <w:rFonts w:ascii="Times New Roman" w:hAnsi="Times New Roman"/>
                <w:noProof/>
                <w:sz w:val="24"/>
                <w:szCs w:val="24"/>
              </w:rPr>
              <w:t>11</w:t>
            </w:r>
            <w:r>
              <w:rPr>
                <w:rFonts w:ascii="Times New Roman" w:hAnsi="Times New Roman"/>
                <w:noProof/>
                <w:sz w:val="24"/>
                <w:szCs w:val="24"/>
              </w:rPr>
              <w:t xml:space="preserve"> </w:t>
            </w:r>
            <w:r w:rsidRPr="00F521F8">
              <w:rPr>
                <w:rFonts w:ascii="Times New Roman" w:hAnsi="Times New Roman"/>
                <w:noProof/>
                <w:sz w:val="24"/>
                <w:szCs w:val="24"/>
              </w:rPr>
              <w:t>700 per year</w:t>
            </w:r>
          </w:p>
        </w:tc>
      </w:tr>
      <w:tr w:rsidR="000A7D9D" w:rsidRPr="00F521F8" w14:paraId="0DD41ABD" w14:textId="77777777" w:rsidTr="00F31937">
        <w:trPr>
          <w:trHeight w:val="300"/>
        </w:trPr>
        <w:tc>
          <w:tcPr>
            <w:tcW w:w="4811" w:type="dxa"/>
          </w:tcPr>
          <w:p w14:paraId="0D3E2DC2" w14:textId="77777777" w:rsidR="000A7D9D" w:rsidRPr="00F521F8" w:rsidRDefault="000A7D9D" w:rsidP="00F31937">
            <w:pPr>
              <w:spacing w:after="120"/>
              <w:rPr>
                <w:rFonts w:ascii="Times New Roman" w:hAnsi="Times New Roman"/>
                <w:b/>
                <w:bCs/>
                <w:noProof/>
                <w:sz w:val="24"/>
                <w:szCs w:val="24"/>
              </w:rPr>
            </w:pPr>
            <w:r w:rsidRPr="00F521F8">
              <w:rPr>
                <w:rFonts w:ascii="Times New Roman" w:hAnsi="Times New Roman"/>
                <w:b/>
                <w:bCs/>
                <w:noProof/>
                <w:sz w:val="24"/>
                <w:szCs w:val="24"/>
              </w:rPr>
              <w:t>Total</w:t>
            </w:r>
          </w:p>
        </w:tc>
        <w:tc>
          <w:tcPr>
            <w:tcW w:w="4818" w:type="dxa"/>
          </w:tcPr>
          <w:p w14:paraId="256E26D2" w14:textId="77777777" w:rsidR="000A7D9D" w:rsidRPr="00F521F8" w:rsidRDefault="000A7D9D" w:rsidP="00F31937">
            <w:pPr>
              <w:spacing w:after="120"/>
              <w:rPr>
                <w:rFonts w:ascii="Times New Roman" w:hAnsi="Times New Roman"/>
                <w:b/>
                <w:bCs/>
                <w:noProof/>
                <w:sz w:val="24"/>
                <w:szCs w:val="24"/>
              </w:rPr>
            </w:pPr>
            <w:r w:rsidRPr="00F521F8">
              <w:rPr>
                <w:rFonts w:ascii="Times New Roman" w:hAnsi="Times New Roman"/>
                <w:b/>
                <w:bCs/>
                <w:noProof/>
                <w:sz w:val="24"/>
                <w:szCs w:val="24"/>
              </w:rPr>
              <w:t>4</w:t>
            </w:r>
            <w:r>
              <w:rPr>
                <w:rFonts w:ascii="Times New Roman" w:hAnsi="Times New Roman"/>
                <w:b/>
                <w:bCs/>
                <w:noProof/>
                <w:sz w:val="24"/>
                <w:szCs w:val="24"/>
              </w:rPr>
              <w:t>.</w:t>
            </w:r>
            <w:r w:rsidRPr="00F521F8">
              <w:rPr>
                <w:rFonts w:ascii="Times New Roman" w:hAnsi="Times New Roman"/>
                <w:b/>
                <w:bCs/>
                <w:noProof/>
                <w:sz w:val="24"/>
                <w:szCs w:val="24"/>
              </w:rPr>
              <w:t>5 FTEs annually</w:t>
            </w:r>
          </w:p>
        </w:tc>
      </w:tr>
    </w:tbl>
    <w:p w14:paraId="1D126CF9" w14:textId="77777777" w:rsidR="000A7D9D" w:rsidRPr="00F521F8" w:rsidRDefault="000A7D9D" w:rsidP="000A7D9D">
      <w:pPr>
        <w:pStyle w:val="BodyText"/>
        <w:spacing w:before="120"/>
        <w:rPr>
          <w:noProof/>
          <w:lang w:eastAsia="en-GB"/>
        </w:rPr>
      </w:pPr>
      <w:r w:rsidRPr="00F521F8">
        <w:rPr>
          <w:noProof/>
          <w:u w:val="single"/>
        </w:rPr>
        <w:t>Current budget line:</w:t>
      </w:r>
      <w:r w:rsidRPr="00F521F8">
        <w:rPr>
          <w:b/>
          <w:bCs/>
          <w:noProof/>
        </w:rPr>
        <w:t xml:space="preserve"> </w:t>
      </w:r>
      <w:r w:rsidRPr="00F521F8">
        <w:rPr>
          <w:noProof/>
        </w:rPr>
        <w:t xml:space="preserve">DG JRC </w:t>
      </w:r>
      <w:r w:rsidRPr="00F521F8">
        <w:rPr>
          <w:noProof/>
          <w:lang w:eastAsia="en-GB"/>
        </w:rPr>
        <w:t>institutional work programme</w:t>
      </w:r>
    </w:p>
    <w:p w14:paraId="66EB5BA7" w14:textId="77777777" w:rsidR="000A7D9D" w:rsidRPr="00F521F8" w:rsidRDefault="000A7D9D" w:rsidP="000A7D9D">
      <w:pPr>
        <w:pStyle w:val="BodyText"/>
        <w:rPr>
          <w:noProof/>
          <w:u w:val="single"/>
        </w:rPr>
      </w:pPr>
      <w:r w:rsidRPr="00F521F8">
        <w:rPr>
          <w:noProof/>
          <w:u w:val="single"/>
        </w:rPr>
        <w:t>Future workload and resource use:</w:t>
      </w:r>
      <w:r w:rsidRPr="00F521F8">
        <w:rPr>
          <w:noProof/>
        </w:rPr>
        <w:t xml:space="preserve"> </w:t>
      </w:r>
    </w:p>
    <w:p w14:paraId="6E2815A5" w14:textId="77777777" w:rsidR="000A7D9D" w:rsidRPr="00F521F8" w:rsidRDefault="000A7D9D" w:rsidP="000A7D9D">
      <w:pPr>
        <w:pStyle w:val="BodyText"/>
        <w:jc w:val="both"/>
        <w:rPr>
          <w:noProof/>
        </w:rPr>
      </w:pPr>
      <w:r>
        <w:rPr>
          <w:noProof/>
        </w:rPr>
        <w:t xml:space="preserve">The integration of IPCHEM into the common data platform, the continuous provision of data by the agencies to the IPCHEM and coordination/cooperation among the agencies is included in the resource estimates under the common data platform on chemicals. The integration will be done jointly by JRC and ECHA. ECHA will take over the operation of IPCHEM from JRC and will take over hosting of occupational monitoring data. For this ECHA will need 2 FTEs. In addition, EEA will take over from JRC collection and hosting of human biomonitoring data and hosting of IPCHEM environmental occurrence data and indoor air monitoring data. For this, EEA will need 1 FTE per year. </w:t>
      </w:r>
      <w:r w:rsidRPr="00942F16">
        <w:rPr>
          <w:noProof/>
        </w:rPr>
        <w:t xml:space="preserve"> </w:t>
      </w:r>
      <w:r w:rsidRPr="00CE013C">
        <w:rPr>
          <w:noProof/>
        </w:rPr>
        <w:t>EFSA already provides data to IPCHEM and contributes to its operation and will not require any additional resources to continue in this activity. EMA and EU-OSHA currently do not systematically collect or receive data relevant for IPCHEM and therefore will not require any additional resources.</w:t>
      </w:r>
    </w:p>
    <w:p w14:paraId="12D33E13" w14:textId="77777777" w:rsidR="000A7D9D" w:rsidRPr="00F521F8" w:rsidRDefault="000A7D9D" w:rsidP="000A7D9D">
      <w:pPr>
        <w:pStyle w:val="BodyText"/>
        <w:jc w:val="both"/>
        <w:rPr>
          <w:rFonts w:eastAsiaTheme="minorEastAsia"/>
          <w:noProof/>
          <w:lang w:val="en-US" w:eastAsia="en-GB"/>
        </w:rPr>
      </w:pPr>
      <w:r w:rsidRPr="00F521F8">
        <w:rPr>
          <w:rFonts w:eastAsiaTheme="minorEastAsia"/>
          <w:noProof/>
          <w:lang w:val="en-US" w:eastAsia="en-GB"/>
        </w:rPr>
        <w:t>Summary of resource needs for maintaining IPCHEM and its parts after its integration into the common data platform on chemicals:</w:t>
      </w:r>
    </w:p>
    <w:tbl>
      <w:tblPr>
        <w:tblStyle w:val="TableGrid"/>
        <w:tblW w:w="0" w:type="auto"/>
        <w:tblLook w:val="04A0" w:firstRow="1" w:lastRow="0" w:firstColumn="1" w:lastColumn="0" w:noHBand="0" w:noVBand="1"/>
      </w:tblPr>
      <w:tblGrid>
        <w:gridCol w:w="1058"/>
        <w:gridCol w:w="4324"/>
        <w:gridCol w:w="1984"/>
        <w:gridCol w:w="2262"/>
      </w:tblGrid>
      <w:tr w:rsidR="000A7D9D" w:rsidRPr="006B7D57" w14:paraId="25BFF1EE" w14:textId="77777777" w:rsidTr="00F31937">
        <w:trPr>
          <w:trHeight w:val="300"/>
        </w:trPr>
        <w:tc>
          <w:tcPr>
            <w:tcW w:w="1058" w:type="dxa"/>
            <w:shd w:val="clear" w:color="auto" w:fill="D9D9D9" w:themeFill="background1" w:themeFillShade="D9"/>
          </w:tcPr>
          <w:p w14:paraId="4D011E5E" w14:textId="77777777" w:rsidR="000A7D9D" w:rsidRPr="006B7D57" w:rsidRDefault="000A7D9D" w:rsidP="00F31937">
            <w:pPr>
              <w:pStyle w:val="BodyText"/>
              <w:spacing w:line="259" w:lineRule="auto"/>
              <w:rPr>
                <w:b/>
                <w:bCs/>
                <w:noProof/>
                <w:sz w:val="20"/>
                <w:szCs w:val="20"/>
              </w:rPr>
            </w:pPr>
            <w:r w:rsidRPr="006B7D57">
              <w:rPr>
                <w:b/>
                <w:bCs/>
                <w:noProof/>
                <w:sz w:val="20"/>
                <w:szCs w:val="20"/>
              </w:rPr>
              <w:t>Agency</w:t>
            </w:r>
          </w:p>
        </w:tc>
        <w:tc>
          <w:tcPr>
            <w:tcW w:w="4324" w:type="dxa"/>
            <w:shd w:val="clear" w:color="auto" w:fill="D9D9D9" w:themeFill="background1" w:themeFillShade="D9"/>
          </w:tcPr>
          <w:p w14:paraId="3EF6D038" w14:textId="77777777" w:rsidR="000A7D9D" w:rsidRPr="006B7D57" w:rsidRDefault="000A7D9D" w:rsidP="00F31937">
            <w:pPr>
              <w:pStyle w:val="BodyText"/>
              <w:rPr>
                <w:b/>
                <w:bCs/>
                <w:noProof/>
                <w:sz w:val="20"/>
                <w:szCs w:val="20"/>
              </w:rPr>
            </w:pPr>
            <w:r w:rsidRPr="006B7D57">
              <w:rPr>
                <w:b/>
                <w:bCs/>
                <w:noProof/>
                <w:sz w:val="20"/>
                <w:szCs w:val="20"/>
              </w:rPr>
              <w:t>Summary of tasks</w:t>
            </w:r>
          </w:p>
        </w:tc>
        <w:tc>
          <w:tcPr>
            <w:tcW w:w="1984" w:type="dxa"/>
            <w:shd w:val="clear" w:color="auto" w:fill="D9D9D9" w:themeFill="background1" w:themeFillShade="D9"/>
          </w:tcPr>
          <w:p w14:paraId="1D9EC68B" w14:textId="77777777" w:rsidR="000A7D9D" w:rsidRPr="006B7D57" w:rsidRDefault="000A7D9D" w:rsidP="00F31937">
            <w:pPr>
              <w:pStyle w:val="BodyText"/>
              <w:tabs>
                <w:tab w:val="left" w:pos="4170"/>
              </w:tabs>
              <w:rPr>
                <w:noProof/>
                <w:sz w:val="20"/>
                <w:szCs w:val="20"/>
              </w:rPr>
            </w:pPr>
          </w:p>
        </w:tc>
        <w:tc>
          <w:tcPr>
            <w:tcW w:w="2262" w:type="dxa"/>
            <w:shd w:val="clear" w:color="auto" w:fill="D9D9D9" w:themeFill="background1" w:themeFillShade="D9"/>
          </w:tcPr>
          <w:p w14:paraId="6F337FEF" w14:textId="77777777" w:rsidR="000A7D9D" w:rsidRPr="006B7D57" w:rsidRDefault="000A7D9D" w:rsidP="00F31937">
            <w:pPr>
              <w:pStyle w:val="BodyText"/>
              <w:tabs>
                <w:tab w:val="left" w:pos="4170"/>
              </w:tabs>
              <w:spacing w:after="0"/>
              <w:rPr>
                <w:noProof/>
                <w:sz w:val="20"/>
                <w:szCs w:val="20"/>
              </w:rPr>
            </w:pPr>
          </w:p>
        </w:tc>
      </w:tr>
      <w:tr w:rsidR="000A7D9D" w:rsidRPr="006B7D57" w14:paraId="529F0C73" w14:textId="77777777" w:rsidTr="00F31937">
        <w:trPr>
          <w:trHeight w:val="300"/>
        </w:trPr>
        <w:tc>
          <w:tcPr>
            <w:tcW w:w="1058" w:type="dxa"/>
            <w:vMerge w:val="restart"/>
            <w:shd w:val="clear" w:color="auto" w:fill="D9D9D9" w:themeFill="background1" w:themeFillShade="D9"/>
          </w:tcPr>
          <w:p w14:paraId="4FB105E9" w14:textId="77777777" w:rsidR="000A7D9D" w:rsidRPr="006B7D57" w:rsidRDefault="000A7D9D" w:rsidP="00F31937">
            <w:pPr>
              <w:pStyle w:val="BodyText"/>
              <w:rPr>
                <w:noProof/>
                <w:sz w:val="20"/>
                <w:szCs w:val="20"/>
              </w:rPr>
            </w:pPr>
            <w:r w:rsidRPr="006B7D57">
              <w:rPr>
                <w:noProof/>
                <w:sz w:val="20"/>
                <w:szCs w:val="20"/>
              </w:rPr>
              <w:t>ECHA</w:t>
            </w:r>
          </w:p>
        </w:tc>
        <w:tc>
          <w:tcPr>
            <w:tcW w:w="4324" w:type="dxa"/>
            <w:vMerge w:val="restart"/>
            <w:shd w:val="clear" w:color="auto" w:fill="D9D9D9" w:themeFill="background1" w:themeFillShade="D9"/>
          </w:tcPr>
          <w:p w14:paraId="553C9C4D" w14:textId="77777777" w:rsidR="000A7D9D" w:rsidRPr="006B7D57" w:rsidRDefault="000A7D9D" w:rsidP="00F31937">
            <w:pPr>
              <w:pStyle w:val="BodyText"/>
              <w:rPr>
                <w:noProof/>
                <w:sz w:val="20"/>
                <w:szCs w:val="20"/>
              </w:rPr>
            </w:pPr>
            <w:r w:rsidRPr="006B7D57">
              <w:rPr>
                <w:noProof/>
                <w:sz w:val="20"/>
                <w:szCs w:val="20"/>
              </w:rPr>
              <w:t xml:space="preserve">Operation and development of IPCHEM </w:t>
            </w:r>
          </w:p>
          <w:p w14:paraId="11451BF4" w14:textId="77777777" w:rsidR="000A7D9D" w:rsidRPr="006B7D57" w:rsidRDefault="000A7D9D" w:rsidP="00F31937">
            <w:pPr>
              <w:pStyle w:val="BodyText"/>
              <w:rPr>
                <w:noProof/>
                <w:sz w:val="20"/>
                <w:szCs w:val="20"/>
              </w:rPr>
            </w:pPr>
            <w:r w:rsidRPr="006B7D57">
              <w:rPr>
                <w:noProof/>
                <w:sz w:val="20"/>
                <w:szCs w:val="20"/>
              </w:rPr>
              <w:t>Collecting and hosting  occupational monitoring data</w:t>
            </w:r>
          </w:p>
        </w:tc>
        <w:tc>
          <w:tcPr>
            <w:tcW w:w="1984" w:type="dxa"/>
            <w:shd w:val="clear" w:color="auto" w:fill="D9D9D9" w:themeFill="background1" w:themeFillShade="D9"/>
          </w:tcPr>
          <w:p w14:paraId="234E1B49" w14:textId="77777777" w:rsidR="000A7D9D" w:rsidRPr="006B7D57" w:rsidRDefault="000A7D9D" w:rsidP="00F31937">
            <w:pPr>
              <w:pStyle w:val="BodyText"/>
              <w:tabs>
                <w:tab w:val="left" w:pos="4170"/>
              </w:tabs>
              <w:rPr>
                <w:noProof/>
                <w:sz w:val="20"/>
                <w:szCs w:val="20"/>
              </w:rPr>
            </w:pPr>
            <w:r w:rsidRPr="006B7D57">
              <w:rPr>
                <w:noProof/>
                <w:sz w:val="20"/>
                <w:szCs w:val="20"/>
              </w:rPr>
              <w:t>Financial resource needs:</w:t>
            </w:r>
          </w:p>
        </w:tc>
        <w:tc>
          <w:tcPr>
            <w:tcW w:w="2262" w:type="dxa"/>
            <w:shd w:val="clear" w:color="auto" w:fill="D9D9D9" w:themeFill="background1" w:themeFillShade="D9"/>
          </w:tcPr>
          <w:p w14:paraId="0679897A" w14:textId="77777777" w:rsidR="000A7D9D" w:rsidRPr="006B7D57" w:rsidRDefault="000A7D9D" w:rsidP="00F31937">
            <w:pPr>
              <w:pStyle w:val="BodyText"/>
              <w:tabs>
                <w:tab w:val="left" w:pos="4170"/>
              </w:tabs>
              <w:spacing w:after="0"/>
              <w:rPr>
                <w:noProof/>
                <w:sz w:val="20"/>
                <w:szCs w:val="20"/>
              </w:rPr>
            </w:pPr>
            <w:r w:rsidRPr="006B7D57">
              <w:rPr>
                <w:noProof/>
                <w:sz w:val="20"/>
                <w:szCs w:val="20"/>
              </w:rPr>
              <w:t xml:space="preserve">2025: </w:t>
            </w:r>
            <w:r w:rsidRPr="006B7D57">
              <w:rPr>
                <w:b/>
                <w:noProof/>
                <w:sz w:val="20"/>
                <w:szCs w:val="20"/>
              </w:rPr>
              <w:t>EUR 0</w:t>
            </w:r>
          </w:p>
          <w:p w14:paraId="7F9BCB82" w14:textId="77777777" w:rsidR="000A7D9D" w:rsidRPr="006B7D57" w:rsidRDefault="000A7D9D" w:rsidP="00F31937">
            <w:pPr>
              <w:pStyle w:val="BodyText"/>
              <w:tabs>
                <w:tab w:val="left" w:pos="4170"/>
              </w:tabs>
              <w:spacing w:after="0"/>
              <w:rPr>
                <w:noProof/>
                <w:sz w:val="20"/>
                <w:szCs w:val="20"/>
              </w:rPr>
            </w:pPr>
            <w:r w:rsidRPr="006B7D57">
              <w:rPr>
                <w:noProof/>
                <w:sz w:val="20"/>
                <w:szCs w:val="20"/>
              </w:rPr>
              <w:t xml:space="preserve">2026: </w:t>
            </w:r>
            <w:r w:rsidRPr="006B7D57">
              <w:rPr>
                <w:b/>
                <w:noProof/>
                <w:sz w:val="20"/>
                <w:szCs w:val="20"/>
              </w:rPr>
              <w:t>EUR 0</w:t>
            </w:r>
          </w:p>
          <w:p w14:paraId="16DB314A" w14:textId="77777777" w:rsidR="000A7D9D" w:rsidRPr="006B7D57" w:rsidRDefault="000A7D9D" w:rsidP="00F31937">
            <w:pPr>
              <w:pStyle w:val="BodyText"/>
              <w:tabs>
                <w:tab w:val="left" w:pos="4170"/>
              </w:tabs>
              <w:spacing w:after="0"/>
              <w:rPr>
                <w:noProof/>
                <w:sz w:val="20"/>
                <w:szCs w:val="20"/>
              </w:rPr>
            </w:pPr>
            <w:r w:rsidRPr="006B7D57">
              <w:rPr>
                <w:noProof/>
                <w:sz w:val="20"/>
                <w:szCs w:val="20"/>
              </w:rPr>
              <w:t xml:space="preserve">2027: </w:t>
            </w:r>
            <w:r w:rsidRPr="006B7D57">
              <w:rPr>
                <w:b/>
                <w:noProof/>
                <w:sz w:val="20"/>
                <w:szCs w:val="20"/>
              </w:rPr>
              <w:t xml:space="preserve">EUR </w:t>
            </w:r>
            <w:r w:rsidRPr="006B7D57">
              <w:rPr>
                <w:b/>
                <w:bCs/>
                <w:noProof/>
                <w:sz w:val="20"/>
                <w:szCs w:val="20"/>
              </w:rPr>
              <w:t>180 000</w:t>
            </w:r>
          </w:p>
          <w:p w14:paraId="71FEAF7C" w14:textId="77777777" w:rsidR="000A7D9D" w:rsidRPr="006B7D57" w:rsidRDefault="000A7D9D" w:rsidP="00F31937">
            <w:pPr>
              <w:pStyle w:val="BodyText"/>
              <w:tabs>
                <w:tab w:val="left" w:pos="4170"/>
              </w:tabs>
              <w:spacing w:after="0"/>
              <w:rPr>
                <w:noProof/>
                <w:sz w:val="20"/>
                <w:szCs w:val="20"/>
              </w:rPr>
            </w:pPr>
            <w:r w:rsidRPr="006B7D57">
              <w:rPr>
                <w:noProof/>
                <w:sz w:val="20"/>
                <w:szCs w:val="20"/>
              </w:rPr>
              <w:t xml:space="preserve">2028: </w:t>
            </w:r>
            <w:r w:rsidRPr="006B7D57">
              <w:rPr>
                <w:b/>
                <w:noProof/>
                <w:sz w:val="20"/>
                <w:szCs w:val="20"/>
              </w:rPr>
              <w:t>EUR</w:t>
            </w:r>
            <w:r w:rsidRPr="006B7D57">
              <w:rPr>
                <w:noProof/>
                <w:sz w:val="20"/>
                <w:szCs w:val="20"/>
              </w:rPr>
              <w:t xml:space="preserve"> </w:t>
            </w:r>
            <w:r w:rsidRPr="006B7D57">
              <w:rPr>
                <w:b/>
                <w:noProof/>
                <w:sz w:val="20"/>
                <w:szCs w:val="20"/>
              </w:rPr>
              <w:t>180 000</w:t>
            </w:r>
          </w:p>
        </w:tc>
      </w:tr>
      <w:tr w:rsidR="000A7D9D" w:rsidRPr="006B7D57" w14:paraId="1DBDCD6C" w14:textId="77777777" w:rsidTr="00F31937">
        <w:trPr>
          <w:trHeight w:val="300"/>
        </w:trPr>
        <w:tc>
          <w:tcPr>
            <w:tcW w:w="1058" w:type="dxa"/>
            <w:vMerge/>
            <w:shd w:val="clear" w:color="auto" w:fill="D9D9D9" w:themeFill="background1" w:themeFillShade="D9"/>
          </w:tcPr>
          <w:p w14:paraId="3AAD80E7" w14:textId="77777777" w:rsidR="000A7D9D" w:rsidRPr="006B7D57" w:rsidRDefault="000A7D9D" w:rsidP="00F31937">
            <w:pPr>
              <w:pStyle w:val="BodyText"/>
              <w:rPr>
                <w:noProof/>
                <w:sz w:val="20"/>
                <w:szCs w:val="20"/>
              </w:rPr>
            </w:pPr>
          </w:p>
        </w:tc>
        <w:tc>
          <w:tcPr>
            <w:tcW w:w="4324" w:type="dxa"/>
            <w:vMerge/>
            <w:shd w:val="clear" w:color="auto" w:fill="D9D9D9" w:themeFill="background1" w:themeFillShade="D9"/>
          </w:tcPr>
          <w:p w14:paraId="2D36F1B0" w14:textId="77777777" w:rsidR="000A7D9D" w:rsidRPr="006B7D57" w:rsidRDefault="000A7D9D" w:rsidP="00F31937">
            <w:pPr>
              <w:pStyle w:val="BodyText"/>
              <w:rPr>
                <w:noProof/>
                <w:sz w:val="20"/>
                <w:szCs w:val="20"/>
              </w:rPr>
            </w:pPr>
          </w:p>
        </w:tc>
        <w:tc>
          <w:tcPr>
            <w:tcW w:w="1984" w:type="dxa"/>
            <w:shd w:val="clear" w:color="auto" w:fill="D9D9D9" w:themeFill="background1" w:themeFillShade="D9"/>
          </w:tcPr>
          <w:p w14:paraId="2FE2C9A0" w14:textId="77777777" w:rsidR="000A7D9D" w:rsidRPr="006B7D57" w:rsidRDefault="000A7D9D" w:rsidP="00F31937">
            <w:pPr>
              <w:pStyle w:val="BodyText"/>
              <w:tabs>
                <w:tab w:val="left" w:pos="4170"/>
              </w:tabs>
              <w:rPr>
                <w:noProof/>
                <w:sz w:val="20"/>
                <w:szCs w:val="20"/>
              </w:rPr>
            </w:pPr>
            <w:r w:rsidRPr="006B7D57">
              <w:rPr>
                <w:noProof/>
                <w:sz w:val="20"/>
                <w:szCs w:val="20"/>
              </w:rPr>
              <w:t>Human resource needs:</w:t>
            </w:r>
          </w:p>
        </w:tc>
        <w:tc>
          <w:tcPr>
            <w:tcW w:w="2262" w:type="dxa"/>
            <w:shd w:val="clear" w:color="auto" w:fill="D9D9D9" w:themeFill="background1" w:themeFillShade="D9"/>
          </w:tcPr>
          <w:p w14:paraId="2A5DCD0D"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2025:  </w:t>
            </w:r>
            <w:r w:rsidRPr="006B7D57">
              <w:rPr>
                <w:b/>
                <w:bCs/>
                <w:noProof/>
                <w:sz w:val="20"/>
                <w:szCs w:val="20"/>
                <w:lang w:val="fr-BE"/>
              </w:rPr>
              <w:t>0 TA, 0 CAs</w:t>
            </w:r>
          </w:p>
          <w:p w14:paraId="6B9041F6"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2026:  </w:t>
            </w:r>
            <w:r w:rsidRPr="006B7D57">
              <w:rPr>
                <w:b/>
                <w:noProof/>
                <w:sz w:val="20"/>
                <w:szCs w:val="20"/>
                <w:lang w:val="fr-BE"/>
              </w:rPr>
              <w:t>1 TA, 1 CAs</w:t>
            </w:r>
          </w:p>
          <w:p w14:paraId="183F7D32"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2027:  </w:t>
            </w:r>
            <w:r w:rsidRPr="006B7D57">
              <w:rPr>
                <w:b/>
                <w:noProof/>
                <w:sz w:val="20"/>
                <w:szCs w:val="20"/>
                <w:lang w:val="fr-BE"/>
              </w:rPr>
              <w:t>1 TA, 1 CAs</w:t>
            </w:r>
          </w:p>
          <w:p w14:paraId="56B2A055"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2028:  </w:t>
            </w:r>
            <w:r w:rsidRPr="006B7D57">
              <w:rPr>
                <w:b/>
                <w:noProof/>
                <w:sz w:val="20"/>
                <w:szCs w:val="20"/>
                <w:lang w:val="fr-BE"/>
              </w:rPr>
              <w:t>1 TA, 1 CAs</w:t>
            </w:r>
          </w:p>
        </w:tc>
      </w:tr>
      <w:tr w:rsidR="000A7D9D" w:rsidRPr="006B7D57" w14:paraId="7D30B284" w14:textId="77777777" w:rsidTr="00F31937">
        <w:trPr>
          <w:trHeight w:val="300"/>
        </w:trPr>
        <w:tc>
          <w:tcPr>
            <w:tcW w:w="1058" w:type="dxa"/>
            <w:vMerge w:val="restart"/>
            <w:shd w:val="clear" w:color="auto" w:fill="D9D9D9" w:themeFill="background1" w:themeFillShade="D9"/>
          </w:tcPr>
          <w:p w14:paraId="157E7B55" w14:textId="77777777" w:rsidR="000A7D9D" w:rsidRPr="006B7D57" w:rsidRDefault="000A7D9D" w:rsidP="00F31937">
            <w:pPr>
              <w:pStyle w:val="BodyText"/>
              <w:rPr>
                <w:noProof/>
                <w:sz w:val="20"/>
                <w:szCs w:val="20"/>
              </w:rPr>
            </w:pPr>
            <w:r w:rsidRPr="006B7D57">
              <w:rPr>
                <w:noProof/>
                <w:sz w:val="20"/>
                <w:szCs w:val="20"/>
              </w:rPr>
              <w:t>EEA</w:t>
            </w:r>
          </w:p>
        </w:tc>
        <w:tc>
          <w:tcPr>
            <w:tcW w:w="4324" w:type="dxa"/>
            <w:vMerge w:val="restart"/>
            <w:shd w:val="clear" w:color="auto" w:fill="D9D9D9" w:themeFill="background1" w:themeFillShade="D9"/>
          </w:tcPr>
          <w:p w14:paraId="304E3037" w14:textId="77777777" w:rsidR="000A7D9D" w:rsidRPr="006B7D57" w:rsidRDefault="000A7D9D" w:rsidP="00F31937">
            <w:pPr>
              <w:pStyle w:val="BodyText"/>
              <w:rPr>
                <w:noProof/>
                <w:sz w:val="20"/>
                <w:szCs w:val="20"/>
              </w:rPr>
            </w:pPr>
            <w:r w:rsidRPr="006B7D57">
              <w:rPr>
                <w:noProof/>
                <w:sz w:val="20"/>
                <w:szCs w:val="20"/>
              </w:rPr>
              <w:t xml:space="preserve">Collecting and hosting human biomonitoring data, developing a data model and creating a reporting structure to host human biomonitoring data. </w:t>
            </w:r>
          </w:p>
          <w:p w14:paraId="429C7AA2" w14:textId="77777777" w:rsidR="000A7D9D" w:rsidRPr="006B7D57" w:rsidRDefault="000A7D9D" w:rsidP="00F31937">
            <w:pPr>
              <w:pStyle w:val="BodyText"/>
              <w:rPr>
                <w:noProof/>
                <w:sz w:val="20"/>
                <w:szCs w:val="20"/>
              </w:rPr>
            </w:pPr>
            <w:r w:rsidRPr="006B7D57">
              <w:rPr>
                <w:noProof/>
                <w:sz w:val="20"/>
                <w:szCs w:val="20"/>
              </w:rPr>
              <w:t>Hosting indoor air data</w:t>
            </w:r>
          </w:p>
          <w:p w14:paraId="08196BBA" w14:textId="77777777" w:rsidR="000A7D9D" w:rsidRPr="006B7D57" w:rsidRDefault="000A7D9D" w:rsidP="00F31937">
            <w:pPr>
              <w:pStyle w:val="BodyText"/>
              <w:rPr>
                <w:noProof/>
                <w:sz w:val="20"/>
                <w:szCs w:val="20"/>
              </w:rPr>
            </w:pPr>
            <w:r w:rsidRPr="006B7D57">
              <w:rPr>
                <w:noProof/>
                <w:sz w:val="20"/>
                <w:szCs w:val="20"/>
              </w:rPr>
              <w:t>Collecting and hosting environmental occurrence data</w:t>
            </w:r>
          </w:p>
        </w:tc>
        <w:tc>
          <w:tcPr>
            <w:tcW w:w="1984" w:type="dxa"/>
            <w:shd w:val="clear" w:color="auto" w:fill="D9D9D9" w:themeFill="background1" w:themeFillShade="D9"/>
          </w:tcPr>
          <w:p w14:paraId="52466E00" w14:textId="77777777" w:rsidR="000A7D9D" w:rsidRPr="006B7D57" w:rsidRDefault="000A7D9D" w:rsidP="00F31937">
            <w:pPr>
              <w:pStyle w:val="BodyText"/>
              <w:tabs>
                <w:tab w:val="left" w:pos="4170"/>
              </w:tabs>
              <w:rPr>
                <w:noProof/>
                <w:sz w:val="20"/>
                <w:szCs w:val="20"/>
              </w:rPr>
            </w:pPr>
            <w:r w:rsidRPr="006B7D57">
              <w:rPr>
                <w:noProof/>
                <w:sz w:val="20"/>
                <w:szCs w:val="20"/>
              </w:rPr>
              <w:t>Financial resource needs:</w:t>
            </w:r>
          </w:p>
        </w:tc>
        <w:tc>
          <w:tcPr>
            <w:tcW w:w="2262" w:type="dxa"/>
            <w:shd w:val="clear" w:color="auto" w:fill="D9D9D9" w:themeFill="background1" w:themeFillShade="D9"/>
          </w:tcPr>
          <w:p w14:paraId="72F6CF03" w14:textId="77777777" w:rsidR="000A7D9D" w:rsidRPr="006B7D57" w:rsidRDefault="000A7D9D" w:rsidP="00F31937">
            <w:pPr>
              <w:pStyle w:val="BodyText"/>
              <w:tabs>
                <w:tab w:val="left" w:pos="4170"/>
              </w:tabs>
              <w:spacing w:after="0"/>
              <w:rPr>
                <w:b/>
                <w:bCs/>
                <w:noProof/>
                <w:sz w:val="20"/>
                <w:szCs w:val="20"/>
                <w:lang w:val="fr-BE"/>
              </w:rPr>
            </w:pPr>
            <w:r w:rsidRPr="006B7D57">
              <w:rPr>
                <w:noProof/>
                <w:sz w:val="20"/>
                <w:szCs w:val="20"/>
                <w:lang w:val="fr-BE"/>
              </w:rPr>
              <w:t xml:space="preserve">2025: </w:t>
            </w:r>
            <w:r w:rsidRPr="006B7D57">
              <w:rPr>
                <w:b/>
                <w:noProof/>
                <w:sz w:val="20"/>
                <w:szCs w:val="20"/>
                <w:lang w:val="fr-BE"/>
              </w:rPr>
              <w:t>EUR 0</w:t>
            </w:r>
          </w:p>
          <w:p w14:paraId="01709E34"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2026: </w:t>
            </w:r>
            <w:r w:rsidRPr="006B7D57">
              <w:rPr>
                <w:b/>
                <w:noProof/>
                <w:sz w:val="20"/>
                <w:szCs w:val="20"/>
                <w:lang w:val="fr-BE"/>
              </w:rPr>
              <w:t>EUR 200 000</w:t>
            </w:r>
            <w:r w:rsidRPr="006B7D57">
              <w:rPr>
                <w:noProof/>
                <w:sz w:val="20"/>
                <w:szCs w:val="20"/>
                <w:lang w:val="fr-BE"/>
              </w:rPr>
              <w:t xml:space="preserve"> </w:t>
            </w:r>
          </w:p>
          <w:p w14:paraId="5871EAF5"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2027: </w:t>
            </w:r>
            <w:r w:rsidRPr="006B7D57">
              <w:rPr>
                <w:b/>
                <w:noProof/>
                <w:sz w:val="20"/>
                <w:szCs w:val="20"/>
                <w:lang w:val="fr-BE"/>
              </w:rPr>
              <w:t>EUR</w:t>
            </w:r>
            <w:r w:rsidRPr="006B7D57">
              <w:rPr>
                <w:noProof/>
                <w:sz w:val="20"/>
                <w:szCs w:val="20"/>
                <w:lang w:val="fr-BE"/>
              </w:rPr>
              <w:t xml:space="preserve"> </w:t>
            </w:r>
            <w:r w:rsidRPr="006B7D57">
              <w:rPr>
                <w:b/>
                <w:bCs/>
                <w:noProof/>
                <w:sz w:val="20"/>
                <w:szCs w:val="20"/>
                <w:lang w:val="fr-BE"/>
              </w:rPr>
              <w:t>200 000</w:t>
            </w:r>
          </w:p>
          <w:p w14:paraId="254FB071"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2028: </w:t>
            </w:r>
            <w:r w:rsidRPr="006B7D57">
              <w:rPr>
                <w:b/>
                <w:noProof/>
                <w:sz w:val="20"/>
                <w:szCs w:val="20"/>
                <w:lang w:val="fr-BE"/>
              </w:rPr>
              <w:t>EUR</w:t>
            </w:r>
            <w:r w:rsidRPr="006B7D57">
              <w:rPr>
                <w:noProof/>
                <w:sz w:val="20"/>
                <w:szCs w:val="20"/>
                <w:lang w:val="fr-BE"/>
              </w:rPr>
              <w:t xml:space="preserve"> </w:t>
            </w:r>
            <w:r w:rsidRPr="006B7D57">
              <w:rPr>
                <w:b/>
                <w:noProof/>
                <w:sz w:val="20"/>
                <w:szCs w:val="20"/>
                <w:lang w:val="fr-BE"/>
              </w:rPr>
              <w:t>50 000</w:t>
            </w:r>
          </w:p>
        </w:tc>
      </w:tr>
      <w:tr w:rsidR="000A7D9D" w:rsidRPr="006B7D57" w14:paraId="0D2FDF28" w14:textId="77777777" w:rsidTr="00F31937">
        <w:trPr>
          <w:trHeight w:val="300"/>
        </w:trPr>
        <w:tc>
          <w:tcPr>
            <w:tcW w:w="1058" w:type="dxa"/>
            <w:vMerge/>
            <w:shd w:val="clear" w:color="auto" w:fill="D9D9D9" w:themeFill="background1" w:themeFillShade="D9"/>
          </w:tcPr>
          <w:p w14:paraId="503D7F7E" w14:textId="77777777" w:rsidR="000A7D9D" w:rsidRPr="006B7D57" w:rsidRDefault="000A7D9D" w:rsidP="00F31937">
            <w:pPr>
              <w:pStyle w:val="BodyText"/>
              <w:rPr>
                <w:noProof/>
                <w:sz w:val="20"/>
                <w:szCs w:val="20"/>
                <w:lang w:val="fr-BE"/>
              </w:rPr>
            </w:pPr>
          </w:p>
        </w:tc>
        <w:tc>
          <w:tcPr>
            <w:tcW w:w="4324" w:type="dxa"/>
            <w:vMerge/>
            <w:shd w:val="clear" w:color="auto" w:fill="D9D9D9" w:themeFill="background1" w:themeFillShade="D9"/>
          </w:tcPr>
          <w:p w14:paraId="6250E342" w14:textId="77777777" w:rsidR="000A7D9D" w:rsidRPr="006B7D57" w:rsidRDefault="000A7D9D" w:rsidP="00F31937">
            <w:pPr>
              <w:pStyle w:val="BodyText"/>
              <w:rPr>
                <w:noProof/>
                <w:sz w:val="20"/>
                <w:szCs w:val="20"/>
                <w:lang w:val="fr-BE"/>
              </w:rPr>
            </w:pPr>
          </w:p>
        </w:tc>
        <w:tc>
          <w:tcPr>
            <w:tcW w:w="1984" w:type="dxa"/>
            <w:shd w:val="clear" w:color="auto" w:fill="D9D9D9" w:themeFill="background1" w:themeFillShade="D9"/>
          </w:tcPr>
          <w:p w14:paraId="542B36B0" w14:textId="77777777" w:rsidR="000A7D9D" w:rsidRPr="006B7D57" w:rsidRDefault="000A7D9D" w:rsidP="00F31937">
            <w:pPr>
              <w:pStyle w:val="BodyText"/>
              <w:tabs>
                <w:tab w:val="left" w:pos="4170"/>
              </w:tabs>
              <w:rPr>
                <w:noProof/>
                <w:sz w:val="20"/>
                <w:szCs w:val="20"/>
              </w:rPr>
            </w:pPr>
            <w:r w:rsidRPr="006B7D57">
              <w:rPr>
                <w:noProof/>
                <w:sz w:val="20"/>
                <w:szCs w:val="20"/>
              </w:rPr>
              <w:t>Human resource needs:</w:t>
            </w:r>
          </w:p>
        </w:tc>
        <w:tc>
          <w:tcPr>
            <w:tcW w:w="2262" w:type="dxa"/>
            <w:shd w:val="clear" w:color="auto" w:fill="D9D9D9" w:themeFill="background1" w:themeFillShade="D9"/>
          </w:tcPr>
          <w:p w14:paraId="18DDE45E"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2025:  </w:t>
            </w:r>
            <w:r w:rsidRPr="006B7D57">
              <w:rPr>
                <w:b/>
                <w:noProof/>
                <w:sz w:val="20"/>
                <w:szCs w:val="20"/>
                <w:lang w:val="fr-BE"/>
              </w:rPr>
              <w:t>1 TA, 0 CAs</w:t>
            </w:r>
          </w:p>
          <w:p w14:paraId="138EA93E"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2026:  </w:t>
            </w:r>
            <w:r w:rsidRPr="006B7D57">
              <w:rPr>
                <w:b/>
                <w:noProof/>
                <w:sz w:val="20"/>
                <w:szCs w:val="20"/>
                <w:lang w:val="fr-BE"/>
              </w:rPr>
              <w:t>1 TA, 0 CAs</w:t>
            </w:r>
          </w:p>
          <w:p w14:paraId="62FF60C0" w14:textId="77777777" w:rsidR="000A7D9D" w:rsidRPr="006B7D57" w:rsidRDefault="000A7D9D" w:rsidP="00F31937">
            <w:pPr>
              <w:pStyle w:val="BodyText"/>
              <w:tabs>
                <w:tab w:val="left" w:pos="4170"/>
              </w:tabs>
              <w:spacing w:after="0"/>
              <w:rPr>
                <w:b/>
                <w:noProof/>
                <w:sz w:val="20"/>
                <w:szCs w:val="20"/>
                <w:lang w:val="fr-BE"/>
              </w:rPr>
            </w:pPr>
            <w:r w:rsidRPr="006B7D57">
              <w:rPr>
                <w:noProof/>
                <w:sz w:val="20"/>
                <w:szCs w:val="20"/>
                <w:lang w:val="fr-BE"/>
              </w:rPr>
              <w:t xml:space="preserve">2027:  </w:t>
            </w:r>
            <w:r w:rsidRPr="006B7D57">
              <w:rPr>
                <w:b/>
                <w:noProof/>
                <w:sz w:val="20"/>
                <w:szCs w:val="20"/>
                <w:lang w:val="fr-BE"/>
              </w:rPr>
              <w:t>1 TA, 0 CAs</w:t>
            </w:r>
          </w:p>
          <w:p w14:paraId="7A2F8C8C"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2028:  </w:t>
            </w:r>
            <w:r w:rsidRPr="006B7D57">
              <w:rPr>
                <w:b/>
                <w:noProof/>
                <w:sz w:val="20"/>
                <w:szCs w:val="20"/>
                <w:lang w:val="fr-BE"/>
              </w:rPr>
              <w:t>1 TA, 0 CAs</w:t>
            </w:r>
          </w:p>
        </w:tc>
      </w:tr>
      <w:tr w:rsidR="000A7D9D" w:rsidRPr="006B7D57" w14:paraId="17ADB994" w14:textId="77777777" w:rsidTr="00F31937">
        <w:trPr>
          <w:trHeight w:val="300"/>
        </w:trPr>
        <w:tc>
          <w:tcPr>
            <w:tcW w:w="1058" w:type="dxa"/>
            <w:vMerge w:val="restart"/>
            <w:shd w:val="clear" w:color="auto" w:fill="D9D9D9" w:themeFill="background1" w:themeFillShade="D9"/>
          </w:tcPr>
          <w:p w14:paraId="0090C499" w14:textId="77777777" w:rsidR="000A7D9D" w:rsidRPr="006B7D57" w:rsidRDefault="000A7D9D" w:rsidP="00F31937">
            <w:pPr>
              <w:pStyle w:val="BodyText"/>
              <w:rPr>
                <w:noProof/>
                <w:sz w:val="20"/>
                <w:szCs w:val="20"/>
                <w:lang w:val="fr-BE"/>
              </w:rPr>
            </w:pPr>
            <w:r w:rsidRPr="006B7D57">
              <w:rPr>
                <w:noProof/>
                <w:sz w:val="20"/>
                <w:szCs w:val="20"/>
                <w:lang w:val="fr-BE"/>
              </w:rPr>
              <w:t>EFSA</w:t>
            </w:r>
          </w:p>
          <w:p w14:paraId="4CD2C480" w14:textId="77777777" w:rsidR="000A7D9D" w:rsidRPr="006B7D57" w:rsidRDefault="000A7D9D" w:rsidP="00F31937">
            <w:pPr>
              <w:pStyle w:val="BodyText"/>
              <w:rPr>
                <w:noProof/>
                <w:sz w:val="20"/>
                <w:szCs w:val="20"/>
                <w:lang w:val="fr-BE"/>
              </w:rPr>
            </w:pPr>
            <w:r w:rsidRPr="006B7D57">
              <w:rPr>
                <w:noProof/>
                <w:sz w:val="20"/>
                <w:szCs w:val="20"/>
                <w:lang w:val="fr-BE"/>
              </w:rPr>
              <w:t>EMA</w:t>
            </w:r>
          </w:p>
          <w:p w14:paraId="4CC92EB4" w14:textId="77777777" w:rsidR="000A7D9D" w:rsidRPr="006B7D57" w:rsidRDefault="000A7D9D" w:rsidP="00F31937">
            <w:pPr>
              <w:pStyle w:val="BodyText"/>
              <w:rPr>
                <w:noProof/>
                <w:sz w:val="20"/>
                <w:szCs w:val="20"/>
                <w:lang w:val="fr-BE"/>
              </w:rPr>
            </w:pPr>
            <w:r w:rsidRPr="006B7D57">
              <w:rPr>
                <w:noProof/>
                <w:sz w:val="20"/>
                <w:szCs w:val="20"/>
                <w:lang w:val="fr-BE"/>
              </w:rPr>
              <w:t>EU-OSHA</w:t>
            </w:r>
          </w:p>
        </w:tc>
        <w:tc>
          <w:tcPr>
            <w:tcW w:w="4324" w:type="dxa"/>
            <w:vMerge w:val="restart"/>
            <w:shd w:val="clear" w:color="auto" w:fill="D9D9D9" w:themeFill="background1" w:themeFillShade="D9"/>
          </w:tcPr>
          <w:p w14:paraId="5D118A47" w14:textId="77777777" w:rsidR="000A7D9D" w:rsidRPr="006B7D57" w:rsidRDefault="000A7D9D" w:rsidP="00F31937">
            <w:pPr>
              <w:pStyle w:val="BodyText"/>
              <w:rPr>
                <w:noProof/>
                <w:sz w:val="20"/>
                <w:szCs w:val="20"/>
              </w:rPr>
            </w:pPr>
            <w:r w:rsidRPr="006B7D57">
              <w:rPr>
                <w:noProof/>
                <w:sz w:val="20"/>
                <w:szCs w:val="20"/>
              </w:rPr>
              <w:t>Provision of occurrence data</w:t>
            </w:r>
          </w:p>
          <w:p w14:paraId="04F2AC4C" w14:textId="77777777" w:rsidR="000A7D9D" w:rsidRPr="006B7D57" w:rsidRDefault="000A7D9D" w:rsidP="00F31937">
            <w:pPr>
              <w:pStyle w:val="BodyText"/>
              <w:rPr>
                <w:noProof/>
                <w:sz w:val="20"/>
                <w:szCs w:val="20"/>
              </w:rPr>
            </w:pPr>
            <w:r w:rsidRPr="006B7D57">
              <w:rPr>
                <w:noProof/>
                <w:sz w:val="20"/>
                <w:szCs w:val="20"/>
              </w:rPr>
              <w:t>Cooperation and coordination on IPCHEM</w:t>
            </w:r>
          </w:p>
        </w:tc>
        <w:tc>
          <w:tcPr>
            <w:tcW w:w="1984" w:type="dxa"/>
            <w:shd w:val="clear" w:color="auto" w:fill="D9D9D9" w:themeFill="background1" w:themeFillShade="D9"/>
          </w:tcPr>
          <w:p w14:paraId="6CC8A5AA" w14:textId="77777777" w:rsidR="000A7D9D" w:rsidRPr="006B7D57" w:rsidRDefault="000A7D9D" w:rsidP="00F31937">
            <w:pPr>
              <w:pStyle w:val="BodyText"/>
              <w:tabs>
                <w:tab w:val="left" w:pos="4170"/>
              </w:tabs>
              <w:rPr>
                <w:noProof/>
                <w:sz w:val="20"/>
                <w:szCs w:val="20"/>
              </w:rPr>
            </w:pPr>
            <w:r w:rsidRPr="006B7D57">
              <w:rPr>
                <w:noProof/>
                <w:sz w:val="20"/>
                <w:szCs w:val="20"/>
              </w:rPr>
              <w:t>Financial resource needs:</w:t>
            </w:r>
          </w:p>
        </w:tc>
        <w:tc>
          <w:tcPr>
            <w:tcW w:w="2262" w:type="dxa"/>
            <w:shd w:val="clear" w:color="auto" w:fill="D9D9D9" w:themeFill="background1" w:themeFillShade="D9"/>
          </w:tcPr>
          <w:p w14:paraId="68886497" w14:textId="77777777" w:rsidR="000A7D9D" w:rsidRPr="006B7D57" w:rsidRDefault="000A7D9D" w:rsidP="00F31937">
            <w:pPr>
              <w:pStyle w:val="BodyText"/>
              <w:tabs>
                <w:tab w:val="left" w:pos="4170"/>
              </w:tabs>
              <w:spacing w:after="0"/>
              <w:rPr>
                <w:b/>
                <w:bCs/>
                <w:noProof/>
                <w:sz w:val="20"/>
                <w:szCs w:val="20"/>
                <w:lang w:val="fr-BE"/>
              </w:rPr>
            </w:pPr>
            <w:r w:rsidRPr="006B7D57">
              <w:rPr>
                <w:noProof/>
                <w:sz w:val="20"/>
                <w:szCs w:val="20"/>
                <w:lang w:val="fr-BE"/>
              </w:rPr>
              <w:t xml:space="preserve">2025:  </w:t>
            </w:r>
            <w:r w:rsidRPr="006B7D57">
              <w:rPr>
                <w:b/>
                <w:noProof/>
                <w:sz w:val="20"/>
                <w:szCs w:val="20"/>
                <w:lang w:val="fr-BE"/>
              </w:rPr>
              <w:t>EUR 0</w:t>
            </w:r>
          </w:p>
          <w:p w14:paraId="5387DC2E"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2026:  </w:t>
            </w:r>
            <w:r w:rsidRPr="006B7D57">
              <w:rPr>
                <w:b/>
                <w:noProof/>
                <w:sz w:val="20"/>
                <w:szCs w:val="20"/>
                <w:lang w:val="fr-BE"/>
              </w:rPr>
              <w:t>EUR 0</w:t>
            </w:r>
            <w:r w:rsidRPr="006B7D57">
              <w:rPr>
                <w:noProof/>
                <w:sz w:val="20"/>
                <w:szCs w:val="20"/>
                <w:lang w:val="fr-BE"/>
              </w:rPr>
              <w:t xml:space="preserve"> </w:t>
            </w:r>
          </w:p>
          <w:p w14:paraId="1E16BD0F"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2027:  </w:t>
            </w:r>
            <w:r w:rsidRPr="006B7D57">
              <w:rPr>
                <w:b/>
                <w:noProof/>
                <w:sz w:val="20"/>
                <w:szCs w:val="20"/>
                <w:lang w:val="fr-BE"/>
              </w:rPr>
              <w:t>EUR</w:t>
            </w:r>
            <w:r w:rsidRPr="006B7D57">
              <w:rPr>
                <w:noProof/>
                <w:sz w:val="20"/>
                <w:szCs w:val="20"/>
                <w:lang w:val="fr-BE"/>
              </w:rPr>
              <w:t xml:space="preserve"> </w:t>
            </w:r>
            <w:r w:rsidRPr="006B7D57">
              <w:rPr>
                <w:b/>
                <w:bCs/>
                <w:noProof/>
                <w:sz w:val="20"/>
                <w:szCs w:val="20"/>
                <w:lang w:val="fr-BE"/>
              </w:rPr>
              <w:t>0</w:t>
            </w:r>
          </w:p>
          <w:p w14:paraId="695FB4F3" w14:textId="77777777" w:rsidR="000A7D9D" w:rsidRPr="006B7D57" w:rsidRDefault="000A7D9D" w:rsidP="00F31937">
            <w:pPr>
              <w:pStyle w:val="BodyText"/>
              <w:tabs>
                <w:tab w:val="left" w:pos="4170"/>
              </w:tabs>
              <w:spacing w:after="0"/>
              <w:rPr>
                <w:noProof/>
                <w:sz w:val="20"/>
                <w:szCs w:val="20"/>
              </w:rPr>
            </w:pPr>
            <w:r w:rsidRPr="006B7D57">
              <w:rPr>
                <w:noProof/>
                <w:sz w:val="20"/>
                <w:szCs w:val="20"/>
                <w:lang w:val="fr-BE"/>
              </w:rPr>
              <w:t xml:space="preserve">2028:  </w:t>
            </w:r>
            <w:r w:rsidRPr="006B7D57">
              <w:rPr>
                <w:b/>
                <w:noProof/>
                <w:sz w:val="20"/>
                <w:szCs w:val="20"/>
                <w:lang w:val="fr-BE"/>
              </w:rPr>
              <w:t>EUR</w:t>
            </w:r>
            <w:r w:rsidRPr="006B7D57">
              <w:rPr>
                <w:noProof/>
                <w:sz w:val="20"/>
                <w:szCs w:val="20"/>
                <w:lang w:val="fr-BE"/>
              </w:rPr>
              <w:t xml:space="preserve"> </w:t>
            </w:r>
            <w:r w:rsidRPr="006B7D57">
              <w:rPr>
                <w:b/>
                <w:noProof/>
                <w:sz w:val="20"/>
                <w:szCs w:val="20"/>
                <w:lang w:val="fr-BE"/>
              </w:rPr>
              <w:t>0</w:t>
            </w:r>
          </w:p>
        </w:tc>
      </w:tr>
      <w:tr w:rsidR="000A7D9D" w:rsidRPr="006B7D57" w14:paraId="3080DC26" w14:textId="77777777" w:rsidTr="00F31937">
        <w:trPr>
          <w:trHeight w:val="300"/>
        </w:trPr>
        <w:tc>
          <w:tcPr>
            <w:tcW w:w="1058" w:type="dxa"/>
            <w:vMerge/>
            <w:shd w:val="clear" w:color="auto" w:fill="D9D9D9" w:themeFill="background1" w:themeFillShade="D9"/>
          </w:tcPr>
          <w:p w14:paraId="7EB51A6F" w14:textId="77777777" w:rsidR="000A7D9D" w:rsidRPr="006B7D57" w:rsidRDefault="000A7D9D" w:rsidP="00F31937">
            <w:pPr>
              <w:pStyle w:val="BodyText"/>
              <w:rPr>
                <w:noProof/>
                <w:sz w:val="20"/>
                <w:szCs w:val="20"/>
              </w:rPr>
            </w:pPr>
          </w:p>
        </w:tc>
        <w:tc>
          <w:tcPr>
            <w:tcW w:w="4324" w:type="dxa"/>
            <w:vMerge/>
            <w:shd w:val="clear" w:color="auto" w:fill="D9D9D9" w:themeFill="background1" w:themeFillShade="D9"/>
          </w:tcPr>
          <w:p w14:paraId="04C412F5" w14:textId="77777777" w:rsidR="000A7D9D" w:rsidRPr="006B7D57" w:rsidRDefault="000A7D9D" w:rsidP="00F31937">
            <w:pPr>
              <w:pStyle w:val="BodyText"/>
              <w:rPr>
                <w:noProof/>
                <w:sz w:val="20"/>
                <w:szCs w:val="20"/>
              </w:rPr>
            </w:pPr>
          </w:p>
        </w:tc>
        <w:tc>
          <w:tcPr>
            <w:tcW w:w="1984" w:type="dxa"/>
            <w:shd w:val="clear" w:color="auto" w:fill="D9D9D9" w:themeFill="background1" w:themeFillShade="D9"/>
          </w:tcPr>
          <w:p w14:paraId="7117F394" w14:textId="77777777" w:rsidR="000A7D9D" w:rsidRPr="006B7D57" w:rsidRDefault="000A7D9D" w:rsidP="00F31937">
            <w:pPr>
              <w:pStyle w:val="BodyText"/>
              <w:tabs>
                <w:tab w:val="left" w:pos="4170"/>
              </w:tabs>
              <w:rPr>
                <w:noProof/>
                <w:sz w:val="20"/>
                <w:szCs w:val="20"/>
              </w:rPr>
            </w:pPr>
            <w:r w:rsidRPr="006B7D57">
              <w:rPr>
                <w:noProof/>
                <w:sz w:val="20"/>
                <w:szCs w:val="20"/>
              </w:rPr>
              <w:t>Human resource needs:</w:t>
            </w:r>
          </w:p>
        </w:tc>
        <w:tc>
          <w:tcPr>
            <w:tcW w:w="2262" w:type="dxa"/>
            <w:shd w:val="clear" w:color="auto" w:fill="D9D9D9" w:themeFill="background1" w:themeFillShade="D9"/>
          </w:tcPr>
          <w:p w14:paraId="3EE865E8"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2025:  </w:t>
            </w:r>
            <w:r w:rsidRPr="006B7D57">
              <w:rPr>
                <w:b/>
                <w:noProof/>
                <w:sz w:val="20"/>
                <w:szCs w:val="20"/>
                <w:lang w:val="fr-BE"/>
              </w:rPr>
              <w:t>0 FTEs</w:t>
            </w:r>
          </w:p>
          <w:p w14:paraId="749A59E8" w14:textId="77777777" w:rsidR="000A7D9D" w:rsidRPr="006B7D57" w:rsidRDefault="000A7D9D" w:rsidP="00F31937">
            <w:pPr>
              <w:pStyle w:val="BodyText"/>
              <w:tabs>
                <w:tab w:val="left" w:pos="4170"/>
              </w:tabs>
              <w:spacing w:after="0"/>
              <w:rPr>
                <w:noProof/>
                <w:sz w:val="20"/>
                <w:szCs w:val="20"/>
                <w:lang w:val="fr-BE"/>
              </w:rPr>
            </w:pPr>
            <w:r w:rsidRPr="006B7D57">
              <w:rPr>
                <w:noProof/>
                <w:sz w:val="20"/>
                <w:szCs w:val="20"/>
                <w:lang w:val="fr-BE"/>
              </w:rPr>
              <w:t xml:space="preserve">2026:  </w:t>
            </w:r>
            <w:r w:rsidRPr="006B7D57">
              <w:rPr>
                <w:b/>
                <w:noProof/>
                <w:sz w:val="20"/>
                <w:szCs w:val="20"/>
                <w:lang w:val="fr-BE"/>
              </w:rPr>
              <w:t>0 FTEs</w:t>
            </w:r>
          </w:p>
          <w:p w14:paraId="6078174F" w14:textId="77777777" w:rsidR="000A7D9D" w:rsidRPr="006B7D57" w:rsidRDefault="000A7D9D" w:rsidP="00F31937">
            <w:pPr>
              <w:pStyle w:val="BodyText"/>
              <w:tabs>
                <w:tab w:val="left" w:pos="4170"/>
              </w:tabs>
              <w:spacing w:after="0"/>
              <w:rPr>
                <w:b/>
                <w:noProof/>
                <w:sz w:val="20"/>
                <w:szCs w:val="20"/>
                <w:lang w:val="fr-BE"/>
              </w:rPr>
            </w:pPr>
            <w:r w:rsidRPr="006B7D57">
              <w:rPr>
                <w:noProof/>
                <w:sz w:val="20"/>
                <w:szCs w:val="20"/>
                <w:lang w:val="fr-BE"/>
              </w:rPr>
              <w:t xml:space="preserve">2027:  </w:t>
            </w:r>
            <w:r w:rsidRPr="006B7D57">
              <w:rPr>
                <w:b/>
                <w:noProof/>
                <w:sz w:val="20"/>
                <w:szCs w:val="20"/>
                <w:lang w:val="fr-BE"/>
              </w:rPr>
              <w:t>0 FTEs</w:t>
            </w:r>
          </w:p>
          <w:p w14:paraId="7A231F9E" w14:textId="77777777" w:rsidR="000A7D9D" w:rsidRPr="006B7D57" w:rsidRDefault="000A7D9D" w:rsidP="00F31937">
            <w:pPr>
              <w:pStyle w:val="BodyText"/>
              <w:tabs>
                <w:tab w:val="left" w:pos="4170"/>
              </w:tabs>
              <w:spacing w:after="0"/>
              <w:rPr>
                <w:noProof/>
                <w:sz w:val="20"/>
                <w:szCs w:val="20"/>
              </w:rPr>
            </w:pPr>
            <w:r w:rsidRPr="006B7D57">
              <w:rPr>
                <w:noProof/>
                <w:sz w:val="20"/>
                <w:szCs w:val="20"/>
                <w:lang w:val="fr-BE"/>
              </w:rPr>
              <w:t xml:space="preserve">2028:  </w:t>
            </w:r>
            <w:r w:rsidRPr="006B7D57">
              <w:rPr>
                <w:b/>
                <w:noProof/>
                <w:sz w:val="20"/>
                <w:szCs w:val="20"/>
                <w:lang w:val="fr-BE"/>
              </w:rPr>
              <w:t>0 FTEs</w:t>
            </w:r>
          </w:p>
        </w:tc>
      </w:tr>
    </w:tbl>
    <w:p w14:paraId="5A8A5912" w14:textId="77777777" w:rsidR="000A7D9D" w:rsidRPr="005329B6" w:rsidRDefault="000A7D9D" w:rsidP="000A7D9D">
      <w:pPr>
        <w:pStyle w:val="BodyText"/>
        <w:rPr>
          <w:b/>
          <w:bCs/>
          <w:noProof/>
        </w:rPr>
      </w:pPr>
    </w:p>
    <w:p w14:paraId="0887FB62" w14:textId="77777777" w:rsidR="000A7D9D" w:rsidRPr="00F521F8" w:rsidRDefault="000A7D9D" w:rsidP="000A7D9D">
      <w:pPr>
        <w:pStyle w:val="BodyText"/>
        <w:tabs>
          <w:tab w:val="left" w:pos="4170"/>
        </w:tabs>
        <w:spacing w:before="120"/>
        <w:rPr>
          <w:noProof/>
          <w:color w:val="000000" w:themeColor="text1"/>
        </w:rPr>
      </w:pPr>
      <w:r w:rsidRPr="00F521F8">
        <w:rPr>
          <w:noProof/>
          <w:u w:val="single"/>
        </w:rPr>
        <w:t>Future budget line:</w:t>
      </w:r>
      <w:r w:rsidRPr="00F521F8">
        <w:rPr>
          <w:noProof/>
        </w:rPr>
        <w:t xml:space="preserve"> DG Environment </w:t>
      </w:r>
    </w:p>
    <w:p w14:paraId="63C38B08" w14:textId="77777777" w:rsidR="000A7D9D" w:rsidRPr="00F521F8" w:rsidRDefault="000A7D9D" w:rsidP="000A7D9D">
      <w:pPr>
        <w:pStyle w:val="BodyText"/>
        <w:rPr>
          <w:b/>
          <w:bCs/>
          <w:noProof/>
        </w:rPr>
      </w:pPr>
      <w:r w:rsidRPr="00F521F8">
        <w:rPr>
          <w:noProof/>
          <w:u w:val="single"/>
        </w:rPr>
        <w:t>Candidate for fees:</w:t>
      </w:r>
      <w:r w:rsidRPr="00F521F8">
        <w:rPr>
          <w:noProof/>
        </w:rPr>
        <w:t xml:space="preserve"> No</w:t>
      </w:r>
    </w:p>
    <w:p w14:paraId="5FB9A718" w14:textId="77777777" w:rsidR="000A7D9D" w:rsidRPr="001B0F9D" w:rsidRDefault="000A7D9D" w:rsidP="000A7D9D">
      <w:pPr>
        <w:pStyle w:val="BodyText"/>
        <w:rPr>
          <w:b/>
          <w:bCs/>
          <w:noProof/>
        </w:rPr>
      </w:pPr>
    </w:p>
    <w:p w14:paraId="704C20DA"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74" w:name="_Toc150499940"/>
      <w:r>
        <w:rPr>
          <w:rFonts w:ascii="Times New Roman" w:hAnsi="Times New Roman"/>
          <w:smallCaps/>
          <w:noProof/>
          <w:color w:val="auto"/>
          <w:sz w:val="24"/>
          <w:szCs w:val="20"/>
          <w:lang w:eastAsia="en-US"/>
        </w:rPr>
        <w:t>Information on regulatory processes on chemicals</w:t>
      </w:r>
      <w:bookmarkEnd w:id="74"/>
    </w:p>
    <w:p w14:paraId="339542EF" w14:textId="77777777" w:rsidR="000A7D9D" w:rsidRPr="00F521F8" w:rsidRDefault="000A7D9D" w:rsidP="000A7D9D">
      <w:pPr>
        <w:spacing w:after="120"/>
        <w:rPr>
          <w:rFonts w:ascii="Times New Roman" w:hAnsi="Times New Roman" w:cs="Times New Roman"/>
          <w:b/>
          <w:bCs/>
          <w:noProof/>
          <w:sz w:val="24"/>
          <w:szCs w:val="24"/>
        </w:rPr>
      </w:pPr>
      <w:bookmarkStart w:id="75" w:name="_Hlk101911707"/>
      <w:r w:rsidRPr="00F521F8">
        <w:rPr>
          <w:rFonts w:ascii="Times New Roman" w:hAnsi="Times New Roman" w:cs="Times New Roman"/>
          <w:b/>
          <w:bCs/>
          <w:noProof/>
          <w:sz w:val="24"/>
          <w:szCs w:val="24"/>
        </w:rPr>
        <w:t>Responsible body:</w:t>
      </w:r>
    </w:p>
    <w:p w14:paraId="0035887F"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u w:val="single"/>
        </w:rPr>
        <w:t>Currently:</w:t>
      </w:r>
      <w:r w:rsidRPr="00F521F8">
        <w:rPr>
          <w:rFonts w:ascii="Times New Roman" w:hAnsi="Times New Roman" w:cs="Times New Roman"/>
          <w:noProof/>
          <w:sz w:val="24"/>
          <w:szCs w:val="24"/>
        </w:rPr>
        <w:t xml:space="preserve"> ECHA (existing (P)ACT), EFSA (existing OpenEFSA)</w:t>
      </w:r>
    </w:p>
    <w:p w14:paraId="20C2100F" w14:textId="77777777" w:rsidR="000A7D9D" w:rsidRPr="00F521F8" w:rsidRDefault="000A7D9D" w:rsidP="000A7D9D">
      <w:pPr>
        <w:spacing w:after="120"/>
        <w:rPr>
          <w:rFonts w:ascii="Times New Roman" w:hAnsi="Times New Roman" w:cs="Times New Roman"/>
          <w:noProof/>
          <w:sz w:val="24"/>
          <w:szCs w:val="24"/>
        </w:rPr>
      </w:pPr>
      <w:r w:rsidRPr="13AEFEEB">
        <w:rPr>
          <w:rFonts w:ascii="Times New Roman" w:hAnsi="Times New Roman" w:cs="Times New Roman"/>
          <w:noProof/>
          <w:sz w:val="24"/>
          <w:szCs w:val="24"/>
          <w:u w:val="single"/>
        </w:rPr>
        <w:t>(Re-)attribution planned to:</w:t>
      </w:r>
      <w:r w:rsidRPr="13AEFEEB">
        <w:rPr>
          <w:rFonts w:ascii="Times New Roman" w:hAnsi="Times New Roman" w:cs="Times New Roman"/>
          <w:noProof/>
          <w:sz w:val="24"/>
          <w:szCs w:val="24"/>
        </w:rPr>
        <w:t xml:space="preserve"> ECHA, EFSA</w:t>
      </w:r>
      <w:r>
        <w:rPr>
          <w:rFonts w:ascii="Times New Roman" w:hAnsi="Times New Roman" w:cs="Times New Roman"/>
          <w:noProof/>
          <w:sz w:val="24"/>
          <w:szCs w:val="24"/>
        </w:rPr>
        <w:t xml:space="preserve"> EEA and</w:t>
      </w:r>
      <w:r w:rsidRPr="13AEFEEB">
        <w:rPr>
          <w:rFonts w:ascii="Times New Roman" w:hAnsi="Times New Roman" w:cs="Times New Roman"/>
          <w:noProof/>
          <w:sz w:val="24"/>
          <w:szCs w:val="24"/>
        </w:rPr>
        <w:t>, EU-OSHA</w:t>
      </w:r>
    </w:p>
    <w:p w14:paraId="4FEED176" w14:textId="77777777" w:rsidR="000A7D9D" w:rsidRPr="00F521F8" w:rsidRDefault="000A7D9D" w:rsidP="000A7D9D">
      <w:pPr>
        <w:spacing w:after="120"/>
        <w:jc w:val="both"/>
        <w:rPr>
          <w:rFonts w:ascii="Times New Roman" w:hAnsi="Times New Roman" w:cs="Times New Roman"/>
          <w:noProof/>
          <w:sz w:val="24"/>
          <w:szCs w:val="24"/>
        </w:rPr>
      </w:pPr>
      <w:r w:rsidRPr="13AEFEEB">
        <w:rPr>
          <w:rFonts w:ascii="Times New Roman" w:hAnsi="Times New Roman" w:cs="Times New Roman"/>
          <w:b/>
          <w:bCs/>
          <w:noProof/>
          <w:sz w:val="24"/>
          <w:szCs w:val="24"/>
        </w:rPr>
        <w:t xml:space="preserve">Legal basis for (re-)attribution: </w:t>
      </w:r>
      <w:r w:rsidRPr="13AEFEEB">
        <w:rPr>
          <w:rFonts w:ascii="Times New Roman" w:hAnsi="Times New Roman" w:cs="Times New Roman"/>
          <w:noProof/>
          <w:sz w:val="24"/>
          <w:szCs w:val="24"/>
        </w:rPr>
        <w:t xml:space="preserve"> Proposal for a regulation of the European Parliament and of the Council establishing a common data platform on chemicals, laying down rules to ensure that the data contained in it are findable, accessible, interoperable and reusable and establishing a monitoring and outlook framework for chemicals</w:t>
      </w:r>
    </w:p>
    <w:p w14:paraId="17E68512"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 xml:space="preserve">Type of task: </w:t>
      </w:r>
      <w:r w:rsidRPr="00F521F8">
        <w:rPr>
          <w:rFonts w:ascii="Times New Roman" w:hAnsi="Times New Roman" w:cs="Times New Roman"/>
          <w:noProof/>
          <w:sz w:val="24"/>
          <w:szCs w:val="24"/>
        </w:rPr>
        <w:t>Existing but expanded to cover all chemical sectors</w:t>
      </w:r>
    </w:p>
    <w:p w14:paraId="018BB7EB"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b/>
          <w:bCs/>
          <w:noProof/>
          <w:sz w:val="24"/>
          <w:szCs w:val="24"/>
        </w:rPr>
        <w:t xml:space="preserve">Brief task overview: </w:t>
      </w:r>
      <w:r w:rsidRPr="00F521F8">
        <w:rPr>
          <w:rFonts w:ascii="Times New Roman" w:hAnsi="Times New Roman" w:cs="Times New Roman"/>
          <w:noProof/>
          <w:sz w:val="24"/>
          <w:szCs w:val="24"/>
        </w:rPr>
        <w:t xml:space="preserve">(1) Operating (public) activities coordination tool; (2) notifying relevant information to the (public) activities coordination tool </w:t>
      </w:r>
    </w:p>
    <w:p w14:paraId="681B6492"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 xml:space="preserve">Detailed process description: </w:t>
      </w:r>
    </w:p>
    <w:p w14:paraId="7DEE29B3" w14:textId="77777777" w:rsidR="000A7D9D" w:rsidRPr="00F521F8" w:rsidRDefault="000A7D9D" w:rsidP="000A7D9D">
      <w:pPr>
        <w:spacing w:after="120"/>
        <w:rPr>
          <w:rFonts w:ascii="Times New Roman" w:hAnsi="Times New Roman" w:cs="Times New Roman"/>
          <w:noProof/>
          <w:sz w:val="24"/>
          <w:szCs w:val="24"/>
          <w:u w:val="single"/>
        </w:rPr>
      </w:pPr>
      <w:r w:rsidRPr="00F521F8">
        <w:rPr>
          <w:rFonts w:ascii="Times New Roman" w:hAnsi="Times New Roman" w:cs="Times New Roman"/>
          <w:noProof/>
          <w:sz w:val="24"/>
          <w:szCs w:val="24"/>
          <w:u w:val="single"/>
        </w:rPr>
        <w:t>Current process:</w:t>
      </w:r>
    </w:p>
    <w:p w14:paraId="34C2BC94" w14:textId="77777777" w:rsidR="000A7D9D" w:rsidRPr="00F521F8" w:rsidRDefault="000A7D9D" w:rsidP="000A7D9D">
      <w:pPr>
        <w:spacing w:after="120"/>
        <w:jc w:val="both"/>
        <w:rPr>
          <w:rFonts w:ascii="Times New Roman" w:eastAsiaTheme="minorEastAsia" w:hAnsi="Times New Roman" w:cs="Times New Roman"/>
          <w:noProof/>
          <w:sz w:val="24"/>
          <w:szCs w:val="24"/>
          <w:lang w:val="en-IE"/>
        </w:rPr>
      </w:pPr>
      <w:r w:rsidRPr="13AEFEEB">
        <w:rPr>
          <w:rFonts w:ascii="Times New Roman" w:eastAsiaTheme="minorEastAsia" w:hAnsi="Times New Roman" w:cs="Times New Roman"/>
          <w:noProof/>
          <w:sz w:val="24"/>
          <w:szCs w:val="24"/>
          <w:lang w:val="en-IE"/>
        </w:rPr>
        <w:t>The Activities Coordination Tool and its public counterpart, (P)ACT, are two existing information systems developed and operated by ECHA which provide an up-to-date overview of all planned and ongoing initiatives on chemicals by authorities under REACH and CLP. The information is provided in user-friendly tables and is regularly updated. The information is provided by authorities and includes information on authorities' actions (intention/on-going/finalisation) relevant for an assessment process.</w:t>
      </w:r>
    </w:p>
    <w:p w14:paraId="2DC939AE" w14:textId="77777777" w:rsidR="000A7D9D" w:rsidRPr="00F521F8" w:rsidRDefault="000A7D9D" w:rsidP="000A7D9D">
      <w:pPr>
        <w:spacing w:after="120"/>
        <w:jc w:val="both"/>
        <w:rPr>
          <w:rFonts w:ascii="Times New Roman" w:eastAsiaTheme="minorEastAsia" w:hAnsi="Times New Roman" w:cs="Times New Roman"/>
          <w:noProof/>
          <w:sz w:val="24"/>
          <w:szCs w:val="24"/>
          <w:lang w:val="en-IE"/>
        </w:rPr>
      </w:pPr>
      <w:r w:rsidRPr="13AEFEEB">
        <w:rPr>
          <w:rFonts w:ascii="Times New Roman" w:eastAsiaTheme="minorEastAsia" w:hAnsi="Times New Roman" w:cs="Times New Roman"/>
          <w:noProof/>
          <w:sz w:val="24"/>
          <w:szCs w:val="24"/>
          <w:lang w:val="en-IE"/>
        </w:rPr>
        <w:t>ACT helps authorities to coordinate their work by providing information on planned, ongoing or completed substance-specific activities. PACT (public ACT) ensures transparency of regulatory safety assessment work. It gives the public an ‘early warning’ of the substances that are on an authority’s radar for exploring the need for regulatory risk management and provides a more holistic picture of what is going on under different regulatory processes. The processes and legislation already covered by (P)ACT are indicated in the table below.</w:t>
      </w:r>
    </w:p>
    <w:p w14:paraId="1BB69FBB" w14:textId="77777777" w:rsidR="000A7D9D" w:rsidRPr="00F521F8" w:rsidRDefault="000A7D9D" w:rsidP="000A7D9D">
      <w:pPr>
        <w:shd w:val="clear" w:color="auto" w:fill="FFFFFF" w:themeFill="background1"/>
        <w:spacing w:after="120" w:line="277" w:lineRule="atLeast"/>
        <w:jc w:val="both"/>
        <w:rPr>
          <w:rFonts w:ascii="Times New Roman" w:hAnsi="Times New Roman" w:cs="Times New Roman"/>
          <w:noProof/>
          <w:sz w:val="24"/>
          <w:szCs w:val="24"/>
          <w:lang w:val="en-IE"/>
        </w:rPr>
      </w:pPr>
      <w:r w:rsidRPr="13AEFEEB">
        <w:rPr>
          <w:rFonts w:ascii="Times New Roman" w:hAnsi="Times New Roman" w:cs="Times New Roman"/>
          <w:noProof/>
          <w:sz w:val="24"/>
          <w:szCs w:val="24"/>
          <w:lang w:val="en-IE" w:eastAsia="en-IE"/>
        </w:rPr>
        <w:t xml:space="preserve">Through </w:t>
      </w:r>
      <w:r>
        <w:rPr>
          <w:rFonts w:ascii="Times New Roman" w:hAnsi="Times New Roman" w:cs="Times New Roman"/>
          <w:noProof/>
          <w:sz w:val="24"/>
          <w:szCs w:val="24"/>
          <w:lang w:val="en-IE" w:eastAsia="en-IE"/>
        </w:rPr>
        <w:t xml:space="preserve">a </w:t>
      </w:r>
      <w:r w:rsidRPr="13AEFEEB">
        <w:rPr>
          <w:rFonts w:ascii="Times New Roman" w:hAnsi="Times New Roman" w:cs="Times New Roman"/>
          <w:noProof/>
          <w:sz w:val="24"/>
          <w:szCs w:val="24"/>
          <w:lang w:val="en-IE" w:eastAsia="en-IE"/>
        </w:rPr>
        <w:t xml:space="preserve">recent project, ECHA reviewed the tool to improve its efficiency and functionality and to allow extension to further processes under its remit. </w:t>
      </w:r>
    </w:p>
    <w:p w14:paraId="481A8267" w14:textId="77777777" w:rsidR="000A7D9D" w:rsidRPr="00F521F8" w:rsidRDefault="000A7D9D" w:rsidP="000A7D9D">
      <w:pPr>
        <w:shd w:val="clear" w:color="auto" w:fill="FFFFFF" w:themeFill="background1"/>
        <w:spacing w:after="120"/>
        <w:jc w:val="both"/>
        <w:rPr>
          <w:rFonts w:ascii="Times New Roman" w:hAnsi="Times New Roman" w:cs="Times New Roman"/>
          <w:noProof/>
          <w:sz w:val="24"/>
          <w:szCs w:val="24"/>
          <w:lang w:val="en-IE"/>
        </w:rPr>
      </w:pPr>
      <w:r w:rsidRPr="13AEFEEB">
        <w:rPr>
          <w:rFonts w:ascii="Times New Roman" w:hAnsi="Times New Roman" w:cs="Times New Roman"/>
          <w:noProof/>
          <w:sz w:val="24"/>
          <w:szCs w:val="24"/>
          <w:lang w:val="en-IE"/>
        </w:rPr>
        <w:t>EFSA, as part of their existing activities, also provide some level of digital transparency on their planned, ongoing and concluded assessments, as part of their general OpenEFSA portal. The portal provides access to information related to EFSA's scientific work, tracking of the risk assessment process from receipt of a dossier to adoption of the opinion. Information available includes: status of assessments, dossiers and studies, meeting agendas and minutes, information on experts (DOIs) and public consultations. The OpenEFSA portal is similar to PACT. The OpenEFSA portal does not have a confidential ‘ACT’ part. The processes and legislation already covered by OpenEFSA are indicated in the table below.</w:t>
      </w:r>
    </w:p>
    <w:p w14:paraId="3C098F79" w14:textId="77777777" w:rsidR="000A7D9D" w:rsidRPr="00F521F8" w:rsidRDefault="000A7D9D" w:rsidP="000A7D9D">
      <w:pPr>
        <w:shd w:val="clear" w:color="auto" w:fill="FFFFFF" w:themeFill="background1"/>
        <w:spacing w:after="120"/>
        <w:jc w:val="both"/>
        <w:rPr>
          <w:rFonts w:ascii="Times New Roman" w:hAnsi="Times New Roman" w:cs="Times New Roman"/>
          <w:noProof/>
          <w:sz w:val="24"/>
          <w:szCs w:val="24"/>
          <w:lang w:val="en-IE"/>
        </w:rPr>
      </w:pPr>
      <w:r w:rsidRPr="13AEFEEB">
        <w:rPr>
          <w:rFonts w:ascii="Times New Roman" w:hAnsi="Times New Roman" w:cs="Times New Roman"/>
          <w:noProof/>
          <w:sz w:val="24"/>
          <w:szCs w:val="24"/>
          <w:lang w:val="en-IE"/>
        </w:rPr>
        <w:t xml:space="preserve">Metadata and formats behind both IT tools are not easily comparable, but a lot of work has already been put in the organisation of this information and in building processes to keep updating the systems. </w:t>
      </w:r>
    </w:p>
    <w:p w14:paraId="55D1D791" w14:textId="77777777" w:rsidR="000A7D9D" w:rsidRPr="00F521F8" w:rsidRDefault="000A7D9D" w:rsidP="000A7D9D">
      <w:pPr>
        <w:spacing w:after="120"/>
        <w:rPr>
          <w:rFonts w:ascii="Times New Roman" w:hAnsi="Times New Roman" w:cs="Times New Roman"/>
          <w:noProof/>
          <w:sz w:val="24"/>
          <w:szCs w:val="24"/>
          <w:u w:val="single"/>
        </w:rPr>
      </w:pPr>
      <w:r w:rsidRPr="00F521F8">
        <w:rPr>
          <w:rFonts w:ascii="Times New Roman" w:hAnsi="Times New Roman" w:cs="Times New Roman"/>
          <w:noProof/>
          <w:sz w:val="24"/>
          <w:szCs w:val="24"/>
          <w:u w:val="single"/>
        </w:rPr>
        <w:t>Changes in the process:</w:t>
      </w:r>
    </w:p>
    <w:p w14:paraId="6E47C1DF" w14:textId="77777777" w:rsidR="000A7D9D" w:rsidRPr="00F521F8" w:rsidRDefault="000A7D9D" w:rsidP="000A7D9D">
      <w:pPr>
        <w:spacing w:after="120"/>
        <w:jc w:val="both"/>
        <w:rPr>
          <w:rFonts w:ascii="Times New Roman" w:eastAsia="Verdana" w:hAnsi="Times New Roman" w:cs="Times New Roman"/>
          <w:noProof/>
          <w:sz w:val="24"/>
          <w:szCs w:val="24"/>
        </w:rPr>
      </w:pPr>
      <w:r w:rsidRPr="13AEFEEB">
        <w:rPr>
          <w:rFonts w:ascii="Times New Roman" w:eastAsiaTheme="minorEastAsia" w:hAnsi="Times New Roman" w:cs="Times New Roman"/>
          <w:noProof/>
          <w:sz w:val="24"/>
          <w:szCs w:val="24"/>
        </w:rPr>
        <w:t>To promote the coordination of safety assessment activities across EU legislation, the ‘one substance, one assessment’ approach considers progressively expanding the existing (P)ACT from including REACH and CLP regulations to including all relevant chemicals legislation with safety assessment processes and initiatives.</w:t>
      </w:r>
    </w:p>
    <w:p w14:paraId="51E56CF0" w14:textId="77777777" w:rsidR="000A7D9D" w:rsidRPr="00F521F8" w:rsidRDefault="000A7D9D" w:rsidP="000A7D9D">
      <w:pPr>
        <w:spacing w:after="120"/>
        <w:jc w:val="both"/>
        <w:rPr>
          <w:rFonts w:ascii="Times New Roman" w:hAnsi="Times New Roman" w:cs="Times New Roman"/>
          <w:noProof/>
          <w:sz w:val="24"/>
          <w:szCs w:val="24"/>
        </w:rPr>
      </w:pPr>
      <w:r w:rsidRPr="13AEFEEB">
        <w:rPr>
          <w:rFonts w:ascii="Times New Roman" w:hAnsi="Times New Roman" w:cs="Times New Roman"/>
          <w:noProof/>
          <w:sz w:val="24"/>
          <w:szCs w:val="24"/>
        </w:rPr>
        <w:t xml:space="preserve">ECHA will operate an extended (P)ACT service, starting with a similar functionality of the existing tool but addressing processes across all the sectors where chemical assessments are performed. ECHA will provide relevant information into (P)ACT for all the processes from legislation for which ECHA is or will be an assessment body. EFSA will provide to ECHA for integration into (P)ACT the relevant information for all the processes from legislation for which EFSA is an assessment body and that are already covered in the OpenEFSA portal. In other words, EFSA is toensure that OpenEFSA information feeds into the (P)ACT and is further complemented for confidential part on intentions, where relevant. Finally, </w:t>
      </w:r>
      <w:r>
        <w:rPr>
          <w:rFonts w:ascii="Times New Roman" w:hAnsi="Times New Roman" w:cs="Times New Roman"/>
          <w:noProof/>
          <w:sz w:val="24"/>
          <w:szCs w:val="24"/>
        </w:rPr>
        <w:t xml:space="preserve">EEA and </w:t>
      </w:r>
      <w:r w:rsidRPr="13AEFEEB">
        <w:rPr>
          <w:rFonts w:ascii="Times New Roman" w:hAnsi="Times New Roman" w:cs="Times New Roman"/>
          <w:noProof/>
          <w:sz w:val="24"/>
          <w:szCs w:val="24"/>
        </w:rPr>
        <w:t xml:space="preserve">EU-OSHA will provide to ECHA for integration into PACT </w:t>
      </w:r>
      <w:r>
        <w:rPr>
          <w:rFonts w:ascii="Times New Roman" w:hAnsi="Times New Roman" w:cs="Times New Roman"/>
          <w:noProof/>
          <w:sz w:val="24"/>
          <w:szCs w:val="24"/>
        </w:rPr>
        <w:t xml:space="preserve">any </w:t>
      </w:r>
      <w:r w:rsidRPr="13AEFEEB">
        <w:rPr>
          <w:rFonts w:ascii="Times New Roman" w:hAnsi="Times New Roman" w:cs="Times New Roman"/>
          <w:noProof/>
          <w:sz w:val="24"/>
          <w:szCs w:val="24"/>
        </w:rPr>
        <w:t>relevant information for the process from legislation for which EU-OSHA is an assessment body. The processes and legislation to be included in the extended (P)ACT are identified in the table below. The extended (P)ACT will be available as a specific service under the common data platform (dedicated service on ‘information on regulatory processes on chemicals’), with the identification of individual processes as well as associated datasets (starting with substance identification) covered by the controlled vocabularies. The service will maintain the differentiated authorities/public access, with up-to-date public information on declared registries of intent, status of assessment in progress and outcomes (including documentation) once concluded. Authorities will have access to further categories and datasets for informing on preliminary intent supporting exchange and coordination as appropriate, and where relevant access to working material during the process. The governance will be done through the governance of the common data platform on chemicals.</w:t>
      </w:r>
    </w:p>
    <w:p w14:paraId="699126CD" w14:textId="77777777" w:rsidR="000A7D9D" w:rsidRPr="00F521F8" w:rsidRDefault="000A7D9D" w:rsidP="000A7D9D">
      <w:pPr>
        <w:spacing w:after="120"/>
        <w:jc w:val="both"/>
        <w:rPr>
          <w:rFonts w:ascii="Times New Roman" w:hAnsi="Times New Roman" w:cs="Times New Roman"/>
          <w:noProof/>
          <w:sz w:val="24"/>
          <w:szCs w:val="24"/>
        </w:rPr>
      </w:pPr>
      <w:r w:rsidRPr="13AEFEEB">
        <w:rPr>
          <w:rFonts w:ascii="Times New Roman" w:hAnsi="Times New Roman" w:cs="Times New Roman"/>
          <w:noProof/>
          <w:sz w:val="24"/>
          <w:szCs w:val="24"/>
        </w:rPr>
        <w:t xml:space="preserve">To control complexity, a solution as regards the update of the information in the platform, maintenance of relevant lists, metadata and supporting datasets will need to be prepared by the agencies involved as principal actors in particular processes, even for cases where further actors may be involved or even ultimately responsible for the process outcome (e.g. national authorities). </w:t>
      </w:r>
    </w:p>
    <w:p w14:paraId="008A6ABB" w14:textId="77777777" w:rsidR="000A7D9D" w:rsidRPr="00F521F8" w:rsidRDefault="000A7D9D" w:rsidP="000A7D9D">
      <w:pPr>
        <w:spacing w:after="120"/>
        <w:jc w:val="both"/>
        <w:rPr>
          <w:rFonts w:ascii="Times New Roman" w:hAnsi="Times New Roman" w:cs="Times New Roman"/>
          <w:noProof/>
          <w:sz w:val="24"/>
          <w:szCs w:val="24"/>
        </w:rPr>
      </w:pPr>
      <w:r w:rsidRPr="13AEFEEB">
        <w:rPr>
          <w:rFonts w:ascii="Times New Roman" w:hAnsi="Times New Roman" w:cs="Times New Roman"/>
          <w:noProof/>
          <w:sz w:val="24"/>
          <w:szCs w:val="24"/>
        </w:rPr>
        <w:t>Overview of legislation and processes included or to be included in (P)ACT (referred to as ‘information on regulatory processes on chemicals’ as the dedicated service in the common data platform on chemicals):</w:t>
      </w:r>
    </w:p>
    <w:tbl>
      <w:tblPr>
        <w:tblW w:w="9630" w:type="dxa"/>
        <w:tblInd w:w="105" w:type="dxa"/>
        <w:tblLayout w:type="fixed"/>
        <w:tblLook w:val="04A0" w:firstRow="1" w:lastRow="0" w:firstColumn="1" w:lastColumn="0" w:noHBand="0" w:noVBand="1"/>
      </w:tblPr>
      <w:tblGrid>
        <w:gridCol w:w="4761"/>
        <w:gridCol w:w="2231"/>
        <w:gridCol w:w="2638"/>
      </w:tblGrid>
      <w:tr w:rsidR="000A7D9D" w14:paraId="3E07B48D" w14:textId="77777777" w:rsidTr="00F31937">
        <w:trPr>
          <w:trHeight w:val="900"/>
        </w:trPr>
        <w:tc>
          <w:tcPr>
            <w:tcW w:w="476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92D3CC2" w14:textId="77777777" w:rsidR="000A7D9D" w:rsidRPr="00F521F8" w:rsidRDefault="000A7D9D" w:rsidP="00F31937">
            <w:pPr>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Legislation</w:t>
            </w:r>
          </w:p>
        </w:tc>
        <w:tc>
          <w:tcPr>
            <w:tcW w:w="223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780BA7E" w14:textId="77777777" w:rsidR="000A7D9D" w:rsidRPr="00F521F8" w:rsidRDefault="000A7D9D" w:rsidP="00F31937">
            <w:pPr>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Processes already covered or to be included in ACT</w:t>
            </w:r>
          </w:p>
          <w:p w14:paraId="607F34CF" w14:textId="77777777" w:rsidR="000A7D9D" w:rsidRPr="00F521F8" w:rsidRDefault="000A7D9D" w:rsidP="00F31937">
            <w:pPr>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(ACT covers also intentions)</w:t>
            </w:r>
          </w:p>
        </w:tc>
        <w:tc>
          <w:tcPr>
            <w:tcW w:w="263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B19DC84" w14:textId="77777777" w:rsidR="000A7D9D" w:rsidRPr="00F521F8" w:rsidRDefault="000A7D9D" w:rsidP="00F31937">
            <w:pPr>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Processes already covered or to be included in PACT</w:t>
            </w:r>
          </w:p>
          <w:p w14:paraId="7A2D7C55" w14:textId="77777777" w:rsidR="000A7D9D" w:rsidRPr="00F521F8" w:rsidRDefault="000A7D9D" w:rsidP="00F31937">
            <w:pPr>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(PACT covers the ongoing processes)</w:t>
            </w:r>
          </w:p>
        </w:tc>
      </w:tr>
      <w:tr w:rsidR="000A7D9D" w14:paraId="31B67931" w14:textId="77777777" w:rsidTr="00F31937">
        <w:trPr>
          <w:trHeight w:val="420"/>
        </w:trPr>
        <w:tc>
          <w:tcPr>
            <w:tcW w:w="963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8A65FD0" w14:textId="77777777" w:rsidR="000A7D9D" w:rsidRPr="00F521F8" w:rsidRDefault="000A7D9D" w:rsidP="00F31937">
            <w:pPr>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Legislation already covered in (P)ACT</w:t>
            </w:r>
          </w:p>
        </w:tc>
      </w:tr>
      <w:tr w:rsidR="000A7D9D" w14:paraId="1BCF14D8" w14:textId="77777777" w:rsidTr="00F31937">
        <w:trPr>
          <w:trHeight w:val="243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40542358"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Regulation (EC) 1907/2006 concerning the Registration, Evaluation, Authorisation and Restriction of Chemicals (REACH), establishing a European Chemicals Agency</w:t>
            </w:r>
          </w:p>
        </w:tc>
        <w:tc>
          <w:tcPr>
            <w:tcW w:w="2231" w:type="dxa"/>
            <w:tcBorders>
              <w:top w:val="nil"/>
              <w:left w:val="single" w:sz="8" w:space="0" w:color="auto"/>
              <w:bottom w:val="single" w:sz="8" w:space="0" w:color="auto"/>
              <w:right w:val="single" w:sz="8" w:space="0" w:color="auto"/>
            </w:tcBorders>
            <w:tcMar>
              <w:left w:w="108" w:type="dxa"/>
              <w:right w:w="108" w:type="dxa"/>
            </w:tcMar>
          </w:tcPr>
          <w:p w14:paraId="76DCB8F0"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Screening</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Dossier evaluation</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Substance evaluation</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ED, PBT identification</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RMOA</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SVHC identification</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Annex XIV</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Application for authorisation</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Restriction</w:t>
            </w:r>
          </w:p>
        </w:tc>
        <w:tc>
          <w:tcPr>
            <w:tcW w:w="2638" w:type="dxa"/>
            <w:tcBorders>
              <w:top w:val="nil"/>
              <w:left w:val="single" w:sz="8" w:space="0" w:color="auto"/>
              <w:bottom w:val="single" w:sz="8" w:space="0" w:color="auto"/>
              <w:right w:val="single" w:sz="8" w:space="0" w:color="auto"/>
            </w:tcBorders>
            <w:tcMar>
              <w:left w:w="108" w:type="dxa"/>
              <w:right w:w="108" w:type="dxa"/>
            </w:tcMar>
          </w:tcPr>
          <w:p w14:paraId="0CAFC474"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Dossier evaluation</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Substance evaluation</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ED, PBT identification</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RMOA</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SVHC identification</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w:t>
            </w:r>
          </w:p>
          <w:p w14:paraId="4E1053F5"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w:t>
            </w:r>
          </w:p>
          <w:p w14:paraId="6371B239"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Restriction</w:t>
            </w:r>
          </w:p>
        </w:tc>
      </w:tr>
      <w:tr w:rsidR="000A7D9D" w14:paraId="07830DDD" w14:textId="77777777" w:rsidTr="00F31937">
        <w:trPr>
          <w:trHeight w:val="63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725F57AA"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 xml:space="preserve">Regulation (EC) 1272/2008 on classification, labelling and packaging of chemicals of substances and mixtures </w:t>
            </w:r>
          </w:p>
        </w:tc>
        <w:tc>
          <w:tcPr>
            <w:tcW w:w="2231" w:type="dxa"/>
            <w:tcBorders>
              <w:top w:val="single" w:sz="8" w:space="0" w:color="auto"/>
              <w:left w:val="single" w:sz="8" w:space="0" w:color="auto"/>
              <w:bottom w:val="single" w:sz="8" w:space="0" w:color="auto"/>
              <w:right w:val="single" w:sz="8" w:space="0" w:color="auto"/>
            </w:tcBorders>
            <w:tcMar>
              <w:left w:w="108" w:type="dxa"/>
              <w:right w:w="108" w:type="dxa"/>
            </w:tcMar>
          </w:tcPr>
          <w:p w14:paraId="4EB3139C"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CLH</w:t>
            </w:r>
          </w:p>
        </w:tc>
        <w:tc>
          <w:tcPr>
            <w:tcW w:w="2638" w:type="dxa"/>
            <w:tcBorders>
              <w:top w:val="single" w:sz="8" w:space="0" w:color="auto"/>
              <w:left w:val="single" w:sz="8" w:space="0" w:color="auto"/>
              <w:bottom w:val="single" w:sz="8" w:space="0" w:color="auto"/>
              <w:right w:val="single" w:sz="8" w:space="0" w:color="auto"/>
            </w:tcBorders>
            <w:tcMar>
              <w:left w:w="108" w:type="dxa"/>
              <w:right w:w="108" w:type="dxa"/>
            </w:tcMar>
          </w:tcPr>
          <w:p w14:paraId="47043571"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CLH</w:t>
            </w:r>
          </w:p>
        </w:tc>
      </w:tr>
      <w:tr w:rsidR="000A7D9D" w14:paraId="6916B465" w14:textId="77777777" w:rsidTr="00F31937">
        <w:trPr>
          <w:trHeight w:val="60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49B79AA5" w14:textId="77777777" w:rsidR="000A7D9D" w:rsidRPr="00F521F8" w:rsidRDefault="000A7D9D" w:rsidP="00F31937">
            <w:pPr>
              <w:jc w:val="both"/>
              <w:rPr>
                <w:rFonts w:ascii="Times New Roman" w:eastAsiaTheme="minorEastAsia" w:hAnsi="Times New Roman" w:cs="Times New Roman"/>
                <w:noProof/>
                <w:sz w:val="20"/>
                <w:szCs w:val="20"/>
                <w:lang w:val="fr-BE"/>
              </w:rPr>
            </w:pPr>
            <w:r w:rsidRPr="00F521F8">
              <w:rPr>
                <w:rFonts w:ascii="Times New Roman" w:eastAsiaTheme="minorEastAsia" w:hAnsi="Times New Roman" w:cs="Times New Roman"/>
                <w:b/>
                <w:bCs/>
                <w:noProof/>
                <w:color w:val="000000" w:themeColor="text1"/>
                <w:sz w:val="20"/>
                <w:szCs w:val="20"/>
                <w:lang w:val="fr-BE"/>
              </w:rPr>
              <w:t>Regulation (EU) 2019/1021 on persistent organic pollutants</w:t>
            </w:r>
          </w:p>
        </w:tc>
        <w:tc>
          <w:tcPr>
            <w:tcW w:w="2231" w:type="dxa"/>
            <w:tcBorders>
              <w:top w:val="single" w:sz="8" w:space="0" w:color="auto"/>
              <w:left w:val="single" w:sz="8" w:space="0" w:color="auto"/>
              <w:bottom w:val="single" w:sz="8" w:space="0" w:color="auto"/>
              <w:right w:val="single" w:sz="8" w:space="0" w:color="auto"/>
            </w:tcBorders>
            <w:tcMar>
              <w:left w:w="108" w:type="dxa"/>
              <w:right w:w="108" w:type="dxa"/>
            </w:tcMar>
          </w:tcPr>
          <w:p w14:paraId="23B49119"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w:t>
            </w:r>
          </w:p>
        </w:tc>
        <w:tc>
          <w:tcPr>
            <w:tcW w:w="2638" w:type="dxa"/>
            <w:tcBorders>
              <w:top w:val="single" w:sz="8" w:space="0" w:color="auto"/>
              <w:left w:val="single" w:sz="8" w:space="0" w:color="auto"/>
              <w:bottom w:val="single" w:sz="8" w:space="0" w:color="auto"/>
              <w:right w:val="single" w:sz="8" w:space="0" w:color="auto"/>
            </w:tcBorders>
            <w:tcMar>
              <w:left w:w="108" w:type="dxa"/>
              <w:right w:w="108" w:type="dxa"/>
            </w:tcMar>
          </w:tcPr>
          <w:p w14:paraId="612F27CC"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Proposal for listing</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Limit values (UTC, low POP content)</w:t>
            </w:r>
          </w:p>
        </w:tc>
      </w:tr>
      <w:tr w:rsidR="000A7D9D" w14:paraId="2E6807B3" w14:textId="77777777" w:rsidTr="00F31937">
        <w:trPr>
          <w:trHeight w:val="390"/>
        </w:trPr>
        <w:tc>
          <w:tcPr>
            <w:tcW w:w="963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7136720" w14:textId="77777777" w:rsidR="000A7D9D" w:rsidRPr="00F521F8" w:rsidRDefault="000A7D9D" w:rsidP="00F31937">
            <w:pPr>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 xml:space="preserve">Legislation for which discussions for inclusion in (P)ACT are ongoing </w:t>
            </w:r>
          </w:p>
        </w:tc>
      </w:tr>
      <w:tr w:rsidR="000A7D9D" w14:paraId="10F0031F" w14:textId="77777777" w:rsidTr="00F31937">
        <w:trPr>
          <w:trHeight w:val="60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67FC2608"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 xml:space="preserve">Regulation (EU) No 528/2012 concerning the making available on the market and use of biocidal products </w:t>
            </w:r>
          </w:p>
        </w:tc>
        <w:tc>
          <w:tcPr>
            <w:tcW w:w="4869" w:type="dxa"/>
            <w:gridSpan w:val="2"/>
            <w:tcBorders>
              <w:top w:val="nil"/>
              <w:left w:val="single" w:sz="8" w:space="0" w:color="auto"/>
              <w:bottom w:val="single" w:sz="8" w:space="0" w:color="auto"/>
              <w:right w:val="single" w:sz="8" w:space="0" w:color="auto"/>
            </w:tcBorders>
            <w:tcMar>
              <w:left w:w="108" w:type="dxa"/>
              <w:right w:w="108" w:type="dxa"/>
            </w:tcMar>
          </w:tcPr>
          <w:p w14:paraId="4F4BF019"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xml:space="preserve"> Discussions are ongoing:</w:t>
            </w:r>
          </w:p>
          <w:p w14:paraId="2F46DE34"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Evaluation of active substance</w:t>
            </w:r>
          </w:p>
          <w:p w14:paraId="4CC732AD"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Opinion of BPC on active substance approval</w:t>
            </w:r>
          </w:p>
        </w:tc>
      </w:tr>
      <w:tr w:rsidR="000A7D9D" w14:paraId="41E4382A" w14:textId="77777777" w:rsidTr="00F31937">
        <w:trPr>
          <w:trHeight w:val="375"/>
        </w:trPr>
        <w:tc>
          <w:tcPr>
            <w:tcW w:w="963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2B481CB" w14:textId="77777777" w:rsidR="000A7D9D" w:rsidRPr="00F521F8" w:rsidRDefault="000A7D9D" w:rsidP="00F31937">
            <w:pPr>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 xml:space="preserve">Legislation identified to be included in (P)ACT and for which ECHA is or will be an assessment body </w:t>
            </w:r>
          </w:p>
        </w:tc>
      </w:tr>
      <w:tr w:rsidR="000A7D9D" w14:paraId="58340F4D" w14:textId="77777777" w:rsidTr="00F31937">
        <w:trPr>
          <w:trHeight w:val="63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6B4B80EA"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Directive 2004/37/EC on the protection of workers from the risks related to exposure to carcinogens or mutagens at work</w:t>
            </w:r>
          </w:p>
        </w:tc>
        <w:tc>
          <w:tcPr>
            <w:tcW w:w="4869" w:type="dxa"/>
            <w:gridSpan w:val="2"/>
            <w:tcBorders>
              <w:top w:val="nil"/>
              <w:left w:val="single" w:sz="8" w:space="0" w:color="auto"/>
              <w:bottom w:val="single" w:sz="8" w:space="0" w:color="auto"/>
              <w:right w:val="single" w:sz="8" w:space="0" w:color="auto"/>
            </w:tcBorders>
            <w:tcMar>
              <w:left w:w="108" w:type="dxa"/>
              <w:right w:w="108" w:type="dxa"/>
            </w:tcMar>
          </w:tcPr>
          <w:p w14:paraId="4A9D9328"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xml:space="preserve">- Setting EU OELs; </w:t>
            </w:r>
          </w:p>
          <w:p w14:paraId="1A235301"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Setting national OELs</w:t>
            </w:r>
          </w:p>
        </w:tc>
      </w:tr>
      <w:tr w:rsidR="000A7D9D" w14:paraId="3CC1DD84" w14:textId="77777777" w:rsidTr="00F31937">
        <w:trPr>
          <w:trHeight w:val="63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603BD0D1"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Directive 98/24/EC on the protection of workers from the risks related to chemical agents at work</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1C6C594"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Setting EU OELs</w:t>
            </w:r>
          </w:p>
          <w:p w14:paraId="7196AEEE"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Setting national OELs</w:t>
            </w:r>
          </w:p>
        </w:tc>
      </w:tr>
      <w:tr w:rsidR="000A7D9D" w14:paraId="055AB04D" w14:textId="77777777" w:rsidTr="00F31937">
        <w:trPr>
          <w:trHeight w:val="63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745BF0EF"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 xml:space="preserve">Directive 2009/148/EC on the protection of workers from the risks related to exposure to asbestos </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636F4D1"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Setting new EU OELs</w:t>
            </w:r>
          </w:p>
        </w:tc>
      </w:tr>
      <w:tr w:rsidR="000A7D9D" w14:paraId="689CD544" w14:textId="77777777" w:rsidTr="00F31937">
        <w:trPr>
          <w:trHeight w:val="555"/>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032A1A32"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Stockholm Convention on persistent organic pollutants</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13BA7B1"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Intention to nominate a substance as POP</w:t>
            </w:r>
          </w:p>
        </w:tc>
      </w:tr>
      <w:tr w:rsidR="000A7D9D" w14:paraId="631D9124" w14:textId="77777777" w:rsidTr="00F31937">
        <w:trPr>
          <w:trHeight w:val="63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63AE89BB"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Directive 2011/65/EU on the restriction of the use of certain hazardous substances in electrical and electronic equipment</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9E6B795"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Review of exemptions</w:t>
            </w:r>
          </w:p>
        </w:tc>
      </w:tr>
      <w:tr w:rsidR="000A7D9D" w14:paraId="3D5FA7F7" w14:textId="77777777" w:rsidTr="00F31937">
        <w:trPr>
          <w:trHeight w:val="495"/>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0055ECE5"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Directive 2000/53/EC on end-of life vehicles</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B6DC65C"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Review of exemptions</w:t>
            </w:r>
          </w:p>
        </w:tc>
      </w:tr>
      <w:tr w:rsidR="000A7D9D" w14:paraId="2CE2C25B" w14:textId="77777777" w:rsidTr="00F31937">
        <w:trPr>
          <w:trHeight w:val="555"/>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19BB9037"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Proposal for a Regulation concerning batteries and waste batteries</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B984D85"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Restriction process</w:t>
            </w:r>
          </w:p>
        </w:tc>
      </w:tr>
      <w:tr w:rsidR="000A7D9D" w14:paraId="263F44A1" w14:textId="77777777" w:rsidTr="00F31937">
        <w:trPr>
          <w:trHeight w:val="555"/>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1246EB23"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Directive 2008/105/EC on environmental quality standards in the field of water policy</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5B75B88"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EQS derivation EU and national</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addition/removal of substance to watch list</w:t>
            </w:r>
          </w:p>
        </w:tc>
      </w:tr>
      <w:tr w:rsidR="000A7D9D" w14:paraId="35FC67A0" w14:textId="77777777" w:rsidTr="00F31937">
        <w:trPr>
          <w:trHeight w:val="555"/>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64388E42"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Directive 2006/118/EC on the protection of groundwater against pollution and deterioration</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8B65589"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Limit value derivation EU and national?</w:t>
            </w:r>
            <w:r w:rsidRPr="00F521F8">
              <w:rPr>
                <w:rFonts w:ascii="Times New Roman" w:hAnsi="Times New Roman" w:cs="Times New Roman"/>
                <w:noProof/>
                <w:sz w:val="20"/>
                <w:szCs w:val="20"/>
              </w:rPr>
              <w:br/>
            </w:r>
            <w:r w:rsidRPr="00F521F8">
              <w:rPr>
                <w:rFonts w:ascii="Times New Roman" w:eastAsiaTheme="minorEastAsia" w:hAnsi="Times New Roman" w:cs="Times New Roman"/>
                <w:noProof/>
                <w:color w:val="000000" w:themeColor="text1"/>
                <w:sz w:val="20"/>
                <w:szCs w:val="20"/>
              </w:rPr>
              <w:t xml:space="preserve"> - Addition/removal of substance to watch list</w:t>
            </w:r>
          </w:p>
        </w:tc>
      </w:tr>
      <w:tr w:rsidR="000A7D9D" w14:paraId="0BFB2CD1" w14:textId="77777777" w:rsidTr="00F31937">
        <w:trPr>
          <w:trHeight w:val="315"/>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2F202C75"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Directive (EU) 2020/2184 on the quality of water intended for human consumption</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0565B5A"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Safety assessment of contact materials</w:t>
            </w:r>
          </w:p>
        </w:tc>
      </w:tr>
      <w:tr w:rsidR="000A7D9D" w14:paraId="56D2A0F0" w14:textId="77777777" w:rsidTr="00F31937">
        <w:trPr>
          <w:trHeight w:val="45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3DF30C58"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Regulation (EC) No 1223/2009 on cosmetic products</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02D5996"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Safety assessment;</w:t>
            </w:r>
          </w:p>
        </w:tc>
      </w:tr>
      <w:tr w:rsidR="000A7D9D" w14:paraId="3840DB8D" w14:textId="77777777" w:rsidTr="00F31937">
        <w:trPr>
          <w:trHeight w:val="555"/>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69750208"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Directive 2009/48/EC on the safety of toys</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8DBEDDC"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Safety assessment;</w:t>
            </w:r>
          </w:p>
        </w:tc>
      </w:tr>
      <w:tr w:rsidR="000A7D9D" w14:paraId="72C5DF2C" w14:textId="77777777" w:rsidTr="00F31937">
        <w:trPr>
          <w:trHeight w:val="555"/>
        </w:trPr>
        <w:tc>
          <w:tcPr>
            <w:tcW w:w="9630" w:type="dxa"/>
            <w:gridSpan w:val="3"/>
            <w:tcBorders>
              <w:top w:val="single" w:sz="8" w:space="0" w:color="auto"/>
              <w:left w:val="single" w:sz="8" w:space="0" w:color="000000" w:themeColor="text1"/>
              <w:bottom w:val="single" w:sz="8" w:space="0" w:color="000000" w:themeColor="text1"/>
              <w:right w:val="single" w:sz="2" w:space="0" w:color="000000" w:themeColor="text1"/>
            </w:tcBorders>
            <w:shd w:val="clear" w:color="auto" w:fill="D9D9D9" w:themeFill="background1" w:themeFillShade="D9"/>
            <w:tcMar>
              <w:left w:w="108" w:type="dxa"/>
              <w:right w:w="108" w:type="dxa"/>
            </w:tcMar>
          </w:tcPr>
          <w:p w14:paraId="2B3386C4"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Legislation identified to be included in (P)ACT and for which EFSA is an assessment body and information is included in OpenEFSA</w:t>
            </w:r>
          </w:p>
        </w:tc>
      </w:tr>
      <w:tr w:rsidR="000A7D9D" w14:paraId="48525165" w14:textId="77777777" w:rsidTr="00F31937">
        <w:trPr>
          <w:trHeight w:val="945"/>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2C0F9040"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Regulation (EC) No 178/2002 laying down the general principles and requirements of food law, establishing the European Food Safety Authority and laying down procedures in matters of food safety</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C1DA510"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To be included (relevant processes to be identified)</w:t>
            </w:r>
          </w:p>
        </w:tc>
      </w:tr>
      <w:tr w:rsidR="000A7D9D" w14:paraId="51913056" w14:textId="77777777" w:rsidTr="00F31937">
        <w:trPr>
          <w:trHeight w:val="63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19096FD4"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 xml:space="preserve">Regulation (EC) No 1935/2004 on materials and articles intended to come into contact with food </w:t>
            </w:r>
          </w:p>
          <w:p w14:paraId="1A13CD38" w14:textId="77777777" w:rsidR="000A7D9D" w:rsidRPr="00F521F8" w:rsidRDefault="000A7D9D" w:rsidP="000A7D9D">
            <w:pPr>
              <w:pStyle w:val="ListParagraph"/>
              <w:widowControl w:val="0"/>
              <w:numPr>
                <w:ilvl w:val="0"/>
                <w:numId w:val="133"/>
              </w:numPr>
              <w:rPr>
                <w:rFonts w:eastAsiaTheme="minorEastAsia"/>
                <w:noProof/>
                <w:color w:val="000000" w:themeColor="text1"/>
                <w:sz w:val="20"/>
                <w:szCs w:val="20"/>
              </w:rPr>
            </w:pPr>
            <w:r w:rsidRPr="00F521F8">
              <w:rPr>
                <w:rFonts w:eastAsiaTheme="minorEastAsia"/>
                <w:noProof/>
                <w:color w:val="000000" w:themeColor="text1"/>
                <w:sz w:val="20"/>
                <w:szCs w:val="20"/>
              </w:rPr>
              <w:t xml:space="preserve">Commission Regulation (EU) No 10/2011 on plastic materials and articles intended to come into contact with food </w:t>
            </w:r>
          </w:p>
          <w:p w14:paraId="04B48F7A" w14:textId="77777777" w:rsidR="000A7D9D" w:rsidRPr="00F521F8" w:rsidRDefault="000A7D9D" w:rsidP="000A7D9D">
            <w:pPr>
              <w:pStyle w:val="ListParagraph"/>
              <w:widowControl w:val="0"/>
              <w:numPr>
                <w:ilvl w:val="0"/>
                <w:numId w:val="133"/>
              </w:numPr>
              <w:rPr>
                <w:rFonts w:eastAsiaTheme="minorEastAsia"/>
                <w:noProof/>
                <w:color w:val="000000" w:themeColor="text1"/>
                <w:sz w:val="20"/>
                <w:szCs w:val="20"/>
              </w:rPr>
            </w:pPr>
            <w:r w:rsidRPr="00F521F8">
              <w:rPr>
                <w:rFonts w:eastAsiaTheme="minorEastAsia"/>
                <w:noProof/>
                <w:color w:val="000000" w:themeColor="text1"/>
                <w:sz w:val="20"/>
                <w:szCs w:val="20"/>
              </w:rPr>
              <w:t xml:space="preserve">Commission Regulation (EC) No 450/2009 on active and intelligent materials and articles intended to come into contact with food </w:t>
            </w:r>
          </w:p>
          <w:p w14:paraId="1DF0DC4B" w14:textId="77777777" w:rsidR="000A7D9D" w:rsidRPr="00F521F8" w:rsidRDefault="000A7D9D" w:rsidP="000A7D9D">
            <w:pPr>
              <w:pStyle w:val="ListParagraph"/>
              <w:widowControl w:val="0"/>
              <w:numPr>
                <w:ilvl w:val="0"/>
                <w:numId w:val="133"/>
              </w:numPr>
              <w:rPr>
                <w:rFonts w:eastAsiaTheme="minorEastAsia"/>
                <w:noProof/>
                <w:color w:val="000000" w:themeColor="text1"/>
                <w:sz w:val="20"/>
                <w:szCs w:val="20"/>
              </w:rPr>
            </w:pPr>
            <w:r w:rsidRPr="00F521F8">
              <w:rPr>
                <w:rFonts w:eastAsiaTheme="minorEastAsia"/>
                <w:noProof/>
                <w:color w:val="000000" w:themeColor="text1"/>
                <w:sz w:val="20"/>
                <w:szCs w:val="20"/>
              </w:rPr>
              <w:t xml:space="preserve">Commission Regulation (EC) No 282/2008 on recycled plastic materials and articles intended to come into contact with foods </w:t>
            </w:r>
          </w:p>
          <w:p w14:paraId="3C3FD9BA" w14:textId="77777777" w:rsidR="000A7D9D" w:rsidRPr="00F521F8" w:rsidRDefault="000A7D9D" w:rsidP="000A7D9D">
            <w:pPr>
              <w:pStyle w:val="ListParagraph"/>
              <w:widowControl w:val="0"/>
              <w:numPr>
                <w:ilvl w:val="0"/>
                <w:numId w:val="133"/>
              </w:numPr>
              <w:rPr>
                <w:rFonts w:eastAsiaTheme="minorEastAsia"/>
                <w:noProof/>
                <w:color w:val="000000" w:themeColor="text1"/>
                <w:sz w:val="20"/>
                <w:szCs w:val="20"/>
              </w:rPr>
            </w:pPr>
            <w:r w:rsidRPr="00F521F8">
              <w:rPr>
                <w:rFonts w:eastAsiaTheme="minorEastAsia"/>
                <w:noProof/>
                <w:color w:val="000000" w:themeColor="text1"/>
                <w:sz w:val="20"/>
                <w:szCs w:val="20"/>
              </w:rPr>
              <w:t xml:space="preserve">Commission Directive 2007/42/EC relating to materials and articles made of regenerated cellulose film intended to come into contact with foodstuffs </w:t>
            </w:r>
          </w:p>
          <w:p w14:paraId="78907C0C" w14:textId="77777777" w:rsidR="000A7D9D" w:rsidRPr="00F521F8" w:rsidRDefault="000A7D9D" w:rsidP="000A7D9D">
            <w:pPr>
              <w:pStyle w:val="ListParagraph"/>
              <w:widowControl w:val="0"/>
              <w:numPr>
                <w:ilvl w:val="0"/>
                <w:numId w:val="133"/>
              </w:numPr>
              <w:rPr>
                <w:rFonts w:eastAsiaTheme="minorEastAsia"/>
                <w:noProof/>
                <w:color w:val="000000" w:themeColor="text1"/>
                <w:sz w:val="20"/>
                <w:szCs w:val="20"/>
              </w:rPr>
            </w:pPr>
            <w:r w:rsidRPr="00F521F8">
              <w:rPr>
                <w:rFonts w:eastAsiaTheme="minorEastAsia"/>
                <w:noProof/>
                <w:color w:val="000000" w:themeColor="text1"/>
                <w:sz w:val="20"/>
                <w:szCs w:val="20"/>
              </w:rPr>
              <w:t xml:space="preserve">Commission Regulation (EU) 2018/213 on the use of bisphenol A in varnishes and coatings intended to come into contact with food </w:t>
            </w:r>
          </w:p>
          <w:p w14:paraId="59F3E380" w14:textId="77777777" w:rsidR="000A7D9D" w:rsidRPr="00F521F8" w:rsidRDefault="000A7D9D" w:rsidP="000A7D9D">
            <w:pPr>
              <w:pStyle w:val="ListParagraph"/>
              <w:widowControl w:val="0"/>
              <w:numPr>
                <w:ilvl w:val="0"/>
                <w:numId w:val="133"/>
              </w:numPr>
              <w:rPr>
                <w:rFonts w:eastAsiaTheme="minorEastAsia"/>
                <w:noProof/>
                <w:color w:val="000000" w:themeColor="text1"/>
                <w:sz w:val="20"/>
                <w:szCs w:val="20"/>
              </w:rPr>
            </w:pPr>
            <w:r w:rsidRPr="00F521F8">
              <w:rPr>
                <w:rFonts w:eastAsiaTheme="minorEastAsia"/>
                <w:noProof/>
                <w:color w:val="000000" w:themeColor="text1"/>
                <w:sz w:val="20"/>
                <w:szCs w:val="20"/>
              </w:rPr>
              <w:t>Commission Regulation (EC) No 1895/2005 on the restriction of use of certain epoxy derivatives in materials and articles intended to come into contact with food</w:t>
            </w:r>
          </w:p>
          <w:p w14:paraId="7C6B8B2D" w14:textId="77777777" w:rsidR="000A7D9D" w:rsidRPr="00F521F8" w:rsidRDefault="000A7D9D" w:rsidP="00F31937">
            <w:pPr>
              <w:jc w:val="both"/>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Council Directive 84/500/EEC on the approximation of the laws of the Member States relating to ceramic articles intended to come into contact with foodstuffs</w:t>
            </w:r>
          </w:p>
          <w:p w14:paraId="44C729D8" w14:textId="77777777" w:rsidR="000A7D9D" w:rsidRPr="00F521F8" w:rsidRDefault="000A7D9D" w:rsidP="00F31937">
            <w:pPr>
              <w:jc w:val="both"/>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Commission Directive 93/11/EEC concerning the release of the N-nitrosamines and N- nitrosatable substances from elastomer or rubber teats and soothers</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79D1DE9"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Safety assessment</w:t>
            </w:r>
          </w:p>
        </w:tc>
      </w:tr>
      <w:tr w:rsidR="000A7D9D" w14:paraId="6CF3097D" w14:textId="77777777" w:rsidTr="00F31937">
        <w:trPr>
          <w:trHeight w:val="60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49F83207"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 xml:space="preserve">Regulation (EC) No 1331/2008 establishing a common authorisation procedure for food additives, food enzymes and food flavourings </w:t>
            </w:r>
          </w:p>
          <w:p w14:paraId="51A407C4"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Regulation (EC) No 1333/2008 on food additives</w:t>
            </w:r>
          </w:p>
          <w:p w14:paraId="1CCAC026"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Regulation (EC) No 1332/2008 on food enzymes</w:t>
            </w:r>
          </w:p>
          <w:p w14:paraId="293A3265"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Regulation (EC) No 1334/2008 on flavourings and certain food ingredients with flavouring properties for use in and on foods</w:t>
            </w:r>
          </w:p>
          <w:p w14:paraId="38AC1632" w14:textId="77777777" w:rsidR="000A7D9D" w:rsidRPr="00F521F8" w:rsidRDefault="000A7D9D" w:rsidP="000A7D9D">
            <w:pPr>
              <w:pStyle w:val="ListParagraph"/>
              <w:widowControl w:val="0"/>
              <w:numPr>
                <w:ilvl w:val="0"/>
                <w:numId w:val="132"/>
              </w:numPr>
              <w:rPr>
                <w:rFonts w:eastAsiaTheme="minorEastAsia"/>
                <w:noProof/>
                <w:color w:val="000000" w:themeColor="text1"/>
                <w:sz w:val="20"/>
                <w:szCs w:val="20"/>
              </w:rPr>
            </w:pPr>
            <w:r w:rsidRPr="00F521F8">
              <w:rPr>
                <w:rFonts w:eastAsiaTheme="minorEastAsia"/>
                <w:noProof/>
                <w:color w:val="000000" w:themeColor="text1"/>
                <w:sz w:val="20"/>
                <w:szCs w:val="20"/>
              </w:rPr>
              <w:t>Commission Regulation (EU) No 234/2011 implementing Regulation (EC) No 1331/2008 establishing a common authorisation procedure for food additives, food enzymes and food flavourings</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CDC5D46"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Safety assessment</w:t>
            </w:r>
          </w:p>
        </w:tc>
      </w:tr>
      <w:tr w:rsidR="000A7D9D" w14:paraId="057A7DA4" w14:textId="77777777" w:rsidTr="00F31937">
        <w:trPr>
          <w:trHeight w:val="60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42BFF00E"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Directive 2009/32/EC on the approximation of the laws of the Member States on extraction solvents used in the production of foodstuffs and food ingredients</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8691570"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Safety assessment</w:t>
            </w:r>
          </w:p>
          <w:p w14:paraId="5268470C"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xml:space="preserve"> </w:t>
            </w:r>
          </w:p>
        </w:tc>
      </w:tr>
      <w:tr w:rsidR="000A7D9D" w14:paraId="2A729BFE" w14:textId="77777777" w:rsidTr="00F31937">
        <w:trPr>
          <w:trHeight w:val="60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4732ADBB"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Council Regulation (EEC) No 315/93 laying down Community procedures for contaminants in food</w:t>
            </w:r>
          </w:p>
          <w:p w14:paraId="7E3FBEC3" w14:textId="77777777" w:rsidR="000A7D9D" w:rsidRPr="00F521F8" w:rsidRDefault="000A7D9D" w:rsidP="000A7D9D">
            <w:pPr>
              <w:pStyle w:val="ListParagraph"/>
              <w:widowControl w:val="0"/>
              <w:numPr>
                <w:ilvl w:val="0"/>
                <w:numId w:val="131"/>
              </w:numPr>
              <w:rPr>
                <w:rFonts w:eastAsiaTheme="minorEastAsia"/>
                <w:noProof/>
                <w:color w:val="000000" w:themeColor="text1"/>
                <w:sz w:val="20"/>
                <w:szCs w:val="20"/>
              </w:rPr>
            </w:pPr>
            <w:r w:rsidRPr="00F521F8">
              <w:rPr>
                <w:rFonts w:eastAsiaTheme="minorEastAsia"/>
                <w:noProof/>
                <w:color w:val="000000" w:themeColor="text1"/>
                <w:sz w:val="20"/>
                <w:szCs w:val="20"/>
              </w:rPr>
              <w:t>Commission Regulation (EC) No 1881/2006 setting maximum levels for certain contaminants in foodstuffs</w:t>
            </w:r>
          </w:p>
          <w:p w14:paraId="6E864B41" w14:textId="77777777" w:rsidR="000A7D9D" w:rsidRPr="00F521F8" w:rsidRDefault="000A7D9D" w:rsidP="000A7D9D">
            <w:pPr>
              <w:pStyle w:val="ListParagraph"/>
              <w:widowControl w:val="0"/>
              <w:numPr>
                <w:ilvl w:val="0"/>
                <w:numId w:val="131"/>
              </w:numPr>
              <w:rPr>
                <w:rFonts w:eastAsiaTheme="minorEastAsia"/>
                <w:noProof/>
                <w:color w:val="000000" w:themeColor="text1"/>
                <w:sz w:val="20"/>
                <w:szCs w:val="20"/>
              </w:rPr>
            </w:pPr>
            <w:r w:rsidRPr="00F521F8">
              <w:rPr>
                <w:rFonts w:eastAsiaTheme="minorEastAsia"/>
                <w:noProof/>
                <w:color w:val="000000" w:themeColor="text1"/>
                <w:sz w:val="20"/>
                <w:szCs w:val="20"/>
              </w:rPr>
              <w:t>Commission Implementing Regulation (EU) No 884/2014 imposing special conditions governing the import of certain feed and food from certain third countries due to contamination risk by aflatoxins</w:t>
            </w:r>
          </w:p>
          <w:p w14:paraId="3101E5BD" w14:textId="77777777" w:rsidR="000A7D9D" w:rsidRPr="00F521F8" w:rsidRDefault="000A7D9D" w:rsidP="000A7D9D">
            <w:pPr>
              <w:pStyle w:val="ListParagraph"/>
              <w:widowControl w:val="0"/>
              <w:numPr>
                <w:ilvl w:val="0"/>
                <w:numId w:val="131"/>
              </w:numPr>
              <w:rPr>
                <w:rFonts w:eastAsiaTheme="minorEastAsia"/>
                <w:noProof/>
                <w:color w:val="000000" w:themeColor="text1"/>
                <w:sz w:val="20"/>
                <w:szCs w:val="20"/>
              </w:rPr>
            </w:pPr>
            <w:r w:rsidRPr="00F521F8">
              <w:rPr>
                <w:rFonts w:eastAsiaTheme="minorEastAsia"/>
                <w:noProof/>
                <w:color w:val="000000" w:themeColor="text1"/>
                <w:sz w:val="20"/>
                <w:szCs w:val="20"/>
              </w:rPr>
              <w:t xml:space="preserve">Commission Regulation (EC) No 401/2006 laying down the methods of sampling and analysis for the official control of the levels of mycotoxins in foodstuffs </w:t>
            </w:r>
          </w:p>
          <w:p w14:paraId="30D75782" w14:textId="77777777" w:rsidR="000A7D9D" w:rsidRPr="00F521F8" w:rsidRDefault="000A7D9D" w:rsidP="000A7D9D">
            <w:pPr>
              <w:pStyle w:val="ListParagraph"/>
              <w:widowControl w:val="0"/>
              <w:numPr>
                <w:ilvl w:val="0"/>
                <w:numId w:val="131"/>
              </w:numPr>
              <w:rPr>
                <w:rFonts w:eastAsiaTheme="minorEastAsia"/>
                <w:noProof/>
                <w:color w:val="000000" w:themeColor="text1"/>
                <w:sz w:val="20"/>
                <w:szCs w:val="20"/>
              </w:rPr>
            </w:pPr>
            <w:r w:rsidRPr="00F521F8">
              <w:rPr>
                <w:rFonts w:eastAsiaTheme="minorEastAsia"/>
                <w:noProof/>
                <w:color w:val="000000" w:themeColor="text1"/>
                <w:sz w:val="20"/>
                <w:szCs w:val="20"/>
              </w:rPr>
              <w:t>Commission Regulation (EC) No 333/2007 laying down the methods of sampling and analysis for the official control of the levels of lead, cadmium, mercury, inorganic tin, 3-MCPD and benzo(a)pyrene in foodstuffs</w:t>
            </w:r>
          </w:p>
          <w:p w14:paraId="5044D384" w14:textId="77777777" w:rsidR="000A7D9D" w:rsidRPr="00F521F8" w:rsidRDefault="000A7D9D" w:rsidP="000A7D9D">
            <w:pPr>
              <w:pStyle w:val="ListParagraph"/>
              <w:widowControl w:val="0"/>
              <w:numPr>
                <w:ilvl w:val="0"/>
                <w:numId w:val="131"/>
              </w:numPr>
              <w:rPr>
                <w:rFonts w:eastAsiaTheme="minorEastAsia"/>
                <w:noProof/>
                <w:color w:val="000000" w:themeColor="text1"/>
                <w:sz w:val="20"/>
                <w:szCs w:val="20"/>
              </w:rPr>
            </w:pPr>
            <w:r w:rsidRPr="00F521F8">
              <w:rPr>
                <w:rFonts w:eastAsiaTheme="minorEastAsia"/>
                <w:noProof/>
                <w:color w:val="000000" w:themeColor="text1"/>
                <w:sz w:val="20"/>
                <w:szCs w:val="20"/>
              </w:rPr>
              <w:t xml:space="preserve">Commission Regulation (EU) 2017/644 laying down methods of sampling and analysis for the control of levels of dioxins, dioxin-like PCBs and non-dioxin-like PCBs in certain foodstuffs </w:t>
            </w:r>
          </w:p>
          <w:p w14:paraId="7B735F1E" w14:textId="77777777" w:rsidR="000A7D9D" w:rsidRPr="00F521F8" w:rsidRDefault="000A7D9D" w:rsidP="000A7D9D">
            <w:pPr>
              <w:pStyle w:val="ListParagraph"/>
              <w:widowControl w:val="0"/>
              <w:numPr>
                <w:ilvl w:val="0"/>
                <w:numId w:val="131"/>
              </w:numPr>
              <w:rPr>
                <w:rFonts w:eastAsiaTheme="minorEastAsia"/>
                <w:noProof/>
                <w:color w:val="000000" w:themeColor="text1"/>
                <w:sz w:val="20"/>
                <w:szCs w:val="20"/>
              </w:rPr>
            </w:pPr>
            <w:r w:rsidRPr="00F521F8">
              <w:rPr>
                <w:rFonts w:eastAsiaTheme="minorEastAsia"/>
                <w:noProof/>
                <w:color w:val="000000" w:themeColor="text1"/>
                <w:sz w:val="20"/>
                <w:szCs w:val="20"/>
              </w:rPr>
              <w:t>Commission Regulation (EC) No 1882/2006 laying down methods of sampling and analysis for the official control of the levels of nitrates in certain foodstuffs</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414FEE2"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xml:space="preserve">- Safety assessment  </w:t>
            </w:r>
          </w:p>
          <w:p w14:paraId="0482D6AF"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xml:space="preserve"> </w:t>
            </w:r>
          </w:p>
        </w:tc>
      </w:tr>
      <w:tr w:rsidR="000A7D9D" w14:paraId="569B1624" w14:textId="77777777" w:rsidTr="00F31937">
        <w:trPr>
          <w:trHeight w:val="30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09D71D65"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Directive 2002/32/EC on undesirable substances in animal feed</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C8F4F0F"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Safety assessment</w:t>
            </w:r>
          </w:p>
          <w:p w14:paraId="40D8C219"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xml:space="preserve"> </w:t>
            </w:r>
          </w:p>
        </w:tc>
      </w:tr>
      <w:tr w:rsidR="000A7D9D" w14:paraId="645272ED" w14:textId="77777777" w:rsidTr="00F31937">
        <w:trPr>
          <w:trHeight w:val="60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16AD53D9"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Regulation (EC) No 1107/2009 concerning the placing of plant protection products on the market</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2766D79"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Safety assessment as part of the substance (re-)approval process</w:t>
            </w:r>
          </w:p>
        </w:tc>
      </w:tr>
      <w:tr w:rsidR="000A7D9D" w14:paraId="316FE7EF" w14:textId="77777777" w:rsidTr="00F31937">
        <w:trPr>
          <w:trHeight w:val="60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4A0FE23C"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Regulation (EC) No 396/2005 on maximum residue levels of pesticides in or on food and feed of plant and animal origin</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E670677"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Safety assessment as part of the reviewing, amending, setting, deleting of MRLs</w:t>
            </w:r>
          </w:p>
        </w:tc>
      </w:tr>
      <w:tr w:rsidR="000A7D9D" w14:paraId="1AF404FA" w14:textId="77777777" w:rsidTr="00F31937">
        <w:trPr>
          <w:trHeight w:val="300"/>
        </w:trPr>
        <w:tc>
          <w:tcPr>
            <w:tcW w:w="4761" w:type="dxa"/>
            <w:tcBorders>
              <w:top w:val="single" w:sz="8" w:space="0" w:color="auto"/>
              <w:left w:val="single" w:sz="8" w:space="0" w:color="auto"/>
              <w:bottom w:val="single" w:sz="8" w:space="0" w:color="auto"/>
              <w:right w:val="single" w:sz="8" w:space="0" w:color="auto"/>
            </w:tcBorders>
            <w:tcMar>
              <w:left w:w="108" w:type="dxa"/>
              <w:right w:w="108" w:type="dxa"/>
            </w:tcMar>
          </w:tcPr>
          <w:p w14:paraId="2D219A76" w14:textId="77777777" w:rsidR="000A7D9D" w:rsidRPr="00F521F8" w:rsidRDefault="000A7D9D" w:rsidP="00F31937">
            <w:pPr>
              <w:jc w:val="both"/>
              <w:rPr>
                <w:rFonts w:ascii="Times New Roman" w:eastAsiaTheme="minorEastAsia" w:hAnsi="Times New Roman" w:cs="Times New Roman"/>
                <w:b/>
                <w:bCs/>
                <w:noProof/>
                <w:color w:val="000000" w:themeColor="text1"/>
                <w:sz w:val="20"/>
                <w:szCs w:val="20"/>
              </w:rPr>
            </w:pPr>
            <w:r w:rsidRPr="00F521F8">
              <w:rPr>
                <w:rFonts w:ascii="Times New Roman" w:eastAsiaTheme="minorEastAsia" w:hAnsi="Times New Roman" w:cs="Times New Roman"/>
                <w:b/>
                <w:bCs/>
                <w:noProof/>
                <w:color w:val="000000" w:themeColor="text1"/>
                <w:sz w:val="20"/>
                <w:szCs w:val="20"/>
              </w:rPr>
              <w:t>Regulation (EC) No 1831/2003 on additives for use in animal nutrition</w:t>
            </w:r>
          </w:p>
          <w:p w14:paraId="7D2F6426" w14:textId="77777777" w:rsidR="000A7D9D" w:rsidRPr="00F521F8" w:rsidRDefault="000A7D9D" w:rsidP="000A7D9D">
            <w:pPr>
              <w:pStyle w:val="ListParagraph"/>
              <w:widowControl w:val="0"/>
              <w:numPr>
                <w:ilvl w:val="0"/>
                <w:numId w:val="130"/>
              </w:numPr>
              <w:rPr>
                <w:rFonts w:eastAsiaTheme="minorEastAsia"/>
                <w:noProof/>
                <w:color w:val="000000" w:themeColor="text1"/>
                <w:sz w:val="20"/>
                <w:szCs w:val="20"/>
              </w:rPr>
            </w:pPr>
            <w:r w:rsidRPr="00F521F8">
              <w:rPr>
                <w:rFonts w:eastAsiaTheme="minorEastAsia"/>
                <w:noProof/>
                <w:color w:val="000000" w:themeColor="text1"/>
                <w:sz w:val="20"/>
                <w:szCs w:val="20"/>
              </w:rPr>
              <w:t>Commission Regulation (EC) No 429/2008 on detailed rules for the implementation of Regulation (EC) No 1831/2003 as regards the preparation and the presentation of applications and the assessment and the authorisation of feed additives</w:t>
            </w:r>
          </w:p>
        </w:tc>
        <w:tc>
          <w:tcPr>
            <w:tcW w:w="486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E220A5B" w14:textId="77777777" w:rsidR="000A7D9D" w:rsidRPr="00F521F8" w:rsidRDefault="000A7D9D" w:rsidP="00F31937">
            <w:pPr>
              <w:rPr>
                <w:rFonts w:ascii="Times New Roman" w:eastAsiaTheme="minorEastAsia" w:hAnsi="Times New Roman" w:cs="Times New Roman"/>
                <w:noProof/>
                <w:color w:val="000000" w:themeColor="text1"/>
                <w:sz w:val="20"/>
                <w:szCs w:val="20"/>
              </w:rPr>
            </w:pPr>
            <w:r w:rsidRPr="00F521F8">
              <w:rPr>
                <w:rFonts w:ascii="Times New Roman" w:eastAsiaTheme="minorEastAsia" w:hAnsi="Times New Roman" w:cs="Times New Roman"/>
                <w:noProof/>
                <w:color w:val="000000" w:themeColor="text1"/>
                <w:sz w:val="20"/>
                <w:szCs w:val="20"/>
              </w:rPr>
              <w:t>- Safety assessment</w:t>
            </w:r>
          </w:p>
        </w:tc>
      </w:tr>
    </w:tbl>
    <w:p w14:paraId="1E6F9BFA" w14:textId="77777777" w:rsidR="000A7D9D" w:rsidRPr="00F521F8" w:rsidRDefault="000A7D9D" w:rsidP="000A7D9D">
      <w:pPr>
        <w:spacing w:before="120" w:after="120"/>
        <w:jc w:val="both"/>
        <w:rPr>
          <w:rFonts w:ascii="Times New Roman" w:hAnsi="Times New Roman" w:cs="Times New Roman"/>
          <w:noProof/>
          <w:sz w:val="24"/>
          <w:szCs w:val="24"/>
        </w:rPr>
      </w:pPr>
      <w:r w:rsidRPr="13AEFEEB">
        <w:rPr>
          <w:rFonts w:ascii="Times New Roman" w:hAnsi="Times New Roman" w:cs="Times New Roman"/>
          <w:b/>
          <w:bCs/>
          <w:noProof/>
          <w:sz w:val="24"/>
          <w:szCs w:val="24"/>
        </w:rPr>
        <w:t xml:space="preserve">Proximity to the mandate of agencies: </w:t>
      </w:r>
      <w:r w:rsidRPr="13AEFEEB">
        <w:rPr>
          <w:rFonts w:ascii="Times New Roman" w:hAnsi="Times New Roman" w:cs="Times New Roman"/>
          <w:noProof/>
          <w:sz w:val="24"/>
          <w:szCs w:val="24"/>
        </w:rPr>
        <w:t xml:space="preserve">for ECHA </w:t>
      </w:r>
      <w:r w:rsidRPr="13AEFEEB">
        <w:rPr>
          <w:rFonts w:ascii="Times New Roman" w:hAnsi="Times New Roman" w:cs="Times New Roman"/>
          <w:b/>
          <w:bCs/>
          <w:noProof/>
          <w:sz w:val="24"/>
          <w:szCs w:val="24"/>
        </w:rPr>
        <w:t>very high</w:t>
      </w:r>
      <w:r w:rsidRPr="13AEFEEB">
        <w:rPr>
          <w:rFonts w:ascii="Times New Roman" w:hAnsi="Times New Roman" w:cs="Times New Roman"/>
          <w:noProof/>
          <w:sz w:val="24"/>
          <w:szCs w:val="24"/>
        </w:rPr>
        <w:t xml:space="preserve">, as it developed and operated the tool, and is designated as the manager of the common data platform in the future. For EFSA </w:t>
      </w:r>
      <w:r w:rsidRPr="13AEFEEB">
        <w:rPr>
          <w:rFonts w:ascii="Times New Roman" w:hAnsi="Times New Roman" w:cs="Times New Roman"/>
          <w:b/>
          <w:bCs/>
          <w:noProof/>
          <w:sz w:val="24"/>
          <w:szCs w:val="24"/>
        </w:rPr>
        <w:t>very high</w:t>
      </w:r>
      <w:r w:rsidRPr="13AEFEEB">
        <w:rPr>
          <w:rFonts w:ascii="Times New Roman" w:hAnsi="Times New Roman" w:cs="Times New Roman"/>
          <w:noProof/>
          <w:sz w:val="24"/>
          <w:szCs w:val="24"/>
        </w:rPr>
        <w:t xml:space="preserve">, as EFSA already operates the OpenEFSA portal.  </w:t>
      </w:r>
    </w:p>
    <w:p w14:paraId="3ABF7F4A"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Projected synergies and added value of reattribution:</w:t>
      </w:r>
    </w:p>
    <w:p w14:paraId="5F831FEF" w14:textId="77777777" w:rsidR="000A7D9D" w:rsidRPr="00F521F8" w:rsidRDefault="000A7D9D" w:rsidP="000A7D9D">
      <w:pPr>
        <w:spacing w:after="120"/>
        <w:jc w:val="both"/>
        <w:rPr>
          <w:rFonts w:ascii="Times New Roman" w:hAnsi="Times New Roman" w:cs="Times New Roman"/>
          <w:noProof/>
          <w:sz w:val="24"/>
          <w:szCs w:val="24"/>
        </w:rPr>
      </w:pPr>
      <w:r w:rsidRPr="13AEFEEB">
        <w:rPr>
          <w:rFonts w:ascii="Times New Roman" w:hAnsi="Times New Roman" w:cs="Times New Roman"/>
          <w:noProof/>
          <w:sz w:val="24"/>
          <w:szCs w:val="24"/>
        </w:rPr>
        <w:t xml:space="preserve">Synergies come from the fact that one system or dedicated service can serve multiple agencies. The added value of the system is that all agencies and stakeholders will be able to find out at one place about the ongoing or planned regulatory processes on substances.  The development of the dedicated service on information on regulatory processes on chemicals (I.e. extended PACT) will be done as part of the development of the common data platform on chemicals, exploiting the same governance process and building blocks required.  </w:t>
      </w:r>
    </w:p>
    <w:p w14:paraId="446CFCCC"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 xml:space="preserve">Main risks and opportunities: </w:t>
      </w:r>
    </w:p>
    <w:p w14:paraId="242B0A4F" w14:textId="77777777" w:rsidR="000A7D9D" w:rsidRPr="00F521F8" w:rsidRDefault="000A7D9D" w:rsidP="000A7D9D">
      <w:pPr>
        <w:spacing w:after="120"/>
        <w:jc w:val="both"/>
        <w:rPr>
          <w:rFonts w:ascii="Times New Roman" w:hAnsi="Times New Roman" w:cs="Times New Roman"/>
          <w:noProof/>
          <w:sz w:val="24"/>
          <w:szCs w:val="24"/>
        </w:rPr>
      </w:pPr>
      <w:r w:rsidRPr="13AEFEEB">
        <w:rPr>
          <w:rFonts w:ascii="Times New Roman" w:hAnsi="Times New Roman" w:cs="Times New Roman"/>
          <w:noProof/>
          <w:sz w:val="24"/>
          <w:szCs w:val="24"/>
        </w:rPr>
        <w:t>The development of an all-encompassing controlled vocabulary and rules for all the different contributors will be extensive. It is however not considered a risk as all processes are individually well controlled by the agencies responsible for the implementation of the individual pieces of legislation. Risks are mitigated by the designated role of the agencies. The dedicated service on information on regulatory processes on chemicals provides a major opportunity to facilitate the coordination between the assessments and reuse of assessments performed elsewhere, to avoid duplication of work and to save time when informed decisions on further management actions can be taken.</w:t>
      </w:r>
    </w:p>
    <w:p w14:paraId="22373744"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Projected impact on agencies</w:t>
      </w:r>
    </w:p>
    <w:p w14:paraId="3B4FF8E1" w14:textId="77777777" w:rsidR="000A7D9D" w:rsidRPr="00F521F8" w:rsidRDefault="000A7D9D" w:rsidP="000A7D9D">
      <w:pPr>
        <w:pStyle w:val="ListParagraph"/>
        <w:widowControl w:val="0"/>
        <w:numPr>
          <w:ilvl w:val="0"/>
          <w:numId w:val="88"/>
        </w:numPr>
        <w:spacing w:after="120"/>
        <w:rPr>
          <w:b/>
          <w:bCs/>
          <w:noProof/>
        </w:rPr>
      </w:pPr>
      <w:r>
        <w:rPr>
          <w:noProof/>
        </w:rPr>
        <w:t xml:space="preserve">Committees/bodies: </w:t>
      </w:r>
      <w:r w:rsidRPr="13AEFEEB">
        <w:rPr>
          <w:b/>
          <w:bCs/>
          <w:noProof/>
        </w:rPr>
        <w:t>no impact</w:t>
      </w:r>
      <w:r>
        <w:rPr>
          <w:noProof/>
        </w:rPr>
        <w:t>. The task does not require the involvement of committees /bodies (with the exemption of their secretariat that will be the main provider of respective information from the committees to the dedicated service on information on regulatory processes, as is the case now for PACT)</w:t>
      </w:r>
    </w:p>
    <w:p w14:paraId="060BAD07" w14:textId="77777777" w:rsidR="000A7D9D" w:rsidRPr="00F521F8" w:rsidRDefault="000A7D9D" w:rsidP="000A7D9D">
      <w:pPr>
        <w:pStyle w:val="BodyText"/>
        <w:widowControl w:val="0"/>
        <w:numPr>
          <w:ilvl w:val="0"/>
          <w:numId w:val="88"/>
        </w:numPr>
        <w:jc w:val="both"/>
        <w:rPr>
          <w:noProof/>
        </w:rPr>
      </w:pPr>
      <w:r>
        <w:rPr>
          <w:noProof/>
        </w:rPr>
        <w:t xml:space="preserve">Agencies’ data model and IT infrastructure: </w:t>
      </w:r>
      <w:r w:rsidRPr="13AEFEEB">
        <w:rPr>
          <w:b/>
          <w:bCs/>
          <w:noProof/>
        </w:rPr>
        <w:t>high impact</w:t>
      </w:r>
      <w:r>
        <w:rPr>
          <w:noProof/>
        </w:rPr>
        <w:t xml:space="preserve">. The same considerations apply as for the development of the common data platform in its entirety. The data models of 4 agencies for this type of information will have to be aligned. </w:t>
      </w:r>
    </w:p>
    <w:p w14:paraId="08F99E7E" w14:textId="77777777" w:rsidR="000A7D9D" w:rsidRPr="00F521F8" w:rsidRDefault="000A7D9D" w:rsidP="000A7D9D">
      <w:pPr>
        <w:pStyle w:val="BodyText"/>
        <w:widowControl w:val="0"/>
        <w:numPr>
          <w:ilvl w:val="0"/>
          <w:numId w:val="88"/>
        </w:numPr>
        <w:jc w:val="both"/>
        <w:rPr>
          <w:noProof/>
        </w:rPr>
      </w:pPr>
      <w:r w:rsidRPr="00F521F8">
        <w:rPr>
          <w:noProof/>
        </w:rPr>
        <w:t>Agencies’ key experts:</w:t>
      </w:r>
      <w:r w:rsidRPr="00F521F8">
        <w:rPr>
          <w:b/>
          <w:bCs/>
          <w:noProof/>
        </w:rPr>
        <w:t xml:space="preserve"> no impact</w:t>
      </w:r>
      <w:r w:rsidRPr="00F521F8">
        <w:rPr>
          <w:noProof/>
        </w:rPr>
        <w:t xml:space="preserve">. The task does not require a specific expertise. The task is effectively just a reporting/documenting of the processes. </w:t>
      </w:r>
    </w:p>
    <w:p w14:paraId="6B41FD0C"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Projected workload and resource implications:</w:t>
      </w:r>
    </w:p>
    <w:p w14:paraId="5D9594D1" w14:textId="77777777" w:rsidR="000A7D9D" w:rsidRPr="00F521F8" w:rsidRDefault="000A7D9D" w:rsidP="000A7D9D">
      <w:pPr>
        <w:spacing w:after="120"/>
        <w:rPr>
          <w:rFonts w:ascii="Times New Roman" w:hAnsi="Times New Roman" w:cs="Times New Roman"/>
          <w:noProof/>
          <w:sz w:val="24"/>
          <w:szCs w:val="24"/>
          <w:u w:val="single"/>
        </w:rPr>
      </w:pPr>
      <w:r w:rsidRPr="00F521F8">
        <w:rPr>
          <w:rFonts w:ascii="Times New Roman" w:hAnsi="Times New Roman" w:cs="Times New Roman"/>
          <w:noProof/>
          <w:sz w:val="24"/>
          <w:szCs w:val="24"/>
          <w:u w:val="single"/>
        </w:rPr>
        <w:t>Future workload and resource needs:</w:t>
      </w:r>
      <w:r w:rsidRPr="00F521F8">
        <w:rPr>
          <w:rFonts w:ascii="Times New Roman" w:hAnsi="Times New Roman" w:cs="Times New Roman"/>
          <w:noProof/>
          <w:sz w:val="24"/>
          <w:szCs w:val="24"/>
        </w:rPr>
        <w:t xml:space="preserve"> </w:t>
      </w:r>
    </w:p>
    <w:tbl>
      <w:tblPr>
        <w:tblW w:w="96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43"/>
        <w:gridCol w:w="1037"/>
        <w:gridCol w:w="5280"/>
      </w:tblGrid>
      <w:tr w:rsidR="000A7D9D" w:rsidRPr="006B7D57" w14:paraId="73A37569" w14:textId="77777777" w:rsidTr="00F31937">
        <w:trPr>
          <w:trHeight w:val="300"/>
        </w:trPr>
        <w:tc>
          <w:tcPr>
            <w:tcW w:w="33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7AFFA6"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r w:rsidRPr="006B7D57">
              <w:rPr>
                <w:rFonts w:ascii="Times New Roman" w:eastAsiaTheme="minorEastAsia" w:hAnsi="Times New Roman" w:cs="Times New Roman"/>
                <w:b/>
                <w:bCs/>
                <w:noProof/>
                <w:sz w:val="20"/>
                <w:szCs w:val="20"/>
                <w:lang w:val="en-US" w:eastAsia="en-GB"/>
              </w:rPr>
              <w:t>Work description </w:t>
            </w:r>
            <w:r w:rsidRPr="006B7D57">
              <w:rPr>
                <w:rFonts w:ascii="Times New Roman" w:eastAsiaTheme="minorEastAsia" w:hAnsi="Times New Roman" w:cs="Times New Roman"/>
                <w:noProof/>
                <w:sz w:val="20"/>
                <w:szCs w:val="20"/>
                <w:lang w:eastAsia="en-GB"/>
              </w:rPr>
              <w:t> </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AE6875"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r w:rsidRPr="006B7D57">
              <w:rPr>
                <w:rFonts w:ascii="Times New Roman" w:eastAsiaTheme="minorEastAsia" w:hAnsi="Times New Roman" w:cs="Times New Roman"/>
                <w:b/>
                <w:bCs/>
                <w:noProof/>
                <w:sz w:val="20"/>
                <w:szCs w:val="20"/>
                <w:lang w:val="en-US" w:eastAsia="en-GB"/>
              </w:rPr>
              <w:t>Who </w:t>
            </w:r>
            <w:r w:rsidRPr="006B7D57">
              <w:rPr>
                <w:rFonts w:ascii="Times New Roman" w:eastAsiaTheme="minorEastAsia" w:hAnsi="Times New Roman" w:cs="Times New Roman"/>
                <w:noProof/>
                <w:sz w:val="20"/>
                <w:szCs w:val="20"/>
                <w:lang w:eastAsia="en-GB"/>
              </w:rPr>
              <w:t> </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EA3296"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r w:rsidRPr="006B7D57">
              <w:rPr>
                <w:rFonts w:ascii="Times New Roman" w:eastAsiaTheme="minorEastAsia" w:hAnsi="Times New Roman" w:cs="Times New Roman"/>
                <w:b/>
                <w:bCs/>
                <w:noProof/>
                <w:sz w:val="20"/>
                <w:szCs w:val="20"/>
                <w:lang w:val="en-US" w:eastAsia="en-GB"/>
              </w:rPr>
              <w:t>Resource needs estimate</w:t>
            </w:r>
            <w:r w:rsidRPr="006B7D57">
              <w:rPr>
                <w:rFonts w:ascii="Times New Roman" w:eastAsiaTheme="minorEastAsia" w:hAnsi="Times New Roman" w:cs="Times New Roman"/>
                <w:noProof/>
                <w:sz w:val="20"/>
                <w:szCs w:val="20"/>
                <w:lang w:eastAsia="en-GB"/>
              </w:rPr>
              <w:t> </w:t>
            </w:r>
          </w:p>
        </w:tc>
      </w:tr>
      <w:tr w:rsidR="000A7D9D" w:rsidRPr="006B7D57" w14:paraId="1744F23A" w14:textId="77777777" w:rsidTr="00F31937">
        <w:trPr>
          <w:trHeight w:val="300"/>
        </w:trPr>
        <w:tc>
          <w:tcPr>
            <w:tcW w:w="33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DC43F0"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b/>
                <w:bCs/>
                <w:noProof/>
                <w:sz w:val="20"/>
                <w:szCs w:val="20"/>
                <w:lang w:val="en-US" w:eastAsia="en-GB"/>
              </w:rPr>
              <w:t xml:space="preserve">Developing the dedicated service on information on regulatory processes on chemicals as part of the common data platform </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2745B2"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A9B300"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w:t>
            </w:r>
          </w:p>
        </w:tc>
      </w:tr>
      <w:tr w:rsidR="000A7D9D" w:rsidRPr="006B7D57" w14:paraId="52F41818" w14:textId="77777777" w:rsidTr="00F31937">
        <w:trPr>
          <w:trHeight w:val="300"/>
        </w:trPr>
        <w:tc>
          <w:tcPr>
            <w:tcW w:w="33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0D4BC6"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r w:rsidRPr="006B7D57">
              <w:rPr>
                <w:rFonts w:ascii="Times New Roman" w:eastAsiaTheme="minorEastAsia" w:hAnsi="Times New Roman" w:cs="Times New Roman"/>
                <w:noProof/>
                <w:sz w:val="20"/>
                <w:szCs w:val="20"/>
                <w:lang w:val="en-US" w:eastAsia="en-GB"/>
              </w:rPr>
              <w:t xml:space="preserve">Designing and developing the dedicated service’s data structure, functionalities and IT service. </w:t>
            </w:r>
            <w:r w:rsidRPr="006B7D57">
              <w:rPr>
                <w:rFonts w:ascii="Times New Roman" w:eastAsiaTheme="minorEastAsia" w:hAnsi="Times New Roman" w:cs="Times New Roman"/>
                <w:noProof/>
                <w:sz w:val="20"/>
                <w:szCs w:val="20"/>
                <w:lang w:eastAsia="en-GB"/>
              </w:rPr>
              <w:t> </w:t>
            </w:r>
          </w:p>
          <w:p w14:paraId="5820C751"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xml:space="preserve">Notably most of the building blocks of existing ECHA (P)ACT can be reused. Experiences from similar portals like OpenEFSA from other agencies need to be included. Proper consideration must be given to the service’s functioning through differentiated access (agencies/public) and the ability to efficiently (albeit within constraints) serve during transitional periods while legal provisions on sharing between agencies are still being adopted.  </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8B46D6"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r w:rsidRPr="006B7D57">
              <w:rPr>
                <w:rFonts w:ascii="Times New Roman" w:eastAsiaTheme="minorEastAsia" w:hAnsi="Times New Roman" w:cs="Times New Roman"/>
                <w:noProof/>
                <w:sz w:val="20"/>
                <w:szCs w:val="20"/>
                <w:lang w:val="en-US" w:eastAsia="en-GB"/>
              </w:rPr>
              <w:t>ECHA</w:t>
            </w:r>
            <w:r w:rsidRPr="006B7D57">
              <w:rPr>
                <w:rFonts w:ascii="Times New Roman" w:eastAsiaTheme="minorEastAsia" w:hAnsi="Times New Roman" w:cs="Times New Roman"/>
                <w:noProof/>
                <w:sz w:val="20"/>
                <w:szCs w:val="20"/>
                <w:lang w:eastAsia="en-GB"/>
              </w:rPr>
              <w:t> </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298CD6"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r w:rsidRPr="006B7D57">
              <w:rPr>
                <w:rFonts w:ascii="Times New Roman" w:eastAsiaTheme="minorEastAsia" w:hAnsi="Times New Roman" w:cs="Times New Roman"/>
                <w:noProof/>
                <w:sz w:val="20"/>
                <w:szCs w:val="20"/>
                <w:lang w:eastAsia="en-GB"/>
              </w:rPr>
              <w:t xml:space="preserve">See common data platform estimates: preparation of the dedicated service on information on regulatory processes on chemicals is already included in the estimate as part of MVP basic IT infrastructure. </w:t>
            </w:r>
          </w:p>
          <w:p w14:paraId="030CA26C"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p>
          <w:p w14:paraId="16BFB0F3"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r w:rsidRPr="006B7D57">
              <w:rPr>
                <w:rFonts w:ascii="Times New Roman" w:eastAsiaTheme="minorEastAsia" w:hAnsi="Times New Roman" w:cs="Times New Roman"/>
                <w:noProof/>
                <w:sz w:val="20"/>
                <w:szCs w:val="20"/>
                <w:lang w:eastAsia="en-GB"/>
              </w:rPr>
              <w:t xml:space="preserve">The dedicated service is expected to be included already in the first demo at T0+12 months, likely with limited coverage of processes included (ECHA, EFSA). Full functionality is expected in the goLive version in 2028.  </w:t>
            </w:r>
          </w:p>
        </w:tc>
      </w:tr>
      <w:tr w:rsidR="000A7D9D" w:rsidRPr="006B7D57" w14:paraId="3484A218" w14:textId="77777777" w:rsidTr="00F31937">
        <w:trPr>
          <w:trHeight w:val="300"/>
        </w:trPr>
        <w:tc>
          <w:tcPr>
            <w:tcW w:w="33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4D3BF0"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r w:rsidRPr="006B7D57">
              <w:rPr>
                <w:rFonts w:ascii="Times New Roman" w:eastAsiaTheme="minorEastAsia" w:hAnsi="Times New Roman" w:cs="Times New Roman"/>
                <w:noProof/>
                <w:sz w:val="20"/>
                <w:szCs w:val="20"/>
                <w:lang w:val="en-US" w:eastAsia="en-GB"/>
              </w:rPr>
              <w:t>Cooperation with and providing input to ECHA for the development of the dedicated service on information on regulatory processes on chemicals (as part of the common data platform governance)</w:t>
            </w:r>
          </w:p>
          <w:p w14:paraId="2301639F"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65FB02" w14:textId="77777777" w:rsidR="004C1B00" w:rsidRDefault="000A7D9D" w:rsidP="004C1B00">
            <w:pPr>
              <w:spacing w:after="0"/>
              <w:textAlignment w:val="baseline"/>
              <w:rPr>
                <w:rFonts w:ascii="Times New Roman" w:eastAsiaTheme="minorEastAsia" w:hAnsi="Times New Roman" w:cs="Times New Roman"/>
                <w:noProof/>
                <w:sz w:val="20"/>
                <w:szCs w:val="20"/>
                <w:lang w:val="fr-BE" w:eastAsia="en-GB"/>
              </w:rPr>
            </w:pPr>
            <w:r w:rsidRPr="006B7D57">
              <w:rPr>
                <w:rFonts w:ascii="Times New Roman" w:eastAsiaTheme="minorEastAsia" w:hAnsi="Times New Roman" w:cs="Times New Roman"/>
                <w:noProof/>
                <w:sz w:val="20"/>
                <w:szCs w:val="20"/>
                <w:lang w:val="fr-BE" w:eastAsia="en-GB"/>
              </w:rPr>
              <w:t xml:space="preserve">EFSA, </w:t>
            </w:r>
          </w:p>
          <w:p w14:paraId="33EB2555" w14:textId="77777777" w:rsidR="004C1B00" w:rsidRDefault="000A7D9D" w:rsidP="004C1B00">
            <w:pPr>
              <w:spacing w:after="0"/>
              <w:textAlignment w:val="baseline"/>
              <w:rPr>
                <w:rFonts w:ascii="Times New Roman" w:eastAsiaTheme="minorEastAsia" w:hAnsi="Times New Roman" w:cs="Times New Roman"/>
                <w:noProof/>
                <w:sz w:val="20"/>
                <w:szCs w:val="20"/>
                <w:lang w:val="fr-BE" w:eastAsia="en-GB"/>
              </w:rPr>
            </w:pPr>
            <w:r w:rsidRPr="006B7D57">
              <w:rPr>
                <w:rFonts w:ascii="Times New Roman" w:eastAsiaTheme="minorEastAsia" w:hAnsi="Times New Roman" w:cs="Times New Roman"/>
                <w:noProof/>
                <w:sz w:val="20"/>
                <w:szCs w:val="20"/>
                <w:lang w:val="fr-BE" w:eastAsia="en-GB"/>
              </w:rPr>
              <w:t xml:space="preserve">EEA, </w:t>
            </w:r>
          </w:p>
          <w:p w14:paraId="075780F0" w14:textId="149504F0" w:rsidR="000A7D9D" w:rsidRPr="006B7D57" w:rsidRDefault="000A7D9D" w:rsidP="004C1B00">
            <w:pPr>
              <w:spacing w:after="0"/>
              <w:textAlignment w:val="baseline"/>
              <w:rPr>
                <w:rFonts w:ascii="Times New Roman" w:eastAsiaTheme="minorEastAsia" w:hAnsi="Times New Roman" w:cs="Times New Roman"/>
                <w:noProof/>
                <w:sz w:val="20"/>
                <w:szCs w:val="20"/>
                <w:lang w:val="fr-BE" w:eastAsia="en-GB"/>
              </w:rPr>
            </w:pPr>
            <w:r w:rsidRPr="006B7D57">
              <w:rPr>
                <w:rFonts w:ascii="Times New Roman" w:eastAsiaTheme="minorEastAsia" w:hAnsi="Times New Roman" w:cs="Times New Roman"/>
                <w:noProof/>
                <w:sz w:val="20"/>
                <w:szCs w:val="20"/>
                <w:lang w:val="fr-BE" w:eastAsia="en-GB"/>
              </w:rPr>
              <w:t>EU-OSHA, </w:t>
            </w:r>
          </w:p>
          <w:p w14:paraId="42FA372D" w14:textId="77777777" w:rsidR="000A7D9D" w:rsidRPr="006B7D57" w:rsidRDefault="000A7D9D" w:rsidP="004C1B00">
            <w:pPr>
              <w:spacing w:after="0"/>
              <w:textAlignment w:val="baseline"/>
              <w:rPr>
                <w:rFonts w:ascii="Times New Roman" w:eastAsiaTheme="minorEastAsia" w:hAnsi="Times New Roman" w:cs="Times New Roman"/>
                <w:noProof/>
                <w:sz w:val="20"/>
                <w:szCs w:val="20"/>
                <w:lang w:val="fr-BE" w:eastAsia="en-GB"/>
              </w:rPr>
            </w:pPr>
            <w:r w:rsidRPr="006B7D57">
              <w:rPr>
                <w:rFonts w:ascii="Times New Roman" w:eastAsiaTheme="minorEastAsia" w:hAnsi="Times New Roman" w:cs="Times New Roman"/>
                <w:noProof/>
                <w:sz w:val="20"/>
                <w:szCs w:val="20"/>
                <w:lang w:val="fr-BE" w:eastAsia="en-GB"/>
              </w:rPr>
              <w:t>COM </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2397D6"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Contribution expected by  EFSA, EEA, EU-OSHA and COM to help identify structure and functionalities, also on the basis of own experiences and expected needs. Ideally covered by the agencies’ core staff but can include external IT expertise in particular when one was covering existing solutions. Resources should be absorbed by the agencies  as part of the resources assigned to the development of the common data platform.</w:t>
            </w:r>
          </w:p>
        </w:tc>
      </w:tr>
      <w:tr w:rsidR="000A7D9D" w:rsidRPr="006B7D57" w14:paraId="16E3A7DA" w14:textId="77777777" w:rsidTr="00F31937">
        <w:trPr>
          <w:trHeight w:val="300"/>
        </w:trPr>
        <w:tc>
          <w:tcPr>
            <w:tcW w:w="33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4B32C8"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r w:rsidRPr="006B7D57">
              <w:rPr>
                <w:rFonts w:ascii="Times New Roman" w:eastAsiaTheme="minorEastAsia" w:hAnsi="Times New Roman" w:cs="Times New Roman"/>
                <w:noProof/>
                <w:sz w:val="20"/>
                <w:szCs w:val="20"/>
                <w:lang w:val="en-US" w:eastAsia="en-GB"/>
              </w:rPr>
              <w:t xml:space="preserve">Based on common agreements, preparation of internal dataflows, packaging of regulatory processes information and supporting ingestion into the common data platform </w:t>
            </w:r>
          </w:p>
          <w:p w14:paraId="62E8081B" w14:textId="77777777" w:rsidR="000A7D9D" w:rsidRPr="006B7D57" w:rsidRDefault="000A7D9D" w:rsidP="00F31937">
            <w:pPr>
              <w:textAlignment w:val="baseline"/>
              <w:rPr>
                <w:rFonts w:ascii="Times New Roman" w:eastAsiaTheme="minorEastAsia" w:hAnsi="Times New Roman" w:cs="Times New Roman"/>
                <w:b/>
                <w:bCs/>
                <w:noProof/>
                <w:sz w:val="20"/>
                <w:szCs w:val="20"/>
                <w:lang w:val="en-US" w:eastAsia="en-GB"/>
              </w:rPr>
            </w:pPr>
            <w:r w:rsidRPr="006B7D57">
              <w:rPr>
                <w:rFonts w:ascii="Times New Roman" w:eastAsiaTheme="minorEastAsia" w:hAnsi="Times New Roman" w:cs="Times New Roman"/>
                <w:noProof/>
                <w:sz w:val="20"/>
                <w:szCs w:val="20"/>
                <w:lang w:val="en-US" w:eastAsia="en-GB"/>
              </w:rPr>
              <w:t> </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DF4AC6" w14:textId="77777777" w:rsidR="004C1B00" w:rsidRDefault="000A7D9D" w:rsidP="004C1B00">
            <w:pPr>
              <w:spacing w:after="0"/>
              <w:textAlignment w:val="baseline"/>
              <w:rPr>
                <w:rFonts w:ascii="Times New Roman" w:eastAsiaTheme="minorEastAsia" w:hAnsi="Times New Roman" w:cs="Times New Roman"/>
                <w:noProof/>
                <w:sz w:val="20"/>
                <w:szCs w:val="20"/>
                <w:lang w:val="fr-BE" w:eastAsia="en-GB"/>
              </w:rPr>
            </w:pPr>
            <w:r w:rsidRPr="006B7D57">
              <w:rPr>
                <w:rFonts w:ascii="Times New Roman" w:eastAsiaTheme="minorEastAsia" w:hAnsi="Times New Roman" w:cs="Times New Roman"/>
                <w:noProof/>
                <w:sz w:val="20"/>
                <w:szCs w:val="20"/>
                <w:lang w:val="fr-BE" w:eastAsia="en-GB"/>
              </w:rPr>
              <w:t>ECHA, EFSA,</w:t>
            </w:r>
          </w:p>
          <w:p w14:paraId="05B9C061" w14:textId="77777777" w:rsidR="004C1B00" w:rsidRDefault="000A7D9D" w:rsidP="004C1B00">
            <w:pPr>
              <w:spacing w:after="0"/>
              <w:textAlignment w:val="baseline"/>
              <w:rPr>
                <w:rFonts w:ascii="Times New Roman" w:eastAsiaTheme="minorEastAsia" w:hAnsi="Times New Roman" w:cs="Times New Roman"/>
                <w:noProof/>
                <w:sz w:val="20"/>
                <w:szCs w:val="20"/>
                <w:lang w:val="fr-BE" w:eastAsia="en-GB"/>
              </w:rPr>
            </w:pPr>
            <w:r w:rsidRPr="006B7D57">
              <w:rPr>
                <w:rFonts w:ascii="Times New Roman" w:eastAsiaTheme="minorEastAsia" w:hAnsi="Times New Roman" w:cs="Times New Roman"/>
                <w:noProof/>
                <w:sz w:val="20"/>
                <w:szCs w:val="20"/>
                <w:lang w:val="fr-BE" w:eastAsia="en-GB"/>
              </w:rPr>
              <w:t xml:space="preserve">EEA, </w:t>
            </w:r>
          </w:p>
          <w:p w14:paraId="7A8BF1C3" w14:textId="669BE554" w:rsidR="000A7D9D" w:rsidRPr="006B7D57" w:rsidRDefault="000A7D9D" w:rsidP="004C1B00">
            <w:pPr>
              <w:spacing w:after="0"/>
              <w:textAlignment w:val="baseline"/>
              <w:rPr>
                <w:rFonts w:ascii="Times New Roman" w:eastAsiaTheme="minorEastAsia" w:hAnsi="Times New Roman" w:cs="Times New Roman"/>
                <w:noProof/>
                <w:sz w:val="20"/>
                <w:szCs w:val="20"/>
                <w:lang w:val="fr-BE" w:eastAsia="en-GB"/>
              </w:rPr>
            </w:pPr>
            <w:r w:rsidRPr="006B7D57">
              <w:rPr>
                <w:rFonts w:ascii="Times New Roman" w:eastAsiaTheme="minorEastAsia" w:hAnsi="Times New Roman" w:cs="Times New Roman"/>
                <w:noProof/>
                <w:sz w:val="20"/>
                <w:szCs w:val="20"/>
                <w:lang w:val="fr-BE" w:eastAsia="en-GB"/>
              </w:rPr>
              <w:t>EU-OSHA</w:t>
            </w:r>
          </w:p>
          <w:p w14:paraId="65C6ACA4" w14:textId="77777777" w:rsidR="000A7D9D" w:rsidRPr="006B7D57" w:rsidRDefault="000A7D9D" w:rsidP="004C1B00">
            <w:pPr>
              <w:spacing w:after="0"/>
              <w:textAlignment w:val="baseline"/>
              <w:rPr>
                <w:rFonts w:ascii="Times New Roman" w:eastAsiaTheme="minorEastAsia" w:hAnsi="Times New Roman" w:cs="Times New Roman"/>
                <w:noProof/>
                <w:sz w:val="20"/>
                <w:szCs w:val="20"/>
                <w:lang w:val="fr-BE" w:eastAsia="en-GB"/>
              </w:rPr>
            </w:pPr>
            <w:r w:rsidRPr="006B7D57">
              <w:rPr>
                <w:rFonts w:ascii="Times New Roman" w:eastAsiaTheme="minorEastAsia" w:hAnsi="Times New Roman" w:cs="Times New Roman"/>
                <w:noProof/>
                <w:sz w:val="20"/>
                <w:szCs w:val="20"/>
                <w:lang w:val="fr-BE" w:eastAsia="en-GB"/>
              </w:rPr>
              <w:t>COM </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D9F183"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xml:space="preserve">ECHA will have to integrate the remaining data flows for legislation not yet included in the current PACT. This is covered by the resources allocated as part of the proposals which reattributes certain processes to ECHA and which should be included in PACT. </w:t>
            </w:r>
          </w:p>
          <w:p w14:paraId="7112F193"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EFSA already have the data flows developed. They might need to be amended and retargeted to feed into the dedicated service on information on regulatory processes on chemicals.</w:t>
            </w:r>
          </w:p>
          <w:p w14:paraId="7ECA7D13"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xml:space="preserve">EEA, EU-OSHA will need to develop data flows and integrate them into the dedicated service. </w:t>
            </w:r>
          </w:p>
          <w:p w14:paraId="392D38AA"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Resource needs are covered in the estimation for the operation of the common data platform</w:t>
            </w:r>
          </w:p>
        </w:tc>
      </w:tr>
      <w:tr w:rsidR="000A7D9D" w:rsidRPr="006B7D57" w14:paraId="3673E529" w14:textId="77777777" w:rsidTr="00F31937">
        <w:trPr>
          <w:trHeight w:val="300"/>
        </w:trPr>
        <w:tc>
          <w:tcPr>
            <w:tcW w:w="33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AB24B9"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b/>
                <w:bCs/>
                <w:noProof/>
                <w:sz w:val="20"/>
                <w:szCs w:val="20"/>
                <w:lang w:val="en-US" w:eastAsia="en-GB"/>
              </w:rPr>
              <w:t>Provision of regulatory information</w:t>
            </w:r>
            <w:r w:rsidRPr="006B7D57">
              <w:rPr>
                <w:rFonts w:ascii="Times New Roman" w:eastAsiaTheme="minorEastAsia" w:hAnsi="Times New Roman" w:cs="Times New Roman"/>
                <w:noProof/>
                <w:sz w:val="20"/>
                <w:szCs w:val="20"/>
                <w:lang w:val="en-US" w:eastAsia="en-GB"/>
              </w:rPr>
              <w:t> </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AC8E78"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E27374"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w:t>
            </w:r>
          </w:p>
        </w:tc>
      </w:tr>
      <w:tr w:rsidR="000A7D9D" w:rsidRPr="006B7D57" w14:paraId="52445910" w14:textId="77777777" w:rsidTr="00F31937">
        <w:trPr>
          <w:trHeight w:val="300"/>
        </w:trPr>
        <w:tc>
          <w:tcPr>
            <w:tcW w:w="33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2B1C54"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xml:space="preserve">Keeping the dedicated service on information on regulatory processes on chemicals up-to-date by recurrent ingestion of new information and revision of existing one. </w:t>
            </w:r>
          </w:p>
          <w:p w14:paraId="6BEA9276"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The processes may include other actors than the agencies (e.g. competent authorities), however agencies would be responsible for packaging the information and linking with ECHA’s platform, in a consistent manner.</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459C84" w14:textId="77777777" w:rsidR="004C1B00" w:rsidRDefault="000A7D9D" w:rsidP="004C1B00">
            <w:pPr>
              <w:spacing w:after="0"/>
              <w:textAlignment w:val="baseline"/>
              <w:rPr>
                <w:rFonts w:ascii="Times New Roman" w:eastAsiaTheme="minorEastAsia" w:hAnsi="Times New Roman" w:cs="Times New Roman"/>
                <w:noProof/>
                <w:sz w:val="20"/>
                <w:szCs w:val="20"/>
                <w:lang w:val="fr-BE" w:eastAsia="en-GB"/>
              </w:rPr>
            </w:pPr>
            <w:r w:rsidRPr="006B7D57">
              <w:rPr>
                <w:rFonts w:ascii="Times New Roman" w:eastAsiaTheme="minorEastAsia" w:hAnsi="Times New Roman" w:cs="Times New Roman"/>
                <w:noProof/>
                <w:sz w:val="20"/>
                <w:szCs w:val="20"/>
                <w:lang w:val="fr-BE" w:eastAsia="en-GB"/>
              </w:rPr>
              <w:t xml:space="preserve">ECHA, EFSA, EEA, </w:t>
            </w:r>
          </w:p>
          <w:p w14:paraId="2101B1CE" w14:textId="0E7D3ACE" w:rsidR="000A7D9D" w:rsidRPr="006B7D57" w:rsidRDefault="000A7D9D" w:rsidP="004C1B00">
            <w:pPr>
              <w:spacing w:after="0"/>
              <w:textAlignment w:val="baseline"/>
              <w:rPr>
                <w:rFonts w:ascii="Times New Roman" w:eastAsiaTheme="minorEastAsia" w:hAnsi="Times New Roman" w:cs="Times New Roman"/>
                <w:noProof/>
                <w:sz w:val="20"/>
                <w:szCs w:val="20"/>
                <w:lang w:val="fr-BE" w:eastAsia="en-GB"/>
              </w:rPr>
            </w:pPr>
            <w:r w:rsidRPr="006B7D57">
              <w:rPr>
                <w:rFonts w:ascii="Times New Roman" w:eastAsiaTheme="minorEastAsia" w:hAnsi="Times New Roman" w:cs="Times New Roman"/>
                <w:noProof/>
                <w:sz w:val="20"/>
                <w:szCs w:val="20"/>
                <w:lang w:val="fr-BE" w:eastAsia="en-GB"/>
              </w:rPr>
              <w:t>EU-OSHA</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0EE5E7"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xml:space="preserve">While it is anticipated that the internal dataflows will reflect agreements on common metadata on processes, resulting in little overhead in order to ‘package’ for the platform, some additional resources will be required. The extent depends on the number of processes initiated (and should therefore be covered within proportionate IT overhead in case additional tasks are attributed to an agency), and to a degree the level of detail regarding information on intermediate steps and data to be associated. </w:t>
            </w:r>
          </w:p>
          <w:p w14:paraId="2B96C65B" w14:textId="77777777" w:rsidR="000A7D9D" w:rsidRPr="006B7D57" w:rsidRDefault="000A7D9D" w:rsidP="00F31937">
            <w:pPr>
              <w:textAlignment w:val="baseline"/>
              <w:rPr>
                <w:rFonts w:ascii="Times New Roman" w:eastAsiaTheme="minorEastAsia" w:hAnsi="Times New Roman" w:cs="Times New Roman"/>
                <w:noProof/>
                <w:sz w:val="20"/>
                <w:szCs w:val="20"/>
                <w:lang w:eastAsia="en-GB"/>
              </w:rPr>
            </w:pPr>
            <w:r w:rsidRPr="006B7D57">
              <w:rPr>
                <w:rFonts w:ascii="Times New Roman" w:eastAsiaTheme="minorEastAsia" w:hAnsi="Times New Roman" w:cs="Times New Roman"/>
                <w:noProof/>
                <w:sz w:val="20"/>
                <w:szCs w:val="20"/>
                <w:lang w:val="en-US" w:eastAsia="en-GB"/>
              </w:rPr>
              <w:t xml:space="preserve">A general estimate of basic information is considered in the estimate for common data platform operations – no further resources are included here. </w:t>
            </w:r>
          </w:p>
        </w:tc>
      </w:tr>
      <w:tr w:rsidR="000A7D9D" w:rsidRPr="006B7D57" w14:paraId="0475A035" w14:textId="77777777" w:rsidTr="00F31937">
        <w:trPr>
          <w:trHeight w:val="300"/>
        </w:trPr>
        <w:tc>
          <w:tcPr>
            <w:tcW w:w="33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19AA02"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Providing ‘legacy regulatory information’ (i.e. information already available before entry into force of the regulation establishing the common data platform)</w:t>
            </w:r>
          </w:p>
        </w:tc>
        <w:tc>
          <w:tcPr>
            <w:tcW w:w="10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9BD77C" w14:textId="77777777" w:rsidR="000A7D9D" w:rsidRPr="006B7D57" w:rsidRDefault="000A7D9D" w:rsidP="004C1B00">
            <w:pPr>
              <w:spacing w:after="0"/>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ECHA, EFSA, </w:t>
            </w:r>
          </w:p>
          <w:p w14:paraId="37A671D6"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EMA </w:t>
            </w:r>
          </w:p>
        </w:tc>
        <w:tc>
          <w:tcPr>
            <w:tcW w:w="5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69E4A7" w14:textId="77777777" w:rsidR="000A7D9D" w:rsidRPr="006B7D57" w:rsidRDefault="000A7D9D" w:rsidP="00F31937">
            <w:pPr>
              <w:textAlignment w:val="baseline"/>
              <w:rPr>
                <w:rFonts w:ascii="Times New Roman" w:eastAsiaTheme="minorEastAsia" w:hAnsi="Times New Roman" w:cs="Times New Roman"/>
                <w:noProof/>
                <w:sz w:val="20"/>
                <w:szCs w:val="20"/>
                <w:lang w:val="en-US" w:eastAsia="en-GB"/>
              </w:rPr>
            </w:pPr>
            <w:r w:rsidRPr="006B7D57">
              <w:rPr>
                <w:rFonts w:ascii="Times New Roman" w:eastAsiaTheme="minorEastAsia" w:hAnsi="Times New Roman" w:cs="Times New Roman"/>
                <w:noProof/>
                <w:sz w:val="20"/>
                <w:szCs w:val="20"/>
                <w:lang w:val="en-US" w:eastAsia="en-GB"/>
              </w:rPr>
              <w:t xml:space="preserve">It is considered that information already provided in some structure on respective IT platforms will be able to be introduced into the dedicated service on information on regulatory processes on chemicals. This would be achieved in a progressive way (with prioritization) but should be achieved with resources covered by the common data platform operation. </w:t>
            </w:r>
          </w:p>
        </w:tc>
      </w:tr>
    </w:tbl>
    <w:p w14:paraId="2F8FB3F2" w14:textId="77777777" w:rsidR="000A7D9D" w:rsidRDefault="000A7D9D" w:rsidP="000A7D9D">
      <w:pPr>
        <w:pStyle w:val="BodyText"/>
        <w:spacing w:before="120"/>
        <w:rPr>
          <w:noProof/>
        </w:rPr>
      </w:pPr>
    </w:p>
    <w:p w14:paraId="36F72893" w14:textId="77777777" w:rsidR="000A7D9D" w:rsidRDefault="000A7D9D" w:rsidP="000A7D9D">
      <w:pPr>
        <w:pStyle w:val="BodyText"/>
        <w:spacing w:before="120"/>
        <w:rPr>
          <w:noProof/>
        </w:rPr>
      </w:pPr>
      <w:r>
        <w:rPr>
          <w:noProof/>
        </w:rPr>
        <w:t>Overview of resource needs per agency for the operation of the dedicated service on information on regulatory processes on chemicals:</w:t>
      </w:r>
    </w:p>
    <w:tbl>
      <w:tblPr>
        <w:tblStyle w:val="TableGrid"/>
        <w:tblW w:w="0" w:type="auto"/>
        <w:tblLook w:val="04A0" w:firstRow="1" w:lastRow="0" w:firstColumn="1" w:lastColumn="0" w:noHBand="0" w:noVBand="1"/>
      </w:tblPr>
      <w:tblGrid>
        <w:gridCol w:w="1223"/>
        <w:gridCol w:w="4584"/>
        <w:gridCol w:w="1117"/>
        <w:gridCol w:w="2705"/>
      </w:tblGrid>
      <w:tr w:rsidR="000A7D9D" w14:paraId="27B40C10" w14:textId="77777777" w:rsidTr="00F31937">
        <w:trPr>
          <w:trHeight w:val="300"/>
        </w:trPr>
        <w:tc>
          <w:tcPr>
            <w:tcW w:w="1223" w:type="dxa"/>
            <w:shd w:val="clear" w:color="auto" w:fill="D9D9D9" w:themeFill="background1" w:themeFillShade="D9"/>
          </w:tcPr>
          <w:p w14:paraId="42DC6B31" w14:textId="77777777" w:rsidR="000A7D9D" w:rsidRPr="00F521F8" w:rsidRDefault="000A7D9D" w:rsidP="00F31937">
            <w:pPr>
              <w:pStyle w:val="BodyText"/>
              <w:spacing w:line="259" w:lineRule="auto"/>
              <w:rPr>
                <w:b/>
                <w:bCs/>
                <w:noProof/>
                <w:sz w:val="20"/>
                <w:szCs w:val="20"/>
              </w:rPr>
            </w:pPr>
            <w:r w:rsidRPr="00F521F8">
              <w:rPr>
                <w:b/>
                <w:bCs/>
                <w:noProof/>
                <w:sz w:val="20"/>
                <w:szCs w:val="20"/>
              </w:rPr>
              <w:t>Agency</w:t>
            </w:r>
          </w:p>
        </w:tc>
        <w:tc>
          <w:tcPr>
            <w:tcW w:w="4584" w:type="dxa"/>
            <w:shd w:val="clear" w:color="auto" w:fill="D9D9D9" w:themeFill="background1" w:themeFillShade="D9"/>
          </w:tcPr>
          <w:p w14:paraId="1D08FDD6" w14:textId="77777777" w:rsidR="000A7D9D" w:rsidRPr="00F521F8" w:rsidRDefault="000A7D9D" w:rsidP="00F31937">
            <w:pPr>
              <w:pStyle w:val="BodyText"/>
              <w:rPr>
                <w:b/>
                <w:bCs/>
                <w:noProof/>
                <w:sz w:val="20"/>
                <w:szCs w:val="20"/>
              </w:rPr>
            </w:pPr>
            <w:r w:rsidRPr="00F521F8">
              <w:rPr>
                <w:b/>
                <w:bCs/>
                <w:noProof/>
                <w:sz w:val="20"/>
                <w:szCs w:val="20"/>
              </w:rPr>
              <w:t>Summary of tasks</w:t>
            </w:r>
          </w:p>
        </w:tc>
        <w:tc>
          <w:tcPr>
            <w:tcW w:w="1117" w:type="dxa"/>
            <w:shd w:val="clear" w:color="auto" w:fill="D9D9D9" w:themeFill="background1" w:themeFillShade="D9"/>
          </w:tcPr>
          <w:p w14:paraId="7CFEB5B5" w14:textId="77777777" w:rsidR="000A7D9D" w:rsidRPr="00F521F8" w:rsidRDefault="000A7D9D" w:rsidP="00F31937">
            <w:pPr>
              <w:pStyle w:val="BodyText"/>
              <w:tabs>
                <w:tab w:val="left" w:pos="4170"/>
              </w:tabs>
              <w:rPr>
                <w:noProof/>
                <w:sz w:val="20"/>
                <w:szCs w:val="20"/>
              </w:rPr>
            </w:pPr>
          </w:p>
        </w:tc>
        <w:tc>
          <w:tcPr>
            <w:tcW w:w="2705" w:type="dxa"/>
            <w:shd w:val="clear" w:color="auto" w:fill="D9D9D9" w:themeFill="background1" w:themeFillShade="D9"/>
          </w:tcPr>
          <w:p w14:paraId="528DDF15" w14:textId="77777777" w:rsidR="000A7D9D" w:rsidRPr="00F521F8" w:rsidRDefault="000A7D9D" w:rsidP="00F31937">
            <w:pPr>
              <w:pStyle w:val="BodyText"/>
              <w:tabs>
                <w:tab w:val="left" w:pos="4170"/>
              </w:tabs>
              <w:spacing w:after="0"/>
              <w:rPr>
                <w:noProof/>
                <w:sz w:val="20"/>
                <w:szCs w:val="20"/>
              </w:rPr>
            </w:pPr>
          </w:p>
        </w:tc>
      </w:tr>
      <w:tr w:rsidR="000A7D9D" w14:paraId="0D890620" w14:textId="77777777" w:rsidTr="00F31937">
        <w:trPr>
          <w:trHeight w:val="300"/>
        </w:trPr>
        <w:tc>
          <w:tcPr>
            <w:tcW w:w="1223" w:type="dxa"/>
            <w:vMerge w:val="restart"/>
            <w:shd w:val="clear" w:color="auto" w:fill="D9D9D9" w:themeFill="background1" w:themeFillShade="D9"/>
          </w:tcPr>
          <w:p w14:paraId="413F76B6" w14:textId="77777777" w:rsidR="000A7D9D" w:rsidRPr="00F521F8" w:rsidRDefault="000A7D9D" w:rsidP="00F31937">
            <w:pPr>
              <w:pStyle w:val="BodyText"/>
              <w:rPr>
                <w:noProof/>
                <w:sz w:val="20"/>
                <w:szCs w:val="20"/>
              </w:rPr>
            </w:pPr>
            <w:r w:rsidRPr="00F521F8">
              <w:rPr>
                <w:noProof/>
                <w:sz w:val="20"/>
                <w:szCs w:val="20"/>
              </w:rPr>
              <w:t>ECHA</w:t>
            </w:r>
          </w:p>
        </w:tc>
        <w:tc>
          <w:tcPr>
            <w:tcW w:w="4584" w:type="dxa"/>
            <w:vMerge w:val="restart"/>
            <w:shd w:val="clear" w:color="auto" w:fill="D9D9D9" w:themeFill="background1" w:themeFillShade="D9"/>
          </w:tcPr>
          <w:p w14:paraId="3ABA0719" w14:textId="77777777" w:rsidR="000A7D9D" w:rsidRPr="00F521F8" w:rsidRDefault="000A7D9D" w:rsidP="00F31937">
            <w:pPr>
              <w:pStyle w:val="BodyText"/>
              <w:rPr>
                <w:rFonts w:eastAsiaTheme="minorEastAsia"/>
                <w:noProof/>
                <w:sz w:val="20"/>
                <w:szCs w:val="20"/>
                <w:lang w:val="en-US"/>
              </w:rPr>
            </w:pPr>
            <w:r w:rsidRPr="13AEFEEB">
              <w:rPr>
                <w:rFonts w:eastAsiaTheme="minorEastAsia"/>
                <w:noProof/>
                <w:sz w:val="20"/>
                <w:szCs w:val="20"/>
                <w:lang w:val="en-US"/>
              </w:rPr>
              <w:t>Designing and developing the dedicated service’ data structure, functionalities and IT service.</w:t>
            </w:r>
          </w:p>
          <w:p w14:paraId="0DAF21E7" w14:textId="77777777" w:rsidR="000A7D9D" w:rsidRPr="00F521F8" w:rsidRDefault="000A7D9D" w:rsidP="00F31937">
            <w:pPr>
              <w:pStyle w:val="BodyText"/>
              <w:rPr>
                <w:rFonts w:eastAsiaTheme="minorEastAsia"/>
                <w:noProof/>
                <w:sz w:val="20"/>
                <w:szCs w:val="20"/>
                <w:lang w:val="en-US"/>
              </w:rPr>
            </w:pPr>
            <w:r w:rsidRPr="13AEFEEB">
              <w:rPr>
                <w:rFonts w:eastAsiaTheme="minorEastAsia"/>
                <w:noProof/>
                <w:sz w:val="20"/>
                <w:szCs w:val="20"/>
                <w:lang w:val="en-US"/>
              </w:rPr>
              <w:t>Operating the dedicated service as part of the common data platform on chemicals</w:t>
            </w:r>
          </w:p>
          <w:p w14:paraId="12B449E7" w14:textId="77777777" w:rsidR="000A7D9D" w:rsidRPr="00F521F8" w:rsidRDefault="000A7D9D" w:rsidP="00F31937">
            <w:pPr>
              <w:spacing w:after="120"/>
              <w:rPr>
                <w:rFonts w:eastAsiaTheme="minorEastAsia"/>
                <w:noProof/>
              </w:rPr>
            </w:pPr>
            <w:r w:rsidRPr="13AEFEEB">
              <w:rPr>
                <w:rFonts w:eastAsiaTheme="minorEastAsia"/>
                <w:noProof/>
                <w:lang w:val="en-US"/>
              </w:rPr>
              <w:t>Based on common agreements, preparation of internal dataflows, packaging of regulatory processes information and supporting ingestion into the common data platform</w:t>
            </w:r>
          </w:p>
          <w:p w14:paraId="2983D220" w14:textId="77777777" w:rsidR="000A7D9D" w:rsidRPr="00F521F8" w:rsidRDefault="000A7D9D" w:rsidP="00F31937">
            <w:pPr>
              <w:spacing w:after="120"/>
              <w:rPr>
                <w:rFonts w:eastAsiaTheme="minorEastAsia"/>
                <w:noProof/>
                <w:lang w:val="en-US"/>
              </w:rPr>
            </w:pPr>
            <w:r w:rsidRPr="13AEFEEB">
              <w:rPr>
                <w:rFonts w:eastAsiaTheme="minorEastAsia"/>
                <w:noProof/>
                <w:lang w:val="en-US"/>
              </w:rPr>
              <w:t>Keeping the dedicated service up-to-date by recurrent ingestion of new information and revision of existing one.</w:t>
            </w:r>
          </w:p>
          <w:p w14:paraId="4120D9BC" w14:textId="77777777" w:rsidR="000A7D9D" w:rsidRPr="00F521F8" w:rsidRDefault="000A7D9D" w:rsidP="00F31937">
            <w:pPr>
              <w:rPr>
                <w:rFonts w:eastAsiaTheme="minorEastAsia"/>
                <w:noProof/>
                <w:lang w:val="en-US"/>
              </w:rPr>
            </w:pPr>
            <w:r w:rsidRPr="13AEFEEB">
              <w:rPr>
                <w:rFonts w:eastAsiaTheme="minorEastAsia"/>
                <w:noProof/>
                <w:lang w:val="en-US"/>
              </w:rPr>
              <w:t>Providing ‘legacy regulatory information’</w:t>
            </w:r>
          </w:p>
        </w:tc>
        <w:tc>
          <w:tcPr>
            <w:tcW w:w="1117" w:type="dxa"/>
            <w:shd w:val="clear" w:color="auto" w:fill="D9D9D9" w:themeFill="background1" w:themeFillShade="D9"/>
          </w:tcPr>
          <w:p w14:paraId="244DDF69" w14:textId="77777777" w:rsidR="000A7D9D" w:rsidRPr="00F521F8" w:rsidRDefault="000A7D9D" w:rsidP="00F31937">
            <w:pPr>
              <w:pStyle w:val="BodyText"/>
              <w:tabs>
                <w:tab w:val="left" w:pos="4170"/>
              </w:tabs>
              <w:rPr>
                <w:noProof/>
                <w:sz w:val="20"/>
                <w:szCs w:val="20"/>
              </w:rPr>
            </w:pPr>
            <w:r w:rsidRPr="00F521F8">
              <w:rPr>
                <w:noProof/>
                <w:sz w:val="20"/>
                <w:szCs w:val="20"/>
              </w:rPr>
              <w:t>Financial resource needs:</w:t>
            </w:r>
          </w:p>
        </w:tc>
        <w:tc>
          <w:tcPr>
            <w:tcW w:w="2705" w:type="dxa"/>
            <w:shd w:val="clear" w:color="auto" w:fill="D9D9D9" w:themeFill="background1" w:themeFillShade="D9"/>
          </w:tcPr>
          <w:p w14:paraId="5A807804" w14:textId="77777777" w:rsidR="000A7D9D" w:rsidRPr="00F521F8" w:rsidRDefault="000A7D9D" w:rsidP="00F31937">
            <w:pPr>
              <w:pStyle w:val="BodyText"/>
              <w:tabs>
                <w:tab w:val="left" w:pos="4170"/>
              </w:tabs>
              <w:spacing w:after="0"/>
              <w:rPr>
                <w:noProof/>
                <w:sz w:val="20"/>
                <w:szCs w:val="20"/>
              </w:rPr>
            </w:pPr>
            <w:r w:rsidRPr="13AEFEEB">
              <w:rPr>
                <w:noProof/>
                <w:sz w:val="20"/>
                <w:szCs w:val="20"/>
              </w:rPr>
              <w:t>Included as part of the common data platform on chemicals + to be absorbed as part of the individual regulatory processes</w:t>
            </w:r>
          </w:p>
        </w:tc>
      </w:tr>
      <w:tr w:rsidR="000A7D9D" w14:paraId="3DF074E5" w14:textId="77777777" w:rsidTr="00F31937">
        <w:trPr>
          <w:trHeight w:val="300"/>
        </w:trPr>
        <w:tc>
          <w:tcPr>
            <w:tcW w:w="1223" w:type="dxa"/>
            <w:vMerge/>
            <w:shd w:val="clear" w:color="auto" w:fill="D9D9D9" w:themeFill="background1" w:themeFillShade="D9"/>
          </w:tcPr>
          <w:p w14:paraId="5CBCB6D7" w14:textId="77777777" w:rsidR="000A7D9D" w:rsidRPr="00F521F8" w:rsidRDefault="000A7D9D" w:rsidP="00F31937">
            <w:pPr>
              <w:pStyle w:val="BodyText"/>
              <w:rPr>
                <w:noProof/>
                <w:sz w:val="20"/>
                <w:szCs w:val="20"/>
              </w:rPr>
            </w:pPr>
          </w:p>
        </w:tc>
        <w:tc>
          <w:tcPr>
            <w:tcW w:w="4584" w:type="dxa"/>
            <w:vMerge/>
            <w:shd w:val="clear" w:color="auto" w:fill="D9D9D9" w:themeFill="background1" w:themeFillShade="D9"/>
          </w:tcPr>
          <w:p w14:paraId="4EBF3F4E" w14:textId="77777777" w:rsidR="000A7D9D" w:rsidRPr="00F521F8" w:rsidRDefault="000A7D9D" w:rsidP="00F31937">
            <w:pPr>
              <w:pStyle w:val="BodyText"/>
              <w:rPr>
                <w:noProof/>
                <w:sz w:val="20"/>
                <w:szCs w:val="20"/>
              </w:rPr>
            </w:pPr>
          </w:p>
        </w:tc>
        <w:tc>
          <w:tcPr>
            <w:tcW w:w="1117" w:type="dxa"/>
            <w:shd w:val="clear" w:color="auto" w:fill="D9D9D9" w:themeFill="background1" w:themeFillShade="D9"/>
          </w:tcPr>
          <w:p w14:paraId="19EC6E14" w14:textId="77777777" w:rsidR="000A7D9D" w:rsidRPr="00F521F8" w:rsidRDefault="000A7D9D" w:rsidP="00F31937">
            <w:pPr>
              <w:pStyle w:val="BodyText"/>
              <w:tabs>
                <w:tab w:val="left" w:pos="4170"/>
              </w:tabs>
              <w:rPr>
                <w:noProof/>
                <w:sz w:val="20"/>
                <w:szCs w:val="20"/>
              </w:rPr>
            </w:pPr>
            <w:r w:rsidRPr="00F521F8">
              <w:rPr>
                <w:noProof/>
                <w:sz w:val="20"/>
                <w:szCs w:val="20"/>
              </w:rPr>
              <w:t>Human resource needs:</w:t>
            </w:r>
          </w:p>
        </w:tc>
        <w:tc>
          <w:tcPr>
            <w:tcW w:w="2705" w:type="dxa"/>
            <w:shd w:val="clear" w:color="auto" w:fill="D9D9D9" w:themeFill="background1" w:themeFillShade="D9"/>
          </w:tcPr>
          <w:p w14:paraId="1E47A778" w14:textId="77777777" w:rsidR="000A7D9D" w:rsidRPr="00F521F8" w:rsidRDefault="000A7D9D" w:rsidP="00F31937">
            <w:pPr>
              <w:pStyle w:val="BodyText"/>
              <w:tabs>
                <w:tab w:val="left" w:pos="4170"/>
              </w:tabs>
              <w:spacing w:after="0"/>
              <w:rPr>
                <w:noProof/>
                <w:sz w:val="20"/>
                <w:szCs w:val="20"/>
              </w:rPr>
            </w:pPr>
            <w:r w:rsidRPr="13AEFEEB">
              <w:rPr>
                <w:noProof/>
                <w:sz w:val="20"/>
                <w:szCs w:val="20"/>
              </w:rPr>
              <w:t>Included as part of the common data platform on chemicals + to be absorbed as part of the individual regulatory  processes</w:t>
            </w:r>
          </w:p>
        </w:tc>
      </w:tr>
      <w:tr w:rsidR="000A7D9D" w14:paraId="5CE9AF6C" w14:textId="77777777" w:rsidTr="00F31937">
        <w:trPr>
          <w:trHeight w:val="300"/>
        </w:trPr>
        <w:tc>
          <w:tcPr>
            <w:tcW w:w="1223" w:type="dxa"/>
            <w:vMerge w:val="restart"/>
            <w:shd w:val="clear" w:color="auto" w:fill="D9D9D9" w:themeFill="background1" w:themeFillShade="D9"/>
          </w:tcPr>
          <w:p w14:paraId="4CC147E9" w14:textId="77777777" w:rsidR="000A7D9D" w:rsidRPr="004A0369" w:rsidRDefault="000A7D9D" w:rsidP="00F31937">
            <w:pPr>
              <w:pStyle w:val="BodyText"/>
              <w:spacing w:line="259" w:lineRule="auto"/>
              <w:rPr>
                <w:noProof/>
                <w:sz w:val="20"/>
                <w:szCs w:val="20"/>
              </w:rPr>
            </w:pPr>
            <w:r w:rsidRPr="004A0369">
              <w:rPr>
                <w:noProof/>
                <w:sz w:val="20"/>
                <w:szCs w:val="20"/>
              </w:rPr>
              <w:t>EEA</w:t>
            </w:r>
          </w:p>
          <w:p w14:paraId="2DF0A3DE" w14:textId="77777777" w:rsidR="000A7D9D" w:rsidRPr="004A0369" w:rsidRDefault="000A7D9D" w:rsidP="00F31937">
            <w:pPr>
              <w:pStyle w:val="BodyText"/>
              <w:spacing w:line="259" w:lineRule="auto"/>
              <w:rPr>
                <w:noProof/>
                <w:sz w:val="20"/>
                <w:szCs w:val="20"/>
                <w:highlight w:val="yellow"/>
              </w:rPr>
            </w:pPr>
            <w:r w:rsidRPr="004A0369">
              <w:rPr>
                <w:noProof/>
                <w:sz w:val="20"/>
                <w:szCs w:val="20"/>
              </w:rPr>
              <w:t>EU-OSHA</w:t>
            </w:r>
          </w:p>
        </w:tc>
        <w:tc>
          <w:tcPr>
            <w:tcW w:w="4584" w:type="dxa"/>
            <w:vMerge w:val="restart"/>
            <w:shd w:val="clear" w:color="auto" w:fill="D9D9D9" w:themeFill="background1" w:themeFillShade="D9"/>
          </w:tcPr>
          <w:p w14:paraId="03CB368C" w14:textId="77777777" w:rsidR="000A7D9D" w:rsidRPr="00F521F8" w:rsidRDefault="000A7D9D" w:rsidP="00F31937">
            <w:pPr>
              <w:rPr>
                <w:rFonts w:eastAsiaTheme="minorEastAsia"/>
                <w:noProof/>
                <w:lang w:val="en-US"/>
              </w:rPr>
            </w:pPr>
          </w:p>
          <w:p w14:paraId="25F8437F" w14:textId="77777777" w:rsidR="000A7D9D" w:rsidRPr="00F521F8" w:rsidRDefault="000A7D9D" w:rsidP="00F31937">
            <w:pPr>
              <w:spacing w:after="120"/>
              <w:rPr>
                <w:rFonts w:eastAsiaTheme="minorEastAsia"/>
                <w:noProof/>
                <w:lang w:val="en-US"/>
              </w:rPr>
            </w:pPr>
            <w:r w:rsidRPr="13AEFEEB">
              <w:rPr>
                <w:rFonts w:eastAsiaTheme="minorEastAsia"/>
                <w:noProof/>
                <w:lang w:val="en-US"/>
              </w:rPr>
              <w:t>Cooperation with and providing input to ECHA for the development of the dedicated service</w:t>
            </w:r>
          </w:p>
          <w:p w14:paraId="4042202D" w14:textId="77777777" w:rsidR="000A7D9D" w:rsidRPr="00F521F8" w:rsidRDefault="000A7D9D" w:rsidP="00F31937">
            <w:pPr>
              <w:spacing w:after="120"/>
              <w:rPr>
                <w:rFonts w:eastAsiaTheme="minorEastAsia"/>
                <w:noProof/>
              </w:rPr>
            </w:pPr>
            <w:r w:rsidRPr="13AEFEEB">
              <w:rPr>
                <w:rFonts w:eastAsiaTheme="minorEastAsia"/>
                <w:noProof/>
                <w:lang w:val="en-US"/>
              </w:rPr>
              <w:t>Based on common agreements, preparation of internal dataflows, packaging of regulatory processes information and supporting ingestion into the common data platform</w:t>
            </w:r>
          </w:p>
          <w:p w14:paraId="43D92B4D" w14:textId="77777777" w:rsidR="000A7D9D" w:rsidRPr="00F521F8" w:rsidRDefault="000A7D9D" w:rsidP="00F31937">
            <w:pPr>
              <w:spacing w:after="120"/>
              <w:rPr>
                <w:rFonts w:eastAsiaTheme="minorEastAsia"/>
                <w:noProof/>
                <w:lang w:val="en-US"/>
              </w:rPr>
            </w:pPr>
            <w:r w:rsidRPr="13AEFEEB">
              <w:rPr>
                <w:rFonts w:eastAsiaTheme="minorEastAsia"/>
                <w:noProof/>
                <w:lang w:val="en-US"/>
              </w:rPr>
              <w:t>Keeping the dedicated service up-to-date by recurrent ingestion of new information and revision of existing one.</w:t>
            </w:r>
          </w:p>
          <w:p w14:paraId="7D5EF15A" w14:textId="77777777" w:rsidR="000A7D9D" w:rsidRPr="00F521F8" w:rsidRDefault="000A7D9D" w:rsidP="00F31937">
            <w:pPr>
              <w:rPr>
                <w:rFonts w:eastAsiaTheme="minorEastAsia"/>
                <w:noProof/>
                <w:lang w:val="en-US"/>
              </w:rPr>
            </w:pPr>
            <w:r w:rsidRPr="13AEFEEB">
              <w:rPr>
                <w:rFonts w:eastAsiaTheme="minorEastAsia"/>
                <w:noProof/>
                <w:lang w:val="en-US"/>
              </w:rPr>
              <w:t>Providing ‘legacy regulatory information’</w:t>
            </w:r>
          </w:p>
        </w:tc>
        <w:tc>
          <w:tcPr>
            <w:tcW w:w="1117" w:type="dxa"/>
            <w:shd w:val="clear" w:color="auto" w:fill="D9D9D9" w:themeFill="background1" w:themeFillShade="D9"/>
          </w:tcPr>
          <w:p w14:paraId="3E5DF55E" w14:textId="77777777" w:rsidR="000A7D9D" w:rsidRPr="00F521F8" w:rsidRDefault="000A7D9D" w:rsidP="00F31937">
            <w:pPr>
              <w:pStyle w:val="BodyText"/>
              <w:tabs>
                <w:tab w:val="left" w:pos="4170"/>
              </w:tabs>
              <w:rPr>
                <w:noProof/>
                <w:sz w:val="20"/>
                <w:szCs w:val="20"/>
              </w:rPr>
            </w:pPr>
            <w:r w:rsidRPr="00F521F8">
              <w:rPr>
                <w:noProof/>
                <w:sz w:val="20"/>
                <w:szCs w:val="20"/>
              </w:rPr>
              <w:t>Financial resource needs:</w:t>
            </w:r>
          </w:p>
        </w:tc>
        <w:tc>
          <w:tcPr>
            <w:tcW w:w="2705" w:type="dxa"/>
            <w:shd w:val="clear" w:color="auto" w:fill="D9D9D9" w:themeFill="background1" w:themeFillShade="D9"/>
          </w:tcPr>
          <w:p w14:paraId="359AF1BD" w14:textId="77777777" w:rsidR="000A7D9D" w:rsidRPr="004A0369" w:rsidRDefault="000A7D9D" w:rsidP="00F31937">
            <w:pPr>
              <w:pStyle w:val="BodyText"/>
              <w:tabs>
                <w:tab w:val="left" w:pos="4170"/>
              </w:tabs>
              <w:spacing w:after="0"/>
              <w:rPr>
                <w:noProof/>
                <w:sz w:val="20"/>
                <w:szCs w:val="20"/>
              </w:rPr>
            </w:pPr>
            <w:r w:rsidRPr="004A0369">
              <w:rPr>
                <w:noProof/>
                <w:sz w:val="20"/>
                <w:szCs w:val="20"/>
              </w:rPr>
              <w:t>EEA and EU-OSHA are currently not involved in any processes relevant for the database, therefore no resources are required for them.</w:t>
            </w:r>
            <w:r>
              <w:rPr>
                <w:noProof/>
                <w:sz w:val="20"/>
                <w:szCs w:val="20"/>
              </w:rPr>
              <w:t xml:space="preserve"> </w:t>
            </w:r>
          </w:p>
          <w:p w14:paraId="1438AA4B" w14:textId="77777777" w:rsidR="000A7D9D" w:rsidRPr="00F521F8" w:rsidRDefault="000A7D9D" w:rsidP="00F31937">
            <w:pPr>
              <w:pStyle w:val="BodyText"/>
              <w:tabs>
                <w:tab w:val="left" w:pos="4170"/>
              </w:tabs>
              <w:spacing w:after="0"/>
              <w:rPr>
                <w:noProof/>
                <w:sz w:val="20"/>
                <w:szCs w:val="20"/>
              </w:rPr>
            </w:pPr>
          </w:p>
        </w:tc>
      </w:tr>
      <w:tr w:rsidR="000A7D9D" w14:paraId="0220C665" w14:textId="77777777" w:rsidTr="00F31937">
        <w:trPr>
          <w:trHeight w:val="300"/>
        </w:trPr>
        <w:tc>
          <w:tcPr>
            <w:tcW w:w="1223" w:type="dxa"/>
            <w:vMerge/>
            <w:shd w:val="clear" w:color="auto" w:fill="D9D9D9" w:themeFill="background1" w:themeFillShade="D9"/>
          </w:tcPr>
          <w:p w14:paraId="0BFBBA93" w14:textId="77777777" w:rsidR="000A7D9D" w:rsidRPr="00F521F8" w:rsidRDefault="000A7D9D" w:rsidP="00F31937">
            <w:pPr>
              <w:pStyle w:val="BodyText"/>
              <w:rPr>
                <w:noProof/>
                <w:sz w:val="20"/>
                <w:szCs w:val="20"/>
              </w:rPr>
            </w:pPr>
          </w:p>
        </w:tc>
        <w:tc>
          <w:tcPr>
            <w:tcW w:w="4584" w:type="dxa"/>
            <w:vMerge/>
            <w:shd w:val="clear" w:color="auto" w:fill="D9D9D9" w:themeFill="background1" w:themeFillShade="D9"/>
          </w:tcPr>
          <w:p w14:paraId="533141F0" w14:textId="77777777" w:rsidR="000A7D9D" w:rsidRPr="00F521F8" w:rsidRDefault="000A7D9D" w:rsidP="00F31937">
            <w:pPr>
              <w:pStyle w:val="BodyText"/>
              <w:rPr>
                <w:noProof/>
                <w:sz w:val="20"/>
                <w:szCs w:val="20"/>
              </w:rPr>
            </w:pPr>
          </w:p>
        </w:tc>
        <w:tc>
          <w:tcPr>
            <w:tcW w:w="1117" w:type="dxa"/>
            <w:shd w:val="clear" w:color="auto" w:fill="D9D9D9" w:themeFill="background1" w:themeFillShade="D9"/>
          </w:tcPr>
          <w:p w14:paraId="23BB784B" w14:textId="77777777" w:rsidR="000A7D9D" w:rsidRPr="00F521F8" w:rsidRDefault="000A7D9D" w:rsidP="00F31937">
            <w:pPr>
              <w:pStyle w:val="BodyText"/>
              <w:tabs>
                <w:tab w:val="left" w:pos="4170"/>
              </w:tabs>
              <w:rPr>
                <w:noProof/>
                <w:sz w:val="20"/>
                <w:szCs w:val="20"/>
              </w:rPr>
            </w:pPr>
            <w:r w:rsidRPr="00F521F8">
              <w:rPr>
                <w:noProof/>
                <w:sz w:val="20"/>
                <w:szCs w:val="20"/>
              </w:rPr>
              <w:t>Human resource needs:</w:t>
            </w:r>
          </w:p>
        </w:tc>
        <w:tc>
          <w:tcPr>
            <w:tcW w:w="2705" w:type="dxa"/>
            <w:shd w:val="clear" w:color="auto" w:fill="D9D9D9" w:themeFill="background1" w:themeFillShade="D9"/>
          </w:tcPr>
          <w:p w14:paraId="6A02A27F" w14:textId="77777777" w:rsidR="000A7D9D" w:rsidRPr="00F521F8" w:rsidRDefault="000A7D9D" w:rsidP="00F31937">
            <w:pPr>
              <w:pStyle w:val="BodyText"/>
              <w:tabs>
                <w:tab w:val="left" w:pos="4170"/>
              </w:tabs>
              <w:spacing w:after="0"/>
              <w:rPr>
                <w:noProof/>
                <w:sz w:val="20"/>
                <w:szCs w:val="20"/>
              </w:rPr>
            </w:pPr>
            <w:r w:rsidRPr="13AEFEEB">
              <w:rPr>
                <w:noProof/>
                <w:sz w:val="20"/>
                <w:szCs w:val="20"/>
              </w:rPr>
              <w:t>Included as part of the common data platform on chemicals + to be absorbed as part of the individual regulatory processes</w:t>
            </w:r>
          </w:p>
        </w:tc>
      </w:tr>
      <w:tr w:rsidR="000A7D9D" w14:paraId="6D9C659F" w14:textId="77777777" w:rsidTr="00F31937">
        <w:trPr>
          <w:trHeight w:val="300"/>
        </w:trPr>
        <w:tc>
          <w:tcPr>
            <w:tcW w:w="1223" w:type="dxa"/>
            <w:vMerge w:val="restart"/>
            <w:shd w:val="clear" w:color="auto" w:fill="D9D9D9" w:themeFill="background1" w:themeFillShade="D9"/>
          </w:tcPr>
          <w:p w14:paraId="3E67C584" w14:textId="77777777" w:rsidR="000A7D9D" w:rsidRPr="00F521F8" w:rsidRDefault="000A7D9D" w:rsidP="00F31937">
            <w:pPr>
              <w:pStyle w:val="BodyText"/>
              <w:rPr>
                <w:noProof/>
                <w:sz w:val="20"/>
                <w:szCs w:val="20"/>
              </w:rPr>
            </w:pPr>
            <w:r w:rsidRPr="00F521F8">
              <w:rPr>
                <w:noProof/>
                <w:sz w:val="20"/>
                <w:szCs w:val="20"/>
              </w:rPr>
              <w:t>EFSA</w:t>
            </w:r>
          </w:p>
        </w:tc>
        <w:tc>
          <w:tcPr>
            <w:tcW w:w="4584" w:type="dxa"/>
            <w:vMerge w:val="restart"/>
            <w:shd w:val="clear" w:color="auto" w:fill="D9D9D9" w:themeFill="background1" w:themeFillShade="D9"/>
          </w:tcPr>
          <w:p w14:paraId="2E1134F8" w14:textId="77777777" w:rsidR="000A7D9D" w:rsidRPr="00F521F8" w:rsidRDefault="000A7D9D" w:rsidP="00F31937">
            <w:pPr>
              <w:spacing w:after="120"/>
              <w:rPr>
                <w:rFonts w:eastAsiaTheme="minorEastAsia"/>
                <w:noProof/>
                <w:lang w:val="en-US"/>
              </w:rPr>
            </w:pPr>
            <w:r w:rsidRPr="13AEFEEB">
              <w:rPr>
                <w:rFonts w:eastAsiaTheme="minorEastAsia"/>
                <w:noProof/>
                <w:lang w:val="en-US"/>
              </w:rPr>
              <w:t>Cooperation with and providing input to ECHA for the development of the dedicated service</w:t>
            </w:r>
          </w:p>
          <w:p w14:paraId="6529DAAB" w14:textId="77777777" w:rsidR="000A7D9D" w:rsidRPr="00F521F8" w:rsidRDefault="000A7D9D" w:rsidP="00F31937">
            <w:pPr>
              <w:spacing w:after="120"/>
              <w:rPr>
                <w:rFonts w:eastAsiaTheme="minorEastAsia"/>
                <w:noProof/>
              </w:rPr>
            </w:pPr>
            <w:r w:rsidRPr="13AEFEEB">
              <w:rPr>
                <w:rFonts w:eastAsiaTheme="minorEastAsia"/>
                <w:noProof/>
                <w:lang w:val="en-US"/>
              </w:rPr>
              <w:t>Based on common agreements, preparation of internal dataflows, packaging of regulatory processes information and supporting ingestion into the common data platform</w:t>
            </w:r>
          </w:p>
          <w:p w14:paraId="11B6C464" w14:textId="77777777" w:rsidR="000A7D9D" w:rsidRPr="00F521F8" w:rsidRDefault="000A7D9D" w:rsidP="00F31937">
            <w:pPr>
              <w:spacing w:after="120"/>
              <w:rPr>
                <w:rFonts w:eastAsiaTheme="minorEastAsia"/>
                <w:noProof/>
                <w:lang w:val="en-US"/>
              </w:rPr>
            </w:pPr>
            <w:r w:rsidRPr="13AEFEEB">
              <w:rPr>
                <w:rFonts w:eastAsiaTheme="minorEastAsia"/>
                <w:noProof/>
                <w:lang w:val="en-US"/>
              </w:rPr>
              <w:t>Keeping the dedicated service up-to-date by recurrent ingestion of new information and revision of existing one.</w:t>
            </w:r>
          </w:p>
          <w:p w14:paraId="2B98E3E1" w14:textId="77777777" w:rsidR="000A7D9D" w:rsidRPr="00F521F8" w:rsidRDefault="000A7D9D" w:rsidP="00F31937">
            <w:pPr>
              <w:rPr>
                <w:rFonts w:eastAsiaTheme="minorEastAsia"/>
                <w:noProof/>
                <w:lang w:val="en-US"/>
              </w:rPr>
            </w:pPr>
            <w:r w:rsidRPr="13AEFEEB">
              <w:rPr>
                <w:rFonts w:eastAsiaTheme="minorEastAsia"/>
                <w:noProof/>
                <w:lang w:val="en-US"/>
              </w:rPr>
              <w:t>Providing ‘legacy regulatory information’</w:t>
            </w:r>
          </w:p>
          <w:p w14:paraId="236B0761" w14:textId="77777777" w:rsidR="000A7D9D" w:rsidRPr="00F521F8" w:rsidRDefault="000A7D9D" w:rsidP="00F31937">
            <w:pPr>
              <w:rPr>
                <w:rFonts w:eastAsiaTheme="minorEastAsia"/>
                <w:noProof/>
                <w:lang w:val="en-US"/>
              </w:rPr>
            </w:pPr>
          </w:p>
        </w:tc>
        <w:tc>
          <w:tcPr>
            <w:tcW w:w="1117" w:type="dxa"/>
            <w:shd w:val="clear" w:color="auto" w:fill="D9D9D9" w:themeFill="background1" w:themeFillShade="D9"/>
          </w:tcPr>
          <w:p w14:paraId="5C06E981" w14:textId="77777777" w:rsidR="000A7D9D" w:rsidRPr="00F521F8" w:rsidRDefault="000A7D9D" w:rsidP="00F31937">
            <w:pPr>
              <w:pStyle w:val="BodyText"/>
              <w:tabs>
                <w:tab w:val="left" w:pos="4170"/>
              </w:tabs>
              <w:rPr>
                <w:noProof/>
                <w:sz w:val="20"/>
                <w:szCs w:val="20"/>
              </w:rPr>
            </w:pPr>
            <w:r w:rsidRPr="00F521F8">
              <w:rPr>
                <w:noProof/>
                <w:sz w:val="20"/>
                <w:szCs w:val="20"/>
              </w:rPr>
              <w:t>Financial resource needs:</w:t>
            </w:r>
          </w:p>
          <w:p w14:paraId="1038EED4" w14:textId="77777777" w:rsidR="000A7D9D" w:rsidRPr="00F521F8" w:rsidRDefault="000A7D9D" w:rsidP="00F31937">
            <w:pPr>
              <w:pStyle w:val="BodyText"/>
              <w:rPr>
                <w:noProof/>
                <w:sz w:val="20"/>
                <w:szCs w:val="20"/>
              </w:rPr>
            </w:pPr>
          </w:p>
        </w:tc>
        <w:tc>
          <w:tcPr>
            <w:tcW w:w="2705" w:type="dxa"/>
            <w:shd w:val="clear" w:color="auto" w:fill="D9D9D9" w:themeFill="background1" w:themeFillShade="D9"/>
          </w:tcPr>
          <w:p w14:paraId="732F033E" w14:textId="77777777" w:rsidR="000A7D9D" w:rsidRPr="00F521F8" w:rsidRDefault="000A7D9D" w:rsidP="00F31937">
            <w:pPr>
              <w:pStyle w:val="BodyText"/>
              <w:tabs>
                <w:tab w:val="left" w:pos="4170"/>
              </w:tabs>
              <w:spacing w:after="0"/>
              <w:rPr>
                <w:noProof/>
                <w:sz w:val="20"/>
                <w:szCs w:val="20"/>
              </w:rPr>
            </w:pPr>
            <w:r w:rsidRPr="13AEFEEB">
              <w:rPr>
                <w:noProof/>
                <w:sz w:val="20"/>
                <w:szCs w:val="20"/>
              </w:rPr>
              <w:t>Included as part of the common data platform on chemicals + to be absorbed as part of the individual regulatory processes</w:t>
            </w:r>
          </w:p>
        </w:tc>
      </w:tr>
      <w:tr w:rsidR="000A7D9D" w14:paraId="1405C4E9" w14:textId="77777777" w:rsidTr="00F31937">
        <w:trPr>
          <w:trHeight w:val="300"/>
        </w:trPr>
        <w:tc>
          <w:tcPr>
            <w:tcW w:w="1223" w:type="dxa"/>
            <w:vMerge/>
            <w:shd w:val="clear" w:color="auto" w:fill="D9D9D9" w:themeFill="background1" w:themeFillShade="D9"/>
          </w:tcPr>
          <w:p w14:paraId="23F36798" w14:textId="77777777" w:rsidR="000A7D9D" w:rsidRPr="00F521F8" w:rsidRDefault="000A7D9D" w:rsidP="00F31937">
            <w:pPr>
              <w:pStyle w:val="BodyText"/>
              <w:rPr>
                <w:noProof/>
                <w:sz w:val="20"/>
                <w:szCs w:val="20"/>
              </w:rPr>
            </w:pPr>
          </w:p>
        </w:tc>
        <w:tc>
          <w:tcPr>
            <w:tcW w:w="4584" w:type="dxa"/>
            <w:vMerge/>
            <w:shd w:val="clear" w:color="auto" w:fill="D9D9D9" w:themeFill="background1" w:themeFillShade="D9"/>
          </w:tcPr>
          <w:p w14:paraId="4BD9FC2C" w14:textId="77777777" w:rsidR="000A7D9D" w:rsidRPr="00F521F8" w:rsidRDefault="000A7D9D" w:rsidP="00F31937">
            <w:pPr>
              <w:pStyle w:val="BodyText"/>
              <w:rPr>
                <w:noProof/>
                <w:sz w:val="20"/>
                <w:szCs w:val="20"/>
              </w:rPr>
            </w:pPr>
          </w:p>
        </w:tc>
        <w:tc>
          <w:tcPr>
            <w:tcW w:w="1117" w:type="dxa"/>
            <w:shd w:val="clear" w:color="auto" w:fill="D9D9D9" w:themeFill="background1" w:themeFillShade="D9"/>
          </w:tcPr>
          <w:p w14:paraId="04AC088B" w14:textId="77777777" w:rsidR="000A7D9D" w:rsidRPr="00F521F8" w:rsidRDefault="000A7D9D" w:rsidP="00F31937">
            <w:pPr>
              <w:pStyle w:val="BodyText"/>
              <w:tabs>
                <w:tab w:val="left" w:pos="4170"/>
              </w:tabs>
              <w:rPr>
                <w:noProof/>
                <w:sz w:val="20"/>
                <w:szCs w:val="20"/>
              </w:rPr>
            </w:pPr>
            <w:r w:rsidRPr="00F521F8">
              <w:rPr>
                <w:noProof/>
                <w:sz w:val="20"/>
                <w:szCs w:val="20"/>
              </w:rPr>
              <w:t>Human resource needs:</w:t>
            </w:r>
          </w:p>
        </w:tc>
        <w:tc>
          <w:tcPr>
            <w:tcW w:w="2705" w:type="dxa"/>
            <w:shd w:val="clear" w:color="auto" w:fill="D9D9D9" w:themeFill="background1" w:themeFillShade="D9"/>
          </w:tcPr>
          <w:p w14:paraId="56D066D4" w14:textId="77777777" w:rsidR="000A7D9D" w:rsidRPr="00F521F8" w:rsidRDefault="000A7D9D" w:rsidP="00F31937">
            <w:pPr>
              <w:pStyle w:val="BodyText"/>
              <w:tabs>
                <w:tab w:val="left" w:pos="4170"/>
              </w:tabs>
              <w:spacing w:after="0"/>
              <w:rPr>
                <w:noProof/>
                <w:sz w:val="20"/>
                <w:szCs w:val="20"/>
              </w:rPr>
            </w:pPr>
            <w:r w:rsidRPr="13AEFEEB">
              <w:rPr>
                <w:noProof/>
                <w:sz w:val="20"/>
                <w:szCs w:val="20"/>
              </w:rPr>
              <w:t>Included as part of the common data platform on chemicals + to be absorbed as part of the individual regulatory processes</w:t>
            </w:r>
          </w:p>
        </w:tc>
      </w:tr>
    </w:tbl>
    <w:p w14:paraId="3C5FD5B8" w14:textId="77777777" w:rsidR="000A7D9D" w:rsidRDefault="000A7D9D" w:rsidP="000A7D9D">
      <w:pPr>
        <w:pStyle w:val="BodyText"/>
        <w:spacing w:before="120"/>
        <w:rPr>
          <w:noProof/>
          <w:u w:val="single"/>
        </w:rPr>
      </w:pPr>
      <w:r w:rsidRPr="13AEFEEB">
        <w:rPr>
          <w:noProof/>
          <w:u w:val="single"/>
        </w:rPr>
        <w:t>Future budget line:</w:t>
      </w:r>
      <w:r>
        <w:rPr>
          <w:noProof/>
        </w:rPr>
        <w:t xml:space="preserve"> As part of the agencies’ budgets </w:t>
      </w:r>
    </w:p>
    <w:p w14:paraId="4396BABA" w14:textId="77777777" w:rsidR="000A7D9D" w:rsidRDefault="000A7D9D" w:rsidP="000A7D9D">
      <w:pPr>
        <w:pStyle w:val="BodyText"/>
        <w:rPr>
          <w:noProof/>
        </w:rPr>
      </w:pPr>
      <w:r w:rsidRPr="1880B16D">
        <w:rPr>
          <w:noProof/>
          <w:u w:val="single"/>
        </w:rPr>
        <w:t>Candidate for fees</w:t>
      </w:r>
      <w:r>
        <w:rPr>
          <w:noProof/>
        </w:rPr>
        <w:t>: No</w:t>
      </w:r>
    </w:p>
    <w:p w14:paraId="088644F8" w14:textId="77777777" w:rsidR="000A7D9D" w:rsidRDefault="000A7D9D" w:rsidP="000A7D9D">
      <w:pPr>
        <w:pStyle w:val="BodyText"/>
        <w:rPr>
          <w:noProof/>
        </w:rPr>
      </w:pPr>
    </w:p>
    <w:p w14:paraId="221097F1"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76" w:name="_Toc150499941"/>
      <w:bookmarkEnd w:id="75"/>
      <w:r w:rsidRPr="00291F95">
        <w:rPr>
          <w:rFonts w:ascii="Times New Roman" w:hAnsi="Times New Roman"/>
          <w:smallCaps/>
          <w:noProof/>
          <w:color w:val="auto"/>
          <w:sz w:val="24"/>
          <w:szCs w:val="20"/>
          <w:lang w:eastAsia="en-US"/>
        </w:rPr>
        <w:t>Repository of reference values</w:t>
      </w:r>
      <w:bookmarkEnd w:id="76"/>
    </w:p>
    <w:p w14:paraId="71A1B4B7" w14:textId="77777777" w:rsidR="000A7D9D" w:rsidRPr="00F521F8" w:rsidRDefault="000A7D9D" w:rsidP="000A7D9D">
      <w:pPr>
        <w:spacing w:after="120"/>
        <w:textAlignment w:val="baseline"/>
        <w:rPr>
          <w:rFonts w:ascii="Times New Roman" w:hAnsi="Times New Roman" w:cs="Times New Roman"/>
          <w:noProof/>
          <w:sz w:val="24"/>
          <w:szCs w:val="24"/>
          <w:lang w:eastAsia="en-GB"/>
        </w:rPr>
      </w:pPr>
      <w:r w:rsidRPr="00F521F8">
        <w:rPr>
          <w:rFonts w:ascii="Times New Roman" w:hAnsi="Times New Roman" w:cs="Times New Roman"/>
          <w:b/>
          <w:bCs/>
          <w:noProof/>
          <w:sz w:val="24"/>
          <w:szCs w:val="24"/>
          <w:lang w:val="en-US" w:eastAsia="en-GB"/>
        </w:rPr>
        <w:t>Responsible body:</w:t>
      </w:r>
      <w:r w:rsidRPr="00F521F8">
        <w:rPr>
          <w:rFonts w:ascii="Times New Roman" w:hAnsi="Times New Roman" w:cs="Times New Roman"/>
          <w:noProof/>
          <w:sz w:val="24"/>
          <w:szCs w:val="24"/>
          <w:lang w:eastAsia="en-GB"/>
        </w:rPr>
        <w:t> </w:t>
      </w:r>
    </w:p>
    <w:p w14:paraId="639ECB36"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00F521F8">
        <w:rPr>
          <w:rFonts w:ascii="Times New Roman" w:hAnsi="Times New Roman" w:cs="Times New Roman"/>
          <w:noProof/>
          <w:sz w:val="24"/>
          <w:szCs w:val="24"/>
          <w:u w:val="single"/>
          <w:lang w:val="en-US" w:eastAsia="en-GB"/>
        </w:rPr>
        <w:t>Currently:</w:t>
      </w:r>
      <w:r w:rsidRPr="00F521F8">
        <w:rPr>
          <w:rFonts w:ascii="Times New Roman" w:hAnsi="Times New Roman" w:cs="Times New Roman"/>
          <w:noProof/>
          <w:sz w:val="24"/>
          <w:szCs w:val="24"/>
          <w:lang w:val="en-US" w:eastAsia="en-GB"/>
        </w:rPr>
        <w:t xml:space="preserve"> ECHA (some reference values as part of EUCLEF), EFSA (some reference values as part of open food tox database), Commission – DG SANTE (some reference values as part of the pesticides database)</w:t>
      </w:r>
      <w:r w:rsidRPr="00F521F8">
        <w:rPr>
          <w:rFonts w:ascii="Times New Roman" w:hAnsi="Times New Roman" w:cs="Times New Roman"/>
          <w:noProof/>
          <w:sz w:val="24"/>
          <w:szCs w:val="24"/>
          <w:lang w:eastAsia="en-GB"/>
        </w:rPr>
        <w:t> </w:t>
      </w:r>
    </w:p>
    <w:p w14:paraId="5DE6C4D6" w14:textId="77777777" w:rsidR="000A7D9D" w:rsidRPr="00F521F8" w:rsidRDefault="000A7D9D" w:rsidP="000A7D9D">
      <w:pPr>
        <w:spacing w:after="120"/>
        <w:textAlignment w:val="baseline"/>
        <w:rPr>
          <w:rFonts w:ascii="Times New Roman" w:hAnsi="Times New Roman" w:cs="Times New Roman"/>
          <w:noProof/>
          <w:sz w:val="24"/>
          <w:szCs w:val="24"/>
          <w:lang w:eastAsia="en-GB"/>
        </w:rPr>
      </w:pPr>
      <w:r w:rsidRPr="13AEFEEB">
        <w:rPr>
          <w:rFonts w:ascii="Times New Roman" w:hAnsi="Times New Roman" w:cs="Times New Roman"/>
          <w:noProof/>
          <w:sz w:val="24"/>
          <w:szCs w:val="24"/>
          <w:u w:val="single"/>
          <w:lang w:val="en-US" w:eastAsia="en-GB"/>
        </w:rPr>
        <w:t>(Re-)attribution planned to:</w:t>
      </w:r>
      <w:r w:rsidRPr="13AEFEEB">
        <w:rPr>
          <w:rFonts w:ascii="Times New Roman" w:hAnsi="Times New Roman" w:cs="Times New Roman"/>
          <w:noProof/>
          <w:sz w:val="24"/>
          <w:szCs w:val="24"/>
          <w:lang w:val="en-US" w:eastAsia="en-GB"/>
        </w:rPr>
        <w:t xml:space="preserve"> ECHA, EFSA, EMA, EU-OSHA [and Commission – DG SANTE]</w:t>
      </w:r>
      <w:r w:rsidRPr="13AEFEEB">
        <w:rPr>
          <w:rFonts w:ascii="Times New Roman" w:hAnsi="Times New Roman" w:cs="Times New Roman"/>
          <w:noProof/>
          <w:sz w:val="24"/>
          <w:szCs w:val="24"/>
          <w:lang w:eastAsia="en-GB"/>
        </w:rPr>
        <w:t> </w:t>
      </w:r>
    </w:p>
    <w:p w14:paraId="791A26FF"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13AEFEEB">
        <w:rPr>
          <w:rFonts w:ascii="Times New Roman" w:hAnsi="Times New Roman" w:cs="Times New Roman"/>
          <w:b/>
          <w:bCs/>
          <w:noProof/>
          <w:sz w:val="24"/>
          <w:szCs w:val="24"/>
          <w:lang w:val="en-US" w:eastAsia="en-GB"/>
        </w:rPr>
        <w:t xml:space="preserve">Legal basis for (re-)attribution: </w:t>
      </w:r>
      <w:r w:rsidRPr="13AEFEEB">
        <w:rPr>
          <w:rFonts w:ascii="Times New Roman" w:hAnsi="Times New Roman" w:cs="Times New Roman"/>
          <w:noProof/>
          <w:sz w:val="24"/>
          <w:szCs w:val="24"/>
        </w:rPr>
        <w:t xml:space="preserve"> Proposal for a regulation of the European Parliament and of the Council establishing a common data platform on chemicals, laying down rules to ensure that the data contained in it are findable, accessible, interoperable and reusable and establishing a monitoring and outlook framework for chemicals</w:t>
      </w:r>
    </w:p>
    <w:p w14:paraId="7B56FBFF" w14:textId="77777777" w:rsidR="000A7D9D" w:rsidRPr="00F521F8" w:rsidRDefault="000A7D9D" w:rsidP="000A7D9D">
      <w:pPr>
        <w:spacing w:after="120"/>
        <w:textAlignment w:val="baseline"/>
        <w:rPr>
          <w:rFonts w:ascii="Times New Roman" w:hAnsi="Times New Roman" w:cs="Times New Roman"/>
          <w:noProof/>
          <w:sz w:val="24"/>
          <w:szCs w:val="24"/>
          <w:lang w:eastAsia="en-GB"/>
        </w:rPr>
      </w:pPr>
      <w:r w:rsidRPr="00F521F8">
        <w:rPr>
          <w:rFonts w:ascii="Times New Roman" w:hAnsi="Times New Roman" w:cs="Times New Roman"/>
          <w:b/>
          <w:bCs/>
          <w:noProof/>
          <w:sz w:val="24"/>
          <w:szCs w:val="24"/>
          <w:lang w:val="en-US" w:eastAsia="en-GB"/>
        </w:rPr>
        <w:t xml:space="preserve">Type of task: </w:t>
      </w:r>
      <w:r w:rsidRPr="00F521F8">
        <w:rPr>
          <w:rFonts w:ascii="Times New Roman" w:hAnsi="Times New Roman" w:cs="Times New Roman"/>
          <w:noProof/>
          <w:sz w:val="24"/>
          <w:szCs w:val="24"/>
          <w:lang w:val="en-US" w:eastAsia="en-GB"/>
        </w:rPr>
        <w:t>Existing but extending the scope and centralizing the reference values in one repository</w:t>
      </w:r>
      <w:r w:rsidRPr="00F521F8">
        <w:rPr>
          <w:rFonts w:ascii="Times New Roman" w:hAnsi="Times New Roman" w:cs="Times New Roman"/>
          <w:noProof/>
          <w:sz w:val="24"/>
          <w:szCs w:val="24"/>
          <w:lang w:eastAsia="en-GB"/>
        </w:rPr>
        <w:t> </w:t>
      </w:r>
    </w:p>
    <w:p w14:paraId="530E4D1D"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13AEFEEB">
        <w:rPr>
          <w:rFonts w:ascii="Times New Roman" w:hAnsi="Times New Roman" w:cs="Times New Roman"/>
          <w:b/>
          <w:bCs/>
          <w:noProof/>
          <w:sz w:val="24"/>
          <w:szCs w:val="24"/>
          <w:lang w:val="en-US" w:eastAsia="en-GB"/>
        </w:rPr>
        <w:t xml:space="preserve">Brief task overview: </w:t>
      </w:r>
      <w:r w:rsidRPr="13AEFEEB">
        <w:rPr>
          <w:rFonts w:ascii="Times New Roman" w:hAnsi="Times New Roman" w:cs="Times New Roman"/>
          <w:noProof/>
          <w:sz w:val="24"/>
          <w:szCs w:val="24"/>
          <w:lang w:val="en-US" w:eastAsia="en-GB"/>
        </w:rPr>
        <w:t>Setting up and operating a centralized repository of reference values derived or collected as part of the implementation of Union chemicals legislation or</w:t>
      </w:r>
      <w:r>
        <w:rPr>
          <w:rFonts w:ascii="Times New Roman" w:hAnsi="Times New Roman" w:cs="Times New Roman"/>
          <w:noProof/>
          <w:sz w:val="24"/>
          <w:szCs w:val="24"/>
          <w:lang w:val="en-US" w:eastAsia="en-GB"/>
        </w:rPr>
        <w:t xml:space="preserve"> on the request of the Commission</w:t>
      </w:r>
      <w:r w:rsidRPr="13AEFEEB">
        <w:rPr>
          <w:rFonts w:ascii="Times New Roman" w:hAnsi="Times New Roman" w:cs="Times New Roman"/>
          <w:noProof/>
          <w:sz w:val="24"/>
          <w:szCs w:val="24"/>
          <w:lang w:val="en-US" w:eastAsia="en-GB"/>
        </w:rPr>
        <w:t xml:space="preserve"> </w:t>
      </w:r>
      <w:r>
        <w:rPr>
          <w:rFonts w:ascii="Times New Roman" w:hAnsi="Times New Roman" w:cs="Times New Roman"/>
          <w:noProof/>
          <w:sz w:val="24"/>
          <w:szCs w:val="24"/>
          <w:lang w:val="en-US" w:eastAsia="en-GB"/>
        </w:rPr>
        <w:t xml:space="preserve">also those </w:t>
      </w:r>
      <w:r w:rsidRPr="13AEFEEB">
        <w:rPr>
          <w:rFonts w:ascii="Times New Roman" w:hAnsi="Times New Roman" w:cs="Times New Roman"/>
          <w:noProof/>
          <w:sz w:val="24"/>
          <w:szCs w:val="24"/>
          <w:lang w:val="en-US" w:eastAsia="en-GB"/>
        </w:rPr>
        <w:t>provided by the Member States or international organization. </w:t>
      </w:r>
      <w:r w:rsidRPr="13AEFEEB">
        <w:rPr>
          <w:rFonts w:ascii="Times New Roman" w:hAnsi="Times New Roman" w:cs="Times New Roman"/>
          <w:noProof/>
          <w:sz w:val="24"/>
          <w:szCs w:val="24"/>
          <w:lang w:eastAsia="en-GB"/>
        </w:rPr>
        <w:t> </w:t>
      </w:r>
    </w:p>
    <w:p w14:paraId="66B12587" w14:textId="77777777" w:rsidR="000A7D9D" w:rsidRPr="00F521F8" w:rsidRDefault="000A7D9D" w:rsidP="000A7D9D">
      <w:pPr>
        <w:spacing w:after="120"/>
        <w:textAlignment w:val="baseline"/>
        <w:rPr>
          <w:rFonts w:ascii="Times New Roman" w:hAnsi="Times New Roman" w:cs="Times New Roman"/>
          <w:noProof/>
          <w:sz w:val="24"/>
          <w:szCs w:val="24"/>
          <w:lang w:eastAsia="en-GB"/>
        </w:rPr>
      </w:pPr>
      <w:r w:rsidRPr="00F521F8">
        <w:rPr>
          <w:rFonts w:ascii="Times New Roman" w:hAnsi="Times New Roman" w:cs="Times New Roman"/>
          <w:b/>
          <w:bCs/>
          <w:noProof/>
          <w:sz w:val="24"/>
          <w:szCs w:val="24"/>
          <w:lang w:val="en-US" w:eastAsia="en-GB"/>
        </w:rPr>
        <w:t>Detailed process description: </w:t>
      </w:r>
      <w:r w:rsidRPr="00F521F8">
        <w:rPr>
          <w:rFonts w:ascii="Times New Roman" w:hAnsi="Times New Roman" w:cs="Times New Roman"/>
          <w:noProof/>
          <w:sz w:val="24"/>
          <w:szCs w:val="24"/>
          <w:lang w:eastAsia="en-GB"/>
        </w:rPr>
        <w:t> </w:t>
      </w:r>
    </w:p>
    <w:p w14:paraId="34F99DA3" w14:textId="77777777" w:rsidR="000A7D9D" w:rsidRPr="00F521F8" w:rsidRDefault="000A7D9D" w:rsidP="000A7D9D">
      <w:pPr>
        <w:spacing w:after="120"/>
        <w:textAlignment w:val="baseline"/>
        <w:rPr>
          <w:rFonts w:ascii="Times New Roman" w:hAnsi="Times New Roman" w:cs="Times New Roman"/>
          <w:noProof/>
          <w:sz w:val="24"/>
          <w:szCs w:val="24"/>
          <w:u w:val="single"/>
          <w:lang w:eastAsia="en-GB"/>
        </w:rPr>
      </w:pPr>
      <w:r w:rsidRPr="00F521F8">
        <w:rPr>
          <w:rFonts w:ascii="Times New Roman" w:hAnsi="Times New Roman" w:cs="Times New Roman"/>
          <w:noProof/>
          <w:sz w:val="24"/>
          <w:szCs w:val="24"/>
          <w:u w:val="single"/>
          <w:lang w:val="en-US" w:eastAsia="en-GB"/>
        </w:rPr>
        <w:t>Current process:</w:t>
      </w:r>
      <w:r w:rsidRPr="00F521F8">
        <w:rPr>
          <w:rFonts w:ascii="Times New Roman" w:hAnsi="Times New Roman" w:cs="Times New Roman"/>
          <w:noProof/>
          <w:sz w:val="24"/>
          <w:szCs w:val="24"/>
          <w:u w:val="single"/>
          <w:lang w:eastAsia="en-GB"/>
        </w:rPr>
        <w:t> </w:t>
      </w:r>
    </w:p>
    <w:p w14:paraId="672137C6"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13AEFEEB">
        <w:rPr>
          <w:rFonts w:ascii="Times New Roman" w:hAnsi="Times New Roman" w:cs="Times New Roman"/>
          <w:noProof/>
          <w:sz w:val="24"/>
          <w:szCs w:val="24"/>
          <w:lang w:val="en-US" w:eastAsia="en-GB"/>
        </w:rPr>
        <w:t>EFSA has developed and is maintaining the OpenFoodTox database</w:t>
      </w:r>
      <w:r w:rsidRPr="13AEFEEB">
        <w:rPr>
          <w:rFonts w:ascii="Times New Roman" w:hAnsi="Times New Roman" w:cs="Times New Roman"/>
          <w:noProof/>
          <w:sz w:val="24"/>
          <w:szCs w:val="24"/>
          <w:vertAlign w:val="superscript"/>
          <w:lang w:val="en-US" w:eastAsia="en-GB"/>
        </w:rPr>
        <w:t>1</w:t>
      </w:r>
      <w:r w:rsidRPr="13AEFEEB">
        <w:rPr>
          <w:rFonts w:ascii="Times New Roman" w:hAnsi="Times New Roman" w:cs="Times New Roman"/>
          <w:noProof/>
          <w:sz w:val="24"/>
          <w:szCs w:val="24"/>
          <w:lang w:val="en-US" w:eastAsia="en-GB"/>
        </w:rPr>
        <w:t>. It is a structured database (Exel sheet) summarising the outcomes of all hazard identification and characterisation for human health (plant protection products, food improvement agents, and contaminants), animal health (feed additives, pesticides and contaminants) and the environment (feed additives and pesticides) performed by EFSA. OpenFoodTox provides information on substance identity and characterisation, links to EFSA’s related output, relevant background EU legislation, and a summary of the critical toxicological endpoints and reference values for the substance. The data model of OpenFoodTox has been designed using an OECD Harmonised Template (OHT) as a basis to collect and structure the data in a harmonised manner. The database is being populated by an external contractor who extracts the relevant information from the EFSA opinions. The database contains scientific values from EFSA’s opinions. Currently, relevant information from all opinions delivered by EFSA is already included in the database and EFSA continues updating the database.</w:t>
      </w:r>
      <w:r w:rsidRPr="13AEFEEB">
        <w:rPr>
          <w:rFonts w:ascii="Times New Roman" w:hAnsi="Times New Roman" w:cs="Times New Roman"/>
          <w:noProof/>
          <w:sz w:val="24"/>
          <w:szCs w:val="24"/>
          <w:lang w:eastAsia="en-GB"/>
        </w:rPr>
        <w:t> </w:t>
      </w:r>
    </w:p>
    <w:p w14:paraId="0065A4AA"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13AEFEEB">
        <w:rPr>
          <w:rFonts w:ascii="Times New Roman" w:hAnsi="Times New Roman" w:cs="Times New Roman"/>
          <w:noProof/>
          <w:sz w:val="24"/>
          <w:szCs w:val="24"/>
          <w:lang w:val="en-US" w:eastAsia="en-GB"/>
        </w:rPr>
        <w:t>The EU pesticides database</w:t>
      </w:r>
      <w:r w:rsidRPr="13AEFEEB">
        <w:rPr>
          <w:rFonts w:ascii="Times New Roman" w:hAnsi="Times New Roman" w:cs="Times New Roman"/>
          <w:noProof/>
          <w:sz w:val="24"/>
          <w:szCs w:val="24"/>
          <w:vertAlign w:val="superscript"/>
          <w:lang w:val="en-US" w:eastAsia="en-GB"/>
        </w:rPr>
        <w:t>2</w:t>
      </w:r>
      <w:r w:rsidRPr="13AEFEEB">
        <w:rPr>
          <w:rFonts w:ascii="Times New Roman" w:hAnsi="Times New Roman" w:cs="Times New Roman"/>
          <w:noProof/>
          <w:sz w:val="24"/>
          <w:szCs w:val="24"/>
          <w:lang w:val="en-US" w:eastAsia="en-GB"/>
        </w:rPr>
        <w:t xml:space="preserve"> is the official source for pesticide Maximum Residue Levels (MRLs) in food products. It is maintained by the Commission – DG SANTE - and it contains both the current and historical information on MRLs of pesticides with the residue definition and a coded list of commodities to which the MRLs apply. The database contains regulatory reference values from the relevant legislation. The Commission – DG SANTE - continues updating it. </w:t>
      </w:r>
      <w:r w:rsidRPr="13AEFEEB">
        <w:rPr>
          <w:rFonts w:ascii="Times New Roman" w:hAnsi="Times New Roman" w:cs="Times New Roman"/>
          <w:noProof/>
          <w:sz w:val="24"/>
          <w:szCs w:val="24"/>
          <w:lang w:eastAsia="en-GB"/>
        </w:rPr>
        <w:t> </w:t>
      </w:r>
    </w:p>
    <w:p w14:paraId="566AB94A"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00F521F8">
        <w:rPr>
          <w:rFonts w:ascii="Times New Roman" w:hAnsi="Times New Roman" w:cs="Times New Roman"/>
          <w:noProof/>
          <w:sz w:val="24"/>
          <w:szCs w:val="24"/>
          <w:lang w:val="en-US" w:eastAsia="en-GB"/>
        </w:rPr>
        <w:t>ECHA has developed and operates the EU Chemicals Legislation Finder (EUCLEF)</w:t>
      </w:r>
      <w:r w:rsidRPr="00F521F8">
        <w:rPr>
          <w:rFonts w:ascii="Times New Roman" w:hAnsi="Times New Roman" w:cs="Times New Roman"/>
          <w:noProof/>
          <w:sz w:val="24"/>
          <w:szCs w:val="24"/>
          <w:vertAlign w:val="superscript"/>
          <w:lang w:val="en-US" w:eastAsia="en-GB"/>
        </w:rPr>
        <w:t>3</w:t>
      </w:r>
      <w:r w:rsidRPr="00F521F8">
        <w:rPr>
          <w:rFonts w:ascii="Times New Roman" w:hAnsi="Times New Roman" w:cs="Times New Roman"/>
          <w:noProof/>
          <w:sz w:val="24"/>
          <w:szCs w:val="24"/>
          <w:lang w:val="en-US" w:eastAsia="en-GB"/>
        </w:rPr>
        <w:t>. It is an online service to access an overview of 56 pieces of EU chemicals legislation. The purpose of EUCLEF is to offer users the possibility to navigate through the EU chemicals legislative framework and find relevant information on how substances are regulated across the EU. EUCLEF was developed to help companies who need to track their obligations across different EU laws. EUCLEF lists some regulatory reference values derived and applicable under these legislative pieces. There might be an overlap between information in EUCLEF and in the EU pesticides database. </w:t>
      </w:r>
      <w:r w:rsidRPr="00F521F8">
        <w:rPr>
          <w:rFonts w:ascii="Times New Roman" w:hAnsi="Times New Roman" w:cs="Times New Roman"/>
          <w:noProof/>
          <w:sz w:val="24"/>
          <w:szCs w:val="24"/>
          <w:lang w:eastAsia="en-GB"/>
        </w:rPr>
        <w:t> </w:t>
      </w:r>
    </w:p>
    <w:p w14:paraId="57533A2D" w14:textId="77777777" w:rsidR="000A7D9D" w:rsidRPr="00F521F8" w:rsidRDefault="000A7D9D" w:rsidP="000A7D9D">
      <w:pPr>
        <w:spacing w:after="120"/>
        <w:textAlignment w:val="baseline"/>
        <w:rPr>
          <w:rFonts w:ascii="Times New Roman" w:hAnsi="Times New Roman" w:cs="Times New Roman"/>
          <w:noProof/>
          <w:sz w:val="24"/>
          <w:szCs w:val="24"/>
          <w:u w:val="single"/>
          <w:lang w:eastAsia="en-GB"/>
        </w:rPr>
      </w:pPr>
      <w:r w:rsidRPr="00F521F8">
        <w:rPr>
          <w:rFonts w:ascii="Times New Roman" w:hAnsi="Times New Roman" w:cs="Times New Roman"/>
          <w:noProof/>
          <w:sz w:val="24"/>
          <w:szCs w:val="24"/>
          <w:u w:val="single"/>
          <w:lang w:val="en-US" w:eastAsia="en-GB"/>
        </w:rPr>
        <w:t>Changes in the process:</w:t>
      </w:r>
      <w:r w:rsidRPr="00F521F8">
        <w:rPr>
          <w:rFonts w:ascii="Times New Roman" w:hAnsi="Times New Roman" w:cs="Times New Roman"/>
          <w:noProof/>
          <w:sz w:val="24"/>
          <w:szCs w:val="24"/>
          <w:u w:val="single"/>
          <w:lang w:eastAsia="en-GB"/>
        </w:rPr>
        <w:t> </w:t>
      </w:r>
    </w:p>
    <w:p w14:paraId="2EEBC6F6"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13AEFEEB">
        <w:rPr>
          <w:rFonts w:ascii="Times New Roman" w:hAnsi="Times New Roman" w:cs="Times New Roman"/>
          <w:noProof/>
          <w:sz w:val="24"/>
          <w:szCs w:val="24"/>
          <w:lang w:val="en-US" w:eastAsia="en-GB"/>
        </w:rPr>
        <w:t xml:space="preserve">ECHA establishes and operates the centralized EU repository of reference values </w:t>
      </w:r>
      <w:r>
        <w:rPr>
          <w:rFonts w:ascii="Times New Roman" w:hAnsi="Times New Roman" w:cs="Times New Roman"/>
          <w:noProof/>
          <w:sz w:val="24"/>
          <w:szCs w:val="24"/>
          <w:lang w:val="en-US" w:eastAsia="en-GB"/>
        </w:rPr>
        <w:t xml:space="preserve">as part of </w:t>
      </w:r>
      <w:r w:rsidRPr="00BA3244">
        <w:rPr>
          <w:rFonts w:ascii="Times New Roman" w:hAnsi="Times New Roman" w:cs="Times New Roman"/>
          <w:noProof/>
          <w:sz w:val="24"/>
          <w:szCs w:val="24"/>
          <w:lang w:val="en-US" w:eastAsia="en-GB"/>
        </w:rPr>
        <w:t xml:space="preserve">a </w:t>
      </w:r>
      <w:r w:rsidRPr="00BA3244">
        <w:rPr>
          <w:rFonts w:ascii="Times New Roman" w:hAnsi="Times New Roman" w:cs="Times New Roman"/>
          <w:noProof/>
          <w:sz w:val="24"/>
          <w:szCs w:val="24"/>
        </w:rPr>
        <w:t>database with information on the provisions and legal obligations applicable to chemicals under the Union acts</w:t>
      </w:r>
      <w:r>
        <w:rPr>
          <w:rFonts w:ascii="Times New Roman" w:hAnsi="Times New Roman" w:cs="Times New Roman"/>
          <w:noProof/>
          <w:sz w:val="24"/>
          <w:szCs w:val="24"/>
        </w:rPr>
        <w:t xml:space="preserve"> </w:t>
      </w:r>
      <w:r w:rsidRPr="00BA3244">
        <w:rPr>
          <w:rFonts w:ascii="Times New Roman" w:hAnsi="Times New Roman" w:cs="Times New Roman"/>
          <w:noProof/>
          <w:sz w:val="24"/>
          <w:szCs w:val="24"/>
          <w:lang w:val="en-US" w:eastAsia="en-GB"/>
        </w:rPr>
        <w:t>by</w:t>
      </w:r>
      <w:r w:rsidRPr="13AEFEEB">
        <w:rPr>
          <w:rFonts w:ascii="Times New Roman" w:hAnsi="Times New Roman" w:cs="Times New Roman"/>
          <w:noProof/>
          <w:sz w:val="24"/>
          <w:szCs w:val="24"/>
          <w:lang w:val="en-US" w:eastAsia="en-GB"/>
        </w:rPr>
        <w:t xml:space="preserve"> adapting the existing EUCLEF system</w:t>
      </w:r>
      <w:r>
        <w:rPr>
          <w:rFonts w:ascii="Times New Roman" w:hAnsi="Times New Roman" w:cs="Times New Roman"/>
          <w:noProof/>
          <w:sz w:val="24"/>
          <w:szCs w:val="24"/>
          <w:lang w:val="en-US" w:eastAsia="en-GB"/>
        </w:rPr>
        <w:t xml:space="preserve"> (see section 23)</w:t>
      </w:r>
      <w:r w:rsidRPr="13AEFEEB">
        <w:rPr>
          <w:rFonts w:ascii="Times New Roman" w:hAnsi="Times New Roman" w:cs="Times New Roman"/>
          <w:noProof/>
          <w:sz w:val="24"/>
          <w:szCs w:val="24"/>
          <w:lang w:val="en-US" w:eastAsia="en-GB"/>
        </w:rPr>
        <w:t>. Both the repository of refe</w:t>
      </w:r>
      <w:r>
        <w:rPr>
          <w:rFonts w:ascii="Times New Roman" w:hAnsi="Times New Roman" w:cs="Times New Roman"/>
          <w:noProof/>
          <w:sz w:val="24"/>
          <w:szCs w:val="24"/>
          <w:lang w:val="en-US" w:eastAsia="en-GB"/>
        </w:rPr>
        <w:t>re</w:t>
      </w:r>
      <w:r w:rsidRPr="13AEFEEB">
        <w:rPr>
          <w:rFonts w:ascii="Times New Roman" w:hAnsi="Times New Roman" w:cs="Times New Roman"/>
          <w:noProof/>
          <w:sz w:val="24"/>
          <w:szCs w:val="24"/>
          <w:lang w:val="en-US" w:eastAsia="en-GB"/>
        </w:rPr>
        <w:t>nce values and a dedicated se</w:t>
      </w:r>
      <w:r>
        <w:rPr>
          <w:rFonts w:ascii="Times New Roman" w:hAnsi="Times New Roman" w:cs="Times New Roman"/>
          <w:noProof/>
          <w:sz w:val="24"/>
          <w:szCs w:val="24"/>
          <w:lang w:val="en-US" w:eastAsia="en-GB"/>
        </w:rPr>
        <w:t>r</w:t>
      </w:r>
      <w:r w:rsidRPr="13AEFEEB">
        <w:rPr>
          <w:rFonts w:ascii="Times New Roman" w:hAnsi="Times New Roman" w:cs="Times New Roman"/>
          <w:noProof/>
          <w:sz w:val="24"/>
          <w:szCs w:val="24"/>
          <w:lang w:val="en-US" w:eastAsia="en-GB"/>
        </w:rPr>
        <w:t xml:space="preserve">vice on information on the obligations under EU acts on chemicals (i.e. an expanded EUCLEF system) are established as part of the common data platform and the governance structure of the platform is also used to govern the development and operation of the repository of reference values. </w:t>
      </w:r>
    </w:p>
    <w:p w14:paraId="263C9373" w14:textId="77777777" w:rsidR="000A7D9D" w:rsidRPr="00BA3244" w:rsidRDefault="000A7D9D" w:rsidP="000A7D9D">
      <w:pPr>
        <w:spacing w:after="120"/>
        <w:jc w:val="both"/>
        <w:textAlignment w:val="baseline"/>
        <w:rPr>
          <w:rFonts w:ascii="Times New Roman" w:hAnsi="Times New Roman" w:cs="Times New Roman"/>
          <w:noProof/>
          <w:sz w:val="24"/>
          <w:szCs w:val="24"/>
          <w:lang w:eastAsia="en-GB"/>
        </w:rPr>
      </w:pPr>
      <w:r w:rsidRPr="00BA3244">
        <w:rPr>
          <w:rFonts w:ascii="Times New Roman" w:hAnsi="Times New Roman" w:cs="Times New Roman"/>
          <w:noProof/>
          <w:sz w:val="24"/>
          <w:szCs w:val="24"/>
          <w:lang w:val="en-US" w:eastAsia="en-GB"/>
        </w:rPr>
        <w:t xml:space="preserve">ECHA makes available in the repository all regulatory reference values adopted under EU chemicals legislation (this is broader than today and contains more metadata information). </w:t>
      </w:r>
    </w:p>
    <w:p w14:paraId="7CF17293" w14:textId="77777777" w:rsidR="000A7D9D" w:rsidRPr="00BA3244" w:rsidRDefault="000A7D9D" w:rsidP="000A7D9D">
      <w:pPr>
        <w:spacing w:after="120"/>
        <w:jc w:val="both"/>
        <w:textAlignment w:val="baseline"/>
        <w:rPr>
          <w:rFonts w:ascii="Times New Roman" w:hAnsi="Times New Roman" w:cs="Times New Roman"/>
          <w:noProof/>
          <w:sz w:val="24"/>
          <w:szCs w:val="24"/>
          <w:lang w:eastAsia="en-GB"/>
        </w:rPr>
      </w:pPr>
      <w:r w:rsidRPr="00BA3244">
        <w:rPr>
          <w:rFonts w:ascii="Times New Roman" w:hAnsi="Times New Roman" w:cs="Times New Roman"/>
          <w:noProof/>
          <w:sz w:val="24"/>
          <w:szCs w:val="24"/>
          <w:lang w:val="en-US" w:eastAsia="en-GB"/>
        </w:rPr>
        <w:t xml:space="preserve">ECHA extracts and feeds into the repository all ‘legacy scientific reference values’ from ECHA’s opinions (i.e all reference values already </w:t>
      </w:r>
      <w:r>
        <w:rPr>
          <w:rFonts w:ascii="Times New Roman" w:hAnsi="Times New Roman" w:cs="Times New Roman"/>
          <w:noProof/>
          <w:sz w:val="24"/>
          <w:szCs w:val="24"/>
          <w:lang w:val="en-US" w:eastAsia="en-GB"/>
        </w:rPr>
        <w:t>derived by ECHA</w:t>
      </w:r>
      <w:r w:rsidRPr="00BA3244">
        <w:rPr>
          <w:rFonts w:ascii="Times New Roman" w:hAnsi="Times New Roman" w:cs="Times New Roman"/>
          <w:noProof/>
          <w:sz w:val="24"/>
          <w:szCs w:val="24"/>
          <w:lang w:val="en-US" w:eastAsia="en-GB"/>
        </w:rPr>
        <w:t xml:space="preserve"> before the entry into force of the regulation establishing the common data platform</w:t>
      </w:r>
      <w:r>
        <w:rPr>
          <w:rFonts w:ascii="Times New Roman" w:hAnsi="Times New Roman" w:cs="Times New Roman"/>
          <w:noProof/>
          <w:sz w:val="24"/>
          <w:szCs w:val="24"/>
          <w:lang w:val="en-US" w:eastAsia="en-GB"/>
        </w:rPr>
        <w:t xml:space="preserve"> and</w:t>
      </w:r>
      <w:r w:rsidRPr="00BA3244">
        <w:rPr>
          <w:rFonts w:ascii="Times New Roman" w:hAnsi="Times New Roman" w:cs="Times New Roman"/>
          <w:noProof/>
          <w:sz w:val="24"/>
          <w:szCs w:val="24"/>
          <w:lang w:val="en-US" w:eastAsia="en-GB"/>
        </w:rPr>
        <w:t xml:space="preserve"> which are not formally adopted under EU legislation</w:t>
      </w:r>
      <w:r>
        <w:rPr>
          <w:rFonts w:ascii="Times New Roman" w:hAnsi="Times New Roman" w:cs="Times New Roman"/>
          <w:noProof/>
          <w:sz w:val="24"/>
          <w:szCs w:val="24"/>
          <w:lang w:val="en-US" w:eastAsia="en-GB"/>
        </w:rPr>
        <w:t>)</w:t>
      </w:r>
      <w:r w:rsidRPr="00BA3244">
        <w:rPr>
          <w:rFonts w:ascii="Times New Roman" w:hAnsi="Times New Roman" w:cs="Times New Roman"/>
          <w:noProof/>
          <w:sz w:val="24"/>
          <w:szCs w:val="24"/>
          <w:lang w:val="en-US" w:eastAsia="en-GB"/>
        </w:rPr>
        <w:t>. For ‘new reference values’ ECHA starts providing reference values on a continuous basis to the repository as new opinions are adopted by ECHA. </w:t>
      </w:r>
      <w:r w:rsidRPr="00BA3244">
        <w:rPr>
          <w:rFonts w:ascii="Times New Roman" w:hAnsi="Times New Roman" w:cs="Times New Roman"/>
          <w:noProof/>
          <w:sz w:val="24"/>
          <w:szCs w:val="24"/>
          <w:lang w:eastAsia="en-GB"/>
        </w:rPr>
        <w:t> </w:t>
      </w:r>
    </w:p>
    <w:p w14:paraId="55C55C66" w14:textId="77777777" w:rsidR="000A7D9D" w:rsidRPr="00BA3244" w:rsidRDefault="000A7D9D" w:rsidP="000A7D9D">
      <w:pPr>
        <w:spacing w:after="120"/>
        <w:jc w:val="both"/>
        <w:textAlignment w:val="baseline"/>
        <w:rPr>
          <w:rFonts w:ascii="Times New Roman" w:hAnsi="Times New Roman" w:cs="Times New Roman"/>
          <w:noProof/>
          <w:sz w:val="24"/>
          <w:szCs w:val="24"/>
          <w:lang w:eastAsia="en-GB"/>
        </w:rPr>
      </w:pPr>
      <w:r w:rsidRPr="00BA3244">
        <w:rPr>
          <w:rFonts w:ascii="Times New Roman" w:hAnsi="Times New Roman" w:cs="Times New Roman"/>
          <w:noProof/>
          <w:sz w:val="24"/>
          <w:szCs w:val="24"/>
          <w:lang w:val="en-US" w:eastAsia="en-GB"/>
        </w:rPr>
        <w:t xml:space="preserve">EFSA provides the collection of ‘legacy scientific reference values’  </w:t>
      </w:r>
      <w:r>
        <w:rPr>
          <w:rFonts w:ascii="Times New Roman" w:hAnsi="Times New Roman" w:cs="Times New Roman"/>
          <w:noProof/>
          <w:sz w:val="24"/>
          <w:szCs w:val="24"/>
          <w:lang w:val="en-US" w:eastAsia="en-GB"/>
        </w:rPr>
        <w:t xml:space="preserve">(i.e. those </w:t>
      </w:r>
      <w:r w:rsidRPr="00BA3244">
        <w:rPr>
          <w:rFonts w:ascii="Times New Roman" w:hAnsi="Times New Roman" w:cs="Times New Roman"/>
          <w:noProof/>
          <w:sz w:val="24"/>
          <w:szCs w:val="24"/>
          <w:lang w:val="en-US" w:eastAsia="en-GB"/>
        </w:rPr>
        <w:t>which are not formally adopted under EU legislation but derived</w:t>
      </w:r>
      <w:r>
        <w:rPr>
          <w:rFonts w:ascii="Times New Roman" w:hAnsi="Times New Roman" w:cs="Times New Roman"/>
          <w:noProof/>
          <w:sz w:val="24"/>
          <w:szCs w:val="24"/>
          <w:lang w:val="en-US" w:eastAsia="en-GB"/>
        </w:rPr>
        <w:t xml:space="preserve"> by EFSA) </w:t>
      </w:r>
      <w:r w:rsidRPr="00BA3244">
        <w:rPr>
          <w:rFonts w:ascii="Times New Roman" w:hAnsi="Times New Roman" w:cs="Times New Roman"/>
          <w:noProof/>
          <w:sz w:val="24"/>
          <w:szCs w:val="24"/>
          <w:lang w:val="en-US" w:eastAsia="en-GB"/>
        </w:rPr>
        <w:t xml:space="preserve">from the Open Food Tox to ECHA to be integrated in the repository. For ‘new </w:t>
      </w:r>
      <w:r>
        <w:rPr>
          <w:rFonts w:ascii="Times New Roman" w:hAnsi="Times New Roman" w:cs="Times New Roman"/>
          <w:noProof/>
          <w:sz w:val="24"/>
          <w:szCs w:val="24"/>
          <w:lang w:val="en-US" w:eastAsia="en-GB"/>
        </w:rPr>
        <w:t xml:space="preserve">scientific </w:t>
      </w:r>
      <w:r w:rsidRPr="00BA3244">
        <w:rPr>
          <w:rFonts w:ascii="Times New Roman" w:hAnsi="Times New Roman" w:cs="Times New Roman"/>
          <w:noProof/>
          <w:sz w:val="24"/>
          <w:szCs w:val="24"/>
          <w:lang w:val="en-US" w:eastAsia="en-GB"/>
        </w:rPr>
        <w:t xml:space="preserve">reference values’  </w:t>
      </w:r>
      <w:r>
        <w:rPr>
          <w:rFonts w:ascii="Times New Roman" w:hAnsi="Times New Roman" w:cs="Times New Roman"/>
          <w:noProof/>
          <w:sz w:val="24"/>
          <w:szCs w:val="24"/>
          <w:lang w:val="en-US" w:eastAsia="en-GB"/>
        </w:rPr>
        <w:t xml:space="preserve">(i.e. those that </w:t>
      </w:r>
      <w:r w:rsidRPr="00BA3244">
        <w:rPr>
          <w:rFonts w:ascii="Times New Roman" w:hAnsi="Times New Roman" w:cs="Times New Roman"/>
          <w:noProof/>
          <w:sz w:val="24"/>
          <w:szCs w:val="24"/>
          <w:lang w:val="en-US" w:eastAsia="en-GB"/>
        </w:rPr>
        <w:t xml:space="preserve">are not formally adopted under EU legislation </w:t>
      </w:r>
      <w:r>
        <w:rPr>
          <w:rFonts w:ascii="Times New Roman" w:hAnsi="Times New Roman" w:cs="Times New Roman"/>
          <w:noProof/>
          <w:sz w:val="24"/>
          <w:szCs w:val="24"/>
          <w:lang w:val="en-US" w:eastAsia="en-GB"/>
        </w:rPr>
        <w:t xml:space="preserve">but derived by EFSA) </w:t>
      </w:r>
      <w:r w:rsidRPr="00BA3244">
        <w:rPr>
          <w:rFonts w:ascii="Times New Roman" w:hAnsi="Times New Roman" w:cs="Times New Roman"/>
          <w:noProof/>
          <w:sz w:val="24"/>
          <w:szCs w:val="24"/>
          <w:lang w:val="en-US" w:eastAsia="en-GB"/>
        </w:rPr>
        <w:t>EFSA continues providing relevant information on a continuous basis to the repository (or to ECHA) as new opinions are adopted by EFSA.</w:t>
      </w:r>
      <w:r w:rsidRPr="00BA3244">
        <w:rPr>
          <w:rFonts w:ascii="Times New Roman" w:hAnsi="Times New Roman" w:cs="Times New Roman"/>
          <w:noProof/>
          <w:sz w:val="24"/>
          <w:szCs w:val="24"/>
          <w:lang w:eastAsia="en-GB"/>
        </w:rPr>
        <w:t> </w:t>
      </w:r>
    </w:p>
    <w:p w14:paraId="0F769D95" w14:textId="77777777" w:rsidR="000A7D9D" w:rsidRPr="00BA3244" w:rsidRDefault="000A7D9D" w:rsidP="000A7D9D">
      <w:pPr>
        <w:spacing w:after="120"/>
        <w:jc w:val="both"/>
        <w:textAlignment w:val="baseline"/>
        <w:rPr>
          <w:rFonts w:ascii="Times New Roman" w:hAnsi="Times New Roman" w:cs="Times New Roman"/>
          <w:noProof/>
          <w:sz w:val="24"/>
          <w:szCs w:val="24"/>
          <w:lang w:eastAsia="en-GB"/>
        </w:rPr>
      </w:pPr>
      <w:r w:rsidRPr="00BA3244">
        <w:rPr>
          <w:rFonts w:ascii="Times New Roman" w:hAnsi="Times New Roman" w:cs="Times New Roman"/>
          <w:noProof/>
          <w:sz w:val="24"/>
          <w:szCs w:val="24"/>
          <w:lang w:val="en-US" w:eastAsia="en-GB"/>
        </w:rPr>
        <w:t>The Commission – DG SANTE - continues to operate and populate the EU pesticide database with new regulatory reference values. The Commission – DG SANTE - establishes a dynamic link for provision of the information from the EU pesticide database to ECHA to be made available also via the repository. </w:t>
      </w:r>
      <w:r w:rsidRPr="00BA3244">
        <w:rPr>
          <w:rFonts w:ascii="Times New Roman" w:hAnsi="Times New Roman" w:cs="Times New Roman"/>
          <w:noProof/>
          <w:sz w:val="24"/>
          <w:szCs w:val="24"/>
          <w:lang w:eastAsia="en-GB"/>
        </w:rPr>
        <w:t> </w:t>
      </w:r>
    </w:p>
    <w:p w14:paraId="052DE240" w14:textId="08A84AF8" w:rsidR="000A7D9D" w:rsidRPr="002F16DF" w:rsidRDefault="000A7D9D" w:rsidP="002F16DF">
      <w:pPr>
        <w:spacing w:after="120"/>
        <w:jc w:val="both"/>
        <w:textAlignment w:val="baseline"/>
        <w:rPr>
          <w:rFonts w:ascii="Times New Roman" w:hAnsi="Times New Roman" w:cs="Times New Roman"/>
          <w:noProof/>
          <w:sz w:val="24"/>
          <w:szCs w:val="24"/>
          <w:lang w:val="en-IE"/>
        </w:rPr>
      </w:pPr>
      <w:r w:rsidRPr="00BA3244">
        <w:rPr>
          <w:rFonts w:ascii="Times New Roman" w:hAnsi="Times New Roman" w:cs="Times New Roman"/>
          <w:noProof/>
          <w:sz w:val="24"/>
          <w:szCs w:val="24"/>
          <w:lang w:val="en-US" w:eastAsia="en-GB"/>
        </w:rPr>
        <w:t xml:space="preserve">EMA provides on a continuous basis to ECHA all new (i.e. adopted after entry into force of the regulation establishing the common data platform) predicted no effect concentrations (PNECs) derived as part of the </w:t>
      </w:r>
      <w:r w:rsidR="002F16DF" w:rsidRPr="00BA3244">
        <w:rPr>
          <w:rFonts w:ascii="Times New Roman" w:hAnsi="Times New Roman" w:cs="Times New Roman"/>
          <w:noProof/>
          <w:color w:val="000000" w:themeColor="text1"/>
          <w:sz w:val="24"/>
          <w:szCs w:val="24"/>
          <w:lang w:val="en-IE"/>
        </w:rPr>
        <w:t>environmental</w:t>
      </w:r>
      <w:r w:rsidRPr="00BA3244">
        <w:rPr>
          <w:rFonts w:ascii="Times New Roman" w:hAnsi="Times New Roman" w:cs="Times New Roman"/>
          <w:noProof/>
          <w:color w:val="000000" w:themeColor="text1"/>
          <w:sz w:val="24"/>
          <w:szCs w:val="24"/>
          <w:lang w:val="en-IE"/>
        </w:rPr>
        <w:t xml:space="preserve"> risk assessment under </w:t>
      </w:r>
      <w:r w:rsidRPr="00BA3244">
        <w:rPr>
          <w:rFonts w:ascii="Times New Roman" w:hAnsi="Times New Roman" w:cs="Times New Roman"/>
          <w:noProof/>
          <w:color w:val="000000" w:themeColor="text1"/>
          <w:sz w:val="24"/>
          <w:szCs w:val="24"/>
        </w:rPr>
        <w:t>Directive 2001/83/EC, Regulation (EC) No 726/2004 and Regulation (EU) 2019/6</w:t>
      </w:r>
      <w:r w:rsidRPr="00BA3244">
        <w:rPr>
          <w:rFonts w:ascii="Times New Roman" w:eastAsia="Calibri" w:hAnsi="Times New Roman" w:cs="Times New Roman"/>
          <w:noProof/>
          <w:color w:val="000000" w:themeColor="text1"/>
          <w:sz w:val="24"/>
          <w:szCs w:val="24"/>
          <w:lang w:val="en-IE"/>
        </w:rPr>
        <w:t xml:space="preserve"> </w:t>
      </w:r>
    </w:p>
    <w:p w14:paraId="4C4D55D1" w14:textId="77777777" w:rsidR="000A7D9D" w:rsidRPr="00BA3244" w:rsidRDefault="000A7D9D" w:rsidP="000A7D9D">
      <w:pPr>
        <w:spacing w:after="120"/>
        <w:jc w:val="both"/>
        <w:textAlignment w:val="baseline"/>
        <w:rPr>
          <w:rFonts w:ascii="Times New Roman" w:hAnsi="Times New Roman" w:cs="Times New Roman"/>
          <w:noProof/>
          <w:sz w:val="24"/>
          <w:szCs w:val="24"/>
          <w:lang w:eastAsia="en-GB"/>
        </w:rPr>
      </w:pPr>
      <w:r w:rsidRPr="00BA3244">
        <w:rPr>
          <w:rFonts w:ascii="Times New Roman" w:hAnsi="Times New Roman" w:cs="Times New Roman"/>
          <w:noProof/>
          <w:sz w:val="24"/>
          <w:szCs w:val="24"/>
          <w:lang w:eastAsia="en-GB"/>
        </w:rPr>
        <w:t>EEA and EU-OSHA</w:t>
      </w:r>
      <w:r>
        <w:rPr>
          <w:rFonts w:ascii="Times New Roman" w:hAnsi="Times New Roman" w:cs="Times New Roman"/>
          <w:noProof/>
          <w:sz w:val="24"/>
          <w:szCs w:val="24"/>
          <w:lang w:eastAsia="en-GB"/>
        </w:rPr>
        <w:t xml:space="preserve"> provide on a continuous basis to ECHA all new scientific reference values they might derive in the future, as currently they do not do so. </w:t>
      </w:r>
    </w:p>
    <w:p w14:paraId="4DE1FEFA" w14:textId="77777777" w:rsidR="000A7D9D" w:rsidRPr="00F521F8" w:rsidRDefault="000A7D9D" w:rsidP="000A7D9D">
      <w:pPr>
        <w:spacing w:after="120"/>
        <w:jc w:val="both"/>
        <w:textAlignment w:val="baseline"/>
        <w:rPr>
          <w:rFonts w:ascii="Times New Roman" w:hAnsi="Times New Roman" w:cs="Times New Roman"/>
          <w:noProof/>
          <w:sz w:val="24"/>
          <w:szCs w:val="24"/>
          <w:lang w:val="en-US" w:eastAsia="en-GB"/>
        </w:rPr>
      </w:pPr>
      <w:r w:rsidRPr="13AEFEEB">
        <w:rPr>
          <w:rFonts w:ascii="Times New Roman" w:hAnsi="Times New Roman" w:cs="Times New Roman"/>
          <w:noProof/>
          <w:sz w:val="24"/>
          <w:szCs w:val="24"/>
          <w:lang w:val="en-US" w:eastAsia="en-GB"/>
        </w:rPr>
        <w:t>The governance of the common data platform is used for governing the development and operation of the repository.  </w:t>
      </w:r>
    </w:p>
    <w:p w14:paraId="71FFA4AB" w14:textId="77777777" w:rsidR="000A7D9D" w:rsidRPr="00F521F8" w:rsidRDefault="000A7D9D" w:rsidP="000A7D9D">
      <w:pPr>
        <w:spacing w:after="120"/>
        <w:textAlignment w:val="baseline"/>
        <w:rPr>
          <w:rFonts w:ascii="Times New Roman" w:hAnsi="Times New Roman" w:cs="Times New Roman"/>
          <w:noProof/>
          <w:sz w:val="24"/>
          <w:szCs w:val="24"/>
          <w:lang w:eastAsia="en-GB"/>
        </w:rPr>
      </w:pPr>
      <w:r w:rsidRPr="13AEFEEB">
        <w:rPr>
          <w:rFonts w:ascii="Times New Roman" w:hAnsi="Times New Roman" w:cs="Times New Roman"/>
          <w:b/>
          <w:bCs/>
          <w:noProof/>
          <w:sz w:val="24"/>
          <w:szCs w:val="24"/>
          <w:lang w:val="en-US" w:eastAsia="en-GB"/>
        </w:rPr>
        <w:t>Proximity to agencies’ mandate:</w:t>
      </w:r>
      <w:r w:rsidRPr="13AEFEEB">
        <w:rPr>
          <w:rFonts w:ascii="Times New Roman" w:hAnsi="Times New Roman" w:cs="Times New Roman"/>
          <w:noProof/>
          <w:sz w:val="24"/>
          <w:szCs w:val="24"/>
          <w:lang w:eastAsia="en-GB"/>
        </w:rPr>
        <w:t> </w:t>
      </w:r>
    </w:p>
    <w:p w14:paraId="775D2AE1"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13AEFEEB">
        <w:rPr>
          <w:rFonts w:ascii="Times New Roman" w:hAnsi="Times New Roman" w:cs="Times New Roman"/>
          <w:noProof/>
          <w:sz w:val="24"/>
          <w:szCs w:val="24"/>
          <w:lang w:val="en-US" w:eastAsia="en-GB"/>
        </w:rPr>
        <w:t xml:space="preserve">The tasks fit well with the mandate of each agency. EFSA, ECHA and EMA provide scientific reference values from the assessments they perform. ECHA is already operating EUCLEF and is tasked to operate the common data platform, so for ECHA it is an extension of its current work. </w:t>
      </w:r>
      <w:r w:rsidRPr="13AEFEEB">
        <w:rPr>
          <w:rFonts w:ascii="Times New Roman" w:hAnsi="Times New Roman" w:cs="Times New Roman"/>
          <w:noProof/>
          <w:sz w:val="24"/>
          <w:szCs w:val="24"/>
          <w:lang w:eastAsia="en-GB"/>
        </w:rPr>
        <w:t> </w:t>
      </w:r>
    </w:p>
    <w:p w14:paraId="4C42F632" w14:textId="77777777" w:rsidR="000A7D9D" w:rsidRPr="00F521F8" w:rsidRDefault="000A7D9D" w:rsidP="000A7D9D">
      <w:pPr>
        <w:spacing w:after="120"/>
        <w:textAlignment w:val="baseline"/>
        <w:rPr>
          <w:rFonts w:ascii="Times New Roman" w:hAnsi="Times New Roman" w:cs="Times New Roman"/>
          <w:noProof/>
          <w:sz w:val="24"/>
          <w:szCs w:val="24"/>
          <w:lang w:eastAsia="en-GB"/>
        </w:rPr>
      </w:pPr>
      <w:r w:rsidRPr="00F521F8">
        <w:rPr>
          <w:rFonts w:ascii="Times New Roman" w:hAnsi="Times New Roman" w:cs="Times New Roman"/>
          <w:b/>
          <w:bCs/>
          <w:noProof/>
          <w:sz w:val="24"/>
          <w:szCs w:val="24"/>
          <w:lang w:val="en-US" w:eastAsia="en-GB"/>
        </w:rPr>
        <w:t>Projected synergies and added value of (re-)attribution:</w:t>
      </w:r>
      <w:r w:rsidRPr="00F521F8">
        <w:rPr>
          <w:rFonts w:ascii="Times New Roman" w:hAnsi="Times New Roman" w:cs="Times New Roman"/>
          <w:noProof/>
          <w:sz w:val="24"/>
          <w:szCs w:val="24"/>
          <w:lang w:eastAsia="en-GB"/>
        </w:rPr>
        <w:t> </w:t>
      </w:r>
    </w:p>
    <w:p w14:paraId="3FEBAAC4"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13AEFEEB">
        <w:rPr>
          <w:rFonts w:ascii="Times New Roman" w:hAnsi="Times New Roman" w:cs="Times New Roman"/>
          <w:noProof/>
          <w:sz w:val="24"/>
          <w:szCs w:val="24"/>
          <w:lang w:val="en-US" w:eastAsia="en-GB"/>
        </w:rPr>
        <w:t xml:space="preserve">Operating only one repository of reference values compared to several separate ones will save resources. The existing IT solution and contractual arrangement available in ECHA can be reused. </w:t>
      </w:r>
      <w:r w:rsidRPr="13AEFEEB">
        <w:rPr>
          <w:rFonts w:ascii="Times New Roman" w:hAnsi="Times New Roman" w:cs="Times New Roman"/>
          <w:noProof/>
          <w:sz w:val="24"/>
          <w:szCs w:val="24"/>
          <w:lang w:eastAsia="en-GB"/>
        </w:rPr>
        <w:t> </w:t>
      </w:r>
    </w:p>
    <w:p w14:paraId="4F02E96F" w14:textId="77777777" w:rsidR="000A7D9D" w:rsidRPr="00F521F8" w:rsidRDefault="000A7D9D" w:rsidP="000A7D9D">
      <w:pPr>
        <w:spacing w:after="120"/>
        <w:jc w:val="both"/>
        <w:textAlignment w:val="baseline"/>
        <w:rPr>
          <w:rFonts w:ascii="Times New Roman" w:hAnsi="Times New Roman" w:cs="Times New Roman"/>
          <w:noProof/>
          <w:sz w:val="24"/>
          <w:szCs w:val="24"/>
          <w:lang w:eastAsia="en-GB"/>
        </w:rPr>
      </w:pPr>
      <w:r w:rsidRPr="00F521F8">
        <w:rPr>
          <w:rFonts w:ascii="Times New Roman" w:hAnsi="Times New Roman" w:cs="Times New Roman"/>
          <w:b/>
          <w:bCs/>
          <w:noProof/>
          <w:sz w:val="24"/>
          <w:szCs w:val="24"/>
          <w:lang w:val="en-US" w:eastAsia="en-GB"/>
        </w:rPr>
        <w:t>Main risks and opportunities: </w:t>
      </w:r>
      <w:r w:rsidRPr="00F521F8">
        <w:rPr>
          <w:rFonts w:ascii="Times New Roman" w:hAnsi="Times New Roman" w:cs="Times New Roman"/>
          <w:noProof/>
          <w:sz w:val="24"/>
          <w:szCs w:val="24"/>
          <w:lang w:val="en-US" w:eastAsia="en-GB"/>
        </w:rPr>
        <w:t>There might be an overlap between reference values in the repository and in the EU pesticide database.</w:t>
      </w:r>
      <w:r w:rsidRPr="00F521F8">
        <w:rPr>
          <w:rFonts w:ascii="Times New Roman" w:hAnsi="Times New Roman" w:cs="Times New Roman"/>
          <w:noProof/>
          <w:sz w:val="24"/>
          <w:szCs w:val="24"/>
          <w:lang w:eastAsia="en-GB"/>
        </w:rPr>
        <w:t> </w:t>
      </w:r>
    </w:p>
    <w:p w14:paraId="3DC2250F" w14:textId="77777777" w:rsidR="000A7D9D" w:rsidRPr="00F521F8" w:rsidRDefault="000A7D9D" w:rsidP="000A7D9D">
      <w:pPr>
        <w:spacing w:after="120"/>
        <w:textAlignment w:val="baseline"/>
        <w:rPr>
          <w:rFonts w:ascii="Times New Roman" w:hAnsi="Times New Roman" w:cs="Times New Roman"/>
          <w:noProof/>
          <w:sz w:val="24"/>
          <w:szCs w:val="24"/>
          <w:lang w:eastAsia="en-GB"/>
        </w:rPr>
      </w:pPr>
      <w:r w:rsidRPr="13AEFEEB">
        <w:rPr>
          <w:rFonts w:ascii="Times New Roman" w:hAnsi="Times New Roman" w:cs="Times New Roman"/>
          <w:b/>
          <w:bCs/>
          <w:noProof/>
          <w:sz w:val="24"/>
          <w:szCs w:val="24"/>
          <w:lang w:val="en-US" w:eastAsia="en-GB"/>
        </w:rPr>
        <w:t>Projected impact on agencies</w:t>
      </w:r>
      <w:r w:rsidRPr="13AEFEEB">
        <w:rPr>
          <w:rFonts w:ascii="Times New Roman" w:hAnsi="Times New Roman" w:cs="Times New Roman"/>
          <w:noProof/>
          <w:sz w:val="24"/>
          <w:szCs w:val="24"/>
          <w:lang w:eastAsia="en-GB"/>
        </w:rPr>
        <w:t> </w:t>
      </w:r>
    </w:p>
    <w:p w14:paraId="5C149334" w14:textId="77777777" w:rsidR="000A7D9D" w:rsidRPr="00F521F8" w:rsidRDefault="000A7D9D" w:rsidP="000A7D9D">
      <w:pPr>
        <w:pStyle w:val="ListParagraph"/>
        <w:numPr>
          <w:ilvl w:val="0"/>
          <w:numId w:val="73"/>
        </w:numPr>
        <w:jc w:val="both"/>
        <w:textAlignment w:val="baseline"/>
        <w:rPr>
          <w:noProof/>
          <w:lang w:eastAsia="en-GB"/>
        </w:rPr>
      </w:pPr>
      <w:r w:rsidRPr="13AEFEEB">
        <w:rPr>
          <w:noProof/>
          <w:lang w:val="en-US" w:eastAsia="en-GB"/>
        </w:rPr>
        <w:t xml:space="preserve">ECHA/EMA/EFSA committees/bodies: </w:t>
      </w:r>
      <w:r w:rsidRPr="13AEFEEB">
        <w:rPr>
          <w:b/>
          <w:bCs/>
          <w:noProof/>
          <w:lang w:val="en-US" w:eastAsia="en-GB"/>
        </w:rPr>
        <w:t>low impact</w:t>
      </w:r>
      <w:r w:rsidRPr="13AEFEEB">
        <w:rPr>
          <w:noProof/>
          <w:lang w:val="en-US" w:eastAsia="en-GB"/>
        </w:rPr>
        <w:t xml:space="preserve">. The rapporteurs of opinions might be asked to extract the reference values and metadata for integration into the repository as part of the finalisation of the opinion. </w:t>
      </w:r>
      <w:r w:rsidRPr="13AEFEEB">
        <w:rPr>
          <w:noProof/>
          <w:lang w:eastAsia="en-GB"/>
        </w:rPr>
        <w:t> </w:t>
      </w:r>
    </w:p>
    <w:p w14:paraId="1C601B2B" w14:textId="77777777" w:rsidR="000A7D9D" w:rsidRPr="00F521F8" w:rsidRDefault="000A7D9D" w:rsidP="000A7D9D">
      <w:pPr>
        <w:pStyle w:val="ListParagraph"/>
        <w:numPr>
          <w:ilvl w:val="0"/>
          <w:numId w:val="72"/>
        </w:numPr>
        <w:jc w:val="both"/>
        <w:textAlignment w:val="baseline"/>
        <w:rPr>
          <w:noProof/>
          <w:lang w:val="en-US" w:eastAsia="en-GB"/>
        </w:rPr>
      </w:pPr>
      <w:r w:rsidRPr="13AEFEEB">
        <w:rPr>
          <w:noProof/>
          <w:lang w:val="en-US" w:eastAsia="en-GB"/>
        </w:rPr>
        <w:t xml:space="preserve">ECHA data model and IT infrastructure: </w:t>
      </w:r>
      <w:r w:rsidRPr="13AEFEEB">
        <w:rPr>
          <w:b/>
          <w:bCs/>
          <w:noProof/>
          <w:lang w:val="en-US" w:eastAsia="en-GB"/>
        </w:rPr>
        <w:t>medium impact</w:t>
      </w:r>
      <w:r w:rsidRPr="13AEFEEB">
        <w:rPr>
          <w:noProof/>
          <w:lang w:val="en-US" w:eastAsia="en-GB"/>
        </w:rPr>
        <w:t>. The task requires adaptation of the EUCLEF IT solution.  </w:t>
      </w:r>
    </w:p>
    <w:p w14:paraId="2DFEFBF7" w14:textId="77777777" w:rsidR="000A7D9D" w:rsidRPr="00F521F8" w:rsidRDefault="000A7D9D" w:rsidP="000A7D9D">
      <w:pPr>
        <w:pStyle w:val="ListParagraph"/>
        <w:numPr>
          <w:ilvl w:val="0"/>
          <w:numId w:val="71"/>
        </w:numPr>
        <w:spacing w:after="120"/>
        <w:jc w:val="both"/>
        <w:textAlignment w:val="baseline"/>
        <w:rPr>
          <w:noProof/>
          <w:lang w:val="en-US" w:eastAsia="en-GB"/>
        </w:rPr>
      </w:pPr>
      <w:r w:rsidRPr="13AEFEEB">
        <w:rPr>
          <w:noProof/>
          <w:lang w:val="en-US" w:eastAsia="en-GB"/>
        </w:rPr>
        <w:t xml:space="preserve">EMA/EFSA data model and IT infrastructure: </w:t>
      </w:r>
      <w:r w:rsidRPr="13AEFEEB">
        <w:rPr>
          <w:b/>
          <w:bCs/>
          <w:noProof/>
          <w:lang w:val="en-US" w:eastAsia="en-GB"/>
        </w:rPr>
        <w:t>low impact</w:t>
      </w:r>
      <w:r w:rsidRPr="13AEFEEB">
        <w:rPr>
          <w:noProof/>
          <w:lang w:val="en-US" w:eastAsia="en-GB"/>
        </w:rPr>
        <w:t>. EMA and EFSA would use the data model set by the repository. They would be reusing the IT solution provided by ECHA.  </w:t>
      </w:r>
      <w:r w:rsidRPr="00F521F8">
        <w:rPr>
          <w:noProof/>
          <w:lang w:val="en-US" w:eastAsia="en-GB"/>
        </w:rPr>
        <w:t>ECHA/EMA/EFSA key experts:</w:t>
      </w:r>
      <w:r w:rsidRPr="00F521F8">
        <w:rPr>
          <w:b/>
          <w:bCs/>
          <w:noProof/>
          <w:lang w:val="en-US" w:eastAsia="en-GB"/>
        </w:rPr>
        <w:t xml:space="preserve"> low impact</w:t>
      </w:r>
      <w:r w:rsidRPr="00F521F8">
        <w:rPr>
          <w:noProof/>
          <w:lang w:val="en-US" w:eastAsia="en-GB"/>
        </w:rPr>
        <w:t>. Experts are needed to extract relevant information from the opinion into the repository.</w:t>
      </w:r>
      <w:r w:rsidRPr="00F521F8">
        <w:rPr>
          <w:i/>
          <w:iCs/>
          <w:noProof/>
          <w:lang w:val="en-US" w:eastAsia="en-GB"/>
        </w:rPr>
        <w:t xml:space="preserve"> </w:t>
      </w:r>
      <w:r w:rsidRPr="00F521F8">
        <w:rPr>
          <w:noProof/>
          <w:lang w:val="en-US" w:eastAsia="en-GB"/>
        </w:rPr>
        <w:t> </w:t>
      </w:r>
    </w:p>
    <w:p w14:paraId="2A15072D" w14:textId="77777777" w:rsidR="000A7D9D" w:rsidRPr="00F521F8" w:rsidRDefault="000A7D9D" w:rsidP="000A7D9D">
      <w:pPr>
        <w:spacing w:after="120"/>
        <w:textAlignment w:val="baseline"/>
        <w:rPr>
          <w:rFonts w:ascii="Times New Roman" w:hAnsi="Times New Roman" w:cs="Times New Roman"/>
          <w:noProof/>
          <w:sz w:val="24"/>
          <w:szCs w:val="24"/>
          <w:lang w:eastAsia="en-GB"/>
        </w:rPr>
      </w:pPr>
      <w:r w:rsidRPr="00F521F8">
        <w:rPr>
          <w:rFonts w:ascii="Times New Roman" w:hAnsi="Times New Roman" w:cs="Times New Roman"/>
          <w:b/>
          <w:bCs/>
          <w:noProof/>
          <w:sz w:val="24"/>
          <w:szCs w:val="24"/>
          <w:lang w:val="en-US" w:eastAsia="en-GB"/>
        </w:rPr>
        <w:t>Projected workload and resource implications:</w:t>
      </w:r>
      <w:r w:rsidRPr="00F521F8">
        <w:rPr>
          <w:rFonts w:ascii="Times New Roman" w:hAnsi="Times New Roman" w:cs="Times New Roman"/>
          <w:noProof/>
          <w:sz w:val="24"/>
          <w:szCs w:val="24"/>
          <w:lang w:eastAsia="en-GB"/>
        </w:rPr>
        <w:t> </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810"/>
        <w:gridCol w:w="5370"/>
      </w:tblGrid>
      <w:tr w:rsidR="000A7D9D" w:rsidRPr="00357FFD" w14:paraId="2195BD54"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C11807" w14:textId="77777777" w:rsidR="000A7D9D" w:rsidRPr="00F521F8" w:rsidRDefault="000A7D9D" w:rsidP="00F31937">
            <w:pPr>
              <w:textAlignment w:val="baseline"/>
              <w:rPr>
                <w:rFonts w:ascii="Times New Roman" w:hAnsi="Times New Roman" w:cs="Times New Roman"/>
                <w:noProof/>
                <w:sz w:val="20"/>
                <w:szCs w:val="20"/>
                <w:lang w:eastAsia="en-GB"/>
              </w:rPr>
            </w:pPr>
            <w:r w:rsidRPr="00F521F8">
              <w:rPr>
                <w:rFonts w:ascii="Times New Roman" w:hAnsi="Times New Roman" w:cs="Times New Roman"/>
                <w:b/>
                <w:bCs/>
                <w:noProof/>
                <w:sz w:val="20"/>
                <w:szCs w:val="20"/>
                <w:lang w:val="en-US" w:eastAsia="en-GB"/>
              </w:rPr>
              <w:t>Work description </w:t>
            </w:r>
            <w:r w:rsidRPr="00F521F8">
              <w:rPr>
                <w:rFonts w:ascii="Times New Roman" w:hAnsi="Times New Roman" w:cs="Times New Roman"/>
                <w:noProof/>
                <w:sz w:val="20"/>
                <w:szCs w:val="20"/>
                <w:lang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C36D62" w14:textId="77777777" w:rsidR="000A7D9D" w:rsidRPr="00F521F8" w:rsidRDefault="000A7D9D" w:rsidP="00F31937">
            <w:pPr>
              <w:textAlignment w:val="baseline"/>
              <w:rPr>
                <w:rFonts w:ascii="Times New Roman" w:hAnsi="Times New Roman" w:cs="Times New Roman"/>
                <w:noProof/>
                <w:sz w:val="20"/>
                <w:szCs w:val="20"/>
                <w:lang w:eastAsia="en-GB"/>
              </w:rPr>
            </w:pPr>
            <w:r w:rsidRPr="00F521F8">
              <w:rPr>
                <w:rFonts w:ascii="Times New Roman" w:hAnsi="Times New Roman" w:cs="Times New Roman"/>
                <w:b/>
                <w:bCs/>
                <w:noProof/>
                <w:sz w:val="20"/>
                <w:szCs w:val="20"/>
                <w:lang w:val="en-US" w:eastAsia="en-GB"/>
              </w:rPr>
              <w:t>Who </w:t>
            </w:r>
            <w:r w:rsidRPr="00F521F8">
              <w:rPr>
                <w:rFonts w:ascii="Times New Roman" w:hAnsi="Times New Roman" w:cs="Times New Roman"/>
                <w:noProof/>
                <w:sz w:val="20"/>
                <w:szCs w:val="20"/>
                <w:lang w:eastAsia="en-GB"/>
              </w:rPr>
              <w:t>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47FBDA" w14:textId="77777777" w:rsidR="000A7D9D" w:rsidRPr="00F521F8" w:rsidRDefault="000A7D9D" w:rsidP="00F31937">
            <w:pPr>
              <w:textAlignment w:val="baseline"/>
              <w:rPr>
                <w:rFonts w:ascii="Times New Roman" w:hAnsi="Times New Roman" w:cs="Times New Roman"/>
                <w:noProof/>
                <w:sz w:val="20"/>
                <w:szCs w:val="20"/>
                <w:lang w:eastAsia="en-GB"/>
              </w:rPr>
            </w:pPr>
            <w:r w:rsidRPr="00F521F8">
              <w:rPr>
                <w:rFonts w:ascii="Times New Roman" w:hAnsi="Times New Roman" w:cs="Times New Roman"/>
                <w:b/>
                <w:bCs/>
                <w:noProof/>
                <w:sz w:val="20"/>
                <w:szCs w:val="20"/>
                <w:lang w:val="en-US" w:eastAsia="en-GB"/>
              </w:rPr>
              <w:t>Resource needs estimate</w:t>
            </w:r>
            <w:r w:rsidRPr="00F521F8">
              <w:rPr>
                <w:rFonts w:ascii="Times New Roman" w:hAnsi="Times New Roman" w:cs="Times New Roman"/>
                <w:noProof/>
                <w:sz w:val="20"/>
                <w:szCs w:val="20"/>
                <w:lang w:eastAsia="en-GB"/>
              </w:rPr>
              <w:t> </w:t>
            </w:r>
          </w:p>
        </w:tc>
      </w:tr>
      <w:tr w:rsidR="000A7D9D" w:rsidRPr="00357FFD" w14:paraId="5A843ACD"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8CFEE9"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b/>
                <w:bCs/>
                <w:noProof/>
                <w:sz w:val="20"/>
                <w:szCs w:val="20"/>
                <w:lang w:val="en-US" w:eastAsia="en-GB"/>
              </w:rPr>
              <w:t xml:space="preserve">Setting up the repository on the basis of EUCLEF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1BD762"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22A0EB"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 </w:t>
            </w:r>
          </w:p>
        </w:tc>
      </w:tr>
      <w:tr w:rsidR="000A7D9D" w:rsidRPr="00357FFD" w14:paraId="4B7E3AC4"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D0A5BD"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 xml:space="preserve">Designing and developing the repository as expansion of EUCLEF and as part of the common data platform </w:t>
            </w:r>
            <w:r w:rsidRPr="00F521F8">
              <w:rPr>
                <w:rFonts w:ascii="Times New Roman" w:hAnsi="Times New Roman" w:cs="Times New Roman"/>
                <w:noProof/>
                <w:sz w:val="20"/>
                <w:szCs w:val="20"/>
                <w:lang w:val="en-US" w:eastAsia="en-GB"/>
              </w:rPr>
              <w:t> </w:t>
            </w:r>
          </w:p>
          <w:p w14:paraId="68730046"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Coordination of and consultation with other agencies contributing to the repository (as part of the common data platform) during development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DE7B9C" w14:textId="77777777" w:rsidR="000A7D9D" w:rsidRPr="00F521F8" w:rsidRDefault="000A7D9D" w:rsidP="00F31937">
            <w:pPr>
              <w:textAlignment w:val="baseline"/>
              <w:rPr>
                <w:rFonts w:ascii="Times New Roman" w:hAnsi="Times New Roman" w:cs="Times New Roman"/>
                <w:noProof/>
                <w:sz w:val="20"/>
                <w:szCs w:val="20"/>
                <w:lang w:eastAsia="en-GB"/>
              </w:rPr>
            </w:pPr>
            <w:r w:rsidRPr="00F521F8">
              <w:rPr>
                <w:rFonts w:ascii="Times New Roman" w:hAnsi="Times New Roman" w:cs="Times New Roman"/>
                <w:noProof/>
                <w:sz w:val="20"/>
                <w:szCs w:val="20"/>
                <w:lang w:val="en-US" w:eastAsia="en-GB"/>
              </w:rPr>
              <w:t>ECHA</w:t>
            </w:r>
            <w:r w:rsidRPr="00F521F8">
              <w:rPr>
                <w:rFonts w:ascii="Times New Roman" w:hAnsi="Times New Roman" w:cs="Times New Roman"/>
                <w:noProof/>
                <w:sz w:val="20"/>
                <w:szCs w:val="20"/>
                <w:lang w:eastAsia="en-GB"/>
              </w:rPr>
              <w:t>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38E504" w14:textId="77777777" w:rsidR="000A7D9D" w:rsidRPr="00F521F8" w:rsidRDefault="000A7D9D" w:rsidP="00F31937">
            <w:pPr>
              <w:spacing w:after="0"/>
              <w:textAlignment w:val="baseline"/>
              <w:rPr>
                <w:rFonts w:ascii="Times New Roman" w:hAnsi="Times New Roman" w:cs="Times New Roman"/>
                <w:noProof/>
                <w:sz w:val="20"/>
                <w:szCs w:val="20"/>
                <w:lang w:eastAsia="en-GB"/>
              </w:rPr>
            </w:pPr>
            <w:r w:rsidRPr="13AEFEEB">
              <w:rPr>
                <w:rFonts w:ascii="Times New Roman" w:hAnsi="Times New Roman" w:cs="Times New Roman"/>
                <w:noProof/>
                <w:sz w:val="20"/>
                <w:szCs w:val="20"/>
                <w:lang w:val="en-US" w:eastAsia="en-GB"/>
              </w:rPr>
              <w:t xml:space="preserve">Development by </w:t>
            </w:r>
            <w:r w:rsidRPr="00CD02DF">
              <w:rPr>
                <w:rFonts w:ascii="Times New Roman" w:hAnsi="Times New Roman" w:cs="Times New Roman"/>
                <w:noProof/>
                <w:sz w:val="20"/>
                <w:szCs w:val="20"/>
                <w:lang w:val="en-US" w:eastAsia="en-GB"/>
              </w:rPr>
              <w:t>2028; development</w:t>
            </w:r>
            <w:r w:rsidRPr="13AEFEEB">
              <w:rPr>
                <w:rFonts w:ascii="Times New Roman" w:hAnsi="Times New Roman" w:cs="Times New Roman"/>
                <w:noProof/>
                <w:sz w:val="20"/>
                <w:szCs w:val="20"/>
                <w:lang w:val="en-US" w:eastAsia="en-GB"/>
              </w:rPr>
              <w:t xml:space="preserve"> duration </w:t>
            </w:r>
            <w:r>
              <w:rPr>
                <w:rFonts w:ascii="Times New Roman" w:hAnsi="Times New Roman" w:cs="Times New Roman"/>
                <w:noProof/>
                <w:sz w:val="20"/>
                <w:szCs w:val="20"/>
                <w:lang w:val="en-US" w:eastAsia="en-GB"/>
              </w:rPr>
              <w:t>3</w:t>
            </w:r>
            <w:r w:rsidRPr="13AEFEEB">
              <w:rPr>
                <w:rFonts w:ascii="Times New Roman" w:hAnsi="Times New Roman" w:cs="Times New Roman"/>
                <w:noProof/>
                <w:sz w:val="20"/>
                <w:szCs w:val="20"/>
                <w:lang w:val="en-US" w:eastAsia="en-GB"/>
              </w:rPr>
              <w:t xml:space="preserve"> years (years </w:t>
            </w:r>
            <w:r>
              <w:rPr>
                <w:rFonts w:ascii="Times New Roman" w:hAnsi="Times New Roman" w:cs="Times New Roman"/>
                <w:noProof/>
                <w:sz w:val="20"/>
                <w:szCs w:val="20"/>
                <w:lang w:val="en-US" w:eastAsia="en-GB"/>
              </w:rPr>
              <w:t xml:space="preserve">2025, </w:t>
            </w:r>
            <w:r w:rsidRPr="13AEFEEB">
              <w:rPr>
                <w:rFonts w:ascii="Times New Roman" w:hAnsi="Times New Roman" w:cs="Times New Roman"/>
                <w:noProof/>
                <w:sz w:val="20"/>
                <w:szCs w:val="20"/>
                <w:lang w:val="en-US" w:eastAsia="en-GB"/>
              </w:rPr>
              <w:t>202</w:t>
            </w:r>
            <w:r>
              <w:rPr>
                <w:rFonts w:ascii="Times New Roman" w:hAnsi="Times New Roman" w:cs="Times New Roman"/>
                <w:noProof/>
                <w:sz w:val="20"/>
                <w:szCs w:val="20"/>
                <w:lang w:val="en-US" w:eastAsia="en-GB"/>
              </w:rPr>
              <w:t>6</w:t>
            </w:r>
            <w:r w:rsidRPr="13AEFEEB">
              <w:rPr>
                <w:rFonts w:ascii="Times New Roman" w:hAnsi="Times New Roman" w:cs="Times New Roman"/>
                <w:noProof/>
                <w:sz w:val="20"/>
                <w:szCs w:val="20"/>
                <w:lang w:val="en-US" w:eastAsia="en-GB"/>
              </w:rPr>
              <w:t>, 202</w:t>
            </w:r>
            <w:r>
              <w:rPr>
                <w:rFonts w:ascii="Times New Roman" w:hAnsi="Times New Roman" w:cs="Times New Roman"/>
                <w:noProof/>
                <w:sz w:val="20"/>
                <w:szCs w:val="20"/>
                <w:lang w:val="en-US" w:eastAsia="en-GB"/>
              </w:rPr>
              <w:t>7</w:t>
            </w:r>
            <w:r w:rsidRPr="13AEFEEB">
              <w:rPr>
                <w:rFonts w:ascii="Times New Roman" w:hAnsi="Times New Roman" w:cs="Times New Roman"/>
                <w:noProof/>
                <w:sz w:val="20"/>
                <w:szCs w:val="20"/>
                <w:lang w:val="en-US" w:eastAsia="en-GB"/>
              </w:rPr>
              <w:t>)</w:t>
            </w:r>
            <w:r w:rsidRPr="13AEFEEB">
              <w:rPr>
                <w:rFonts w:ascii="Times New Roman" w:hAnsi="Times New Roman" w:cs="Times New Roman"/>
                <w:noProof/>
                <w:sz w:val="20"/>
                <w:szCs w:val="20"/>
                <w:lang w:eastAsia="en-GB"/>
              </w:rPr>
              <w:t> </w:t>
            </w:r>
          </w:p>
          <w:p w14:paraId="19B6A006" w14:textId="77777777" w:rsidR="000A7D9D" w:rsidRPr="00F521F8" w:rsidRDefault="000A7D9D" w:rsidP="00F31937">
            <w:pPr>
              <w:spacing w:after="0"/>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One-off costs for contracting the development (to supplement IT costs of EUCLEF):  </w:t>
            </w:r>
          </w:p>
          <w:p w14:paraId="0E25CA4B" w14:textId="77777777" w:rsidR="000A7D9D" w:rsidRDefault="000A7D9D" w:rsidP="000A7D9D">
            <w:pPr>
              <w:pStyle w:val="ListParagraph"/>
              <w:numPr>
                <w:ilvl w:val="0"/>
                <w:numId w:val="71"/>
              </w:numPr>
              <w:textAlignment w:val="baseline"/>
              <w:rPr>
                <w:noProof/>
                <w:sz w:val="20"/>
                <w:szCs w:val="20"/>
                <w:lang w:val="en-US" w:eastAsia="en-GB"/>
              </w:rPr>
            </w:pPr>
            <w:r>
              <w:rPr>
                <w:noProof/>
                <w:sz w:val="20"/>
                <w:szCs w:val="20"/>
                <w:lang w:val="en-US" w:eastAsia="en-GB"/>
              </w:rPr>
              <w:t>2025: EUR 0</w:t>
            </w:r>
          </w:p>
          <w:p w14:paraId="5ACE56FE" w14:textId="77777777" w:rsidR="000A7D9D" w:rsidRPr="00CD02DF" w:rsidRDefault="000A7D9D" w:rsidP="000A7D9D">
            <w:pPr>
              <w:pStyle w:val="ListParagraph"/>
              <w:numPr>
                <w:ilvl w:val="0"/>
                <w:numId w:val="71"/>
              </w:numPr>
              <w:textAlignment w:val="baseline"/>
              <w:rPr>
                <w:noProof/>
                <w:sz w:val="20"/>
                <w:szCs w:val="20"/>
                <w:lang w:val="en-US" w:eastAsia="en-GB"/>
              </w:rPr>
            </w:pPr>
            <w:r w:rsidRPr="00CD02DF">
              <w:rPr>
                <w:noProof/>
                <w:sz w:val="20"/>
                <w:szCs w:val="20"/>
                <w:lang w:val="en-US" w:eastAsia="en-GB"/>
              </w:rPr>
              <w:t xml:space="preserve">2026: EUR </w:t>
            </w:r>
            <w:r>
              <w:rPr>
                <w:noProof/>
                <w:sz w:val="20"/>
                <w:szCs w:val="20"/>
                <w:lang w:val="en-US" w:eastAsia="en-GB"/>
              </w:rPr>
              <w:t>5</w:t>
            </w:r>
            <w:r w:rsidRPr="00CD02DF">
              <w:rPr>
                <w:noProof/>
                <w:sz w:val="20"/>
                <w:szCs w:val="20"/>
                <w:lang w:val="en-US" w:eastAsia="en-GB"/>
              </w:rPr>
              <w:t>50 000 </w:t>
            </w:r>
          </w:p>
          <w:p w14:paraId="38EC2D82" w14:textId="77777777" w:rsidR="000A7D9D" w:rsidRPr="00CD02DF" w:rsidRDefault="000A7D9D" w:rsidP="000A7D9D">
            <w:pPr>
              <w:pStyle w:val="ListParagraph"/>
              <w:numPr>
                <w:ilvl w:val="0"/>
                <w:numId w:val="71"/>
              </w:numPr>
              <w:spacing w:after="120"/>
              <w:ind w:left="714" w:hanging="357"/>
              <w:contextualSpacing w:val="0"/>
              <w:textAlignment w:val="baseline"/>
              <w:rPr>
                <w:noProof/>
                <w:sz w:val="20"/>
                <w:szCs w:val="20"/>
                <w:lang w:val="en-US" w:eastAsia="en-GB"/>
              </w:rPr>
            </w:pPr>
            <w:r w:rsidRPr="00CD02DF">
              <w:rPr>
                <w:noProof/>
                <w:sz w:val="20"/>
                <w:szCs w:val="20"/>
                <w:lang w:val="en-US" w:eastAsia="en-GB"/>
              </w:rPr>
              <w:t xml:space="preserve">2027: EUR </w:t>
            </w:r>
            <w:r>
              <w:rPr>
                <w:noProof/>
                <w:sz w:val="20"/>
                <w:szCs w:val="20"/>
                <w:lang w:val="en-US" w:eastAsia="en-GB"/>
              </w:rPr>
              <w:t>5</w:t>
            </w:r>
            <w:r w:rsidRPr="00CD02DF">
              <w:rPr>
                <w:noProof/>
                <w:sz w:val="20"/>
                <w:szCs w:val="20"/>
                <w:lang w:val="en-US" w:eastAsia="en-GB"/>
              </w:rPr>
              <w:t>50 000 </w:t>
            </w:r>
          </w:p>
          <w:p w14:paraId="579AA8E5" w14:textId="77777777" w:rsidR="000A7D9D" w:rsidRPr="00F521F8" w:rsidRDefault="000A7D9D" w:rsidP="00F31937">
            <w:pPr>
              <w:textAlignment w:val="baseline"/>
              <w:rPr>
                <w:rFonts w:ascii="Times New Roman" w:hAnsi="Times New Roman" w:cs="Times New Roman"/>
                <w:noProof/>
                <w:sz w:val="20"/>
                <w:szCs w:val="20"/>
                <w:lang w:eastAsia="en-GB"/>
              </w:rPr>
            </w:pPr>
            <w:r w:rsidRPr="13AEFEEB">
              <w:rPr>
                <w:rFonts w:ascii="Times New Roman" w:hAnsi="Times New Roman" w:cs="Times New Roman"/>
                <w:noProof/>
                <w:sz w:val="20"/>
                <w:szCs w:val="20"/>
                <w:lang w:val="en-US" w:eastAsia="en-GB"/>
              </w:rPr>
              <w:t xml:space="preserve">The IT development can be subcontracted but it will need to be overseen/supervised by ECHA staff. The development is to be coordinated with other agencies. </w:t>
            </w:r>
            <w:r w:rsidRPr="13AEFEEB">
              <w:rPr>
                <w:rFonts w:ascii="Times New Roman" w:hAnsi="Times New Roman" w:cs="Times New Roman"/>
                <w:noProof/>
                <w:sz w:val="20"/>
                <w:szCs w:val="20"/>
                <w:lang w:eastAsia="en-GB"/>
              </w:rPr>
              <w:t> </w:t>
            </w:r>
          </w:p>
          <w:p w14:paraId="634E3CC5" w14:textId="77777777" w:rsidR="000A7D9D" w:rsidRPr="00CB7569"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Estimated coordination for the development phase</w:t>
            </w:r>
            <w:r>
              <w:rPr>
                <w:rFonts w:ascii="Times New Roman" w:hAnsi="Times New Roman" w:cs="Times New Roman"/>
                <w:noProof/>
                <w:sz w:val="20"/>
                <w:szCs w:val="20"/>
                <w:lang w:val="en-US" w:eastAsia="en-GB"/>
              </w:rPr>
              <w:t xml:space="preserve"> (2025-2027)</w:t>
            </w:r>
            <w:r w:rsidRPr="00F521F8">
              <w:rPr>
                <w:rFonts w:ascii="Times New Roman" w:hAnsi="Times New Roman" w:cs="Times New Roman"/>
                <w:noProof/>
                <w:sz w:val="20"/>
                <w:szCs w:val="20"/>
                <w:lang w:val="en-US" w:eastAsia="en-GB"/>
              </w:rPr>
              <w:t>:</w:t>
            </w:r>
            <w:r>
              <w:rPr>
                <w:rFonts w:ascii="Times New Roman" w:hAnsi="Times New Roman" w:cs="Times New Roman"/>
                <w:noProof/>
                <w:sz w:val="20"/>
                <w:szCs w:val="20"/>
                <w:lang w:val="en-US" w:eastAsia="en-GB"/>
              </w:rPr>
              <w:t xml:space="preserve"> 1 FTE</w:t>
            </w:r>
            <w:r w:rsidRPr="00F521F8">
              <w:rPr>
                <w:rFonts w:ascii="Times New Roman" w:hAnsi="Times New Roman" w:cs="Times New Roman"/>
                <w:noProof/>
                <w:sz w:val="20"/>
                <w:szCs w:val="20"/>
                <w:lang w:val="en-US" w:eastAsia="en-GB"/>
              </w:rPr>
              <w:t xml:space="preserve"> </w:t>
            </w:r>
            <w:r>
              <w:rPr>
                <w:rFonts w:ascii="Times New Roman" w:hAnsi="Times New Roman" w:cs="Times New Roman"/>
                <w:noProof/>
                <w:sz w:val="20"/>
                <w:szCs w:val="20"/>
                <w:lang w:val="en-US" w:eastAsia="en-GB"/>
              </w:rPr>
              <w:t>per year</w:t>
            </w:r>
          </w:p>
        </w:tc>
      </w:tr>
      <w:tr w:rsidR="000A7D9D" w:rsidRPr="00357FFD" w14:paraId="076606A5"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A14BF1" w14:textId="77777777" w:rsidR="000A7D9D" w:rsidRPr="00F521F8" w:rsidRDefault="000A7D9D" w:rsidP="00F31937">
            <w:pPr>
              <w:textAlignment w:val="baseline"/>
              <w:rPr>
                <w:rFonts w:ascii="Times New Roman" w:hAnsi="Times New Roman" w:cs="Times New Roman"/>
                <w:noProof/>
                <w:sz w:val="20"/>
                <w:szCs w:val="20"/>
                <w:lang w:eastAsia="en-GB"/>
              </w:rPr>
            </w:pPr>
            <w:r w:rsidRPr="00F521F8">
              <w:rPr>
                <w:rFonts w:ascii="Times New Roman" w:hAnsi="Times New Roman" w:cs="Times New Roman"/>
                <w:noProof/>
                <w:sz w:val="20"/>
                <w:szCs w:val="20"/>
                <w:lang w:val="en-US" w:eastAsia="en-GB"/>
              </w:rPr>
              <w:t xml:space="preserve">Contribution to the development phase  </w:t>
            </w:r>
            <w:r w:rsidRPr="00F521F8">
              <w:rPr>
                <w:rFonts w:ascii="Times New Roman" w:hAnsi="Times New Roman" w:cs="Times New Roman"/>
                <w:noProof/>
                <w:sz w:val="20"/>
                <w:szCs w:val="20"/>
                <w:lang w:eastAsia="en-GB"/>
              </w:rPr>
              <w:t> </w:t>
            </w:r>
          </w:p>
          <w:p w14:paraId="7AEB351D"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618E33" w14:textId="77777777" w:rsidR="000A7D9D" w:rsidRPr="00CD02DF" w:rsidRDefault="000A7D9D" w:rsidP="00F31937">
            <w:pPr>
              <w:spacing w:after="0"/>
              <w:textAlignment w:val="baseline"/>
              <w:rPr>
                <w:rFonts w:ascii="Times New Roman" w:hAnsi="Times New Roman" w:cs="Times New Roman"/>
                <w:noProof/>
                <w:sz w:val="20"/>
                <w:szCs w:val="20"/>
                <w:lang w:val="fr-BE" w:eastAsia="en-GB"/>
              </w:rPr>
            </w:pPr>
            <w:r w:rsidRPr="00CD02DF">
              <w:rPr>
                <w:rFonts w:ascii="Times New Roman" w:hAnsi="Times New Roman" w:cs="Times New Roman"/>
                <w:noProof/>
                <w:sz w:val="20"/>
                <w:szCs w:val="20"/>
                <w:lang w:val="fr-BE" w:eastAsia="en-GB"/>
              </w:rPr>
              <w:t>EMA, EFSA,</w:t>
            </w:r>
          </w:p>
          <w:p w14:paraId="35990D53" w14:textId="77777777" w:rsidR="000A7D9D" w:rsidRPr="00CD02DF" w:rsidRDefault="000A7D9D" w:rsidP="00F31937">
            <w:pPr>
              <w:spacing w:after="0"/>
              <w:textAlignment w:val="baseline"/>
              <w:rPr>
                <w:rFonts w:ascii="Times New Roman" w:hAnsi="Times New Roman" w:cs="Times New Roman"/>
                <w:noProof/>
                <w:sz w:val="20"/>
                <w:szCs w:val="20"/>
                <w:lang w:val="fr-BE" w:eastAsia="en-GB"/>
              </w:rPr>
            </w:pPr>
            <w:r w:rsidRPr="00CD02DF">
              <w:rPr>
                <w:rFonts w:ascii="Times New Roman" w:hAnsi="Times New Roman" w:cs="Times New Roman"/>
                <w:noProof/>
                <w:sz w:val="20"/>
                <w:szCs w:val="20"/>
                <w:lang w:val="fr-BE" w:eastAsia="en-GB"/>
              </w:rPr>
              <w:t>EEA</w:t>
            </w:r>
            <w:r>
              <w:rPr>
                <w:rFonts w:ascii="Times New Roman" w:hAnsi="Times New Roman" w:cs="Times New Roman"/>
                <w:noProof/>
                <w:sz w:val="20"/>
                <w:szCs w:val="20"/>
                <w:lang w:val="fr-BE" w:eastAsia="en-GB"/>
              </w:rPr>
              <w:t>,</w:t>
            </w:r>
            <w:r w:rsidRPr="00CD02DF">
              <w:rPr>
                <w:rFonts w:ascii="Times New Roman" w:hAnsi="Times New Roman" w:cs="Times New Roman"/>
                <w:noProof/>
                <w:sz w:val="20"/>
                <w:szCs w:val="20"/>
                <w:lang w:val="fr-BE" w:eastAsia="en-GB"/>
              </w:rPr>
              <w:t> </w:t>
            </w:r>
          </w:p>
          <w:p w14:paraId="4BA0F7FA" w14:textId="77777777" w:rsidR="000A7D9D" w:rsidRPr="00CD02DF" w:rsidRDefault="000A7D9D" w:rsidP="00F31937">
            <w:pPr>
              <w:spacing w:after="0"/>
              <w:textAlignment w:val="baseline"/>
              <w:rPr>
                <w:rFonts w:ascii="Times New Roman" w:hAnsi="Times New Roman" w:cs="Times New Roman"/>
                <w:noProof/>
                <w:sz w:val="20"/>
                <w:szCs w:val="20"/>
                <w:lang w:val="fr-BE" w:eastAsia="en-GB"/>
              </w:rPr>
            </w:pPr>
            <w:r w:rsidRPr="00CD02DF">
              <w:rPr>
                <w:rFonts w:ascii="Times New Roman" w:hAnsi="Times New Roman" w:cs="Times New Roman"/>
                <w:noProof/>
                <w:sz w:val="20"/>
                <w:szCs w:val="20"/>
                <w:lang w:val="fr-BE" w:eastAsia="en-GB"/>
              </w:rPr>
              <w:t>EU-OSHA</w:t>
            </w:r>
          </w:p>
          <w:p w14:paraId="79560EF4" w14:textId="77777777" w:rsidR="000A7D9D" w:rsidRPr="00CD02DF" w:rsidRDefault="000A7D9D" w:rsidP="00F31937">
            <w:pPr>
              <w:spacing w:after="0"/>
              <w:textAlignment w:val="baseline"/>
              <w:rPr>
                <w:rFonts w:ascii="Times New Roman" w:hAnsi="Times New Roman" w:cs="Times New Roman"/>
                <w:noProof/>
                <w:sz w:val="20"/>
                <w:szCs w:val="20"/>
                <w:lang w:val="fr-BE" w:eastAsia="en-GB"/>
              </w:rPr>
            </w:pPr>
            <w:r w:rsidRPr="00CD02DF">
              <w:rPr>
                <w:rFonts w:ascii="Times New Roman" w:hAnsi="Times New Roman" w:cs="Times New Roman"/>
                <w:noProof/>
                <w:sz w:val="20"/>
                <w:szCs w:val="20"/>
                <w:lang w:val="fr-BE" w:eastAsia="en-GB"/>
              </w:rPr>
              <w:t>COM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889E60" w14:textId="77777777" w:rsidR="000A7D9D" w:rsidRPr="00CD02DF" w:rsidRDefault="000A7D9D" w:rsidP="00F31937">
            <w:pPr>
              <w:textAlignment w:val="baseline"/>
              <w:rPr>
                <w:rFonts w:ascii="Times New Roman" w:hAnsi="Times New Roman" w:cs="Times New Roman"/>
                <w:noProof/>
                <w:sz w:val="20"/>
                <w:szCs w:val="20"/>
                <w:lang w:val="fr-BE" w:eastAsia="en-GB"/>
              </w:rPr>
            </w:pPr>
            <w:r w:rsidRPr="00CD02DF">
              <w:rPr>
                <w:rFonts w:ascii="Times New Roman" w:hAnsi="Times New Roman" w:cs="Times New Roman"/>
                <w:noProof/>
                <w:sz w:val="20"/>
                <w:szCs w:val="20"/>
                <w:lang w:val="fr-BE" w:eastAsia="en-GB"/>
              </w:rPr>
              <w:t> </w:t>
            </w:r>
          </w:p>
          <w:p w14:paraId="1530ACE8"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negligible; should be absorbed by the agencies </w:t>
            </w:r>
          </w:p>
        </w:tc>
      </w:tr>
      <w:tr w:rsidR="000A7D9D" w:rsidRPr="00357FFD" w14:paraId="3F3A3EF0"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198A8E"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b/>
                <w:bCs/>
                <w:noProof/>
                <w:sz w:val="20"/>
                <w:szCs w:val="20"/>
                <w:lang w:val="en-US" w:eastAsia="en-GB"/>
              </w:rPr>
              <w:t>Operating the repository as part of EUCLEF</w:t>
            </w:r>
            <w:r w:rsidRPr="00F521F8">
              <w:rPr>
                <w:rFonts w:ascii="Times New Roman" w:hAnsi="Times New Roman" w:cs="Times New Roman"/>
                <w:noProof/>
                <w:sz w:val="20"/>
                <w:szCs w:val="20"/>
                <w:lang w:val="en-US"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E566A5"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9F818F"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 </w:t>
            </w:r>
          </w:p>
        </w:tc>
      </w:tr>
      <w:tr w:rsidR="000A7D9D" w:rsidRPr="00357FFD" w14:paraId="1B1F3965"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8D5DEC" w14:textId="77777777" w:rsidR="000A7D9D" w:rsidRPr="00F521F8" w:rsidRDefault="000A7D9D" w:rsidP="00F31937">
            <w:pPr>
              <w:textAlignment w:val="baseline"/>
              <w:rPr>
                <w:rFonts w:ascii="Times New Roman" w:hAnsi="Times New Roman" w:cs="Times New Roman"/>
                <w:noProof/>
                <w:sz w:val="20"/>
                <w:szCs w:val="20"/>
                <w:lang w:eastAsia="en-GB"/>
              </w:rPr>
            </w:pPr>
            <w:r w:rsidRPr="00F521F8">
              <w:rPr>
                <w:rFonts w:ascii="Times New Roman" w:hAnsi="Times New Roman" w:cs="Times New Roman"/>
                <w:noProof/>
                <w:sz w:val="20"/>
                <w:szCs w:val="20"/>
                <w:lang w:val="en-US" w:eastAsia="en-GB"/>
              </w:rPr>
              <w:t>Operation/hosting, maintenance and update of the repository as part of  EUCLEF and as part of the common data platform </w:t>
            </w:r>
            <w:r w:rsidRPr="00F521F8">
              <w:rPr>
                <w:rFonts w:ascii="Times New Roman" w:hAnsi="Times New Roman" w:cs="Times New Roman"/>
                <w:noProof/>
                <w:sz w:val="20"/>
                <w:szCs w:val="20"/>
                <w:lang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58ED52" w14:textId="77777777" w:rsidR="000A7D9D" w:rsidRPr="00F521F8" w:rsidRDefault="000A7D9D" w:rsidP="00F31937">
            <w:pPr>
              <w:textAlignment w:val="baseline"/>
              <w:rPr>
                <w:rFonts w:ascii="Times New Roman" w:hAnsi="Times New Roman" w:cs="Times New Roman"/>
                <w:noProof/>
                <w:sz w:val="20"/>
                <w:szCs w:val="20"/>
                <w:lang w:eastAsia="en-GB"/>
              </w:rPr>
            </w:pPr>
            <w:r w:rsidRPr="00F521F8">
              <w:rPr>
                <w:rFonts w:ascii="Times New Roman" w:hAnsi="Times New Roman" w:cs="Times New Roman"/>
                <w:noProof/>
                <w:sz w:val="20"/>
                <w:szCs w:val="20"/>
                <w:lang w:val="en-US" w:eastAsia="en-GB"/>
              </w:rPr>
              <w:t>ECHA</w:t>
            </w:r>
            <w:r w:rsidRPr="00F521F8">
              <w:rPr>
                <w:rFonts w:ascii="Times New Roman" w:hAnsi="Times New Roman" w:cs="Times New Roman"/>
                <w:noProof/>
                <w:sz w:val="20"/>
                <w:szCs w:val="20"/>
                <w:lang w:eastAsia="en-GB"/>
              </w:rPr>
              <w:t>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951A50" w14:textId="77777777" w:rsidR="000A7D9D" w:rsidRPr="00F521F8" w:rsidRDefault="000A7D9D" w:rsidP="00F31937">
            <w:pPr>
              <w:textAlignment w:val="baseline"/>
              <w:rPr>
                <w:rFonts w:ascii="Times New Roman" w:hAnsi="Times New Roman" w:cs="Times New Roman"/>
                <w:noProof/>
                <w:sz w:val="20"/>
                <w:szCs w:val="20"/>
                <w:lang w:eastAsia="en-GB"/>
              </w:rPr>
            </w:pPr>
            <w:r w:rsidRPr="13AEFEEB">
              <w:rPr>
                <w:rFonts w:ascii="Times New Roman" w:hAnsi="Times New Roman" w:cs="Times New Roman"/>
                <w:noProof/>
                <w:sz w:val="20"/>
                <w:szCs w:val="20"/>
                <w:lang w:val="en-US" w:eastAsia="en-GB"/>
              </w:rPr>
              <w:t>Recurrent costs as of 202</w:t>
            </w:r>
            <w:r>
              <w:rPr>
                <w:rFonts w:ascii="Times New Roman" w:hAnsi="Times New Roman" w:cs="Times New Roman"/>
                <w:noProof/>
                <w:sz w:val="20"/>
                <w:szCs w:val="20"/>
                <w:lang w:val="en-US" w:eastAsia="en-GB"/>
              </w:rPr>
              <w:t>8</w:t>
            </w:r>
            <w:r w:rsidRPr="13AEFEEB">
              <w:rPr>
                <w:rFonts w:ascii="Times New Roman" w:hAnsi="Times New Roman" w:cs="Times New Roman"/>
                <w:noProof/>
                <w:sz w:val="20"/>
                <w:szCs w:val="20"/>
                <w:lang w:val="en-US" w:eastAsia="en-GB"/>
              </w:rPr>
              <w:t xml:space="preserve">: </w:t>
            </w:r>
            <w:r>
              <w:rPr>
                <w:rFonts w:ascii="Times New Roman" w:hAnsi="Times New Roman" w:cs="Times New Roman"/>
                <w:noProof/>
                <w:sz w:val="20"/>
                <w:szCs w:val="20"/>
                <w:lang w:val="en-US" w:eastAsia="en-GB"/>
              </w:rPr>
              <w:t xml:space="preserve">EUR </w:t>
            </w:r>
            <w:r w:rsidRPr="13AEFEEB">
              <w:rPr>
                <w:rFonts w:ascii="Times New Roman" w:hAnsi="Times New Roman" w:cs="Times New Roman"/>
                <w:noProof/>
                <w:sz w:val="20"/>
                <w:szCs w:val="20"/>
                <w:lang w:val="en-US" w:eastAsia="en-GB"/>
              </w:rPr>
              <w:t>200</w:t>
            </w:r>
            <w:r>
              <w:rPr>
                <w:rFonts w:ascii="Times New Roman" w:hAnsi="Times New Roman" w:cs="Times New Roman"/>
                <w:noProof/>
                <w:sz w:val="20"/>
                <w:szCs w:val="20"/>
                <w:lang w:val="en-US" w:eastAsia="en-GB"/>
              </w:rPr>
              <w:t xml:space="preserve"> </w:t>
            </w:r>
            <w:r w:rsidRPr="13AEFEEB">
              <w:rPr>
                <w:rFonts w:ascii="Times New Roman" w:hAnsi="Times New Roman" w:cs="Times New Roman"/>
                <w:noProof/>
                <w:sz w:val="20"/>
                <w:szCs w:val="20"/>
                <w:lang w:val="en-US" w:eastAsia="en-GB"/>
              </w:rPr>
              <w:t>000 and 1 FTE per year.</w:t>
            </w:r>
            <w:r w:rsidRPr="13AEFEEB">
              <w:rPr>
                <w:rFonts w:ascii="Times New Roman" w:hAnsi="Times New Roman" w:cs="Times New Roman"/>
                <w:noProof/>
                <w:sz w:val="20"/>
                <w:szCs w:val="20"/>
                <w:lang w:eastAsia="en-GB"/>
              </w:rPr>
              <w:t xml:space="preserve"> This is to cover the improvements and maintenance of the repository as part of the EUCLEF and the common data platform, contact with data providers, covering specific needs of the repository </w:t>
            </w:r>
          </w:p>
        </w:tc>
      </w:tr>
      <w:tr w:rsidR="000A7D9D" w:rsidRPr="00357FFD" w14:paraId="0787020B"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E9925D" w14:textId="77777777" w:rsidR="000A7D9D" w:rsidRPr="00F521F8" w:rsidRDefault="000A7D9D" w:rsidP="00F31937">
            <w:pPr>
              <w:textAlignment w:val="baseline"/>
              <w:rPr>
                <w:rFonts w:ascii="Times New Roman" w:hAnsi="Times New Roman" w:cs="Times New Roman"/>
                <w:noProof/>
                <w:sz w:val="20"/>
                <w:szCs w:val="20"/>
                <w:lang w:eastAsia="en-GB"/>
              </w:rPr>
            </w:pPr>
            <w:r w:rsidRPr="13AEFEEB">
              <w:rPr>
                <w:rFonts w:ascii="Times New Roman" w:hAnsi="Times New Roman" w:cs="Times New Roman"/>
                <w:noProof/>
                <w:sz w:val="20"/>
                <w:szCs w:val="20"/>
                <w:lang w:val="en-US" w:eastAsia="en-GB"/>
              </w:rPr>
              <w:t>Coordination of and consultation with other agencies contributing to the repository (as part of the common data platform governance)</w:t>
            </w:r>
            <w:r w:rsidRPr="13AEFEEB">
              <w:rPr>
                <w:rFonts w:ascii="Times New Roman" w:hAnsi="Times New Roman" w:cs="Times New Roman"/>
                <w:noProof/>
                <w:sz w:val="20"/>
                <w:szCs w:val="20"/>
                <w:lang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A0B5E0" w14:textId="77777777" w:rsidR="000A7D9D" w:rsidRPr="00E64089" w:rsidRDefault="000A7D9D" w:rsidP="00F31937">
            <w:pPr>
              <w:spacing w:after="0"/>
              <w:textAlignment w:val="baseline"/>
              <w:rPr>
                <w:rFonts w:ascii="Times New Roman" w:hAnsi="Times New Roman" w:cs="Times New Roman"/>
                <w:noProof/>
                <w:sz w:val="20"/>
                <w:szCs w:val="20"/>
                <w:lang w:val="fr-BE" w:eastAsia="en-GB"/>
              </w:rPr>
            </w:pPr>
            <w:r w:rsidRPr="00E64089">
              <w:rPr>
                <w:rFonts w:ascii="Times New Roman" w:hAnsi="Times New Roman" w:cs="Times New Roman"/>
                <w:noProof/>
                <w:sz w:val="20"/>
                <w:szCs w:val="20"/>
                <w:lang w:val="fr-BE" w:eastAsia="en-GB"/>
              </w:rPr>
              <w:t>ECHA, EFSA, </w:t>
            </w:r>
          </w:p>
          <w:p w14:paraId="0E6E4624" w14:textId="77777777" w:rsidR="000A7D9D" w:rsidRPr="00E64089" w:rsidRDefault="000A7D9D" w:rsidP="00F31937">
            <w:pPr>
              <w:spacing w:after="0"/>
              <w:textAlignment w:val="baseline"/>
              <w:rPr>
                <w:rFonts w:ascii="Times New Roman" w:hAnsi="Times New Roman" w:cs="Times New Roman"/>
                <w:noProof/>
                <w:sz w:val="20"/>
                <w:szCs w:val="20"/>
                <w:lang w:val="fr-BE" w:eastAsia="en-GB"/>
              </w:rPr>
            </w:pPr>
            <w:r w:rsidRPr="00E64089">
              <w:rPr>
                <w:rFonts w:ascii="Times New Roman" w:hAnsi="Times New Roman" w:cs="Times New Roman"/>
                <w:noProof/>
                <w:sz w:val="20"/>
                <w:szCs w:val="20"/>
                <w:lang w:val="fr-BE" w:eastAsia="en-GB"/>
              </w:rPr>
              <w:t>EMA</w:t>
            </w:r>
          </w:p>
          <w:p w14:paraId="37859EFB" w14:textId="77777777" w:rsidR="000A7D9D" w:rsidRPr="00E64089" w:rsidRDefault="000A7D9D" w:rsidP="00F31937">
            <w:pPr>
              <w:spacing w:after="0"/>
              <w:textAlignment w:val="baseline"/>
              <w:rPr>
                <w:rFonts w:ascii="Times New Roman" w:hAnsi="Times New Roman" w:cs="Times New Roman"/>
                <w:noProof/>
                <w:sz w:val="20"/>
                <w:szCs w:val="20"/>
                <w:lang w:val="fr-BE" w:eastAsia="en-GB"/>
              </w:rPr>
            </w:pPr>
            <w:r w:rsidRPr="00E64089">
              <w:rPr>
                <w:rFonts w:ascii="Times New Roman" w:hAnsi="Times New Roman" w:cs="Times New Roman"/>
                <w:noProof/>
                <w:sz w:val="20"/>
                <w:szCs w:val="20"/>
                <w:lang w:val="fr-BE" w:eastAsia="en-GB"/>
              </w:rPr>
              <w:t>EEA,</w:t>
            </w:r>
          </w:p>
          <w:p w14:paraId="1C30DD1A" w14:textId="77777777" w:rsidR="000A7D9D" w:rsidRPr="00E64089" w:rsidRDefault="000A7D9D" w:rsidP="00F31937">
            <w:pPr>
              <w:spacing w:after="0"/>
              <w:textAlignment w:val="baseline"/>
              <w:rPr>
                <w:rFonts w:ascii="Times New Roman" w:hAnsi="Times New Roman" w:cs="Times New Roman"/>
                <w:noProof/>
                <w:sz w:val="20"/>
                <w:szCs w:val="20"/>
                <w:lang w:val="fr-BE" w:eastAsia="en-GB"/>
              </w:rPr>
            </w:pPr>
            <w:r w:rsidRPr="00E64089">
              <w:rPr>
                <w:rFonts w:ascii="Times New Roman" w:hAnsi="Times New Roman" w:cs="Times New Roman"/>
                <w:noProof/>
                <w:sz w:val="20"/>
                <w:szCs w:val="20"/>
                <w:lang w:val="fr-BE" w:eastAsia="en-GB"/>
              </w:rPr>
              <w:t>EU</w:t>
            </w:r>
            <w:r>
              <w:rPr>
                <w:rFonts w:ascii="Times New Roman" w:hAnsi="Times New Roman" w:cs="Times New Roman"/>
                <w:noProof/>
                <w:sz w:val="20"/>
                <w:szCs w:val="20"/>
                <w:lang w:val="fr-BE" w:eastAsia="en-GB"/>
              </w:rPr>
              <w:t>-</w:t>
            </w:r>
            <w:r w:rsidRPr="00E64089">
              <w:rPr>
                <w:rFonts w:ascii="Times New Roman" w:hAnsi="Times New Roman" w:cs="Times New Roman"/>
                <w:noProof/>
                <w:sz w:val="20"/>
                <w:szCs w:val="20"/>
                <w:lang w:val="fr-BE" w:eastAsia="en-GB"/>
              </w:rPr>
              <w:t>OSHA  </w:t>
            </w:r>
          </w:p>
          <w:p w14:paraId="199EE0BA" w14:textId="77777777" w:rsidR="000A7D9D" w:rsidRPr="00E64089" w:rsidRDefault="000A7D9D" w:rsidP="00F31937">
            <w:pPr>
              <w:spacing w:after="0"/>
              <w:textAlignment w:val="baseline"/>
              <w:rPr>
                <w:rFonts w:ascii="Times New Roman" w:hAnsi="Times New Roman" w:cs="Times New Roman"/>
                <w:noProof/>
                <w:sz w:val="20"/>
                <w:szCs w:val="20"/>
                <w:lang w:val="fr-BE" w:eastAsia="en-GB"/>
              </w:rPr>
            </w:pPr>
            <w:r w:rsidRPr="00E64089">
              <w:rPr>
                <w:rFonts w:ascii="Times New Roman" w:hAnsi="Times New Roman" w:cs="Times New Roman"/>
                <w:noProof/>
                <w:sz w:val="20"/>
                <w:szCs w:val="20"/>
                <w:lang w:val="fr-BE" w:eastAsia="en-GB"/>
              </w:rPr>
              <w:t>COM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1FEE79" w14:textId="77777777" w:rsidR="000A7D9D" w:rsidRPr="00F521F8" w:rsidRDefault="000A7D9D" w:rsidP="00F31937">
            <w:pPr>
              <w:textAlignment w:val="baseline"/>
              <w:rPr>
                <w:rFonts w:ascii="Times New Roman" w:hAnsi="Times New Roman" w:cs="Times New Roman"/>
                <w:noProof/>
                <w:sz w:val="20"/>
                <w:szCs w:val="20"/>
                <w:lang w:eastAsia="en-GB"/>
              </w:rPr>
            </w:pPr>
            <w:r w:rsidRPr="13AEFEEB">
              <w:rPr>
                <w:rFonts w:ascii="Times New Roman" w:hAnsi="Times New Roman" w:cs="Times New Roman"/>
                <w:noProof/>
                <w:sz w:val="20"/>
                <w:szCs w:val="20"/>
                <w:lang w:val="en-US" w:eastAsia="en-GB"/>
              </w:rPr>
              <w:t>Recurrent resource ideally covered by the agencies’ core staff. </w:t>
            </w:r>
            <w:r w:rsidRPr="13AEFEEB">
              <w:rPr>
                <w:rFonts w:ascii="Times New Roman" w:hAnsi="Times New Roman" w:cs="Times New Roman"/>
                <w:noProof/>
                <w:sz w:val="20"/>
                <w:szCs w:val="20"/>
                <w:lang w:eastAsia="en-GB"/>
              </w:rPr>
              <w:t> </w:t>
            </w:r>
          </w:p>
          <w:p w14:paraId="070C8CED" w14:textId="77777777" w:rsidR="000A7D9D" w:rsidRPr="00F521F8" w:rsidRDefault="000A7D9D" w:rsidP="00F31937">
            <w:pPr>
              <w:textAlignment w:val="baseline"/>
              <w:rPr>
                <w:rFonts w:ascii="Times New Roman" w:hAnsi="Times New Roman" w:cs="Times New Roman"/>
                <w:noProof/>
                <w:sz w:val="20"/>
                <w:szCs w:val="20"/>
                <w:lang w:eastAsia="en-GB"/>
              </w:rPr>
            </w:pPr>
            <w:r w:rsidRPr="13AEFEEB">
              <w:rPr>
                <w:rFonts w:ascii="Times New Roman" w:hAnsi="Times New Roman" w:cs="Times New Roman"/>
                <w:noProof/>
                <w:sz w:val="20"/>
                <w:szCs w:val="20"/>
                <w:lang w:val="en-US" w:eastAsia="en-GB"/>
              </w:rPr>
              <w:t>Negligible; should be absorbed by the agencies</w:t>
            </w:r>
            <w:r w:rsidRPr="13AEFEEB">
              <w:rPr>
                <w:rFonts w:ascii="Times New Roman" w:hAnsi="Times New Roman" w:cs="Times New Roman"/>
                <w:noProof/>
                <w:sz w:val="20"/>
                <w:szCs w:val="20"/>
                <w:lang w:eastAsia="en-GB"/>
              </w:rPr>
              <w:t> </w:t>
            </w:r>
          </w:p>
        </w:tc>
      </w:tr>
      <w:tr w:rsidR="000A7D9D" w:rsidRPr="00357FFD" w14:paraId="1356925E"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661E56"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b/>
                <w:bCs/>
                <w:noProof/>
                <w:sz w:val="20"/>
                <w:szCs w:val="20"/>
                <w:lang w:val="en-US" w:eastAsia="en-GB"/>
              </w:rPr>
              <w:t xml:space="preserve">Provision of data </w:t>
            </w:r>
            <w:r w:rsidRPr="00F521F8">
              <w:rPr>
                <w:rFonts w:ascii="Times New Roman" w:hAnsi="Times New Roman" w:cs="Times New Roman"/>
                <w:noProof/>
                <w:sz w:val="20"/>
                <w:szCs w:val="20"/>
                <w:lang w:val="en-US"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A6A7E1"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832607"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 </w:t>
            </w:r>
          </w:p>
        </w:tc>
      </w:tr>
      <w:tr w:rsidR="000A7D9D" w:rsidRPr="00357FFD" w14:paraId="7B8A39EF"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39DFFC"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Providing ‘new scientific reference data’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52BD75" w14:textId="77777777" w:rsidR="000A7D9D" w:rsidRDefault="000A7D9D" w:rsidP="00F31937">
            <w:pPr>
              <w:spacing w:after="0"/>
              <w:textAlignment w:val="baseline"/>
              <w:rPr>
                <w:rFonts w:ascii="Times New Roman" w:hAnsi="Times New Roman" w:cs="Times New Roman"/>
                <w:noProof/>
                <w:sz w:val="20"/>
                <w:szCs w:val="20"/>
                <w:lang w:val="fr-BE" w:eastAsia="en-GB"/>
              </w:rPr>
            </w:pPr>
            <w:r w:rsidRPr="00E64089">
              <w:rPr>
                <w:rFonts w:ascii="Times New Roman" w:hAnsi="Times New Roman" w:cs="Times New Roman"/>
                <w:noProof/>
                <w:sz w:val="20"/>
                <w:szCs w:val="20"/>
                <w:lang w:val="fr-BE" w:eastAsia="en-GB"/>
              </w:rPr>
              <w:t>ECHA, EF</w:t>
            </w:r>
            <w:r>
              <w:rPr>
                <w:rFonts w:ascii="Times New Roman" w:hAnsi="Times New Roman" w:cs="Times New Roman"/>
                <w:noProof/>
                <w:sz w:val="20"/>
                <w:szCs w:val="20"/>
                <w:lang w:val="fr-BE" w:eastAsia="en-GB"/>
              </w:rPr>
              <w:t>S</w:t>
            </w:r>
            <w:r w:rsidRPr="00E64089">
              <w:rPr>
                <w:rFonts w:ascii="Times New Roman" w:hAnsi="Times New Roman" w:cs="Times New Roman"/>
                <w:noProof/>
                <w:sz w:val="20"/>
                <w:szCs w:val="20"/>
                <w:lang w:val="fr-BE" w:eastAsia="en-GB"/>
              </w:rPr>
              <w:t xml:space="preserve">A, EMA, </w:t>
            </w:r>
          </w:p>
          <w:p w14:paraId="5F3B1588" w14:textId="77777777" w:rsidR="000A7D9D" w:rsidRDefault="000A7D9D" w:rsidP="00F31937">
            <w:pPr>
              <w:spacing w:after="0"/>
              <w:textAlignment w:val="baseline"/>
              <w:rPr>
                <w:rFonts w:ascii="Times New Roman" w:hAnsi="Times New Roman" w:cs="Times New Roman"/>
                <w:noProof/>
                <w:sz w:val="20"/>
                <w:szCs w:val="20"/>
                <w:lang w:val="fr-BE" w:eastAsia="en-GB"/>
              </w:rPr>
            </w:pPr>
            <w:r>
              <w:rPr>
                <w:rFonts w:ascii="Times New Roman" w:hAnsi="Times New Roman" w:cs="Times New Roman"/>
                <w:noProof/>
                <w:sz w:val="20"/>
                <w:szCs w:val="20"/>
                <w:lang w:val="fr-BE" w:eastAsia="en-GB"/>
              </w:rPr>
              <w:t xml:space="preserve">EEA, </w:t>
            </w:r>
          </w:p>
          <w:p w14:paraId="78B5EF20" w14:textId="77777777" w:rsidR="000A7D9D" w:rsidRPr="00E64089" w:rsidRDefault="000A7D9D" w:rsidP="00F31937">
            <w:pPr>
              <w:spacing w:after="0"/>
              <w:textAlignment w:val="baseline"/>
              <w:rPr>
                <w:rFonts w:ascii="Times New Roman" w:hAnsi="Times New Roman" w:cs="Times New Roman"/>
                <w:noProof/>
                <w:sz w:val="20"/>
                <w:szCs w:val="20"/>
                <w:lang w:val="fr-BE" w:eastAsia="en-GB"/>
              </w:rPr>
            </w:pPr>
            <w:r w:rsidRPr="00E64089">
              <w:rPr>
                <w:rFonts w:ascii="Times New Roman" w:hAnsi="Times New Roman" w:cs="Times New Roman"/>
                <w:noProof/>
                <w:sz w:val="20"/>
                <w:szCs w:val="20"/>
                <w:lang w:val="fr-BE" w:eastAsia="en-GB"/>
              </w:rPr>
              <w:t>EU-OSHA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A38DF7" w14:textId="77777777" w:rsidR="000A7D9D" w:rsidRPr="00F521F8" w:rsidRDefault="000A7D9D" w:rsidP="00F31937">
            <w:pPr>
              <w:textAlignment w:val="baseline"/>
              <w:rPr>
                <w:rFonts w:ascii="Times New Roman" w:hAnsi="Times New Roman" w:cs="Times New Roman"/>
                <w:noProof/>
                <w:sz w:val="20"/>
                <w:szCs w:val="20"/>
                <w:lang w:eastAsia="en-GB"/>
              </w:rPr>
            </w:pPr>
            <w:r w:rsidRPr="13AEFEEB">
              <w:rPr>
                <w:rFonts w:ascii="Times New Roman" w:hAnsi="Times New Roman" w:cs="Times New Roman"/>
                <w:noProof/>
                <w:sz w:val="20"/>
                <w:szCs w:val="20"/>
                <w:lang w:val="en-US" w:eastAsia="en-GB"/>
              </w:rPr>
              <w:t xml:space="preserve">Putting the data into the repository with adequate metadata information will require some additional resources from the agencies or from the rapporteurs of opinions. The amount will depend on how many opinions with limit values the agency sets per year. The work will be spread over time and could be absorbed by the resources spent on the development of the opinion, for example by ensuring that the opinion format has specific fields dedicated to the limit values information. </w:t>
            </w:r>
            <w:r w:rsidRPr="13AEFEEB">
              <w:rPr>
                <w:rFonts w:ascii="Times New Roman" w:hAnsi="Times New Roman" w:cs="Times New Roman"/>
                <w:noProof/>
                <w:sz w:val="20"/>
                <w:szCs w:val="20"/>
                <w:lang w:eastAsia="en-GB"/>
              </w:rPr>
              <w:t> </w:t>
            </w:r>
          </w:p>
        </w:tc>
      </w:tr>
      <w:tr w:rsidR="000A7D9D" w:rsidRPr="00357FFD" w14:paraId="2CEF6EB7"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DD73C0"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Providing ‘legacy scientific reference values’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AE2BD8"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ECHA, EFSA, </w:t>
            </w:r>
            <w:r w:rsidRPr="13AEFEEB" w:rsidDel="6F06BD68">
              <w:rPr>
                <w:rFonts w:ascii="Times New Roman" w:hAnsi="Times New Roman" w:cs="Times New Roman"/>
                <w:noProof/>
                <w:sz w:val="20"/>
                <w:szCs w:val="20"/>
                <w:lang w:val="en-US" w:eastAsia="en-GB"/>
              </w:rPr>
              <w:t xml:space="preserve">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D4E5EC"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EFSA has already compiled all ‘old scientific reference values’ in the open food tox repository; no additional resources needed for this; </w:t>
            </w:r>
          </w:p>
          <w:p w14:paraId="0085559F" w14:textId="77777777" w:rsidR="000A7D9D" w:rsidRPr="00F521F8" w:rsidRDefault="000A7D9D" w:rsidP="00F31937">
            <w:pPr>
              <w:spacing w:before="120"/>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ECHA needs to progressively extract the old scientific reference values from their opinions. This would be a one-off exercise that could be outsourced. The following resources for contracting will be needed: </w:t>
            </w:r>
          </w:p>
          <w:p w14:paraId="163261CC" w14:textId="77777777" w:rsidR="000A7D9D" w:rsidRPr="00187DBF" w:rsidRDefault="000A7D9D" w:rsidP="00F31937">
            <w:pPr>
              <w:spacing w:after="0"/>
              <w:textAlignment w:val="baseline"/>
              <w:rPr>
                <w:rFonts w:ascii="Times New Roman" w:hAnsi="Times New Roman" w:cs="Times New Roman"/>
                <w:noProof/>
                <w:sz w:val="20"/>
                <w:szCs w:val="20"/>
                <w:lang w:eastAsia="en-GB"/>
              </w:rPr>
            </w:pPr>
            <w:r w:rsidRPr="00187DBF">
              <w:rPr>
                <w:rFonts w:ascii="Times New Roman" w:hAnsi="Times New Roman" w:cs="Times New Roman"/>
                <w:noProof/>
                <w:sz w:val="20"/>
                <w:szCs w:val="20"/>
                <w:lang w:eastAsia="en-GB"/>
              </w:rPr>
              <w:t>ECHA: </w:t>
            </w:r>
          </w:p>
          <w:p w14:paraId="25DE88F5" w14:textId="77777777" w:rsidR="000A7D9D" w:rsidRPr="00187DBF" w:rsidRDefault="000A7D9D" w:rsidP="00F31937">
            <w:pPr>
              <w:spacing w:after="0"/>
              <w:textAlignment w:val="baseline"/>
              <w:rPr>
                <w:rFonts w:ascii="Times New Roman" w:hAnsi="Times New Roman" w:cs="Times New Roman"/>
                <w:noProof/>
                <w:sz w:val="20"/>
                <w:szCs w:val="20"/>
                <w:lang w:eastAsia="en-GB"/>
              </w:rPr>
            </w:pPr>
            <w:r w:rsidRPr="00187DBF">
              <w:rPr>
                <w:rFonts w:ascii="Times New Roman" w:hAnsi="Times New Roman" w:cs="Times New Roman"/>
                <w:noProof/>
                <w:sz w:val="20"/>
                <w:szCs w:val="20"/>
                <w:lang w:eastAsia="en-GB"/>
              </w:rPr>
              <w:t>- 2026 (200 opinions): EUR 100 000 </w:t>
            </w:r>
          </w:p>
          <w:p w14:paraId="6538E6AC" w14:textId="77777777" w:rsidR="000A7D9D" w:rsidRPr="007017A9" w:rsidRDefault="000A7D9D" w:rsidP="00F31937">
            <w:pPr>
              <w:spacing w:after="0"/>
              <w:textAlignment w:val="baseline"/>
              <w:rPr>
                <w:rFonts w:ascii="Times New Roman" w:hAnsi="Times New Roman" w:cs="Times New Roman"/>
                <w:noProof/>
                <w:sz w:val="20"/>
                <w:szCs w:val="20"/>
                <w:lang w:eastAsia="en-GB"/>
              </w:rPr>
            </w:pPr>
            <w:r w:rsidRPr="007017A9">
              <w:rPr>
                <w:rFonts w:ascii="Times New Roman" w:hAnsi="Times New Roman" w:cs="Times New Roman"/>
                <w:noProof/>
                <w:sz w:val="20"/>
                <w:szCs w:val="20"/>
                <w:lang w:eastAsia="en-GB"/>
              </w:rPr>
              <w:t>- 2027 (200 opinions): EUR 100 000 </w:t>
            </w:r>
          </w:p>
          <w:p w14:paraId="52F63780" w14:textId="77777777" w:rsidR="000A7D9D" w:rsidRPr="007017A9" w:rsidRDefault="000A7D9D" w:rsidP="00F31937">
            <w:pPr>
              <w:spacing w:after="0"/>
              <w:textAlignment w:val="baseline"/>
              <w:rPr>
                <w:rFonts w:ascii="Times New Roman" w:hAnsi="Times New Roman" w:cs="Times New Roman"/>
                <w:noProof/>
                <w:sz w:val="20"/>
                <w:szCs w:val="20"/>
                <w:lang w:eastAsia="en-GB"/>
              </w:rPr>
            </w:pPr>
            <w:r w:rsidRPr="007017A9">
              <w:rPr>
                <w:rFonts w:ascii="Times New Roman" w:hAnsi="Times New Roman" w:cs="Times New Roman"/>
                <w:noProof/>
                <w:sz w:val="20"/>
                <w:szCs w:val="20"/>
                <w:lang w:eastAsia="en-GB"/>
              </w:rPr>
              <w:t>- 2028: Euro 0</w:t>
            </w:r>
          </w:p>
          <w:p w14:paraId="4ABC17F2"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 xml:space="preserve">The management of the contract is to be done as part of the common data platform resources </w:t>
            </w:r>
          </w:p>
        </w:tc>
      </w:tr>
      <w:tr w:rsidR="000A7D9D" w:rsidRPr="00357FFD" w14:paraId="40075E99"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77271D"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Providing ‘formally adopted regulatory reference values’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246C10"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ECHA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526447"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 xml:space="preserve">ECHA has already a contractual agreement for the provision of reference values under the operation of EUCLEF. This should be expanded to cover all </w:t>
            </w:r>
            <w:r>
              <w:rPr>
                <w:rFonts w:ascii="Times New Roman" w:hAnsi="Times New Roman" w:cs="Times New Roman"/>
                <w:noProof/>
                <w:sz w:val="20"/>
                <w:szCs w:val="20"/>
                <w:lang w:val="en-US" w:eastAsia="en-GB"/>
              </w:rPr>
              <w:t xml:space="preserve">formally adopted </w:t>
            </w:r>
            <w:r w:rsidRPr="13AEFEEB">
              <w:rPr>
                <w:rFonts w:ascii="Times New Roman" w:hAnsi="Times New Roman" w:cs="Times New Roman"/>
                <w:noProof/>
                <w:sz w:val="20"/>
                <w:szCs w:val="20"/>
                <w:lang w:val="en-US" w:eastAsia="en-GB"/>
              </w:rPr>
              <w:t xml:space="preserve">regulatory reference values and to collate also necessary metadata. </w:t>
            </w:r>
          </w:p>
          <w:p w14:paraId="41DDAFB1"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 xml:space="preserve">The current EUCLEF financing related to data provision assumes the maintenance of 51 pieces of legislation, at a cost of </w:t>
            </w:r>
            <w:r>
              <w:rPr>
                <w:rFonts w:ascii="Times New Roman" w:hAnsi="Times New Roman" w:cs="Times New Roman"/>
                <w:noProof/>
                <w:sz w:val="20"/>
                <w:szCs w:val="20"/>
                <w:lang w:val="en-US" w:eastAsia="en-GB"/>
              </w:rPr>
              <w:t xml:space="preserve">EUR </w:t>
            </w:r>
            <w:r w:rsidRPr="13AEFEEB">
              <w:rPr>
                <w:rFonts w:ascii="Times New Roman" w:hAnsi="Times New Roman" w:cs="Times New Roman"/>
                <w:noProof/>
                <w:sz w:val="20"/>
                <w:szCs w:val="20"/>
                <w:lang w:val="en-US" w:eastAsia="en-GB"/>
              </w:rPr>
              <w:t>8</w:t>
            </w:r>
            <w:r>
              <w:rPr>
                <w:rFonts w:ascii="Times New Roman" w:hAnsi="Times New Roman" w:cs="Times New Roman"/>
                <w:noProof/>
                <w:sz w:val="20"/>
                <w:szCs w:val="20"/>
                <w:lang w:val="en-US" w:eastAsia="en-GB"/>
              </w:rPr>
              <w:t xml:space="preserve"> </w:t>
            </w:r>
            <w:r w:rsidRPr="13AEFEEB">
              <w:rPr>
                <w:rFonts w:ascii="Times New Roman" w:hAnsi="Times New Roman" w:cs="Times New Roman"/>
                <w:noProof/>
                <w:sz w:val="20"/>
                <w:szCs w:val="20"/>
                <w:lang w:val="en-US" w:eastAsia="en-GB"/>
              </w:rPr>
              <w:t xml:space="preserve">400/year for each legislation, or </w:t>
            </w:r>
            <w:r>
              <w:rPr>
                <w:rFonts w:ascii="Times New Roman" w:hAnsi="Times New Roman" w:cs="Times New Roman"/>
                <w:noProof/>
                <w:sz w:val="20"/>
                <w:szCs w:val="20"/>
                <w:lang w:val="en-US" w:eastAsia="en-GB"/>
              </w:rPr>
              <w:t xml:space="preserve">EUR </w:t>
            </w:r>
            <w:r w:rsidRPr="13AEFEEB">
              <w:rPr>
                <w:rFonts w:ascii="Times New Roman" w:hAnsi="Times New Roman" w:cs="Times New Roman"/>
                <w:noProof/>
                <w:sz w:val="20"/>
                <w:szCs w:val="20"/>
                <w:lang w:val="en-US" w:eastAsia="en-GB"/>
              </w:rPr>
              <w:t>430</w:t>
            </w:r>
            <w:r>
              <w:rPr>
                <w:rFonts w:ascii="Times New Roman" w:hAnsi="Times New Roman" w:cs="Times New Roman"/>
                <w:noProof/>
                <w:sz w:val="20"/>
                <w:szCs w:val="20"/>
                <w:lang w:val="en-US" w:eastAsia="en-GB"/>
              </w:rPr>
              <w:t xml:space="preserve"> 000</w:t>
            </w:r>
            <w:r w:rsidRPr="13AEFEEB">
              <w:rPr>
                <w:rFonts w:ascii="Times New Roman" w:hAnsi="Times New Roman" w:cs="Times New Roman"/>
                <w:noProof/>
                <w:sz w:val="20"/>
                <w:szCs w:val="20"/>
                <w:lang w:val="en-US" w:eastAsia="en-GB"/>
              </w:rPr>
              <w:t xml:space="preserve">/yearin total. </w:t>
            </w:r>
          </w:p>
          <w:p w14:paraId="70A9E01B"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13AEFEEB">
              <w:rPr>
                <w:rFonts w:ascii="Times New Roman" w:hAnsi="Times New Roman" w:cs="Times New Roman"/>
                <w:noProof/>
                <w:sz w:val="20"/>
                <w:szCs w:val="20"/>
                <w:lang w:val="en-US" w:eastAsia="en-GB"/>
              </w:rPr>
              <w:t xml:space="preserve">To top-up EUCLEF to cover the Eur-Lex legislations with human health or environmental limit values in the scope of the repository, ca 25 pieces of legislation would be added to the current scope, amounting to an additional data provision cost of </w:t>
            </w:r>
            <w:r>
              <w:rPr>
                <w:rFonts w:ascii="Times New Roman" w:hAnsi="Times New Roman" w:cs="Times New Roman"/>
                <w:noProof/>
                <w:sz w:val="20"/>
                <w:szCs w:val="20"/>
                <w:lang w:val="en-US" w:eastAsia="en-GB"/>
              </w:rPr>
              <w:t xml:space="preserve">EUR </w:t>
            </w:r>
            <w:r w:rsidRPr="13AEFEEB">
              <w:rPr>
                <w:rFonts w:ascii="Times New Roman" w:hAnsi="Times New Roman" w:cs="Times New Roman"/>
                <w:noProof/>
                <w:sz w:val="20"/>
                <w:szCs w:val="20"/>
                <w:lang w:val="en-US" w:eastAsia="en-GB"/>
              </w:rPr>
              <w:t>200</w:t>
            </w:r>
            <w:r>
              <w:rPr>
                <w:rFonts w:ascii="Times New Roman" w:hAnsi="Times New Roman" w:cs="Times New Roman"/>
                <w:noProof/>
                <w:sz w:val="20"/>
                <w:szCs w:val="20"/>
                <w:lang w:val="en-US" w:eastAsia="en-GB"/>
              </w:rPr>
              <w:t xml:space="preserve"> 000</w:t>
            </w:r>
            <w:r w:rsidRPr="13AEFEEB">
              <w:rPr>
                <w:rFonts w:ascii="Times New Roman" w:hAnsi="Times New Roman" w:cs="Times New Roman"/>
                <w:noProof/>
                <w:sz w:val="20"/>
                <w:szCs w:val="20"/>
                <w:lang w:val="en-US" w:eastAsia="en-GB"/>
              </w:rPr>
              <w:t xml:space="preserve"> /year. This is already covered in the estimation of the resource needs for operating and hosting the repository above.</w:t>
            </w:r>
          </w:p>
        </w:tc>
      </w:tr>
      <w:tr w:rsidR="000A7D9D" w:rsidRPr="00357FFD" w14:paraId="01A33351"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C4F7E8"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Receiving and processing national reference values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6787CE" w14:textId="77777777" w:rsidR="000A7D9D" w:rsidRPr="00F521F8" w:rsidRDefault="000A7D9D" w:rsidP="00F31937">
            <w:pPr>
              <w:textAlignment w:val="baseline"/>
              <w:rPr>
                <w:rFonts w:ascii="Times New Roman" w:hAnsi="Times New Roman" w:cs="Times New Roman"/>
                <w:noProof/>
                <w:sz w:val="20"/>
                <w:szCs w:val="20"/>
                <w:lang w:val="en-US" w:eastAsia="en-GB"/>
              </w:rPr>
            </w:pPr>
            <w:r w:rsidRPr="00F521F8">
              <w:rPr>
                <w:rFonts w:ascii="Times New Roman" w:hAnsi="Times New Roman" w:cs="Times New Roman"/>
                <w:noProof/>
                <w:sz w:val="20"/>
                <w:szCs w:val="20"/>
                <w:lang w:val="en-US" w:eastAsia="en-GB"/>
              </w:rPr>
              <w:t>ECHA </w:t>
            </w:r>
          </w:p>
        </w:tc>
        <w:tc>
          <w:tcPr>
            <w:tcW w:w="5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D19B84" w14:textId="77777777" w:rsidR="000A7D9D" w:rsidRPr="00F521F8" w:rsidRDefault="000A7D9D" w:rsidP="00F31937">
            <w:pPr>
              <w:textAlignment w:val="baseline"/>
              <w:rPr>
                <w:rFonts w:ascii="Times New Roman" w:hAnsi="Times New Roman" w:cs="Times New Roman"/>
                <w:noProof/>
                <w:sz w:val="20"/>
                <w:szCs w:val="20"/>
                <w:lang w:eastAsia="en-GB"/>
              </w:rPr>
            </w:pPr>
            <w:r w:rsidRPr="13AEFEEB">
              <w:rPr>
                <w:rFonts w:ascii="Times New Roman" w:hAnsi="Times New Roman" w:cs="Times New Roman"/>
                <w:noProof/>
                <w:sz w:val="20"/>
                <w:szCs w:val="20"/>
                <w:lang w:val="en-US" w:eastAsia="en-GB"/>
              </w:rPr>
              <w:t xml:space="preserve">A proposal for revision of water legislation requires MSs to report national EQS to ECHA. The </w:t>
            </w:r>
            <w:r w:rsidRPr="13AEFEEB">
              <w:rPr>
                <w:rFonts w:ascii="Times New Roman" w:hAnsi="Times New Roman" w:cs="Times New Roman"/>
                <w:b/>
                <w:bCs/>
                <w:noProof/>
                <w:sz w:val="20"/>
                <w:szCs w:val="20"/>
                <w:lang w:val="en-US" w:eastAsia="en-GB"/>
              </w:rPr>
              <w:t>resources for this part of the work were already proposed</w:t>
            </w:r>
            <w:r w:rsidRPr="13AEFEEB">
              <w:rPr>
                <w:rFonts w:ascii="Times New Roman" w:hAnsi="Times New Roman" w:cs="Times New Roman"/>
                <w:noProof/>
                <w:sz w:val="20"/>
                <w:szCs w:val="20"/>
                <w:lang w:val="en-US" w:eastAsia="en-GB"/>
              </w:rPr>
              <w:t xml:space="preserve"> under the proposal for revision of water legislation (and are thus not covered under the proposal for a regulation establishing the common data platform). </w:t>
            </w:r>
            <w:r w:rsidRPr="13AEFEEB">
              <w:rPr>
                <w:rFonts w:ascii="Times New Roman" w:hAnsi="Times New Roman" w:cs="Times New Roman"/>
                <w:noProof/>
                <w:sz w:val="20"/>
                <w:szCs w:val="20"/>
                <w:lang w:eastAsia="en-GB"/>
              </w:rPr>
              <w:t> </w:t>
            </w:r>
          </w:p>
          <w:p w14:paraId="0A47DAD7" w14:textId="77777777" w:rsidR="000A7D9D" w:rsidRPr="00F521F8" w:rsidRDefault="000A7D9D" w:rsidP="00F31937">
            <w:pPr>
              <w:textAlignment w:val="baseline"/>
              <w:rPr>
                <w:rFonts w:ascii="Times New Roman" w:hAnsi="Times New Roman" w:cs="Times New Roman"/>
                <w:noProof/>
                <w:sz w:val="20"/>
                <w:szCs w:val="20"/>
                <w:lang w:eastAsia="en-GB"/>
              </w:rPr>
            </w:pPr>
            <w:r w:rsidRPr="13AEFEEB">
              <w:rPr>
                <w:rFonts w:ascii="Times New Roman" w:hAnsi="Times New Roman" w:cs="Times New Roman"/>
                <w:noProof/>
                <w:sz w:val="20"/>
                <w:szCs w:val="20"/>
                <w:lang w:val="en-US" w:eastAsia="en-GB"/>
              </w:rPr>
              <w:t xml:space="preserve">The only other national limit values of interest are the national occupational exposure limits (OELs). There is no legal obligation to report those to EU institutions. The same system/set up developed for water EQS could be used for the OELs and Member States would be asked to report voluntarily. </w:t>
            </w:r>
            <w:r w:rsidRPr="13AEFEEB">
              <w:rPr>
                <w:rFonts w:ascii="Times New Roman" w:hAnsi="Times New Roman" w:cs="Times New Roman"/>
                <w:b/>
                <w:bCs/>
                <w:noProof/>
                <w:sz w:val="20"/>
                <w:szCs w:val="20"/>
                <w:lang w:val="en-US" w:eastAsia="en-GB"/>
              </w:rPr>
              <w:t>No additional resources needed</w:t>
            </w:r>
            <w:r w:rsidRPr="13AEFEEB">
              <w:rPr>
                <w:rFonts w:ascii="Times New Roman" w:hAnsi="Times New Roman" w:cs="Times New Roman"/>
                <w:noProof/>
                <w:sz w:val="20"/>
                <w:szCs w:val="20"/>
                <w:lang w:val="en-US" w:eastAsia="en-GB"/>
              </w:rPr>
              <w:t xml:space="preserve">. </w:t>
            </w:r>
            <w:r w:rsidRPr="13AEFEEB">
              <w:rPr>
                <w:rFonts w:ascii="Times New Roman" w:hAnsi="Times New Roman" w:cs="Times New Roman"/>
                <w:noProof/>
                <w:sz w:val="20"/>
                <w:szCs w:val="20"/>
                <w:lang w:eastAsia="en-GB"/>
              </w:rPr>
              <w:t> </w:t>
            </w:r>
          </w:p>
        </w:tc>
      </w:tr>
    </w:tbl>
    <w:p w14:paraId="6CF4494B" w14:textId="77777777" w:rsidR="000A7D9D" w:rsidRDefault="000A7D9D" w:rsidP="000A7D9D">
      <w:pPr>
        <w:spacing w:before="120" w:after="120"/>
        <w:rPr>
          <w:rFonts w:ascii="Times New Roman" w:hAnsi="Times New Roman" w:cs="Times New Roman"/>
          <w:noProof/>
          <w:sz w:val="24"/>
          <w:szCs w:val="24"/>
          <w:lang w:val="en-US" w:eastAsia="en-GB"/>
        </w:rPr>
      </w:pPr>
    </w:p>
    <w:p w14:paraId="72ACBC27" w14:textId="77777777" w:rsidR="000A7D9D" w:rsidRPr="00F521F8" w:rsidRDefault="000A7D9D" w:rsidP="000A7D9D">
      <w:pPr>
        <w:spacing w:before="120" w:after="120"/>
        <w:rPr>
          <w:rFonts w:ascii="Times New Roman" w:hAnsi="Times New Roman" w:cs="Times New Roman"/>
          <w:noProof/>
          <w:sz w:val="24"/>
          <w:szCs w:val="24"/>
          <w:lang w:val="en-US" w:eastAsia="en-GB"/>
        </w:rPr>
      </w:pPr>
      <w:r w:rsidRPr="13AEFEEB">
        <w:rPr>
          <w:rFonts w:ascii="Times New Roman" w:hAnsi="Times New Roman" w:cs="Times New Roman"/>
          <w:noProof/>
          <w:sz w:val="24"/>
          <w:szCs w:val="24"/>
          <w:lang w:val="en-US" w:eastAsia="en-GB"/>
        </w:rPr>
        <w:t>Summary of additional resource needs for the establishment and operation of a repository of reference values:</w:t>
      </w:r>
    </w:p>
    <w:tbl>
      <w:tblPr>
        <w:tblStyle w:val="TableGrid"/>
        <w:tblW w:w="0" w:type="auto"/>
        <w:tblLook w:val="04A0" w:firstRow="1" w:lastRow="0" w:firstColumn="1" w:lastColumn="0" w:noHBand="0" w:noVBand="1"/>
      </w:tblPr>
      <w:tblGrid>
        <w:gridCol w:w="1035"/>
        <w:gridCol w:w="3810"/>
        <w:gridCol w:w="2024"/>
        <w:gridCol w:w="2760"/>
      </w:tblGrid>
      <w:tr w:rsidR="000A7D9D" w14:paraId="08632FBB" w14:textId="77777777" w:rsidTr="00F31937">
        <w:trPr>
          <w:trHeight w:val="300"/>
        </w:trPr>
        <w:tc>
          <w:tcPr>
            <w:tcW w:w="1035" w:type="dxa"/>
            <w:shd w:val="clear" w:color="auto" w:fill="D9D9D9" w:themeFill="background1" w:themeFillShade="D9"/>
          </w:tcPr>
          <w:p w14:paraId="67BB1DED" w14:textId="77777777" w:rsidR="000A7D9D" w:rsidRPr="00F521F8" w:rsidRDefault="000A7D9D" w:rsidP="00F31937">
            <w:pPr>
              <w:pStyle w:val="BodyText"/>
              <w:spacing w:line="259" w:lineRule="auto"/>
              <w:rPr>
                <w:rFonts w:eastAsiaTheme="minorEastAsia"/>
                <w:b/>
                <w:bCs/>
                <w:noProof/>
                <w:sz w:val="20"/>
                <w:szCs w:val="20"/>
              </w:rPr>
            </w:pPr>
            <w:r w:rsidRPr="00F521F8">
              <w:rPr>
                <w:rFonts w:eastAsiaTheme="minorEastAsia"/>
                <w:b/>
                <w:bCs/>
                <w:noProof/>
                <w:sz w:val="20"/>
                <w:szCs w:val="20"/>
              </w:rPr>
              <w:t>Agency</w:t>
            </w:r>
          </w:p>
        </w:tc>
        <w:tc>
          <w:tcPr>
            <w:tcW w:w="3810" w:type="dxa"/>
            <w:shd w:val="clear" w:color="auto" w:fill="D9D9D9" w:themeFill="background1" w:themeFillShade="D9"/>
          </w:tcPr>
          <w:p w14:paraId="1077ED62" w14:textId="77777777" w:rsidR="000A7D9D" w:rsidRPr="00F521F8" w:rsidRDefault="000A7D9D" w:rsidP="00F31937">
            <w:pPr>
              <w:pStyle w:val="BodyText"/>
              <w:rPr>
                <w:rFonts w:eastAsiaTheme="minorEastAsia"/>
                <w:b/>
                <w:bCs/>
                <w:noProof/>
                <w:sz w:val="20"/>
                <w:szCs w:val="20"/>
              </w:rPr>
            </w:pPr>
            <w:r w:rsidRPr="00F521F8">
              <w:rPr>
                <w:rFonts w:eastAsiaTheme="minorEastAsia"/>
                <w:b/>
                <w:bCs/>
                <w:noProof/>
                <w:sz w:val="20"/>
                <w:szCs w:val="20"/>
              </w:rPr>
              <w:t>Summary of tasks</w:t>
            </w:r>
          </w:p>
        </w:tc>
        <w:tc>
          <w:tcPr>
            <w:tcW w:w="2024" w:type="dxa"/>
            <w:shd w:val="clear" w:color="auto" w:fill="D9D9D9" w:themeFill="background1" w:themeFillShade="D9"/>
          </w:tcPr>
          <w:p w14:paraId="63DA8BBC" w14:textId="77777777" w:rsidR="000A7D9D" w:rsidRPr="00F521F8" w:rsidRDefault="000A7D9D" w:rsidP="00F31937">
            <w:pPr>
              <w:pStyle w:val="BodyText"/>
              <w:tabs>
                <w:tab w:val="left" w:pos="4170"/>
              </w:tabs>
              <w:rPr>
                <w:rFonts w:eastAsiaTheme="minorEastAsia"/>
                <w:noProof/>
                <w:sz w:val="20"/>
                <w:szCs w:val="20"/>
              </w:rPr>
            </w:pPr>
          </w:p>
        </w:tc>
        <w:tc>
          <w:tcPr>
            <w:tcW w:w="2760" w:type="dxa"/>
            <w:shd w:val="clear" w:color="auto" w:fill="D9D9D9" w:themeFill="background1" w:themeFillShade="D9"/>
          </w:tcPr>
          <w:p w14:paraId="522FA1E8" w14:textId="77777777" w:rsidR="000A7D9D" w:rsidRPr="00F521F8" w:rsidRDefault="000A7D9D" w:rsidP="00F31937">
            <w:pPr>
              <w:pStyle w:val="BodyText"/>
              <w:tabs>
                <w:tab w:val="left" w:pos="4170"/>
              </w:tabs>
              <w:spacing w:after="0"/>
              <w:rPr>
                <w:rFonts w:eastAsiaTheme="minorEastAsia"/>
                <w:noProof/>
                <w:sz w:val="20"/>
                <w:szCs w:val="20"/>
              </w:rPr>
            </w:pPr>
          </w:p>
        </w:tc>
      </w:tr>
      <w:tr w:rsidR="000A7D9D" w14:paraId="742F8796" w14:textId="77777777" w:rsidTr="00F31937">
        <w:trPr>
          <w:trHeight w:val="300"/>
        </w:trPr>
        <w:tc>
          <w:tcPr>
            <w:tcW w:w="1035" w:type="dxa"/>
            <w:vMerge w:val="restart"/>
            <w:shd w:val="clear" w:color="auto" w:fill="D9D9D9" w:themeFill="background1" w:themeFillShade="D9"/>
          </w:tcPr>
          <w:p w14:paraId="602AC25E" w14:textId="77777777" w:rsidR="000A7D9D" w:rsidRPr="00F521F8" w:rsidRDefault="000A7D9D" w:rsidP="00F31937">
            <w:pPr>
              <w:pStyle w:val="BodyText"/>
              <w:rPr>
                <w:rFonts w:eastAsiaTheme="minorEastAsia"/>
                <w:noProof/>
                <w:sz w:val="20"/>
                <w:szCs w:val="20"/>
              </w:rPr>
            </w:pPr>
            <w:r w:rsidRPr="00F521F8">
              <w:rPr>
                <w:rFonts w:eastAsiaTheme="minorEastAsia"/>
                <w:noProof/>
                <w:sz w:val="20"/>
                <w:szCs w:val="20"/>
              </w:rPr>
              <w:t>ECHA</w:t>
            </w:r>
          </w:p>
        </w:tc>
        <w:tc>
          <w:tcPr>
            <w:tcW w:w="3810" w:type="dxa"/>
            <w:vMerge w:val="restart"/>
            <w:shd w:val="clear" w:color="auto" w:fill="D9D9D9" w:themeFill="background1" w:themeFillShade="D9"/>
          </w:tcPr>
          <w:p w14:paraId="636F7B25" w14:textId="77777777" w:rsidR="000A7D9D" w:rsidRPr="00F521F8" w:rsidRDefault="000A7D9D" w:rsidP="00F31937">
            <w:pPr>
              <w:pStyle w:val="BodyText"/>
              <w:rPr>
                <w:noProof/>
                <w:sz w:val="20"/>
                <w:szCs w:val="20"/>
              </w:rPr>
            </w:pPr>
            <w:r w:rsidRPr="13AEFEEB">
              <w:rPr>
                <w:rFonts w:eastAsiaTheme="minorEastAsia"/>
                <w:noProof/>
                <w:sz w:val="20"/>
                <w:szCs w:val="20"/>
                <w:lang w:val="en-US"/>
              </w:rPr>
              <w:t>Designing and developing the repository as expansion of EUCLEF and as part of the common data platform</w:t>
            </w:r>
          </w:p>
          <w:p w14:paraId="46D422F7" w14:textId="77777777" w:rsidR="000A7D9D" w:rsidRPr="00F521F8" w:rsidRDefault="000A7D9D" w:rsidP="00F31937">
            <w:pPr>
              <w:pStyle w:val="BodyText"/>
              <w:rPr>
                <w:noProof/>
                <w:sz w:val="20"/>
                <w:szCs w:val="20"/>
              </w:rPr>
            </w:pPr>
            <w:r w:rsidRPr="00F521F8">
              <w:rPr>
                <w:noProof/>
                <w:sz w:val="20"/>
                <w:szCs w:val="20"/>
                <w:lang w:val="en-US"/>
              </w:rPr>
              <w:t>Operation/hosting, maintenance and update of the repository as part of the EUCLEF and of the common data platform</w:t>
            </w:r>
          </w:p>
          <w:p w14:paraId="534E467B" w14:textId="77777777" w:rsidR="000A7D9D" w:rsidRPr="00F521F8" w:rsidRDefault="000A7D9D" w:rsidP="00F31937">
            <w:pPr>
              <w:pStyle w:val="BodyText"/>
              <w:rPr>
                <w:noProof/>
                <w:sz w:val="20"/>
                <w:szCs w:val="20"/>
                <w:lang w:val="en-US"/>
              </w:rPr>
            </w:pPr>
            <w:r w:rsidRPr="13AEFEEB">
              <w:rPr>
                <w:noProof/>
                <w:sz w:val="20"/>
                <w:szCs w:val="20"/>
                <w:lang w:val="en-US"/>
              </w:rPr>
              <w:t>Coordination of and consultation with other agencies contributing to the repository (as part of the common data platform) during development</w:t>
            </w:r>
          </w:p>
          <w:p w14:paraId="7CF2B3F9" w14:textId="77777777" w:rsidR="000A7D9D" w:rsidRPr="00F521F8" w:rsidRDefault="000A7D9D" w:rsidP="00F31937">
            <w:pPr>
              <w:spacing w:after="120"/>
              <w:rPr>
                <w:noProof/>
                <w:lang w:val="en-US"/>
              </w:rPr>
            </w:pPr>
            <w:r w:rsidRPr="00F521F8">
              <w:rPr>
                <w:noProof/>
                <w:lang w:val="en-US"/>
              </w:rPr>
              <w:t xml:space="preserve">Providing ‘new scientific reference data’   </w:t>
            </w:r>
          </w:p>
          <w:p w14:paraId="05EF48C1" w14:textId="77777777" w:rsidR="000A7D9D" w:rsidRPr="00F521F8" w:rsidRDefault="000A7D9D" w:rsidP="00F31937">
            <w:pPr>
              <w:pStyle w:val="BodyText"/>
              <w:rPr>
                <w:noProof/>
                <w:sz w:val="20"/>
                <w:szCs w:val="20"/>
              </w:rPr>
            </w:pPr>
            <w:r w:rsidRPr="00F521F8">
              <w:rPr>
                <w:noProof/>
                <w:sz w:val="20"/>
                <w:szCs w:val="20"/>
                <w:lang w:val="en-US"/>
              </w:rPr>
              <w:t>Providing ‘old scientific reference values’</w:t>
            </w:r>
            <w:r w:rsidRPr="00F521F8">
              <w:rPr>
                <w:noProof/>
                <w:sz w:val="20"/>
                <w:szCs w:val="20"/>
              </w:rPr>
              <w:t xml:space="preserve">  </w:t>
            </w:r>
          </w:p>
          <w:p w14:paraId="47C6B9CD" w14:textId="77777777" w:rsidR="000A7D9D" w:rsidRPr="00F521F8" w:rsidRDefault="000A7D9D" w:rsidP="00F31937">
            <w:pPr>
              <w:pStyle w:val="BodyText"/>
              <w:rPr>
                <w:noProof/>
                <w:sz w:val="20"/>
                <w:szCs w:val="20"/>
                <w:lang w:val="en-US"/>
              </w:rPr>
            </w:pPr>
            <w:r w:rsidRPr="13AEFEEB">
              <w:rPr>
                <w:noProof/>
                <w:sz w:val="20"/>
                <w:szCs w:val="20"/>
                <w:lang w:val="en-US"/>
              </w:rPr>
              <w:t>Providing ‘formally adopted regulatory reference values’</w:t>
            </w:r>
          </w:p>
          <w:p w14:paraId="2DD2D553" w14:textId="77777777" w:rsidR="000A7D9D" w:rsidRPr="00F521F8" w:rsidRDefault="000A7D9D" w:rsidP="00F31937">
            <w:pPr>
              <w:pStyle w:val="BodyText"/>
              <w:rPr>
                <w:noProof/>
                <w:sz w:val="20"/>
                <w:szCs w:val="20"/>
                <w:lang w:val="en-US"/>
              </w:rPr>
            </w:pPr>
            <w:r w:rsidRPr="00F521F8">
              <w:rPr>
                <w:noProof/>
                <w:sz w:val="20"/>
                <w:szCs w:val="20"/>
                <w:lang w:val="en-US"/>
              </w:rPr>
              <w:t>Receiving and processing national reference values</w:t>
            </w:r>
          </w:p>
        </w:tc>
        <w:tc>
          <w:tcPr>
            <w:tcW w:w="2024" w:type="dxa"/>
            <w:shd w:val="clear" w:color="auto" w:fill="D9D9D9" w:themeFill="background1" w:themeFillShade="D9"/>
          </w:tcPr>
          <w:p w14:paraId="0C4EA18E" w14:textId="77777777" w:rsidR="000A7D9D" w:rsidRPr="00F521F8" w:rsidRDefault="000A7D9D" w:rsidP="00F31937">
            <w:pPr>
              <w:pStyle w:val="BodyText"/>
              <w:tabs>
                <w:tab w:val="left" w:pos="4170"/>
              </w:tabs>
              <w:rPr>
                <w:rFonts w:eastAsiaTheme="minorEastAsia"/>
                <w:noProof/>
                <w:sz w:val="20"/>
                <w:szCs w:val="20"/>
              </w:rPr>
            </w:pPr>
            <w:r w:rsidRPr="00F521F8">
              <w:rPr>
                <w:rFonts w:eastAsiaTheme="minorEastAsia"/>
                <w:noProof/>
                <w:sz w:val="20"/>
                <w:szCs w:val="20"/>
              </w:rPr>
              <w:t>Financial resource needs:</w:t>
            </w:r>
          </w:p>
        </w:tc>
        <w:tc>
          <w:tcPr>
            <w:tcW w:w="2760" w:type="dxa"/>
            <w:shd w:val="clear" w:color="auto" w:fill="D9D9D9" w:themeFill="background1" w:themeFillShade="D9"/>
          </w:tcPr>
          <w:p w14:paraId="3F98743E" w14:textId="77777777" w:rsidR="000A7D9D" w:rsidRPr="00F521F8" w:rsidRDefault="000A7D9D" w:rsidP="00F31937">
            <w:pPr>
              <w:pStyle w:val="BodyText"/>
              <w:tabs>
                <w:tab w:val="left" w:pos="4170"/>
              </w:tabs>
              <w:spacing w:after="0"/>
              <w:rPr>
                <w:rFonts w:eastAsiaTheme="minorEastAsia"/>
                <w:noProof/>
                <w:sz w:val="20"/>
                <w:szCs w:val="20"/>
              </w:rPr>
            </w:pPr>
            <w:r w:rsidRPr="00F521F8">
              <w:rPr>
                <w:rFonts w:eastAsiaTheme="minorEastAsia"/>
                <w:noProof/>
                <w:sz w:val="20"/>
                <w:szCs w:val="20"/>
              </w:rPr>
              <w:t xml:space="preserve">2025: </w:t>
            </w:r>
            <w:r w:rsidRPr="00317E8D">
              <w:rPr>
                <w:rFonts w:eastAsiaTheme="minorEastAsia"/>
                <w:b/>
                <w:noProof/>
                <w:sz w:val="20"/>
                <w:szCs w:val="20"/>
              </w:rPr>
              <w:t>EUR</w:t>
            </w:r>
            <w:r>
              <w:rPr>
                <w:rFonts w:eastAsiaTheme="minorEastAsia"/>
                <w:noProof/>
                <w:sz w:val="20"/>
                <w:szCs w:val="20"/>
              </w:rPr>
              <w:t xml:space="preserve"> </w:t>
            </w:r>
            <w:r w:rsidRPr="00F521F8">
              <w:rPr>
                <w:rFonts w:eastAsiaTheme="minorEastAsia"/>
                <w:b/>
                <w:bCs/>
                <w:noProof/>
                <w:sz w:val="20"/>
                <w:szCs w:val="20"/>
              </w:rPr>
              <w:t>650</w:t>
            </w:r>
            <w:r>
              <w:rPr>
                <w:rFonts w:eastAsiaTheme="minorEastAsia"/>
                <w:b/>
                <w:bCs/>
                <w:noProof/>
                <w:sz w:val="20"/>
                <w:szCs w:val="20"/>
              </w:rPr>
              <w:t xml:space="preserve"> 000</w:t>
            </w:r>
          </w:p>
          <w:p w14:paraId="56B03614" w14:textId="77777777" w:rsidR="000A7D9D" w:rsidRPr="00F521F8" w:rsidRDefault="000A7D9D" w:rsidP="00F31937">
            <w:pPr>
              <w:pStyle w:val="BodyText"/>
              <w:tabs>
                <w:tab w:val="left" w:pos="4170"/>
              </w:tabs>
              <w:spacing w:after="0"/>
              <w:rPr>
                <w:rFonts w:eastAsiaTheme="minorEastAsia"/>
                <w:noProof/>
                <w:sz w:val="20"/>
                <w:szCs w:val="20"/>
              </w:rPr>
            </w:pPr>
            <w:r w:rsidRPr="00F521F8">
              <w:rPr>
                <w:rFonts w:eastAsiaTheme="minorEastAsia"/>
                <w:noProof/>
                <w:sz w:val="20"/>
                <w:szCs w:val="20"/>
              </w:rPr>
              <w:t xml:space="preserve">2026: </w:t>
            </w:r>
            <w:r w:rsidRPr="00317E8D">
              <w:rPr>
                <w:rFonts w:eastAsiaTheme="minorEastAsia"/>
                <w:b/>
                <w:noProof/>
                <w:sz w:val="20"/>
                <w:szCs w:val="20"/>
              </w:rPr>
              <w:t>EUR</w:t>
            </w:r>
            <w:r>
              <w:rPr>
                <w:rFonts w:eastAsiaTheme="minorEastAsia"/>
                <w:noProof/>
                <w:sz w:val="20"/>
                <w:szCs w:val="20"/>
              </w:rPr>
              <w:t xml:space="preserve"> </w:t>
            </w:r>
            <w:r w:rsidRPr="00F521F8">
              <w:rPr>
                <w:rFonts w:eastAsiaTheme="minorEastAsia"/>
                <w:b/>
                <w:bCs/>
                <w:noProof/>
                <w:sz w:val="20"/>
                <w:szCs w:val="20"/>
              </w:rPr>
              <w:t>650</w:t>
            </w:r>
            <w:r>
              <w:rPr>
                <w:rFonts w:eastAsiaTheme="minorEastAsia"/>
                <w:b/>
                <w:bCs/>
                <w:noProof/>
                <w:sz w:val="20"/>
                <w:szCs w:val="20"/>
              </w:rPr>
              <w:t xml:space="preserve"> 000</w:t>
            </w:r>
          </w:p>
          <w:p w14:paraId="41178903" w14:textId="77777777" w:rsidR="000A7D9D"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2027: </w:t>
            </w:r>
            <w:r w:rsidRPr="00317E8D">
              <w:rPr>
                <w:rFonts w:eastAsiaTheme="minorEastAsia"/>
                <w:b/>
                <w:noProof/>
                <w:sz w:val="20"/>
                <w:szCs w:val="20"/>
              </w:rPr>
              <w:t>EUR</w:t>
            </w:r>
            <w:r>
              <w:rPr>
                <w:rFonts w:eastAsiaTheme="minorEastAsia"/>
                <w:noProof/>
                <w:sz w:val="20"/>
                <w:szCs w:val="20"/>
              </w:rPr>
              <w:t xml:space="preserve"> </w:t>
            </w:r>
            <w:r w:rsidRPr="00F521F8">
              <w:rPr>
                <w:rFonts w:eastAsiaTheme="minorEastAsia"/>
                <w:b/>
                <w:noProof/>
                <w:sz w:val="20"/>
                <w:szCs w:val="20"/>
              </w:rPr>
              <w:t>200</w:t>
            </w:r>
            <w:r>
              <w:rPr>
                <w:rFonts w:eastAsiaTheme="minorEastAsia"/>
                <w:b/>
                <w:noProof/>
                <w:sz w:val="20"/>
                <w:szCs w:val="20"/>
              </w:rPr>
              <w:t xml:space="preserve"> 000</w:t>
            </w:r>
          </w:p>
          <w:p w14:paraId="3EF01992" w14:textId="77777777" w:rsidR="000A7D9D" w:rsidRPr="00F521F8" w:rsidRDefault="000A7D9D" w:rsidP="00F31937">
            <w:pPr>
              <w:pStyle w:val="BodyText"/>
              <w:tabs>
                <w:tab w:val="left" w:pos="4170"/>
              </w:tabs>
              <w:spacing w:after="0"/>
              <w:rPr>
                <w:rFonts w:eastAsiaTheme="minorEastAsia"/>
                <w:noProof/>
                <w:sz w:val="20"/>
                <w:szCs w:val="20"/>
              </w:rPr>
            </w:pPr>
            <w:r w:rsidRPr="00F521F8">
              <w:rPr>
                <w:rFonts w:eastAsiaTheme="minorEastAsia"/>
                <w:noProof/>
                <w:sz w:val="20"/>
                <w:szCs w:val="20"/>
              </w:rPr>
              <w:t xml:space="preserve">2028: </w:t>
            </w:r>
            <w:r w:rsidRPr="00317E8D">
              <w:rPr>
                <w:rFonts w:eastAsiaTheme="minorEastAsia"/>
                <w:b/>
                <w:noProof/>
                <w:sz w:val="20"/>
                <w:szCs w:val="20"/>
              </w:rPr>
              <w:t xml:space="preserve">EUR </w:t>
            </w:r>
            <w:r w:rsidRPr="00F521F8">
              <w:rPr>
                <w:rFonts w:eastAsiaTheme="minorEastAsia"/>
                <w:b/>
                <w:noProof/>
                <w:sz w:val="20"/>
                <w:szCs w:val="20"/>
              </w:rPr>
              <w:t>200</w:t>
            </w:r>
            <w:r>
              <w:rPr>
                <w:rFonts w:eastAsiaTheme="minorEastAsia"/>
                <w:b/>
                <w:noProof/>
                <w:sz w:val="20"/>
                <w:szCs w:val="20"/>
              </w:rPr>
              <w:t xml:space="preserve"> 000</w:t>
            </w:r>
          </w:p>
          <w:p w14:paraId="1C11DBF2" w14:textId="77777777" w:rsidR="000A7D9D" w:rsidRPr="00F521F8" w:rsidRDefault="000A7D9D" w:rsidP="00F31937">
            <w:pPr>
              <w:pStyle w:val="BodyText"/>
              <w:tabs>
                <w:tab w:val="left" w:pos="4170"/>
              </w:tabs>
              <w:spacing w:after="0"/>
              <w:rPr>
                <w:rFonts w:eastAsiaTheme="minorEastAsia"/>
                <w:noProof/>
                <w:sz w:val="20"/>
                <w:szCs w:val="20"/>
              </w:rPr>
            </w:pPr>
          </w:p>
        </w:tc>
      </w:tr>
      <w:tr w:rsidR="000A7D9D" w:rsidRPr="00BB139D" w14:paraId="6A0E8663" w14:textId="77777777" w:rsidTr="00F31937">
        <w:trPr>
          <w:trHeight w:val="300"/>
        </w:trPr>
        <w:tc>
          <w:tcPr>
            <w:tcW w:w="1035" w:type="dxa"/>
            <w:vMerge/>
            <w:shd w:val="clear" w:color="auto" w:fill="D9D9D9" w:themeFill="background1" w:themeFillShade="D9"/>
          </w:tcPr>
          <w:p w14:paraId="5E7179EE" w14:textId="77777777" w:rsidR="000A7D9D" w:rsidRPr="00F521F8" w:rsidRDefault="000A7D9D" w:rsidP="00F31937">
            <w:pPr>
              <w:pStyle w:val="BodyText"/>
              <w:rPr>
                <w:rFonts w:eastAsiaTheme="minorEastAsia"/>
                <w:noProof/>
                <w:sz w:val="20"/>
                <w:szCs w:val="20"/>
              </w:rPr>
            </w:pPr>
          </w:p>
        </w:tc>
        <w:tc>
          <w:tcPr>
            <w:tcW w:w="3810" w:type="dxa"/>
            <w:vMerge/>
            <w:shd w:val="clear" w:color="auto" w:fill="D9D9D9" w:themeFill="background1" w:themeFillShade="D9"/>
          </w:tcPr>
          <w:p w14:paraId="425F83CA" w14:textId="77777777" w:rsidR="000A7D9D" w:rsidRPr="00F521F8" w:rsidRDefault="000A7D9D" w:rsidP="00F31937">
            <w:pPr>
              <w:pStyle w:val="BodyText"/>
              <w:rPr>
                <w:rFonts w:eastAsiaTheme="minorEastAsia"/>
                <w:noProof/>
                <w:sz w:val="20"/>
                <w:szCs w:val="20"/>
              </w:rPr>
            </w:pPr>
          </w:p>
        </w:tc>
        <w:tc>
          <w:tcPr>
            <w:tcW w:w="2024" w:type="dxa"/>
            <w:shd w:val="clear" w:color="auto" w:fill="D9D9D9" w:themeFill="background1" w:themeFillShade="D9"/>
          </w:tcPr>
          <w:p w14:paraId="654FBE89" w14:textId="77777777" w:rsidR="000A7D9D" w:rsidRPr="00F521F8" w:rsidRDefault="000A7D9D" w:rsidP="00F31937">
            <w:pPr>
              <w:pStyle w:val="BodyText"/>
              <w:tabs>
                <w:tab w:val="left" w:pos="4170"/>
              </w:tabs>
              <w:rPr>
                <w:rFonts w:eastAsiaTheme="minorEastAsia"/>
                <w:noProof/>
                <w:sz w:val="20"/>
                <w:szCs w:val="20"/>
              </w:rPr>
            </w:pPr>
            <w:r w:rsidRPr="00F521F8">
              <w:rPr>
                <w:rFonts w:eastAsiaTheme="minorEastAsia"/>
                <w:noProof/>
                <w:sz w:val="20"/>
                <w:szCs w:val="20"/>
              </w:rPr>
              <w:t>Human resource needs:</w:t>
            </w:r>
          </w:p>
        </w:tc>
        <w:tc>
          <w:tcPr>
            <w:tcW w:w="2760" w:type="dxa"/>
            <w:shd w:val="clear" w:color="auto" w:fill="D9D9D9" w:themeFill="background1" w:themeFillShade="D9"/>
          </w:tcPr>
          <w:p w14:paraId="3F4D8C06"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2025: </w:t>
            </w:r>
            <w:r w:rsidRPr="00F521F8">
              <w:rPr>
                <w:rFonts w:eastAsiaTheme="minorEastAsia"/>
                <w:b/>
                <w:bCs/>
                <w:noProof/>
                <w:sz w:val="20"/>
                <w:szCs w:val="20"/>
                <w:lang w:val="fr-BE"/>
              </w:rPr>
              <w:t>1 TA</w:t>
            </w:r>
            <w:r w:rsidRPr="00F521F8">
              <w:rPr>
                <w:rFonts w:eastAsiaTheme="minorEastAsia"/>
                <w:noProof/>
                <w:sz w:val="20"/>
                <w:szCs w:val="20"/>
                <w:lang w:val="fr-BE"/>
              </w:rPr>
              <w:t xml:space="preserve">, </w:t>
            </w:r>
            <w:r w:rsidRPr="00F521F8">
              <w:rPr>
                <w:rFonts w:eastAsiaTheme="minorEastAsia"/>
                <w:b/>
                <w:noProof/>
                <w:sz w:val="20"/>
                <w:szCs w:val="20"/>
                <w:lang w:val="fr-BE"/>
              </w:rPr>
              <w:t>0 CAs</w:t>
            </w:r>
          </w:p>
          <w:p w14:paraId="1D019E7E"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2026: </w:t>
            </w:r>
            <w:r w:rsidRPr="00F521F8">
              <w:rPr>
                <w:rFonts w:eastAsiaTheme="minorEastAsia"/>
                <w:b/>
                <w:bCs/>
                <w:noProof/>
                <w:sz w:val="20"/>
                <w:szCs w:val="20"/>
                <w:lang w:val="fr-BE"/>
              </w:rPr>
              <w:t>1 TA</w:t>
            </w:r>
            <w:r w:rsidRPr="00F521F8">
              <w:rPr>
                <w:rFonts w:eastAsiaTheme="minorEastAsia"/>
                <w:noProof/>
                <w:sz w:val="20"/>
                <w:szCs w:val="20"/>
                <w:lang w:val="fr-BE"/>
              </w:rPr>
              <w:t xml:space="preserve">, </w:t>
            </w:r>
            <w:r w:rsidRPr="00F521F8">
              <w:rPr>
                <w:rFonts w:eastAsiaTheme="minorEastAsia"/>
                <w:b/>
                <w:noProof/>
                <w:sz w:val="20"/>
                <w:szCs w:val="20"/>
                <w:lang w:val="fr-BE"/>
              </w:rPr>
              <w:t>0 CAs</w:t>
            </w:r>
          </w:p>
          <w:p w14:paraId="622A1938"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2027: </w:t>
            </w:r>
            <w:r w:rsidRPr="00F521F8">
              <w:rPr>
                <w:rFonts w:eastAsiaTheme="minorEastAsia"/>
                <w:b/>
                <w:bCs/>
                <w:noProof/>
                <w:sz w:val="20"/>
                <w:szCs w:val="20"/>
                <w:lang w:val="fr-BE"/>
              </w:rPr>
              <w:t>1 TA</w:t>
            </w:r>
            <w:r w:rsidRPr="00F521F8">
              <w:rPr>
                <w:rFonts w:eastAsiaTheme="minorEastAsia"/>
                <w:noProof/>
                <w:sz w:val="20"/>
                <w:szCs w:val="20"/>
                <w:lang w:val="fr-BE"/>
              </w:rPr>
              <w:t xml:space="preserve">, </w:t>
            </w:r>
            <w:r w:rsidRPr="00F521F8">
              <w:rPr>
                <w:rFonts w:eastAsiaTheme="minorEastAsia"/>
                <w:b/>
                <w:noProof/>
                <w:sz w:val="20"/>
                <w:szCs w:val="20"/>
                <w:lang w:val="fr-BE"/>
              </w:rPr>
              <w:t>0 CAs</w:t>
            </w:r>
          </w:p>
          <w:p w14:paraId="04166432" w14:textId="77777777" w:rsidR="000A7D9D" w:rsidRPr="00317E8D"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2028: </w:t>
            </w:r>
            <w:r w:rsidRPr="00F521F8">
              <w:rPr>
                <w:rFonts w:eastAsiaTheme="minorEastAsia"/>
                <w:b/>
                <w:bCs/>
                <w:noProof/>
                <w:sz w:val="20"/>
                <w:szCs w:val="20"/>
                <w:lang w:val="fr-BE"/>
              </w:rPr>
              <w:t>1 TA</w:t>
            </w:r>
            <w:r w:rsidRPr="00F521F8">
              <w:rPr>
                <w:rFonts w:eastAsiaTheme="minorEastAsia"/>
                <w:noProof/>
                <w:sz w:val="20"/>
                <w:szCs w:val="20"/>
                <w:lang w:val="fr-BE"/>
              </w:rPr>
              <w:t xml:space="preserve">, </w:t>
            </w:r>
            <w:r>
              <w:rPr>
                <w:rFonts w:eastAsiaTheme="minorEastAsia"/>
                <w:b/>
                <w:noProof/>
                <w:sz w:val="20"/>
                <w:szCs w:val="20"/>
                <w:lang w:val="fr-BE"/>
              </w:rPr>
              <w:t>0 CAs</w:t>
            </w:r>
          </w:p>
        </w:tc>
      </w:tr>
      <w:tr w:rsidR="000A7D9D" w14:paraId="736F1307" w14:textId="77777777" w:rsidTr="00F31937">
        <w:trPr>
          <w:trHeight w:val="300"/>
        </w:trPr>
        <w:tc>
          <w:tcPr>
            <w:tcW w:w="1035" w:type="dxa"/>
            <w:vMerge w:val="restart"/>
            <w:shd w:val="clear" w:color="auto" w:fill="D9D9D9" w:themeFill="background1" w:themeFillShade="D9"/>
          </w:tcPr>
          <w:p w14:paraId="4A4674F5" w14:textId="77777777" w:rsidR="000A7D9D" w:rsidRPr="00F521F8" w:rsidRDefault="000A7D9D" w:rsidP="00F31937">
            <w:pPr>
              <w:pStyle w:val="BodyText"/>
              <w:rPr>
                <w:rFonts w:eastAsiaTheme="minorEastAsia"/>
                <w:noProof/>
                <w:sz w:val="20"/>
                <w:szCs w:val="20"/>
              </w:rPr>
            </w:pPr>
            <w:r w:rsidRPr="00F521F8">
              <w:rPr>
                <w:rFonts w:eastAsiaTheme="minorEastAsia"/>
                <w:noProof/>
                <w:sz w:val="20"/>
                <w:szCs w:val="20"/>
              </w:rPr>
              <w:t>EFSA</w:t>
            </w:r>
          </w:p>
        </w:tc>
        <w:tc>
          <w:tcPr>
            <w:tcW w:w="3810" w:type="dxa"/>
            <w:vMerge w:val="restart"/>
            <w:shd w:val="clear" w:color="auto" w:fill="D9D9D9" w:themeFill="background1" w:themeFillShade="D9"/>
          </w:tcPr>
          <w:p w14:paraId="0C01B18D" w14:textId="77777777" w:rsidR="000A7D9D" w:rsidRPr="00F521F8" w:rsidRDefault="000A7D9D" w:rsidP="00F31937">
            <w:pPr>
              <w:spacing w:after="120"/>
              <w:rPr>
                <w:noProof/>
              </w:rPr>
            </w:pPr>
            <w:r w:rsidRPr="00F521F8">
              <w:rPr>
                <w:noProof/>
                <w:lang w:val="en-US"/>
              </w:rPr>
              <w:t xml:space="preserve">Contribution to the development phase  </w:t>
            </w:r>
            <w:r w:rsidRPr="00F521F8">
              <w:rPr>
                <w:noProof/>
              </w:rPr>
              <w:t> </w:t>
            </w:r>
          </w:p>
          <w:p w14:paraId="380519D5" w14:textId="77777777" w:rsidR="000A7D9D" w:rsidRPr="00F521F8" w:rsidRDefault="000A7D9D" w:rsidP="00F31937">
            <w:pPr>
              <w:pStyle w:val="BodyText"/>
              <w:rPr>
                <w:noProof/>
                <w:sz w:val="20"/>
                <w:szCs w:val="20"/>
                <w:lang w:val="en-US"/>
              </w:rPr>
            </w:pPr>
            <w:r w:rsidRPr="13AEFEEB">
              <w:rPr>
                <w:noProof/>
                <w:sz w:val="20"/>
                <w:szCs w:val="20"/>
                <w:lang w:val="en-US"/>
              </w:rPr>
              <w:t>Coordination of and consultation with other agencies contributing to the repository (as part of the common data platform) during development</w:t>
            </w:r>
          </w:p>
          <w:p w14:paraId="36BCCF47" w14:textId="77777777" w:rsidR="000A7D9D" w:rsidRPr="00F521F8" w:rsidRDefault="000A7D9D" w:rsidP="00F31937">
            <w:pPr>
              <w:spacing w:after="120"/>
              <w:rPr>
                <w:noProof/>
                <w:lang w:val="en-US"/>
              </w:rPr>
            </w:pPr>
            <w:r w:rsidRPr="00F521F8">
              <w:rPr>
                <w:noProof/>
                <w:lang w:val="en-US"/>
              </w:rPr>
              <w:t xml:space="preserve">Providing ‘new scientific reference data’   </w:t>
            </w:r>
          </w:p>
          <w:p w14:paraId="0468BAE7" w14:textId="77777777" w:rsidR="000A7D9D" w:rsidRPr="00F521F8" w:rsidRDefault="000A7D9D" w:rsidP="00F31937">
            <w:pPr>
              <w:pStyle w:val="BodyText"/>
              <w:rPr>
                <w:noProof/>
                <w:sz w:val="20"/>
                <w:szCs w:val="20"/>
                <w:lang w:val="en-US"/>
              </w:rPr>
            </w:pPr>
            <w:r w:rsidRPr="00F521F8">
              <w:rPr>
                <w:noProof/>
                <w:sz w:val="20"/>
                <w:szCs w:val="20"/>
                <w:lang w:val="en-US"/>
              </w:rPr>
              <w:t>Providing ‘old scientific reference values’</w:t>
            </w:r>
          </w:p>
        </w:tc>
        <w:tc>
          <w:tcPr>
            <w:tcW w:w="2024" w:type="dxa"/>
            <w:shd w:val="clear" w:color="auto" w:fill="D9D9D9" w:themeFill="background1" w:themeFillShade="D9"/>
          </w:tcPr>
          <w:p w14:paraId="40D6D6CE" w14:textId="77777777" w:rsidR="000A7D9D" w:rsidRPr="00F521F8" w:rsidRDefault="000A7D9D" w:rsidP="00F31937">
            <w:pPr>
              <w:pStyle w:val="BodyText"/>
              <w:tabs>
                <w:tab w:val="left" w:pos="4170"/>
              </w:tabs>
              <w:rPr>
                <w:rFonts w:eastAsiaTheme="minorEastAsia"/>
                <w:noProof/>
                <w:sz w:val="20"/>
                <w:szCs w:val="20"/>
              </w:rPr>
            </w:pPr>
            <w:r w:rsidRPr="00F521F8">
              <w:rPr>
                <w:rFonts w:eastAsiaTheme="minorEastAsia"/>
                <w:noProof/>
                <w:sz w:val="20"/>
                <w:szCs w:val="20"/>
              </w:rPr>
              <w:t>Financial resource needs:</w:t>
            </w:r>
          </w:p>
        </w:tc>
        <w:tc>
          <w:tcPr>
            <w:tcW w:w="2760" w:type="dxa"/>
            <w:shd w:val="clear" w:color="auto" w:fill="D9D9D9" w:themeFill="background1" w:themeFillShade="D9"/>
          </w:tcPr>
          <w:p w14:paraId="0CFB8118"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2025: </w:t>
            </w:r>
            <w:r w:rsidRPr="00317E8D">
              <w:rPr>
                <w:rFonts w:eastAsiaTheme="minorEastAsia"/>
                <w:b/>
                <w:noProof/>
                <w:sz w:val="20"/>
                <w:szCs w:val="20"/>
              </w:rPr>
              <w:t>EUR</w:t>
            </w:r>
            <w:r>
              <w:rPr>
                <w:rFonts w:eastAsiaTheme="minorEastAsia"/>
                <w:noProof/>
                <w:sz w:val="20"/>
                <w:szCs w:val="20"/>
              </w:rPr>
              <w:t xml:space="preserve"> </w:t>
            </w:r>
            <w:r w:rsidRPr="00F521F8">
              <w:rPr>
                <w:rFonts w:eastAsiaTheme="minorEastAsia"/>
                <w:b/>
                <w:noProof/>
                <w:sz w:val="20"/>
                <w:szCs w:val="20"/>
              </w:rPr>
              <w:t>0</w:t>
            </w:r>
          </w:p>
          <w:p w14:paraId="27942A8C"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2026: </w:t>
            </w:r>
            <w:r w:rsidRPr="00317E8D">
              <w:rPr>
                <w:rFonts w:eastAsiaTheme="minorEastAsia"/>
                <w:b/>
                <w:noProof/>
                <w:sz w:val="20"/>
                <w:szCs w:val="20"/>
              </w:rPr>
              <w:t>EUR</w:t>
            </w:r>
            <w:r>
              <w:rPr>
                <w:rFonts w:eastAsiaTheme="minorEastAsia"/>
                <w:noProof/>
                <w:sz w:val="20"/>
                <w:szCs w:val="20"/>
              </w:rPr>
              <w:t xml:space="preserve"> </w:t>
            </w:r>
            <w:r>
              <w:rPr>
                <w:rFonts w:eastAsiaTheme="minorEastAsia"/>
                <w:b/>
                <w:noProof/>
                <w:sz w:val="20"/>
                <w:szCs w:val="20"/>
              </w:rPr>
              <w:t>0</w:t>
            </w:r>
          </w:p>
          <w:p w14:paraId="7A30F281"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2027: </w:t>
            </w:r>
            <w:r w:rsidRPr="00317E8D">
              <w:rPr>
                <w:rFonts w:eastAsiaTheme="minorEastAsia"/>
                <w:b/>
                <w:noProof/>
                <w:sz w:val="20"/>
                <w:szCs w:val="20"/>
              </w:rPr>
              <w:t>EUR</w:t>
            </w:r>
            <w:r>
              <w:rPr>
                <w:rFonts w:eastAsiaTheme="minorEastAsia"/>
                <w:noProof/>
                <w:sz w:val="20"/>
                <w:szCs w:val="20"/>
              </w:rPr>
              <w:t xml:space="preserve"> </w:t>
            </w:r>
            <w:r w:rsidRPr="00F521F8">
              <w:rPr>
                <w:rFonts w:eastAsiaTheme="minorEastAsia"/>
                <w:b/>
                <w:noProof/>
                <w:sz w:val="20"/>
                <w:szCs w:val="20"/>
              </w:rPr>
              <w:t>0</w:t>
            </w:r>
          </w:p>
          <w:p w14:paraId="42D4412A"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2028: </w:t>
            </w:r>
            <w:r w:rsidRPr="00317E8D">
              <w:rPr>
                <w:rFonts w:eastAsiaTheme="minorEastAsia"/>
                <w:b/>
                <w:noProof/>
                <w:sz w:val="20"/>
                <w:szCs w:val="20"/>
              </w:rPr>
              <w:t>EUR</w:t>
            </w:r>
            <w:r>
              <w:rPr>
                <w:rFonts w:eastAsiaTheme="minorEastAsia"/>
                <w:noProof/>
                <w:sz w:val="20"/>
                <w:szCs w:val="20"/>
              </w:rPr>
              <w:t xml:space="preserve"> </w:t>
            </w:r>
            <w:r>
              <w:rPr>
                <w:rFonts w:eastAsiaTheme="minorEastAsia"/>
                <w:b/>
                <w:noProof/>
                <w:sz w:val="20"/>
                <w:szCs w:val="20"/>
              </w:rPr>
              <w:t>0</w:t>
            </w:r>
          </w:p>
          <w:p w14:paraId="63D4BD4D" w14:textId="77777777" w:rsidR="000A7D9D" w:rsidRPr="00F521F8" w:rsidRDefault="000A7D9D" w:rsidP="00F31937">
            <w:pPr>
              <w:pStyle w:val="BodyText"/>
              <w:tabs>
                <w:tab w:val="left" w:pos="4170"/>
              </w:tabs>
              <w:spacing w:after="0"/>
              <w:rPr>
                <w:rFonts w:eastAsiaTheme="minorEastAsia"/>
                <w:noProof/>
                <w:sz w:val="20"/>
                <w:szCs w:val="20"/>
              </w:rPr>
            </w:pPr>
          </w:p>
        </w:tc>
      </w:tr>
      <w:tr w:rsidR="000A7D9D" w:rsidRPr="00BB139D" w14:paraId="3B4E35C1" w14:textId="77777777" w:rsidTr="00F31937">
        <w:trPr>
          <w:trHeight w:val="300"/>
        </w:trPr>
        <w:tc>
          <w:tcPr>
            <w:tcW w:w="1035" w:type="dxa"/>
            <w:vMerge/>
            <w:shd w:val="clear" w:color="auto" w:fill="D9D9D9" w:themeFill="background1" w:themeFillShade="D9"/>
          </w:tcPr>
          <w:p w14:paraId="0739EE81" w14:textId="77777777" w:rsidR="000A7D9D" w:rsidRPr="00F521F8" w:rsidRDefault="000A7D9D" w:rsidP="00F31937">
            <w:pPr>
              <w:pStyle w:val="BodyText"/>
              <w:rPr>
                <w:rFonts w:eastAsiaTheme="minorEastAsia"/>
                <w:noProof/>
                <w:sz w:val="20"/>
                <w:szCs w:val="20"/>
              </w:rPr>
            </w:pPr>
          </w:p>
        </w:tc>
        <w:tc>
          <w:tcPr>
            <w:tcW w:w="3810" w:type="dxa"/>
            <w:vMerge/>
            <w:shd w:val="clear" w:color="auto" w:fill="D9D9D9" w:themeFill="background1" w:themeFillShade="D9"/>
          </w:tcPr>
          <w:p w14:paraId="547F812F" w14:textId="77777777" w:rsidR="000A7D9D" w:rsidRPr="00F521F8" w:rsidRDefault="000A7D9D" w:rsidP="00F31937">
            <w:pPr>
              <w:pStyle w:val="BodyText"/>
              <w:rPr>
                <w:rFonts w:eastAsiaTheme="minorEastAsia"/>
                <w:noProof/>
                <w:sz w:val="20"/>
                <w:szCs w:val="20"/>
              </w:rPr>
            </w:pPr>
          </w:p>
        </w:tc>
        <w:tc>
          <w:tcPr>
            <w:tcW w:w="2024" w:type="dxa"/>
            <w:shd w:val="clear" w:color="auto" w:fill="D9D9D9" w:themeFill="background1" w:themeFillShade="D9"/>
          </w:tcPr>
          <w:p w14:paraId="3A8BDC5D" w14:textId="77777777" w:rsidR="000A7D9D" w:rsidRPr="00F521F8" w:rsidRDefault="000A7D9D" w:rsidP="00F31937">
            <w:pPr>
              <w:pStyle w:val="BodyText"/>
              <w:tabs>
                <w:tab w:val="left" w:pos="4170"/>
              </w:tabs>
              <w:rPr>
                <w:rFonts w:eastAsiaTheme="minorEastAsia"/>
                <w:noProof/>
                <w:sz w:val="20"/>
                <w:szCs w:val="20"/>
              </w:rPr>
            </w:pPr>
            <w:r w:rsidRPr="00F521F8">
              <w:rPr>
                <w:rFonts w:eastAsiaTheme="minorEastAsia"/>
                <w:noProof/>
                <w:sz w:val="20"/>
                <w:szCs w:val="20"/>
              </w:rPr>
              <w:t>Human resource needs:</w:t>
            </w:r>
          </w:p>
        </w:tc>
        <w:tc>
          <w:tcPr>
            <w:tcW w:w="2760" w:type="dxa"/>
            <w:shd w:val="clear" w:color="auto" w:fill="D9D9D9" w:themeFill="background1" w:themeFillShade="D9"/>
          </w:tcPr>
          <w:p w14:paraId="2291B208" w14:textId="77777777" w:rsidR="000A7D9D" w:rsidRPr="00F521F8" w:rsidRDefault="000A7D9D" w:rsidP="00F31937">
            <w:pPr>
              <w:pStyle w:val="BodyText"/>
              <w:tabs>
                <w:tab w:val="left" w:pos="4170"/>
              </w:tabs>
              <w:spacing w:after="0"/>
              <w:rPr>
                <w:noProof/>
                <w:sz w:val="20"/>
                <w:szCs w:val="20"/>
              </w:rPr>
            </w:pPr>
            <w:r w:rsidRPr="00F521F8">
              <w:rPr>
                <w:noProof/>
                <w:sz w:val="20"/>
                <w:szCs w:val="20"/>
              </w:rPr>
              <w:t>Covered by EU common data platform on chemicals resource</w:t>
            </w:r>
          </w:p>
          <w:p w14:paraId="4A679301"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2025: </w:t>
            </w:r>
            <w:r>
              <w:rPr>
                <w:rFonts w:eastAsiaTheme="minorEastAsia"/>
                <w:b/>
                <w:noProof/>
                <w:sz w:val="20"/>
                <w:szCs w:val="20"/>
                <w:lang w:val="fr-BE"/>
              </w:rPr>
              <w:t>0 FTEs</w:t>
            </w:r>
          </w:p>
          <w:p w14:paraId="027F6CC0"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2026: </w:t>
            </w:r>
            <w:r w:rsidRPr="00F521F8">
              <w:rPr>
                <w:rFonts w:eastAsiaTheme="minorEastAsia"/>
                <w:b/>
                <w:noProof/>
                <w:sz w:val="20"/>
                <w:szCs w:val="20"/>
                <w:lang w:val="fr-BE"/>
              </w:rPr>
              <w:t xml:space="preserve">0 </w:t>
            </w:r>
            <w:r>
              <w:rPr>
                <w:rFonts w:eastAsiaTheme="minorEastAsia"/>
                <w:b/>
                <w:noProof/>
                <w:sz w:val="20"/>
                <w:szCs w:val="20"/>
                <w:lang w:val="fr-BE"/>
              </w:rPr>
              <w:t>FTEs</w:t>
            </w:r>
          </w:p>
          <w:p w14:paraId="6D7BBDFD"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2027: </w:t>
            </w:r>
            <w:r w:rsidRPr="00F521F8">
              <w:rPr>
                <w:rFonts w:eastAsiaTheme="minorEastAsia"/>
                <w:b/>
                <w:noProof/>
                <w:sz w:val="20"/>
                <w:szCs w:val="20"/>
                <w:lang w:val="fr-BE"/>
              </w:rPr>
              <w:t xml:space="preserve">0 </w:t>
            </w:r>
            <w:r>
              <w:rPr>
                <w:rFonts w:eastAsiaTheme="minorEastAsia"/>
                <w:b/>
                <w:noProof/>
                <w:sz w:val="20"/>
                <w:szCs w:val="20"/>
                <w:lang w:val="fr-BE"/>
              </w:rPr>
              <w:t>FTEs</w:t>
            </w:r>
          </w:p>
          <w:p w14:paraId="3F34949D"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2028: </w:t>
            </w:r>
            <w:r w:rsidRPr="00F521F8">
              <w:rPr>
                <w:rFonts w:eastAsiaTheme="minorEastAsia"/>
                <w:b/>
                <w:noProof/>
                <w:sz w:val="20"/>
                <w:szCs w:val="20"/>
                <w:lang w:val="fr-BE"/>
              </w:rPr>
              <w:t xml:space="preserve">0 </w:t>
            </w:r>
            <w:r>
              <w:rPr>
                <w:rFonts w:eastAsiaTheme="minorEastAsia"/>
                <w:b/>
                <w:noProof/>
                <w:sz w:val="20"/>
                <w:szCs w:val="20"/>
                <w:lang w:val="fr-BE"/>
              </w:rPr>
              <w:t>FTEs</w:t>
            </w:r>
          </w:p>
          <w:p w14:paraId="5F36259F" w14:textId="77777777" w:rsidR="000A7D9D" w:rsidRPr="00F521F8" w:rsidRDefault="000A7D9D" w:rsidP="00F31937">
            <w:pPr>
              <w:pStyle w:val="BodyText"/>
              <w:tabs>
                <w:tab w:val="left" w:pos="4170"/>
              </w:tabs>
              <w:spacing w:after="0"/>
              <w:rPr>
                <w:rFonts w:eastAsiaTheme="minorEastAsia"/>
                <w:noProof/>
                <w:sz w:val="20"/>
                <w:szCs w:val="20"/>
                <w:lang w:val="fr-BE"/>
              </w:rPr>
            </w:pPr>
          </w:p>
        </w:tc>
      </w:tr>
      <w:tr w:rsidR="000A7D9D" w14:paraId="15453C8C" w14:textId="77777777" w:rsidTr="00F31937">
        <w:trPr>
          <w:trHeight w:val="300"/>
        </w:trPr>
        <w:tc>
          <w:tcPr>
            <w:tcW w:w="1035" w:type="dxa"/>
            <w:vMerge w:val="restart"/>
            <w:shd w:val="clear" w:color="auto" w:fill="D9D9D9" w:themeFill="background1" w:themeFillShade="D9"/>
          </w:tcPr>
          <w:p w14:paraId="427103A8" w14:textId="77777777" w:rsidR="000A7D9D" w:rsidRPr="00F521F8" w:rsidRDefault="000A7D9D" w:rsidP="00F31937">
            <w:pPr>
              <w:pStyle w:val="BodyText"/>
              <w:rPr>
                <w:rFonts w:eastAsiaTheme="minorEastAsia"/>
                <w:noProof/>
                <w:sz w:val="20"/>
                <w:szCs w:val="20"/>
              </w:rPr>
            </w:pPr>
            <w:r w:rsidRPr="00F521F8">
              <w:rPr>
                <w:rFonts w:eastAsiaTheme="minorEastAsia"/>
                <w:noProof/>
                <w:sz w:val="20"/>
                <w:szCs w:val="20"/>
              </w:rPr>
              <w:t>EMA</w:t>
            </w:r>
          </w:p>
        </w:tc>
        <w:tc>
          <w:tcPr>
            <w:tcW w:w="3810" w:type="dxa"/>
            <w:vMerge w:val="restart"/>
            <w:shd w:val="clear" w:color="auto" w:fill="D9D9D9" w:themeFill="background1" w:themeFillShade="D9"/>
          </w:tcPr>
          <w:p w14:paraId="04A61602" w14:textId="77777777" w:rsidR="000A7D9D" w:rsidRPr="00F521F8" w:rsidRDefault="000A7D9D" w:rsidP="00F31937">
            <w:pPr>
              <w:spacing w:after="120"/>
              <w:rPr>
                <w:noProof/>
              </w:rPr>
            </w:pPr>
            <w:r w:rsidRPr="00F521F8">
              <w:rPr>
                <w:noProof/>
                <w:lang w:val="en-US"/>
              </w:rPr>
              <w:t xml:space="preserve">Contribution to the development phase  </w:t>
            </w:r>
            <w:r w:rsidRPr="00F521F8">
              <w:rPr>
                <w:noProof/>
              </w:rPr>
              <w:t> </w:t>
            </w:r>
          </w:p>
          <w:p w14:paraId="72A6F343" w14:textId="77777777" w:rsidR="000A7D9D" w:rsidRPr="00F521F8" w:rsidRDefault="000A7D9D" w:rsidP="00F31937">
            <w:pPr>
              <w:pStyle w:val="BodyText"/>
              <w:rPr>
                <w:noProof/>
                <w:sz w:val="20"/>
                <w:szCs w:val="20"/>
                <w:lang w:val="en-US"/>
              </w:rPr>
            </w:pPr>
            <w:r w:rsidRPr="13AEFEEB">
              <w:rPr>
                <w:noProof/>
                <w:sz w:val="20"/>
                <w:szCs w:val="20"/>
                <w:lang w:val="en-US"/>
              </w:rPr>
              <w:t>Coordination of and consultation with other agencies contributing to the repository (as part of the common data platform on chemicals) during development</w:t>
            </w:r>
          </w:p>
          <w:p w14:paraId="09CF3573" w14:textId="77777777" w:rsidR="000A7D9D" w:rsidRPr="00F521F8" w:rsidRDefault="000A7D9D" w:rsidP="00F31937">
            <w:pPr>
              <w:spacing w:after="120"/>
              <w:rPr>
                <w:noProof/>
                <w:lang w:val="en-US"/>
              </w:rPr>
            </w:pPr>
            <w:r w:rsidRPr="13AEFEEB">
              <w:rPr>
                <w:noProof/>
                <w:lang w:val="en-US"/>
              </w:rPr>
              <w:t>Providing ‘new scientific reference data’ (</w:t>
            </w:r>
            <w:r>
              <w:rPr>
                <w:noProof/>
                <w:lang w:val="en-US"/>
              </w:rPr>
              <w:t xml:space="preserve">i.e. </w:t>
            </w:r>
            <w:r w:rsidRPr="13AEFEEB">
              <w:rPr>
                <w:noProof/>
                <w:lang w:val="en-US"/>
              </w:rPr>
              <w:t xml:space="preserve">PNECs)  </w:t>
            </w:r>
          </w:p>
          <w:p w14:paraId="6D4223AA" w14:textId="77777777" w:rsidR="000A7D9D" w:rsidRPr="00F521F8" w:rsidRDefault="000A7D9D" w:rsidP="00F31937">
            <w:pPr>
              <w:pStyle w:val="BodyText"/>
              <w:rPr>
                <w:noProof/>
                <w:sz w:val="20"/>
                <w:szCs w:val="20"/>
                <w:lang w:val="en-US"/>
              </w:rPr>
            </w:pPr>
          </w:p>
        </w:tc>
        <w:tc>
          <w:tcPr>
            <w:tcW w:w="2024" w:type="dxa"/>
            <w:shd w:val="clear" w:color="auto" w:fill="D9D9D9" w:themeFill="background1" w:themeFillShade="D9"/>
          </w:tcPr>
          <w:p w14:paraId="1D5F1504" w14:textId="77777777" w:rsidR="000A7D9D" w:rsidRPr="00F521F8" w:rsidRDefault="000A7D9D" w:rsidP="00F31937">
            <w:pPr>
              <w:pStyle w:val="BodyText"/>
              <w:tabs>
                <w:tab w:val="left" w:pos="4170"/>
              </w:tabs>
              <w:rPr>
                <w:rFonts w:eastAsiaTheme="minorEastAsia"/>
                <w:noProof/>
                <w:sz w:val="20"/>
                <w:szCs w:val="20"/>
              </w:rPr>
            </w:pPr>
            <w:r w:rsidRPr="00F521F8">
              <w:rPr>
                <w:rFonts w:eastAsiaTheme="minorEastAsia"/>
                <w:noProof/>
                <w:sz w:val="20"/>
                <w:szCs w:val="20"/>
              </w:rPr>
              <w:t>Financial resource needs:</w:t>
            </w:r>
          </w:p>
        </w:tc>
        <w:tc>
          <w:tcPr>
            <w:tcW w:w="2760" w:type="dxa"/>
            <w:shd w:val="clear" w:color="auto" w:fill="D9D9D9" w:themeFill="background1" w:themeFillShade="D9"/>
          </w:tcPr>
          <w:p w14:paraId="63B5EF6D" w14:textId="77777777" w:rsidR="000A7D9D" w:rsidRPr="00F521F8" w:rsidRDefault="000A7D9D" w:rsidP="00F31937">
            <w:pPr>
              <w:pStyle w:val="BodyText"/>
              <w:tabs>
                <w:tab w:val="left" w:pos="4170"/>
              </w:tabs>
              <w:spacing w:after="0"/>
              <w:rPr>
                <w:rFonts w:eastAsiaTheme="minorEastAsia"/>
                <w:noProof/>
                <w:sz w:val="20"/>
                <w:szCs w:val="20"/>
              </w:rPr>
            </w:pPr>
            <w:r w:rsidRPr="00F521F8">
              <w:rPr>
                <w:rFonts w:eastAsiaTheme="minorEastAsia"/>
                <w:noProof/>
                <w:sz w:val="20"/>
                <w:szCs w:val="20"/>
              </w:rPr>
              <w:t xml:space="preserve">2025: </w:t>
            </w:r>
            <w:r>
              <w:rPr>
                <w:rFonts w:eastAsiaTheme="minorEastAsia"/>
                <w:b/>
                <w:bCs/>
                <w:noProof/>
                <w:sz w:val="20"/>
                <w:szCs w:val="20"/>
              </w:rPr>
              <w:t>EUR 0</w:t>
            </w:r>
          </w:p>
          <w:p w14:paraId="55AF128C" w14:textId="77777777" w:rsidR="000A7D9D" w:rsidRPr="00F521F8" w:rsidRDefault="000A7D9D" w:rsidP="00F31937">
            <w:pPr>
              <w:pStyle w:val="BodyText"/>
              <w:tabs>
                <w:tab w:val="left" w:pos="4170"/>
              </w:tabs>
              <w:spacing w:after="0"/>
              <w:rPr>
                <w:rFonts w:eastAsiaTheme="minorEastAsia"/>
                <w:noProof/>
                <w:sz w:val="20"/>
                <w:szCs w:val="20"/>
              </w:rPr>
            </w:pPr>
            <w:r w:rsidRPr="00F521F8">
              <w:rPr>
                <w:rFonts w:eastAsiaTheme="minorEastAsia"/>
                <w:noProof/>
                <w:sz w:val="20"/>
                <w:szCs w:val="20"/>
              </w:rPr>
              <w:t xml:space="preserve">2026: </w:t>
            </w:r>
            <w:r>
              <w:rPr>
                <w:rFonts w:eastAsiaTheme="minorEastAsia"/>
                <w:b/>
                <w:bCs/>
                <w:noProof/>
                <w:sz w:val="20"/>
                <w:szCs w:val="20"/>
              </w:rPr>
              <w:t>EUR 0</w:t>
            </w:r>
          </w:p>
          <w:p w14:paraId="3867588E"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2027: </w:t>
            </w:r>
            <w:r w:rsidRPr="00317E8D">
              <w:rPr>
                <w:rFonts w:eastAsiaTheme="minorEastAsia"/>
                <w:b/>
                <w:noProof/>
                <w:sz w:val="20"/>
                <w:szCs w:val="20"/>
              </w:rPr>
              <w:t>EUR</w:t>
            </w:r>
            <w:r>
              <w:rPr>
                <w:rFonts w:eastAsiaTheme="minorEastAsia"/>
                <w:noProof/>
                <w:sz w:val="20"/>
                <w:szCs w:val="20"/>
              </w:rPr>
              <w:t xml:space="preserve"> </w:t>
            </w:r>
            <w:r w:rsidRPr="00F521F8">
              <w:rPr>
                <w:rFonts w:eastAsiaTheme="minorEastAsia"/>
                <w:b/>
                <w:noProof/>
                <w:sz w:val="20"/>
                <w:szCs w:val="20"/>
              </w:rPr>
              <w:t>0</w:t>
            </w:r>
          </w:p>
          <w:p w14:paraId="6FBD154D"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2028: </w:t>
            </w:r>
            <w:r w:rsidRPr="00317E8D">
              <w:rPr>
                <w:rFonts w:eastAsiaTheme="minorEastAsia"/>
                <w:b/>
                <w:noProof/>
                <w:sz w:val="20"/>
                <w:szCs w:val="20"/>
              </w:rPr>
              <w:t>EUR</w:t>
            </w:r>
            <w:r>
              <w:rPr>
                <w:rFonts w:eastAsiaTheme="minorEastAsia"/>
                <w:noProof/>
                <w:sz w:val="20"/>
                <w:szCs w:val="20"/>
              </w:rPr>
              <w:t xml:space="preserve"> </w:t>
            </w:r>
            <w:r w:rsidRPr="00F521F8">
              <w:rPr>
                <w:rFonts w:eastAsiaTheme="minorEastAsia"/>
                <w:b/>
                <w:noProof/>
                <w:sz w:val="20"/>
                <w:szCs w:val="20"/>
              </w:rPr>
              <w:t>0</w:t>
            </w:r>
          </w:p>
          <w:p w14:paraId="43E72362" w14:textId="77777777" w:rsidR="000A7D9D" w:rsidRPr="00F521F8" w:rsidRDefault="000A7D9D" w:rsidP="00F31937">
            <w:pPr>
              <w:pStyle w:val="BodyText"/>
              <w:tabs>
                <w:tab w:val="left" w:pos="4170"/>
              </w:tabs>
              <w:spacing w:after="0"/>
              <w:rPr>
                <w:rFonts w:eastAsiaTheme="minorEastAsia"/>
                <w:noProof/>
                <w:sz w:val="20"/>
                <w:szCs w:val="20"/>
              </w:rPr>
            </w:pPr>
          </w:p>
        </w:tc>
      </w:tr>
      <w:tr w:rsidR="000A7D9D" w:rsidRPr="00BB139D" w14:paraId="65DFE7DD" w14:textId="77777777" w:rsidTr="00F31937">
        <w:trPr>
          <w:trHeight w:val="300"/>
        </w:trPr>
        <w:tc>
          <w:tcPr>
            <w:tcW w:w="1035" w:type="dxa"/>
            <w:vMerge/>
            <w:shd w:val="clear" w:color="auto" w:fill="D9D9D9" w:themeFill="background1" w:themeFillShade="D9"/>
          </w:tcPr>
          <w:p w14:paraId="1C308773" w14:textId="77777777" w:rsidR="000A7D9D" w:rsidRPr="00F521F8" w:rsidRDefault="000A7D9D" w:rsidP="00F31937">
            <w:pPr>
              <w:pStyle w:val="BodyText"/>
              <w:rPr>
                <w:rFonts w:eastAsiaTheme="minorEastAsia"/>
                <w:noProof/>
                <w:sz w:val="20"/>
                <w:szCs w:val="20"/>
              </w:rPr>
            </w:pPr>
          </w:p>
        </w:tc>
        <w:tc>
          <w:tcPr>
            <w:tcW w:w="3810" w:type="dxa"/>
            <w:vMerge/>
            <w:shd w:val="clear" w:color="auto" w:fill="D9D9D9" w:themeFill="background1" w:themeFillShade="D9"/>
          </w:tcPr>
          <w:p w14:paraId="0CC91049" w14:textId="77777777" w:rsidR="000A7D9D" w:rsidRPr="00F521F8" w:rsidRDefault="000A7D9D" w:rsidP="00F31937">
            <w:pPr>
              <w:pStyle w:val="BodyText"/>
              <w:rPr>
                <w:rFonts w:eastAsiaTheme="minorEastAsia"/>
                <w:noProof/>
                <w:sz w:val="20"/>
                <w:szCs w:val="20"/>
              </w:rPr>
            </w:pPr>
          </w:p>
        </w:tc>
        <w:tc>
          <w:tcPr>
            <w:tcW w:w="2024" w:type="dxa"/>
            <w:shd w:val="clear" w:color="auto" w:fill="D9D9D9" w:themeFill="background1" w:themeFillShade="D9"/>
          </w:tcPr>
          <w:p w14:paraId="18827B44" w14:textId="77777777" w:rsidR="000A7D9D" w:rsidRPr="00F521F8" w:rsidRDefault="000A7D9D" w:rsidP="00F31937">
            <w:pPr>
              <w:pStyle w:val="BodyText"/>
              <w:tabs>
                <w:tab w:val="left" w:pos="4170"/>
              </w:tabs>
              <w:rPr>
                <w:rFonts w:eastAsiaTheme="minorEastAsia"/>
                <w:noProof/>
                <w:sz w:val="20"/>
                <w:szCs w:val="20"/>
              </w:rPr>
            </w:pPr>
            <w:r w:rsidRPr="00F521F8">
              <w:rPr>
                <w:rFonts w:eastAsiaTheme="minorEastAsia"/>
                <w:noProof/>
                <w:sz w:val="20"/>
                <w:szCs w:val="20"/>
              </w:rPr>
              <w:t>Human resource needs:</w:t>
            </w:r>
          </w:p>
        </w:tc>
        <w:tc>
          <w:tcPr>
            <w:tcW w:w="2760" w:type="dxa"/>
            <w:shd w:val="clear" w:color="auto" w:fill="D9D9D9" w:themeFill="background1" w:themeFillShade="D9"/>
          </w:tcPr>
          <w:p w14:paraId="60BFA2C3" w14:textId="77777777" w:rsidR="000A7D9D" w:rsidRPr="00F521F8" w:rsidRDefault="000A7D9D" w:rsidP="00F31937">
            <w:pPr>
              <w:pStyle w:val="BodyText"/>
              <w:tabs>
                <w:tab w:val="left" w:pos="4170"/>
              </w:tabs>
              <w:spacing w:after="0"/>
              <w:rPr>
                <w:noProof/>
                <w:sz w:val="20"/>
                <w:szCs w:val="20"/>
              </w:rPr>
            </w:pPr>
            <w:r w:rsidRPr="00F521F8">
              <w:rPr>
                <w:noProof/>
                <w:sz w:val="20"/>
                <w:szCs w:val="20"/>
              </w:rPr>
              <w:t xml:space="preserve">Covered by EU common data platform on chemicals resource </w:t>
            </w:r>
          </w:p>
          <w:p w14:paraId="32D4027C" w14:textId="77777777" w:rsidR="000A7D9D" w:rsidRPr="00F521F8" w:rsidRDefault="000A7D9D" w:rsidP="00F31937">
            <w:pPr>
              <w:pStyle w:val="BodyText"/>
              <w:tabs>
                <w:tab w:val="left" w:pos="4170"/>
              </w:tabs>
              <w:spacing w:after="0"/>
              <w:rPr>
                <w:rFonts w:eastAsiaTheme="minorEastAsia"/>
                <w:noProof/>
                <w:sz w:val="20"/>
                <w:szCs w:val="20"/>
                <w:lang w:val="fr-BE"/>
              </w:rPr>
            </w:pPr>
            <w:r w:rsidRPr="00F521F8">
              <w:rPr>
                <w:rFonts w:eastAsiaTheme="minorEastAsia"/>
                <w:noProof/>
                <w:sz w:val="20"/>
                <w:szCs w:val="20"/>
                <w:lang w:val="fr-BE"/>
              </w:rPr>
              <w:t xml:space="preserve">2025: </w:t>
            </w:r>
            <w:r w:rsidRPr="00F521F8">
              <w:rPr>
                <w:rFonts w:eastAsiaTheme="minorEastAsia"/>
                <w:b/>
                <w:noProof/>
                <w:sz w:val="20"/>
                <w:szCs w:val="20"/>
                <w:lang w:val="fr-BE"/>
              </w:rPr>
              <w:t xml:space="preserve">0 </w:t>
            </w:r>
            <w:r>
              <w:rPr>
                <w:rFonts w:eastAsiaTheme="minorEastAsia"/>
                <w:b/>
                <w:noProof/>
                <w:sz w:val="20"/>
                <w:szCs w:val="20"/>
                <w:lang w:val="fr-BE"/>
              </w:rPr>
              <w:t>FTEs</w:t>
            </w:r>
          </w:p>
          <w:p w14:paraId="0A701B41"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2026: </w:t>
            </w:r>
            <w:r w:rsidRPr="00F521F8">
              <w:rPr>
                <w:rFonts w:eastAsiaTheme="minorEastAsia"/>
                <w:b/>
                <w:noProof/>
                <w:sz w:val="20"/>
                <w:szCs w:val="20"/>
                <w:lang w:val="fr-BE"/>
              </w:rPr>
              <w:t xml:space="preserve">0 </w:t>
            </w:r>
            <w:r>
              <w:rPr>
                <w:rFonts w:eastAsiaTheme="minorEastAsia"/>
                <w:b/>
                <w:noProof/>
                <w:sz w:val="20"/>
                <w:szCs w:val="20"/>
                <w:lang w:val="fr-BE"/>
              </w:rPr>
              <w:t>FTEs</w:t>
            </w:r>
          </w:p>
          <w:p w14:paraId="09D235AD"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2027: </w:t>
            </w:r>
            <w:r w:rsidRPr="00F521F8">
              <w:rPr>
                <w:rFonts w:eastAsiaTheme="minorEastAsia"/>
                <w:b/>
                <w:noProof/>
                <w:sz w:val="20"/>
                <w:szCs w:val="20"/>
                <w:lang w:val="fr-BE"/>
              </w:rPr>
              <w:t xml:space="preserve">0 </w:t>
            </w:r>
            <w:r>
              <w:rPr>
                <w:rFonts w:eastAsiaTheme="minorEastAsia"/>
                <w:b/>
                <w:noProof/>
                <w:sz w:val="20"/>
                <w:szCs w:val="20"/>
                <w:lang w:val="fr-BE"/>
              </w:rPr>
              <w:t>FTEs</w:t>
            </w:r>
          </w:p>
          <w:p w14:paraId="6061F600"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2028: </w:t>
            </w:r>
            <w:r w:rsidRPr="00F521F8">
              <w:rPr>
                <w:rFonts w:eastAsiaTheme="minorEastAsia"/>
                <w:b/>
                <w:noProof/>
                <w:sz w:val="20"/>
                <w:szCs w:val="20"/>
                <w:lang w:val="fr-BE"/>
              </w:rPr>
              <w:t xml:space="preserve">0 </w:t>
            </w:r>
            <w:r>
              <w:rPr>
                <w:rFonts w:eastAsiaTheme="minorEastAsia"/>
                <w:b/>
                <w:noProof/>
                <w:sz w:val="20"/>
                <w:szCs w:val="20"/>
                <w:lang w:val="fr-BE"/>
              </w:rPr>
              <w:t>FTEs</w:t>
            </w:r>
          </w:p>
          <w:p w14:paraId="29275B22" w14:textId="77777777" w:rsidR="000A7D9D" w:rsidRPr="00F521F8" w:rsidRDefault="000A7D9D" w:rsidP="00F31937">
            <w:pPr>
              <w:pStyle w:val="BodyText"/>
              <w:tabs>
                <w:tab w:val="left" w:pos="4170"/>
              </w:tabs>
              <w:spacing w:after="0"/>
              <w:rPr>
                <w:rFonts w:eastAsiaTheme="minorEastAsia"/>
                <w:noProof/>
                <w:sz w:val="20"/>
                <w:szCs w:val="20"/>
                <w:lang w:val="fr-BE"/>
              </w:rPr>
            </w:pPr>
          </w:p>
        </w:tc>
      </w:tr>
      <w:tr w:rsidR="000A7D9D" w:rsidRPr="00317E8D" w14:paraId="009E27A0" w14:textId="77777777" w:rsidTr="00F31937">
        <w:trPr>
          <w:trHeight w:val="300"/>
        </w:trPr>
        <w:tc>
          <w:tcPr>
            <w:tcW w:w="1035" w:type="dxa"/>
            <w:vMerge w:val="restart"/>
            <w:shd w:val="clear" w:color="auto" w:fill="D9D9D9" w:themeFill="background1" w:themeFillShade="D9"/>
          </w:tcPr>
          <w:p w14:paraId="59CEF22F" w14:textId="77777777" w:rsidR="000A7D9D" w:rsidRDefault="000A7D9D" w:rsidP="00F31937">
            <w:pPr>
              <w:pStyle w:val="BodyText"/>
              <w:rPr>
                <w:rFonts w:eastAsiaTheme="minorEastAsia"/>
                <w:noProof/>
                <w:sz w:val="20"/>
                <w:szCs w:val="20"/>
              </w:rPr>
            </w:pPr>
            <w:r>
              <w:rPr>
                <w:rFonts w:eastAsiaTheme="minorEastAsia"/>
                <w:noProof/>
                <w:sz w:val="20"/>
                <w:szCs w:val="20"/>
              </w:rPr>
              <w:t>EEA</w:t>
            </w:r>
          </w:p>
          <w:p w14:paraId="732DDA4D" w14:textId="77777777" w:rsidR="000A7D9D" w:rsidRPr="00F521F8" w:rsidRDefault="000A7D9D" w:rsidP="00F31937">
            <w:pPr>
              <w:pStyle w:val="BodyText"/>
              <w:rPr>
                <w:rFonts w:eastAsiaTheme="minorEastAsia"/>
                <w:noProof/>
                <w:sz w:val="20"/>
                <w:szCs w:val="20"/>
              </w:rPr>
            </w:pPr>
            <w:r>
              <w:rPr>
                <w:rFonts w:eastAsiaTheme="minorEastAsia"/>
                <w:noProof/>
                <w:sz w:val="20"/>
                <w:szCs w:val="20"/>
              </w:rPr>
              <w:t>EU-OSHA</w:t>
            </w:r>
          </w:p>
        </w:tc>
        <w:tc>
          <w:tcPr>
            <w:tcW w:w="3810" w:type="dxa"/>
            <w:vMerge w:val="restart"/>
            <w:shd w:val="clear" w:color="auto" w:fill="D9D9D9" w:themeFill="background1" w:themeFillShade="D9"/>
          </w:tcPr>
          <w:p w14:paraId="411CA506" w14:textId="77777777" w:rsidR="000A7D9D" w:rsidRPr="00F521F8" w:rsidRDefault="000A7D9D" w:rsidP="00F31937">
            <w:pPr>
              <w:spacing w:after="120"/>
              <w:rPr>
                <w:noProof/>
              </w:rPr>
            </w:pPr>
            <w:r w:rsidRPr="00F521F8">
              <w:rPr>
                <w:noProof/>
                <w:lang w:val="en-US"/>
              </w:rPr>
              <w:t xml:space="preserve">Contribution to the development phase  </w:t>
            </w:r>
            <w:r w:rsidRPr="00F521F8">
              <w:rPr>
                <w:noProof/>
              </w:rPr>
              <w:t> </w:t>
            </w:r>
          </w:p>
          <w:p w14:paraId="02F3A423" w14:textId="77777777" w:rsidR="000A7D9D" w:rsidRPr="00F521F8" w:rsidRDefault="000A7D9D" w:rsidP="00F31937">
            <w:pPr>
              <w:pStyle w:val="BodyText"/>
              <w:rPr>
                <w:noProof/>
                <w:sz w:val="20"/>
                <w:szCs w:val="20"/>
                <w:lang w:val="en-US"/>
              </w:rPr>
            </w:pPr>
            <w:r w:rsidRPr="13AEFEEB">
              <w:rPr>
                <w:noProof/>
                <w:sz w:val="20"/>
                <w:szCs w:val="20"/>
                <w:lang w:val="en-US"/>
              </w:rPr>
              <w:t>Coordination of and consultation with other agencies contributing to the repository (as part of the common data platform) during development</w:t>
            </w:r>
          </w:p>
          <w:p w14:paraId="57EC74BB" w14:textId="77777777" w:rsidR="000A7D9D" w:rsidRPr="00317E8D" w:rsidRDefault="000A7D9D" w:rsidP="00F31937">
            <w:pPr>
              <w:pStyle w:val="BodyText"/>
              <w:rPr>
                <w:rFonts w:eastAsiaTheme="minorEastAsia"/>
                <w:noProof/>
                <w:sz w:val="20"/>
                <w:szCs w:val="20"/>
              </w:rPr>
            </w:pPr>
            <w:r w:rsidRPr="00317E8D">
              <w:rPr>
                <w:noProof/>
                <w:sz w:val="20"/>
                <w:szCs w:val="20"/>
                <w:lang w:val="en-US"/>
              </w:rPr>
              <w:t>Providing ‘new scientific reference data’</w:t>
            </w:r>
          </w:p>
        </w:tc>
        <w:tc>
          <w:tcPr>
            <w:tcW w:w="2024" w:type="dxa"/>
            <w:shd w:val="clear" w:color="auto" w:fill="D9D9D9" w:themeFill="background1" w:themeFillShade="D9"/>
          </w:tcPr>
          <w:p w14:paraId="2547159C" w14:textId="77777777" w:rsidR="000A7D9D" w:rsidRPr="00F521F8" w:rsidRDefault="000A7D9D" w:rsidP="00F31937">
            <w:pPr>
              <w:pStyle w:val="BodyText"/>
              <w:tabs>
                <w:tab w:val="left" w:pos="4170"/>
              </w:tabs>
              <w:rPr>
                <w:rFonts w:eastAsiaTheme="minorEastAsia"/>
                <w:noProof/>
                <w:sz w:val="20"/>
                <w:szCs w:val="20"/>
              </w:rPr>
            </w:pPr>
            <w:r>
              <w:rPr>
                <w:rFonts w:eastAsiaTheme="minorEastAsia"/>
                <w:noProof/>
                <w:sz w:val="20"/>
                <w:szCs w:val="20"/>
              </w:rPr>
              <w:t>Financial resource needs:</w:t>
            </w:r>
          </w:p>
        </w:tc>
        <w:tc>
          <w:tcPr>
            <w:tcW w:w="2760" w:type="dxa"/>
            <w:shd w:val="clear" w:color="auto" w:fill="D9D9D9" w:themeFill="background1" w:themeFillShade="D9"/>
          </w:tcPr>
          <w:p w14:paraId="3314CCD3" w14:textId="77777777" w:rsidR="000A7D9D" w:rsidRPr="00F521F8" w:rsidRDefault="000A7D9D" w:rsidP="00F31937">
            <w:pPr>
              <w:pStyle w:val="BodyText"/>
              <w:tabs>
                <w:tab w:val="left" w:pos="4170"/>
              </w:tabs>
              <w:spacing w:after="0"/>
              <w:rPr>
                <w:rFonts w:eastAsiaTheme="minorEastAsia"/>
                <w:noProof/>
                <w:sz w:val="20"/>
                <w:szCs w:val="20"/>
              </w:rPr>
            </w:pPr>
            <w:r w:rsidRPr="00F521F8">
              <w:rPr>
                <w:rFonts w:eastAsiaTheme="minorEastAsia"/>
                <w:noProof/>
                <w:sz w:val="20"/>
                <w:szCs w:val="20"/>
              </w:rPr>
              <w:t xml:space="preserve">2025: </w:t>
            </w:r>
            <w:r>
              <w:rPr>
                <w:rFonts w:eastAsiaTheme="minorEastAsia"/>
                <w:b/>
                <w:bCs/>
                <w:noProof/>
                <w:sz w:val="20"/>
                <w:szCs w:val="20"/>
              </w:rPr>
              <w:t>EUR 0</w:t>
            </w:r>
          </w:p>
          <w:p w14:paraId="40029B9C" w14:textId="77777777" w:rsidR="000A7D9D" w:rsidRPr="00F521F8" w:rsidRDefault="000A7D9D" w:rsidP="00F31937">
            <w:pPr>
              <w:pStyle w:val="BodyText"/>
              <w:tabs>
                <w:tab w:val="left" w:pos="4170"/>
              </w:tabs>
              <w:spacing w:after="0"/>
              <w:rPr>
                <w:rFonts w:eastAsiaTheme="minorEastAsia"/>
                <w:noProof/>
                <w:sz w:val="20"/>
                <w:szCs w:val="20"/>
              </w:rPr>
            </w:pPr>
            <w:r w:rsidRPr="00F521F8">
              <w:rPr>
                <w:rFonts w:eastAsiaTheme="minorEastAsia"/>
                <w:noProof/>
                <w:sz w:val="20"/>
                <w:szCs w:val="20"/>
              </w:rPr>
              <w:t xml:space="preserve">2026: </w:t>
            </w:r>
            <w:r>
              <w:rPr>
                <w:rFonts w:eastAsiaTheme="minorEastAsia"/>
                <w:b/>
                <w:bCs/>
                <w:noProof/>
                <w:sz w:val="20"/>
                <w:szCs w:val="20"/>
              </w:rPr>
              <w:t>EUR 0</w:t>
            </w:r>
          </w:p>
          <w:p w14:paraId="3F188B29"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2027: </w:t>
            </w:r>
            <w:r>
              <w:rPr>
                <w:rFonts w:eastAsiaTheme="minorEastAsia"/>
                <w:b/>
                <w:noProof/>
                <w:sz w:val="20"/>
                <w:szCs w:val="20"/>
              </w:rPr>
              <w:t>EUR 0</w:t>
            </w:r>
          </w:p>
          <w:p w14:paraId="2B9F756B"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2028: </w:t>
            </w:r>
            <w:r>
              <w:rPr>
                <w:rFonts w:eastAsiaTheme="minorEastAsia"/>
                <w:b/>
                <w:noProof/>
                <w:sz w:val="20"/>
                <w:szCs w:val="20"/>
              </w:rPr>
              <w:t>EUR 0</w:t>
            </w:r>
          </w:p>
          <w:p w14:paraId="1F685554" w14:textId="77777777" w:rsidR="000A7D9D" w:rsidRPr="00F521F8" w:rsidRDefault="000A7D9D" w:rsidP="00F31937">
            <w:pPr>
              <w:pStyle w:val="BodyText"/>
              <w:tabs>
                <w:tab w:val="left" w:pos="4170"/>
              </w:tabs>
              <w:spacing w:after="0"/>
              <w:rPr>
                <w:noProof/>
                <w:sz w:val="20"/>
                <w:szCs w:val="20"/>
              </w:rPr>
            </w:pPr>
          </w:p>
        </w:tc>
      </w:tr>
      <w:tr w:rsidR="000A7D9D" w:rsidRPr="00317E8D" w14:paraId="54C60B40" w14:textId="77777777" w:rsidTr="00F31937">
        <w:trPr>
          <w:trHeight w:val="300"/>
        </w:trPr>
        <w:tc>
          <w:tcPr>
            <w:tcW w:w="1035" w:type="dxa"/>
            <w:vMerge/>
            <w:shd w:val="clear" w:color="auto" w:fill="D9D9D9" w:themeFill="background1" w:themeFillShade="D9"/>
          </w:tcPr>
          <w:p w14:paraId="4E62C9C4" w14:textId="77777777" w:rsidR="000A7D9D" w:rsidRDefault="000A7D9D" w:rsidP="00F31937">
            <w:pPr>
              <w:pStyle w:val="BodyText"/>
              <w:rPr>
                <w:rFonts w:eastAsiaTheme="minorEastAsia"/>
                <w:noProof/>
                <w:sz w:val="20"/>
                <w:szCs w:val="20"/>
              </w:rPr>
            </w:pPr>
          </w:p>
        </w:tc>
        <w:tc>
          <w:tcPr>
            <w:tcW w:w="3810" w:type="dxa"/>
            <w:vMerge/>
            <w:shd w:val="clear" w:color="auto" w:fill="D9D9D9" w:themeFill="background1" w:themeFillShade="D9"/>
          </w:tcPr>
          <w:p w14:paraId="3EE3373A" w14:textId="77777777" w:rsidR="000A7D9D" w:rsidRPr="00F521F8" w:rsidRDefault="000A7D9D" w:rsidP="00F31937">
            <w:pPr>
              <w:spacing w:after="120"/>
              <w:rPr>
                <w:noProof/>
                <w:lang w:val="en-US"/>
              </w:rPr>
            </w:pPr>
          </w:p>
        </w:tc>
        <w:tc>
          <w:tcPr>
            <w:tcW w:w="2024" w:type="dxa"/>
            <w:shd w:val="clear" w:color="auto" w:fill="D9D9D9" w:themeFill="background1" w:themeFillShade="D9"/>
          </w:tcPr>
          <w:p w14:paraId="2DCA74E7" w14:textId="77777777" w:rsidR="000A7D9D" w:rsidRDefault="000A7D9D" w:rsidP="00F31937">
            <w:pPr>
              <w:pStyle w:val="BodyText"/>
              <w:tabs>
                <w:tab w:val="left" w:pos="4170"/>
              </w:tabs>
              <w:rPr>
                <w:rFonts w:eastAsiaTheme="minorEastAsia"/>
                <w:noProof/>
                <w:sz w:val="20"/>
                <w:szCs w:val="20"/>
              </w:rPr>
            </w:pPr>
            <w:r w:rsidRPr="00F521F8">
              <w:rPr>
                <w:rFonts w:eastAsiaTheme="minorEastAsia"/>
                <w:noProof/>
                <w:sz w:val="20"/>
                <w:szCs w:val="20"/>
              </w:rPr>
              <w:t>Human resource needs:</w:t>
            </w:r>
          </w:p>
        </w:tc>
        <w:tc>
          <w:tcPr>
            <w:tcW w:w="2760" w:type="dxa"/>
            <w:shd w:val="clear" w:color="auto" w:fill="D9D9D9" w:themeFill="background1" w:themeFillShade="D9"/>
          </w:tcPr>
          <w:p w14:paraId="4AF38AAC" w14:textId="77777777" w:rsidR="000A7D9D" w:rsidRPr="00F521F8" w:rsidRDefault="000A7D9D" w:rsidP="00F31937">
            <w:pPr>
              <w:pStyle w:val="BodyText"/>
              <w:tabs>
                <w:tab w:val="left" w:pos="4170"/>
              </w:tabs>
              <w:spacing w:after="0"/>
              <w:rPr>
                <w:noProof/>
                <w:sz w:val="20"/>
                <w:szCs w:val="20"/>
              </w:rPr>
            </w:pPr>
            <w:r>
              <w:rPr>
                <w:noProof/>
                <w:sz w:val="20"/>
                <w:szCs w:val="20"/>
              </w:rPr>
              <w:t xml:space="preserve">No relevant data managed by the agencies; </w:t>
            </w:r>
          </w:p>
          <w:p w14:paraId="7C1BD0A2" w14:textId="77777777" w:rsidR="000A7D9D" w:rsidRPr="00F521F8" w:rsidRDefault="000A7D9D" w:rsidP="00F31937">
            <w:pPr>
              <w:pStyle w:val="BodyText"/>
              <w:tabs>
                <w:tab w:val="left" w:pos="4170"/>
              </w:tabs>
              <w:spacing w:after="0"/>
              <w:rPr>
                <w:rFonts w:eastAsiaTheme="minorEastAsia"/>
                <w:noProof/>
                <w:sz w:val="20"/>
                <w:szCs w:val="20"/>
                <w:lang w:val="fr-BE"/>
              </w:rPr>
            </w:pPr>
            <w:r w:rsidRPr="00F521F8">
              <w:rPr>
                <w:rFonts w:eastAsiaTheme="minorEastAsia"/>
                <w:noProof/>
                <w:sz w:val="20"/>
                <w:szCs w:val="20"/>
                <w:lang w:val="fr-BE"/>
              </w:rPr>
              <w:t xml:space="preserve">2025: </w:t>
            </w:r>
            <w:r>
              <w:rPr>
                <w:rFonts w:eastAsiaTheme="minorEastAsia"/>
                <w:b/>
                <w:noProof/>
                <w:sz w:val="20"/>
                <w:szCs w:val="20"/>
                <w:lang w:val="fr-BE"/>
              </w:rPr>
              <w:t>0 FTEs</w:t>
            </w:r>
          </w:p>
          <w:p w14:paraId="521FC31F"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2026: </w:t>
            </w:r>
            <w:r w:rsidRPr="00F521F8">
              <w:rPr>
                <w:rFonts w:eastAsiaTheme="minorEastAsia"/>
                <w:b/>
                <w:noProof/>
                <w:sz w:val="20"/>
                <w:szCs w:val="20"/>
                <w:lang w:val="fr-BE"/>
              </w:rPr>
              <w:t xml:space="preserve">0 </w:t>
            </w:r>
            <w:r>
              <w:rPr>
                <w:rFonts w:eastAsiaTheme="minorEastAsia"/>
                <w:b/>
                <w:noProof/>
                <w:sz w:val="20"/>
                <w:szCs w:val="20"/>
                <w:lang w:val="fr-BE"/>
              </w:rPr>
              <w:t>FTEs</w:t>
            </w:r>
          </w:p>
          <w:p w14:paraId="278D683C"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2027: </w:t>
            </w:r>
            <w:r w:rsidRPr="00F521F8">
              <w:rPr>
                <w:rFonts w:eastAsiaTheme="minorEastAsia"/>
                <w:b/>
                <w:noProof/>
                <w:sz w:val="20"/>
                <w:szCs w:val="20"/>
                <w:lang w:val="fr-BE"/>
              </w:rPr>
              <w:t xml:space="preserve">0 </w:t>
            </w:r>
            <w:r>
              <w:rPr>
                <w:rFonts w:eastAsiaTheme="minorEastAsia"/>
                <w:b/>
                <w:noProof/>
                <w:sz w:val="20"/>
                <w:szCs w:val="20"/>
                <w:lang w:val="fr-BE"/>
              </w:rPr>
              <w:t>FTEs</w:t>
            </w:r>
          </w:p>
          <w:p w14:paraId="76E495D1"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2028: </w:t>
            </w:r>
            <w:r w:rsidRPr="00F521F8">
              <w:rPr>
                <w:rFonts w:eastAsiaTheme="minorEastAsia"/>
                <w:b/>
                <w:noProof/>
                <w:sz w:val="20"/>
                <w:szCs w:val="20"/>
                <w:lang w:val="fr-BE"/>
              </w:rPr>
              <w:t xml:space="preserve">0 </w:t>
            </w:r>
            <w:r>
              <w:rPr>
                <w:rFonts w:eastAsiaTheme="minorEastAsia"/>
                <w:b/>
                <w:noProof/>
                <w:sz w:val="20"/>
                <w:szCs w:val="20"/>
                <w:lang w:val="fr-BE"/>
              </w:rPr>
              <w:t>FTEs</w:t>
            </w:r>
          </w:p>
          <w:p w14:paraId="3A5472D4" w14:textId="77777777" w:rsidR="000A7D9D" w:rsidRPr="00F521F8" w:rsidRDefault="000A7D9D" w:rsidP="00F31937">
            <w:pPr>
              <w:pStyle w:val="BodyText"/>
              <w:tabs>
                <w:tab w:val="left" w:pos="4170"/>
              </w:tabs>
              <w:spacing w:after="0"/>
              <w:rPr>
                <w:noProof/>
                <w:sz w:val="20"/>
                <w:szCs w:val="20"/>
              </w:rPr>
            </w:pPr>
          </w:p>
        </w:tc>
      </w:tr>
      <w:tr w:rsidR="000A7D9D" w14:paraId="1ED08D66" w14:textId="77777777" w:rsidTr="00F31937">
        <w:trPr>
          <w:trHeight w:val="300"/>
        </w:trPr>
        <w:tc>
          <w:tcPr>
            <w:tcW w:w="1035" w:type="dxa"/>
            <w:shd w:val="clear" w:color="auto" w:fill="D9D9D9" w:themeFill="background1" w:themeFillShade="D9"/>
          </w:tcPr>
          <w:p w14:paraId="4CAA8717" w14:textId="77777777" w:rsidR="000A7D9D" w:rsidRPr="00F521F8" w:rsidRDefault="000A7D9D" w:rsidP="00F31937">
            <w:pPr>
              <w:pStyle w:val="BodyText"/>
              <w:spacing w:line="259" w:lineRule="auto"/>
              <w:rPr>
                <w:rFonts w:eastAsiaTheme="minorEastAsia"/>
                <w:noProof/>
                <w:sz w:val="20"/>
                <w:szCs w:val="20"/>
              </w:rPr>
            </w:pPr>
            <w:r w:rsidRPr="00F521F8">
              <w:rPr>
                <w:rFonts w:eastAsiaTheme="minorEastAsia"/>
                <w:noProof/>
                <w:sz w:val="20"/>
                <w:szCs w:val="20"/>
              </w:rPr>
              <w:t>DG SANTE</w:t>
            </w:r>
          </w:p>
        </w:tc>
        <w:tc>
          <w:tcPr>
            <w:tcW w:w="3810" w:type="dxa"/>
            <w:shd w:val="clear" w:color="auto" w:fill="D9D9D9" w:themeFill="background1" w:themeFillShade="D9"/>
          </w:tcPr>
          <w:p w14:paraId="450D6C53" w14:textId="77777777" w:rsidR="000A7D9D" w:rsidRPr="00F521F8" w:rsidRDefault="000A7D9D" w:rsidP="00F31937">
            <w:pPr>
              <w:spacing w:after="120"/>
              <w:rPr>
                <w:noProof/>
              </w:rPr>
            </w:pPr>
            <w:r w:rsidRPr="00F521F8">
              <w:rPr>
                <w:noProof/>
                <w:lang w:val="en-US"/>
              </w:rPr>
              <w:t xml:space="preserve">Contribution to the development phase  </w:t>
            </w:r>
            <w:r w:rsidRPr="00F521F8">
              <w:rPr>
                <w:noProof/>
              </w:rPr>
              <w:t> </w:t>
            </w:r>
          </w:p>
          <w:p w14:paraId="2F01865E" w14:textId="77777777" w:rsidR="000A7D9D" w:rsidRPr="00F521F8" w:rsidRDefault="000A7D9D" w:rsidP="00F31937">
            <w:pPr>
              <w:pStyle w:val="BodyText"/>
              <w:rPr>
                <w:noProof/>
                <w:sz w:val="20"/>
                <w:szCs w:val="20"/>
                <w:lang w:val="en-US"/>
              </w:rPr>
            </w:pPr>
            <w:r w:rsidRPr="13AEFEEB">
              <w:rPr>
                <w:noProof/>
                <w:sz w:val="20"/>
                <w:szCs w:val="20"/>
                <w:lang w:val="en-US"/>
              </w:rPr>
              <w:t>Coordination of and consultation with other agencies contributing to the repository (as part of the common data platform on chemicals) during development</w:t>
            </w:r>
          </w:p>
        </w:tc>
        <w:tc>
          <w:tcPr>
            <w:tcW w:w="2024" w:type="dxa"/>
            <w:shd w:val="clear" w:color="auto" w:fill="D9D9D9" w:themeFill="background1" w:themeFillShade="D9"/>
          </w:tcPr>
          <w:p w14:paraId="688C924C" w14:textId="77777777" w:rsidR="000A7D9D" w:rsidRPr="00F521F8" w:rsidRDefault="000A7D9D" w:rsidP="00F31937">
            <w:pPr>
              <w:pStyle w:val="BodyText"/>
              <w:tabs>
                <w:tab w:val="left" w:pos="4170"/>
              </w:tabs>
              <w:rPr>
                <w:rFonts w:eastAsiaTheme="minorEastAsia"/>
                <w:noProof/>
                <w:sz w:val="20"/>
                <w:szCs w:val="20"/>
              </w:rPr>
            </w:pPr>
            <w:r w:rsidRPr="00F521F8">
              <w:rPr>
                <w:rFonts w:eastAsiaTheme="minorEastAsia"/>
                <w:noProof/>
                <w:sz w:val="20"/>
                <w:szCs w:val="20"/>
              </w:rPr>
              <w:t>Financial resource needs:</w:t>
            </w:r>
          </w:p>
          <w:p w14:paraId="73D558C1" w14:textId="77777777" w:rsidR="000A7D9D" w:rsidRPr="00F521F8" w:rsidRDefault="000A7D9D" w:rsidP="00F31937">
            <w:pPr>
              <w:pStyle w:val="BodyText"/>
              <w:rPr>
                <w:rFonts w:eastAsiaTheme="minorEastAsia"/>
                <w:noProof/>
                <w:sz w:val="20"/>
                <w:szCs w:val="20"/>
              </w:rPr>
            </w:pPr>
          </w:p>
        </w:tc>
        <w:tc>
          <w:tcPr>
            <w:tcW w:w="2760" w:type="dxa"/>
            <w:shd w:val="clear" w:color="auto" w:fill="D9D9D9" w:themeFill="background1" w:themeFillShade="D9"/>
          </w:tcPr>
          <w:p w14:paraId="5ABADA93"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2025: </w:t>
            </w:r>
            <w:r w:rsidRPr="00317E8D">
              <w:rPr>
                <w:rFonts w:eastAsiaTheme="minorEastAsia"/>
                <w:b/>
                <w:noProof/>
                <w:sz w:val="20"/>
                <w:szCs w:val="20"/>
              </w:rPr>
              <w:t>EUR</w:t>
            </w:r>
            <w:r>
              <w:rPr>
                <w:rFonts w:eastAsiaTheme="minorEastAsia"/>
                <w:noProof/>
                <w:sz w:val="20"/>
                <w:szCs w:val="20"/>
              </w:rPr>
              <w:t xml:space="preserve"> </w:t>
            </w:r>
            <w:r w:rsidRPr="00F521F8">
              <w:rPr>
                <w:rFonts w:eastAsiaTheme="minorEastAsia"/>
                <w:b/>
                <w:noProof/>
                <w:sz w:val="20"/>
                <w:szCs w:val="20"/>
              </w:rPr>
              <w:t>0</w:t>
            </w:r>
          </w:p>
          <w:p w14:paraId="4D6019FC"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2026: </w:t>
            </w:r>
            <w:r w:rsidRPr="00317E8D">
              <w:rPr>
                <w:rFonts w:eastAsiaTheme="minorEastAsia"/>
                <w:b/>
                <w:noProof/>
                <w:sz w:val="20"/>
                <w:szCs w:val="20"/>
              </w:rPr>
              <w:t>EUR</w:t>
            </w:r>
            <w:r>
              <w:rPr>
                <w:rFonts w:eastAsiaTheme="minorEastAsia"/>
                <w:noProof/>
                <w:sz w:val="20"/>
                <w:szCs w:val="20"/>
              </w:rPr>
              <w:t xml:space="preserve"> </w:t>
            </w:r>
            <w:r w:rsidRPr="00F521F8">
              <w:rPr>
                <w:rFonts w:eastAsiaTheme="minorEastAsia"/>
                <w:b/>
                <w:noProof/>
                <w:sz w:val="20"/>
                <w:szCs w:val="20"/>
              </w:rPr>
              <w:t>0</w:t>
            </w:r>
          </w:p>
          <w:p w14:paraId="7AD1B78D"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2027: </w:t>
            </w:r>
            <w:r w:rsidRPr="00317E8D">
              <w:rPr>
                <w:rFonts w:eastAsiaTheme="minorEastAsia"/>
                <w:b/>
                <w:noProof/>
                <w:sz w:val="20"/>
                <w:szCs w:val="20"/>
              </w:rPr>
              <w:t>EUR</w:t>
            </w:r>
            <w:r>
              <w:rPr>
                <w:rFonts w:eastAsiaTheme="minorEastAsia"/>
                <w:noProof/>
                <w:sz w:val="20"/>
                <w:szCs w:val="20"/>
              </w:rPr>
              <w:t xml:space="preserve"> </w:t>
            </w:r>
            <w:r w:rsidRPr="00F521F8">
              <w:rPr>
                <w:rFonts w:eastAsiaTheme="minorEastAsia"/>
                <w:b/>
                <w:noProof/>
                <w:sz w:val="20"/>
                <w:szCs w:val="20"/>
              </w:rPr>
              <w:t>0</w:t>
            </w:r>
          </w:p>
          <w:p w14:paraId="5A7BA8B6" w14:textId="77777777" w:rsidR="000A7D9D" w:rsidRPr="00F521F8" w:rsidRDefault="000A7D9D" w:rsidP="00F31937">
            <w:pPr>
              <w:pStyle w:val="BodyText"/>
              <w:tabs>
                <w:tab w:val="left" w:pos="4170"/>
              </w:tabs>
              <w:spacing w:after="0"/>
              <w:rPr>
                <w:rFonts w:eastAsiaTheme="minorEastAsia"/>
                <w:b/>
                <w:noProof/>
                <w:sz w:val="20"/>
                <w:szCs w:val="20"/>
              </w:rPr>
            </w:pPr>
            <w:r w:rsidRPr="00F521F8">
              <w:rPr>
                <w:rFonts w:eastAsiaTheme="minorEastAsia"/>
                <w:noProof/>
                <w:sz w:val="20"/>
                <w:szCs w:val="20"/>
              </w:rPr>
              <w:t xml:space="preserve">2028: </w:t>
            </w:r>
            <w:r w:rsidRPr="00317E8D">
              <w:rPr>
                <w:rFonts w:eastAsiaTheme="minorEastAsia"/>
                <w:b/>
                <w:noProof/>
                <w:sz w:val="20"/>
                <w:szCs w:val="20"/>
              </w:rPr>
              <w:t>EUR 0</w:t>
            </w:r>
          </w:p>
          <w:p w14:paraId="55043E22" w14:textId="77777777" w:rsidR="000A7D9D" w:rsidRPr="00F521F8" w:rsidRDefault="000A7D9D" w:rsidP="00F31937">
            <w:pPr>
              <w:pStyle w:val="BodyText"/>
              <w:tabs>
                <w:tab w:val="left" w:pos="4170"/>
              </w:tabs>
              <w:spacing w:after="0"/>
              <w:rPr>
                <w:rFonts w:eastAsiaTheme="minorEastAsia"/>
                <w:noProof/>
                <w:sz w:val="20"/>
                <w:szCs w:val="20"/>
              </w:rPr>
            </w:pPr>
          </w:p>
        </w:tc>
      </w:tr>
    </w:tbl>
    <w:p w14:paraId="41CD3CE0" w14:textId="77777777" w:rsidR="000A7D9D" w:rsidRPr="00F521F8" w:rsidRDefault="000A7D9D" w:rsidP="000A7D9D">
      <w:pPr>
        <w:spacing w:before="120" w:after="120"/>
        <w:rPr>
          <w:rFonts w:ascii="Times New Roman" w:eastAsia="Verdana" w:hAnsi="Times New Roman" w:cs="Times New Roman"/>
          <w:noProof/>
          <w:sz w:val="24"/>
          <w:szCs w:val="24"/>
          <w:u w:val="single"/>
          <w:lang w:val="en-US"/>
        </w:rPr>
      </w:pPr>
      <w:r w:rsidRPr="00F521F8">
        <w:rPr>
          <w:rFonts w:ascii="Times New Roman" w:eastAsia="Verdana" w:hAnsi="Times New Roman" w:cs="Times New Roman"/>
          <w:noProof/>
          <w:sz w:val="24"/>
          <w:szCs w:val="24"/>
          <w:u w:val="single"/>
          <w:lang w:val="en-US"/>
        </w:rPr>
        <w:t>Future budget line:</w:t>
      </w:r>
      <w:r w:rsidRPr="00F521F8">
        <w:rPr>
          <w:rFonts w:ascii="Times New Roman" w:eastAsia="Verdana" w:hAnsi="Times New Roman" w:cs="Times New Roman"/>
          <w:noProof/>
          <w:sz w:val="24"/>
          <w:szCs w:val="24"/>
          <w:lang w:val="en-US"/>
        </w:rPr>
        <w:t xml:space="preserve"> DG Environment</w:t>
      </w:r>
    </w:p>
    <w:p w14:paraId="79A52767" w14:textId="77777777" w:rsidR="000A7D9D" w:rsidRPr="00F521F8" w:rsidRDefault="000A7D9D" w:rsidP="000A7D9D">
      <w:pPr>
        <w:rPr>
          <w:rFonts w:ascii="Times New Roman" w:hAnsi="Times New Roman" w:cs="Times New Roman"/>
          <w:noProof/>
          <w:sz w:val="24"/>
          <w:szCs w:val="24"/>
        </w:rPr>
      </w:pPr>
      <w:r w:rsidRPr="00F521F8">
        <w:rPr>
          <w:rFonts w:ascii="Times New Roman" w:eastAsia="Verdana" w:hAnsi="Times New Roman" w:cs="Times New Roman"/>
          <w:noProof/>
          <w:sz w:val="24"/>
          <w:szCs w:val="24"/>
          <w:u w:val="single"/>
          <w:lang w:val="en-US"/>
        </w:rPr>
        <w:t>Candidate for fees:</w:t>
      </w:r>
      <w:r w:rsidRPr="00F521F8">
        <w:rPr>
          <w:rFonts w:ascii="Times New Roman" w:eastAsia="Verdana" w:hAnsi="Times New Roman" w:cs="Times New Roman"/>
          <w:noProof/>
          <w:sz w:val="24"/>
          <w:szCs w:val="24"/>
          <w:lang w:val="en-US"/>
        </w:rPr>
        <w:t xml:space="preserve"> No</w:t>
      </w:r>
    </w:p>
    <w:p w14:paraId="4FE585F0" w14:textId="77777777" w:rsidR="000A7D9D" w:rsidRPr="00E46DC1" w:rsidRDefault="000A7D9D" w:rsidP="000A7D9D">
      <w:pPr>
        <w:textAlignment w:val="baseline"/>
        <w:rPr>
          <w:b/>
          <w:bCs/>
          <w:noProof/>
        </w:rPr>
      </w:pPr>
      <w:r w:rsidRPr="00357FFD">
        <w:rPr>
          <w:rFonts w:ascii="Calibri" w:hAnsi="Calibri" w:cs="Calibri"/>
          <w:noProof/>
          <w:lang w:val="en-US" w:eastAsia="en-GB"/>
        </w:rPr>
        <w:t> </w:t>
      </w:r>
    </w:p>
    <w:p w14:paraId="33503B34"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77" w:name="_Toc150499942"/>
      <w:r>
        <w:rPr>
          <w:rFonts w:ascii="Times New Roman" w:hAnsi="Times New Roman"/>
          <w:smallCaps/>
          <w:noProof/>
          <w:color w:val="auto"/>
          <w:sz w:val="24"/>
          <w:szCs w:val="20"/>
          <w:lang w:eastAsia="en-US"/>
        </w:rPr>
        <w:t>Information on the obligations under Union acts on chemicals</w:t>
      </w:r>
      <w:bookmarkEnd w:id="77"/>
      <w:r>
        <w:rPr>
          <w:rFonts w:ascii="Times New Roman" w:hAnsi="Times New Roman"/>
          <w:smallCaps/>
          <w:noProof/>
          <w:color w:val="auto"/>
          <w:sz w:val="24"/>
          <w:szCs w:val="20"/>
          <w:lang w:eastAsia="en-US"/>
        </w:rPr>
        <w:t xml:space="preserve"> </w:t>
      </w:r>
    </w:p>
    <w:p w14:paraId="27FC0CC3" w14:textId="77777777" w:rsidR="000A7D9D" w:rsidRPr="00F521F8" w:rsidRDefault="000A7D9D" w:rsidP="000A7D9D">
      <w:pPr>
        <w:spacing w:after="120"/>
        <w:rPr>
          <w:rFonts w:ascii="Times New Roman" w:hAnsi="Times New Roman" w:cs="Times New Roman"/>
          <w:b/>
          <w:bCs/>
          <w:noProof/>
          <w:sz w:val="24"/>
          <w:szCs w:val="24"/>
        </w:rPr>
      </w:pPr>
      <w:r w:rsidRPr="00F521F8">
        <w:rPr>
          <w:rFonts w:ascii="Times New Roman" w:hAnsi="Times New Roman" w:cs="Times New Roman"/>
          <w:b/>
          <w:bCs/>
          <w:noProof/>
          <w:sz w:val="24"/>
          <w:szCs w:val="24"/>
        </w:rPr>
        <w:t>Responsible body:</w:t>
      </w:r>
    </w:p>
    <w:p w14:paraId="0B826AA3"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u w:val="single"/>
        </w:rPr>
        <w:t>Currently:</w:t>
      </w:r>
      <w:r w:rsidRPr="00F521F8">
        <w:rPr>
          <w:rFonts w:ascii="Times New Roman" w:hAnsi="Times New Roman" w:cs="Times New Roman"/>
          <w:noProof/>
          <w:sz w:val="24"/>
          <w:szCs w:val="24"/>
        </w:rPr>
        <w:t xml:space="preserve"> Commission, delegated to ECHA</w:t>
      </w:r>
    </w:p>
    <w:p w14:paraId="2541A1DE" w14:textId="77777777" w:rsidR="000A7D9D" w:rsidRPr="00F521F8" w:rsidRDefault="000A7D9D" w:rsidP="000A7D9D">
      <w:pPr>
        <w:spacing w:after="120"/>
        <w:rPr>
          <w:rFonts w:ascii="Times New Roman" w:hAnsi="Times New Roman" w:cs="Times New Roman"/>
          <w:noProof/>
          <w:sz w:val="24"/>
          <w:szCs w:val="24"/>
        </w:rPr>
      </w:pPr>
      <w:r w:rsidRPr="00F521F8">
        <w:rPr>
          <w:rFonts w:ascii="Times New Roman" w:hAnsi="Times New Roman" w:cs="Times New Roman"/>
          <w:noProof/>
          <w:sz w:val="24"/>
          <w:szCs w:val="24"/>
          <w:u w:val="single"/>
        </w:rPr>
        <w:t>(Re-)attribution planned to:</w:t>
      </w:r>
      <w:r w:rsidRPr="00F521F8">
        <w:rPr>
          <w:rFonts w:ascii="Times New Roman" w:hAnsi="Times New Roman" w:cs="Times New Roman"/>
          <w:noProof/>
          <w:sz w:val="24"/>
          <w:szCs w:val="24"/>
        </w:rPr>
        <w:t xml:space="preserve"> ECHA</w:t>
      </w:r>
    </w:p>
    <w:p w14:paraId="61EB9365" w14:textId="77777777" w:rsidR="000A7D9D" w:rsidRPr="00F521F8" w:rsidRDefault="000A7D9D" w:rsidP="004C1B00">
      <w:pPr>
        <w:spacing w:after="120"/>
        <w:jc w:val="both"/>
        <w:rPr>
          <w:noProof/>
        </w:rPr>
      </w:pPr>
      <w:r w:rsidRPr="004C1B00">
        <w:rPr>
          <w:rFonts w:ascii="Times New Roman" w:hAnsi="Times New Roman" w:cs="Times New Roman"/>
          <w:b/>
          <w:bCs/>
          <w:noProof/>
          <w:sz w:val="24"/>
          <w:szCs w:val="24"/>
        </w:rPr>
        <w:t>Legal basis for (re-)attribution:</w:t>
      </w:r>
      <w:r w:rsidRPr="004C1B00">
        <w:rPr>
          <w:rFonts w:ascii="Times New Roman" w:hAnsi="Times New Roman" w:cs="Times New Roman"/>
          <w:noProof/>
          <w:sz w:val="24"/>
          <w:szCs w:val="24"/>
        </w:rPr>
        <w:t xml:space="preserve">  Proposal for</w:t>
      </w:r>
      <w:r w:rsidRPr="13AEFEEB">
        <w:rPr>
          <w:rFonts w:ascii="Times New Roman" w:hAnsi="Times New Roman" w:cs="Times New Roman"/>
          <w:noProof/>
          <w:sz w:val="24"/>
          <w:szCs w:val="24"/>
        </w:rPr>
        <w:t xml:space="preserve"> a regulation of the European Parliament and of the Council establishing a common data platform on chemicals, laying down rules to ensure that the data contained in it are findable, accessible, interoperable and reusable and establishing a monitoring and outlook framework for chemicals</w:t>
      </w:r>
    </w:p>
    <w:p w14:paraId="172B3ED4" w14:textId="77777777" w:rsidR="000A7D9D" w:rsidRPr="00F521F8" w:rsidRDefault="000A7D9D" w:rsidP="000A7D9D">
      <w:pPr>
        <w:pStyle w:val="BodyText"/>
        <w:rPr>
          <w:b/>
          <w:bCs/>
          <w:noProof/>
        </w:rPr>
      </w:pPr>
      <w:r w:rsidRPr="00F521F8">
        <w:rPr>
          <w:b/>
          <w:bCs/>
          <w:noProof/>
        </w:rPr>
        <w:t xml:space="preserve">Type of task: </w:t>
      </w:r>
      <w:r w:rsidRPr="00F521F8">
        <w:rPr>
          <w:noProof/>
        </w:rPr>
        <w:t>existing</w:t>
      </w:r>
    </w:p>
    <w:p w14:paraId="71161724" w14:textId="77777777" w:rsidR="000A7D9D" w:rsidRPr="00F521F8" w:rsidRDefault="000A7D9D" w:rsidP="000A7D9D">
      <w:pPr>
        <w:pStyle w:val="BodyText"/>
        <w:jc w:val="both"/>
        <w:rPr>
          <w:b/>
          <w:bCs/>
          <w:noProof/>
        </w:rPr>
      </w:pPr>
      <w:r w:rsidRPr="13AEFEEB">
        <w:rPr>
          <w:b/>
          <w:bCs/>
          <w:noProof/>
        </w:rPr>
        <w:t xml:space="preserve">Brief task overview: </w:t>
      </w:r>
      <w:r>
        <w:rPr>
          <w:noProof/>
        </w:rPr>
        <w:t>Operation of a database with information on the provisions and legal obligations applicable to chemicals under the Union acts providing a single point of entry to information on various pieces of EU legislation applicable to a given chemical substance.</w:t>
      </w:r>
    </w:p>
    <w:p w14:paraId="7782AEE5" w14:textId="77777777" w:rsidR="000A7D9D" w:rsidRPr="00F521F8" w:rsidRDefault="000A7D9D" w:rsidP="000A7D9D">
      <w:pPr>
        <w:pStyle w:val="BodyText"/>
        <w:jc w:val="both"/>
        <w:rPr>
          <w:b/>
          <w:bCs/>
          <w:noProof/>
        </w:rPr>
      </w:pPr>
      <w:r w:rsidRPr="00F521F8">
        <w:rPr>
          <w:b/>
          <w:bCs/>
          <w:noProof/>
        </w:rPr>
        <w:t>Detailed process description</w:t>
      </w:r>
    </w:p>
    <w:p w14:paraId="6B7C79E8" w14:textId="77777777" w:rsidR="000A7D9D" w:rsidRPr="00F521F8" w:rsidRDefault="000A7D9D" w:rsidP="000A7D9D">
      <w:pPr>
        <w:pStyle w:val="BodyText"/>
        <w:jc w:val="both"/>
        <w:rPr>
          <w:noProof/>
          <w:u w:val="single"/>
        </w:rPr>
      </w:pPr>
      <w:r w:rsidRPr="00F521F8">
        <w:rPr>
          <w:noProof/>
          <w:u w:val="single"/>
        </w:rPr>
        <w:t>Current process</w:t>
      </w:r>
    </w:p>
    <w:p w14:paraId="215D96B8" w14:textId="77777777" w:rsidR="000A7D9D" w:rsidRPr="00F521F8" w:rsidRDefault="000A7D9D" w:rsidP="000A7D9D">
      <w:pPr>
        <w:pStyle w:val="BodyText"/>
        <w:jc w:val="both"/>
        <w:rPr>
          <w:noProof/>
        </w:rPr>
      </w:pPr>
      <w:r>
        <w:rPr>
          <w:noProof/>
        </w:rPr>
        <w:t>EU Chemicals Legislation Finder (</w:t>
      </w:r>
      <w:r w:rsidRPr="00F521F8">
        <w:rPr>
          <w:noProof/>
        </w:rPr>
        <w:t>EUCLEF</w:t>
      </w:r>
      <w:r>
        <w:rPr>
          <w:noProof/>
        </w:rPr>
        <w:t>)</w:t>
      </w:r>
      <w:r w:rsidRPr="00F521F8">
        <w:rPr>
          <w:noProof/>
        </w:rPr>
        <w:t xml:space="preserve"> is a database, compiled</w:t>
      </w:r>
      <w:r>
        <w:rPr>
          <w:noProof/>
        </w:rPr>
        <w:t xml:space="preserve"> by ECHA</w:t>
      </w:r>
      <w:r w:rsidRPr="00F521F8">
        <w:rPr>
          <w:noProof/>
        </w:rPr>
        <w:t xml:space="preserve"> from multiple sources, presently covering 51 pieces of EU legislation and organized in a way that enables searching and listing all regulations and regulatory lists in which a substance </w:t>
      </w:r>
      <w:r w:rsidRPr="00F521F8">
        <w:rPr>
          <w:noProof/>
          <w:color w:val="384A53"/>
        </w:rPr>
        <w:t>(directly, or</w:t>
      </w:r>
      <w:r w:rsidRPr="00F521F8">
        <w:rPr>
          <w:noProof/>
          <w:color w:val="384A53"/>
          <w:shd w:val="clear" w:color="auto" w:fill="FFFFFF"/>
        </w:rPr>
        <w:t xml:space="preserve"> inheriting the regulatory context of a parent substance)</w:t>
      </w:r>
      <w:r w:rsidRPr="00F521F8">
        <w:rPr>
          <w:noProof/>
        </w:rPr>
        <w:t xml:space="preserve"> appears. To ensure continuous relevance, the database is regularly (several times per year) updated. Advanced searches, links to applicable documents and exporting of aggregated results are enabled. Industry, in particular SMEs, is the principal user addressed, as the efficient access to information on obligations reduces costs and increases compliance.  </w:t>
      </w:r>
    </w:p>
    <w:p w14:paraId="1E6BD7CE" w14:textId="77777777" w:rsidR="000A7D9D" w:rsidRPr="00F521F8" w:rsidRDefault="000A7D9D" w:rsidP="000A7D9D">
      <w:pPr>
        <w:pStyle w:val="BodyText"/>
        <w:jc w:val="both"/>
        <w:rPr>
          <w:noProof/>
        </w:rPr>
      </w:pPr>
      <w:r w:rsidRPr="00F521F8">
        <w:rPr>
          <w:noProof/>
        </w:rPr>
        <w:t xml:space="preserve">EUCLEF is hosted by ECHA as part of its dissemination pages. EUCLEF has been developed and is maintained by an external contractor managed by ECHA. The information in the database is regularly updated also by the contractor who regularly searches for updates in legislative provisions, such as Eur-Lex, and keeps the EUCLEF database up to date. </w:t>
      </w:r>
    </w:p>
    <w:p w14:paraId="2A42ADD6" w14:textId="77777777" w:rsidR="000A7D9D" w:rsidRPr="00F521F8" w:rsidRDefault="000A7D9D" w:rsidP="000A7D9D">
      <w:pPr>
        <w:spacing w:after="120"/>
        <w:rPr>
          <w:rFonts w:ascii="Times New Roman" w:hAnsi="Times New Roman" w:cs="Times New Roman"/>
          <w:noProof/>
          <w:color w:val="000000"/>
          <w:sz w:val="24"/>
          <w:szCs w:val="24"/>
          <w:u w:val="single"/>
        </w:rPr>
      </w:pPr>
      <w:r w:rsidRPr="00F521F8">
        <w:rPr>
          <w:rFonts w:ascii="Times New Roman" w:hAnsi="Times New Roman" w:cs="Times New Roman"/>
          <w:noProof/>
          <w:color w:val="000000" w:themeColor="text1"/>
          <w:sz w:val="24"/>
          <w:szCs w:val="24"/>
          <w:u w:val="single"/>
        </w:rPr>
        <w:t>Changes envisioned as part of setting up common data platform</w:t>
      </w:r>
    </w:p>
    <w:p w14:paraId="5B13C6D4" w14:textId="77777777" w:rsidR="000A7D9D" w:rsidRPr="00F521F8" w:rsidRDefault="000A7D9D" w:rsidP="000A7D9D">
      <w:pPr>
        <w:pStyle w:val="BodyText"/>
        <w:jc w:val="both"/>
        <w:rPr>
          <w:noProof/>
        </w:rPr>
      </w:pPr>
      <w:r>
        <w:rPr>
          <w:noProof/>
        </w:rPr>
        <w:t xml:space="preserve">Database with information on the provisions and legal obligations applicable to chemicals under the Union acts will be established as an integral dedicated service within the common data platform. The database will be built from the existing EUCLEF.  Its principle task should not change from the existing service, but the scope of EUCLEF will be slightly extended to cover all legislation within the scope of common data platform. In addition, EUCLEF will be reshaped to fit with the standard data format and controlled vocabulary and graphical interface to the common data platform. Further, EUCLEF will be expanded to integrate in it also the repository of reference values, as it partly overlaps in scope but also in sources and approaches required to keep the information updated. </w:t>
      </w:r>
    </w:p>
    <w:p w14:paraId="20BF95EC" w14:textId="77777777" w:rsidR="000A7D9D" w:rsidRPr="00F521F8" w:rsidRDefault="000A7D9D" w:rsidP="000A7D9D">
      <w:pPr>
        <w:pStyle w:val="BodyText"/>
        <w:jc w:val="both"/>
        <w:rPr>
          <w:i/>
          <w:iCs/>
          <w:noProof/>
        </w:rPr>
      </w:pPr>
      <w:r w:rsidRPr="13AEFEEB">
        <w:rPr>
          <w:b/>
          <w:bCs/>
          <w:noProof/>
        </w:rPr>
        <w:t xml:space="preserve">Proximity to ECHA mandate: </w:t>
      </w:r>
      <w:r>
        <w:rPr>
          <w:noProof/>
        </w:rPr>
        <w:t xml:space="preserve">ECHA has the appropriate data and expertise to perform this task. ECHA already operates the system in its current form and it fits well with the new mandate to operate the common data platform on chemicals. </w:t>
      </w:r>
    </w:p>
    <w:p w14:paraId="70E74F94" w14:textId="77777777" w:rsidR="000A7D9D" w:rsidRPr="00F521F8" w:rsidRDefault="000A7D9D" w:rsidP="000A7D9D">
      <w:pPr>
        <w:pStyle w:val="BodyText"/>
        <w:rPr>
          <w:b/>
          <w:bCs/>
          <w:noProof/>
        </w:rPr>
      </w:pPr>
      <w:r w:rsidRPr="00F521F8">
        <w:rPr>
          <w:b/>
          <w:bCs/>
          <w:noProof/>
        </w:rPr>
        <w:t>Projected synergies and added value of (re)attribution:</w:t>
      </w:r>
    </w:p>
    <w:tbl>
      <w:tblPr>
        <w:tblStyle w:val="TableGrid18"/>
        <w:tblW w:w="0" w:type="auto"/>
        <w:tblLook w:val="04A0" w:firstRow="1" w:lastRow="0" w:firstColumn="1" w:lastColumn="0" w:noHBand="0" w:noVBand="1"/>
      </w:tblPr>
      <w:tblGrid>
        <w:gridCol w:w="1729"/>
        <w:gridCol w:w="1116"/>
        <w:gridCol w:w="6784"/>
      </w:tblGrid>
      <w:tr w:rsidR="000A7D9D" w:rsidRPr="00F521F8" w14:paraId="214DF5F5"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hideMark/>
          </w:tcPr>
          <w:p w14:paraId="74E4E097" w14:textId="77777777" w:rsidR="000A7D9D" w:rsidRPr="00F521F8" w:rsidRDefault="000A7D9D" w:rsidP="00F31937">
            <w:pPr>
              <w:spacing w:before="120" w:after="120"/>
              <w:rPr>
                <w:rFonts w:ascii="Times New Roman" w:hAnsi="Times New Roman"/>
                <w:b/>
                <w:bCs/>
                <w:noProof/>
                <w:color w:val="0046AD"/>
                <w:sz w:val="24"/>
                <w:szCs w:val="24"/>
              </w:rPr>
            </w:pPr>
            <w:r w:rsidRPr="00F521F8">
              <w:rPr>
                <w:rFonts w:ascii="Times New Roman" w:hAnsi="Times New Roman"/>
                <w:b/>
                <w:bCs/>
                <w:noProof/>
                <w:color w:val="4472C4" w:themeColor="accent1"/>
                <w:sz w:val="24"/>
                <w:szCs w:val="24"/>
              </w:rPr>
              <w:t>Type</w:t>
            </w:r>
          </w:p>
        </w:tc>
        <w:tc>
          <w:tcPr>
            <w:tcW w:w="7900" w:type="dxa"/>
            <w:gridSpan w:val="2"/>
            <w:tcBorders>
              <w:top w:val="single" w:sz="4" w:space="0" w:color="auto"/>
              <w:left w:val="single" w:sz="4" w:space="0" w:color="auto"/>
              <w:bottom w:val="single" w:sz="4" w:space="0" w:color="auto"/>
              <w:right w:val="single" w:sz="4" w:space="0" w:color="auto"/>
            </w:tcBorders>
            <w:hideMark/>
          </w:tcPr>
          <w:p w14:paraId="0B88FC91" w14:textId="77777777" w:rsidR="000A7D9D" w:rsidRPr="00F521F8" w:rsidRDefault="000A7D9D" w:rsidP="00F31937">
            <w:pPr>
              <w:spacing w:before="120" w:after="120"/>
              <w:rPr>
                <w:rFonts w:ascii="Times New Roman" w:hAnsi="Times New Roman"/>
                <w:b/>
                <w:bCs/>
                <w:noProof/>
                <w:color w:val="0046AD"/>
                <w:sz w:val="24"/>
                <w:szCs w:val="24"/>
              </w:rPr>
            </w:pPr>
            <w:r w:rsidRPr="00F521F8">
              <w:rPr>
                <w:rFonts w:ascii="Times New Roman" w:hAnsi="Times New Roman"/>
                <w:b/>
                <w:bCs/>
                <w:noProof/>
                <w:color w:val="4472C4" w:themeColor="accent1"/>
                <w:sz w:val="24"/>
                <w:szCs w:val="24"/>
              </w:rPr>
              <w:t>Synergies</w:t>
            </w:r>
          </w:p>
        </w:tc>
      </w:tr>
      <w:tr w:rsidR="000A7D9D" w:rsidRPr="00F521F8" w14:paraId="3DD41CE0"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hideMark/>
          </w:tcPr>
          <w:p w14:paraId="46E18315"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themeColor="text1"/>
                <w:sz w:val="24"/>
                <w:szCs w:val="24"/>
              </w:rPr>
              <w:t>Reuse of capabilities</w:t>
            </w:r>
          </w:p>
        </w:tc>
        <w:tc>
          <w:tcPr>
            <w:tcW w:w="1116" w:type="dxa"/>
            <w:tcBorders>
              <w:top w:val="single" w:sz="4" w:space="0" w:color="auto"/>
              <w:left w:val="single" w:sz="4" w:space="0" w:color="auto"/>
              <w:bottom w:val="single" w:sz="4" w:space="0" w:color="auto"/>
              <w:right w:val="single" w:sz="4" w:space="0" w:color="auto"/>
            </w:tcBorders>
            <w:hideMark/>
          </w:tcPr>
          <w:p w14:paraId="546E969E"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31950B02" w14:textId="77777777" w:rsidR="000A7D9D" w:rsidRPr="00F521F8" w:rsidRDefault="000A7D9D" w:rsidP="00F31937">
            <w:pPr>
              <w:snapToGrid w:val="0"/>
              <w:spacing w:before="120" w:after="120"/>
              <w:contextualSpacing/>
              <w:rPr>
                <w:rFonts w:ascii="Times New Roman" w:hAnsi="Times New Roman"/>
                <w:noProof/>
                <w:color w:val="000000"/>
                <w:sz w:val="24"/>
                <w:szCs w:val="24"/>
              </w:rPr>
            </w:pPr>
            <w:r w:rsidRPr="13AEFEEB">
              <w:rPr>
                <w:rFonts w:ascii="Times New Roman" w:hAnsi="Times New Roman"/>
                <w:noProof/>
                <w:sz w:val="24"/>
                <w:szCs w:val="24"/>
              </w:rPr>
              <w:t>ECHA’s existing processes and methodologies can be fully reused for the new task. Eventually the service will benefit from its position within the common data platform, exploiting capabilities developed within it.</w:t>
            </w:r>
          </w:p>
        </w:tc>
      </w:tr>
      <w:tr w:rsidR="000A7D9D" w:rsidRPr="00F521F8" w14:paraId="0762BA47"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hideMark/>
          </w:tcPr>
          <w:p w14:paraId="0D648C5A"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themeColor="text1"/>
                <w:sz w:val="24"/>
                <w:szCs w:val="24"/>
              </w:rPr>
              <w:t>Re-use of data</w:t>
            </w:r>
          </w:p>
        </w:tc>
        <w:tc>
          <w:tcPr>
            <w:tcW w:w="1116" w:type="dxa"/>
            <w:tcBorders>
              <w:top w:val="single" w:sz="4" w:space="0" w:color="auto"/>
              <w:left w:val="single" w:sz="4" w:space="0" w:color="auto"/>
              <w:bottom w:val="single" w:sz="4" w:space="0" w:color="auto"/>
              <w:right w:val="single" w:sz="4" w:space="0" w:color="auto"/>
            </w:tcBorders>
            <w:hideMark/>
          </w:tcPr>
          <w:p w14:paraId="65691D67"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0C99E7EA" w14:textId="77777777" w:rsidR="000A7D9D" w:rsidRPr="00F521F8" w:rsidRDefault="000A7D9D" w:rsidP="00F31937">
            <w:pPr>
              <w:spacing w:before="120" w:after="120"/>
              <w:rPr>
                <w:rFonts w:ascii="Times New Roman" w:hAnsi="Times New Roman"/>
                <w:noProof/>
                <w:color w:val="000000"/>
                <w:sz w:val="24"/>
                <w:szCs w:val="24"/>
              </w:rPr>
            </w:pPr>
            <w:r w:rsidRPr="13AEFEEB">
              <w:rPr>
                <w:rFonts w:ascii="Times New Roman" w:hAnsi="Times New Roman"/>
                <w:noProof/>
                <w:color w:val="000000" w:themeColor="text1"/>
                <w:sz w:val="24"/>
                <w:szCs w:val="24"/>
              </w:rPr>
              <w:t>Reuse of data in the EU data space (Eur-Lex) and data collected under other chemicals legislation</w:t>
            </w:r>
          </w:p>
        </w:tc>
      </w:tr>
      <w:tr w:rsidR="000A7D9D" w:rsidRPr="00F521F8" w14:paraId="647C7BF0"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hideMark/>
          </w:tcPr>
          <w:p w14:paraId="7190E718"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themeColor="text1"/>
                <w:sz w:val="24"/>
                <w:szCs w:val="24"/>
              </w:rPr>
              <w:t>Workload balancing</w:t>
            </w:r>
          </w:p>
        </w:tc>
        <w:tc>
          <w:tcPr>
            <w:tcW w:w="1116" w:type="dxa"/>
            <w:tcBorders>
              <w:top w:val="single" w:sz="4" w:space="0" w:color="auto"/>
              <w:left w:val="single" w:sz="4" w:space="0" w:color="auto"/>
              <w:bottom w:val="single" w:sz="4" w:space="0" w:color="auto"/>
              <w:right w:val="single" w:sz="4" w:space="0" w:color="auto"/>
            </w:tcBorders>
            <w:hideMark/>
          </w:tcPr>
          <w:p w14:paraId="5EFE717D"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Low</w:t>
            </w:r>
          </w:p>
        </w:tc>
        <w:tc>
          <w:tcPr>
            <w:tcW w:w="6784" w:type="dxa"/>
            <w:tcBorders>
              <w:top w:val="single" w:sz="4" w:space="0" w:color="auto"/>
              <w:left w:val="single" w:sz="4" w:space="0" w:color="auto"/>
              <w:bottom w:val="single" w:sz="4" w:space="0" w:color="auto"/>
              <w:right w:val="single" w:sz="4" w:space="0" w:color="auto"/>
            </w:tcBorders>
            <w:hideMark/>
          </w:tcPr>
          <w:p w14:paraId="6254A64B"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 xml:space="preserve">Existing process based on external contract. Integration requirements will be passed through revised specification. </w:t>
            </w:r>
          </w:p>
        </w:tc>
      </w:tr>
      <w:tr w:rsidR="000A7D9D" w:rsidRPr="00F521F8" w14:paraId="59EF4734"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hideMark/>
          </w:tcPr>
          <w:p w14:paraId="16AB8739"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themeColor="text1"/>
                <w:sz w:val="24"/>
                <w:szCs w:val="24"/>
              </w:rPr>
              <w:t>IT tools: automation and economies of scale</w:t>
            </w:r>
          </w:p>
        </w:tc>
        <w:tc>
          <w:tcPr>
            <w:tcW w:w="1116" w:type="dxa"/>
            <w:tcBorders>
              <w:top w:val="single" w:sz="4" w:space="0" w:color="auto"/>
              <w:left w:val="single" w:sz="4" w:space="0" w:color="auto"/>
              <w:bottom w:val="single" w:sz="4" w:space="0" w:color="auto"/>
              <w:right w:val="single" w:sz="4" w:space="0" w:color="auto"/>
            </w:tcBorders>
            <w:hideMark/>
          </w:tcPr>
          <w:p w14:paraId="4D6F51CD"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42A1F2E0"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Reuse of existing solution, together with IT capabilities developed in the platform. Joint revision with the new repository of reference values.</w:t>
            </w:r>
          </w:p>
        </w:tc>
      </w:tr>
      <w:tr w:rsidR="000A7D9D" w:rsidRPr="00F521F8" w14:paraId="6AE4AF98"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hideMark/>
          </w:tcPr>
          <w:p w14:paraId="4B8B68D6"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themeColor="text1"/>
                <w:sz w:val="24"/>
                <w:szCs w:val="24"/>
              </w:rPr>
              <w:t>Support services: economies of scale</w:t>
            </w:r>
          </w:p>
        </w:tc>
        <w:tc>
          <w:tcPr>
            <w:tcW w:w="1116" w:type="dxa"/>
            <w:tcBorders>
              <w:top w:val="single" w:sz="4" w:space="0" w:color="auto"/>
              <w:left w:val="single" w:sz="4" w:space="0" w:color="auto"/>
              <w:bottom w:val="single" w:sz="4" w:space="0" w:color="auto"/>
              <w:right w:val="single" w:sz="4" w:space="0" w:color="auto"/>
            </w:tcBorders>
            <w:hideMark/>
          </w:tcPr>
          <w:p w14:paraId="3E41B681"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7A0347C1"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Reuse of support services within the platform (e.g. substance identification, data management and dissemination). Reuse of administrative services.</w:t>
            </w:r>
          </w:p>
        </w:tc>
      </w:tr>
    </w:tbl>
    <w:p w14:paraId="62315D6B" w14:textId="77777777" w:rsidR="000A7D9D" w:rsidRPr="00F521F8" w:rsidRDefault="000A7D9D" w:rsidP="000A7D9D">
      <w:pPr>
        <w:pStyle w:val="BodyText"/>
        <w:rPr>
          <w:noProof/>
        </w:rPr>
      </w:pPr>
    </w:p>
    <w:tbl>
      <w:tblPr>
        <w:tblStyle w:val="TableGrid19"/>
        <w:tblW w:w="0" w:type="auto"/>
        <w:tblLook w:val="04A0" w:firstRow="1" w:lastRow="0" w:firstColumn="1" w:lastColumn="0" w:noHBand="0" w:noVBand="1"/>
      </w:tblPr>
      <w:tblGrid>
        <w:gridCol w:w="1988"/>
        <w:gridCol w:w="1046"/>
        <w:gridCol w:w="6595"/>
      </w:tblGrid>
      <w:tr w:rsidR="000A7D9D" w:rsidRPr="00F521F8" w14:paraId="58FF51B6" w14:textId="77777777" w:rsidTr="00F31937">
        <w:trPr>
          <w:trHeight w:val="300"/>
        </w:trPr>
        <w:tc>
          <w:tcPr>
            <w:tcW w:w="1988" w:type="dxa"/>
            <w:tcBorders>
              <w:top w:val="single" w:sz="4" w:space="0" w:color="auto"/>
              <w:left w:val="single" w:sz="4" w:space="0" w:color="auto"/>
              <w:bottom w:val="single" w:sz="4" w:space="0" w:color="auto"/>
              <w:right w:val="single" w:sz="4" w:space="0" w:color="auto"/>
            </w:tcBorders>
            <w:hideMark/>
          </w:tcPr>
          <w:p w14:paraId="1AD9ADD0" w14:textId="77777777" w:rsidR="000A7D9D" w:rsidRPr="00F521F8" w:rsidRDefault="000A7D9D" w:rsidP="00F31937">
            <w:pPr>
              <w:spacing w:before="120" w:after="120"/>
              <w:rPr>
                <w:rFonts w:ascii="Times New Roman" w:hAnsi="Times New Roman"/>
                <w:b/>
                <w:bCs/>
                <w:noProof/>
                <w:color w:val="0046AD"/>
                <w:sz w:val="24"/>
                <w:szCs w:val="24"/>
              </w:rPr>
            </w:pPr>
            <w:r w:rsidRPr="00F521F8">
              <w:rPr>
                <w:rFonts w:ascii="Times New Roman" w:hAnsi="Times New Roman"/>
                <w:b/>
                <w:bCs/>
                <w:noProof/>
                <w:color w:val="4472C4" w:themeColor="accent1"/>
                <w:sz w:val="24"/>
                <w:szCs w:val="24"/>
              </w:rPr>
              <w:t>Type</w:t>
            </w:r>
          </w:p>
        </w:tc>
        <w:tc>
          <w:tcPr>
            <w:tcW w:w="7641" w:type="dxa"/>
            <w:gridSpan w:val="2"/>
            <w:tcBorders>
              <w:top w:val="single" w:sz="4" w:space="0" w:color="auto"/>
              <w:left w:val="single" w:sz="4" w:space="0" w:color="auto"/>
              <w:bottom w:val="single" w:sz="4" w:space="0" w:color="auto"/>
              <w:right w:val="single" w:sz="4" w:space="0" w:color="auto"/>
            </w:tcBorders>
          </w:tcPr>
          <w:p w14:paraId="2BEDB32B" w14:textId="77777777" w:rsidR="000A7D9D" w:rsidRPr="00F521F8" w:rsidRDefault="000A7D9D" w:rsidP="00F31937">
            <w:pPr>
              <w:spacing w:before="120" w:after="120"/>
              <w:rPr>
                <w:rFonts w:ascii="Times New Roman" w:hAnsi="Times New Roman"/>
                <w:b/>
                <w:bCs/>
                <w:noProof/>
                <w:color w:val="0046AD"/>
                <w:sz w:val="24"/>
                <w:szCs w:val="24"/>
              </w:rPr>
            </w:pPr>
            <w:r w:rsidRPr="00F521F8">
              <w:rPr>
                <w:rFonts w:ascii="Times New Roman" w:hAnsi="Times New Roman"/>
                <w:b/>
                <w:bCs/>
                <w:noProof/>
                <w:color w:val="4472C4" w:themeColor="accent1"/>
                <w:sz w:val="24"/>
                <w:szCs w:val="24"/>
              </w:rPr>
              <w:t>Added value</w:t>
            </w:r>
          </w:p>
        </w:tc>
      </w:tr>
      <w:tr w:rsidR="000A7D9D" w:rsidRPr="00F521F8" w14:paraId="5A6BB158" w14:textId="77777777" w:rsidTr="00F31937">
        <w:trPr>
          <w:trHeight w:val="300"/>
        </w:trPr>
        <w:tc>
          <w:tcPr>
            <w:tcW w:w="1988" w:type="dxa"/>
            <w:tcBorders>
              <w:top w:val="single" w:sz="4" w:space="0" w:color="auto"/>
              <w:left w:val="single" w:sz="4" w:space="0" w:color="auto"/>
              <w:bottom w:val="single" w:sz="4" w:space="0" w:color="auto"/>
              <w:right w:val="single" w:sz="4" w:space="0" w:color="auto"/>
            </w:tcBorders>
            <w:hideMark/>
          </w:tcPr>
          <w:p w14:paraId="55EE8BD5"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themeColor="text1"/>
                <w:sz w:val="24"/>
                <w:szCs w:val="24"/>
              </w:rPr>
              <w:t>Compliance, robust implementation leading to safe handling</w:t>
            </w:r>
          </w:p>
        </w:tc>
        <w:tc>
          <w:tcPr>
            <w:tcW w:w="1046" w:type="dxa"/>
            <w:tcBorders>
              <w:top w:val="single" w:sz="4" w:space="0" w:color="auto"/>
              <w:left w:val="single" w:sz="4" w:space="0" w:color="auto"/>
              <w:bottom w:val="single" w:sz="4" w:space="0" w:color="auto"/>
              <w:right w:val="single" w:sz="4" w:space="0" w:color="auto"/>
            </w:tcBorders>
            <w:hideMark/>
          </w:tcPr>
          <w:p w14:paraId="3B77469E"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High</w:t>
            </w:r>
          </w:p>
        </w:tc>
        <w:tc>
          <w:tcPr>
            <w:tcW w:w="6595" w:type="dxa"/>
            <w:tcBorders>
              <w:top w:val="single" w:sz="4" w:space="0" w:color="auto"/>
              <w:left w:val="single" w:sz="4" w:space="0" w:color="auto"/>
              <w:bottom w:val="single" w:sz="4" w:space="0" w:color="auto"/>
              <w:right w:val="single" w:sz="4" w:space="0" w:color="auto"/>
            </w:tcBorders>
            <w:hideMark/>
          </w:tcPr>
          <w:p w14:paraId="69DCE5E0" w14:textId="77777777" w:rsidR="000A7D9D" w:rsidRPr="00F521F8" w:rsidRDefault="000A7D9D" w:rsidP="00F31937">
            <w:pPr>
              <w:spacing w:before="120" w:after="120"/>
              <w:rPr>
                <w:rFonts w:ascii="Times New Roman" w:hAnsi="Times New Roman"/>
                <w:noProof/>
                <w:color w:val="000000"/>
                <w:sz w:val="24"/>
                <w:szCs w:val="24"/>
              </w:rPr>
            </w:pPr>
            <w:r w:rsidRPr="13AEFEEB">
              <w:rPr>
                <w:rFonts w:ascii="Times New Roman" w:hAnsi="Times New Roman"/>
                <w:noProof/>
                <w:color w:val="000000" w:themeColor="text1"/>
                <w:sz w:val="24"/>
                <w:szCs w:val="24"/>
              </w:rPr>
              <w:t>Facilitating a comprehensive understanding of legal frames applying to a specific substance for its full lifecycle supports adequate and efficient activities, implementation of legislation and development of policies.</w:t>
            </w:r>
          </w:p>
        </w:tc>
      </w:tr>
      <w:tr w:rsidR="000A7D9D" w:rsidRPr="00F521F8" w14:paraId="55991687" w14:textId="77777777" w:rsidTr="00F31937">
        <w:trPr>
          <w:trHeight w:val="300"/>
        </w:trPr>
        <w:tc>
          <w:tcPr>
            <w:tcW w:w="1988" w:type="dxa"/>
            <w:tcBorders>
              <w:top w:val="single" w:sz="4" w:space="0" w:color="auto"/>
              <w:left w:val="single" w:sz="4" w:space="0" w:color="auto"/>
              <w:bottom w:val="single" w:sz="4" w:space="0" w:color="auto"/>
              <w:right w:val="single" w:sz="4" w:space="0" w:color="auto"/>
            </w:tcBorders>
            <w:hideMark/>
          </w:tcPr>
          <w:p w14:paraId="707F572E" w14:textId="77777777" w:rsidR="000A7D9D" w:rsidRPr="00F521F8" w:rsidRDefault="000A7D9D" w:rsidP="00F31937">
            <w:pPr>
              <w:spacing w:before="120" w:after="120"/>
              <w:rPr>
                <w:rFonts w:ascii="Times New Roman" w:hAnsi="Times New Roman"/>
                <w:b/>
                <w:bCs/>
                <w:noProof/>
                <w:color w:val="000000"/>
                <w:sz w:val="24"/>
                <w:szCs w:val="24"/>
              </w:rPr>
            </w:pPr>
            <w:r w:rsidRPr="00F521F8">
              <w:rPr>
                <w:rFonts w:ascii="Times New Roman" w:hAnsi="Times New Roman"/>
                <w:b/>
                <w:bCs/>
                <w:noProof/>
                <w:color w:val="000000" w:themeColor="text1"/>
                <w:sz w:val="24"/>
                <w:szCs w:val="24"/>
              </w:rPr>
              <w:t>Transparency</w:t>
            </w:r>
          </w:p>
        </w:tc>
        <w:tc>
          <w:tcPr>
            <w:tcW w:w="1046" w:type="dxa"/>
            <w:tcBorders>
              <w:top w:val="single" w:sz="4" w:space="0" w:color="auto"/>
              <w:left w:val="single" w:sz="4" w:space="0" w:color="auto"/>
              <w:bottom w:val="single" w:sz="4" w:space="0" w:color="auto"/>
              <w:right w:val="single" w:sz="4" w:space="0" w:color="auto"/>
            </w:tcBorders>
            <w:hideMark/>
          </w:tcPr>
          <w:p w14:paraId="60407439" w14:textId="77777777" w:rsidR="000A7D9D" w:rsidRPr="00F521F8" w:rsidRDefault="000A7D9D" w:rsidP="00F31937">
            <w:pPr>
              <w:spacing w:before="120" w:after="120"/>
              <w:rPr>
                <w:rFonts w:ascii="Times New Roman" w:hAnsi="Times New Roman"/>
                <w:noProof/>
                <w:color w:val="000000"/>
                <w:sz w:val="24"/>
                <w:szCs w:val="24"/>
              </w:rPr>
            </w:pPr>
            <w:r w:rsidRPr="00F521F8">
              <w:rPr>
                <w:rFonts w:ascii="Times New Roman" w:hAnsi="Times New Roman"/>
                <w:noProof/>
                <w:color w:val="000000" w:themeColor="text1"/>
                <w:sz w:val="24"/>
                <w:szCs w:val="24"/>
              </w:rPr>
              <w:t>High</w:t>
            </w:r>
          </w:p>
        </w:tc>
        <w:tc>
          <w:tcPr>
            <w:tcW w:w="6595" w:type="dxa"/>
            <w:tcBorders>
              <w:top w:val="single" w:sz="4" w:space="0" w:color="auto"/>
              <w:left w:val="single" w:sz="4" w:space="0" w:color="auto"/>
              <w:bottom w:val="single" w:sz="4" w:space="0" w:color="auto"/>
              <w:right w:val="single" w:sz="4" w:space="0" w:color="auto"/>
            </w:tcBorders>
            <w:hideMark/>
          </w:tcPr>
          <w:p w14:paraId="23B799EE" w14:textId="77777777" w:rsidR="000A7D9D" w:rsidRPr="00F521F8" w:rsidRDefault="000A7D9D" w:rsidP="00F31937">
            <w:pPr>
              <w:spacing w:before="120" w:after="120"/>
              <w:rPr>
                <w:rFonts w:ascii="Times New Roman" w:hAnsi="Times New Roman"/>
                <w:noProof/>
                <w:color w:val="000000"/>
                <w:sz w:val="24"/>
                <w:szCs w:val="24"/>
              </w:rPr>
            </w:pPr>
            <w:r w:rsidRPr="13AEFEEB">
              <w:rPr>
                <w:rFonts w:ascii="Times New Roman" w:hAnsi="Times New Roman"/>
                <w:noProof/>
                <w:color w:val="000000" w:themeColor="text1"/>
                <w:sz w:val="24"/>
                <w:szCs w:val="24"/>
              </w:rPr>
              <w:t xml:space="preserve">Compiling information that is public by default, but by merging and by using advanced tools to visualize the information provides a unique insight that is often missed by data alone. </w:t>
            </w:r>
          </w:p>
        </w:tc>
      </w:tr>
    </w:tbl>
    <w:p w14:paraId="6D02156D" w14:textId="77777777" w:rsidR="000A7D9D" w:rsidRPr="00F521F8" w:rsidRDefault="000A7D9D" w:rsidP="000A7D9D">
      <w:pPr>
        <w:pStyle w:val="BodyText"/>
        <w:ind w:left="720"/>
        <w:rPr>
          <w:i/>
          <w:iCs/>
          <w:noProof/>
        </w:rPr>
      </w:pPr>
    </w:p>
    <w:p w14:paraId="03FCF561" w14:textId="77777777" w:rsidR="000A7D9D" w:rsidRPr="00F521F8" w:rsidRDefault="000A7D9D" w:rsidP="000A7D9D">
      <w:pPr>
        <w:pStyle w:val="BodyText"/>
        <w:rPr>
          <w:b/>
          <w:bCs/>
          <w:noProof/>
        </w:rPr>
      </w:pPr>
      <w:r w:rsidRPr="00F521F8">
        <w:rPr>
          <w:b/>
          <w:bCs/>
          <w:noProof/>
        </w:rPr>
        <w:t xml:space="preserve">Main risks and opportunities: </w:t>
      </w:r>
    </w:p>
    <w:p w14:paraId="1A5E4A9B" w14:textId="77777777" w:rsidR="000A7D9D" w:rsidRPr="00F521F8" w:rsidRDefault="000A7D9D" w:rsidP="000A7D9D">
      <w:pPr>
        <w:pStyle w:val="BodyText"/>
        <w:jc w:val="both"/>
        <w:rPr>
          <w:noProof/>
        </w:rPr>
      </w:pPr>
      <w:r>
        <w:rPr>
          <w:noProof/>
        </w:rPr>
        <w:t xml:space="preserve">The current EUCLEF solution provided by an external consultant is robust and the risks of interrupting the continuous provision of information and the efforts required to integrate in the platform are low, provided that funding is maintained at a similar level as today. There is an opportunity to allow for a more efficient update of the database by automating the reading of entries from Eur-LEx. For that, a collaboration with the Commission’s publication office is required to ensure adequate structuring of the information in Eur-Lex. Another opportunity is to integrate the repository of reference values into the system, using joint efforts and practices. </w:t>
      </w:r>
    </w:p>
    <w:p w14:paraId="2E60D0E9" w14:textId="77777777" w:rsidR="000A7D9D" w:rsidRPr="00F521F8" w:rsidRDefault="000A7D9D" w:rsidP="000A7D9D">
      <w:pPr>
        <w:pStyle w:val="BodyText"/>
        <w:rPr>
          <w:b/>
          <w:bCs/>
          <w:noProof/>
        </w:rPr>
      </w:pPr>
      <w:r w:rsidRPr="00F521F8">
        <w:rPr>
          <w:b/>
          <w:bCs/>
          <w:noProof/>
        </w:rPr>
        <w:t>Projected impact on ECHA:</w:t>
      </w:r>
    </w:p>
    <w:p w14:paraId="533B41C0" w14:textId="77777777" w:rsidR="000A7D9D" w:rsidRPr="00F521F8" w:rsidRDefault="000A7D9D" w:rsidP="000A7D9D">
      <w:pPr>
        <w:pStyle w:val="BodyText"/>
        <w:widowControl w:val="0"/>
        <w:numPr>
          <w:ilvl w:val="0"/>
          <w:numId w:val="88"/>
        </w:numPr>
        <w:rPr>
          <w:b/>
          <w:bCs/>
          <w:noProof/>
        </w:rPr>
      </w:pPr>
      <w:r>
        <w:rPr>
          <w:noProof/>
        </w:rPr>
        <w:t xml:space="preserve">ECHA committees/bodies: </w:t>
      </w:r>
      <w:r w:rsidRPr="13AEFEEB">
        <w:rPr>
          <w:b/>
          <w:bCs/>
          <w:noProof/>
        </w:rPr>
        <w:t>no impact</w:t>
      </w:r>
      <w:r>
        <w:rPr>
          <w:noProof/>
        </w:rPr>
        <w:t>. The task does not require the involvement of ECHA committees /bodies.</w:t>
      </w:r>
    </w:p>
    <w:p w14:paraId="23564B0D" w14:textId="77777777" w:rsidR="000A7D9D" w:rsidRPr="00F521F8" w:rsidRDefault="000A7D9D" w:rsidP="000A7D9D">
      <w:pPr>
        <w:pStyle w:val="BodyText"/>
        <w:widowControl w:val="0"/>
        <w:numPr>
          <w:ilvl w:val="0"/>
          <w:numId w:val="88"/>
        </w:numPr>
        <w:jc w:val="both"/>
        <w:rPr>
          <w:b/>
          <w:bCs/>
          <w:noProof/>
        </w:rPr>
      </w:pPr>
      <w:r>
        <w:rPr>
          <w:noProof/>
        </w:rPr>
        <w:t xml:space="preserve">ECHA data model and IT infrastructure: </w:t>
      </w:r>
      <w:r w:rsidRPr="13AEFEEB">
        <w:rPr>
          <w:b/>
          <w:bCs/>
          <w:noProof/>
        </w:rPr>
        <w:t>medium impact</w:t>
      </w:r>
      <w:r>
        <w:rPr>
          <w:noProof/>
        </w:rPr>
        <w:t>. Becoming a sustainable part of the common data platform, it will require some changes in the data model. However, being an existing service to be included in the platform, significant efforts in addition to continuous funding at the existing operational level should not be required. Given the investments in IT and data under the EUCLEF task since 2019, its continued implementation would not require significant further efforts in this area.</w:t>
      </w:r>
    </w:p>
    <w:p w14:paraId="408A0591" w14:textId="77777777" w:rsidR="000A7D9D" w:rsidRPr="00F521F8" w:rsidRDefault="000A7D9D" w:rsidP="000A7D9D">
      <w:pPr>
        <w:pStyle w:val="BodyText"/>
        <w:widowControl w:val="0"/>
        <w:numPr>
          <w:ilvl w:val="0"/>
          <w:numId w:val="87"/>
        </w:numPr>
        <w:jc w:val="both"/>
        <w:rPr>
          <w:noProof/>
        </w:rPr>
      </w:pPr>
      <w:r>
        <w:rPr>
          <w:noProof/>
        </w:rPr>
        <w:t>ECHA key experts:</w:t>
      </w:r>
      <w:r w:rsidRPr="13AEFEEB">
        <w:rPr>
          <w:b/>
          <w:bCs/>
          <w:noProof/>
        </w:rPr>
        <w:t xml:space="preserve"> low impact</w:t>
      </w:r>
      <w:r>
        <w:rPr>
          <w:noProof/>
        </w:rPr>
        <w:t>. The task relies on expert competencies, but as externally-supported service in the operational phase this requires lower ECHA oversight, and the additional support to development the required for integration into the common data platform is expected to be covered by the ECHA experts dedicated to the platform development.</w:t>
      </w:r>
    </w:p>
    <w:p w14:paraId="0A046F56" w14:textId="77777777" w:rsidR="000A7D9D" w:rsidRPr="00F521F8" w:rsidRDefault="000A7D9D" w:rsidP="000A7D9D">
      <w:pPr>
        <w:pStyle w:val="BodyText"/>
        <w:spacing w:before="120"/>
        <w:rPr>
          <w:noProof/>
        </w:rPr>
      </w:pPr>
      <w:r w:rsidRPr="00F521F8">
        <w:rPr>
          <w:b/>
          <w:bCs/>
          <w:noProof/>
        </w:rPr>
        <w:t>Projected workload and resource implications:</w:t>
      </w:r>
      <w:r w:rsidRPr="00F521F8">
        <w:rPr>
          <w:noProof/>
        </w:rPr>
        <w:t xml:space="preserve"> </w:t>
      </w:r>
    </w:p>
    <w:p w14:paraId="672FD9AE" w14:textId="77777777" w:rsidR="000A7D9D" w:rsidRPr="00F521F8" w:rsidRDefault="000A7D9D" w:rsidP="000A7D9D">
      <w:pPr>
        <w:pStyle w:val="BodyText"/>
        <w:spacing w:before="120"/>
        <w:rPr>
          <w:noProof/>
          <w:u w:val="single"/>
        </w:rPr>
      </w:pPr>
      <w:r w:rsidRPr="00F521F8">
        <w:rPr>
          <w:noProof/>
          <w:u w:val="single"/>
        </w:rPr>
        <w:t>Current workload and resource use:</w:t>
      </w:r>
    </w:p>
    <w:p w14:paraId="31BEE531" w14:textId="77777777" w:rsidR="000A7D9D" w:rsidRPr="00F521F8" w:rsidRDefault="000A7D9D" w:rsidP="000A7D9D">
      <w:pPr>
        <w:pStyle w:val="BodyText"/>
        <w:jc w:val="both"/>
        <w:rPr>
          <w:noProof/>
        </w:rPr>
      </w:pPr>
      <w:r>
        <w:rPr>
          <w:noProof/>
        </w:rPr>
        <w:t>ECHA already developed and currently maintains the EU Legislation Finder (EUCLEF). It does so under a Contribution Agreement with DG GROW for which it receives</w:t>
      </w:r>
      <w:r w:rsidRPr="13AEFEEB">
        <w:rPr>
          <w:noProof/>
          <w:color w:val="000000" w:themeColor="text1"/>
        </w:rPr>
        <w:t xml:space="preserve"> a varying sum of money depending on the year (</w:t>
      </w:r>
      <w:r>
        <w:rPr>
          <w:noProof/>
          <w:color w:val="000000" w:themeColor="text1"/>
        </w:rPr>
        <w:t>EUR 1 000 000 –</w:t>
      </w:r>
      <w:r w:rsidRPr="13AEFEEB">
        <w:rPr>
          <w:noProof/>
          <w:color w:val="000000" w:themeColor="text1"/>
        </w:rPr>
        <w:t xml:space="preserve"> </w:t>
      </w:r>
      <w:r>
        <w:rPr>
          <w:noProof/>
          <w:color w:val="000000" w:themeColor="text1"/>
        </w:rPr>
        <w:t xml:space="preserve">EUR 1 400 000 </w:t>
      </w:r>
      <w:r w:rsidRPr="13AEFEEB">
        <w:rPr>
          <w:noProof/>
          <w:color w:val="000000" w:themeColor="text1"/>
        </w:rPr>
        <w:t>annually), but no posts</w:t>
      </w:r>
      <w:r>
        <w:rPr>
          <w:noProof/>
        </w:rPr>
        <w:t xml:space="preserve">. ECHA runs the service through the employment of 4 interim staff members (ca. EUR 270 000/year) and outsourcing to contractors: </w:t>
      </w:r>
      <w:r w:rsidRPr="13AEFEEB">
        <w:rPr>
          <w:noProof/>
          <w:color w:val="000000" w:themeColor="text1"/>
        </w:rPr>
        <w:t xml:space="preserve">communication activities and external helpdesk ca. </w:t>
      </w:r>
      <w:r>
        <w:rPr>
          <w:noProof/>
          <w:color w:val="000000" w:themeColor="text1"/>
        </w:rPr>
        <w:t xml:space="preserve">EUR </w:t>
      </w:r>
      <w:r w:rsidRPr="13AEFEEB">
        <w:rPr>
          <w:noProof/>
          <w:color w:val="000000" w:themeColor="text1"/>
        </w:rPr>
        <w:t>60</w:t>
      </w:r>
      <w:r>
        <w:rPr>
          <w:noProof/>
          <w:color w:val="000000" w:themeColor="text1"/>
        </w:rPr>
        <w:t xml:space="preserve"> 000</w:t>
      </w:r>
      <w:r w:rsidRPr="13AEFEEB">
        <w:rPr>
          <w:noProof/>
          <w:color w:val="000000" w:themeColor="text1"/>
        </w:rPr>
        <w:t xml:space="preserve">/year, IT costs ca. </w:t>
      </w:r>
      <w:r>
        <w:rPr>
          <w:noProof/>
          <w:color w:val="000000" w:themeColor="text1"/>
        </w:rPr>
        <w:t xml:space="preserve">EUR </w:t>
      </w:r>
      <w:r w:rsidRPr="13AEFEEB">
        <w:rPr>
          <w:noProof/>
          <w:color w:val="000000" w:themeColor="text1"/>
        </w:rPr>
        <w:t>200</w:t>
      </w:r>
      <w:r>
        <w:rPr>
          <w:noProof/>
          <w:color w:val="000000" w:themeColor="text1"/>
        </w:rPr>
        <w:t xml:space="preserve"> 000</w:t>
      </w:r>
      <w:r w:rsidRPr="13AEFEEB">
        <w:rPr>
          <w:noProof/>
          <w:color w:val="000000" w:themeColor="text1"/>
        </w:rPr>
        <w:t xml:space="preserve">/year, data costs ca. </w:t>
      </w:r>
      <w:r>
        <w:rPr>
          <w:noProof/>
          <w:color w:val="000000" w:themeColor="text1"/>
        </w:rPr>
        <w:t xml:space="preserve">EUR </w:t>
      </w:r>
      <w:r w:rsidRPr="13AEFEEB">
        <w:rPr>
          <w:noProof/>
          <w:color w:val="000000" w:themeColor="text1"/>
        </w:rPr>
        <w:t>430</w:t>
      </w:r>
      <w:r>
        <w:rPr>
          <w:noProof/>
          <w:color w:val="000000" w:themeColor="text1"/>
        </w:rPr>
        <w:t xml:space="preserve"> 000</w:t>
      </w:r>
      <w:r w:rsidRPr="13AEFEEB">
        <w:rPr>
          <w:noProof/>
          <w:color w:val="000000" w:themeColor="text1"/>
        </w:rPr>
        <w:t xml:space="preserve">/year. </w:t>
      </w:r>
      <w:r>
        <w:rPr>
          <w:noProof/>
        </w:rPr>
        <w:t>Via the Contribution Agreement this activity does not currently contribute to the cost of running the ECHA (administrative overhead or IT development).</w:t>
      </w:r>
    </w:p>
    <w:p w14:paraId="036B61BF" w14:textId="77777777" w:rsidR="000A7D9D" w:rsidRPr="00F521F8" w:rsidRDefault="000A7D9D" w:rsidP="000A7D9D">
      <w:pPr>
        <w:pStyle w:val="BodyText"/>
        <w:rPr>
          <w:noProof/>
          <w:u w:val="single"/>
        </w:rPr>
      </w:pPr>
      <w:r w:rsidRPr="00F521F8">
        <w:rPr>
          <w:noProof/>
          <w:u w:val="single"/>
        </w:rPr>
        <w:t>Future workload and resource needs:</w:t>
      </w:r>
    </w:p>
    <w:p w14:paraId="499180CD" w14:textId="289829E2" w:rsidR="000A7D9D" w:rsidRPr="00F521F8" w:rsidRDefault="000A7D9D" w:rsidP="000A7D9D">
      <w:pPr>
        <w:pStyle w:val="BodyText"/>
        <w:jc w:val="both"/>
        <w:rPr>
          <w:noProof/>
        </w:rPr>
      </w:pPr>
      <w:r>
        <w:rPr>
          <w:noProof/>
        </w:rPr>
        <w:t xml:space="preserve">No additional resources are required for this work. The existing resources for EUCLEF </w:t>
      </w:r>
      <w:r w:rsidRPr="00750E98">
        <w:rPr>
          <w:noProof/>
        </w:rPr>
        <w:t xml:space="preserve">will be used to continue operating, further developing and slightly expanding the system. </w:t>
      </w:r>
      <w:r>
        <w:rPr>
          <w:noProof/>
        </w:rPr>
        <w:t xml:space="preserve">The dedicated service on information on the obligations under EU acts on chemicals will have to be integrated into the platform, but the resource needs for adaptation are already covered under the common data platform. The major extension of EUCLEF – incorporation of the repository of reference values – are accounted for separately (see section 22). </w:t>
      </w:r>
      <w:r w:rsidRPr="00750E98">
        <w:rPr>
          <w:noProof/>
        </w:rPr>
        <w:t xml:space="preserve">Although no </w:t>
      </w:r>
      <w:r>
        <w:rPr>
          <w:noProof/>
        </w:rPr>
        <w:t xml:space="preserve">additional </w:t>
      </w:r>
      <w:r w:rsidRPr="00750E98">
        <w:rPr>
          <w:noProof/>
        </w:rPr>
        <w:t>resources are required under th</w:t>
      </w:r>
      <w:r>
        <w:rPr>
          <w:noProof/>
        </w:rPr>
        <w:t>e proposal for the</w:t>
      </w:r>
      <w:r w:rsidRPr="13AEFEEB">
        <w:rPr>
          <w:noProof/>
        </w:rPr>
        <w:t xml:space="preserve"> regulation establishing a common data platform on chemicals and establishing a monitoring and outlook framework for chemicals</w:t>
      </w:r>
      <w:r w:rsidRPr="00750E98">
        <w:rPr>
          <w:noProof/>
        </w:rPr>
        <w:t xml:space="preserve">, the legislative proposal for a regulation on ECHA </w:t>
      </w:r>
      <w:r>
        <w:rPr>
          <w:noProof/>
        </w:rPr>
        <w:t xml:space="preserve">that is in preparation </w:t>
      </w:r>
      <w:r w:rsidRPr="00750E98">
        <w:rPr>
          <w:noProof/>
        </w:rPr>
        <w:t>should address the fact that the operation of the EUCLEF became a structural task for ECHA and that the financing should be</w:t>
      </w:r>
      <w:r>
        <w:rPr>
          <w:noProof/>
        </w:rPr>
        <w:t>come</w:t>
      </w:r>
      <w:r w:rsidRPr="00750E98">
        <w:rPr>
          <w:noProof/>
        </w:rPr>
        <w:t xml:space="preserve"> part of the annual contribution to ECHA.</w:t>
      </w:r>
    </w:p>
    <w:tbl>
      <w:tblPr>
        <w:tblW w:w="97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810"/>
        <w:gridCol w:w="5512"/>
      </w:tblGrid>
      <w:tr w:rsidR="000A7D9D" w:rsidRPr="008561AC" w14:paraId="2EE393F5"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071CF3" w14:textId="77777777" w:rsidR="000A7D9D" w:rsidRPr="00F521F8" w:rsidRDefault="000A7D9D" w:rsidP="00F31937">
            <w:pPr>
              <w:textAlignment w:val="baseline"/>
              <w:rPr>
                <w:rFonts w:ascii="Times New Roman" w:eastAsiaTheme="majorEastAsia" w:hAnsi="Times New Roman" w:cs="Times New Roman"/>
                <w:noProof/>
                <w:sz w:val="20"/>
                <w:szCs w:val="20"/>
                <w:lang w:eastAsia="en-GB"/>
              </w:rPr>
            </w:pPr>
            <w:r w:rsidRPr="00F521F8">
              <w:rPr>
                <w:rFonts w:ascii="Times New Roman" w:eastAsiaTheme="majorEastAsia" w:hAnsi="Times New Roman" w:cs="Times New Roman"/>
                <w:b/>
                <w:bCs/>
                <w:noProof/>
                <w:sz w:val="20"/>
                <w:szCs w:val="20"/>
                <w:lang w:val="en-US" w:eastAsia="en-GB"/>
              </w:rPr>
              <w:t>Work description </w:t>
            </w:r>
            <w:r w:rsidRPr="00F521F8">
              <w:rPr>
                <w:rFonts w:ascii="Times New Roman" w:eastAsiaTheme="majorEastAsia" w:hAnsi="Times New Roman" w:cs="Times New Roman"/>
                <w:noProof/>
                <w:sz w:val="20"/>
                <w:szCs w:val="20"/>
                <w:lang w:eastAsia="en-GB"/>
              </w:rPr>
              <w:t> </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EE865F" w14:textId="77777777" w:rsidR="000A7D9D" w:rsidRPr="00F521F8" w:rsidRDefault="000A7D9D" w:rsidP="00F31937">
            <w:pPr>
              <w:textAlignment w:val="baseline"/>
              <w:rPr>
                <w:rFonts w:ascii="Times New Roman" w:eastAsiaTheme="majorEastAsia" w:hAnsi="Times New Roman" w:cs="Times New Roman"/>
                <w:noProof/>
                <w:sz w:val="20"/>
                <w:szCs w:val="20"/>
                <w:lang w:eastAsia="en-GB"/>
              </w:rPr>
            </w:pPr>
            <w:r w:rsidRPr="00F521F8">
              <w:rPr>
                <w:rFonts w:ascii="Times New Roman" w:eastAsiaTheme="majorEastAsia" w:hAnsi="Times New Roman" w:cs="Times New Roman"/>
                <w:b/>
                <w:bCs/>
                <w:noProof/>
                <w:sz w:val="20"/>
                <w:szCs w:val="20"/>
                <w:lang w:val="en-US" w:eastAsia="en-GB"/>
              </w:rPr>
              <w:t>Who </w:t>
            </w:r>
            <w:r w:rsidRPr="00F521F8">
              <w:rPr>
                <w:rFonts w:ascii="Times New Roman" w:eastAsiaTheme="majorEastAsia" w:hAnsi="Times New Roman" w:cs="Times New Roman"/>
                <w:noProof/>
                <w:sz w:val="20"/>
                <w:szCs w:val="20"/>
                <w:lang w:eastAsia="en-GB"/>
              </w:rPr>
              <w:t> </w:t>
            </w:r>
          </w:p>
        </w:tc>
        <w:tc>
          <w:tcPr>
            <w:tcW w:w="55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A5BA29" w14:textId="77777777" w:rsidR="000A7D9D" w:rsidRPr="00F521F8" w:rsidRDefault="000A7D9D" w:rsidP="00F31937">
            <w:pPr>
              <w:textAlignment w:val="baseline"/>
              <w:rPr>
                <w:rFonts w:ascii="Times New Roman" w:eastAsiaTheme="majorEastAsia" w:hAnsi="Times New Roman" w:cs="Times New Roman"/>
                <w:noProof/>
                <w:sz w:val="20"/>
                <w:szCs w:val="20"/>
                <w:lang w:eastAsia="en-GB"/>
              </w:rPr>
            </w:pPr>
            <w:r>
              <w:rPr>
                <w:rFonts w:ascii="Times New Roman" w:eastAsiaTheme="majorEastAsia" w:hAnsi="Times New Roman" w:cs="Times New Roman"/>
                <w:b/>
                <w:bCs/>
                <w:noProof/>
                <w:sz w:val="20"/>
                <w:szCs w:val="20"/>
                <w:lang w:val="en-US" w:eastAsia="en-GB"/>
              </w:rPr>
              <w:t>Additional r</w:t>
            </w:r>
            <w:r w:rsidRPr="00F521F8">
              <w:rPr>
                <w:rFonts w:ascii="Times New Roman" w:eastAsiaTheme="majorEastAsia" w:hAnsi="Times New Roman" w:cs="Times New Roman"/>
                <w:b/>
                <w:bCs/>
                <w:noProof/>
                <w:sz w:val="20"/>
                <w:szCs w:val="20"/>
                <w:lang w:val="en-US" w:eastAsia="en-GB"/>
              </w:rPr>
              <w:t>esource needs estimate</w:t>
            </w:r>
            <w:r w:rsidRPr="00F521F8">
              <w:rPr>
                <w:rFonts w:ascii="Times New Roman" w:eastAsiaTheme="majorEastAsia" w:hAnsi="Times New Roman" w:cs="Times New Roman"/>
                <w:noProof/>
                <w:sz w:val="20"/>
                <w:szCs w:val="20"/>
                <w:lang w:eastAsia="en-GB"/>
              </w:rPr>
              <w:t> </w:t>
            </w:r>
          </w:p>
        </w:tc>
      </w:tr>
      <w:tr w:rsidR="000A7D9D" w:rsidRPr="008561AC" w14:paraId="29DD490D"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AFE868" w14:textId="77777777" w:rsidR="000A7D9D" w:rsidRPr="00F521F8" w:rsidRDefault="000A7D9D" w:rsidP="00F31937">
            <w:pPr>
              <w:textAlignment w:val="baseline"/>
              <w:rPr>
                <w:rFonts w:ascii="Times New Roman" w:eastAsiaTheme="majorEastAsia" w:hAnsi="Times New Roman" w:cs="Times New Roman"/>
                <w:noProof/>
                <w:sz w:val="20"/>
                <w:szCs w:val="20"/>
                <w:lang w:val="en-US" w:eastAsia="en-GB"/>
              </w:rPr>
            </w:pPr>
            <w:r w:rsidRPr="13AEFEEB">
              <w:rPr>
                <w:rFonts w:ascii="Times New Roman" w:eastAsiaTheme="majorEastAsia" w:hAnsi="Times New Roman" w:cs="Times New Roman"/>
                <w:noProof/>
                <w:sz w:val="20"/>
                <w:szCs w:val="20"/>
                <w:lang w:val="en-US" w:eastAsia="en-GB"/>
              </w:rPr>
              <w:t>Operation of dedicated service on information on obligations under EU acts on chemicals– maintaining the system, periodically updating the database with data</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73C5C8" w14:textId="77777777" w:rsidR="000A7D9D" w:rsidRPr="00F521F8" w:rsidRDefault="000A7D9D" w:rsidP="00F31937">
            <w:pPr>
              <w:textAlignment w:val="baseline"/>
              <w:rPr>
                <w:rFonts w:ascii="Times New Roman" w:eastAsiaTheme="majorEastAsia" w:hAnsi="Times New Roman" w:cs="Times New Roman"/>
                <w:noProof/>
                <w:sz w:val="20"/>
                <w:szCs w:val="20"/>
                <w:lang w:val="en-US" w:eastAsia="en-GB"/>
              </w:rPr>
            </w:pPr>
            <w:r w:rsidRPr="00F521F8">
              <w:rPr>
                <w:rFonts w:ascii="Times New Roman" w:eastAsiaTheme="majorEastAsia" w:hAnsi="Times New Roman" w:cs="Times New Roman"/>
                <w:noProof/>
                <w:sz w:val="20"/>
                <w:szCs w:val="20"/>
                <w:lang w:val="en-US" w:eastAsia="en-GB"/>
              </w:rPr>
              <w:t> ECHA</w:t>
            </w:r>
          </w:p>
        </w:tc>
        <w:tc>
          <w:tcPr>
            <w:tcW w:w="55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7767FE" w14:textId="77777777" w:rsidR="000A7D9D" w:rsidRPr="00F521F8" w:rsidRDefault="000A7D9D" w:rsidP="00F31937">
            <w:pPr>
              <w:textAlignment w:val="baseline"/>
              <w:rPr>
                <w:rFonts w:ascii="Times New Roman" w:eastAsiaTheme="majorEastAsia" w:hAnsi="Times New Roman" w:cs="Times New Roman"/>
                <w:noProof/>
                <w:sz w:val="20"/>
                <w:szCs w:val="20"/>
                <w:lang w:val="en-US" w:eastAsia="en-GB"/>
              </w:rPr>
            </w:pPr>
            <w:r>
              <w:rPr>
                <w:rFonts w:ascii="Times New Roman" w:eastAsiaTheme="majorEastAsia" w:hAnsi="Times New Roman" w:cs="Times New Roman"/>
                <w:noProof/>
                <w:sz w:val="20"/>
                <w:szCs w:val="20"/>
                <w:lang w:val="en-US" w:eastAsia="en-GB"/>
              </w:rPr>
              <w:t>None, but the existing resources and financing for EUCLEF must be maintained.</w:t>
            </w:r>
          </w:p>
        </w:tc>
      </w:tr>
      <w:tr w:rsidR="000A7D9D" w:rsidRPr="008561AC" w14:paraId="1A3E03F8"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484008" w14:textId="77777777" w:rsidR="000A7D9D" w:rsidRPr="00F521F8" w:rsidRDefault="000A7D9D" w:rsidP="00F31937">
            <w:pPr>
              <w:textAlignment w:val="baseline"/>
              <w:rPr>
                <w:rFonts w:ascii="Times New Roman" w:eastAsiaTheme="majorEastAsia" w:hAnsi="Times New Roman" w:cs="Times New Roman"/>
                <w:noProof/>
                <w:sz w:val="20"/>
                <w:szCs w:val="20"/>
                <w:lang w:val="en-US" w:eastAsia="en-GB"/>
              </w:rPr>
            </w:pPr>
            <w:r w:rsidRPr="13AEFEEB">
              <w:rPr>
                <w:rFonts w:ascii="Times New Roman" w:eastAsiaTheme="majorEastAsia" w:hAnsi="Times New Roman" w:cs="Times New Roman"/>
                <w:noProof/>
                <w:sz w:val="20"/>
                <w:szCs w:val="20"/>
                <w:lang w:val="en-US" w:eastAsia="en-GB"/>
              </w:rPr>
              <w:t>Development phase - incorporation  of the dedicated service into the common data platform: reviewing, aligning database structure and format; association with controlled vocabularies (as they are being developed)</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CD313F" w14:textId="77777777" w:rsidR="000A7D9D" w:rsidRPr="00F521F8" w:rsidRDefault="000A7D9D" w:rsidP="00F31937">
            <w:pPr>
              <w:textAlignment w:val="baseline"/>
              <w:rPr>
                <w:rFonts w:ascii="Times New Roman" w:eastAsiaTheme="majorEastAsia" w:hAnsi="Times New Roman" w:cs="Times New Roman"/>
                <w:noProof/>
                <w:sz w:val="20"/>
                <w:szCs w:val="20"/>
                <w:lang w:eastAsia="en-GB"/>
              </w:rPr>
            </w:pPr>
            <w:r w:rsidRPr="00F521F8">
              <w:rPr>
                <w:rFonts w:ascii="Times New Roman" w:eastAsiaTheme="majorEastAsia" w:hAnsi="Times New Roman" w:cs="Times New Roman"/>
                <w:noProof/>
                <w:sz w:val="20"/>
                <w:szCs w:val="20"/>
                <w:lang w:val="en-US" w:eastAsia="en-GB"/>
              </w:rPr>
              <w:t>ECHA</w:t>
            </w:r>
            <w:r w:rsidRPr="00F521F8">
              <w:rPr>
                <w:rFonts w:ascii="Times New Roman" w:eastAsiaTheme="majorEastAsia" w:hAnsi="Times New Roman" w:cs="Times New Roman"/>
                <w:noProof/>
                <w:sz w:val="20"/>
                <w:szCs w:val="20"/>
                <w:lang w:eastAsia="en-GB"/>
              </w:rPr>
              <w:t> </w:t>
            </w:r>
          </w:p>
        </w:tc>
        <w:tc>
          <w:tcPr>
            <w:tcW w:w="55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E71C86" w14:textId="77777777" w:rsidR="000A7D9D" w:rsidRPr="00F521F8" w:rsidRDefault="000A7D9D" w:rsidP="00F31937">
            <w:pPr>
              <w:textAlignment w:val="baseline"/>
              <w:rPr>
                <w:rFonts w:ascii="Times New Roman" w:eastAsiaTheme="majorEastAsia" w:hAnsi="Times New Roman" w:cs="Times New Roman"/>
                <w:noProof/>
                <w:sz w:val="20"/>
                <w:szCs w:val="20"/>
                <w:lang w:eastAsia="en-GB"/>
              </w:rPr>
            </w:pPr>
            <w:r w:rsidRPr="00F521F8">
              <w:rPr>
                <w:rFonts w:ascii="Times New Roman" w:eastAsiaTheme="majorEastAsia" w:hAnsi="Times New Roman" w:cs="Times New Roman"/>
                <w:noProof/>
                <w:sz w:val="20"/>
                <w:szCs w:val="20"/>
                <w:lang w:eastAsia="en-GB"/>
              </w:rPr>
              <w:t xml:space="preserve">Resources required for the integration are already considered by the estimates on EUCLEF operation (above – some level of continuous adaptation to technical progress is part of operation) and under common data platform ECHA common data platform data ingestion estimation. </w:t>
            </w:r>
          </w:p>
        </w:tc>
      </w:tr>
      <w:tr w:rsidR="000A7D9D" w:rsidRPr="008561AC" w14:paraId="08273AA6" w14:textId="77777777" w:rsidTr="00F31937">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2AF8EB" w14:textId="77777777" w:rsidR="000A7D9D" w:rsidRPr="00F521F8" w:rsidRDefault="000A7D9D" w:rsidP="00F31937">
            <w:pPr>
              <w:rPr>
                <w:rFonts w:ascii="Times New Roman" w:eastAsiaTheme="majorEastAsia" w:hAnsi="Times New Roman" w:cs="Times New Roman"/>
                <w:noProof/>
                <w:sz w:val="20"/>
                <w:szCs w:val="20"/>
                <w:lang w:val="en-US" w:eastAsia="en-GB"/>
              </w:rPr>
            </w:pPr>
            <w:r w:rsidRPr="13AEFEEB">
              <w:rPr>
                <w:rFonts w:ascii="Times New Roman" w:eastAsiaTheme="majorEastAsia" w:hAnsi="Times New Roman" w:cs="Times New Roman"/>
                <w:noProof/>
                <w:sz w:val="20"/>
                <w:szCs w:val="20"/>
                <w:lang w:val="en-US" w:eastAsia="en-GB"/>
              </w:rPr>
              <w:t>Development phase – incorporation of repository of reference values into dedicated service on information on obligations under EU acts on chemicals</w:t>
            </w:r>
          </w:p>
        </w:tc>
        <w:tc>
          <w:tcPr>
            <w:tcW w:w="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9C2638" w14:textId="77777777" w:rsidR="000A7D9D" w:rsidRPr="00F521F8" w:rsidRDefault="000A7D9D" w:rsidP="00F31937">
            <w:pPr>
              <w:rPr>
                <w:rFonts w:ascii="Times New Roman" w:eastAsiaTheme="majorEastAsia" w:hAnsi="Times New Roman" w:cs="Times New Roman"/>
                <w:noProof/>
                <w:sz w:val="20"/>
                <w:szCs w:val="20"/>
                <w:lang w:val="en-US" w:eastAsia="en-GB"/>
              </w:rPr>
            </w:pPr>
            <w:r w:rsidRPr="00F521F8">
              <w:rPr>
                <w:rFonts w:ascii="Times New Roman" w:eastAsiaTheme="majorEastAsia" w:hAnsi="Times New Roman" w:cs="Times New Roman"/>
                <w:noProof/>
                <w:sz w:val="20"/>
                <w:szCs w:val="20"/>
                <w:lang w:val="en-US" w:eastAsia="en-GB"/>
              </w:rPr>
              <w:t>ECHA</w:t>
            </w:r>
          </w:p>
        </w:tc>
        <w:tc>
          <w:tcPr>
            <w:tcW w:w="55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72D377" w14:textId="77777777" w:rsidR="000A7D9D" w:rsidRPr="00F521F8" w:rsidRDefault="000A7D9D" w:rsidP="00F31937">
            <w:pPr>
              <w:rPr>
                <w:rFonts w:ascii="Times New Roman" w:eastAsiaTheme="majorEastAsia" w:hAnsi="Times New Roman" w:cs="Times New Roman"/>
                <w:noProof/>
                <w:sz w:val="20"/>
                <w:szCs w:val="20"/>
                <w:lang w:eastAsia="en-GB"/>
              </w:rPr>
            </w:pPr>
            <w:r w:rsidRPr="00F521F8">
              <w:rPr>
                <w:rFonts w:ascii="Times New Roman" w:eastAsiaTheme="majorEastAsia" w:hAnsi="Times New Roman" w:cs="Times New Roman"/>
                <w:noProof/>
                <w:sz w:val="20"/>
                <w:szCs w:val="20"/>
                <w:lang w:eastAsia="en-GB"/>
              </w:rPr>
              <w:t xml:space="preserve">Resources estimated under the repository of health-based limit values. </w:t>
            </w:r>
          </w:p>
        </w:tc>
      </w:tr>
    </w:tbl>
    <w:p w14:paraId="6401B18B" w14:textId="77777777" w:rsidR="000A7D9D" w:rsidRDefault="000A7D9D" w:rsidP="000A7D9D">
      <w:pPr>
        <w:rPr>
          <w:rFonts w:ascii="Calibri" w:hAnsi="Calibri" w:cs="Calibri"/>
          <w:noProof/>
          <w:lang w:val="en-US" w:eastAsia="en-GB"/>
        </w:rPr>
      </w:pPr>
    </w:p>
    <w:p w14:paraId="30050706" w14:textId="77777777" w:rsidR="000A7D9D" w:rsidRPr="00F521F8" w:rsidRDefault="000A7D9D" w:rsidP="000A7D9D">
      <w:pPr>
        <w:jc w:val="both"/>
        <w:rPr>
          <w:rFonts w:ascii="Times New Roman" w:hAnsi="Times New Roman" w:cs="Times New Roman"/>
          <w:noProof/>
          <w:sz w:val="24"/>
          <w:szCs w:val="24"/>
          <w:lang w:val="en-US" w:eastAsia="en-GB"/>
        </w:rPr>
      </w:pPr>
      <w:r w:rsidRPr="13AEFEEB">
        <w:rPr>
          <w:rFonts w:ascii="Times New Roman" w:hAnsi="Times New Roman" w:cs="Times New Roman"/>
          <w:noProof/>
          <w:sz w:val="24"/>
          <w:szCs w:val="24"/>
          <w:lang w:val="en-US" w:eastAsia="en-GB"/>
        </w:rPr>
        <w:t xml:space="preserve">Summary of </w:t>
      </w:r>
      <w:r>
        <w:rPr>
          <w:rFonts w:ascii="Times New Roman" w:hAnsi="Times New Roman" w:cs="Times New Roman"/>
          <w:noProof/>
          <w:sz w:val="24"/>
          <w:szCs w:val="24"/>
          <w:lang w:val="en-US" w:eastAsia="en-GB"/>
        </w:rPr>
        <w:t xml:space="preserve">additional </w:t>
      </w:r>
      <w:r w:rsidRPr="13AEFEEB">
        <w:rPr>
          <w:rFonts w:ascii="Times New Roman" w:hAnsi="Times New Roman" w:cs="Times New Roman"/>
          <w:noProof/>
          <w:sz w:val="24"/>
          <w:szCs w:val="24"/>
          <w:lang w:val="en-US" w:eastAsia="en-GB"/>
        </w:rPr>
        <w:t>resource needs for the dedicated service on information on obligations under EU acts on chemicals:</w:t>
      </w:r>
    </w:p>
    <w:tbl>
      <w:tblPr>
        <w:tblStyle w:val="TableGrid"/>
        <w:tblW w:w="0" w:type="auto"/>
        <w:tblLook w:val="04A0" w:firstRow="1" w:lastRow="0" w:firstColumn="1" w:lastColumn="0" w:noHBand="0" w:noVBand="1"/>
      </w:tblPr>
      <w:tblGrid>
        <w:gridCol w:w="1035"/>
        <w:gridCol w:w="3510"/>
        <w:gridCol w:w="2820"/>
        <w:gridCol w:w="2264"/>
      </w:tblGrid>
      <w:tr w:rsidR="000A7D9D" w14:paraId="43509107" w14:textId="77777777" w:rsidTr="00F31937">
        <w:trPr>
          <w:trHeight w:val="300"/>
        </w:trPr>
        <w:tc>
          <w:tcPr>
            <w:tcW w:w="1035" w:type="dxa"/>
            <w:shd w:val="clear" w:color="auto" w:fill="D9D9D9" w:themeFill="background1" w:themeFillShade="D9"/>
          </w:tcPr>
          <w:p w14:paraId="4BEB4FBD" w14:textId="77777777" w:rsidR="000A7D9D" w:rsidRPr="00F521F8" w:rsidRDefault="000A7D9D" w:rsidP="00F31937">
            <w:pPr>
              <w:pStyle w:val="BodyText"/>
              <w:spacing w:line="259" w:lineRule="auto"/>
              <w:rPr>
                <w:rFonts w:eastAsiaTheme="minorEastAsia"/>
                <w:b/>
                <w:bCs/>
                <w:noProof/>
                <w:sz w:val="20"/>
                <w:szCs w:val="20"/>
              </w:rPr>
            </w:pPr>
            <w:r w:rsidRPr="00F521F8">
              <w:rPr>
                <w:rFonts w:eastAsiaTheme="minorEastAsia"/>
                <w:b/>
                <w:bCs/>
                <w:noProof/>
                <w:sz w:val="20"/>
                <w:szCs w:val="20"/>
              </w:rPr>
              <w:t>Agency</w:t>
            </w:r>
          </w:p>
        </w:tc>
        <w:tc>
          <w:tcPr>
            <w:tcW w:w="3510" w:type="dxa"/>
            <w:shd w:val="clear" w:color="auto" w:fill="D9D9D9" w:themeFill="background1" w:themeFillShade="D9"/>
          </w:tcPr>
          <w:p w14:paraId="1D5EE858" w14:textId="77777777" w:rsidR="000A7D9D" w:rsidRPr="00F521F8" w:rsidRDefault="000A7D9D" w:rsidP="00F31937">
            <w:pPr>
              <w:pStyle w:val="BodyText"/>
              <w:rPr>
                <w:rFonts w:eastAsiaTheme="minorEastAsia"/>
                <w:b/>
                <w:bCs/>
                <w:noProof/>
                <w:sz w:val="20"/>
                <w:szCs w:val="20"/>
              </w:rPr>
            </w:pPr>
            <w:r w:rsidRPr="00F521F8">
              <w:rPr>
                <w:rFonts w:eastAsiaTheme="minorEastAsia"/>
                <w:b/>
                <w:bCs/>
                <w:noProof/>
                <w:sz w:val="20"/>
                <w:szCs w:val="20"/>
              </w:rPr>
              <w:t>Summary of tasks</w:t>
            </w:r>
          </w:p>
        </w:tc>
        <w:tc>
          <w:tcPr>
            <w:tcW w:w="2820" w:type="dxa"/>
            <w:shd w:val="clear" w:color="auto" w:fill="D9D9D9" w:themeFill="background1" w:themeFillShade="D9"/>
          </w:tcPr>
          <w:p w14:paraId="5D0433E9" w14:textId="77777777" w:rsidR="000A7D9D" w:rsidRPr="00F521F8" w:rsidRDefault="000A7D9D" w:rsidP="00F31937">
            <w:pPr>
              <w:pStyle w:val="BodyText"/>
              <w:tabs>
                <w:tab w:val="left" w:pos="4170"/>
              </w:tabs>
              <w:rPr>
                <w:rFonts w:eastAsiaTheme="minorEastAsia"/>
                <w:noProof/>
                <w:sz w:val="20"/>
                <w:szCs w:val="20"/>
              </w:rPr>
            </w:pPr>
          </w:p>
        </w:tc>
        <w:tc>
          <w:tcPr>
            <w:tcW w:w="2264" w:type="dxa"/>
            <w:shd w:val="clear" w:color="auto" w:fill="D9D9D9" w:themeFill="background1" w:themeFillShade="D9"/>
          </w:tcPr>
          <w:p w14:paraId="0548577A" w14:textId="77777777" w:rsidR="000A7D9D" w:rsidRPr="00F521F8" w:rsidRDefault="000A7D9D" w:rsidP="00F31937">
            <w:pPr>
              <w:pStyle w:val="BodyText"/>
              <w:tabs>
                <w:tab w:val="left" w:pos="4170"/>
              </w:tabs>
              <w:spacing w:after="0"/>
              <w:rPr>
                <w:rFonts w:eastAsiaTheme="minorEastAsia"/>
                <w:noProof/>
                <w:sz w:val="20"/>
                <w:szCs w:val="20"/>
              </w:rPr>
            </w:pPr>
          </w:p>
        </w:tc>
      </w:tr>
      <w:tr w:rsidR="000A7D9D" w14:paraId="07C11ABF" w14:textId="77777777" w:rsidTr="00F31937">
        <w:trPr>
          <w:trHeight w:val="300"/>
        </w:trPr>
        <w:tc>
          <w:tcPr>
            <w:tcW w:w="1035" w:type="dxa"/>
            <w:vMerge w:val="restart"/>
            <w:shd w:val="clear" w:color="auto" w:fill="D9D9D9" w:themeFill="background1" w:themeFillShade="D9"/>
          </w:tcPr>
          <w:p w14:paraId="04D88BBE" w14:textId="77777777" w:rsidR="000A7D9D" w:rsidRPr="00F521F8" w:rsidRDefault="000A7D9D" w:rsidP="00F31937">
            <w:pPr>
              <w:pStyle w:val="BodyText"/>
              <w:rPr>
                <w:rFonts w:eastAsiaTheme="minorEastAsia"/>
                <w:noProof/>
                <w:sz w:val="20"/>
                <w:szCs w:val="20"/>
              </w:rPr>
            </w:pPr>
            <w:r w:rsidRPr="00F521F8">
              <w:rPr>
                <w:rFonts w:eastAsiaTheme="minorEastAsia"/>
                <w:noProof/>
                <w:sz w:val="20"/>
                <w:szCs w:val="20"/>
              </w:rPr>
              <w:t>ECHA</w:t>
            </w:r>
          </w:p>
        </w:tc>
        <w:tc>
          <w:tcPr>
            <w:tcW w:w="3510" w:type="dxa"/>
            <w:vMerge w:val="restart"/>
            <w:shd w:val="clear" w:color="auto" w:fill="D9D9D9" w:themeFill="background1" w:themeFillShade="D9"/>
          </w:tcPr>
          <w:p w14:paraId="0275B578" w14:textId="77777777" w:rsidR="000A7D9D" w:rsidRPr="00F521F8" w:rsidRDefault="000A7D9D" w:rsidP="00F31937">
            <w:pPr>
              <w:rPr>
                <w:noProof/>
                <w:lang w:val="en-US"/>
              </w:rPr>
            </w:pPr>
            <w:r w:rsidRPr="13AEFEEB">
              <w:rPr>
                <w:rFonts w:eastAsiaTheme="majorEastAsia"/>
                <w:noProof/>
                <w:lang w:val="en-US"/>
              </w:rPr>
              <w:t>Operation of dedicated service on information on obligations under EU acts on chemicals – maintaining the system, periodically updating the database</w:t>
            </w:r>
          </w:p>
        </w:tc>
        <w:tc>
          <w:tcPr>
            <w:tcW w:w="2820" w:type="dxa"/>
            <w:shd w:val="clear" w:color="auto" w:fill="D9D9D9" w:themeFill="background1" w:themeFillShade="D9"/>
          </w:tcPr>
          <w:p w14:paraId="78BF6DF8" w14:textId="77777777" w:rsidR="000A7D9D" w:rsidRPr="00F521F8" w:rsidRDefault="000A7D9D" w:rsidP="00F31937">
            <w:pPr>
              <w:pStyle w:val="BodyText"/>
              <w:tabs>
                <w:tab w:val="left" w:pos="4170"/>
              </w:tabs>
              <w:rPr>
                <w:rFonts w:eastAsiaTheme="minorEastAsia"/>
                <w:noProof/>
                <w:sz w:val="20"/>
                <w:szCs w:val="20"/>
              </w:rPr>
            </w:pPr>
            <w:r w:rsidRPr="00F521F8">
              <w:rPr>
                <w:rFonts w:eastAsiaTheme="minorEastAsia"/>
                <w:noProof/>
                <w:sz w:val="20"/>
                <w:szCs w:val="20"/>
              </w:rPr>
              <w:t>Financial resource needs:</w:t>
            </w:r>
          </w:p>
        </w:tc>
        <w:tc>
          <w:tcPr>
            <w:tcW w:w="2264" w:type="dxa"/>
            <w:shd w:val="clear" w:color="auto" w:fill="D9D9D9" w:themeFill="background1" w:themeFillShade="D9"/>
          </w:tcPr>
          <w:p w14:paraId="62EAB7D5" w14:textId="77777777" w:rsidR="000A7D9D" w:rsidRPr="00F521F8" w:rsidRDefault="000A7D9D" w:rsidP="00F31937">
            <w:pPr>
              <w:pStyle w:val="BodyText"/>
              <w:tabs>
                <w:tab w:val="left" w:pos="4170"/>
              </w:tabs>
              <w:spacing w:after="0"/>
              <w:rPr>
                <w:rFonts w:eastAsiaTheme="minorEastAsia"/>
                <w:noProof/>
                <w:sz w:val="20"/>
                <w:szCs w:val="20"/>
              </w:rPr>
            </w:pPr>
            <w:r w:rsidRPr="00F521F8">
              <w:rPr>
                <w:rFonts w:eastAsiaTheme="minorEastAsia"/>
                <w:noProof/>
                <w:sz w:val="20"/>
                <w:szCs w:val="20"/>
              </w:rPr>
              <w:t xml:space="preserve">2025: </w:t>
            </w:r>
            <w:r>
              <w:rPr>
                <w:rFonts w:eastAsiaTheme="minorEastAsia"/>
                <w:b/>
                <w:bCs/>
                <w:noProof/>
                <w:sz w:val="20"/>
                <w:szCs w:val="20"/>
              </w:rPr>
              <w:t>EUR 0</w:t>
            </w:r>
          </w:p>
          <w:p w14:paraId="619B5725" w14:textId="77777777" w:rsidR="000A7D9D" w:rsidRPr="00F521F8" w:rsidRDefault="000A7D9D" w:rsidP="00F31937">
            <w:pPr>
              <w:pStyle w:val="BodyText"/>
              <w:tabs>
                <w:tab w:val="left" w:pos="4170"/>
              </w:tabs>
              <w:spacing w:after="0"/>
              <w:rPr>
                <w:rFonts w:eastAsiaTheme="minorEastAsia"/>
                <w:noProof/>
                <w:sz w:val="20"/>
                <w:szCs w:val="20"/>
              </w:rPr>
            </w:pPr>
            <w:r w:rsidRPr="00F521F8">
              <w:rPr>
                <w:rFonts w:eastAsiaTheme="minorEastAsia"/>
                <w:noProof/>
                <w:sz w:val="20"/>
                <w:szCs w:val="20"/>
              </w:rPr>
              <w:t xml:space="preserve">2026: </w:t>
            </w:r>
            <w:r>
              <w:rPr>
                <w:rFonts w:eastAsiaTheme="minorEastAsia"/>
                <w:b/>
                <w:bCs/>
                <w:noProof/>
                <w:sz w:val="20"/>
                <w:szCs w:val="20"/>
              </w:rPr>
              <w:t>EUR 0</w:t>
            </w:r>
          </w:p>
          <w:p w14:paraId="1F6B0E72" w14:textId="77777777" w:rsidR="000A7D9D" w:rsidRPr="00F521F8" w:rsidRDefault="000A7D9D" w:rsidP="00F31937">
            <w:pPr>
              <w:pStyle w:val="BodyText"/>
              <w:tabs>
                <w:tab w:val="left" w:pos="4170"/>
              </w:tabs>
              <w:spacing w:after="0"/>
              <w:rPr>
                <w:rFonts w:eastAsiaTheme="minorEastAsia"/>
                <w:noProof/>
                <w:sz w:val="20"/>
                <w:szCs w:val="20"/>
              </w:rPr>
            </w:pPr>
            <w:r w:rsidRPr="00F521F8">
              <w:rPr>
                <w:rFonts w:eastAsiaTheme="minorEastAsia"/>
                <w:noProof/>
                <w:sz w:val="20"/>
                <w:szCs w:val="20"/>
              </w:rPr>
              <w:t xml:space="preserve">2027: </w:t>
            </w:r>
            <w:r>
              <w:rPr>
                <w:rFonts w:eastAsiaTheme="minorEastAsia"/>
                <w:b/>
                <w:bCs/>
                <w:noProof/>
                <w:sz w:val="20"/>
                <w:szCs w:val="20"/>
              </w:rPr>
              <w:t>EUR 0</w:t>
            </w:r>
          </w:p>
          <w:p w14:paraId="6915E362" w14:textId="78327ABB" w:rsidR="002F16DF" w:rsidRPr="002F16DF" w:rsidRDefault="000A7D9D" w:rsidP="002F16DF">
            <w:pPr>
              <w:pStyle w:val="BodyText"/>
              <w:tabs>
                <w:tab w:val="left" w:pos="4170"/>
              </w:tabs>
              <w:spacing w:after="0"/>
              <w:rPr>
                <w:rFonts w:eastAsiaTheme="minorEastAsia"/>
                <w:b/>
                <w:bCs/>
                <w:noProof/>
                <w:sz w:val="20"/>
                <w:szCs w:val="20"/>
              </w:rPr>
            </w:pPr>
            <w:r w:rsidRPr="00F521F8">
              <w:rPr>
                <w:rFonts w:eastAsiaTheme="minorEastAsia"/>
                <w:noProof/>
                <w:sz w:val="20"/>
                <w:szCs w:val="20"/>
              </w:rPr>
              <w:t xml:space="preserve">2028: </w:t>
            </w:r>
            <w:r>
              <w:rPr>
                <w:rFonts w:eastAsiaTheme="minorEastAsia"/>
                <w:b/>
                <w:bCs/>
                <w:noProof/>
                <w:sz w:val="20"/>
                <w:szCs w:val="20"/>
              </w:rPr>
              <w:t>EUR 0</w:t>
            </w:r>
          </w:p>
        </w:tc>
      </w:tr>
      <w:tr w:rsidR="000A7D9D" w:rsidRPr="00BB139D" w14:paraId="6B0C16EF" w14:textId="77777777" w:rsidTr="00F31937">
        <w:trPr>
          <w:trHeight w:val="300"/>
        </w:trPr>
        <w:tc>
          <w:tcPr>
            <w:tcW w:w="1035" w:type="dxa"/>
            <w:vMerge/>
            <w:shd w:val="clear" w:color="auto" w:fill="D9D9D9" w:themeFill="background1" w:themeFillShade="D9"/>
          </w:tcPr>
          <w:p w14:paraId="162BB355" w14:textId="77777777" w:rsidR="000A7D9D" w:rsidRPr="00F521F8" w:rsidRDefault="000A7D9D" w:rsidP="00F31937">
            <w:pPr>
              <w:pStyle w:val="BodyText"/>
              <w:rPr>
                <w:rFonts w:eastAsiaTheme="minorEastAsia"/>
                <w:noProof/>
                <w:sz w:val="20"/>
                <w:szCs w:val="20"/>
              </w:rPr>
            </w:pPr>
          </w:p>
        </w:tc>
        <w:tc>
          <w:tcPr>
            <w:tcW w:w="3510" w:type="dxa"/>
            <w:vMerge/>
            <w:shd w:val="clear" w:color="auto" w:fill="D9D9D9" w:themeFill="background1" w:themeFillShade="D9"/>
          </w:tcPr>
          <w:p w14:paraId="258B8239" w14:textId="77777777" w:rsidR="000A7D9D" w:rsidRPr="00F521F8" w:rsidRDefault="000A7D9D" w:rsidP="00F31937">
            <w:pPr>
              <w:pStyle w:val="BodyText"/>
              <w:rPr>
                <w:rFonts w:eastAsiaTheme="minorEastAsia"/>
                <w:noProof/>
                <w:sz w:val="20"/>
                <w:szCs w:val="20"/>
              </w:rPr>
            </w:pPr>
          </w:p>
        </w:tc>
        <w:tc>
          <w:tcPr>
            <w:tcW w:w="2820" w:type="dxa"/>
            <w:shd w:val="clear" w:color="auto" w:fill="D9D9D9" w:themeFill="background1" w:themeFillShade="D9"/>
          </w:tcPr>
          <w:p w14:paraId="740F7CFA" w14:textId="77777777" w:rsidR="000A7D9D" w:rsidRPr="00F521F8" w:rsidRDefault="000A7D9D" w:rsidP="00F31937">
            <w:pPr>
              <w:pStyle w:val="BodyText"/>
              <w:tabs>
                <w:tab w:val="left" w:pos="4170"/>
              </w:tabs>
              <w:rPr>
                <w:rFonts w:eastAsiaTheme="minorEastAsia"/>
                <w:noProof/>
                <w:sz w:val="20"/>
                <w:szCs w:val="20"/>
              </w:rPr>
            </w:pPr>
            <w:r w:rsidRPr="00F521F8">
              <w:rPr>
                <w:rFonts w:eastAsiaTheme="minorEastAsia"/>
                <w:noProof/>
                <w:sz w:val="20"/>
                <w:szCs w:val="20"/>
              </w:rPr>
              <w:t>Human resource needs:</w:t>
            </w:r>
          </w:p>
        </w:tc>
        <w:tc>
          <w:tcPr>
            <w:tcW w:w="2264" w:type="dxa"/>
            <w:shd w:val="clear" w:color="auto" w:fill="D9D9D9" w:themeFill="background1" w:themeFillShade="D9"/>
          </w:tcPr>
          <w:p w14:paraId="113A6C79"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2025: </w:t>
            </w:r>
            <w:r>
              <w:rPr>
                <w:rFonts w:eastAsiaTheme="minorEastAsia"/>
                <w:b/>
                <w:noProof/>
                <w:sz w:val="20"/>
                <w:szCs w:val="20"/>
                <w:lang w:val="fr-BE"/>
              </w:rPr>
              <w:t>0 FTEs</w:t>
            </w:r>
          </w:p>
          <w:p w14:paraId="096015EF"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2026: </w:t>
            </w:r>
            <w:r>
              <w:rPr>
                <w:rFonts w:eastAsiaTheme="minorEastAsia"/>
                <w:b/>
                <w:noProof/>
                <w:sz w:val="20"/>
                <w:szCs w:val="20"/>
                <w:lang w:val="fr-BE"/>
              </w:rPr>
              <w:t>0 FTEs</w:t>
            </w:r>
          </w:p>
          <w:p w14:paraId="4636193D" w14:textId="77777777" w:rsidR="000A7D9D" w:rsidRPr="00F521F8" w:rsidRDefault="000A7D9D" w:rsidP="00F31937">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2027: </w:t>
            </w:r>
            <w:r>
              <w:rPr>
                <w:rFonts w:eastAsiaTheme="minorEastAsia"/>
                <w:b/>
                <w:noProof/>
                <w:sz w:val="20"/>
                <w:szCs w:val="20"/>
                <w:lang w:val="fr-BE"/>
              </w:rPr>
              <w:t>0 FTEs</w:t>
            </w:r>
          </w:p>
          <w:p w14:paraId="24730178" w14:textId="02FC1F77" w:rsidR="002F16DF" w:rsidRPr="002F16DF" w:rsidRDefault="000A7D9D" w:rsidP="002F16DF">
            <w:pPr>
              <w:pStyle w:val="BodyText"/>
              <w:tabs>
                <w:tab w:val="left" w:pos="4170"/>
              </w:tabs>
              <w:spacing w:after="0"/>
              <w:rPr>
                <w:rFonts w:eastAsiaTheme="minorEastAsia"/>
                <w:b/>
                <w:noProof/>
                <w:sz w:val="20"/>
                <w:szCs w:val="20"/>
                <w:lang w:val="fr-BE"/>
              </w:rPr>
            </w:pPr>
            <w:r w:rsidRPr="00F521F8">
              <w:rPr>
                <w:rFonts w:eastAsiaTheme="minorEastAsia"/>
                <w:noProof/>
                <w:sz w:val="20"/>
                <w:szCs w:val="20"/>
                <w:lang w:val="fr-BE"/>
              </w:rPr>
              <w:t xml:space="preserve">2028: </w:t>
            </w:r>
            <w:r>
              <w:rPr>
                <w:rFonts w:eastAsiaTheme="minorEastAsia"/>
                <w:b/>
                <w:noProof/>
                <w:sz w:val="20"/>
                <w:szCs w:val="20"/>
                <w:lang w:val="fr-BE"/>
              </w:rPr>
              <w:t>0 FTEs</w:t>
            </w:r>
          </w:p>
        </w:tc>
      </w:tr>
    </w:tbl>
    <w:p w14:paraId="49D8AD75" w14:textId="77777777" w:rsidR="000A7D9D" w:rsidRDefault="000A7D9D" w:rsidP="000A7D9D">
      <w:pPr>
        <w:pStyle w:val="BodyText"/>
        <w:rPr>
          <w:noProof/>
          <w:u w:val="single"/>
        </w:rPr>
      </w:pPr>
    </w:p>
    <w:p w14:paraId="18834B3B" w14:textId="77777777" w:rsidR="000A7D9D" w:rsidRDefault="000A7D9D" w:rsidP="000A7D9D">
      <w:pPr>
        <w:pStyle w:val="BodyText"/>
        <w:rPr>
          <w:noProof/>
        </w:rPr>
      </w:pPr>
      <w:r w:rsidRPr="4BD9788E">
        <w:rPr>
          <w:noProof/>
          <w:u w:val="single"/>
        </w:rPr>
        <w:t>Future budget line:</w:t>
      </w:r>
      <w:r>
        <w:rPr>
          <w:noProof/>
        </w:rPr>
        <w:t xml:space="preserve"> n/a </w:t>
      </w:r>
    </w:p>
    <w:p w14:paraId="7FE9D538" w14:textId="77777777" w:rsidR="000A7D9D" w:rsidRDefault="000A7D9D" w:rsidP="000A7D9D">
      <w:pPr>
        <w:pStyle w:val="BodyText"/>
        <w:rPr>
          <w:noProof/>
        </w:rPr>
      </w:pPr>
      <w:r w:rsidRPr="4BD9788E">
        <w:rPr>
          <w:noProof/>
          <w:u w:val="single"/>
        </w:rPr>
        <w:t>Candidate for fees:</w:t>
      </w:r>
      <w:r>
        <w:rPr>
          <w:noProof/>
        </w:rPr>
        <w:t xml:space="preserve"> No</w:t>
      </w:r>
    </w:p>
    <w:p w14:paraId="48A5CDCA" w14:textId="77777777" w:rsidR="000A7D9D" w:rsidRPr="00E46DC1" w:rsidRDefault="000A7D9D" w:rsidP="000A7D9D">
      <w:pPr>
        <w:pStyle w:val="BodyText"/>
        <w:rPr>
          <w:noProof/>
        </w:rPr>
      </w:pPr>
    </w:p>
    <w:p w14:paraId="1BD48F62"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78" w:name="_Toc150499943"/>
      <w:r w:rsidRPr="00291F95">
        <w:rPr>
          <w:rFonts w:ascii="Times New Roman" w:hAnsi="Times New Roman"/>
          <w:smallCaps/>
          <w:noProof/>
          <w:color w:val="auto"/>
          <w:sz w:val="24"/>
          <w:szCs w:val="20"/>
          <w:lang w:eastAsia="en-US"/>
        </w:rPr>
        <w:t>Database on environmental sustainability related information</w:t>
      </w:r>
      <w:bookmarkEnd w:id="78"/>
    </w:p>
    <w:p w14:paraId="448D63A4"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b/>
          <w:bCs/>
          <w:noProof/>
          <w:sz w:val="24"/>
          <w:szCs w:val="24"/>
          <w:lang w:eastAsia="en-GB"/>
        </w:rPr>
        <w:t>Responsible body:</w:t>
      </w:r>
      <w:r w:rsidRPr="00F521F8">
        <w:rPr>
          <w:rFonts w:ascii="Times New Roman" w:eastAsia="Times New Roman" w:hAnsi="Times New Roman" w:cs="Times New Roman"/>
          <w:noProof/>
          <w:sz w:val="24"/>
          <w:szCs w:val="24"/>
          <w:lang w:eastAsia="en-GB"/>
        </w:rPr>
        <w:t> </w:t>
      </w:r>
    </w:p>
    <w:p w14:paraId="7F345787"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noProof/>
          <w:sz w:val="24"/>
          <w:szCs w:val="24"/>
          <w:u w:val="single"/>
          <w:lang w:eastAsia="en-GB"/>
        </w:rPr>
        <w:t>Currently:</w:t>
      </w:r>
      <w:r w:rsidRPr="00F521F8">
        <w:rPr>
          <w:rFonts w:ascii="Times New Roman" w:eastAsia="Times New Roman" w:hAnsi="Times New Roman" w:cs="Times New Roman"/>
          <w:noProof/>
          <w:sz w:val="24"/>
          <w:szCs w:val="24"/>
          <w:lang w:eastAsia="en-GB"/>
        </w:rPr>
        <w:t xml:space="preserve"> N/A, no current process </w:t>
      </w:r>
    </w:p>
    <w:p w14:paraId="160EC4CA"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noProof/>
          <w:sz w:val="24"/>
          <w:szCs w:val="24"/>
          <w:u w:val="single"/>
          <w:lang w:eastAsia="en-GB"/>
        </w:rPr>
        <w:t>(Re-)attribution planned to</w:t>
      </w:r>
      <w:r w:rsidRPr="00F521F8">
        <w:rPr>
          <w:rFonts w:ascii="Times New Roman" w:eastAsia="Times New Roman" w:hAnsi="Times New Roman" w:cs="Times New Roman"/>
          <w:noProof/>
          <w:sz w:val="24"/>
          <w:szCs w:val="24"/>
          <w:lang w:eastAsia="en-GB"/>
        </w:rPr>
        <w:t>: ECHA</w:t>
      </w:r>
      <w:r>
        <w:rPr>
          <w:rFonts w:ascii="Times New Roman" w:eastAsia="Times New Roman" w:hAnsi="Times New Roman" w:cs="Times New Roman"/>
          <w:noProof/>
          <w:sz w:val="24"/>
          <w:szCs w:val="24"/>
          <w:lang w:eastAsia="en-GB"/>
        </w:rPr>
        <w:t>, EEA, EFSA, EMA and EU-OSHA</w:t>
      </w:r>
      <w:r w:rsidRPr="00F521F8">
        <w:rPr>
          <w:rFonts w:ascii="Times New Roman" w:eastAsia="Times New Roman" w:hAnsi="Times New Roman" w:cs="Times New Roman"/>
          <w:noProof/>
          <w:sz w:val="24"/>
          <w:szCs w:val="24"/>
          <w:lang w:eastAsia="en-GB"/>
        </w:rPr>
        <w:t> </w:t>
      </w:r>
    </w:p>
    <w:p w14:paraId="4FA03ED7" w14:textId="77777777" w:rsidR="000A7D9D" w:rsidRPr="00F521F8" w:rsidRDefault="000A7D9D" w:rsidP="000A7D9D">
      <w:pPr>
        <w:spacing w:after="120" w:line="240" w:lineRule="auto"/>
        <w:jc w:val="both"/>
        <w:textAlignment w:val="baseline"/>
        <w:rPr>
          <w:rFonts w:ascii="Times New Roman" w:hAnsi="Times New Roman" w:cs="Times New Roman"/>
          <w:noProof/>
          <w:sz w:val="24"/>
          <w:szCs w:val="24"/>
        </w:rPr>
      </w:pPr>
      <w:r w:rsidRPr="13AEFEEB">
        <w:rPr>
          <w:rFonts w:ascii="Times New Roman" w:eastAsia="Times New Roman" w:hAnsi="Times New Roman" w:cs="Times New Roman"/>
          <w:b/>
          <w:bCs/>
          <w:noProof/>
          <w:sz w:val="24"/>
          <w:szCs w:val="24"/>
          <w:lang w:eastAsia="en-GB"/>
        </w:rPr>
        <w:t xml:space="preserve">Legal basis for reattribution: </w:t>
      </w:r>
      <w:r w:rsidRPr="13AEFEEB">
        <w:rPr>
          <w:rFonts w:ascii="Times New Roman" w:hAnsi="Times New Roman" w:cs="Times New Roman"/>
          <w:noProof/>
          <w:sz w:val="24"/>
          <w:szCs w:val="24"/>
        </w:rPr>
        <w:t xml:space="preserve"> Proposal for a regulation of the European Parliament and of the Council establishing a common data platform on chemicals, laying down rules to ensure that the data contained in it are findable, accessible, interoperable and reusable and establishing a monitoring and outlook framework for chemicals</w:t>
      </w:r>
    </w:p>
    <w:p w14:paraId="5197A68E"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b/>
          <w:bCs/>
          <w:noProof/>
          <w:sz w:val="24"/>
          <w:szCs w:val="24"/>
          <w:lang w:eastAsia="en-GB"/>
        </w:rPr>
        <w:t xml:space="preserve">Type of task: </w:t>
      </w:r>
      <w:r w:rsidRPr="00F521F8">
        <w:rPr>
          <w:rFonts w:ascii="Times New Roman" w:eastAsia="Times New Roman" w:hAnsi="Times New Roman" w:cs="Times New Roman"/>
          <w:noProof/>
          <w:sz w:val="24"/>
          <w:szCs w:val="24"/>
          <w:lang w:eastAsia="en-GB"/>
        </w:rPr>
        <w:t>new (new infrastructure but building on existing datasets) </w:t>
      </w:r>
    </w:p>
    <w:p w14:paraId="41DD775E" w14:textId="77777777" w:rsidR="000A7D9D" w:rsidRPr="00F521F8" w:rsidRDefault="000A7D9D" w:rsidP="000A7D9D">
      <w:pPr>
        <w:spacing w:after="120" w:line="240" w:lineRule="auto"/>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b/>
          <w:bCs/>
          <w:noProof/>
          <w:sz w:val="24"/>
          <w:szCs w:val="24"/>
          <w:lang w:eastAsia="en-GB"/>
        </w:rPr>
        <w:t>Brief task overview:</w:t>
      </w:r>
      <w:r>
        <w:rPr>
          <w:rFonts w:ascii="Times New Roman" w:eastAsia="Times New Roman" w:hAnsi="Times New Roman" w:cs="Times New Roman"/>
          <w:b/>
          <w:bCs/>
          <w:noProof/>
          <w:sz w:val="24"/>
          <w:szCs w:val="24"/>
          <w:lang w:eastAsia="en-GB"/>
        </w:rPr>
        <w:t xml:space="preserve"> </w:t>
      </w:r>
      <w:r w:rsidRPr="13AEFEEB">
        <w:rPr>
          <w:rFonts w:ascii="Times New Roman" w:eastAsia="Times New Roman" w:hAnsi="Times New Roman" w:cs="Times New Roman"/>
          <w:noProof/>
          <w:sz w:val="24"/>
          <w:szCs w:val="24"/>
          <w:lang w:eastAsia="en-GB"/>
        </w:rPr>
        <w:t>Setting up and operation of a database on environmental sustainability related data</w:t>
      </w:r>
      <w:r>
        <w:rPr>
          <w:rFonts w:ascii="Times New Roman" w:eastAsia="Times New Roman" w:hAnsi="Times New Roman" w:cs="Times New Roman"/>
          <w:noProof/>
          <w:sz w:val="24"/>
          <w:szCs w:val="24"/>
          <w:lang w:eastAsia="en-GB"/>
        </w:rPr>
        <w:t xml:space="preserve"> and providing relevant data to the database</w:t>
      </w:r>
      <w:r w:rsidRPr="13AEFEEB">
        <w:rPr>
          <w:rFonts w:ascii="Times New Roman" w:eastAsia="Times New Roman" w:hAnsi="Times New Roman" w:cs="Times New Roman"/>
          <w:noProof/>
          <w:sz w:val="24"/>
          <w:szCs w:val="24"/>
          <w:lang w:eastAsia="en-GB"/>
        </w:rPr>
        <w:t>.  </w:t>
      </w:r>
    </w:p>
    <w:p w14:paraId="68392C8F"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b/>
          <w:bCs/>
          <w:noProof/>
          <w:sz w:val="24"/>
          <w:szCs w:val="24"/>
          <w:lang w:val="en-US" w:eastAsia="en-GB"/>
        </w:rPr>
        <w:t>Detailed process description: </w:t>
      </w:r>
      <w:r w:rsidRPr="00F521F8">
        <w:rPr>
          <w:rFonts w:ascii="Times New Roman" w:eastAsia="Times New Roman" w:hAnsi="Times New Roman" w:cs="Times New Roman"/>
          <w:noProof/>
          <w:sz w:val="24"/>
          <w:szCs w:val="24"/>
          <w:lang w:eastAsia="en-GB"/>
        </w:rPr>
        <w:t>  </w:t>
      </w:r>
    </w:p>
    <w:p w14:paraId="746F5ADD"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noProof/>
          <w:sz w:val="24"/>
          <w:szCs w:val="24"/>
          <w:u w:val="single"/>
          <w:lang w:val="en-US" w:eastAsia="en-GB"/>
        </w:rPr>
        <w:t>Current process:</w:t>
      </w:r>
      <w:r w:rsidRPr="00F521F8">
        <w:rPr>
          <w:rFonts w:ascii="Times New Roman" w:eastAsia="Times New Roman" w:hAnsi="Times New Roman" w:cs="Times New Roman"/>
          <w:noProof/>
          <w:sz w:val="24"/>
          <w:szCs w:val="24"/>
          <w:lang w:eastAsia="en-GB"/>
        </w:rPr>
        <w:t> </w:t>
      </w:r>
    </w:p>
    <w:p w14:paraId="6EFDC638" w14:textId="77777777" w:rsidR="000A7D9D" w:rsidRPr="00F521F8" w:rsidRDefault="000A7D9D" w:rsidP="000A7D9D">
      <w:pPr>
        <w:spacing w:after="120" w:line="240" w:lineRule="auto"/>
        <w:jc w:val="both"/>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noProof/>
          <w:color w:val="000000"/>
          <w:sz w:val="24"/>
          <w:szCs w:val="24"/>
          <w:lang w:eastAsia="en-GB"/>
        </w:rPr>
        <w:t>There is an increasing amount of data related to environmental sustainability of chemicals, often generated in research and innovation projects. It is also expected that the implementation of the European Green Deal and its various initiatives, including the implementation of the Safety and Sustainability by Design framework for chemicals and materials, as well as regulatory initiatives such as the Ecodesign Regulation for sustainable products and the Sustainability Corporate Reporting Directive will further increase the availability of certain environmental sustainability data for chemicals. </w:t>
      </w:r>
    </w:p>
    <w:p w14:paraId="18AA4EF4" w14:textId="77777777" w:rsidR="000A7D9D" w:rsidRPr="00F521F8" w:rsidRDefault="000A7D9D" w:rsidP="000A7D9D">
      <w:pPr>
        <w:spacing w:after="120" w:line="240" w:lineRule="auto"/>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noProof/>
          <w:sz w:val="24"/>
          <w:szCs w:val="24"/>
          <w:lang w:eastAsia="en-GB"/>
        </w:rPr>
        <w:t>There is no ongoing process to systematically collect all relevant information on the environmental performance of chemicals throughout their lifecycle. While there are initiatives compiling (some) data used for sustainability assessments, in particular data needed for the life cycle assessment of products, there are no standard data formats or controlled vocabularies for information related to environmental sustainability, which hinders coherence between assessments of the impacts of the same chemical on the environment. </w:t>
      </w:r>
    </w:p>
    <w:p w14:paraId="58A39CD0"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noProof/>
          <w:sz w:val="24"/>
          <w:szCs w:val="24"/>
          <w:u w:val="single"/>
          <w:lang w:val="en-US" w:eastAsia="en-GB"/>
        </w:rPr>
        <w:t>Changes in the process:</w:t>
      </w:r>
      <w:r w:rsidRPr="00F521F8">
        <w:rPr>
          <w:rFonts w:ascii="Times New Roman" w:eastAsia="Times New Roman" w:hAnsi="Times New Roman" w:cs="Times New Roman"/>
          <w:noProof/>
          <w:sz w:val="24"/>
          <w:szCs w:val="24"/>
          <w:u w:val="single"/>
          <w:lang w:eastAsia="en-GB"/>
        </w:rPr>
        <w:t> </w:t>
      </w:r>
      <w:r w:rsidRPr="00F521F8">
        <w:rPr>
          <w:rFonts w:ascii="Times New Roman" w:eastAsia="Times New Roman" w:hAnsi="Times New Roman" w:cs="Times New Roman"/>
          <w:noProof/>
          <w:sz w:val="24"/>
          <w:szCs w:val="24"/>
          <w:lang w:eastAsia="en-GB"/>
        </w:rPr>
        <w:t> </w:t>
      </w:r>
    </w:p>
    <w:p w14:paraId="17C3BDEB" w14:textId="77777777" w:rsidR="000A7D9D" w:rsidRPr="00F521F8" w:rsidRDefault="000A7D9D" w:rsidP="000A7D9D">
      <w:pPr>
        <w:spacing w:after="120" w:line="240" w:lineRule="auto"/>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noProof/>
          <w:sz w:val="24"/>
          <w:szCs w:val="24"/>
          <w:lang w:val="en-US" w:eastAsia="en-GB"/>
        </w:rPr>
        <w:t xml:space="preserve">ECHA is to set up and operate a database on environmental sustainability related data, which is established as part of the common pata Platform. For that purpose, ECHA extracts and feeds into the database information from all relevant datasets already integrated in the common data platform but also further relevant external datasets identified by the Commission. </w:t>
      </w:r>
      <w:r w:rsidRPr="13AEFEEB">
        <w:rPr>
          <w:rFonts w:ascii="Times New Roman" w:eastAsia="Times New Roman" w:hAnsi="Times New Roman" w:cs="Times New Roman"/>
          <w:noProof/>
          <w:sz w:val="24"/>
          <w:szCs w:val="24"/>
          <w:lang w:eastAsia="en-GB"/>
        </w:rPr>
        <w:t> </w:t>
      </w:r>
    </w:p>
    <w:p w14:paraId="4B59987E" w14:textId="77777777" w:rsidR="000A7D9D" w:rsidRPr="00663699" w:rsidRDefault="000A7D9D" w:rsidP="000A7D9D">
      <w:pPr>
        <w:spacing w:after="120" w:line="240" w:lineRule="auto"/>
        <w:jc w:val="both"/>
        <w:textAlignment w:val="baseline"/>
        <w:rPr>
          <w:rFonts w:ascii="Times New Roman" w:eastAsia="Times New Roman" w:hAnsi="Times New Roman" w:cs="Times New Roman"/>
          <w:noProof/>
          <w:sz w:val="24"/>
          <w:szCs w:val="24"/>
          <w:lang w:val="en-US" w:eastAsia="en-GB"/>
        </w:rPr>
      </w:pPr>
      <w:r w:rsidRPr="13AEFEEB">
        <w:rPr>
          <w:rFonts w:ascii="Times New Roman" w:eastAsia="Times New Roman" w:hAnsi="Times New Roman" w:cs="Times New Roman"/>
          <w:noProof/>
          <w:sz w:val="24"/>
          <w:szCs w:val="24"/>
          <w:lang w:val="en-US" w:eastAsia="en-GB"/>
        </w:rPr>
        <w:t>EEA, EFSA, EMA and EU-OSHA provide to ECHA relevant data related to environmental sustainability of chemicals they host or hold</w:t>
      </w:r>
      <w:r w:rsidRPr="00663699">
        <w:rPr>
          <w:rStyle w:val="normaltextrun"/>
          <w:noProof/>
          <w:bdr w:val="none" w:sz="0" w:space="0" w:color="auto" w:frame="1"/>
        </w:rPr>
        <w:t xml:space="preserve"> </w:t>
      </w:r>
      <w:r w:rsidRPr="00663699">
        <w:rPr>
          <w:rFonts w:ascii="Times New Roman" w:eastAsia="Times New Roman" w:hAnsi="Times New Roman" w:cs="Times New Roman"/>
          <w:noProof/>
          <w:sz w:val="24"/>
          <w:szCs w:val="24"/>
          <w:lang w:val="en-US" w:eastAsia="en-GB"/>
        </w:rPr>
        <w:t>in addition to the chemicals data already available in the common data platform</w:t>
      </w:r>
      <w:r w:rsidRPr="13AEFEEB">
        <w:rPr>
          <w:rFonts w:ascii="Times New Roman" w:eastAsia="Times New Roman" w:hAnsi="Times New Roman" w:cs="Times New Roman"/>
          <w:noProof/>
          <w:sz w:val="24"/>
          <w:szCs w:val="24"/>
          <w:lang w:val="en-US" w:eastAsia="en-GB"/>
        </w:rPr>
        <w:t>. </w:t>
      </w:r>
      <w:r w:rsidRPr="00663699">
        <w:rPr>
          <w:rFonts w:ascii="Times New Roman" w:eastAsia="Times New Roman" w:hAnsi="Times New Roman" w:cs="Times New Roman"/>
          <w:noProof/>
          <w:sz w:val="24"/>
          <w:szCs w:val="24"/>
          <w:lang w:val="en-US" w:eastAsia="en-GB"/>
        </w:rPr>
        <w:t> </w:t>
      </w:r>
    </w:p>
    <w:p w14:paraId="473BF57C" w14:textId="56FB8ED1" w:rsidR="000A7D9D" w:rsidRPr="00F521F8" w:rsidRDefault="000A7D9D" w:rsidP="000A7D9D">
      <w:pPr>
        <w:spacing w:after="120" w:line="240" w:lineRule="auto"/>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noProof/>
          <w:sz w:val="24"/>
          <w:szCs w:val="24"/>
          <w:lang w:eastAsia="en-GB"/>
        </w:rPr>
        <w:t xml:space="preserve">Progressively, more data will be integrated in the database, as more data will become available in response to the European Green Deal and the various initiatives requiring the assessment of sustainability of materials, products and services. Further datasets presently under preparation by </w:t>
      </w:r>
      <w:r w:rsidRPr="13AEFEEB">
        <w:rPr>
          <w:rFonts w:ascii="Times New Roman" w:eastAsia="Times New Roman" w:hAnsi="Times New Roman" w:cs="Times New Roman"/>
          <w:noProof/>
          <w:sz w:val="24"/>
          <w:szCs w:val="24"/>
          <w:lang w:val="en-IE" w:eastAsia="en-GB"/>
        </w:rPr>
        <w:t>the Partnership for the Assessment of Risks from Chemicals</w:t>
      </w:r>
      <w:r w:rsidRPr="13AEFEEB">
        <w:rPr>
          <w:rFonts w:ascii="Times New Roman" w:eastAsia="Times New Roman" w:hAnsi="Times New Roman" w:cs="Times New Roman"/>
          <w:noProof/>
          <w:sz w:val="24"/>
          <w:szCs w:val="24"/>
          <w:lang w:eastAsia="en-GB"/>
        </w:rPr>
        <w:t xml:space="preserve"> (PARC) and generated through the implementation of the safe and sustainable by design framework should be utilised and integrated as appropriate. </w:t>
      </w:r>
    </w:p>
    <w:p w14:paraId="62457C79" w14:textId="77777777" w:rsidR="000A7D9D" w:rsidRPr="00F521F8" w:rsidRDefault="000A7D9D" w:rsidP="000A7D9D">
      <w:pPr>
        <w:spacing w:after="120" w:line="240" w:lineRule="auto"/>
        <w:jc w:val="both"/>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noProof/>
          <w:sz w:val="24"/>
          <w:szCs w:val="24"/>
          <w:lang w:val="en-US" w:eastAsia="en-GB"/>
        </w:rPr>
        <w:t>The Commission identifies existing datasets on environmental sustainability related information for inclusion in the common data platform and designs relevant related database functionalities.</w:t>
      </w:r>
      <w:r w:rsidRPr="00F521F8">
        <w:rPr>
          <w:rFonts w:ascii="Times New Roman" w:eastAsia="Times New Roman" w:hAnsi="Times New Roman" w:cs="Times New Roman"/>
          <w:noProof/>
          <w:sz w:val="24"/>
          <w:szCs w:val="24"/>
          <w:lang w:eastAsia="en-GB"/>
        </w:rPr>
        <w:t> </w:t>
      </w:r>
    </w:p>
    <w:p w14:paraId="1EC5136A" w14:textId="77777777" w:rsidR="000A7D9D" w:rsidRPr="00F521F8" w:rsidRDefault="000A7D9D" w:rsidP="000A7D9D">
      <w:pPr>
        <w:spacing w:after="120" w:line="240" w:lineRule="auto"/>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noProof/>
          <w:sz w:val="24"/>
          <w:szCs w:val="24"/>
          <w:lang w:val="en-US" w:eastAsia="en-GB"/>
        </w:rPr>
        <w:t>The governance of the common data platform is used for governing the development and operation of the database.  </w:t>
      </w:r>
      <w:r w:rsidRPr="13AEFEEB">
        <w:rPr>
          <w:rFonts w:ascii="Times New Roman" w:eastAsia="Times New Roman" w:hAnsi="Times New Roman" w:cs="Times New Roman"/>
          <w:noProof/>
          <w:sz w:val="24"/>
          <w:szCs w:val="24"/>
          <w:lang w:eastAsia="en-GB"/>
        </w:rPr>
        <w:t> </w:t>
      </w:r>
    </w:p>
    <w:p w14:paraId="09867ABD"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b/>
          <w:bCs/>
          <w:noProof/>
          <w:sz w:val="24"/>
          <w:szCs w:val="24"/>
          <w:lang w:val="en-US" w:eastAsia="en-GB"/>
        </w:rPr>
        <w:t>Proximity to agencies’ mandate:</w:t>
      </w:r>
      <w:r w:rsidRPr="13AEFEEB">
        <w:rPr>
          <w:rFonts w:ascii="Times New Roman" w:eastAsia="Times New Roman" w:hAnsi="Times New Roman" w:cs="Times New Roman"/>
          <w:noProof/>
          <w:sz w:val="24"/>
          <w:szCs w:val="24"/>
          <w:lang w:eastAsia="en-GB"/>
        </w:rPr>
        <w:t>  </w:t>
      </w:r>
    </w:p>
    <w:p w14:paraId="071F651A" w14:textId="77777777" w:rsidR="000A7D9D" w:rsidRPr="00F521F8" w:rsidRDefault="000A7D9D" w:rsidP="0023321B">
      <w:pPr>
        <w:spacing w:after="120"/>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noProof/>
          <w:sz w:val="24"/>
          <w:szCs w:val="24"/>
          <w:lang w:val="en-US" w:eastAsia="en-GB"/>
        </w:rPr>
        <w:t xml:space="preserve">The task fits well with the mandate of each agency. ECHA </w:t>
      </w:r>
      <w:r>
        <w:rPr>
          <w:rFonts w:ascii="Times New Roman" w:eastAsia="Times New Roman" w:hAnsi="Times New Roman" w:cs="Times New Roman"/>
          <w:noProof/>
          <w:sz w:val="24"/>
          <w:szCs w:val="24"/>
          <w:lang w:val="en-US" w:eastAsia="en-GB"/>
        </w:rPr>
        <w:t xml:space="preserve">has a long standing expertise on collection of information on substances. It is a key part of ECHA’s mandate. </w:t>
      </w:r>
      <w:r w:rsidRPr="0026532B">
        <w:rPr>
          <w:rFonts w:ascii="Times New Roman" w:eastAsia="Times New Roman" w:hAnsi="Times New Roman" w:cs="Times New Roman"/>
          <w:noProof/>
          <w:sz w:val="24"/>
          <w:szCs w:val="24"/>
          <w:lang w:val="en-US" w:eastAsia="en-GB"/>
        </w:rPr>
        <w:t xml:space="preserve">Other agencies (EFSA, EEA, EMA and EU-OSHA) also collects </w:t>
      </w:r>
      <w:r>
        <w:rPr>
          <w:rFonts w:ascii="Times New Roman" w:eastAsia="Times New Roman" w:hAnsi="Times New Roman" w:cs="Times New Roman"/>
          <w:noProof/>
          <w:sz w:val="24"/>
          <w:szCs w:val="24"/>
          <w:lang w:val="en-US" w:eastAsia="en-GB"/>
        </w:rPr>
        <w:t xml:space="preserve">or make available </w:t>
      </w:r>
      <w:r w:rsidRPr="0026532B">
        <w:rPr>
          <w:rFonts w:ascii="Times New Roman" w:eastAsia="Times New Roman" w:hAnsi="Times New Roman" w:cs="Times New Roman"/>
          <w:noProof/>
          <w:sz w:val="24"/>
          <w:szCs w:val="24"/>
          <w:lang w:val="en-US" w:eastAsia="en-GB"/>
        </w:rPr>
        <w:t>information on chemicals related to their mandate. EEA will in the future operate the Industrial Emissions Portal that might collect some data related to environmental sustainability of</w:t>
      </w:r>
      <w:r w:rsidRPr="13AEFEEB">
        <w:rPr>
          <w:rFonts w:ascii="Times New Roman" w:eastAsia="Times New Roman" w:hAnsi="Times New Roman" w:cs="Times New Roman"/>
          <w:noProof/>
          <w:sz w:val="24"/>
          <w:szCs w:val="24"/>
          <w:lang w:val="en-US" w:eastAsia="en-GB"/>
        </w:rPr>
        <w:t xml:space="preserve"> chemicals on industrial sites, including on 91 pollutants. </w:t>
      </w:r>
      <w:r w:rsidRPr="13AEFEEB">
        <w:rPr>
          <w:rFonts w:ascii="Times New Roman" w:eastAsia="Times New Roman" w:hAnsi="Times New Roman" w:cs="Times New Roman"/>
          <w:noProof/>
          <w:sz w:val="24"/>
          <w:szCs w:val="24"/>
          <w:lang w:eastAsia="en-GB"/>
        </w:rPr>
        <w:t> </w:t>
      </w:r>
    </w:p>
    <w:p w14:paraId="5A765203" w14:textId="77777777" w:rsidR="000A7D9D" w:rsidRPr="00F521F8" w:rsidRDefault="000A7D9D" w:rsidP="0023321B">
      <w:pPr>
        <w:spacing w:after="120"/>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b/>
          <w:bCs/>
          <w:noProof/>
          <w:sz w:val="24"/>
          <w:szCs w:val="24"/>
          <w:lang w:val="en-US" w:eastAsia="en-GB"/>
        </w:rPr>
        <w:t>Projected synergies and added value of (re-)attribution:</w:t>
      </w:r>
      <w:r w:rsidRPr="00F521F8">
        <w:rPr>
          <w:rFonts w:ascii="Times New Roman" w:eastAsia="Times New Roman" w:hAnsi="Times New Roman" w:cs="Times New Roman"/>
          <w:noProof/>
          <w:sz w:val="24"/>
          <w:szCs w:val="24"/>
          <w:lang w:eastAsia="en-GB"/>
        </w:rPr>
        <w:t>  </w:t>
      </w:r>
    </w:p>
    <w:p w14:paraId="08352671" w14:textId="77777777" w:rsidR="000A7D9D" w:rsidRPr="00F521F8" w:rsidRDefault="000A7D9D" w:rsidP="0023321B">
      <w:pPr>
        <w:spacing w:after="120"/>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noProof/>
          <w:sz w:val="24"/>
          <w:szCs w:val="24"/>
          <w:lang w:val="en-US" w:eastAsia="en-GB"/>
        </w:rPr>
        <w:t>Operating only one database to systematically collect and relate all relevant information on the environmental performance of chemicals throughout their lifecycle and facilitate operation of tools and efficient assessment of environmental sustainability by different actors</w:t>
      </w:r>
      <w:r>
        <w:rPr>
          <w:rFonts w:ascii="Times New Roman" w:eastAsia="Times New Roman" w:hAnsi="Times New Roman" w:cs="Times New Roman"/>
          <w:noProof/>
          <w:sz w:val="24"/>
          <w:szCs w:val="24"/>
          <w:lang w:val="en-US" w:eastAsia="en-GB"/>
        </w:rPr>
        <w:t xml:space="preserve"> leads to synergies</w:t>
      </w:r>
      <w:r w:rsidRPr="13AEFEEB">
        <w:rPr>
          <w:rFonts w:ascii="Times New Roman" w:eastAsia="Times New Roman" w:hAnsi="Times New Roman" w:cs="Times New Roman"/>
          <w:noProof/>
          <w:sz w:val="24"/>
          <w:szCs w:val="24"/>
          <w:lang w:val="en-US" w:eastAsia="en-GB"/>
        </w:rPr>
        <w:t>. </w:t>
      </w:r>
      <w:r w:rsidRPr="13AEFEEB">
        <w:rPr>
          <w:rFonts w:ascii="Times New Roman" w:eastAsia="Times New Roman" w:hAnsi="Times New Roman" w:cs="Times New Roman"/>
          <w:noProof/>
          <w:sz w:val="24"/>
          <w:szCs w:val="24"/>
          <w:lang w:eastAsia="en-GB"/>
        </w:rPr>
        <w:t> </w:t>
      </w:r>
    </w:p>
    <w:p w14:paraId="7A107F5C" w14:textId="77777777" w:rsidR="000A7D9D" w:rsidRPr="00F521F8" w:rsidRDefault="000A7D9D" w:rsidP="0023321B">
      <w:pPr>
        <w:spacing w:after="120"/>
        <w:jc w:val="both"/>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b/>
          <w:bCs/>
          <w:noProof/>
          <w:sz w:val="24"/>
          <w:szCs w:val="24"/>
          <w:lang w:val="en-US" w:eastAsia="en-GB"/>
        </w:rPr>
        <w:t>Main risks and opportunities: </w:t>
      </w:r>
      <w:r w:rsidRPr="00F521F8">
        <w:rPr>
          <w:rFonts w:ascii="Times New Roman" w:eastAsia="Times New Roman" w:hAnsi="Times New Roman" w:cs="Times New Roman"/>
          <w:noProof/>
          <w:sz w:val="24"/>
          <w:szCs w:val="24"/>
          <w:lang w:eastAsia="en-GB"/>
        </w:rPr>
        <w:t> </w:t>
      </w:r>
    </w:p>
    <w:p w14:paraId="65F2E31B" w14:textId="77777777" w:rsidR="000A7D9D" w:rsidRPr="00F521F8" w:rsidRDefault="000A7D9D" w:rsidP="0023321B">
      <w:pPr>
        <w:spacing w:after="120"/>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noProof/>
          <w:sz w:val="24"/>
          <w:szCs w:val="24"/>
          <w:lang w:val="en-US" w:eastAsia="en-GB"/>
        </w:rPr>
        <w:t>There is a lot of activity in the field of sustainability assessments leading to multiple and not always coordinated activities and risks of ‘lock-in’ of specific solutions. A lot is still to be defined and agreed in this field; even some of the concepts are still under development and testing. Precise advance planning of solutions is therefore not possible at present. The opportunity of having a central ‘beacon’ in the form of a dedicated database around which the activities can coalesce, coordinate and individually contribute is a major opportunity.</w:t>
      </w:r>
      <w:r w:rsidRPr="13AEFEEB">
        <w:rPr>
          <w:rFonts w:ascii="Times New Roman" w:eastAsia="Times New Roman" w:hAnsi="Times New Roman" w:cs="Times New Roman"/>
          <w:noProof/>
          <w:sz w:val="24"/>
          <w:szCs w:val="24"/>
          <w:lang w:eastAsia="en-GB"/>
        </w:rPr>
        <w:t> </w:t>
      </w:r>
    </w:p>
    <w:p w14:paraId="31FF7839" w14:textId="77777777" w:rsidR="000A7D9D" w:rsidRPr="00F521F8" w:rsidRDefault="000A7D9D" w:rsidP="000A7D9D">
      <w:pPr>
        <w:spacing w:after="120" w:line="240" w:lineRule="auto"/>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b/>
          <w:bCs/>
          <w:noProof/>
          <w:sz w:val="24"/>
          <w:szCs w:val="24"/>
          <w:lang w:val="en-US" w:eastAsia="en-GB"/>
        </w:rPr>
        <w:t>Projected impact on agencies</w:t>
      </w:r>
      <w:r w:rsidRPr="13AEFEEB">
        <w:rPr>
          <w:rFonts w:ascii="Times New Roman" w:eastAsia="Times New Roman" w:hAnsi="Times New Roman" w:cs="Times New Roman"/>
          <w:noProof/>
          <w:sz w:val="24"/>
          <w:szCs w:val="24"/>
          <w:lang w:eastAsia="en-GB"/>
        </w:rPr>
        <w:t>  </w:t>
      </w:r>
    </w:p>
    <w:p w14:paraId="30B3EE63" w14:textId="77777777" w:rsidR="000A7D9D" w:rsidRPr="00F521F8" w:rsidRDefault="000A7D9D" w:rsidP="000A7D9D">
      <w:pPr>
        <w:numPr>
          <w:ilvl w:val="0"/>
          <w:numId w:val="141"/>
        </w:numPr>
        <w:spacing w:after="120" w:line="240" w:lineRule="auto"/>
        <w:ind w:left="360" w:firstLine="0"/>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noProof/>
          <w:sz w:val="24"/>
          <w:szCs w:val="24"/>
          <w:lang w:val="en-US" w:eastAsia="en-GB"/>
        </w:rPr>
        <w:t xml:space="preserve">ECHA committees/bodies: </w:t>
      </w:r>
      <w:r w:rsidRPr="13AEFEEB">
        <w:rPr>
          <w:rFonts w:ascii="Times New Roman" w:eastAsia="Times New Roman" w:hAnsi="Times New Roman" w:cs="Times New Roman"/>
          <w:b/>
          <w:bCs/>
          <w:noProof/>
          <w:sz w:val="24"/>
          <w:szCs w:val="24"/>
          <w:lang w:val="en-US" w:eastAsia="en-GB"/>
        </w:rPr>
        <w:t>no impact</w:t>
      </w:r>
      <w:r w:rsidRPr="13AEFEEB">
        <w:rPr>
          <w:rFonts w:ascii="Times New Roman" w:eastAsia="Times New Roman" w:hAnsi="Times New Roman" w:cs="Times New Roman"/>
          <w:noProof/>
          <w:sz w:val="24"/>
          <w:szCs w:val="24"/>
          <w:lang w:val="en-US" w:eastAsia="en-GB"/>
        </w:rPr>
        <w:t>. There is no involvement of the committees</w:t>
      </w:r>
      <w:r w:rsidRPr="13AEFEEB">
        <w:rPr>
          <w:rFonts w:ascii="Times New Roman" w:eastAsia="Times New Roman" w:hAnsi="Times New Roman" w:cs="Times New Roman"/>
          <w:noProof/>
          <w:sz w:val="24"/>
          <w:szCs w:val="24"/>
          <w:lang w:eastAsia="en-GB"/>
        </w:rPr>
        <w:t> </w:t>
      </w:r>
    </w:p>
    <w:p w14:paraId="01CD10FA" w14:textId="77777777" w:rsidR="000A7D9D" w:rsidRPr="00F521F8" w:rsidRDefault="000A7D9D" w:rsidP="000A7D9D">
      <w:pPr>
        <w:numPr>
          <w:ilvl w:val="0"/>
          <w:numId w:val="141"/>
        </w:numPr>
        <w:spacing w:after="120" w:line="240" w:lineRule="auto"/>
        <w:ind w:left="709" w:hanging="349"/>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noProof/>
          <w:sz w:val="24"/>
          <w:szCs w:val="24"/>
          <w:lang w:val="en-US" w:eastAsia="en-GB"/>
        </w:rPr>
        <w:t xml:space="preserve">ECHA data model and IT infrastructure: </w:t>
      </w:r>
      <w:r w:rsidRPr="13AEFEEB">
        <w:rPr>
          <w:rFonts w:ascii="Times New Roman" w:eastAsia="Times New Roman" w:hAnsi="Times New Roman" w:cs="Times New Roman"/>
          <w:b/>
          <w:bCs/>
          <w:noProof/>
          <w:sz w:val="24"/>
          <w:szCs w:val="24"/>
          <w:lang w:val="en-US" w:eastAsia="en-GB"/>
        </w:rPr>
        <w:t>high impact</w:t>
      </w:r>
      <w:r w:rsidRPr="13AEFEEB">
        <w:rPr>
          <w:rFonts w:ascii="Times New Roman" w:eastAsia="Times New Roman" w:hAnsi="Times New Roman" w:cs="Times New Roman"/>
          <w:noProof/>
          <w:sz w:val="24"/>
          <w:szCs w:val="24"/>
          <w:lang w:val="en-US" w:eastAsia="en-GB"/>
        </w:rPr>
        <w:t>. The task requires the development of an IT solution.  </w:t>
      </w:r>
      <w:r w:rsidRPr="13AEFEEB">
        <w:rPr>
          <w:rFonts w:ascii="Times New Roman" w:eastAsia="Times New Roman" w:hAnsi="Times New Roman" w:cs="Times New Roman"/>
          <w:noProof/>
          <w:sz w:val="24"/>
          <w:szCs w:val="24"/>
          <w:lang w:eastAsia="en-GB"/>
        </w:rPr>
        <w:t> </w:t>
      </w:r>
    </w:p>
    <w:p w14:paraId="33110576" w14:textId="77777777" w:rsidR="000A7D9D" w:rsidRPr="00F521F8" w:rsidRDefault="000A7D9D" w:rsidP="000A7D9D">
      <w:pPr>
        <w:numPr>
          <w:ilvl w:val="0"/>
          <w:numId w:val="141"/>
        </w:numPr>
        <w:spacing w:after="120" w:line="240" w:lineRule="auto"/>
        <w:ind w:left="709" w:hanging="349"/>
        <w:jc w:val="both"/>
        <w:textAlignment w:val="baseline"/>
        <w:rPr>
          <w:rFonts w:ascii="Times New Roman" w:eastAsia="Times New Roman" w:hAnsi="Times New Roman" w:cs="Times New Roman"/>
          <w:noProof/>
          <w:sz w:val="24"/>
          <w:szCs w:val="24"/>
          <w:lang w:eastAsia="en-GB"/>
        </w:rPr>
      </w:pPr>
      <w:r w:rsidRPr="13AEFEEB">
        <w:rPr>
          <w:rFonts w:ascii="Times New Roman" w:eastAsia="Times New Roman" w:hAnsi="Times New Roman" w:cs="Times New Roman"/>
          <w:noProof/>
          <w:sz w:val="24"/>
          <w:szCs w:val="24"/>
          <w:lang w:val="en-US" w:eastAsia="en-GB"/>
        </w:rPr>
        <w:t>EMA/EFSA/EEA</w:t>
      </w:r>
      <w:r>
        <w:rPr>
          <w:rFonts w:ascii="Times New Roman" w:eastAsia="Times New Roman" w:hAnsi="Times New Roman" w:cs="Times New Roman"/>
          <w:noProof/>
          <w:sz w:val="24"/>
          <w:szCs w:val="24"/>
          <w:lang w:val="en-US" w:eastAsia="en-GB"/>
        </w:rPr>
        <w:t>/</w:t>
      </w:r>
      <w:r w:rsidRPr="006E78B2">
        <w:rPr>
          <w:rFonts w:ascii="Times New Roman" w:eastAsia="Times New Roman" w:hAnsi="Times New Roman" w:cs="Times New Roman"/>
          <w:noProof/>
          <w:sz w:val="24"/>
          <w:szCs w:val="24"/>
          <w:lang w:val="en-US" w:eastAsia="en-GB"/>
        </w:rPr>
        <w:t>EU-OSHA</w:t>
      </w:r>
      <w:r w:rsidRPr="13AEFEEB">
        <w:rPr>
          <w:rFonts w:ascii="Times New Roman" w:eastAsia="Times New Roman" w:hAnsi="Times New Roman" w:cs="Times New Roman"/>
          <w:noProof/>
          <w:sz w:val="24"/>
          <w:szCs w:val="24"/>
          <w:lang w:val="en-US" w:eastAsia="en-GB"/>
        </w:rPr>
        <w:t xml:space="preserve"> data model and IT infrastructure: </w:t>
      </w:r>
      <w:r w:rsidRPr="006E78B2">
        <w:rPr>
          <w:rFonts w:ascii="Times New Roman" w:eastAsia="Times New Roman" w:hAnsi="Times New Roman" w:cs="Times New Roman"/>
          <w:b/>
          <w:noProof/>
          <w:sz w:val="24"/>
          <w:szCs w:val="24"/>
          <w:lang w:val="en-US" w:eastAsia="en-GB"/>
        </w:rPr>
        <w:t>no or</w:t>
      </w:r>
      <w:r>
        <w:rPr>
          <w:rFonts w:ascii="Times New Roman" w:eastAsia="Times New Roman" w:hAnsi="Times New Roman" w:cs="Times New Roman"/>
          <w:noProof/>
          <w:sz w:val="24"/>
          <w:szCs w:val="24"/>
          <w:lang w:val="en-US" w:eastAsia="en-GB"/>
        </w:rPr>
        <w:t xml:space="preserve"> </w:t>
      </w:r>
      <w:r w:rsidRPr="13AEFEEB">
        <w:rPr>
          <w:rFonts w:ascii="Times New Roman" w:eastAsia="Times New Roman" w:hAnsi="Times New Roman" w:cs="Times New Roman"/>
          <w:b/>
          <w:bCs/>
          <w:noProof/>
          <w:sz w:val="24"/>
          <w:szCs w:val="24"/>
          <w:lang w:val="en-US" w:eastAsia="en-GB"/>
        </w:rPr>
        <w:t>low impact</w:t>
      </w:r>
      <w:r w:rsidRPr="13AEFEEB">
        <w:rPr>
          <w:rFonts w:ascii="Times New Roman" w:eastAsia="Times New Roman" w:hAnsi="Times New Roman" w:cs="Times New Roman"/>
          <w:noProof/>
          <w:sz w:val="24"/>
          <w:szCs w:val="24"/>
          <w:lang w:val="en-US" w:eastAsia="en-GB"/>
        </w:rPr>
        <w:t xml:space="preserve">. </w:t>
      </w:r>
      <w:r>
        <w:rPr>
          <w:rFonts w:ascii="Times New Roman" w:eastAsia="Times New Roman" w:hAnsi="Times New Roman" w:cs="Times New Roman"/>
          <w:noProof/>
          <w:sz w:val="24"/>
          <w:szCs w:val="24"/>
          <w:lang w:val="en-US" w:eastAsia="en-GB"/>
        </w:rPr>
        <w:t xml:space="preserve"> agencies </w:t>
      </w:r>
      <w:r w:rsidRPr="13AEFEEB">
        <w:rPr>
          <w:rFonts w:ascii="Times New Roman" w:eastAsia="Times New Roman" w:hAnsi="Times New Roman" w:cs="Times New Roman"/>
          <w:noProof/>
          <w:sz w:val="24"/>
          <w:szCs w:val="24"/>
          <w:lang w:val="en-US" w:eastAsia="en-GB"/>
        </w:rPr>
        <w:t xml:space="preserve">would </w:t>
      </w:r>
      <w:r>
        <w:rPr>
          <w:rFonts w:ascii="Times New Roman" w:eastAsia="Times New Roman" w:hAnsi="Times New Roman" w:cs="Times New Roman"/>
          <w:noProof/>
          <w:sz w:val="24"/>
          <w:szCs w:val="24"/>
          <w:lang w:val="en-US" w:eastAsia="en-GB"/>
        </w:rPr>
        <w:t xml:space="preserve">provide </w:t>
      </w:r>
      <w:r w:rsidRPr="13AEFEEB">
        <w:rPr>
          <w:rFonts w:ascii="Times New Roman" w:eastAsia="Times New Roman" w:hAnsi="Times New Roman" w:cs="Times New Roman"/>
          <w:noProof/>
          <w:sz w:val="24"/>
          <w:szCs w:val="24"/>
          <w:lang w:val="en-US" w:eastAsia="en-GB"/>
        </w:rPr>
        <w:t>the data they host or hold.</w:t>
      </w:r>
      <w:r w:rsidRPr="13AEFEEB">
        <w:rPr>
          <w:rFonts w:ascii="Times New Roman" w:eastAsia="Times New Roman" w:hAnsi="Times New Roman" w:cs="Times New Roman"/>
          <w:noProof/>
          <w:sz w:val="24"/>
          <w:szCs w:val="24"/>
          <w:lang w:eastAsia="en-GB"/>
        </w:rPr>
        <w:t> </w:t>
      </w:r>
    </w:p>
    <w:p w14:paraId="2F0B5404"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b/>
          <w:bCs/>
          <w:noProof/>
          <w:sz w:val="24"/>
          <w:szCs w:val="24"/>
          <w:lang w:eastAsia="en-GB"/>
        </w:rPr>
        <w:t>Workload and resource implications:</w:t>
      </w:r>
      <w:r w:rsidRPr="00F521F8">
        <w:rPr>
          <w:rFonts w:ascii="Times New Roman" w:eastAsia="Times New Roman" w:hAnsi="Times New Roman" w:cs="Times New Roman"/>
          <w:noProof/>
          <w:sz w:val="24"/>
          <w:szCs w:val="24"/>
          <w:lang w:eastAsia="en-GB"/>
        </w:rPr>
        <w:t>  </w:t>
      </w:r>
    </w:p>
    <w:p w14:paraId="60A2E741"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noProof/>
          <w:sz w:val="24"/>
          <w:szCs w:val="24"/>
          <w:u w:val="single"/>
          <w:lang w:eastAsia="en-GB"/>
        </w:rPr>
        <w:t>Current workload and resource use:</w:t>
      </w:r>
      <w:r w:rsidRPr="00F521F8">
        <w:rPr>
          <w:rFonts w:ascii="Times New Roman" w:eastAsia="Times New Roman" w:hAnsi="Times New Roman" w:cs="Times New Roman"/>
          <w:noProof/>
          <w:sz w:val="24"/>
          <w:szCs w:val="24"/>
          <w:lang w:eastAsia="en-GB"/>
        </w:rPr>
        <w:t> </w:t>
      </w:r>
    </w:p>
    <w:p w14:paraId="648EA597" w14:textId="77777777" w:rsidR="000A7D9D" w:rsidRPr="00F521F8"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noProof/>
          <w:sz w:val="24"/>
          <w:szCs w:val="24"/>
          <w:lang w:val="en-US" w:eastAsia="en-GB"/>
        </w:rPr>
        <w:t>This is a new task and there is no existing work or resources.</w:t>
      </w:r>
      <w:r w:rsidRPr="00F521F8">
        <w:rPr>
          <w:rFonts w:ascii="Times New Roman" w:eastAsia="Times New Roman" w:hAnsi="Times New Roman" w:cs="Times New Roman"/>
          <w:noProof/>
          <w:sz w:val="24"/>
          <w:szCs w:val="24"/>
          <w:lang w:eastAsia="en-GB"/>
        </w:rPr>
        <w:t> </w:t>
      </w:r>
    </w:p>
    <w:p w14:paraId="4F739128" w14:textId="77777777" w:rsidR="000A7D9D" w:rsidRDefault="000A7D9D" w:rsidP="000A7D9D">
      <w:pPr>
        <w:spacing w:after="120" w:line="240" w:lineRule="auto"/>
        <w:textAlignment w:val="baseline"/>
        <w:rPr>
          <w:rFonts w:ascii="Times New Roman" w:eastAsia="Times New Roman" w:hAnsi="Times New Roman" w:cs="Times New Roman"/>
          <w:noProof/>
          <w:sz w:val="24"/>
          <w:szCs w:val="24"/>
          <w:lang w:eastAsia="en-GB"/>
        </w:rPr>
      </w:pPr>
      <w:r w:rsidRPr="00F521F8">
        <w:rPr>
          <w:rFonts w:ascii="Times New Roman" w:eastAsia="Times New Roman" w:hAnsi="Times New Roman" w:cs="Times New Roman"/>
          <w:noProof/>
          <w:sz w:val="24"/>
          <w:szCs w:val="24"/>
          <w:u w:val="single"/>
          <w:lang w:eastAsia="en-GB"/>
        </w:rPr>
        <w:t>Future workload and resource needs:</w:t>
      </w:r>
      <w:r w:rsidRPr="00F521F8">
        <w:rPr>
          <w:rFonts w:ascii="Times New Roman" w:eastAsia="Times New Roman" w:hAnsi="Times New Roman" w:cs="Times New Roman"/>
          <w:noProof/>
          <w:sz w:val="24"/>
          <w:szCs w:val="24"/>
          <w:lang w:eastAsia="en-GB"/>
        </w:rPr>
        <w:t>  </w:t>
      </w:r>
    </w:p>
    <w:p w14:paraId="1F949CAD" w14:textId="77777777" w:rsidR="000A7D9D" w:rsidRPr="00F521F8" w:rsidRDefault="000A7D9D" w:rsidP="000A7D9D">
      <w:pPr>
        <w:spacing w:after="120" w:line="240" w:lineRule="auto"/>
        <w:jc w:val="both"/>
        <w:textAlignment w:val="baseline"/>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additional resources are needed only for ECHA for the development of the database. It is envisaged that the majority of data to be integrated to the database will come from outside the EU agencies, such as research consortia or companies’ reporting. The EU agencies</w:t>
      </w:r>
      <w:r w:rsidRPr="006D6CC9">
        <w:rPr>
          <w:rFonts w:ascii="Times New Roman" w:hAnsi="Times New Roman" w:cs="Times New Roman"/>
          <w:noProof/>
        </w:rPr>
        <w:t xml:space="preserve"> </w:t>
      </w:r>
      <w:r w:rsidRPr="00D84259">
        <w:rPr>
          <w:rFonts w:ascii="Times New Roman" w:eastAsia="Times New Roman" w:hAnsi="Times New Roman" w:cs="Times New Roman"/>
          <w:noProof/>
          <w:sz w:val="24"/>
          <w:szCs w:val="24"/>
          <w:lang w:eastAsia="en-GB"/>
        </w:rPr>
        <w:t xml:space="preserve">currently do not </w:t>
      </w:r>
      <w:r>
        <w:rPr>
          <w:rFonts w:ascii="Times New Roman" w:eastAsia="Times New Roman" w:hAnsi="Times New Roman" w:cs="Times New Roman"/>
          <w:noProof/>
          <w:sz w:val="24"/>
          <w:szCs w:val="24"/>
          <w:lang w:eastAsia="en-GB"/>
        </w:rPr>
        <w:t xml:space="preserve">actively collect or receive the relevant data, and if they have any of such data, the amount of information held is currently very limited. Therefore, </w:t>
      </w:r>
      <w:r w:rsidRPr="007017A9">
        <w:rPr>
          <w:rFonts w:ascii="Times New Roman" w:hAnsi="Times New Roman" w:cs="Times New Roman"/>
          <w:noProof/>
          <w:sz w:val="24"/>
          <w:szCs w:val="24"/>
        </w:rPr>
        <w:t xml:space="preserve">the resources for provision of </w:t>
      </w:r>
      <w:r>
        <w:rPr>
          <w:rFonts w:ascii="Times New Roman" w:hAnsi="Times New Roman" w:cs="Times New Roman"/>
          <w:noProof/>
          <w:sz w:val="24"/>
          <w:szCs w:val="24"/>
        </w:rPr>
        <w:t xml:space="preserve">such </w:t>
      </w:r>
      <w:r w:rsidRPr="007017A9">
        <w:rPr>
          <w:rFonts w:ascii="Times New Roman" w:hAnsi="Times New Roman" w:cs="Times New Roman"/>
          <w:noProof/>
          <w:sz w:val="24"/>
          <w:szCs w:val="24"/>
        </w:rPr>
        <w:t xml:space="preserve">data could be absorbed by </w:t>
      </w:r>
      <w:r>
        <w:rPr>
          <w:rFonts w:ascii="Times New Roman" w:hAnsi="Times New Roman" w:cs="Times New Roman"/>
          <w:noProof/>
          <w:sz w:val="24"/>
          <w:szCs w:val="24"/>
        </w:rPr>
        <w:t>the agencies</w:t>
      </w:r>
      <w:r w:rsidRPr="007017A9">
        <w:rPr>
          <w:rFonts w:ascii="Times New Roman" w:hAnsi="Times New Roman" w:cs="Times New Roman"/>
          <w:noProof/>
          <w:sz w:val="24"/>
          <w:szCs w:val="24"/>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55"/>
        <w:gridCol w:w="975"/>
        <w:gridCol w:w="4200"/>
      </w:tblGrid>
      <w:tr w:rsidR="000A7D9D" w:rsidRPr="006B7D57" w14:paraId="7B040E03" w14:textId="77777777" w:rsidTr="00F31937">
        <w:trPr>
          <w:trHeight w:val="300"/>
        </w:trPr>
        <w:tc>
          <w:tcPr>
            <w:tcW w:w="4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4B56F7"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b/>
                <w:bCs/>
                <w:noProof/>
                <w:sz w:val="20"/>
                <w:szCs w:val="20"/>
                <w:lang w:val="en-US" w:eastAsia="en-GB"/>
              </w:rPr>
              <w:t>Work description </w:t>
            </w:r>
            <w:r w:rsidRPr="006B7D57">
              <w:rPr>
                <w:rFonts w:ascii="Times New Roman" w:eastAsia="Times New Roman" w:hAnsi="Times New Roman" w:cs="Times New Roman"/>
                <w:noProof/>
                <w:sz w:val="20"/>
                <w:szCs w:val="20"/>
                <w:lang w:eastAsia="en-GB"/>
              </w:rPr>
              <w:t>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540B76"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b/>
                <w:bCs/>
                <w:noProof/>
                <w:sz w:val="20"/>
                <w:szCs w:val="20"/>
                <w:lang w:val="en-US" w:eastAsia="en-GB"/>
              </w:rPr>
              <w:t>Who </w:t>
            </w:r>
            <w:r w:rsidRPr="006B7D57">
              <w:rPr>
                <w:rFonts w:ascii="Times New Roman" w:eastAsia="Times New Roman" w:hAnsi="Times New Roman" w:cs="Times New Roman"/>
                <w:noProof/>
                <w:sz w:val="20"/>
                <w:szCs w:val="20"/>
                <w:lang w:eastAsia="en-GB"/>
              </w:rPr>
              <w:t>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487D84"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b/>
                <w:bCs/>
                <w:noProof/>
                <w:sz w:val="20"/>
                <w:szCs w:val="20"/>
                <w:lang w:val="en-US" w:eastAsia="en-GB"/>
              </w:rPr>
              <w:t>Resource needs estimate</w:t>
            </w:r>
            <w:r w:rsidRPr="006B7D57">
              <w:rPr>
                <w:rFonts w:ascii="Times New Roman" w:eastAsia="Times New Roman" w:hAnsi="Times New Roman" w:cs="Times New Roman"/>
                <w:noProof/>
                <w:sz w:val="20"/>
                <w:szCs w:val="20"/>
                <w:lang w:eastAsia="en-GB"/>
              </w:rPr>
              <w:t>  </w:t>
            </w:r>
          </w:p>
        </w:tc>
      </w:tr>
      <w:tr w:rsidR="000A7D9D" w:rsidRPr="006B7D57" w14:paraId="01236231" w14:textId="77777777" w:rsidTr="00F31937">
        <w:trPr>
          <w:trHeight w:val="300"/>
        </w:trPr>
        <w:tc>
          <w:tcPr>
            <w:tcW w:w="4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9A79DB"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b/>
                <w:bCs/>
                <w:noProof/>
                <w:sz w:val="20"/>
                <w:szCs w:val="20"/>
                <w:lang w:val="en-US" w:eastAsia="en-GB"/>
              </w:rPr>
              <w:t xml:space="preserve">Setting up the database on environmental sustainability related </w:t>
            </w:r>
            <w:r w:rsidRPr="006B7D57">
              <w:rPr>
                <w:rFonts w:ascii="Times New Roman" w:eastAsia="Times New Roman" w:hAnsi="Times New Roman" w:cs="Times New Roman"/>
                <w:b/>
                <w:bCs/>
                <w:noProof/>
                <w:sz w:val="20"/>
                <w:szCs w:val="20"/>
                <w:lang w:eastAsia="en-GB"/>
              </w:rPr>
              <w:t>data</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41AEA2"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 </w:t>
            </w:r>
            <w:r w:rsidRPr="006B7D57">
              <w:rPr>
                <w:rFonts w:ascii="Times New Roman" w:eastAsia="Times New Roman" w:hAnsi="Times New Roman" w:cs="Times New Roman"/>
                <w:noProof/>
                <w:sz w:val="20"/>
                <w:szCs w:val="20"/>
                <w:lang w:eastAsia="en-GB"/>
              </w:rPr>
              <w:t>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D56227"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 </w:t>
            </w:r>
            <w:r w:rsidRPr="006B7D57">
              <w:rPr>
                <w:rFonts w:ascii="Times New Roman" w:eastAsia="Times New Roman" w:hAnsi="Times New Roman" w:cs="Times New Roman"/>
                <w:noProof/>
                <w:sz w:val="20"/>
                <w:szCs w:val="20"/>
                <w:lang w:eastAsia="en-GB"/>
              </w:rPr>
              <w:t> </w:t>
            </w:r>
          </w:p>
        </w:tc>
      </w:tr>
      <w:tr w:rsidR="000A7D9D" w:rsidRPr="006B7D57" w14:paraId="0898F287" w14:textId="77777777" w:rsidTr="00F31937">
        <w:trPr>
          <w:trHeight w:val="963"/>
        </w:trPr>
        <w:tc>
          <w:tcPr>
            <w:tcW w:w="4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7A941E"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eastAsia="en-GB"/>
              </w:rPr>
              <w:t>Infrastructure setup </w:t>
            </w:r>
          </w:p>
          <w:p w14:paraId="0A912416"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eastAsia="en-GB"/>
              </w:rPr>
              <w:t>Consultation on database functionalities  </w:t>
            </w:r>
          </w:p>
          <w:p w14:paraId="7D220F1E"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eastAsia="en-GB"/>
              </w:rPr>
              <w:t>Identification of relevant datasets already integrated in the common data platform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AAFBC5"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ECHA</w:t>
            </w:r>
            <w:r w:rsidRPr="006B7D57">
              <w:rPr>
                <w:rFonts w:ascii="Times New Roman" w:eastAsia="Times New Roman" w:hAnsi="Times New Roman" w:cs="Times New Roman"/>
                <w:noProof/>
                <w:sz w:val="20"/>
                <w:szCs w:val="20"/>
                <w:lang w:eastAsia="en-GB"/>
              </w:rPr>
              <w:t> </w:t>
            </w:r>
          </w:p>
          <w:p w14:paraId="20897070"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eastAsia="en-GB"/>
              </w:rPr>
              <w:t>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AB312F"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Development during 6 years (2025, 2026, 2027,2028,2029, 2030);</w:t>
            </w:r>
            <w:r w:rsidRPr="006B7D57">
              <w:rPr>
                <w:rFonts w:ascii="Times New Roman" w:eastAsia="Times New Roman" w:hAnsi="Times New Roman" w:cs="Times New Roman"/>
                <w:noProof/>
                <w:sz w:val="20"/>
                <w:szCs w:val="20"/>
                <w:lang w:eastAsia="en-GB"/>
              </w:rPr>
              <w:t> </w:t>
            </w:r>
          </w:p>
          <w:p w14:paraId="698AB043"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ECHA: Staff 1 FTE</w:t>
            </w:r>
            <w:r w:rsidRPr="006B7D57">
              <w:rPr>
                <w:rFonts w:ascii="Times New Roman" w:eastAsia="Times New Roman" w:hAnsi="Times New Roman" w:cs="Times New Roman"/>
                <w:noProof/>
                <w:sz w:val="20"/>
                <w:szCs w:val="20"/>
                <w:lang w:eastAsia="en-GB"/>
              </w:rPr>
              <w:t> per year  </w:t>
            </w:r>
          </w:p>
        </w:tc>
      </w:tr>
      <w:tr w:rsidR="000A7D9D" w:rsidRPr="006B7D57" w14:paraId="5177BFB3" w14:textId="77777777" w:rsidTr="00F31937">
        <w:trPr>
          <w:trHeight w:val="300"/>
        </w:trPr>
        <w:tc>
          <w:tcPr>
            <w:tcW w:w="4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9CE601"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Providing relevant input on environmental sustainability related information</w:t>
            </w:r>
            <w:r w:rsidRPr="006B7D57">
              <w:rPr>
                <w:rFonts w:ascii="Times New Roman" w:eastAsia="Times New Roman" w:hAnsi="Times New Roman" w:cs="Times New Roman"/>
                <w:noProof/>
                <w:sz w:val="20"/>
                <w:szCs w:val="20"/>
                <w:lang w:eastAsia="en-GB"/>
              </w:rPr>
              <w:t>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30A0B6"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val="fr-BE" w:eastAsia="en-GB"/>
              </w:rPr>
            </w:pPr>
            <w:r w:rsidRPr="006B7D57">
              <w:rPr>
                <w:rFonts w:ascii="Times New Roman" w:eastAsia="Times New Roman" w:hAnsi="Times New Roman" w:cs="Times New Roman"/>
                <w:noProof/>
                <w:sz w:val="20"/>
                <w:szCs w:val="20"/>
                <w:lang w:val="fr-BE" w:eastAsia="en-GB"/>
              </w:rPr>
              <w:t>EEA, EFSA,  </w:t>
            </w:r>
          </w:p>
          <w:p w14:paraId="289232C5"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val="fr-BE" w:eastAsia="en-GB"/>
              </w:rPr>
            </w:pPr>
            <w:r w:rsidRPr="006B7D57">
              <w:rPr>
                <w:rFonts w:ascii="Times New Roman" w:eastAsia="Times New Roman" w:hAnsi="Times New Roman" w:cs="Times New Roman"/>
                <w:noProof/>
                <w:sz w:val="20"/>
                <w:szCs w:val="20"/>
                <w:lang w:val="fr-BE" w:eastAsia="en-GB"/>
              </w:rPr>
              <w:t>EMA   </w:t>
            </w:r>
          </w:p>
          <w:p w14:paraId="0BB28271"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val="fr-BE" w:eastAsia="en-GB"/>
              </w:rPr>
            </w:pPr>
            <w:r w:rsidRPr="006B7D57">
              <w:rPr>
                <w:rFonts w:ascii="Times New Roman" w:eastAsia="Times New Roman" w:hAnsi="Times New Roman" w:cs="Times New Roman"/>
                <w:noProof/>
                <w:sz w:val="20"/>
                <w:szCs w:val="20"/>
                <w:lang w:val="fr-BE" w:eastAsia="en-GB"/>
              </w:rPr>
              <w:t>EU-OSHA</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42D87B"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Negligible: to be absorbed by the agencies’ existing work.</w:t>
            </w:r>
            <w:r w:rsidRPr="006B7D57">
              <w:rPr>
                <w:rFonts w:ascii="Times New Roman" w:eastAsia="Times New Roman" w:hAnsi="Times New Roman" w:cs="Times New Roman"/>
                <w:noProof/>
                <w:sz w:val="20"/>
                <w:szCs w:val="20"/>
                <w:lang w:eastAsia="en-GB"/>
              </w:rPr>
              <w:t> </w:t>
            </w:r>
          </w:p>
        </w:tc>
      </w:tr>
      <w:tr w:rsidR="000A7D9D" w:rsidRPr="006B7D57" w14:paraId="6C6AE4C7" w14:textId="77777777" w:rsidTr="00F31937">
        <w:trPr>
          <w:trHeight w:val="300"/>
        </w:trPr>
        <w:tc>
          <w:tcPr>
            <w:tcW w:w="4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0207C5"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b/>
                <w:bCs/>
                <w:noProof/>
                <w:sz w:val="20"/>
                <w:szCs w:val="20"/>
                <w:lang w:val="en-US" w:eastAsia="en-GB"/>
              </w:rPr>
              <w:t xml:space="preserve">Operating the database on environmental sustainability related </w:t>
            </w:r>
            <w:r w:rsidRPr="006B7D57">
              <w:rPr>
                <w:rFonts w:ascii="Times New Roman" w:eastAsia="Times New Roman" w:hAnsi="Times New Roman" w:cs="Times New Roman"/>
                <w:b/>
                <w:bCs/>
                <w:noProof/>
                <w:sz w:val="20"/>
                <w:szCs w:val="20"/>
                <w:lang w:eastAsia="en-GB"/>
              </w:rPr>
              <w:t>data</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F1174A"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 </w:t>
            </w:r>
            <w:r w:rsidRPr="006B7D57">
              <w:rPr>
                <w:rFonts w:ascii="Times New Roman" w:eastAsia="Times New Roman" w:hAnsi="Times New Roman" w:cs="Times New Roman"/>
                <w:noProof/>
                <w:sz w:val="20"/>
                <w:szCs w:val="20"/>
                <w:lang w:eastAsia="en-GB"/>
              </w:rPr>
              <w:t>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173C23"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 </w:t>
            </w:r>
            <w:r w:rsidRPr="006B7D57">
              <w:rPr>
                <w:rFonts w:ascii="Times New Roman" w:eastAsia="Times New Roman" w:hAnsi="Times New Roman" w:cs="Times New Roman"/>
                <w:noProof/>
                <w:sz w:val="20"/>
                <w:szCs w:val="20"/>
                <w:lang w:eastAsia="en-GB"/>
              </w:rPr>
              <w:t> </w:t>
            </w:r>
          </w:p>
        </w:tc>
      </w:tr>
      <w:tr w:rsidR="000A7D9D" w:rsidRPr="006B7D57" w14:paraId="799BD1F1" w14:textId="77777777" w:rsidTr="00F31937">
        <w:trPr>
          <w:trHeight w:val="557"/>
        </w:trPr>
        <w:tc>
          <w:tcPr>
            <w:tcW w:w="4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D78CDE"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eastAsia="en-GB"/>
              </w:rPr>
              <w:t>Integrating additional datasets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44141C"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ECHA</w:t>
            </w:r>
            <w:r w:rsidRPr="006B7D57">
              <w:rPr>
                <w:rFonts w:ascii="Times New Roman" w:eastAsia="Times New Roman" w:hAnsi="Times New Roman" w:cs="Times New Roman"/>
                <w:noProof/>
                <w:sz w:val="20"/>
                <w:szCs w:val="20"/>
                <w:lang w:eastAsia="en-GB"/>
              </w:rPr>
              <w:t> </w:t>
            </w:r>
          </w:p>
          <w:p w14:paraId="09C472DB"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eastAsia="en-GB"/>
              </w:rPr>
              <w:t>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76F8A0"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 xml:space="preserve">Recurrent costs as of 2030: </w:t>
            </w:r>
          </w:p>
          <w:p w14:paraId="7F2CED62"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ECHA: Staff 1 FTE </w:t>
            </w:r>
            <w:r w:rsidRPr="006B7D57">
              <w:rPr>
                <w:rFonts w:ascii="Times New Roman" w:eastAsia="Times New Roman" w:hAnsi="Times New Roman" w:cs="Times New Roman"/>
                <w:noProof/>
                <w:sz w:val="20"/>
                <w:szCs w:val="20"/>
                <w:lang w:eastAsia="en-GB"/>
              </w:rPr>
              <w:t>per year</w:t>
            </w:r>
          </w:p>
        </w:tc>
      </w:tr>
      <w:tr w:rsidR="000A7D9D" w:rsidRPr="006B7D57" w14:paraId="54A2AF7C" w14:textId="77777777" w:rsidTr="00F31937">
        <w:trPr>
          <w:trHeight w:val="991"/>
        </w:trPr>
        <w:tc>
          <w:tcPr>
            <w:tcW w:w="41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D208CD"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Providing relevant environmental sustainability related information</w:t>
            </w:r>
            <w:r w:rsidRPr="006B7D57">
              <w:rPr>
                <w:rFonts w:ascii="Times New Roman" w:eastAsia="Times New Roman" w:hAnsi="Times New Roman" w:cs="Times New Roman"/>
                <w:noProof/>
                <w:sz w:val="20"/>
                <w:szCs w:val="20"/>
                <w:lang w:eastAsia="en-GB"/>
              </w:rPr>
              <w:t> </w:t>
            </w:r>
          </w:p>
        </w:tc>
        <w:tc>
          <w:tcPr>
            <w:tcW w:w="9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A8A339"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val="fr-BE" w:eastAsia="en-GB"/>
              </w:rPr>
            </w:pPr>
            <w:r w:rsidRPr="006B7D57">
              <w:rPr>
                <w:rFonts w:ascii="Times New Roman" w:eastAsia="Times New Roman" w:hAnsi="Times New Roman" w:cs="Times New Roman"/>
                <w:noProof/>
                <w:sz w:val="20"/>
                <w:szCs w:val="20"/>
                <w:lang w:val="fr-BE" w:eastAsia="en-GB"/>
              </w:rPr>
              <w:t>EEA, EFSA,  </w:t>
            </w:r>
          </w:p>
          <w:p w14:paraId="158A9A20"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val="fr-BE" w:eastAsia="en-GB"/>
              </w:rPr>
            </w:pPr>
            <w:r w:rsidRPr="006B7D57">
              <w:rPr>
                <w:rFonts w:ascii="Times New Roman" w:eastAsia="Times New Roman" w:hAnsi="Times New Roman" w:cs="Times New Roman"/>
                <w:noProof/>
                <w:sz w:val="20"/>
                <w:szCs w:val="20"/>
                <w:lang w:val="fr-BE" w:eastAsia="en-GB"/>
              </w:rPr>
              <w:t>EMA,   </w:t>
            </w:r>
          </w:p>
          <w:p w14:paraId="01477DFE" w14:textId="77777777" w:rsidR="000A7D9D" w:rsidRPr="006B7D57" w:rsidRDefault="000A7D9D" w:rsidP="00F31937">
            <w:pPr>
              <w:spacing w:after="0" w:line="240" w:lineRule="auto"/>
              <w:rPr>
                <w:rFonts w:ascii="Times New Roman" w:eastAsia="Times New Roman" w:hAnsi="Times New Roman" w:cs="Times New Roman"/>
                <w:noProof/>
                <w:sz w:val="20"/>
                <w:szCs w:val="20"/>
                <w:lang w:val="fr-BE" w:eastAsia="en-GB"/>
              </w:rPr>
            </w:pPr>
            <w:r w:rsidRPr="006B7D57">
              <w:rPr>
                <w:rFonts w:ascii="Times New Roman" w:eastAsia="Times New Roman" w:hAnsi="Times New Roman" w:cs="Times New Roman"/>
                <w:noProof/>
                <w:sz w:val="20"/>
                <w:szCs w:val="20"/>
                <w:lang w:val="fr-BE" w:eastAsia="en-GB"/>
              </w:rPr>
              <w:t>EU-OSHA</w:t>
            </w:r>
          </w:p>
          <w:p w14:paraId="2EB92DE0"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val="fr-BE" w:eastAsia="en-GB"/>
              </w:rPr>
            </w:pPr>
            <w:r w:rsidRPr="006B7D57">
              <w:rPr>
                <w:rFonts w:ascii="Times New Roman" w:eastAsia="Times New Roman" w:hAnsi="Times New Roman" w:cs="Times New Roman"/>
                <w:noProof/>
                <w:sz w:val="20"/>
                <w:szCs w:val="20"/>
                <w:lang w:val="fr-BE" w:eastAsia="en-GB"/>
              </w:rPr>
              <w:t> </w:t>
            </w:r>
          </w:p>
        </w:tc>
        <w:tc>
          <w:tcPr>
            <w:tcW w:w="4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21B17C" w14:textId="77777777" w:rsidR="000A7D9D" w:rsidRPr="006B7D57" w:rsidRDefault="000A7D9D" w:rsidP="00F31937">
            <w:pPr>
              <w:spacing w:after="0" w:line="240" w:lineRule="auto"/>
              <w:textAlignment w:val="baseline"/>
              <w:rPr>
                <w:rFonts w:ascii="Times New Roman" w:eastAsia="Times New Roman" w:hAnsi="Times New Roman" w:cs="Times New Roman"/>
                <w:noProof/>
                <w:sz w:val="20"/>
                <w:szCs w:val="20"/>
                <w:lang w:eastAsia="en-GB"/>
              </w:rPr>
            </w:pPr>
            <w:r w:rsidRPr="006B7D57">
              <w:rPr>
                <w:rFonts w:ascii="Times New Roman" w:eastAsia="Times New Roman" w:hAnsi="Times New Roman" w:cs="Times New Roman"/>
                <w:noProof/>
                <w:sz w:val="20"/>
                <w:szCs w:val="20"/>
                <w:lang w:val="en-US" w:eastAsia="en-GB"/>
              </w:rPr>
              <w:t>Negligible; should be absorbed by the agencies</w:t>
            </w:r>
            <w:r w:rsidRPr="006B7D57">
              <w:rPr>
                <w:rFonts w:ascii="Times New Roman" w:eastAsia="Times New Roman" w:hAnsi="Times New Roman" w:cs="Times New Roman"/>
                <w:noProof/>
                <w:sz w:val="20"/>
                <w:szCs w:val="20"/>
                <w:lang w:eastAsia="en-GB"/>
              </w:rPr>
              <w:t xml:space="preserve"> </w:t>
            </w:r>
          </w:p>
        </w:tc>
      </w:tr>
    </w:tbl>
    <w:p w14:paraId="00330A8B" w14:textId="77777777" w:rsidR="000A7D9D" w:rsidRPr="00F521F8" w:rsidRDefault="000A7D9D" w:rsidP="000A7D9D">
      <w:pPr>
        <w:pStyle w:val="BodyText"/>
        <w:rPr>
          <w:noProof/>
          <w:lang w:eastAsia="fi-FI"/>
        </w:rPr>
      </w:pPr>
    </w:p>
    <w:p w14:paraId="4128343D" w14:textId="77777777" w:rsidR="000A7D9D" w:rsidRPr="00F521F8" w:rsidRDefault="000A7D9D" w:rsidP="000A7D9D">
      <w:pPr>
        <w:jc w:val="both"/>
        <w:rPr>
          <w:rFonts w:ascii="Times New Roman" w:hAnsi="Times New Roman" w:cs="Times New Roman"/>
          <w:noProof/>
          <w:sz w:val="24"/>
          <w:szCs w:val="24"/>
          <w:lang w:val="en-US" w:eastAsia="en-GB"/>
        </w:rPr>
      </w:pPr>
      <w:r w:rsidRPr="13AEFEEB">
        <w:rPr>
          <w:rFonts w:ascii="Times New Roman" w:hAnsi="Times New Roman" w:cs="Times New Roman"/>
          <w:noProof/>
          <w:sz w:val="24"/>
          <w:szCs w:val="24"/>
          <w:lang w:val="en-US" w:eastAsia="en-GB"/>
        </w:rPr>
        <w:t>Summary of resource needs for the database on environmental sustainability related data:</w:t>
      </w:r>
    </w:p>
    <w:tbl>
      <w:tblPr>
        <w:tblStyle w:val="TableGrid"/>
        <w:tblW w:w="0" w:type="auto"/>
        <w:tblLook w:val="04A0" w:firstRow="1" w:lastRow="0" w:firstColumn="1" w:lastColumn="0" w:noHBand="0" w:noVBand="1"/>
      </w:tblPr>
      <w:tblGrid>
        <w:gridCol w:w="1035"/>
        <w:gridCol w:w="3510"/>
        <w:gridCol w:w="2820"/>
        <w:gridCol w:w="2264"/>
      </w:tblGrid>
      <w:tr w:rsidR="000A7D9D" w14:paraId="2691A1A4" w14:textId="77777777" w:rsidTr="00F31937">
        <w:trPr>
          <w:trHeight w:val="300"/>
        </w:trPr>
        <w:tc>
          <w:tcPr>
            <w:tcW w:w="1035" w:type="dxa"/>
            <w:shd w:val="clear" w:color="auto" w:fill="D9D9D9" w:themeFill="background1" w:themeFillShade="D9"/>
          </w:tcPr>
          <w:p w14:paraId="3E68D56A" w14:textId="77777777" w:rsidR="000A7D9D" w:rsidRPr="007F38F4" w:rsidRDefault="000A7D9D" w:rsidP="00F31937">
            <w:pPr>
              <w:pStyle w:val="BodyText"/>
              <w:spacing w:line="259" w:lineRule="auto"/>
              <w:rPr>
                <w:rFonts w:eastAsiaTheme="minorEastAsia"/>
                <w:b/>
                <w:bCs/>
                <w:noProof/>
                <w:sz w:val="20"/>
                <w:szCs w:val="20"/>
              </w:rPr>
            </w:pPr>
            <w:r w:rsidRPr="007F38F4">
              <w:rPr>
                <w:rFonts w:eastAsiaTheme="minorEastAsia"/>
                <w:b/>
                <w:bCs/>
                <w:noProof/>
                <w:sz w:val="20"/>
                <w:szCs w:val="20"/>
              </w:rPr>
              <w:t>Agency</w:t>
            </w:r>
          </w:p>
        </w:tc>
        <w:tc>
          <w:tcPr>
            <w:tcW w:w="3510" w:type="dxa"/>
            <w:shd w:val="clear" w:color="auto" w:fill="D9D9D9" w:themeFill="background1" w:themeFillShade="D9"/>
          </w:tcPr>
          <w:p w14:paraId="56D00FC9" w14:textId="77777777" w:rsidR="000A7D9D" w:rsidRPr="007F38F4" w:rsidRDefault="000A7D9D" w:rsidP="00F31937">
            <w:pPr>
              <w:pStyle w:val="BodyText"/>
              <w:rPr>
                <w:rFonts w:eastAsiaTheme="minorEastAsia"/>
                <w:b/>
                <w:bCs/>
                <w:noProof/>
                <w:sz w:val="20"/>
                <w:szCs w:val="20"/>
              </w:rPr>
            </w:pPr>
            <w:r w:rsidRPr="007F38F4">
              <w:rPr>
                <w:rFonts w:eastAsiaTheme="minorEastAsia"/>
                <w:b/>
                <w:bCs/>
                <w:noProof/>
                <w:sz w:val="20"/>
                <w:szCs w:val="20"/>
              </w:rPr>
              <w:t>Summary of tasks</w:t>
            </w:r>
          </w:p>
        </w:tc>
        <w:tc>
          <w:tcPr>
            <w:tcW w:w="2820" w:type="dxa"/>
            <w:shd w:val="clear" w:color="auto" w:fill="D9D9D9" w:themeFill="background1" w:themeFillShade="D9"/>
          </w:tcPr>
          <w:p w14:paraId="06FA686A" w14:textId="77777777" w:rsidR="000A7D9D" w:rsidRPr="007F38F4" w:rsidRDefault="000A7D9D" w:rsidP="00F31937">
            <w:pPr>
              <w:pStyle w:val="BodyText"/>
              <w:tabs>
                <w:tab w:val="left" w:pos="4170"/>
              </w:tabs>
              <w:rPr>
                <w:rFonts w:eastAsiaTheme="minorEastAsia"/>
                <w:noProof/>
                <w:sz w:val="20"/>
                <w:szCs w:val="20"/>
              </w:rPr>
            </w:pPr>
          </w:p>
        </w:tc>
        <w:tc>
          <w:tcPr>
            <w:tcW w:w="2264" w:type="dxa"/>
            <w:shd w:val="clear" w:color="auto" w:fill="D9D9D9" w:themeFill="background1" w:themeFillShade="D9"/>
          </w:tcPr>
          <w:p w14:paraId="4F846E8B" w14:textId="77777777" w:rsidR="000A7D9D" w:rsidRPr="007F38F4" w:rsidRDefault="000A7D9D" w:rsidP="00F31937">
            <w:pPr>
              <w:pStyle w:val="BodyText"/>
              <w:tabs>
                <w:tab w:val="left" w:pos="4170"/>
              </w:tabs>
              <w:spacing w:after="0"/>
              <w:rPr>
                <w:rFonts w:eastAsiaTheme="minorEastAsia"/>
                <w:noProof/>
                <w:sz w:val="20"/>
                <w:szCs w:val="20"/>
              </w:rPr>
            </w:pPr>
          </w:p>
        </w:tc>
      </w:tr>
      <w:tr w:rsidR="000A7D9D" w14:paraId="31215DCA" w14:textId="77777777" w:rsidTr="00F31937">
        <w:trPr>
          <w:trHeight w:val="300"/>
        </w:trPr>
        <w:tc>
          <w:tcPr>
            <w:tcW w:w="1035" w:type="dxa"/>
            <w:vMerge w:val="restart"/>
            <w:shd w:val="clear" w:color="auto" w:fill="D9D9D9" w:themeFill="background1" w:themeFillShade="D9"/>
          </w:tcPr>
          <w:p w14:paraId="3BF2CD92" w14:textId="77777777" w:rsidR="000A7D9D" w:rsidRPr="007F38F4" w:rsidRDefault="000A7D9D" w:rsidP="00F31937">
            <w:pPr>
              <w:pStyle w:val="BodyText"/>
              <w:rPr>
                <w:rFonts w:eastAsiaTheme="minorEastAsia"/>
                <w:noProof/>
                <w:sz w:val="20"/>
                <w:szCs w:val="20"/>
              </w:rPr>
            </w:pPr>
            <w:r w:rsidRPr="007F38F4">
              <w:rPr>
                <w:rFonts w:eastAsiaTheme="minorEastAsia"/>
                <w:noProof/>
                <w:sz w:val="20"/>
                <w:szCs w:val="20"/>
              </w:rPr>
              <w:t>ECHA</w:t>
            </w:r>
          </w:p>
        </w:tc>
        <w:tc>
          <w:tcPr>
            <w:tcW w:w="3510" w:type="dxa"/>
            <w:vMerge w:val="restart"/>
            <w:shd w:val="clear" w:color="auto" w:fill="D9D9D9" w:themeFill="background1" w:themeFillShade="D9"/>
          </w:tcPr>
          <w:p w14:paraId="6CC52E55" w14:textId="77777777" w:rsidR="000A7D9D" w:rsidRPr="007F38F4" w:rsidRDefault="000A7D9D" w:rsidP="00F31937">
            <w:pPr>
              <w:rPr>
                <w:noProof/>
                <w:lang w:val="en-US"/>
              </w:rPr>
            </w:pPr>
            <w:r w:rsidRPr="13AEFEEB">
              <w:rPr>
                <w:rFonts w:eastAsiaTheme="majorEastAsia"/>
                <w:noProof/>
                <w:lang w:val="en-US"/>
              </w:rPr>
              <w:t>Database on environmental sustainability related data – developing, maintaining the system, periodically updating the database</w:t>
            </w:r>
          </w:p>
        </w:tc>
        <w:tc>
          <w:tcPr>
            <w:tcW w:w="2820" w:type="dxa"/>
            <w:shd w:val="clear" w:color="auto" w:fill="D9D9D9" w:themeFill="background1" w:themeFillShade="D9"/>
          </w:tcPr>
          <w:p w14:paraId="638F59FA" w14:textId="77777777" w:rsidR="000A7D9D" w:rsidRPr="007F38F4" w:rsidRDefault="000A7D9D" w:rsidP="00F31937">
            <w:pPr>
              <w:pStyle w:val="BodyText"/>
              <w:tabs>
                <w:tab w:val="left" w:pos="4170"/>
              </w:tabs>
              <w:rPr>
                <w:rFonts w:eastAsiaTheme="minorEastAsia"/>
                <w:noProof/>
                <w:sz w:val="20"/>
                <w:szCs w:val="20"/>
              </w:rPr>
            </w:pPr>
            <w:r w:rsidRPr="007F38F4">
              <w:rPr>
                <w:rFonts w:eastAsiaTheme="minorEastAsia"/>
                <w:noProof/>
                <w:sz w:val="20"/>
                <w:szCs w:val="20"/>
              </w:rPr>
              <w:t>Financial resource needs:</w:t>
            </w:r>
          </w:p>
        </w:tc>
        <w:tc>
          <w:tcPr>
            <w:tcW w:w="2264" w:type="dxa"/>
            <w:shd w:val="clear" w:color="auto" w:fill="D9D9D9" w:themeFill="background1" w:themeFillShade="D9"/>
          </w:tcPr>
          <w:p w14:paraId="0D7BC9A1" w14:textId="77777777" w:rsidR="000A7D9D" w:rsidRPr="007F38F4" w:rsidRDefault="000A7D9D" w:rsidP="00F31937">
            <w:pPr>
              <w:pStyle w:val="BodyText"/>
              <w:tabs>
                <w:tab w:val="left" w:pos="4170"/>
              </w:tabs>
              <w:spacing w:after="0"/>
              <w:rPr>
                <w:rFonts w:eastAsiaTheme="minorEastAsia"/>
                <w:noProof/>
                <w:sz w:val="20"/>
                <w:szCs w:val="20"/>
              </w:rPr>
            </w:pPr>
            <w:r w:rsidRPr="007F38F4">
              <w:rPr>
                <w:rFonts w:eastAsiaTheme="minorEastAsia"/>
                <w:noProof/>
                <w:sz w:val="20"/>
                <w:szCs w:val="20"/>
              </w:rPr>
              <w:t xml:space="preserve">2025: </w:t>
            </w:r>
            <w:r w:rsidRPr="00E45E8F">
              <w:rPr>
                <w:rFonts w:eastAsiaTheme="minorEastAsia"/>
                <w:b/>
                <w:noProof/>
                <w:sz w:val="20"/>
                <w:szCs w:val="20"/>
              </w:rPr>
              <w:t>EUR 0</w:t>
            </w:r>
          </w:p>
          <w:p w14:paraId="60F2D7FD" w14:textId="77777777" w:rsidR="000A7D9D" w:rsidRPr="007F38F4" w:rsidRDefault="000A7D9D" w:rsidP="00F31937">
            <w:pPr>
              <w:pStyle w:val="BodyText"/>
              <w:tabs>
                <w:tab w:val="left" w:pos="4170"/>
              </w:tabs>
              <w:spacing w:after="0"/>
              <w:rPr>
                <w:rFonts w:eastAsiaTheme="minorEastAsia"/>
                <w:noProof/>
                <w:sz w:val="20"/>
                <w:szCs w:val="20"/>
              </w:rPr>
            </w:pPr>
            <w:r w:rsidRPr="007F38F4">
              <w:rPr>
                <w:rFonts w:eastAsiaTheme="minorEastAsia"/>
                <w:noProof/>
                <w:sz w:val="20"/>
                <w:szCs w:val="20"/>
              </w:rPr>
              <w:t xml:space="preserve">2026: </w:t>
            </w:r>
            <w:r w:rsidRPr="00E45E8F">
              <w:rPr>
                <w:rFonts w:eastAsiaTheme="minorEastAsia"/>
                <w:b/>
                <w:noProof/>
                <w:sz w:val="20"/>
                <w:szCs w:val="20"/>
              </w:rPr>
              <w:t>EUR 0</w:t>
            </w:r>
          </w:p>
          <w:p w14:paraId="5F54EF15" w14:textId="77777777" w:rsidR="000A7D9D" w:rsidRDefault="000A7D9D" w:rsidP="00F31937">
            <w:pPr>
              <w:pStyle w:val="BodyText"/>
              <w:tabs>
                <w:tab w:val="left" w:pos="4170"/>
              </w:tabs>
              <w:spacing w:after="0"/>
              <w:rPr>
                <w:rFonts w:eastAsiaTheme="minorEastAsia"/>
                <w:b/>
                <w:bCs/>
                <w:noProof/>
                <w:sz w:val="20"/>
                <w:szCs w:val="20"/>
              </w:rPr>
            </w:pPr>
            <w:r w:rsidRPr="007F38F4">
              <w:rPr>
                <w:rFonts w:eastAsiaTheme="minorEastAsia"/>
                <w:noProof/>
                <w:sz w:val="20"/>
                <w:szCs w:val="20"/>
              </w:rPr>
              <w:t xml:space="preserve">2027: </w:t>
            </w:r>
            <w:r w:rsidRPr="00E45E8F">
              <w:rPr>
                <w:rFonts w:eastAsiaTheme="minorEastAsia"/>
                <w:b/>
                <w:noProof/>
                <w:sz w:val="20"/>
                <w:szCs w:val="20"/>
              </w:rPr>
              <w:t xml:space="preserve">EUR </w:t>
            </w:r>
            <w:r w:rsidRPr="00E45E8F">
              <w:rPr>
                <w:rFonts w:eastAsiaTheme="minorEastAsia"/>
                <w:b/>
                <w:bCs/>
                <w:noProof/>
                <w:sz w:val="20"/>
                <w:szCs w:val="20"/>
              </w:rPr>
              <w:t>0</w:t>
            </w:r>
          </w:p>
          <w:p w14:paraId="5864E13A" w14:textId="77777777" w:rsidR="000A7D9D" w:rsidRPr="007F38F4" w:rsidRDefault="000A7D9D" w:rsidP="00F31937">
            <w:pPr>
              <w:pStyle w:val="BodyText"/>
              <w:tabs>
                <w:tab w:val="left" w:pos="4170"/>
              </w:tabs>
              <w:spacing w:after="0"/>
              <w:rPr>
                <w:rFonts w:eastAsiaTheme="minorEastAsia"/>
                <w:noProof/>
                <w:sz w:val="20"/>
                <w:szCs w:val="20"/>
              </w:rPr>
            </w:pPr>
            <w:r w:rsidRPr="00E45E8F">
              <w:rPr>
                <w:rFonts w:eastAsiaTheme="minorEastAsia"/>
                <w:bCs/>
                <w:noProof/>
                <w:sz w:val="20"/>
                <w:szCs w:val="20"/>
              </w:rPr>
              <w:t>2028:</w:t>
            </w:r>
            <w:r>
              <w:rPr>
                <w:rFonts w:eastAsiaTheme="minorEastAsia"/>
                <w:b/>
                <w:bCs/>
                <w:noProof/>
                <w:sz w:val="20"/>
                <w:szCs w:val="20"/>
              </w:rPr>
              <w:t xml:space="preserve"> EUR 0</w:t>
            </w:r>
          </w:p>
        </w:tc>
      </w:tr>
      <w:tr w:rsidR="000A7D9D" w:rsidRPr="0042760F" w14:paraId="462986DB" w14:textId="77777777" w:rsidTr="00F31937">
        <w:trPr>
          <w:trHeight w:val="300"/>
        </w:trPr>
        <w:tc>
          <w:tcPr>
            <w:tcW w:w="1035" w:type="dxa"/>
            <w:vMerge/>
            <w:shd w:val="clear" w:color="auto" w:fill="D9D9D9" w:themeFill="background1" w:themeFillShade="D9"/>
          </w:tcPr>
          <w:p w14:paraId="6817E18D" w14:textId="77777777" w:rsidR="000A7D9D" w:rsidRPr="007F38F4" w:rsidRDefault="000A7D9D" w:rsidP="00F31937">
            <w:pPr>
              <w:pStyle w:val="BodyText"/>
              <w:rPr>
                <w:rFonts w:eastAsiaTheme="minorEastAsia"/>
                <w:noProof/>
                <w:sz w:val="20"/>
                <w:szCs w:val="20"/>
              </w:rPr>
            </w:pPr>
          </w:p>
        </w:tc>
        <w:tc>
          <w:tcPr>
            <w:tcW w:w="3510" w:type="dxa"/>
            <w:vMerge/>
            <w:shd w:val="clear" w:color="auto" w:fill="D9D9D9" w:themeFill="background1" w:themeFillShade="D9"/>
          </w:tcPr>
          <w:p w14:paraId="7734CFE3" w14:textId="77777777" w:rsidR="000A7D9D" w:rsidRPr="007F38F4" w:rsidRDefault="000A7D9D" w:rsidP="00F31937">
            <w:pPr>
              <w:pStyle w:val="BodyText"/>
              <w:rPr>
                <w:rFonts w:eastAsiaTheme="minorEastAsia"/>
                <w:noProof/>
                <w:sz w:val="20"/>
                <w:szCs w:val="20"/>
              </w:rPr>
            </w:pPr>
          </w:p>
        </w:tc>
        <w:tc>
          <w:tcPr>
            <w:tcW w:w="2820" w:type="dxa"/>
            <w:shd w:val="clear" w:color="auto" w:fill="D9D9D9" w:themeFill="background1" w:themeFillShade="D9"/>
          </w:tcPr>
          <w:p w14:paraId="4018265C" w14:textId="77777777" w:rsidR="000A7D9D" w:rsidRPr="007F38F4" w:rsidRDefault="000A7D9D" w:rsidP="00F31937">
            <w:pPr>
              <w:pStyle w:val="BodyText"/>
              <w:tabs>
                <w:tab w:val="left" w:pos="4170"/>
              </w:tabs>
              <w:rPr>
                <w:rFonts w:eastAsiaTheme="minorEastAsia"/>
                <w:noProof/>
                <w:sz w:val="20"/>
                <w:szCs w:val="20"/>
              </w:rPr>
            </w:pPr>
            <w:r w:rsidRPr="007F38F4">
              <w:rPr>
                <w:rFonts w:eastAsiaTheme="minorEastAsia"/>
                <w:noProof/>
                <w:sz w:val="20"/>
                <w:szCs w:val="20"/>
              </w:rPr>
              <w:t>Human resource needs:</w:t>
            </w:r>
          </w:p>
        </w:tc>
        <w:tc>
          <w:tcPr>
            <w:tcW w:w="2264" w:type="dxa"/>
            <w:shd w:val="clear" w:color="auto" w:fill="D9D9D9" w:themeFill="background1" w:themeFillShade="D9"/>
          </w:tcPr>
          <w:p w14:paraId="79846AAA" w14:textId="77777777" w:rsidR="000A7D9D" w:rsidRPr="007F38F4" w:rsidRDefault="000A7D9D" w:rsidP="00F31937">
            <w:pPr>
              <w:pStyle w:val="BodyText"/>
              <w:tabs>
                <w:tab w:val="left" w:pos="4170"/>
              </w:tabs>
              <w:spacing w:after="0"/>
              <w:rPr>
                <w:rFonts w:eastAsiaTheme="minorEastAsia"/>
                <w:b/>
                <w:noProof/>
                <w:sz w:val="20"/>
                <w:szCs w:val="20"/>
                <w:lang w:val="fr-BE"/>
              </w:rPr>
            </w:pPr>
            <w:r w:rsidRPr="007F38F4">
              <w:rPr>
                <w:rFonts w:eastAsiaTheme="minorEastAsia"/>
                <w:noProof/>
                <w:sz w:val="20"/>
                <w:szCs w:val="20"/>
                <w:lang w:val="fr-BE"/>
              </w:rPr>
              <w:t xml:space="preserve">2025:  </w:t>
            </w:r>
            <w:r w:rsidRPr="007F38F4">
              <w:rPr>
                <w:rFonts w:eastAsiaTheme="minorEastAsia"/>
                <w:b/>
                <w:noProof/>
                <w:sz w:val="20"/>
                <w:szCs w:val="20"/>
                <w:lang w:val="fr-BE"/>
              </w:rPr>
              <w:t>1 TA, 0 CAs</w:t>
            </w:r>
          </w:p>
          <w:p w14:paraId="67FCF464" w14:textId="77777777" w:rsidR="000A7D9D" w:rsidRPr="007F38F4" w:rsidRDefault="000A7D9D" w:rsidP="00F31937">
            <w:pPr>
              <w:pStyle w:val="BodyText"/>
              <w:tabs>
                <w:tab w:val="left" w:pos="4170"/>
              </w:tabs>
              <w:spacing w:after="0"/>
              <w:rPr>
                <w:rFonts w:eastAsiaTheme="minorEastAsia"/>
                <w:b/>
                <w:noProof/>
                <w:sz w:val="20"/>
                <w:szCs w:val="20"/>
                <w:lang w:val="fr-BE"/>
              </w:rPr>
            </w:pPr>
            <w:r w:rsidRPr="007F38F4">
              <w:rPr>
                <w:rFonts w:eastAsiaTheme="minorEastAsia"/>
                <w:noProof/>
                <w:sz w:val="20"/>
                <w:szCs w:val="20"/>
                <w:lang w:val="fr-BE"/>
              </w:rPr>
              <w:t xml:space="preserve">2026:  </w:t>
            </w:r>
            <w:r w:rsidRPr="007F38F4">
              <w:rPr>
                <w:rFonts w:eastAsiaTheme="minorEastAsia"/>
                <w:b/>
                <w:noProof/>
                <w:sz w:val="20"/>
                <w:szCs w:val="20"/>
                <w:lang w:val="fr-BE"/>
              </w:rPr>
              <w:t>1 TA, 0 CAs</w:t>
            </w:r>
          </w:p>
          <w:p w14:paraId="6E388B40" w14:textId="77777777" w:rsidR="000A7D9D" w:rsidRDefault="000A7D9D" w:rsidP="00F31937">
            <w:pPr>
              <w:pStyle w:val="BodyText"/>
              <w:tabs>
                <w:tab w:val="left" w:pos="4170"/>
              </w:tabs>
              <w:spacing w:after="0"/>
              <w:rPr>
                <w:rFonts w:eastAsiaTheme="minorEastAsia"/>
                <w:b/>
                <w:noProof/>
                <w:sz w:val="20"/>
                <w:szCs w:val="20"/>
                <w:lang w:val="fr-BE"/>
              </w:rPr>
            </w:pPr>
            <w:r w:rsidRPr="007F38F4">
              <w:rPr>
                <w:rFonts w:eastAsiaTheme="minorEastAsia"/>
                <w:noProof/>
                <w:sz w:val="20"/>
                <w:szCs w:val="20"/>
                <w:lang w:val="fr-BE"/>
              </w:rPr>
              <w:t xml:space="preserve">2027:  </w:t>
            </w:r>
            <w:r w:rsidRPr="007F38F4">
              <w:rPr>
                <w:rFonts w:eastAsiaTheme="minorEastAsia"/>
                <w:b/>
                <w:noProof/>
                <w:sz w:val="20"/>
                <w:szCs w:val="20"/>
                <w:lang w:val="fr-BE"/>
              </w:rPr>
              <w:t>1 TA, 0 C</w:t>
            </w:r>
            <w:r>
              <w:rPr>
                <w:rFonts w:eastAsiaTheme="minorEastAsia"/>
                <w:b/>
                <w:noProof/>
                <w:sz w:val="20"/>
                <w:szCs w:val="20"/>
                <w:lang w:val="fr-BE"/>
              </w:rPr>
              <w:t>A</w:t>
            </w:r>
            <w:r w:rsidRPr="007F38F4">
              <w:rPr>
                <w:rFonts w:eastAsiaTheme="minorEastAsia"/>
                <w:b/>
                <w:noProof/>
                <w:sz w:val="20"/>
                <w:szCs w:val="20"/>
                <w:lang w:val="fr-BE"/>
              </w:rPr>
              <w:t>s</w:t>
            </w:r>
          </w:p>
          <w:p w14:paraId="0A42F7CF" w14:textId="77777777" w:rsidR="000A7D9D" w:rsidRPr="007F38F4" w:rsidRDefault="000A7D9D" w:rsidP="00F31937">
            <w:pPr>
              <w:pStyle w:val="BodyText"/>
              <w:tabs>
                <w:tab w:val="left" w:pos="4170"/>
              </w:tabs>
              <w:spacing w:after="0"/>
              <w:rPr>
                <w:rFonts w:eastAsiaTheme="minorEastAsia"/>
                <w:b/>
                <w:noProof/>
                <w:sz w:val="20"/>
                <w:szCs w:val="20"/>
                <w:lang w:val="fr-BE"/>
              </w:rPr>
            </w:pPr>
            <w:r w:rsidRPr="00E45E8F">
              <w:rPr>
                <w:rFonts w:eastAsiaTheme="minorEastAsia"/>
                <w:noProof/>
                <w:sz w:val="20"/>
                <w:szCs w:val="20"/>
                <w:lang w:val="fr-BE"/>
              </w:rPr>
              <w:t>2028:</w:t>
            </w:r>
            <w:r>
              <w:rPr>
                <w:rFonts w:eastAsiaTheme="minorEastAsia"/>
                <w:b/>
                <w:noProof/>
                <w:sz w:val="20"/>
                <w:szCs w:val="20"/>
                <w:lang w:val="fr-BE"/>
              </w:rPr>
              <w:t xml:space="preserve">  1 TA, 0 CAs </w:t>
            </w:r>
          </w:p>
        </w:tc>
      </w:tr>
    </w:tbl>
    <w:p w14:paraId="4227646A" w14:textId="77777777" w:rsidR="000A7D9D" w:rsidRDefault="000A7D9D" w:rsidP="000A7D9D">
      <w:pPr>
        <w:pStyle w:val="BodyText"/>
        <w:rPr>
          <w:noProof/>
        </w:rPr>
      </w:pPr>
      <w:r w:rsidRPr="4BD9788E">
        <w:rPr>
          <w:noProof/>
          <w:u w:val="single"/>
        </w:rPr>
        <w:t>Future budget line:</w:t>
      </w:r>
      <w:r>
        <w:rPr>
          <w:noProof/>
        </w:rPr>
        <w:t xml:space="preserve"> DG ENV</w:t>
      </w:r>
    </w:p>
    <w:p w14:paraId="7C43FCB6" w14:textId="77777777" w:rsidR="000A7D9D" w:rsidRDefault="000A7D9D" w:rsidP="000A7D9D">
      <w:pPr>
        <w:pStyle w:val="BodyText"/>
        <w:rPr>
          <w:noProof/>
        </w:rPr>
      </w:pPr>
      <w:r w:rsidRPr="4BD9788E">
        <w:rPr>
          <w:noProof/>
          <w:u w:val="single"/>
        </w:rPr>
        <w:t>Candidate for fees:</w:t>
      </w:r>
      <w:r>
        <w:rPr>
          <w:noProof/>
        </w:rPr>
        <w:t xml:space="preserve"> No</w:t>
      </w:r>
    </w:p>
    <w:p w14:paraId="5742D9E3" w14:textId="77777777" w:rsidR="000A7D9D" w:rsidRDefault="000A7D9D" w:rsidP="000A7D9D">
      <w:pPr>
        <w:pStyle w:val="BodyText"/>
        <w:rPr>
          <w:noProof/>
          <w:lang w:eastAsia="fi-FI"/>
        </w:rPr>
      </w:pPr>
    </w:p>
    <w:p w14:paraId="3AADB866"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79" w:name="_Toc150499944"/>
      <w:r w:rsidRPr="00291F95">
        <w:rPr>
          <w:rFonts w:ascii="Times New Roman" w:hAnsi="Times New Roman"/>
          <w:smallCaps/>
          <w:noProof/>
          <w:color w:val="auto"/>
          <w:sz w:val="24"/>
          <w:szCs w:val="20"/>
          <w:lang w:eastAsia="en-US"/>
        </w:rPr>
        <w:t>Mechanism for initiating testing and monitoring</w:t>
      </w:r>
      <w:bookmarkEnd w:id="79"/>
    </w:p>
    <w:p w14:paraId="35880037" w14:textId="77777777" w:rsidR="000A7D9D" w:rsidRPr="007F38F4" w:rsidRDefault="000A7D9D" w:rsidP="000A7D9D">
      <w:pPr>
        <w:spacing w:after="120"/>
        <w:rPr>
          <w:rFonts w:ascii="Times New Roman" w:hAnsi="Times New Roman" w:cs="Times New Roman"/>
          <w:b/>
          <w:bCs/>
          <w:noProof/>
          <w:sz w:val="24"/>
          <w:szCs w:val="24"/>
        </w:rPr>
      </w:pPr>
      <w:r w:rsidRPr="007F38F4">
        <w:rPr>
          <w:rFonts w:ascii="Times New Roman" w:hAnsi="Times New Roman" w:cs="Times New Roman"/>
          <w:b/>
          <w:bCs/>
          <w:noProof/>
          <w:sz w:val="24"/>
          <w:szCs w:val="24"/>
        </w:rPr>
        <w:t>Responsible body:</w:t>
      </w:r>
    </w:p>
    <w:p w14:paraId="3D7D0BAE" w14:textId="77777777" w:rsidR="000A7D9D" w:rsidRPr="007F38F4" w:rsidRDefault="000A7D9D" w:rsidP="000A7D9D">
      <w:pPr>
        <w:spacing w:after="120"/>
        <w:rPr>
          <w:rFonts w:ascii="Times New Roman" w:hAnsi="Times New Roman" w:cs="Times New Roman"/>
          <w:noProof/>
          <w:sz w:val="24"/>
          <w:szCs w:val="24"/>
        </w:rPr>
      </w:pPr>
      <w:r w:rsidRPr="13AEFEEB">
        <w:rPr>
          <w:rFonts w:ascii="Times New Roman" w:hAnsi="Times New Roman" w:cs="Times New Roman"/>
          <w:noProof/>
          <w:sz w:val="24"/>
          <w:szCs w:val="24"/>
          <w:u w:val="single"/>
        </w:rPr>
        <w:t>Currently:</w:t>
      </w:r>
      <w:r w:rsidRPr="13AEFEEB">
        <w:rPr>
          <w:rFonts w:ascii="Times New Roman" w:hAnsi="Times New Roman" w:cs="Times New Roman"/>
          <w:noProof/>
          <w:sz w:val="24"/>
          <w:szCs w:val="24"/>
        </w:rPr>
        <w:t xml:space="preserve"> EFSA, no current process exists beyond the food sector</w:t>
      </w:r>
    </w:p>
    <w:p w14:paraId="0135F9EA" w14:textId="77777777" w:rsidR="000A7D9D" w:rsidRPr="007F38F4" w:rsidRDefault="000A7D9D" w:rsidP="000A7D9D">
      <w:pPr>
        <w:spacing w:after="120"/>
        <w:jc w:val="both"/>
        <w:rPr>
          <w:rFonts w:ascii="Times New Roman" w:hAnsi="Times New Roman" w:cs="Times New Roman"/>
          <w:noProof/>
          <w:sz w:val="24"/>
          <w:szCs w:val="24"/>
        </w:rPr>
      </w:pPr>
      <w:r w:rsidRPr="13AEFEEB">
        <w:rPr>
          <w:rFonts w:ascii="Times New Roman" w:hAnsi="Times New Roman" w:cs="Times New Roman"/>
          <w:noProof/>
          <w:sz w:val="24"/>
          <w:szCs w:val="24"/>
          <w:u w:val="single"/>
        </w:rPr>
        <w:t>(Re-)attribution planned to:</w:t>
      </w:r>
      <w:r w:rsidRPr="13AEFEEB">
        <w:rPr>
          <w:rFonts w:ascii="Times New Roman" w:hAnsi="Times New Roman" w:cs="Times New Roman"/>
          <w:noProof/>
          <w:sz w:val="24"/>
          <w:szCs w:val="24"/>
        </w:rPr>
        <w:t xml:space="preserve"> EFSA (as it is currently) and ECHA (for the new process for the chemical sector beyond chemicals covered by the General Food Law)</w:t>
      </w:r>
    </w:p>
    <w:p w14:paraId="0EC14879" w14:textId="77777777" w:rsidR="000A7D9D" w:rsidRDefault="000A7D9D" w:rsidP="000A7D9D">
      <w:pPr>
        <w:spacing w:after="120"/>
        <w:jc w:val="both"/>
        <w:rPr>
          <w:rFonts w:ascii="Times New Roman" w:hAnsi="Times New Roman" w:cs="Times New Roman"/>
          <w:noProof/>
          <w:sz w:val="24"/>
          <w:szCs w:val="24"/>
        </w:rPr>
      </w:pPr>
      <w:r w:rsidRPr="00D84259">
        <w:rPr>
          <w:rFonts w:ascii="Times New Roman" w:hAnsi="Times New Roman" w:cs="Times New Roman"/>
          <w:b/>
          <w:bCs/>
          <w:noProof/>
        </w:rPr>
        <w:t xml:space="preserve">Legal basis for reattribution: </w:t>
      </w:r>
      <w:r w:rsidRPr="00D84259">
        <w:rPr>
          <w:rFonts w:ascii="Times New Roman" w:hAnsi="Times New Roman" w:cs="Times New Roman"/>
          <w:noProof/>
          <w:sz w:val="24"/>
          <w:szCs w:val="24"/>
        </w:rPr>
        <w:t xml:space="preserve"> Proposal for</w:t>
      </w:r>
      <w:r w:rsidRPr="13AEFEEB">
        <w:rPr>
          <w:rFonts w:ascii="Times New Roman" w:hAnsi="Times New Roman" w:cs="Times New Roman"/>
          <w:noProof/>
          <w:sz w:val="24"/>
          <w:szCs w:val="24"/>
        </w:rPr>
        <w:t xml:space="preserve"> a regulation of the European Parliament and of the Council establishing a common data platform on chemicals, laying down rules to ensure that the data contained in it are findable, accessible, interoperable and reusable and establishing a monitoring and outlook framework for chemicals</w:t>
      </w:r>
      <w:r>
        <w:rPr>
          <w:rFonts w:ascii="Times New Roman" w:hAnsi="Times New Roman" w:cs="Times New Roman"/>
          <w:noProof/>
          <w:sz w:val="24"/>
          <w:szCs w:val="24"/>
        </w:rPr>
        <w:t xml:space="preserve">. </w:t>
      </w:r>
    </w:p>
    <w:p w14:paraId="280601DB"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b/>
          <w:bCs/>
          <w:noProof/>
          <w:sz w:val="24"/>
          <w:szCs w:val="24"/>
        </w:rPr>
        <w:t xml:space="preserve">Type of task: </w:t>
      </w:r>
      <w:r w:rsidRPr="007F38F4">
        <w:rPr>
          <w:rFonts w:ascii="Times New Roman" w:hAnsi="Times New Roman" w:cs="Times New Roman"/>
          <w:noProof/>
          <w:sz w:val="24"/>
          <w:szCs w:val="24"/>
        </w:rPr>
        <w:t>new</w:t>
      </w:r>
    </w:p>
    <w:p w14:paraId="098200DF" w14:textId="77777777" w:rsidR="000A7D9D" w:rsidRPr="007F38F4" w:rsidRDefault="000A7D9D" w:rsidP="000A7D9D">
      <w:pPr>
        <w:pStyle w:val="BodyText"/>
        <w:jc w:val="both"/>
        <w:rPr>
          <w:b/>
          <w:bCs/>
          <w:noProof/>
        </w:rPr>
      </w:pPr>
      <w:r w:rsidRPr="13AEFEEB">
        <w:rPr>
          <w:b/>
          <w:bCs/>
          <w:noProof/>
        </w:rPr>
        <w:t xml:space="preserve">Brief task overview: </w:t>
      </w:r>
      <w:r>
        <w:rPr>
          <w:noProof/>
        </w:rPr>
        <w:t>Commissioning scientific studies supporting the implementation and evaluation of legislation within the mandate of ECHA</w:t>
      </w:r>
    </w:p>
    <w:p w14:paraId="5B681FB9" w14:textId="77777777" w:rsidR="000A7D9D" w:rsidRPr="007F38F4" w:rsidRDefault="000A7D9D" w:rsidP="000A7D9D">
      <w:pPr>
        <w:pStyle w:val="BodyText"/>
        <w:rPr>
          <w:b/>
          <w:bCs/>
          <w:noProof/>
          <w:lang w:val="en-US" w:eastAsia="en-GB"/>
        </w:rPr>
      </w:pPr>
      <w:r w:rsidRPr="007F38F4">
        <w:rPr>
          <w:b/>
          <w:bCs/>
          <w:noProof/>
          <w:lang w:val="en-US" w:eastAsia="en-GB"/>
        </w:rPr>
        <w:t xml:space="preserve">Detailed process description: </w:t>
      </w:r>
    </w:p>
    <w:p w14:paraId="4495E0F3" w14:textId="77777777" w:rsidR="000A7D9D" w:rsidRPr="007F38F4" w:rsidRDefault="000A7D9D" w:rsidP="000A7D9D">
      <w:pPr>
        <w:pStyle w:val="BodyText"/>
        <w:rPr>
          <w:noProof/>
          <w:u w:val="single"/>
          <w:lang w:val="en-US" w:eastAsia="en-GB"/>
        </w:rPr>
      </w:pPr>
      <w:r w:rsidRPr="007F38F4">
        <w:rPr>
          <w:noProof/>
          <w:u w:val="single"/>
          <w:lang w:val="en-US" w:eastAsia="en-GB"/>
        </w:rPr>
        <w:t>Current process:</w:t>
      </w:r>
      <w:r w:rsidRPr="007F38F4">
        <w:rPr>
          <w:noProof/>
          <w:lang w:val="en-US" w:eastAsia="en-GB"/>
        </w:rPr>
        <w:t xml:space="preserve"> </w:t>
      </w:r>
    </w:p>
    <w:p w14:paraId="44E39940" w14:textId="77777777" w:rsidR="000A7D9D" w:rsidRPr="007F38F4" w:rsidRDefault="000A7D9D" w:rsidP="000A7D9D">
      <w:pPr>
        <w:pStyle w:val="BodyText"/>
        <w:jc w:val="both"/>
        <w:rPr>
          <w:noProof/>
        </w:rPr>
      </w:pPr>
      <w:r>
        <w:rPr>
          <w:noProof/>
        </w:rPr>
        <w:t xml:space="preserve">Pursuant to the </w:t>
      </w:r>
      <w:r w:rsidRPr="00AA32B4">
        <w:rPr>
          <w:noProof/>
        </w:rPr>
        <w:t>Transparency Regulation</w:t>
      </w:r>
      <w:r>
        <w:rPr>
          <w:rStyle w:val="FootnoteReference"/>
          <w:noProof/>
        </w:rPr>
        <w:footnoteReference w:id="59"/>
      </w:r>
      <w:r>
        <w:rPr>
          <w:noProof/>
        </w:rPr>
        <w:t xml:space="preserve">, the Commission, in exceptional circumstances of serious controversies or conflicting results, may request EFSA to commission scientific studies with the objective of verifying evidence used in its risk assessment process. The studies commissioned may have a wider scope than the evidence subject to verification. </w:t>
      </w:r>
    </w:p>
    <w:p w14:paraId="6A7B1752" w14:textId="77777777" w:rsidR="000A7D9D" w:rsidRPr="007F38F4" w:rsidRDefault="000A7D9D" w:rsidP="000A7D9D">
      <w:pPr>
        <w:pStyle w:val="BodyText"/>
        <w:jc w:val="both"/>
        <w:rPr>
          <w:noProof/>
        </w:rPr>
      </w:pPr>
      <w:r>
        <w:rPr>
          <w:noProof/>
        </w:rPr>
        <w:t xml:space="preserve">At the same time, pursuant to Article 32 of the </w:t>
      </w:r>
      <w:r w:rsidRPr="00AA32B4">
        <w:rPr>
          <w:noProof/>
        </w:rPr>
        <w:t>General Food Law</w:t>
      </w:r>
      <w:r w:rsidRPr="00AA32B4">
        <w:rPr>
          <w:rStyle w:val="FootnoteReference"/>
          <w:noProof/>
        </w:rPr>
        <w:footnoteReference w:id="60"/>
      </w:r>
      <w:r>
        <w:rPr>
          <w:noProof/>
        </w:rPr>
        <w:t>, EFSA, using the best independent scientific resources available, shall commission scientific studies necessary for the performance of its mission. Such studies shall be commissioned in an open and transparent fashion and EFSA shall seek to avoid duplication with Member State or Community research programmes and shall foster cooperation through appropriate coordination.</w:t>
      </w:r>
    </w:p>
    <w:p w14:paraId="0F3A9449" w14:textId="77777777" w:rsidR="000A7D9D" w:rsidRPr="007F38F4" w:rsidRDefault="000A7D9D" w:rsidP="000A7D9D">
      <w:pPr>
        <w:pStyle w:val="BodyText"/>
        <w:jc w:val="both"/>
        <w:rPr>
          <w:noProof/>
        </w:rPr>
      </w:pPr>
      <w:r>
        <w:rPr>
          <w:noProof/>
        </w:rPr>
        <w:t>EFSA implements this latter obligation through regular commissioning of scientific studies managed by the Science Studies and Project Identification and Development Office (SPIDO). The goals of these projects are:</w:t>
      </w:r>
    </w:p>
    <w:p w14:paraId="555772C9" w14:textId="77777777" w:rsidR="000A7D9D" w:rsidRPr="007F38F4" w:rsidRDefault="000A7D9D" w:rsidP="000A7D9D">
      <w:pPr>
        <w:pStyle w:val="BodyText"/>
        <w:widowControl w:val="0"/>
        <w:numPr>
          <w:ilvl w:val="0"/>
          <w:numId w:val="122"/>
        </w:numPr>
        <w:jc w:val="both"/>
        <w:rPr>
          <w:noProof/>
        </w:rPr>
      </w:pPr>
      <w:r w:rsidRPr="007F38F4">
        <w:rPr>
          <w:noProof/>
        </w:rPr>
        <w:t>Enhance EFSA’s capacity to identify studies/projects benefitting regulatory processes/science</w:t>
      </w:r>
    </w:p>
    <w:p w14:paraId="16DB60B0" w14:textId="77777777" w:rsidR="000A7D9D" w:rsidRPr="007F38F4" w:rsidRDefault="000A7D9D" w:rsidP="000A7D9D">
      <w:pPr>
        <w:pStyle w:val="BodyText"/>
        <w:widowControl w:val="0"/>
        <w:numPr>
          <w:ilvl w:val="0"/>
          <w:numId w:val="122"/>
        </w:numPr>
        <w:jc w:val="both"/>
        <w:rPr>
          <w:noProof/>
        </w:rPr>
      </w:pPr>
      <w:r w:rsidRPr="007F38F4">
        <w:rPr>
          <w:noProof/>
        </w:rPr>
        <w:t>Fill knowledge gaps to ensure preparedness for:</w:t>
      </w:r>
    </w:p>
    <w:p w14:paraId="79190757" w14:textId="77777777" w:rsidR="000A7D9D" w:rsidRPr="007F38F4" w:rsidRDefault="000A7D9D" w:rsidP="000A7D9D">
      <w:pPr>
        <w:pStyle w:val="BodyText"/>
        <w:widowControl w:val="0"/>
        <w:numPr>
          <w:ilvl w:val="1"/>
          <w:numId w:val="122"/>
        </w:numPr>
        <w:jc w:val="both"/>
        <w:rPr>
          <w:noProof/>
        </w:rPr>
      </w:pPr>
      <w:r>
        <w:rPr>
          <w:noProof/>
        </w:rPr>
        <w:t>Possible divergences on sensitive matters (‘verification’ studies)</w:t>
      </w:r>
    </w:p>
    <w:p w14:paraId="503B98C7" w14:textId="77777777" w:rsidR="000A7D9D" w:rsidRPr="007F38F4" w:rsidRDefault="000A7D9D" w:rsidP="000A7D9D">
      <w:pPr>
        <w:pStyle w:val="BodyText"/>
        <w:widowControl w:val="0"/>
        <w:numPr>
          <w:ilvl w:val="1"/>
          <w:numId w:val="122"/>
        </w:numPr>
        <w:jc w:val="both"/>
        <w:rPr>
          <w:noProof/>
        </w:rPr>
      </w:pPr>
      <w:r w:rsidRPr="007F38F4">
        <w:rPr>
          <w:noProof/>
        </w:rPr>
        <w:t>Future risk assessment requirements dues to evolving scientific knowledge and legislation</w:t>
      </w:r>
    </w:p>
    <w:p w14:paraId="1960F405" w14:textId="77777777" w:rsidR="000A7D9D" w:rsidRPr="007F38F4" w:rsidRDefault="000A7D9D" w:rsidP="000A7D9D">
      <w:pPr>
        <w:pStyle w:val="BodyText"/>
        <w:widowControl w:val="0"/>
        <w:numPr>
          <w:ilvl w:val="0"/>
          <w:numId w:val="122"/>
        </w:numPr>
        <w:jc w:val="both"/>
        <w:rPr>
          <w:noProof/>
        </w:rPr>
      </w:pPr>
      <w:r w:rsidRPr="007F38F4">
        <w:rPr>
          <w:noProof/>
        </w:rPr>
        <w:t>Enhance capacity building and build partnerships</w:t>
      </w:r>
    </w:p>
    <w:p w14:paraId="377E229B" w14:textId="77777777" w:rsidR="000A7D9D" w:rsidRPr="007F38F4" w:rsidRDefault="000A7D9D" w:rsidP="000A7D9D">
      <w:pPr>
        <w:pStyle w:val="BodyText"/>
        <w:jc w:val="both"/>
        <w:rPr>
          <w:noProof/>
        </w:rPr>
      </w:pPr>
      <w:r w:rsidRPr="007F38F4">
        <w:rPr>
          <w:noProof/>
        </w:rPr>
        <w:t>If there is a request from the Commission for a verification study, the resources are used for commissioning such study. No request has been received from the Commission</w:t>
      </w:r>
      <w:r>
        <w:rPr>
          <w:noProof/>
        </w:rPr>
        <w:t xml:space="preserve"> so far</w:t>
      </w:r>
      <w:r w:rsidRPr="007F38F4">
        <w:rPr>
          <w:noProof/>
        </w:rPr>
        <w:t xml:space="preserve">. </w:t>
      </w:r>
    </w:p>
    <w:p w14:paraId="7D027663" w14:textId="77777777" w:rsidR="000A7D9D" w:rsidRPr="007F38F4" w:rsidRDefault="000A7D9D" w:rsidP="000A7D9D">
      <w:pPr>
        <w:pStyle w:val="BodyText"/>
        <w:jc w:val="both"/>
        <w:rPr>
          <w:noProof/>
        </w:rPr>
      </w:pPr>
      <w:r w:rsidRPr="007F38F4">
        <w:rPr>
          <w:noProof/>
        </w:rPr>
        <w:t xml:space="preserve">The EFSA roadmap for the studies for 2022 includes specific projects on artificial intelligence, new approach methodologies, environmental risk assessment, combined exposure to multiple chemicals. For the years 2023 and 2024 the roadmap includes studies on evidence-based risk communication in the EU food safety system, OMICS and bioinformatic approaches in risk assessment, new risk assessment methodologies and harmonised animal welfare data and advancing aggregate exposure to chemicals in EU. </w:t>
      </w:r>
    </w:p>
    <w:p w14:paraId="6284AB40" w14:textId="77777777" w:rsidR="000A7D9D" w:rsidRPr="007F38F4" w:rsidRDefault="000A7D9D" w:rsidP="000A7D9D">
      <w:pPr>
        <w:pStyle w:val="BodyText"/>
        <w:jc w:val="both"/>
        <w:rPr>
          <w:noProof/>
        </w:rPr>
      </w:pPr>
      <w:r w:rsidRPr="007F38F4">
        <w:rPr>
          <w:noProof/>
          <w:u w:val="single"/>
        </w:rPr>
        <w:t>New process:</w:t>
      </w:r>
      <w:r w:rsidRPr="007F38F4">
        <w:rPr>
          <w:noProof/>
        </w:rPr>
        <w:t xml:space="preserve"> </w:t>
      </w:r>
    </w:p>
    <w:p w14:paraId="16AA96B0" w14:textId="77777777" w:rsidR="000A7D9D" w:rsidRPr="007F38F4" w:rsidRDefault="000A7D9D" w:rsidP="000A7D9D">
      <w:pPr>
        <w:pStyle w:val="BodyText"/>
        <w:jc w:val="both"/>
        <w:rPr>
          <w:noProof/>
        </w:rPr>
      </w:pPr>
      <w:r>
        <w:rPr>
          <w:noProof/>
        </w:rPr>
        <w:t>EFSA will continue the operation of their mechanism to commission scientific studies, which is focused on food sector.</w:t>
      </w:r>
    </w:p>
    <w:p w14:paraId="296388A6" w14:textId="77777777" w:rsidR="000A7D9D" w:rsidRPr="007F38F4" w:rsidRDefault="000A7D9D" w:rsidP="000A7D9D">
      <w:pPr>
        <w:pStyle w:val="BodyText"/>
        <w:jc w:val="both"/>
        <w:rPr>
          <w:noProof/>
        </w:rPr>
      </w:pPr>
      <w:r>
        <w:rPr>
          <w:noProof/>
        </w:rPr>
        <w:t>ECHA will get a mandate to commission scientific studies for the performance of its mission, i.e. in support of the implementation or evaluation of chemicals legislation within the mandate of ECHA. The Commission will be empowered to request ECHA to commission such studies as well.</w:t>
      </w:r>
    </w:p>
    <w:p w14:paraId="6A7E104F" w14:textId="77777777" w:rsidR="000A7D9D" w:rsidRPr="007F38F4" w:rsidRDefault="000A7D9D" w:rsidP="000A7D9D">
      <w:pPr>
        <w:pStyle w:val="BodyText"/>
        <w:jc w:val="both"/>
        <w:rPr>
          <w:noProof/>
        </w:rPr>
      </w:pPr>
      <w:r>
        <w:rPr>
          <w:noProof/>
        </w:rPr>
        <w:t xml:space="preserve">ECHA and EFSA will have to closely cooperate when commissioning scientific studies to avoid duplication, maximise synergies and ensure coherence of safety assessments across legislation in line with the one substance, one assessment objectives. </w:t>
      </w:r>
    </w:p>
    <w:p w14:paraId="014495E6" w14:textId="77777777" w:rsidR="000A7D9D" w:rsidRPr="007F38F4" w:rsidRDefault="000A7D9D" w:rsidP="000A7D9D">
      <w:pPr>
        <w:spacing w:after="120"/>
        <w:jc w:val="both"/>
        <w:rPr>
          <w:rFonts w:ascii="Times New Roman" w:hAnsi="Times New Roman" w:cs="Times New Roman"/>
          <w:noProof/>
          <w:sz w:val="24"/>
          <w:szCs w:val="24"/>
          <w:lang w:eastAsia="en-GB"/>
        </w:rPr>
      </w:pPr>
      <w:r w:rsidRPr="13AEFEEB">
        <w:rPr>
          <w:rFonts w:ascii="Times New Roman" w:hAnsi="Times New Roman" w:cs="Times New Roman"/>
          <w:b/>
          <w:bCs/>
          <w:noProof/>
          <w:sz w:val="24"/>
          <w:szCs w:val="24"/>
          <w:lang w:val="en-US" w:eastAsia="en-GB"/>
        </w:rPr>
        <w:t>Proximity to agencies’ mandate:</w:t>
      </w:r>
      <w:r w:rsidRPr="13AEFEEB">
        <w:rPr>
          <w:rFonts w:ascii="Times New Roman" w:hAnsi="Times New Roman" w:cs="Times New Roman"/>
          <w:noProof/>
          <w:sz w:val="24"/>
          <w:szCs w:val="24"/>
          <w:lang w:eastAsia="en-GB"/>
        </w:rPr>
        <w:t xml:space="preserve">  The task fits well with the mandate of ECHA because it is focused on the commissioning of studies which are in the mandate of ECHA. </w:t>
      </w:r>
    </w:p>
    <w:p w14:paraId="3F373AF2" w14:textId="77777777" w:rsidR="000A7D9D" w:rsidRPr="007F38F4" w:rsidRDefault="000A7D9D" w:rsidP="000A7D9D">
      <w:pPr>
        <w:spacing w:after="120"/>
        <w:rPr>
          <w:rFonts w:ascii="Times New Roman" w:hAnsi="Times New Roman" w:cs="Times New Roman"/>
          <w:noProof/>
          <w:sz w:val="24"/>
          <w:szCs w:val="24"/>
          <w:lang w:eastAsia="en-GB"/>
        </w:rPr>
      </w:pPr>
      <w:r w:rsidRPr="007F38F4">
        <w:rPr>
          <w:rFonts w:ascii="Times New Roman" w:hAnsi="Times New Roman" w:cs="Times New Roman"/>
          <w:b/>
          <w:bCs/>
          <w:noProof/>
          <w:sz w:val="24"/>
          <w:szCs w:val="24"/>
          <w:lang w:val="en-US" w:eastAsia="en-GB"/>
        </w:rPr>
        <w:t>Projected synergies and added value of (re-)attribution:</w:t>
      </w:r>
      <w:r w:rsidRPr="007F38F4">
        <w:rPr>
          <w:rFonts w:ascii="Times New Roman" w:hAnsi="Times New Roman" w:cs="Times New Roman"/>
          <w:noProof/>
          <w:sz w:val="24"/>
          <w:szCs w:val="24"/>
          <w:lang w:eastAsia="en-GB"/>
        </w:rPr>
        <w:t> </w:t>
      </w:r>
    </w:p>
    <w:p w14:paraId="44DD3E11" w14:textId="77777777" w:rsidR="000A7D9D" w:rsidRPr="007F38F4" w:rsidRDefault="000A7D9D" w:rsidP="000A7D9D">
      <w:pPr>
        <w:spacing w:after="120"/>
        <w:jc w:val="both"/>
        <w:rPr>
          <w:rFonts w:ascii="Times New Roman" w:hAnsi="Times New Roman" w:cs="Times New Roman"/>
          <w:noProof/>
          <w:sz w:val="24"/>
          <w:szCs w:val="24"/>
          <w:lang w:val="en-US" w:eastAsia="en-GB"/>
        </w:rPr>
      </w:pPr>
      <w:r w:rsidRPr="13AEFEEB">
        <w:rPr>
          <w:rFonts w:ascii="Times New Roman" w:hAnsi="Times New Roman" w:cs="Times New Roman"/>
          <w:noProof/>
          <w:sz w:val="24"/>
          <w:szCs w:val="24"/>
          <w:lang w:val="en-US" w:eastAsia="en-GB"/>
        </w:rPr>
        <w:t xml:space="preserve">The added value of this task is that ECHA will be able to commission necessary studies and thus improve the implementation and evaluation of the legislation within its mandate and complement the existing mechanism for the </w:t>
      </w:r>
      <w:r>
        <w:rPr>
          <w:rFonts w:ascii="Times New Roman" w:hAnsi="Times New Roman" w:cs="Times New Roman"/>
          <w:noProof/>
          <w:sz w:val="24"/>
          <w:szCs w:val="24"/>
          <w:lang w:val="en-US" w:eastAsia="en-GB"/>
        </w:rPr>
        <w:t xml:space="preserve">chemicals in </w:t>
      </w:r>
      <w:r w:rsidRPr="13AEFEEB">
        <w:rPr>
          <w:rFonts w:ascii="Times New Roman" w:hAnsi="Times New Roman" w:cs="Times New Roman"/>
          <w:noProof/>
          <w:sz w:val="24"/>
          <w:szCs w:val="24"/>
          <w:lang w:val="en-US" w:eastAsia="en-GB"/>
        </w:rPr>
        <w:t>food sector. Synergies will be achieved by requiring cooperation between EFSA and ECHA. In addition, ECHA will be able to create synergies with the work it is doing in support of PARC.</w:t>
      </w:r>
    </w:p>
    <w:p w14:paraId="76A2E38B" w14:textId="77777777" w:rsidR="000A7D9D" w:rsidRPr="007F38F4" w:rsidRDefault="000A7D9D" w:rsidP="000A7D9D">
      <w:pPr>
        <w:spacing w:after="120"/>
        <w:rPr>
          <w:rFonts w:ascii="Times New Roman" w:hAnsi="Times New Roman" w:cs="Times New Roman"/>
          <w:noProof/>
          <w:sz w:val="24"/>
          <w:szCs w:val="24"/>
          <w:lang w:eastAsia="en-GB"/>
        </w:rPr>
      </w:pPr>
      <w:r w:rsidRPr="007F38F4">
        <w:rPr>
          <w:rFonts w:ascii="Times New Roman" w:hAnsi="Times New Roman" w:cs="Times New Roman"/>
          <w:b/>
          <w:bCs/>
          <w:noProof/>
          <w:sz w:val="24"/>
          <w:szCs w:val="24"/>
          <w:lang w:val="en-US" w:eastAsia="en-GB"/>
        </w:rPr>
        <w:t>Main risks and opportunities: </w:t>
      </w:r>
    </w:p>
    <w:p w14:paraId="620055BD" w14:textId="77777777" w:rsidR="000A7D9D" w:rsidRPr="007F38F4" w:rsidRDefault="000A7D9D" w:rsidP="000A7D9D">
      <w:pPr>
        <w:spacing w:after="120"/>
        <w:jc w:val="both"/>
        <w:rPr>
          <w:rFonts w:ascii="Times New Roman" w:hAnsi="Times New Roman" w:cs="Times New Roman"/>
          <w:noProof/>
          <w:sz w:val="24"/>
          <w:szCs w:val="24"/>
          <w:lang w:val="en-US" w:eastAsia="en-GB"/>
        </w:rPr>
      </w:pPr>
      <w:r w:rsidRPr="13AEFEEB">
        <w:rPr>
          <w:rFonts w:ascii="Times New Roman" w:hAnsi="Times New Roman" w:cs="Times New Roman"/>
          <w:noProof/>
          <w:sz w:val="24"/>
          <w:szCs w:val="24"/>
          <w:lang w:val="en-US" w:eastAsia="en-GB"/>
        </w:rPr>
        <w:t>The main opportunity comes from joined work of ECHA and EFSA on commissioning studies, serving the plethora of chemicals legislation and thus improving</w:t>
      </w:r>
      <w:r>
        <w:rPr>
          <w:rFonts w:ascii="Times New Roman" w:hAnsi="Times New Roman" w:cs="Times New Roman"/>
          <w:noProof/>
          <w:sz w:val="24"/>
          <w:szCs w:val="24"/>
          <w:lang w:val="en-US" w:eastAsia="en-GB"/>
        </w:rPr>
        <w:t xml:space="preserve"> </w:t>
      </w:r>
      <w:r w:rsidRPr="13AEFEEB">
        <w:rPr>
          <w:rFonts w:ascii="Times New Roman" w:hAnsi="Times New Roman" w:cs="Times New Roman"/>
          <w:noProof/>
          <w:sz w:val="24"/>
          <w:szCs w:val="24"/>
          <w:lang w:val="en-US" w:eastAsia="en-GB"/>
        </w:rPr>
        <w:t xml:space="preserve">the coherence and harmonisation of assessment methods across legislation. </w:t>
      </w:r>
    </w:p>
    <w:p w14:paraId="41E61272" w14:textId="77777777" w:rsidR="000A7D9D" w:rsidRPr="007F38F4" w:rsidRDefault="000A7D9D" w:rsidP="000A7D9D">
      <w:pPr>
        <w:spacing w:after="120"/>
        <w:jc w:val="both"/>
        <w:rPr>
          <w:rFonts w:ascii="Times New Roman" w:hAnsi="Times New Roman" w:cs="Times New Roman"/>
          <w:noProof/>
          <w:sz w:val="24"/>
          <w:szCs w:val="24"/>
          <w:lang w:eastAsia="en-GB"/>
        </w:rPr>
      </w:pPr>
      <w:r w:rsidRPr="13AEFEEB">
        <w:rPr>
          <w:rFonts w:ascii="Times New Roman" w:hAnsi="Times New Roman" w:cs="Times New Roman"/>
          <w:b/>
          <w:bCs/>
          <w:noProof/>
          <w:sz w:val="24"/>
          <w:szCs w:val="24"/>
          <w:lang w:val="en-US" w:eastAsia="en-GB"/>
        </w:rPr>
        <w:t>Projected impact on agencies</w:t>
      </w:r>
      <w:r w:rsidRPr="13AEFEEB">
        <w:rPr>
          <w:rFonts w:ascii="Times New Roman" w:hAnsi="Times New Roman" w:cs="Times New Roman"/>
          <w:noProof/>
          <w:sz w:val="24"/>
          <w:szCs w:val="24"/>
          <w:lang w:eastAsia="en-GB"/>
        </w:rPr>
        <w:t> :</w:t>
      </w:r>
    </w:p>
    <w:p w14:paraId="325E70A3" w14:textId="77777777" w:rsidR="000A7D9D" w:rsidRPr="007F38F4" w:rsidRDefault="000A7D9D" w:rsidP="000A7D9D">
      <w:pPr>
        <w:pStyle w:val="BodyText"/>
        <w:widowControl w:val="0"/>
        <w:numPr>
          <w:ilvl w:val="0"/>
          <w:numId w:val="88"/>
        </w:numPr>
        <w:jc w:val="both"/>
        <w:rPr>
          <w:noProof/>
        </w:rPr>
      </w:pPr>
      <w:r>
        <w:rPr>
          <w:noProof/>
        </w:rPr>
        <w:t xml:space="preserve">ECHA committees/bodies: </w:t>
      </w:r>
      <w:r w:rsidRPr="13AEFEEB">
        <w:rPr>
          <w:b/>
          <w:bCs/>
          <w:noProof/>
        </w:rPr>
        <w:t>low impact</w:t>
      </w:r>
      <w:r>
        <w:rPr>
          <w:noProof/>
        </w:rPr>
        <w:t>. The task does not require the involvement of ECHA committees/bodies but ECHA may require input from the committees for the identification of study needs</w:t>
      </w:r>
    </w:p>
    <w:p w14:paraId="6C13F328" w14:textId="77777777" w:rsidR="000A7D9D" w:rsidRPr="007F38F4" w:rsidRDefault="000A7D9D" w:rsidP="000A7D9D">
      <w:pPr>
        <w:pStyle w:val="BodyText"/>
        <w:widowControl w:val="0"/>
        <w:numPr>
          <w:ilvl w:val="0"/>
          <w:numId w:val="88"/>
        </w:numPr>
        <w:jc w:val="both"/>
        <w:rPr>
          <w:noProof/>
        </w:rPr>
      </w:pPr>
      <w:r>
        <w:rPr>
          <w:noProof/>
        </w:rPr>
        <w:t>ECHA data model and IT infrastructure:</w:t>
      </w:r>
      <w:r w:rsidRPr="13AEFEEB">
        <w:rPr>
          <w:b/>
          <w:bCs/>
          <w:noProof/>
        </w:rPr>
        <w:t xml:space="preserve"> no impact</w:t>
      </w:r>
      <w:r>
        <w:rPr>
          <w:noProof/>
        </w:rPr>
        <w:t>. This task does not have an impact on the IT infrastructure beyond storing the project outcomes</w:t>
      </w:r>
    </w:p>
    <w:p w14:paraId="54642C7B" w14:textId="77777777" w:rsidR="000A7D9D" w:rsidRPr="007F38F4" w:rsidRDefault="000A7D9D" w:rsidP="000A7D9D">
      <w:pPr>
        <w:pStyle w:val="BodyText"/>
        <w:widowControl w:val="0"/>
        <w:numPr>
          <w:ilvl w:val="0"/>
          <w:numId w:val="87"/>
        </w:numPr>
        <w:jc w:val="both"/>
        <w:rPr>
          <w:noProof/>
        </w:rPr>
      </w:pPr>
      <w:r>
        <w:rPr>
          <w:noProof/>
        </w:rPr>
        <w:t>ECHA key experts:</w:t>
      </w:r>
      <w:r w:rsidRPr="13AEFEEB">
        <w:rPr>
          <w:b/>
          <w:bCs/>
          <w:noProof/>
        </w:rPr>
        <w:t xml:space="preserve"> medium impact</w:t>
      </w:r>
      <w:r>
        <w:rPr>
          <w:noProof/>
        </w:rPr>
        <w:t>. The task will rely on expert competencies, which are limited within ECHA and the agency may need to recruit additional personnel.</w:t>
      </w:r>
    </w:p>
    <w:p w14:paraId="220B5AB4" w14:textId="77777777" w:rsidR="000A7D9D" w:rsidRPr="007F38F4" w:rsidRDefault="000A7D9D" w:rsidP="000A7D9D">
      <w:pPr>
        <w:pStyle w:val="BodyText"/>
        <w:rPr>
          <w:noProof/>
        </w:rPr>
      </w:pPr>
      <w:r w:rsidRPr="007F38F4">
        <w:rPr>
          <w:b/>
          <w:bCs/>
          <w:noProof/>
        </w:rPr>
        <w:t>Projected workload and resource implications:</w:t>
      </w:r>
    </w:p>
    <w:p w14:paraId="28A37413" w14:textId="77777777" w:rsidR="000A7D9D" w:rsidRPr="007F38F4" w:rsidRDefault="000A7D9D" w:rsidP="000A7D9D">
      <w:pPr>
        <w:pStyle w:val="BodyText"/>
        <w:jc w:val="both"/>
        <w:rPr>
          <w:noProof/>
        </w:rPr>
      </w:pPr>
      <w:r w:rsidRPr="007F38F4">
        <w:rPr>
          <w:noProof/>
          <w:u w:val="single"/>
        </w:rPr>
        <w:t>Current resources allocated to similar work:</w:t>
      </w:r>
    </w:p>
    <w:tbl>
      <w:tblPr>
        <w:tblStyle w:val="TableGrid"/>
        <w:tblW w:w="0" w:type="auto"/>
        <w:tblLayout w:type="fixed"/>
        <w:tblLook w:val="06A0" w:firstRow="1" w:lastRow="0" w:firstColumn="1" w:lastColumn="0" w:noHBand="1" w:noVBand="1"/>
      </w:tblPr>
      <w:tblGrid>
        <w:gridCol w:w="6375"/>
        <w:gridCol w:w="3360"/>
      </w:tblGrid>
      <w:tr w:rsidR="000A7D9D" w:rsidRPr="006B7D57" w14:paraId="609CFE3C" w14:textId="77777777" w:rsidTr="00F31937">
        <w:trPr>
          <w:trHeight w:val="300"/>
        </w:trPr>
        <w:tc>
          <w:tcPr>
            <w:tcW w:w="9735" w:type="dxa"/>
            <w:gridSpan w:val="2"/>
          </w:tcPr>
          <w:p w14:paraId="21A8B7B9" w14:textId="77777777" w:rsidR="000A7D9D" w:rsidRPr="006B7D57" w:rsidRDefault="000A7D9D" w:rsidP="00F31937">
            <w:pPr>
              <w:pStyle w:val="BodyText"/>
              <w:rPr>
                <w:b/>
                <w:bCs/>
                <w:noProof/>
                <w:sz w:val="20"/>
                <w:szCs w:val="20"/>
              </w:rPr>
            </w:pPr>
            <w:r w:rsidRPr="006B7D57">
              <w:rPr>
                <w:b/>
                <w:bCs/>
                <w:noProof/>
                <w:sz w:val="20"/>
                <w:szCs w:val="20"/>
              </w:rPr>
              <w:t xml:space="preserve">Resources allocated to EFSA for ‘food-related data generation mechanism’ </w:t>
            </w:r>
          </w:p>
        </w:tc>
      </w:tr>
      <w:tr w:rsidR="000A7D9D" w:rsidRPr="006B7D57" w14:paraId="5835C70D" w14:textId="77777777" w:rsidTr="00F31937">
        <w:trPr>
          <w:trHeight w:val="300"/>
        </w:trPr>
        <w:tc>
          <w:tcPr>
            <w:tcW w:w="6375" w:type="dxa"/>
          </w:tcPr>
          <w:p w14:paraId="01D22F53" w14:textId="77777777" w:rsidR="000A7D9D" w:rsidRPr="006B7D57" w:rsidRDefault="000A7D9D" w:rsidP="00F31937">
            <w:pPr>
              <w:pStyle w:val="BodyText"/>
              <w:rPr>
                <w:noProof/>
                <w:sz w:val="20"/>
                <w:szCs w:val="20"/>
              </w:rPr>
            </w:pPr>
            <w:r w:rsidRPr="006B7D57">
              <w:rPr>
                <w:noProof/>
                <w:sz w:val="20"/>
                <w:szCs w:val="20"/>
              </w:rPr>
              <w:t>Human resources for additional ad hoc studies</w:t>
            </w:r>
          </w:p>
        </w:tc>
        <w:tc>
          <w:tcPr>
            <w:tcW w:w="3360" w:type="dxa"/>
          </w:tcPr>
          <w:p w14:paraId="776E295D" w14:textId="77777777" w:rsidR="000A7D9D" w:rsidRPr="006B7D57" w:rsidRDefault="000A7D9D" w:rsidP="00F31937">
            <w:pPr>
              <w:pStyle w:val="BodyText"/>
              <w:rPr>
                <w:noProof/>
                <w:sz w:val="20"/>
                <w:szCs w:val="20"/>
              </w:rPr>
            </w:pPr>
            <w:r w:rsidRPr="006B7D57">
              <w:rPr>
                <w:noProof/>
                <w:sz w:val="20"/>
                <w:szCs w:val="20"/>
              </w:rPr>
              <w:t>4 FTEs per year</w:t>
            </w:r>
          </w:p>
        </w:tc>
      </w:tr>
      <w:tr w:rsidR="000A7D9D" w:rsidRPr="006B7D57" w14:paraId="5F25C342" w14:textId="77777777" w:rsidTr="00F31937">
        <w:trPr>
          <w:trHeight w:val="300"/>
        </w:trPr>
        <w:tc>
          <w:tcPr>
            <w:tcW w:w="6375" w:type="dxa"/>
          </w:tcPr>
          <w:p w14:paraId="22222EA4" w14:textId="77777777" w:rsidR="000A7D9D" w:rsidRPr="006B7D57" w:rsidRDefault="000A7D9D" w:rsidP="00F31937">
            <w:pPr>
              <w:pStyle w:val="BodyText"/>
              <w:rPr>
                <w:noProof/>
                <w:sz w:val="20"/>
                <w:szCs w:val="20"/>
              </w:rPr>
            </w:pPr>
            <w:r w:rsidRPr="006B7D57">
              <w:rPr>
                <w:noProof/>
                <w:sz w:val="20"/>
                <w:szCs w:val="20"/>
              </w:rPr>
              <w:t>Toxicological studies (H2020-FP9)</w:t>
            </w:r>
          </w:p>
        </w:tc>
        <w:tc>
          <w:tcPr>
            <w:tcW w:w="3360" w:type="dxa"/>
          </w:tcPr>
          <w:p w14:paraId="14641928" w14:textId="77777777" w:rsidR="000A7D9D" w:rsidRPr="006B7D57" w:rsidRDefault="000A7D9D" w:rsidP="00F31937">
            <w:pPr>
              <w:pStyle w:val="BodyText"/>
              <w:rPr>
                <w:noProof/>
                <w:sz w:val="20"/>
                <w:szCs w:val="20"/>
              </w:rPr>
            </w:pPr>
            <w:r w:rsidRPr="006B7D57">
              <w:rPr>
                <w:noProof/>
                <w:sz w:val="20"/>
                <w:szCs w:val="20"/>
              </w:rPr>
              <w:t>2 FTEs per year</w:t>
            </w:r>
          </w:p>
        </w:tc>
      </w:tr>
      <w:tr w:rsidR="000A7D9D" w:rsidRPr="006B7D57" w14:paraId="5043BACA" w14:textId="77777777" w:rsidTr="00F31937">
        <w:trPr>
          <w:trHeight w:val="300"/>
        </w:trPr>
        <w:tc>
          <w:tcPr>
            <w:tcW w:w="6375" w:type="dxa"/>
          </w:tcPr>
          <w:p w14:paraId="46C0AFDD" w14:textId="77777777" w:rsidR="000A7D9D" w:rsidRPr="006B7D57" w:rsidRDefault="000A7D9D" w:rsidP="00F31937">
            <w:pPr>
              <w:pStyle w:val="BodyText"/>
              <w:rPr>
                <w:noProof/>
                <w:sz w:val="20"/>
                <w:szCs w:val="20"/>
              </w:rPr>
            </w:pPr>
            <w:r w:rsidRPr="006B7D57">
              <w:rPr>
                <w:noProof/>
                <w:sz w:val="20"/>
                <w:szCs w:val="20"/>
              </w:rPr>
              <w:t>Additional operational budget for additional ad hoc studies (Prediction: 16 studies a year)</w:t>
            </w:r>
          </w:p>
          <w:p w14:paraId="692798E9" w14:textId="77777777" w:rsidR="000A7D9D" w:rsidRPr="006B7D57" w:rsidRDefault="000A7D9D" w:rsidP="00F31937">
            <w:pPr>
              <w:pStyle w:val="BodyText"/>
              <w:rPr>
                <w:noProof/>
                <w:sz w:val="20"/>
                <w:szCs w:val="20"/>
              </w:rPr>
            </w:pPr>
          </w:p>
        </w:tc>
        <w:tc>
          <w:tcPr>
            <w:tcW w:w="3360" w:type="dxa"/>
          </w:tcPr>
          <w:p w14:paraId="2F220481" w14:textId="77777777" w:rsidR="000A7D9D" w:rsidRPr="006B7D57" w:rsidRDefault="000A7D9D" w:rsidP="00F31937">
            <w:pPr>
              <w:pStyle w:val="BodyText"/>
              <w:spacing w:after="0"/>
              <w:rPr>
                <w:noProof/>
                <w:sz w:val="20"/>
                <w:szCs w:val="20"/>
                <w:lang w:val="de-DE"/>
              </w:rPr>
            </w:pPr>
            <w:r w:rsidRPr="006B7D57">
              <w:rPr>
                <w:noProof/>
                <w:sz w:val="20"/>
                <w:szCs w:val="20"/>
                <w:lang w:val="de-DE"/>
              </w:rPr>
              <w:t>2020: EUR 6 million</w:t>
            </w:r>
          </w:p>
          <w:p w14:paraId="471384E1" w14:textId="77777777" w:rsidR="000A7D9D" w:rsidRPr="006B7D57" w:rsidRDefault="000A7D9D" w:rsidP="00F31937">
            <w:pPr>
              <w:pStyle w:val="BodyText"/>
              <w:spacing w:after="0"/>
              <w:rPr>
                <w:noProof/>
                <w:sz w:val="20"/>
                <w:szCs w:val="20"/>
                <w:lang w:val="de-DE"/>
              </w:rPr>
            </w:pPr>
            <w:r w:rsidRPr="006B7D57">
              <w:rPr>
                <w:noProof/>
                <w:sz w:val="20"/>
                <w:szCs w:val="20"/>
                <w:lang w:val="de-DE"/>
              </w:rPr>
              <w:t>2021: EUR 10.5 million</w:t>
            </w:r>
          </w:p>
          <w:p w14:paraId="52DD9889" w14:textId="77777777" w:rsidR="000A7D9D" w:rsidRPr="006B7D57" w:rsidRDefault="000A7D9D" w:rsidP="00F31937">
            <w:pPr>
              <w:pStyle w:val="BodyText"/>
              <w:spacing w:after="0"/>
              <w:rPr>
                <w:noProof/>
                <w:sz w:val="20"/>
                <w:szCs w:val="20"/>
                <w:lang w:val="de-DE"/>
              </w:rPr>
            </w:pPr>
            <w:r w:rsidRPr="006B7D57">
              <w:rPr>
                <w:noProof/>
                <w:sz w:val="20"/>
                <w:szCs w:val="20"/>
                <w:lang w:val="de-DE"/>
              </w:rPr>
              <w:t>2022: EUR 15.0 million</w:t>
            </w:r>
          </w:p>
          <w:p w14:paraId="1A318FB8" w14:textId="77777777" w:rsidR="000A7D9D" w:rsidRPr="006B7D57" w:rsidRDefault="000A7D9D" w:rsidP="00F31937">
            <w:pPr>
              <w:pStyle w:val="BodyText"/>
              <w:spacing w:after="0"/>
              <w:rPr>
                <w:noProof/>
                <w:sz w:val="20"/>
                <w:szCs w:val="20"/>
                <w:lang w:val="de-DE"/>
              </w:rPr>
            </w:pPr>
            <w:r w:rsidRPr="006B7D57">
              <w:rPr>
                <w:noProof/>
                <w:sz w:val="20"/>
                <w:szCs w:val="20"/>
                <w:lang w:val="de-DE"/>
              </w:rPr>
              <w:t>2023: EUR 15.0 million</w:t>
            </w:r>
          </w:p>
          <w:p w14:paraId="7A635869" w14:textId="77777777" w:rsidR="000A7D9D" w:rsidRPr="006B7D57" w:rsidRDefault="000A7D9D" w:rsidP="00F31937">
            <w:pPr>
              <w:pStyle w:val="BodyText"/>
              <w:spacing w:after="0"/>
              <w:rPr>
                <w:noProof/>
                <w:sz w:val="20"/>
                <w:szCs w:val="20"/>
                <w:lang w:val="de-DE"/>
              </w:rPr>
            </w:pPr>
            <w:r w:rsidRPr="006B7D57">
              <w:rPr>
                <w:noProof/>
                <w:sz w:val="20"/>
                <w:szCs w:val="20"/>
                <w:lang w:val="de-DE"/>
              </w:rPr>
              <w:t>2024: EUR 15.0 million</w:t>
            </w:r>
          </w:p>
        </w:tc>
      </w:tr>
    </w:tbl>
    <w:p w14:paraId="5161C0F5" w14:textId="77777777" w:rsidR="000A7D9D" w:rsidRPr="007F38F4" w:rsidRDefault="000A7D9D" w:rsidP="000A7D9D">
      <w:pPr>
        <w:pStyle w:val="BodyText"/>
        <w:spacing w:before="120"/>
        <w:jc w:val="both"/>
        <w:rPr>
          <w:noProof/>
        </w:rPr>
      </w:pPr>
      <w:r w:rsidRPr="007F38F4">
        <w:rPr>
          <w:noProof/>
        </w:rPr>
        <w:t xml:space="preserve">When the PARC project was initiated, 2 FTEs were allocated to ECHA to allow its engagement in the project and support its implementation.  </w:t>
      </w:r>
    </w:p>
    <w:p w14:paraId="2E344E39" w14:textId="77777777" w:rsidR="000A7D9D" w:rsidRPr="007F38F4" w:rsidRDefault="000A7D9D" w:rsidP="000A7D9D">
      <w:pPr>
        <w:spacing w:before="120" w:after="120"/>
        <w:rPr>
          <w:rFonts w:ascii="Times New Roman" w:hAnsi="Times New Roman" w:cs="Times New Roman"/>
          <w:noProof/>
          <w:sz w:val="24"/>
          <w:szCs w:val="24"/>
          <w:u w:val="single"/>
        </w:rPr>
      </w:pPr>
      <w:r w:rsidRPr="007F38F4">
        <w:rPr>
          <w:rFonts w:ascii="Times New Roman" w:hAnsi="Times New Roman" w:cs="Times New Roman"/>
          <w:noProof/>
          <w:sz w:val="24"/>
          <w:szCs w:val="24"/>
          <w:u w:val="single"/>
        </w:rPr>
        <w:t>Future workload and resource needs:</w:t>
      </w:r>
    </w:p>
    <w:p w14:paraId="27A9A4AB" w14:textId="77777777" w:rsidR="000A7D9D" w:rsidRPr="007F38F4" w:rsidRDefault="000A7D9D" w:rsidP="000A7D9D">
      <w:pPr>
        <w:pStyle w:val="BodyText"/>
        <w:jc w:val="both"/>
        <w:rPr>
          <w:noProof/>
        </w:rPr>
      </w:pPr>
      <w:r>
        <w:rPr>
          <w:noProof/>
        </w:rPr>
        <w:t xml:space="preserve">EFSA will continue operating its data generation mechanism. The additional work required for EFSA will be to cooperate with ECHA on commissioning studies and on joint decision-making on which studies to commission and how to perform them. These costs should be however absorbed by the existing resources. </w:t>
      </w:r>
    </w:p>
    <w:p w14:paraId="321F044C" w14:textId="77777777" w:rsidR="000A7D9D" w:rsidRPr="007F38F4" w:rsidRDefault="000A7D9D" w:rsidP="000A7D9D">
      <w:pPr>
        <w:pStyle w:val="BodyText"/>
        <w:jc w:val="both"/>
        <w:rPr>
          <w:noProof/>
        </w:rPr>
      </w:pPr>
      <w:r>
        <w:rPr>
          <w:noProof/>
        </w:rPr>
        <w:t xml:space="preserve">It is envisaged that there will be synergies between the studies run by EFSA and by ECHA, for example from pooling study subjects of the projects into one commissioning. It is therefore expected that ECHA should get a lower amount of human and operational resources than EFSA. No additional resources would be needed to follow the research projects, as such resources were already allocated to ECHA for the PARC project. </w:t>
      </w:r>
    </w:p>
    <w:p w14:paraId="6AF498B8" w14:textId="77777777" w:rsidR="000A7D9D" w:rsidRPr="007F38F4" w:rsidRDefault="000A7D9D" w:rsidP="000A7D9D">
      <w:pPr>
        <w:spacing w:after="120"/>
        <w:rPr>
          <w:rFonts w:ascii="Times New Roman" w:hAnsi="Times New Roman" w:cs="Times New Roman"/>
          <w:noProof/>
          <w:sz w:val="24"/>
          <w:szCs w:val="24"/>
        </w:rPr>
      </w:pPr>
      <w:r w:rsidRPr="13AEFEEB">
        <w:rPr>
          <w:rFonts w:ascii="Times New Roman" w:hAnsi="Times New Roman" w:cs="Times New Roman"/>
          <w:noProof/>
          <w:sz w:val="24"/>
          <w:szCs w:val="24"/>
        </w:rPr>
        <w:t>Summary of additional resource needs for a data generation mechanism:</w:t>
      </w:r>
    </w:p>
    <w:tbl>
      <w:tblPr>
        <w:tblStyle w:val="TableGrid"/>
        <w:tblW w:w="0" w:type="auto"/>
        <w:tblLook w:val="04A0" w:firstRow="1" w:lastRow="0" w:firstColumn="1" w:lastColumn="0" w:noHBand="0" w:noVBand="1"/>
      </w:tblPr>
      <w:tblGrid>
        <w:gridCol w:w="1035"/>
        <w:gridCol w:w="3510"/>
        <w:gridCol w:w="2820"/>
        <w:gridCol w:w="2264"/>
      </w:tblGrid>
      <w:tr w:rsidR="000A7D9D" w14:paraId="0F92312A" w14:textId="77777777" w:rsidTr="00F31937">
        <w:trPr>
          <w:trHeight w:val="300"/>
        </w:trPr>
        <w:tc>
          <w:tcPr>
            <w:tcW w:w="1035" w:type="dxa"/>
            <w:shd w:val="clear" w:color="auto" w:fill="D9D9D9" w:themeFill="background1" w:themeFillShade="D9"/>
          </w:tcPr>
          <w:p w14:paraId="4493C520" w14:textId="77777777" w:rsidR="000A7D9D" w:rsidRPr="007F38F4" w:rsidRDefault="000A7D9D" w:rsidP="00F31937">
            <w:pPr>
              <w:pStyle w:val="BodyText"/>
              <w:spacing w:line="259" w:lineRule="auto"/>
              <w:rPr>
                <w:rFonts w:eastAsiaTheme="minorEastAsia"/>
                <w:b/>
                <w:bCs/>
                <w:noProof/>
                <w:sz w:val="20"/>
                <w:szCs w:val="20"/>
              </w:rPr>
            </w:pPr>
            <w:r w:rsidRPr="007F38F4">
              <w:rPr>
                <w:rFonts w:eastAsiaTheme="minorEastAsia"/>
                <w:b/>
                <w:bCs/>
                <w:noProof/>
                <w:sz w:val="20"/>
                <w:szCs w:val="20"/>
              </w:rPr>
              <w:t>Agency</w:t>
            </w:r>
          </w:p>
        </w:tc>
        <w:tc>
          <w:tcPr>
            <w:tcW w:w="3510" w:type="dxa"/>
            <w:shd w:val="clear" w:color="auto" w:fill="D9D9D9" w:themeFill="background1" w:themeFillShade="D9"/>
          </w:tcPr>
          <w:p w14:paraId="73FE473F" w14:textId="77777777" w:rsidR="000A7D9D" w:rsidRPr="007F38F4" w:rsidRDefault="000A7D9D" w:rsidP="00F31937">
            <w:pPr>
              <w:pStyle w:val="BodyText"/>
              <w:rPr>
                <w:rFonts w:eastAsiaTheme="minorEastAsia"/>
                <w:b/>
                <w:bCs/>
                <w:noProof/>
                <w:sz w:val="20"/>
                <w:szCs w:val="20"/>
              </w:rPr>
            </w:pPr>
            <w:r w:rsidRPr="007F38F4">
              <w:rPr>
                <w:rFonts w:eastAsiaTheme="minorEastAsia"/>
                <w:b/>
                <w:bCs/>
                <w:noProof/>
                <w:sz w:val="20"/>
                <w:szCs w:val="20"/>
              </w:rPr>
              <w:t>Summary of tasks</w:t>
            </w:r>
          </w:p>
        </w:tc>
        <w:tc>
          <w:tcPr>
            <w:tcW w:w="2820" w:type="dxa"/>
            <w:shd w:val="clear" w:color="auto" w:fill="D9D9D9" w:themeFill="background1" w:themeFillShade="D9"/>
          </w:tcPr>
          <w:p w14:paraId="7D0027EE" w14:textId="77777777" w:rsidR="000A7D9D" w:rsidRPr="007F38F4" w:rsidRDefault="000A7D9D" w:rsidP="00F31937">
            <w:pPr>
              <w:pStyle w:val="BodyText"/>
              <w:tabs>
                <w:tab w:val="left" w:pos="4170"/>
              </w:tabs>
              <w:rPr>
                <w:rFonts w:eastAsiaTheme="minorEastAsia"/>
                <w:noProof/>
                <w:sz w:val="20"/>
                <w:szCs w:val="20"/>
              </w:rPr>
            </w:pPr>
          </w:p>
        </w:tc>
        <w:tc>
          <w:tcPr>
            <w:tcW w:w="2264" w:type="dxa"/>
            <w:shd w:val="clear" w:color="auto" w:fill="D9D9D9" w:themeFill="background1" w:themeFillShade="D9"/>
          </w:tcPr>
          <w:p w14:paraId="0A08D2F8" w14:textId="77777777" w:rsidR="000A7D9D" w:rsidRPr="007F38F4" w:rsidRDefault="000A7D9D" w:rsidP="00F31937">
            <w:pPr>
              <w:pStyle w:val="BodyText"/>
              <w:tabs>
                <w:tab w:val="left" w:pos="4170"/>
              </w:tabs>
              <w:spacing w:after="0"/>
              <w:rPr>
                <w:rFonts w:eastAsiaTheme="minorEastAsia"/>
                <w:noProof/>
                <w:sz w:val="20"/>
                <w:szCs w:val="20"/>
              </w:rPr>
            </w:pPr>
          </w:p>
        </w:tc>
      </w:tr>
      <w:tr w:rsidR="000A7D9D" w:rsidRPr="00C839B2" w14:paraId="2AC26E40" w14:textId="77777777" w:rsidTr="00F31937">
        <w:trPr>
          <w:trHeight w:val="300"/>
        </w:trPr>
        <w:tc>
          <w:tcPr>
            <w:tcW w:w="1035" w:type="dxa"/>
            <w:vMerge w:val="restart"/>
            <w:shd w:val="clear" w:color="auto" w:fill="D9D9D9" w:themeFill="background1" w:themeFillShade="D9"/>
          </w:tcPr>
          <w:p w14:paraId="7674CD27" w14:textId="77777777" w:rsidR="000A7D9D" w:rsidRPr="007F38F4" w:rsidRDefault="000A7D9D" w:rsidP="00F31937">
            <w:pPr>
              <w:pStyle w:val="BodyText"/>
              <w:rPr>
                <w:rFonts w:eastAsiaTheme="minorEastAsia"/>
                <w:noProof/>
                <w:sz w:val="20"/>
                <w:szCs w:val="20"/>
              </w:rPr>
            </w:pPr>
            <w:r w:rsidRPr="007F38F4">
              <w:rPr>
                <w:rFonts w:eastAsiaTheme="minorEastAsia"/>
                <w:noProof/>
                <w:sz w:val="20"/>
                <w:szCs w:val="20"/>
              </w:rPr>
              <w:t>ECHA</w:t>
            </w:r>
          </w:p>
        </w:tc>
        <w:tc>
          <w:tcPr>
            <w:tcW w:w="3510" w:type="dxa"/>
            <w:vMerge w:val="restart"/>
            <w:shd w:val="clear" w:color="auto" w:fill="D9D9D9" w:themeFill="background1" w:themeFillShade="D9"/>
          </w:tcPr>
          <w:p w14:paraId="79EF5A82" w14:textId="77777777" w:rsidR="000A7D9D" w:rsidRPr="007F38F4" w:rsidRDefault="000A7D9D" w:rsidP="00F31937">
            <w:pPr>
              <w:spacing w:after="120"/>
              <w:rPr>
                <w:rFonts w:eastAsiaTheme="majorEastAsia"/>
                <w:noProof/>
                <w:lang w:val="en-US"/>
              </w:rPr>
            </w:pPr>
            <w:r w:rsidRPr="007F38F4">
              <w:rPr>
                <w:rFonts w:eastAsiaTheme="majorEastAsia"/>
                <w:noProof/>
                <w:lang w:val="en-US"/>
              </w:rPr>
              <w:t>Commissioning scientific studies on its own initiative or on the request of the Commission</w:t>
            </w:r>
          </w:p>
          <w:p w14:paraId="6E702B7A" w14:textId="77777777" w:rsidR="000A7D9D" w:rsidRPr="007F38F4" w:rsidRDefault="000A7D9D" w:rsidP="00F31937">
            <w:pPr>
              <w:rPr>
                <w:rFonts w:eastAsiaTheme="majorEastAsia"/>
                <w:noProof/>
                <w:lang w:val="en-US"/>
              </w:rPr>
            </w:pPr>
            <w:r w:rsidRPr="13AEFEEB">
              <w:rPr>
                <w:rFonts w:eastAsiaTheme="majorEastAsia"/>
                <w:noProof/>
                <w:lang w:val="en-US"/>
              </w:rPr>
              <w:t>Cooperating with EFSA on commissioning studies and on joint decision-making on which studies and how to follow-up</w:t>
            </w:r>
          </w:p>
        </w:tc>
        <w:tc>
          <w:tcPr>
            <w:tcW w:w="2820" w:type="dxa"/>
            <w:shd w:val="clear" w:color="auto" w:fill="D9D9D9" w:themeFill="background1" w:themeFillShade="D9"/>
          </w:tcPr>
          <w:p w14:paraId="6040EA12" w14:textId="77777777" w:rsidR="000A7D9D" w:rsidRPr="007F38F4" w:rsidRDefault="000A7D9D" w:rsidP="00F31937">
            <w:pPr>
              <w:pStyle w:val="BodyText"/>
              <w:tabs>
                <w:tab w:val="left" w:pos="4170"/>
              </w:tabs>
              <w:rPr>
                <w:rFonts w:eastAsiaTheme="minorEastAsia"/>
                <w:noProof/>
                <w:sz w:val="20"/>
                <w:szCs w:val="20"/>
              </w:rPr>
            </w:pPr>
            <w:r w:rsidRPr="007F38F4">
              <w:rPr>
                <w:rFonts w:eastAsiaTheme="minorEastAsia"/>
                <w:noProof/>
                <w:sz w:val="20"/>
                <w:szCs w:val="20"/>
              </w:rPr>
              <w:t>Financial resource needs:</w:t>
            </w:r>
          </w:p>
        </w:tc>
        <w:tc>
          <w:tcPr>
            <w:tcW w:w="2264" w:type="dxa"/>
            <w:shd w:val="clear" w:color="auto" w:fill="D9D9D9" w:themeFill="background1" w:themeFillShade="D9"/>
          </w:tcPr>
          <w:p w14:paraId="35608D08" w14:textId="77777777" w:rsidR="000A7D9D" w:rsidRPr="00C839B2" w:rsidRDefault="000A7D9D" w:rsidP="00F31937">
            <w:pPr>
              <w:pStyle w:val="BodyText"/>
              <w:tabs>
                <w:tab w:val="left" w:pos="4170"/>
              </w:tabs>
              <w:spacing w:after="0"/>
              <w:rPr>
                <w:rFonts w:eastAsiaTheme="minorEastAsia"/>
                <w:b/>
                <w:noProof/>
                <w:sz w:val="20"/>
                <w:szCs w:val="20"/>
                <w:lang w:val="fr-BE"/>
              </w:rPr>
            </w:pPr>
            <w:r w:rsidRPr="00C839B2">
              <w:rPr>
                <w:rFonts w:eastAsiaTheme="minorEastAsia"/>
                <w:noProof/>
                <w:sz w:val="20"/>
                <w:szCs w:val="20"/>
                <w:lang w:val="fr-BE"/>
              </w:rPr>
              <w:t xml:space="preserve">2025: </w:t>
            </w:r>
            <w:r w:rsidRPr="00C839B2">
              <w:rPr>
                <w:rFonts w:eastAsiaTheme="minorEastAsia"/>
                <w:b/>
                <w:noProof/>
                <w:sz w:val="20"/>
                <w:szCs w:val="20"/>
                <w:lang w:val="fr-BE"/>
              </w:rPr>
              <w:t>EUR 0</w:t>
            </w:r>
          </w:p>
          <w:p w14:paraId="540F333D" w14:textId="77777777" w:rsidR="000A7D9D" w:rsidRPr="00C839B2" w:rsidRDefault="000A7D9D" w:rsidP="00F31937">
            <w:pPr>
              <w:pStyle w:val="BodyText"/>
              <w:tabs>
                <w:tab w:val="left" w:pos="4170"/>
              </w:tabs>
              <w:spacing w:after="0"/>
              <w:rPr>
                <w:rFonts w:eastAsiaTheme="minorEastAsia"/>
                <w:noProof/>
                <w:sz w:val="20"/>
                <w:szCs w:val="20"/>
                <w:lang w:val="fr-BE"/>
              </w:rPr>
            </w:pPr>
            <w:r w:rsidRPr="00C839B2">
              <w:rPr>
                <w:rFonts w:eastAsiaTheme="minorEastAsia"/>
                <w:noProof/>
                <w:sz w:val="20"/>
                <w:szCs w:val="20"/>
                <w:lang w:val="fr-BE"/>
              </w:rPr>
              <w:t xml:space="preserve">2026: </w:t>
            </w:r>
            <w:r w:rsidRPr="00C839B2">
              <w:rPr>
                <w:rFonts w:eastAsiaTheme="minorEastAsia"/>
                <w:b/>
                <w:noProof/>
                <w:sz w:val="20"/>
                <w:szCs w:val="20"/>
                <w:lang w:val="fr-BE"/>
              </w:rPr>
              <w:t>EUR</w:t>
            </w:r>
            <w:r w:rsidRPr="00C839B2">
              <w:rPr>
                <w:rFonts w:eastAsiaTheme="minorEastAsia"/>
                <w:noProof/>
                <w:sz w:val="20"/>
                <w:szCs w:val="20"/>
                <w:lang w:val="fr-BE"/>
              </w:rPr>
              <w:t xml:space="preserve"> </w:t>
            </w:r>
            <w:r w:rsidRPr="00C839B2">
              <w:rPr>
                <w:rFonts w:eastAsiaTheme="minorEastAsia"/>
                <w:b/>
                <w:bCs/>
                <w:noProof/>
                <w:sz w:val="20"/>
                <w:szCs w:val="20"/>
                <w:lang w:val="fr-BE"/>
              </w:rPr>
              <w:t>1</w:t>
            </w:r>
            <w:r>
              <w:rPr>
                <w:rFonts w:eastAsiaTheme="minorEastAsia"/>
                <w:b/>
                <w:bCs/>
                <w:noProof/>
                <w:sz w:val="20"/>
                <w:szCs w:val="20"/>
                <w:lang w:val="fr-BE"/>
              </w:rPr>
              <w:t xml:space="preserve"> </w:t>
            </w:r>
            <w:r w:rsidRPr="00C839B2">
              <w:rPr>
                <w:rFonts w:eastAsiaTheme="minorEastAsia"/>
                <w:b/>
                <w:bCs/>
                <w:noProof/>
                <w:sz w:val="20"/>
                <w:szCs w:val="20"/>
                <w:lang w:val="fr-BE"/>
              </w:rPr>
              <w:t>000</w:t>
            </w:r>
            <w:r>
              <w:rPr>
                <w:rFonts w:eastAsiaTheme="minorEastAsia"/>
                <w:b/>
                <w:bCs/>
                <w:noProof/>
                <w:sz w:val="20"/>
                <w:szCs w:val="20"/>
                <w:lang w:val="fr-BE"/>
              </w:rPr>
              <w:t xml:space="preserve"> 000</w:t>
            </w:r>
          </w:p>
          <w:p w14:paraId="662D8200" w14:textId="77777777" w:rsidR="000A7D9D" w:rsidRPr="00C839B2" w:rsidRDefault="000A7D9D" w:rsidP="00F31937">
            <w:pPr>
              <w:pStyle w:val="BodyText"/>
              <w:tabs>
                <w:tab w:val="left" w:pos="4170"/>
              </w:tabs>
              <w:spacing w:after="0"/>
              <w:rPr>
                <w:rFonts w:eastAsiaTheme="minorEastAsia"/>
                <w:noProof/>
                <w:sz w:val="20"/>
                <w:szCs w:val="20"/>
                <w:lang w:val="fr-BE"/>
              </w:rPr>
            </w:pPr>
            <w:r w:rsidRPr="00C839B2">
              <w:rPr>
                <w:rFonts w:eastAsiaTheme="minorEastAsia"/>
                <w:noProof/>
                <w:sz w:val="20"/>
                <w:szCs w:val="20"/>
                <w:lang w:val="fr-BE"/>
              </w:rPr>
              <w:t xml:space="preserve">2027: </w:t>
            </w:r>
            <w:r w:rsidRPr="00C839B2">
              <w:rPr>
                <w:rFonts w:eastAsiaTheme="minorEastAsia"/>
                <w:b/>
                <w:noProof/>
                <w:sz w:val="20"/>
                <w:szCs w:val="20"/>
                <w:lang w:val="fr-BE"/>
              </w:rPr>
              <w:t>EUR</w:t>
            </w:r>
            <w:r w:rsidRPr="00C839B2">
              <w:rPr>
                <w:rFonts w:eastAsiaTheme="minorEastAsia"/>
                <w:noProof/>
                <w:sz w:val="20"/>
                <w:szCs w:val="20"/>
                <w:lang w:val="fr-BE"/>
              </w:rPr>
              <w:t xml:space="preserve"> </w:t>
            </w:r>
            <w:r w:rsidRPr="00C839B2">
              <w:rPr>
                <w:rFonts w:eastAsiaTheme="minorEastAsia"/>
                <w:b/>
                <w:bCs/>
                <w:noProof/>
                <w:sz w:val="20"/>
                <w:szCs w:val="20"/>
                <w:lang w:val="fr-BE"/>
              </w:rPr>
              <w:t>3</w:t>
            </w:r>
            <w:r>
              <w:rPr>
                <w:rFonts w:eastAsiaTheme="minorEastAsia"/>
                <w:b/>
                <w:bCs/>
                <w:noProof/>
                <w:sz w:val="20"/>
                <w:szCs w:val="20"/>
                <w:lang w:val="fr-BE"/>
              </w:rPr>
              <w:t xml:space="preserve"> </w:t>
            </w:r>
            <w:r w:rsidRPr="00C839B2">
              <w:rPr>
                <w:rFonts w:eastAsiaTheme="minorEastAsia"/>
                <w:b/>
                <w:bCs/>
                <w:noProof/>
                <w:sz w:val="20"/>
                <w:szCs w:val="20"/>
                <w:lang w:val="fr-BE"/>
              </w:rPr>
              <w:t>000</w:t>
            </w:r>
            <w:r>
              <w:rPr>
                <w:rFonts w:eastAsiaTheme="minorEastAsia"/>
                <w:b/>
                <w:bCs/>
                <w:noProof/>
                <w:sz w:val="20"/>
                <w:szCs w:val="20"/>
                <w:lang w:val="fr-BE"/>
              </w:rPr>
              <w:t xml:space="preserve"> 000</w:t>
            </w:r>
          </w:p>
          <w:p w14:paraId="7AE127D7" w14:textId="77777777" w:rsidR="000A7D9D" w:rsidRPr="00C839B2" w:rsidRDefault="000A7D9D" w:rsidP="00F31937">
            <w:pPr>
              <w:pStyle w:val="BodyText"/>
              <w:tabs>
                <w:tab w:val="left" w:pos="4170"/>
              </w:tabs>
              <w:spacing w:after="0"/>
              <w:rPr>
                <w:rFonts w:eastAsiaTheme="minorEastAsia"/>
                <w:noProof/>
                <w:sz w:val="20"/>
                <w:szCs w:val="20"/>
                <w:lang w:val="fr-BE"/>
              </w:rPr>
            </w:pPr>
            <w:r w:rsidRPr="00C839B2">
              <w:rPr>
                <w:rFonts w:eastAsiaTheme="minorEastAsia"/>
                <w:noProof/>
                <w:sz w:val="20"/>
                <w:szCs w:val="20"/>
                <w:lang w:val="fr-BE"/>
              </w:rPr>
              <w:t xml:space="preserve">2028: </w:t>
            </w:r>
            <w:r w:rsidRPr="00C839B2">
              <w:rPr>
                <w:rFonts w:eastAsiaTheme="minorEastAsia"/>
                <w:b/>
                <w:noProof/>
                <w:sz w:val="20"/>
                <w:szCs w:val="20"/>
                <w:lang w:val="fr-BE"/>
              </w:rPr>
              <w:t>EUR</w:t>
            </w:r>
            <w:r>
              <w:rPr>
                <w:rFonts w:eastAsiaTheme="minorEastAsia"/>
                <w:noProof/>
                <w:sz w:val="20"/>
                <w:szCs w:val="20"/>
                <w:lang w:val="fr-BE"/>
              </w:rPr>
              <w:t xml:space="preserve"> </w:t>
            </w:r>
            <w:r w:rsidRPr="00C839B2">
              <w:rPr>
                <w:rFonts w:eastAsiaTheme="minorEastAsia"/>
                <w:b/>
                <w:bCs/>
                <w:noProof/>
                <w:sz w:val="20"/>
                <w:szCs w:val="20"/>
                <w:lang w:val="fr-BE"/>
              </w:rPr>
              <w:t>5</w:t>
            </w:r>
            <w:r>
              <w:rPr>
                <w:rFonts w:eastAsiaTheme="minorEastAsia"/>
                <w:b/>
                <w:bCs/>
                <w:noProof/>
                <w:sz w:val="20"/>
                <w:szCs w:val="20"/>
                <w:lang w:val="fr-BE"/>
              </w:rPr>
              <w:t xml:space="preserve"> </w:t>
            </w:r>
            <w:r w:rsidRPr="00C839B2">
              <w:rPr>
                <w:rFonts w:eastAsiaTheme="minorEastAsia"/>
                <w:b/>
                <w:bCs/>
                <w:noProof/>
                <w:sz w:val="20"/>
                <w:szCs w:val="20"/>
                <w:lang w:val="fr-BE"/>
              </w:rPr>
              <w:t>000</w:t>
            </w:r>
            <w:r>
              <w:rPr>
                <w:rFonts w:eastAsiaTheme="minorEastAsia"/>
                <w:b/>
                <w:bCs/>
                <w:noProof/>
                <w:sz w:val="20"/>
                <w:szCs w:val="20"/>
                <w:lang w:val="fr-BE"/>
              </w:rPr>
              <w:t xml:space="preserve"> 000</w:t>
            </w:r>
          </w:p>
        </w:tc>
      </w:tr>
      <w:tr w:rsidR="000A7D9D" w:rsidRPr="00C00D63" w14:paraId="5A91910A" w14:textId="77777777" w:rsidTr="00F31937">
        <w:trPr>
          <w:trHeight w:val="300"/>
        </w:trPr>
        <w:tc>
          <w:tcPr>
            <w:tcW w:w="1035" w:type="dxa"/>
            <w:vMerge/>
            <w:shd w:val="clear" w:color="auto" w:fill="D9D9D9" w:themeFill="background1" w:themeFillShade="D9"/>
          </w:tcPr>
          <w:p w14:paraId="000C4C92" w14:textId="77777777" w:rsidR="000A7D9D" w:rsidRPr="00C839B2" w:rsidRDefault="000A7D9D" w:rsidP="00F31937">
            <w:pPr>
              <w:pStyle w:val="BodyText"/>
              <w:rPr>
                <w:rFonts w:eastAsiaTheme="minorEastAsia"/>
                <w:noProof/>
                <w:sz w:val="20"/>
                <w:szCs w:val="20"/>
                <w:lang w:val="fr-BE"/>
              </w:rPr>
            </w:pPr>
          </w:p>
        </w:tc>
        <w:tc>
          <w:tcPr>
            <w:tcW w:w="3510" w:type="dxa"/>
            <w:vMerge/>
            <w:shd w:val="clear" w:color="auto" w:fill="D9D9D9" w:themeFill="background1" w:themeFillShade="D9"/>
          </w:tcPr>
          <w:p w14:paraId="72E21CCE" w14:textId="77777777" w:rsidR="000A7D9D" w:rsidRPr="00C839B2" w:rsidRDefault="000A7D9D" w:rsidP="00F31937">
            <w:pPr>
              <w:pStyle w:val="BodyText"/>
              <w:rPr>
                <w:rFonts w:eastAsiaTheme="minorEastAsia"/>
                <w:noProof/>
                <w:sz w:val="20"/>
                <w:szCs w:val="20"/>
                <w:lang w:val="fr-BE"/>
              </w:rPr>
            </w:pPr>
          </w:p>
        </w:tc>
        <w:tc>
          <w:tcPr>
            <w:tcW w:w="2820" w:type="dxa"/>
            <w:shd w:val="clear" w:color="auto" w:fill="D9D9D9" w:themeFill="background1" w:themeFillShade="D9"/>
          </w:tcPr>
          <w:p w14:paraId="67780BA3" w14:textId="77777777" w:rsidR="000A7D9D" w:rsidRPr="007F38F4" w:rsidRDefault="000A7D9D" w:rsidP="00F31937">
            <w:pPr>
              <w:pStyle w:val="BodyText"/>
              <w:tabs>
                <w:tab w:val="left" w:pos="4170"/>
              </w:tabs>
              <w:rPr>
                <w:rFonts w:eastAsiaTheme="minorEastAsia"/>
                <w:noProof/>
                <w:sz w:val="20"/>
                <w:szCs w:val="20"/>
              </w:rPr>
            </w:pPr>
            <w:r w:rsidRPr="007F38F4">
              <w:rPr>
                <w:rFonts w:eastAsiaTheme="minorEastAsia"/>
                <w:noProof/>
                <w:sz w:val="20"/>
                <w:szCs w:val="20"/>
              </w:rPr>
              <w:t>Human resource needs:</w:t>
            </w:r>
          </w:p>
        </w:tc>
        <w:tc>
          <w:tcPr>
            <w:tcW w:w="2264" w:type="dxa"/>
            <w:shd w:val="clear" w:color="auto" w:fill="D9D9D9" w:themeFill="background1" w:themeFillShade="D9"/>
          </w:tcPr>
          <w:p w14:paraId="03635CFC" w14:textId="77777777" w:rsidR="000A7D9D" w:rsidRPr="007F38F4" w:rsidRDefault="000A7D9D" w:rsidP="00F31937">
            <w:pPr>
              <w:pStyle w:val="BodyText"/>
              <w:tabs>
                <w:tab w:val="left" w:pos="4170"/>
              </w:tabs>
              <w:spacing w:after="0"/>
              <w:rPr>
                <w:rFonts w:eastAsiaTheme="minorEastAsia"/>
                <w:noProof/>
                <w:sz w:val="20"/>
                <w:szCs w:val="20"/>
                <w:lang w:val="fr-BE"/>
              </w:rPr>
            </w:pPr>
            <w:r w:rsidRPr="007F38F4">
              <w:rPr>
                <w:rFonts w:eastAsiaTheme="minorEastAsia"/>
                <w:noProof/>
                <w:sz w:val="20"/>
                <w:szCs w:val="20"/>
                <w:lang w:val="fr-BE"/>
              </w:rPr>
              <w:t xml:space="preserve">2025:  </w:t>
            </w:r>
            <w:r w:rsidRPr="007F38F4">
              <w:rPr>
                <w:rFonts w:eastAsiaTheme="minorEastAsia"/>
                <w:b/>
                <w:bCs/>
                <w:noProof/>
                <w:sz w:val="20"/>
                <w:szCs w:val="20"/>
                <w:lang w:val="fr-BE"/>
              </w:rPr>
              <w:t>1 TA</w:t>
            </w:r>
            <w:r w:rsidRPr="007F38F4">
              <w:rPr>
                <w:rFonts w:eastAsiaTheme="minorEastAsia"/>
                <w:noProof/>
                <w:sz w:val="20"/>
                <w:szCs w:val="20"/>
                <w:lang w:val="fr-BE"/>
              </w:rPr>
              <w:t xml:space="preserve">, </w:t>
            </w:r>
            <w:r>
              <w:rPr>
                <w:rFonts w:eastAsiaTheme="minorEastAsia"/>
                <w:b/>
                <w:noProof/>
                <w:sz w:val="20"/>
                <w:szCs w:val="20"/>
                <w:lang w:val="fr-BE"/>
              </w:rPr>
              <w:t>0</w:t>
            </w:r>
            <w:r w:rsidRPr="007F38F4">
              <w:rPr>
                <w:rFonts w:eastAsiaTheme="minorEastAsia"/>
                <w:b/>
                <w:noProof/>
                <w:sz w:val="20"/>
                <w:szCs w:val="20"/>
                <w:lang w:val="fr-BE"/>
              </w:rPr>
              <w:t xml:space="preserve"> CAs</w:t>
            </w:r>
          </w:p>
          <w:p w14:paraId="15F2F130" w14:textId="77777777" w:rsidR="000A7D9D" w:rsidRPr="007F38F4" w:rsidRDefault="000A7D9D" w:rsidP="00F31937">
            <w:pPr>
              <w:pStyle w:val="BodyText"/>
              <w:tabs>
                <w:tab w:val="left" w:pos="4170"/>
              </w:tabs>
              <w:spacing w:after="0"/>
              <w:rPr>
                <w:rFonts w:eastAsiaTheme="minorEastAsia"/>
                <w:noProof/>
                <w:sz w:val="20"/>
                <w:szCs w:val="20"/>
                <w:lang w:val="fr-BE"/>
              </w:rPr>
            </w:pPr>
            <w:r w:rsidRPr="007F38F4">
              <w:rPr>
                <w:rFonts w:eastAsiaTheme="minorEastAsia"/>
                <w:noProof/>
                <w:sz w:val="20"/>
                <w:szCs w:val="20"/>
                <w:lang w:val="fr-BE"/>
              </w:rPr>
              <w:t xml:space="preserve">2026:  </w:t>
            </w:r>
            <w:r w:rsidRPr="007F38F4">
              <w:rPr>
                <w:rFonts w:eastAsiaTheme="minorEastAsia"/>
                <w:b/>
                <w:bCs/>
                <w:noProof/>
                <w:sz w:val="20"/>
                <w:szCs w:val="20"/>
                <w:lang w:val="fr-BE"/>
              </w:rPr>
              <w:t>1 TA</w:t>
            </w:r>
            <w:r w:rsidRPr="007F38F4">
              <w:rPr>
                <w:rFonts w:eastAsiaTheme="minorEastAsia"/>
                <w:noProof/>
                <w:sz w:val="20"/>
                <w:szCs w:val="20"/>
                <w:lang w:val="fr-BE"/>
              </w:rPr>
              <w:t xml:space="preserve">, </w:t>
            </w:r>
            <w:r w:rsidRPr="007F38F4">
              <w:rPr>
                <w:rFonts w:eastAsiaTheme="minorEastAsia"/>
                <w:b/>
                <w:noProof/>
                <w:sz w:val="20"/>
                <w:szCs w:val="20"/>
                <w:lang w:val="fr-BE"/>
              </w:rPr>
              <w:t>1 CAs</w:t>
            </w:r>
          </w:p>
          <w:p w14:paraId="241B7669" w14:textId="77777777" w:rsidR="000A7D9D" w:rsidRDefault="000A7D9D" w:rsidP="00F31937">
            <w:pPr>
              <w:pStyle w:val="BodyText"/>
              <w:tabs>
                <w:tab w:val="left" w:pos="4170"/>
              </w:tabs>
              <w:spacing w:after="0"/>
              <w:rPr>
                <w:rFonts w:eastAsiaTheme="minorEastAsia"/>
                <w:b/>
                <w:noProof/>
                <w:sz w:val="20"/>
                <w:szCs w:val="20"/>
                <w:lang w:val="fr-BE"/>
              </w:rPr>
            </w:pPr>
            <w:r w:rsidRPr="007F38F4">
              <w:rPr>
                <w:rFonts w:eastAsiaTheme="minorEastAsia"/>
                <w:noProof/>
                <w:sz w:val="20"/>
                <w:szCs w:val="20"/>
                <w:lang w:val="fr-BE"/>
              </w:rPr>
              <w:t xml:space="preserve">2027:  </w:t>
            </w:r>
            <w:r w:rsidRPr="007F38F4">
              <w:rPr>
                <w:rFonts w:eastAsiaTheme="minorEastAsia"/>
                <w:b/>
                <w:bCs/>
                <w:noProof/>
                <w:sz w:val="20"/>
                <w:szCs w:val="20"/>
                <w:lang w:val="fr-BE"/>
              </w:rPr>
              <w:t>1 TA</w:t>
            </w:r>
            <w:r w:rsidRPr="007F38F4">
              <w:rPr>
                <w:rFonts w:eastAsiaTheme="minorEastAsia"/>
                <w:noProof/>
                <w:sz w:val="20"/>
                <w:szCs w:val="20"/>
                <w:lang w:val="fr-BE"/>
              </w:rPr>
              <w:t xml:space="preserve">, </w:t>
            </w:r>
            <w:r w:rsidRPr="007F38F4">
              <w:rPr>
                <w:rFonts w:eastAsiaTheme="minorEastAsia"/>
                <w:b/>
                <w:noProof/>
                <w:sz w:val="20"/>
                <w:szCs w:val="20"/>
                <w:lang w:val="fr-BE"/>
              </w:rPr>
              <w:t>1 C</w:t>
            </w:r>
            <w:r>
              <w:rPr>
                <w:rFonts w:eastAsiaTheme="minorEastAsia"/>
                <w:b/>
                <w:noProof/>
                <w:sz w:val="20"/>
                <w:szCs w:val="20"/>
                <w:lang w:val="fr-BE"/>
              </w:rPr>
              <w:t>A</w:t>
            </w:r>
            <w:r w:rsidRPr="007F38F4">
              <w:rPr>
                <w:rFonts w:eastAsiaTheme="minorEastAsia"/>
                <w:b/>
                <w:noProof/>
                <w:sz w:val="20"/>
                <w:szCs w:val="20"/>
                <w:lang w:val="fr-BE"/>
              </w:rPr>
              <w:t>s</w:t>
            </w:r>
          </w:p>
          <w:p w14:paraId="4C9A67EB" w14:textId="77777777" w:rsidR="000A7D9D" w:rsidRPr="00C839B2" w:rsidRDefault="000A7D9D" w:rsidP="00F31937">
            <w:pPr>
              <w:pStyle w:val="BodyText"/>
              <w:tabs>
                <w:tab w:val="left" w:pos="4170"/>
              </w:tabs>
              <w:spacing w:after="0"/>
              <w:rPr>
                <w:rFonts w:eastAsiaTheme="minorEastAsia"/>
                <w:b/>
                <w:noProof/>
                <w:sz w:val="20"/>
                <w:szCs w:val="20"/>
                <w:lang w:val="fr-BE"/>
              </w:rPr>
            </w:pPr>
            <w:r>
              <w:rPr>
                <w:rFonts w:eastAsiaTheme="minorEastAsia"/>
                <w:noProof/>
                <w:sz w:val="20"/>
                <w:szCs w:val="20"/>
                <w:lang w:val="fr-BE"/>
              </w:rPr>
              <w:t>2028</w:t>
            </w:r>
            <w:r w:rsidRPr="007F38F4">
              <w:rPr>
                <w:rFonts w:eastAsiaTheme="minorEastAsia"/>
                <w:noProof/>
                <w:sz w:val="20"/>
                <w:szCs w:val="20"/>
                <w:lang w:val="fr-BE"/>
              </w:rPr>
              <w:t xml:space="preserve">:  </w:t>
            </w:r>
            <w:r w:rsidRPr="007F38F4">
              <w:rPr>
                <w:rFonts w:eastAsiaTheme="minorEastAsia"/>
                <w:b/>
                <w:bCs/>
                <w:noProof/>
                <w:sz w:val="20"/>
                <w:szCs w:val="20"/>
                <w:lang w:val="fr-BE"/>
              </w:rPr>
              <w:t>1 TA</w:t>
            </w:r>
            <w:r w:rsidRPr="007F38F4">
              <w:rPr>
                <w:rFonts w:eastAsiaTheme="minorEastAsia"/>
                <w:noProof/>
                <w:sz w:val="20"/>
                <w:szCs w:val="20"/>
                <w:lang w:val="fr-BE"/>
              </w:rPr>
              <w:t xml:space="preserve">, </w:t>
            </w:r>
            <w:r w:rsidRPr="007F38F4">
              <w:rPr>
                <w:rFonts w:eastAsiaTheme="minorEastAsia"/>
                <w:b/>
                <w:noProof/>
                <w:sz w:val="20"/>
                <w:szCs w:val="20"/>
                <w:lang w:val="fr-BE"/>
              </w:rPr>
              <w:t>1 C</w:t>
            </w:r>
            <w:r>
              <w:rPr>
                <w:rFonts w:eastAsiaTheme="minorEastAsia"/>
                <w:b/>
                <w:noProof/>
                <w:sz w:val="20"/>
                <w:szCs w:val="20"/>
                <w:lang w:val="fr-BE"/>
              </w:rPr>
              <w:t>A</w:t>
            </w:r>
            <w:r w:rsidRPr="007F38F4">
              <w:rPr>
                <w:rFonts w:eastAsiaTheme="minorEastAsia"/>
                <w:b/>
                <w:noProof/>
                <w:sz w:val="20"/>
                <w:szCs w:val="20"/>
                <w:lang w:val="fr-BE"/>
              </w:rPr>
              <w:t>s</w:t>
            </w:r>
          </w:p>
        </w:tc>
      </w:tr>
      <w:tr w:rsidR="000A7D9D" w14:paraId="718AB475" w14:textId="77777777" w:rsidTr="00F31937">
        <w:trPr>
          <w:trHeight w:val="300"/>
        </w:trPr>
        <w:tc>
          <w:tcPr>
            <w:tcW w:w="1035" w:type="dxa"/>
            <w:vMerge w:val="restart"/>
            <w:shd w:val="clear" w:color="auto" w:fill="D9D9D9" w:themeFill="background1" w:themeFillShade="D9"/>
          </w:tcPr>
          <w:p w14:paraId="1D761157" w14:textId="77777777" w:rsidR="000A7D9D" w:rsidRPr="007F38F4" w:rsidRDefault="000A7D9D" w:rsidP="00F31937">
            <w:pPr>
              <w:pStyle w:val="BodyText"/>
              <w:rPr>
                <w:rFonts w:eastAsiaTheme="minorEastAsia"/>
                <w:noProof/>
                <w:sz w:val="20"/>
                <w:szCs w:val="20"/>
              </w:rPr>
            </w:pPr>
            <w:r w:rsidRPr="007F38F4">
              <w:rPr>
                <w:rFonts w:eastAsiaTheme="minorEastAsia"/>
                <w:noProof/>
                <w:sz w:val="20"/>
                <w:szCs w:val="20"/>
              </w:rPr>
              <w:t>EFSA</w:t>
            </w:r>
          </w:p>
        </w:tc>
        <w:tc>
          <w:tcPr>
            <w:tcW w:w="3510" w:type="dxa"/>
            <w:vMerge w:val="restart"/>
            <w:shd w:val="clear" w:color="auto" w:fill="D9D9D9" w:themeFill="background1" w:themeFillShade="D9"/>
          </w:tcPr>
          <w:p w14:paraId="5583EEE0" w14:textId="77777777" w:rsidR="000A7D9D" w:rsidRPr="007F38F4" w:rsidRDefault="000A7D9D" w:rsidP="00F31937">
            <w:pPr>
              <w:rPr>
                <w:rFonts w:eastAsiaTheme="majorEastAsia"/>
                <w:noProof/>
                <w:lang w:val="en-US"/>
              </w:rPr>
            </w:pPr>
            <w:r w:rsidRPr="13AEFEEB">
              <w:rPr>
                <w:rFonts w:eastAsiaTheme="majorEastAsia"/>
                <w:noProof/>
                <w:lang w:val="en-US"/>
              </w:rPr>
              <w:t>Cooperating with EFSA on commissioning studies and on joint decision-making on which studies and how to follow-up</w:t>
            </w:r>
          </w:p>
        </w:tc>
        <w:tc>
          <w:tcPr>
            <w:tcW w:w="2820" w:type="dxa"/>
            <w:shd w:val="clear" w:color="auto" w:fill="D9D9D9" w:themeFill="background1" w:themeFillShade="D9"/>
          </w:tcPr>
          <w:p w14:paraId="416FF106" w14:textId="77777777" w:rsidR="000A7D9D" w:rsidRPr="007F38F4" w:rsidRDefault="000A7D9D" w:rsidP="00F31937">
            <w:pPr>
              <w:pStyle w:val="BodyText"/>
              <w:tabs>
                <w:tab w:val="left" w:pos="4170"/>
              </w:tabs>
              <w:rPr>
                <w:rFonts w:eastAsiaTheme="minorEastAsia"/>
                <w:noProof/>
                <w:sz w:val="20"/>
                <w:szCs w:val="20"/>
              </w:rPr>
            </w:pPr>
            <w:r w:rsidRPr="007F38F4">
              <w:rPr>
                <w:rFonts w:eastAsiaTheme="minorEastAsia"/>
                <w:noProof/>
                <w:sz w:val="20"/>
                <w:szCs w:val="20"/>
              </w:rPr>
              <w:t>Financial resource needs:</w:t>
            </w:r>
          </w:p>
          <w:p w14:paraId="7E7E515C" w14:textId="77777777" w:rsidR="000A7D9D" w:rsidRPr="007F38F4" w:rsidRDefault="000A7D9D" w:rsidP="00F31937">
            <w:pPr>
              <w:pStyle w:val="BodyText"/>
              <w:rPr>
                <w:rFonts w:eastAsiaTheme="minorEastAsia"/>
                <w:noProof/>
                <w:sz w:val="20"/>
                <w:szCs w:val="20"/>
              </w:rPr>
            </w:pPr>
          </w:p>
        </w:tc>
        <w:tc>
          <w:tcPr>
            <w:tcW w:w="2264" w:type="dxa"/>
            <w:shd w:val="clear" w:color="auto" w:fill="D9D9D9" w:themeFill="background1" w:themeFillShade="D9"/>
          </w:tcPr>
          <w:p w14:paraId="4F0442FD" w14:textId="77777777" w:rsidR="000A7D9D" w:rsidRPr="007F38F4" w:rsidRDefault="000A7D9D" w:rsidP="00F31937">
            <w:pPr>
              <w:pStyle w:val="BodyText"/>
              <w:rPr>
                <w:rFonts w:eastAsiaTheme="minorEastAsia"/>
                <w:noProof/>
                <w:sz w:val="20"/>
                <w:szCs w:val="20"/>
              </w:rPr>
            </w:pPr>
            <w:r>
              <w:rPr>
                <w:rFonts w:eastAsiaTheme="minorEastAsia"/>
                <w:noProof/>
                <w:sz w:val="20"/>
                <w:szCs w:val="20"/>
              </w:rPr>
              <w:t>C</w:t>
            </w:r>
            <w:r w:rsidRPr="007F38F4">
              <w:rPr>
                <w:rFonts w:eastAsiaTheme="minorEastAsia"/>
                <w:noProof/>
                <w:sz w:val="20"/>
                <w:szCs w:val="20"/>
              </w:rPr>
              <w:t>overed by the existing data generation mechanism</w:t>
            </w:r>
          </w:p>
        </w:tc>
      </w:tr>
      <w:tr w:rsidR="000A7D9D" w14:paraId="79FD41A6" w14:textId="77777777" w:rsidTr="00F31937">
        <w:trPr>
          <w:trHeight w:val="300"/>
        </w:trPr>
        <w:tc>
          <w:tcPr>
            <w:tcW w:w="1035" w:type="dxa"/>
            <w:vMerge/>
            <w:shd w:val="clear" w:color="auto" w:fill="D9D9D9" w:themeFill="background1" w:themeFillShade="D9"/>
          </w:tcPr>
          <w:p w14:paraId="7139D075" w14:textId="77777777" w:rsidR="000A7D9D" w:rsidRPr="007F38F4" w:rsidRDefault="000A7D9D" w:rsidP="00F31937">
            <w:pPr>
              <w:pStyle w:val="BodyText"/>
              <w:rPr>
                <w:rFonts w:eastAsiaTheme="minorEastAsia"/>
                <w:noProof/>
                <w:sz w:val="20"/>
                <w:szCs w:val="20"/>
              </w:rPr>
            </w:pPr>
          </w:p>
        </w:tc>
        <w:tc>
          <w:tcPr>
            <w:tcW w:w="3510" w:type="dxa"/>
            <w:vMerge/>
            <w:shd w:val="clear" w:color="auto" w:fill="D9D9D9" w:themeFill="background1" w:themeFillShade="D9"/>
          </w:tcPr>
          <w:p w14:paraId="51FEFE55" w14:textId="77777777" w:rsidR="000A7D9D" w:rsidRPr="007F38F4" w:rsidRDefault="000A7D9D" w:rsidP="00F31937">
            <w:pPr>
              <w:rPr>
                <w:rFonts w:eastAsiaTheme="majorEastAsia"/>
                <w:noProof/>
                <w:lang w:val="en-US"/>
              </w:rPr>
            </w:pPr>
          </w:p>
        </w:tc>
        <w:tc>
          <w:tcPr>
            <w:tcW w:w="2820" w:type="dxa"/>
            <w:shd w:val="clear" w:color="auto" w:fill="D9D9D9" w:themeFill="background1" w:themeFillShade="D9"/>
          </w:tcPr>
          <w:p w14:paraId="3E6FD706" w14:textId="77777777" w:rsidR="000A7D9D" w:rsidRPr="007F38F4" w:rsidRDefault="000A7D9D" w:rsidP="00F31937">
            <w:pPr>
              <w:pStyle w:val="BodyText"/>
              <w:tabs>
                <w:tab w:val="left" w:pos="4170"/>
              </w:tabs>
              <w:rPr>
                <w:rFonts w:eastAsiaTheme="minorEastAsia"/>
                <w:noProof/>
                <w:sz w:val="20"/>
                <w:szCs w:val="20"/>
              </w:rPr>
            </w:pPr>
            <w:r w:rsidRPr="007F38F4">
              <w:rPr>
                <w:rFonts w:eastAsiaTheme="minorEastAsia"/>
                <w:noProof/>
                <w:sz w:val="20"/>
                <w:szCs w:val="20"/>
              </w:rPr>
              <w:t>Human resource needs:</w:t>
            </w:r>
          </w:p>
        </w:tc>
        <w:tc>
          <w:tcPr>
            <w:tcW w:w="2264" w:type="dxa"/>
            <w:shd w:val="clear" w:color="auto" w:fill="D9D9D9" w:themeFill="background1" w:themeFillShade="D9"/>
          </w:tcPr>
          <w:p w14:paraId="6398DA58" w14:textId="77777777" w:rsidR="000A7D9D" w:rsidRPr="007F38F4" w:rsidRDefault="000A7D9D" w:rsidP="00F31937">
            <w:pPr>
              <w:pStyle w:val="BodyText"/>
              <w:rPr>
                <w:rFonts w:eastAsiaTheme="minorEastAsia"/>
                <w:noProof/>
                <w:sz w:val="20"/>
                <w:szCs w:val="20"/>
              </w:rPr>
            </w:pPr>
            <w:r>
              <w:rPr>
                <w:rFonts w:eastAsiaTheme="minorEastAsia"/>
                <w:noProof/>
                <w:sz w:val="20"/>
                <w:szCs w:val="20"/>
              </w:rPr>
              <w:t>C</w:t>
            </w:r>
            <w:r w:rsidRPr="007F38F4">
              <w:rPr>
                <w:rFonts w:eastAsiaTheme="minorEastAsia"/>
                <w:noProof/>
                <w:sz w:val="20"/>
                <w:szCs w:val="20"/>
              </w:rPr>
              <w:t>overed by the ex</w:t>
            </w:r>
            <w:r>
              <w:rPr>
                <w:rFonts w:eastAsiaTheme="minorEastAsia"/>
                <w:noProof/>
                <w:sz w:val="20"/>
                <w:szCs w:val="20"/>
              </w:rPr>
              <w:t>isting data generation mechanism</w:t>
            </w:r>
          </w:p>
        </w:tc>
      </w:tr>
    </w:tbl>
    <w:p w14:paraId="03CC7BCA" w14:textId="77777777" w:rsidR="000A7D9D" w:rsidRPr="003C41A1" w:rsidRDefault="000A7D9D" w:rsidP="000A7D9D">
      <w:pPr>
        <w:pStyle w:val="BodyText"/>
        <w:spacing w:before="120"/>
        <w:rPr>
          <w:noProof/>
        </w:rPr>
      </w:pPr>
      <w:r w:rsidRPr="1880B16D">
        <w:rPr>
          <w:noProof/>
          <w:u w:val="single"/>
        </w:rPr>
        <w:t>Future budget line:</w:t>
      </w:r>
      <w:r>
        <w:rPr>
          <w:noProof/>
        </w:rPr>
        <w:t xml:space="preserve"> DG Environment</w:t>
      </w:r>
    </w:p>
    <w:p w14:paraId="56B598DF" w14:textId="77777777" w:rsidR="000A7D9D" w:rsidRDefault="000A7D9D" w:rsidP="000A7D9D">
      <w:pPr>
        <w:pStyle w:val="BodyText"/>
        <w:rPr>
          <w:noProof/>
        </w:rPr>
      </w:pPr>
      <w:r w:rsidRPr="6AAF2222">
        <w:rPr>
          <w:noProof/>
          <w:u w:val="single"/>
        </w:rPr>
        <w:t>Candidate for fees:</w:t>
      </w:r>
      <w:r>
        <w:rPr>
          <w:noProof/>
        </w:rPr>
        <w:t xml:space="preserve"> No</w:t>
      </w:r>
    </w:p>
    <w:p w14:paraId="0FB68E76" w14:textId="77777777" w:rsidR="000A7D9D" w:rsidRDefault="000A7D9D" w:rsidP="000A7D9D">
      <w:pPr>
        <w:pStyle w:val="BodyText"/>
        <w:rPr>
          <w:noProof/>
        </w:rPr>
      </w:pPr>
    </w:p>
    <w:p w14:paraId="69840A79"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80" w:name="_Toc150499945"/>
      <w:r w:rsidRPr="00291F95">
        <w:rPr>
          <w:rFonts w:ascii="Times New Roman" w:hAnsi="Times New Roman"/>
          <w:smallCaps/>
          <w:noProof/>
          <w:color w:val="auto"/>
          <w:sz w:val="24"/>
          <w:szCs w:val="20"/>
          <w:lang w:eastAsia="en-US"/>
        </w:rPr>
        <w:t>Mechanism for notification of studies</w:t>
      </w:r>
      <w:bookmarkEnd w:id="80"/>
    </w:p>
    <w:p w14:paraId="0992BA59" w14:textId="77777777" w:rsidR="000A7D9D" w:rsidRPr="007F38F4" w:rsidRDefault="000A7D9D" w:rsidP="000A7D9D">
      <w:pPr>
        <w:spacing w:after="120"/>
        <w:rPr>
          <w:rFonts w:ascii="Times New Roman" w:hAnsi="Times New Roman" w:cs="Times New Roman"/>
          <w:b/>
          <w:bCs/>
          <w:noProof/>
          <w:sz w:val="24"/>
          <w:szCs w:val="24"/>
        </w:rPr>
      </w:pPr>
      <w:r w:rsidRPr="007F38F4">
        <w:rPr>
          <w:rFonts w:ascii="Times New Roman" w:hAnsi="Times New Roman" w:cs="Times New Roman"/>
          <w:b/>
          <w:bCs/>
          <w:noProof/>
          <w:sz w:val="24"/>
          <w:szCs w:val="24"/>
        </w:rPr>
        <w:t>Responsible body:</w:t>
      </w:r>
    </w:p>
    <w:p w14:paraId="5D039B82"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u w:val="single"/>
        </w:rPr>
        <w:t>Currently:</w:t>
      </w:r>
      <w:r w:rsidRPr="007F38F4">
        <w:rPr>
          <w:rFonts w:ascii="Times New Roman" w:hAnsi="Times New Roman" w:cs="Times New Roman"/>
          <w:noProof/>
          <w:sz w:val="24"/>
          <w:szCs w:val="24"/>
        </w:rPr>
        <w:t xml:space="preserve"> EFSA</w:t>
      </w:r>
    </w:p>
    <w:p w14:paraId="6E71A663" w14:textId="77777777" w:rsidR="000A7D9D" w:rsidRPr="007F38F4" w:rsidRDefault="000A7D9D" w:rsidP="000A7D9D">
      <w:pPr>
        <w:spacing w:after="120"/>
        <w:jc w:val="both"/>
        <w:rPr>
          <w:rFonts w:ascii="Times New Roman" w:hAnsi="Times New Roman" w:cs="Times New Roman"/>
          <w:noProof/>
          <w:sz w:val="24"/>
          <w:szCs w:val="24"/>
        </w:rPr>
      </w:pPr>
      <w:r w:rsidRPr="13AEFEEB">
        <w:rPr>
          <w:rFonts w:ascii="Times New Roman" w:hAnsi="Times New Roman" w:cs="Times New Roman"/>
          <w:noProof/>
          <w:sz w:val="24"/>
          <w:szCs w:val="24"/>
          <w:u w:val="single"/>
        </w:rPr>
        <w:t>(Re-)attribution planned to:</w:t>
      </w:r>
      <w:r w:rsidRPr="13AEFEEB">
        <w:rPr>
          <w:rFonts w:ascii="Times New Roman" w:hAnsi="Times New Roman" w:cs="Times New Roman"/>
          <w:noProof/>
          <w:sz w:val="24"/>
          <w:szCs w:val="24"/>
        </w:rPr>
        <w:t xml:space="preserve"> EFSA (for notifications under the </w:t>
      </w:r>
      <w:r w:rsidRPr="00D437FA">
        <w:rPr>
          <w:rFonts w:ascii="Times New Roman" w:hAnsi="Times New Roman" w:cs="Times New Roman"/>
          <w:noProof/>
          <w:sz w:val="24"/>
          <w:szCs w:val="24"/>
        </w:rPr>
        <w:t>General Food Law</w:t>
      </w:r>
      <w:r>
        <w:rPr>
          <w:rStyle w:val="FootnoteReference"/>
          <w:rFonts w:ascii="Times New Roman" w:hAnsi="Times New Roman" w:cs="Times New Roman"/>
          <w:noProof/>
          <w:sz w:val="24"/>
          <w:szCs w:val="24"/>
        </w:rPr>
        <w:footnoteReference w:id="61"/>
      </w:r>
      <w:r w:rsidRPr="13AEFEEB">
        <w:rPr>
          <w:rFonts w:ascii="Times New Roman" w:hAnsi="Times New Roman" w:cs="Times New Roman"/>
          <w:noProof/>
          <w:sz w:val="24"/>
          <w:szCs w:val="24"/>
        </w:rPr>
        <w:t>), ECHA (for notifications of  studies beyond the food sector)</w:t>
      </w:r>
    </w:p>
    <w:p w14:paraId="19090DD7" w14:textId="77777777" w:rsidR="000A7D9D" w:rsidRDefault="000A7D9D" w:rsidP="000A7D9D">
      <w:pPr>
        <w:spacing w:after="120"/>
        <w:jc w:val="both"/>
        <w:rPr>
          <w:noProof/>
        </w:rPr>
      </w:pPr>
      <w:r w:rsidRPr="00D437FA">
        <w:rPr>
          <w:rFonts w:ascii="Times New Roman" w:hAnsi="Times New Roman" w:cs="Times New Roman"/>
          <w:b/>
          <w:bCs/>
          <w:noProof/>
          <w:sz w:val="24"/>
          <w:szCs w:val="24"/>
        </w:rPr>
        <w:t xml:space="preserve">Legal basis for reattribution: </w:t>
      </w:r>
      <w:r w:rsidRPr="00D437FA">
        <w:rPr>
          <w:rFonts w:ascii="Times New Roman" w:hAnsi="Times New Roman" w:cs="Times New Roman"/>
          <w:noProof/>
          <w:sz w:val="24"/>
          <w:szCs w:val="24"/>
        </w:rPr>
        <w:t xml:space="preserve"> Proposal for a regulation of the European Parliament and of the Council establishing a common data platform on chemicals, laying down rules to ensure that the data contained in it are findable, accessible, interoperable and reusable and</w:t>
      </w:r>
      <w:r w:rsidRPr="13AEFEEB">
        <w:rPr>
          <w:rFonts w:ascii="Times New Roman" w:hAnsi="Times New Roman" w:cs="Times New Roman"/>
          <w:noProof/>
          <w:sz w:val="24"/>
          <w:szCs w:val="24"/>
        </w:rPr>
        <w:t xml:space="preserve"> establishing a monitoring and outlook framework for chemicals</w:t>
      </w:r>
    </w:p>
    <w:p w14:paraId="0B64BDE9"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b/>
          <w:bCs/>
          <w:noProof/>
          <w:sz w:val="24"/>
          <w:szCs w:val="24"/>
        </w:rPr>
        <w:t xml:space="preserve">Type of task: </w:t>
      </w:r>
      <w:r w:rsidRPr="007F38F4">
        <w:rPr>
          <w:rFonts w:ascii="Times New Roman" w:hAnsi="Times New Roman" w:cs="Times New Roman"/>
          <w:noProof/>
          <w:sz w:val="24"/>
          <w:szCs w:val="24"/>
        </w:rPr>
        <w:t>new</w:t>
      </w:r>
    </w:p>
    <w:p w14:paraId="32D64E17" w14:textId="77777777" w:rsidR="000A7D9D" w:rsidRPr="007F38F4" w:rsidRDefault="000A7D9D" w:rsidP="000A7D9D">
      <w:pPr>
        <w:pStyle w:val="BodyText"/>
        <w:jc w:val="both"/>
        <w:rPr>
          <w:noProof/>
        </w:rPr>
      </w:pPr>
      <w:r w:rsidRPr="13AEFEEB">
        <w:rPr>
          <w:b/>
          <w:bCs/>
          <w:noProof/>
        </w:rPr>
        <w:t xml:space="preserve">Brief task overview: </w:t>
      </w:r>
      <w:r>
        <w:rPr>
          <w:noProof/>
        </w:rPr>
        <w:t>Operation of an on-line system for receiving and storing notification of information on studies commissioned or carried out cby industry and contractual research laboratories</w:t>
      </w:r>
    </w:p>
    <w:p w14:paraId="627E95E8" w14:textId="77777777" w:rsidR="000A7D9D" w:rsidRPr="007F38F4" w:rsidRDefault="000A7D9D" w:rsidP="000A7D9D">
      <w:pPr>
        <w:pStyle w:val="BodyText"/>
        <w:rPr>
          <w:noProof/>
          <w:lang w:eastAsia="en-GB"/>
        </w:rPr>
      </w:pPr>
      <w:r w:rsidRPr="007F38F4">
        <w:rPr>
          <w:b/>
          <w:bCs/>
          <w:noProof/>
          <w:lang w:val="en-US" w:eastAsia="en-GB"/>
        </w:rPr>
        <w:t>Detailed process description:</w:t>
      </w:r>
    </w:p>
    <w:p w14:paraId="2D49BF0C" w14:textId="77777777" w:rsidR="000A7D9D" w:rsidRPr="007F38F4" w:rsidRDefault="000A7D9D" w:rsidP="000A7D9D">
      <w:pPr>
        <w:spacing w:after="120"/>
        <w:rPr>
          <w:rFonts w:ascii="Times New Roman" w:hAnsi="Times New Roman" w:cs="Times New Roman"/>
          <w:noProof/>
          <w:sz w:val="24"/>
          <w:szCs w:val="24"/>
          <w:u w:val="single"/>
          <w:lang w:val="en-US" w:eastAsia="en-GB"/>
        </w:rPr>
      </w:pPr>
      <w:r w:rsidRPr="007F38F4">
        <w:rPr>
          <w:rFonts w:ascii="Times New Roman" w:hAnsi="Times New Roman" w:cs="Times New Roman"/>
          <w:noProof/>
          <w:sz w:val="24"/>
          <w:szCs w:val="24"/>
          <w:u w:val="single"/>
          <w:lang w:val="en-US" w:eastAsia="en-GB"/>
        </w:rPr>
        <w:t>Current process:</w:t>
      </w:r>
      <w:r w:rsidRPr="007F38F4">
        <w:rPr>
          <w:rFonts w:ascii="Times New Roman" w:hAnsi="Times New Roman" w:cs="Times New Roman"/>
          <w:noProof/>
          <w:sz w:val="24"/>
          <w:szCs w:val="24"/>
          <w:lang w:val="en-US" w:eastAsia="en-GB"/>
        </w:rPr>
        <w:t xml:space="preserve"> </w:t>
      </w:r>
    </w:p>
    <w:p w14:paraId="0132FA11" w14:textId="77777777" w:rsidR="000A7D9D" w:rsidRPr="007F38F4" w:rsidRDefault="000A7D9D" w:rsidP="000A7D9D">
      <w:pPr>
        <w:spacing w:after="120"/>
        <w:jc w:val="both"/>
        <w:rPr>
          <w:rFonts w:ascii="Times New Roman" w:eastAsiaTheme="minorEastAsia" w:hAnsi="Times New Roman" w:cs="Times New Roman"/>
          <w:noProof/>
          <w:sz w:val="24"/>
          <w:szCs w:val="24"/>
          <w:lang w:val="en-US"/>
        </w:rPr>
      </w:pPr>
      <w:r w:rsidRPr="007F38F4">
        <w:rPr>
          <w:rFonts w:ascii="Times New Roman" w:eastAsiaTheme="minorEastAsia" w:hAnsi="Times New Roman" w:cs="Times New Roman"/>
          <w:noProof/>
          <w:sz w:val="24"/>
          <w:szCs w:val="24"/>
          <w:lang w:val="en-IE"/>
        </w:rPr>
        <w:t>To ensure that the EU risk assessor has knowledge of all studies performed by an applicant, Regulation (EU) 2019/1381 (Transparency Regulation) contains a requirement to notify studies that are commissioned or carried out in the context of the preparation of an application for approval process in the food chain, at pre-submission phase. Information about the notified studies is made public once a corresponding valid application has been submitted and information on it is made public in accordance with the applicable rules on transparency. The Transparency Regulation also provides for consequences and certain procedural requirements in the case of non-compliance.</w:t>
      </w:r>
    </w:p>
    <w:p w14:paraId="1BB01553" w14:textId="77777777" w:rsidR="000A7D9D" w:rsidRPr="007F38F4" w:rsidRDefault="000A7D9D" w:rsidP="000A7D9D">
      <w:pPr>
        <w:spacing w:after="120"/>
        <w:jc w:val="both"/>
        <w:rPr>
          <w:rFonts w:ascii="Times New Roman" w:eastAsiaTheme="minorEastAsia" w:hAnsi="Times New Roman" w:cs="Times New Roman"/>
          <w:noProof/>
          <w:sz w:val="24"/>
          <w:szCs w:val="24"/>
          <w:lang w:val="en-IE"/>
        </w:rPr>
      </w:pPr>
      <w:r w:rsidRPr="13AEFEEB">
        <w:rPr>
          <w:rFonts w:ascii="Times New Roman" w:eastAsiaTheme="minorEastAsia" w:hAnsi="Times New Roman" w:cs="Times New Roman"/>
          <w:noProof/>
          <w:sz w:val="24"/>
          <w:szCs w:val="24"/>
          <w:lang w:val="en-IE"/>
        </w:rPr>
        <w:t xml:space="preserve">The studies are notified by the industry commissioning them as well as by the laboratories performing them. They are notified to EFSA and EFSA operates an online system (database) for receiving and storing the notifications. The system has existed for since </w:t>
      </w:r>
      <w:r>
        <w:rPr>
          <w:rFonts w:ascii="Times New Roman" w:eastAsiaTheme="minorEastAsia" w:hAnsi="Times New Roman" w:cs="Times New Roman"/>
          <w:noProof/>
          <w:sz w:val="24"/>
          <w:szCs w:val="24"/>
          <w:lang w:val="en-IE"/>
        </w:rPr>
        <w:t>27 March 2021</w:t>
      </w:r>
      <w:r w:rsidRPr="13AEFEEB">
        <w:rPr>
          <w:rFonts w:ascii="Times New Roman" w:eastAsiaTheme="minorEastAsia" w:hAnsi="Times New Roman" w:cs="Times New Roman"/>
          <w:noProof/>
          <w:sz w:val="24"/>
          <w:szCs w:val="24"/>
          <w:lang w:val="en-IE"/>
        </w:rPr>
        <w:t xml:space="preserve">  and 15 652 notifications were received up until </w:t>
      </w:r>
      <w:r>
        <w:rPr>
          <w:rFonts w:ascii="Times New Roman" w:eastAsiaTheme="minorEastAsia" w:hAnsi="Times New Roman" w:cs="Times New Roman"/>
          <w:noProof/>
          <w:sz w:val="24"/>
          <w:szCs w:val="24"/>
          <w:lang w:val="en-IE"/>
        </w:rPr>
        <w:t>March 2023</w:t>
      </w:r>
      <w:r w:rsidRPr="13AEFEEB">
        <w:rPr>
          <w:rFonts w:ascii="Times New Roman" w:eastAsiaTheme="minorEastAsia" w:hAnsi="Times New Roman" w:cs="Times New Roman"/>
          <w:noProof/>
          <w:sz w:val="24"/>
          <w:szCs w:val="24"/>
          <w:lang w:val="en-IE"/>
        </w:rPr>
        <w:t>.</w:t>
      </w:r>
    </w:p>
    <w:p w14:paraId="4D2EDF01" w14:textId="77777777" w:rsidR="000A7D9D" w:rsidRPr="007F38F4" w:rsidRDefault="000A7D9D" w:rsidP="000A7D9D">
      <w:pPr>
        <w:spacing w:after="120"/>
        <w:jc w:val="both"/>
        <w:rPr>
          <w:rFonts w:ascii="Times New Roman" w:eastAsiaTheme="minorEastAsia" w:hAnsi="Times New Roman" w:cs="Times New Roman"/>
          <w:noProof/>
          <w:sz w:val="24"/>
          <w:szCs w:val="24"/>
          <w:lang w:val="en-IE"/>
        </w:rPr>
      </w:pPr>
      <w:r w:rsidRPr="13AEFEEB">
        <w:rPr>
          <w:rFonts w:ascii="Times New Roman" w:eastAsiaTheme="minorEastAsia" w:hAnsi="Times New Roman" w:cs="Times New Roman"/>
          <w:noProof/>
          <w:sz w:val="24"/>
          <w:szCs w:val="24"/>
          <w:lang w:val="en-IE"/>
        </w:rPr>
        <w:t xml:space="preserve">EFSA verifies the compliance with the notification requirements once the application </w:t>
      </w:r>
      <w:r>
        <w:rPr>
          <w:rFonts w:ascii="Times New Roman" w:eastAsiaTheme="minorEastAsia" w:hAnsi="Times New Roman" w:cs="Times New Roman"/>
          <w:noProof/>
          <w:sz w:val="24"/>
          <w:szCs w:val="24"/>
          <w:lang w:val="en-IE"/>
        </w:rPr>
        <w:t xml:space="preserve">or notification </w:t>
      </w:r>
      <w:r w:rsidRPr="13AEFEEB">
        <w:rPr>
          <w:rFonts w:ascii="Times New Roman" w:eastAsiaTheme="minorEastAsia" w:hAnsi="Times New Roman" w:cs="Times New Roman"/>
          <w:noProof/>
          <w:sz w:val="24"/>
          <w:szCs w:val="24"/>
          <w:lang w:val="en-IE"/>
        </w:rPr>
        <w:t xml:space="preserve">is received </w:t>
      </w:r>
      <w:r>
        <w:rPr>
          <w:rFonts w:ascii="Times New Roman" w:eastAsiaTheme="minorEastAsia" w:hAnsi="Times New Roman" w:cs="Times New Roman"/>
          <w:noProof/>
          <w:sz w:val="24"/>
          <w:szCs w:val="24"/>
          <w:lang w:val="en-IE"/>
        </w:rPr>
        <w:t>in relation to which Union law contains provisions for EFSA to provide a scientific output.</w:t>
      </w:r>
      <w:r w:rsidRPr="13AEFEEB">
        <w:rPr>
          <w:rFonts w:ascii="Times New Roman" w:eastAsiaTheme="minorEastAsia" w:hAnsi="Times New Roman" w:cs="Times New Roman"/>
          <w:noProof/>
          <w:sz w:val="24"/>
          <w:szCs w:val="24"/>
          <w:lang w:val="en-IE"/>
        </w:rPr>
        <w:t xml:space="preserve">. This work is done automatically but requires also some manual checks. </w:t>
      </w:r>
    </w:p>
    <w:p w14:paraId="1A2E0424" w14:textId="77777777" w:rsidR="000A7D9D" w:rsidRPr="007F38F4" w:rsidRDefault="000A7D9D" w:rsidP="000A7D9D">
      <w:pPr>
        <w:spacing w:after="120"/>
        <w:jc w:val="both"/>
        <w:rPr>
          <w:rFonts w:ascii="Times New Roman" w:eastAsiaTheme="minorEastAsia" w:hAnsi="Times New Roman" w:cs="Times New Roman"/>
          <w:noProof/>
          <w:sz w:val="24"/>
          <w:szCs w:val="24"/>
          <w:u w:val="single"/>
          <w:lang w:val="en-IE"/>
        </w:rPr>
      </w:pPr>
      <w:r w:rsidRPr="007F38F4">
        <w:rPr>
          <w:rFonts w:ascii="Times New Roman" w:eastAsiaTheme="minorEastAsia" w:hAnsi="Times New Roman" w:cs="Times New Roman"/>
          <w:noProof/>
          <w:sz w:val="24"/>
          <w:szCs w:val="24"/>
          <w:u w:val="single"/>
          <w:lang w:val="en-IE"/>
        </w:rPr>
        <w:t>Future process:</w:t>
      </w:r>
    </w:p>
    <w:p w14:paraId="7261A1E8" w14:textId="77777777" w:rsidR="000A7D9D" w:rsidRPr="007F38F4" w:rsidRDefault="000A7D9D" w:rsidP="000A7D9D">
      <w:pPr>
        <w:spacing w:after="120"/>
        <w:jc w:val="both"/>
        <w:rPr>
          <w:rFonts w:ascii="Times New Roman" w:eastAsiaTheme="minorEastAsia" w:hAnsi="Times New Roman" w:cs="Times New Roman"/>
          <w:noProof/>
          <w:sz w:val="24"/>
          <w:szCs w:val="24"/>
          <w:lang w:val="en-IE"/>
        </w:rPr>
      </w:pPr>
      <w:r w:rsidRPr="13AEFEEB">
        <w:rPr>
          <w:rFonts w:ascii="Times New Roman" w:eastAsiaTheme="minorEastAsia" w:hAnsi="Times New Roman" w:cs="Times New Roman"/>
          <w:noProof/>
          <w:sz w:val="24"/>
          <w:szCs w:val="24"/>
          <w:lang w:val="en-IE"/>
        </w:rPr>
        <w:t xml:space="preserve">The obligation to notify studies would be extended from the food legislation to all chemicals legislation except the medicinal and veterinary products. EFSA would continue to operate its existing notifications database for notifications made under the </w:t>
      </w:r>
      <w:r w:rsidRPr="00EB150F">
        <w:rPr>
          <w:rFonts w:ascii="Times New Roman" w:eastAsiaTheme="minorEastAsia" w:hAnsi="Times New Roman" w:cs="Times New Roman"/>
          <w:noProof/>
          <w:sz w:val="24"/>
          <w:szCs w:val="24"/>
          <w:lang w:val="en-IE"/>
        </w:rPr>
        <w:t>General Food Law</w:t>
      </w:r>
      <w:r w:rsidRPr="13AEFEEB">
        <w:rPr>
          <w:rFonts w:ascii="Times New Roman" w:eastAsiaTheme="minorEastAsia" w:hAnsi="Times New Roman" w:cs="Times New Roman"/>
          <w:noProof/>
          <w:sz w:val="24"/>
          <w:szCs w:val="24"/>
          <w:lang w:val="en-IE"/>
        </w:rPr>
        <w:t xml:space="preserve">, while ECHA would set up its own database for notifications of studies carried out in the context of other EU </w:t>
      </w:r>
      <w:r>
        <w:rPr>
          <w:rFonts w:ascii="Times New Roman" w:eastAsiaTheme="minorEastAsia" w:hAnsi="Times New Roman" w:cs="Times New Roman"/>
          <w:noProof/>
          <w:sz w:val="24"/>
          <w:szCs w:val="24"/>
          <w:lang w:val="en-IE"/>
        </w:rPr>
        <w:t xml:space="preserve">chemical </w:t>
      </w:r>
      <w:r w:rsidRPr="13AEFEEB">
        <w:rPr>
          <w:rFonts w:ascii="Times New Roman" w:eastAsiaTheme="minorEastAsia" w:hAnsi="Times New Roman" w:cs="Times New Roman"/>
          <w:noProof/>
          <w:sz w:val="24"/>
          <w:szCs w:val="24"/>
          <w:lang w:val="en-IE"/>
        </w:rPr>
        <w:t xml:space="preserve">legislation. </w:t>
      </w:r>
    </w:p>
    <w:p w14:paraId="268D3067" w14:textId="77777777" w:rsidR="000A7D9D" w:rsidRPr="007F38F4" w:rsidRDefault="000A7D9D" w:rsidP="000A7D9D">
      <w:pPr>
        <w:spacing w:after="120"/>
        <w:jc w:val="both"/>
        <w:rPr>
          <w:rFonts w:ascii="Times New Roman" w:eastAsiaTheme="minorEastAsia" w:hAnsi="Times New Roman" w:cs="Times New Roman"/>
          <w:noProof/>
          <w:sz w:val="24"/>
          <w:szCs w:val="24"/>
          <w:lang w:val="en-IE"/>
        </w:rPr>
      </w:pPr>
      <w:r w:rsidRPr="13AEFEEB">
        <w:rPr>
          <w:rFonts w:ascii="Times New Roman" w:eastAsiaTheme="minorEastAsia" w:hAnsi="Times New Roman" w:cs="Times New Roman"/>
          <w:noProof/>
          <w:sz w:val="24"/>
          <w:szCs w:val="24"/>
          <w:lang w:val="en-IE"/>
        </w:rPr>
        <w:t xml:space="preserve">Verification of compliance with the notification requirement would be done by the actor or agency responsible for the legislation in question (e.g. under </w:t>
      </w:r>
      <w:r w:rsidRPr="00EB150F">
        <w:rPr>
          <w:rFonts w:ascii="Times New Roman" w:eastAsiaTheme="minorEastAsia" w:hAnsi="Times New Roman" w:cs="Times New Roman"/>
          <w:noProof/>
          <w:sz w:val="24"/>
          <w:szCs w:val="24"/>
          <w:lang w:val="en-IE"/>
        </w:rPr>
        <w:t>Biocidal Products Regulation</w:t>
      </w:r>
      <w:r w:rsidRPr="13AEFEEB">
        <w:rPr>
          <w:rFonts w:ascii="Times New Roman" w:eastAsiaTheme="minorEastAsia" w:hAnsi="Times New Roman" w:cs="Times New Roman"/>
          <w:noProof/>
          <w:sz w:val="24"/>
          <w:szCs w:val="24"/>
          <w:lang w:val="en-IE"/>
        </w:rPr>
        <w:t>, ECHA would verify the compliance with the notification of studies when application for authorisation for biocidal product or biocidal active substance would be received. Also, under REACH, ECHA would verify the compliance with the notification of studies as part of the compliance check of the registration dossiers).</w:t>
      </w:r>
    </w:p>
    <w:p w14:paraId="1186A148" w14:textId="77777777" w:rsidR="000A7D9D" w:rsidRPr="007F38F4" w:rsidRDefault="000A7D9D" w:rsidP="000A7D9D">
      <w:pPr>
        <w:spacing w:after="120"/>
        <w:jc w:val="both"/>
        <w:rPr>
          <w:rFonts w:ascii="Times New Roman" w:hAnsi="Times New Roman" w:cs="Times New Roman"/>
          <w:noProof/>
          <w:sz w:val="24"/>
          <w:szCs w:val="24"/>
          <w:lang w:eastAsia="en-GB"/>
        </w:rPr>
      </w:pPr>
      <w:r w:rsidRPr="13AEFEEB">
        <w:rPr>
          <w:rFonts w:ascii="Times New Roman" w:hAnsi="Times New Roman" w:cs="Times New Roman"/>
          <w:b/>
          <w:bCs/>
          <w:noProof/>
          <w:sz w:val="24"/>
          <w:szCs w:val="24"/>
          <w:lang w:val="en-US" w:eastAsia="en-GB"/>
        </w:rPr>
        <w:t>Proximity to agencies’ mandate:</w:t>
      </w:r>
      <w:r w:rsidRPr="13AEFEEB">
        <w:rPr>
          <w:rFonts w:ascii="Times New Roman" w:hAnsi="Times New Roman" w:cs="Times New Roman"/>
          <w:noProof/>
          <w:sz w:val="24"/>
          <w:szCs w:val="24"/>
          <w:lang w:eastAsia="en-GB"/>
        </w:rPr>
        <w:t> </w:t>
      </w:r>
    </w:p>
    <w:p w14:paraId="74E61408" w14:textId="77777777" w:rsidR="000A7D9D" w:rsidRPr="007F38F4" w:rsidRDefault="000A7D9D" w:rsidP="000A7D9D">
      <w:pPr>
        <w:spacing w:after="120"/>
        <w:jc w:val="both"/>
        <w:rPr>
          <w:rFonts w:ascii="Times New Roman" w:hAnsi="Times New Roman" w:cs="Times New Roman"/>
          <w:noProof/>
          <w:sz w:val="24"/>
          <w:szCs w:val="24"/>
          <w:lang w:eastAsia="en-GB"/>
        </w:rPr>
      </w:pPr>
      <w:r w:rsidRPr="13AEFEEB">
        <w:rPr>
          <w:rFonts w:ascii="Times New Roman" w:hAnsi="Times New Roman" w:cs="Times New Roman"/>
          <w:noProof/>
          <w:sz w:val="24"/>
          <w:szCs w:val="24"/>
          <w:lang w:eastAsia="en-GB"/>
        </w:rPr>
        <w:t xml:space="preserve">The task is very close to the EFSA </w:t>
      </w:r>
      <w:r>
        <w:rPr>
          <w:rFonts w:ascii="Times New Roman" w:hAnsi="Times New Roman" w:cs="Times New Roman"/>
          <w:noProof/>
          <w:sz w:val="24"/>
          <w:szCs w:val="24"/>
          <w:lang w:eastAsia="en-GB"/>
        </w:rPr>
        <w:t xml:space="preserve">and ECHA </w:t>
      </w:r>
      <w:r w:rsidRPr="13AEFEEB">
        <w:rPr>
          <w:rFonts w:ascii="Times New Roman" w:hAnsi="Times New Roman" w:cs="Times New Roman"/>
          <w:noProof/>
          <w:sz w:val="24"/>
          <w:szCs w:val="24"/>
          <w:lang w:eastAsia="en-GB"/>
        </w:rPr>
        <w:t xml:space="preserve">mandate. EFSA already operates a database of notifications for the food sector. </w:t>
      </w:r>
      <w:r>
        <w:rPr>
          <w:rFonts w:ascii="Times New Roman" w:hAnsi="Times New Roman" w:cs="Times New Roman"/>
          <w:noProof/>
          <w:sz w:val="24"/>
          <w:szCs w:val="24"/>
          <w:lang w:eastAsia="en-GB"/>
        </w:rPr>
        <w:t xml:space="preserve">ECHA is or will be responsible for the assessment work under the remaining legislation (i.e. legislation beyond food sector), therefore, the operation of the notification database for the remaining legislation fits well with ECHA’s mandate. </w:t>
      </w:r>
    </w:p>
    <w:p w14:paraId="399B5EAF" w14:textId="77777777" w:rsidR="000A7D9D" w:rsidRPr="007F38F4" w:rsidRDefault="000A7D9D" w:rsidP="000A7D9D">
      <w:pPr>
        <w:spacing w:after="120"/>
        <w:rPr>
          <w:rFonts w:ascii="Times New Roman" w:hAnsi="Times New Roman" w:cs="Times New Roman"/>
          <w:noProof/>
          <w:sz w:val="24"/>
          <w:szCs w:val="24"/>
          <w:lang w:eastAsia="en-GB"/>
        </w:rPr>
      </w:pPr>
      <w:r w:rsidRPr="007F38F4">
        <w:rPr>
          <w:rFonts w:ascii="Times New Roman" w:hAnsi="Times New Roman" w:cs="Times New Roman"/>
          <w:b/>
          <w:bCs/>
          <w:noProof/>
          <w:sz w:val="24"/>
          <w:szCs w:val="24"/>
          <w:lang w:val="en-US" w:eastAsia="en-GB"/>
        </w:rPr>
        <w:t>Projected synergies and added value of (re-)attribution:</w:t>
      </w:r>
      <w:r w:rsidRPr="007F38F4">
        <w:rPr>
          <w:rFonts w:ascii="Times New Roman" w:hAnsi="Times New Roman" w:cs="Times New Roman"/>
          <w:noProof/>
          <w:sz w:val="24"/>
          <w:szCs w:val="24"/>
          <w:lang w:eastAsia="en-GB"/>
        </w:rPr>
        <w:t> </w:t>
      </w:r>
    </w:p>
    <w:p w14:paraId="188C2915" w14:textId="77777777" w:rsidR="000A7D9D" w:rsidRPr="007F38F4" w:rsidRDefault="000A7D9D" w:rsidP="000A7D9D">
      <w:pPr>
        <w:spacing w:after="120"/>
        <w:jc w:val="both"/>
        <w:rPr>
          <w:rFonts w:ascii="Times New Roman" w:hAnsi="Times New Roman" w:cs="Times New Roman"/>
          <w:noProof/>
          <w:sz w:val="24"/>
          <w:szCs w:val="24"/>
          <w:lang w:val="en-US" w:eastAsia="en-GB"/>
        </w:rPr>
      </w:pPr>
      <w:r w:rsidRPr="13AEFEEB">
        <w:rPr>
          <w:rFonts w:ascii="Times New Roman" w:hAnsi="Times New Roman" w:cs="Times New Roman"/>
          <w:noProof/>
          <w:sz w:val="24"/>
          <w:szCs w:val="24"/>
          <w:lang w:val="en-US" w:eastAsia="en-GB"/>
        </w:rPr>
        <w:t xml:space="preserve">ECHA can build on EFSA’s existing expertise and experience and can thus ensure harmonised identification of study notifications. Existing processes under the biocidal product regulation (such as application evaluation) and under REACH (such as dossier compliance check) can be used to include checking the compliance with the notification requirements. </w:t>
      </w:r>
    </w:p>
    <w:p w14:paraId="5410C55F" w14:textId="77777777" w:rsidR="000A7D9D" w:rsidRPr="007F38F4" w:rsidRDefault="000A7D9D" w:rsidP="000A7D9D">
      <w:pPr>
        <w:spacing w:after="120"/>
        <w:rPr>
          <w:rFonts w:ascii="Times New Roman" w:hAnsi="Times New Roman" w:cs="Times New Roman"/>
          <w:noProof/>
          <w:sz w:val="24"/>
          <w:szCs w:val="24"/>
          <w:lang w:eastAsia="en-GB"/>
        </w:rPr>
      </w:pPr>
      <w:r w:rsidRPr="13AEFEEB">
        <w:rPr>
          <w:rFonts w:ascii="Times New Roman" w:hAnsi="Times New Roman" w:cs="Times New Roman"/>
          <w:b/>
          <w:bCs/>
          <w:noProof/>
          <w:sz w:val="24"/>
          <w:szCs w:val="24"/>
          <w:lang w:val="en-US" w:eastAsia="en-GB"/>
        </w:rPr>
        <w:t>Projected impact on agencies:</w:t>
      </w:r>
    </w:p>
    <w:p w14:paraId="2270B6F0" w14:textId="77777777" w:rsidR="000A7D9D" w:rsidRPr="007F38F4" w:rsidRDefault="000A7D9D" w:rsidP="000A7D9D">
      <w:pPr>
        <w:pStyle w:val="BodyText"/>
        <w:numPr>
          <w:ilvl w:val="0"/>
          <w:numId w:val="88"/>
        </w:numPr>
        <w:jc w:val="both"/>
        <w:rPr>
          <w:noProof/>
        </w:rPr>
      </w:pPr>
      <w:r>
        <w:rPr>
          <w:noProof/>
        </w:rPr>
        <w:t xml:space="preserve">committees/bodies: EFSA - </w:t>
      </w:r>
      <w:r w:rsidRPr="13AEFEEB">
        <w:rPr>
          <w:b/>
          <w:bCs/>
          <w:noProof/>
        </w:rPr>
        <w:t>no impact</w:t>
      </w:r>
      <w:r>
        <w:rPr>
          <w:noProof/>
        </w:rPr>
        <w:t xml:space="preserve">. The task does not require involvement of EFSA committees /bodies. ECHA – </w:t>
      </w:r>
      <w:r w:rsidRPr="001B4563">
        <w:rPr>
          <w:b/>
          <w:noProof/>
        </w:rPr>
        <w:t>low impact</w:t>
      </w:r>
      <w:r>
        <w:rPr>
          <w:noProof/>
        </w:rPr>
        <w:t>. The task would require checking compliance with the notification provisions by the rapporteur member of the biocidal product committee.</w:t>
      </w:r>
    </w:p>
    <w:p w14:paraId="5926DE77" w14:textId="77777777" w:rsidR="000A7D9D" w:rsidRPr="007F38F4" w:rsidRDefault="000A7D9D" w:rsidP="000A7D9D">
      <w:pPr>
        <w:pStyle w:val="BodyText"/>
        <w:numPr>
          <w:ilvl w:val="0"/>
          <w:numId w:val="88"/>
        </w:numPr>
        <w:jc w:val="both"/>
        <w:rPr>
          <w:noProof/>
        </w:rPr>
      </w:pPr>
      <w:r>
        <w:rPr>
          <w:noProof/>
        </w:rPr>
        <w:t xml:space="preserve">Data model and IT infrastructure: EFSA - </w:t>
      </w:r>
      <w:r w:rsidRPr="13AEFEEB">
        <w:rPr>
          <w:b/>
          <w:bCs/>
          <w:noProof/>
        </w:rPr>
        <w:t>low impact</w:t>
      </w:r>
      <w:r>
        <w:rPr>
          <w:noProof/>
        </w:rPr>
        <w:t xml:space="preserve">. The existing repository of studies continues to be operated. The system will have to be linked with or incorporated into the common data platform. ECHA – </w:t>
      </w:r>
      <w:r w:rsidRPr="13AEFEEB">
        <w:rPr>
          <w:b/>
          <w:bCs/>
          <w:noProof/>
        </w:rPr>
        <w:t>high impact</w:t>
      </w:r>
      <w:r>
        <w:rPr>
          <w:noProof/>
        </w:rPr>
        <w:t xml:space="preserve">. ECHA will need to set up a new IT infrastructure. In addition, REACH registration will have to be adapted to facilitate the reporting of the notification number for a submitted study. </w:t>
      </w:r>
    </w:p>
    <w:p w14:paraId="43316DCC" w14:textId="77777777" w:rsidR="000A7D9D" w:rsidRPr="007F38F4" w:rsidRDefault="000A7D9D" w:rsidP="000A7D9D">
      <w:pPr>
        <w:pStyle w:val="BodyText"/>
        <w:numPr>
          <w:ilvl w:val="0"/>
          <w:numId w:val="87"/>
        </w:numPr>
        <w:jc w:val="both"/>
        <w:rPr>
          <w:noProof/>
        </w:rPr>
      </w:pPr>
      <w:r>
        <w:rPr>
          <w:noProof/>
        </w:rPr>
        <w:t>Key experts:</w:t>
      </w:r>
      <w:r w:rsidRPr="13AEFEEB">
        <w:rPr>
          <w:b/>
          <w:bCs/>
          <w:noProof/>
        </w:rPr>
        <w:t xml:space="preserve"> </w:t>
      </w:r>
      <w:r>
        <w:rPr>
          <w:noProof/>
        </w:rPr>
        <w:t xml:space="preserve">ECHA and EFSA - </w:t>
      </w:r>
      <w:r w:rsidRPr="13AEFEEB">
        <w:rPr>
          <w:b/>
          <w:bCs/>
          <w:noProof/>
        </w:rPr>
        <w:t>low impact</w:t>
      </w:r>
      <w:r>
        <w:rPr>
          <w:noProof/>
        </w:rPr>
        <w:t xml:space="preserve">. The task will rely on expert competencies, which exist in the agencies. </w:t>
      </w:r>
    </w:p>
    <w:p w14:paraId="5A4DFA88" w14:textId="77777777" w:rsidR="000A7D9D" w:rsidRPr="007F38F4" w:rsidRDefault="000A7D9D" w:rsidP="000A7D9D">
      <w:pPr>
        <w:pStyle w:val="BodyText"/>
        <w:rPr>
          <w:noProof/>
        </w:rPr>
      </w:pPr>
      <w:r w:rsidRPr="007F38F4">
        <w:rPr>
          <w:b/>
          <w:bCs/>
          <w:noProof/>
        </w:rPr>
        <w:t>Projected workload and resource implications:</w:t>
      </w:r>
    </w:p>
    <w:p w14:paraId="7C9121EC" w14:textId="77777777" w:rsidR="000A7D9D" w:rsidRPr="007F38F4" w:rsidRDefault="000A7D9D" w:rsidP="000A7D9D">
      <w:pPr>
        <w:pStyle w:val="BodyText"/>
        <w:jc w:val="both"/>
        <w:rPr>
          <w:noProof/>
        </w:rPr>
      </w:pPr>
      <w:r w:rsidRPr="007F38F4">
        <w:rPr>
          <w:noProof/>
          <w:u w:val="single"/>
        </w:rPr>
        <w:t>Current workload and resource use:</w:t>
      </w:r>
    </w:p>
    <w:p w14:paraId="66CF57DD" w14:textId="77777777" w:rsidR="000A7D9D" w:rsidRPr="007F38F4" w:rsidRDefault="000A7D9D" w:rsidP="000A7D9D">
      <w:pPr>
        <w:pStyle w:val="BodyText"/>
        <w:jc w:val="both"/>
        <w:rPr>
          <w:noProof/>
        </w:rPr>
      </w:pPr>
      <w:r w:rsidRPr="007F38F4">
        <w:rPr>
          <w:noProof/>
        </w:rPr>
        <w:t>The following resources were allocated to EFSA for the implementation of the notification of studies mechanism as part of the transparency regulation:</w:t>
      </w:r>
    </w:p>
    <w:tbl>
      <w:tblPr>
        <w:tblStyle w:val="TableGrid"/>
        <w:tblW w:w="0" w:type="auto"/>
        <w:tblLayout w:type="fixed"/>
        <w:tblLook w:val="06A0" w:firstRow="1" w:lastRow="0" w:firstColumn="1" w:lastColumn="0" w:noHBand="1" w:noVBand="1"/>
      </w:tblPr>
      <w:tblGrid>
        <w:gridCol w:w="6375"/>
        <w:gridCol w:w="3360"/>
      </w:tblGrid>
      <w:tr w:rsidR="000A7D9D" w:rsidRPr="007F38F4" w14:paraId="0494ED8A" w14:textId="77777777" w:rsidTr="00F31937">
        <w:trPr>
          <w:trHeight w:val="300"/>
        </w:trPr>
        <w:tc>
          <w:tcPr>
            <w:tcW w:w="9735" w:type="dxa"/>
            <w:gridSpan w:val="2"/>
          </w:tcPr>
          <w:p w14:paraId="3B6AA050" w14:textId="77777777" w:rsidR="000A7D9D" w:rsidRPr="007F38F4" w:rsidRDefault="000A7D9D" w:rsidP="00F31937">
            <w:pPr>
              <w:pStyle w:val="BodyText"/>
              <w:rPr>
                <w:b/>
                <w:bCs/>
                <w:noProof/>
              </w:rPr>
            </w:pPr>
            <w:r w:rsidRPr="007F38F4">
              <w:rPr>
                <w:b/>
                <w:bCs/>
                <w:noProof/>
              </w:rPr>
              <w:t xml:space="preserve">Resources allocated to EFSA for ‘food-related notification of studies’ </w:t>
            </w:r>
          </w:p>
        </w:tc>
      </w:tr>
      <w:tr w:rsidR="000A7D9D" w:rsidRPr="007F38F4" w14:paraId="061C5CC5" w14:textId="77777777" w:rsidTr="00F31937">
        <w:trPr>
          <w:trHeight w:val="300"/>
        </w:trPr>
        <w:tc>
          <w:tcPr>
            <w:tcW w:w="6375" w:type="dxa"/>
          </w:tcPr>
          <w:p w14:paraId="60697DC1" w14:textId="77777777" w:rsidR="000A7D9D" w:rsidRPr="007F38F4" w:rsidRDefault="000A7D9D" w:rsidP="00F31937">
            <w:pPr>
              <w:pStyle w:val="BodyText"/>
              <w:spacing w:line="259" w:lineRule="auto"/>
              <w:rPr>
                <w:noProof/>
              </w:rPr>
            </w:pPr>
            <w:r w:rsidRPr="007F38F4">
              <w:rPr>
                <w:noProof/>
              </w:rPr>
              <w:t>Register of commissioned studies</w:t>
            </w:r>
          </w:p>
        </w:tc>
        <w:tc>
          <w:tcPr>
            <w:tcW w:w="3360" w:type="dxa"/>
          </w:tcPr>
          <w:p w14:paraId="4A0A3EE9" w14:textId="77777777" w:rsidR="000A7D9D" w:rsidRPr="007F38F4" w:rsidRDefault="000A7D9D" w:rsidP="00F31937">
            <w:pPr>
              <w:pStyle w:val="BodyText"/>
              <w:rPr>
                <w:noProof/>
              </w:rPr>
            </w:pPr>
            <w:r w:rsidRPr="007F38F4">
              <w:rPr>
                <w:noProof/>
              </w:rPr>
              <w:t>2 FTEs per year</w:t>
            </w:r>
          </w:p>
        </w:tc>
      </w:tr>
      <w:tr w:rsidR="000A7D9D" w:rsidRPr="00187DBF" w14:paraId="3A351E8F" w14:textId="77777777" w:rsidTr="00F31937">
        <w:trPr>
          <w:trHeight w:val="300"/>
        </w:trPr>
        <w:tc>
          <w:tcPr>
            <w:tcW w:w="6375" w:type="dxa"/>
          </w:tcPr>
          <w:p w14:paraId="091FA92B" w14:textId="77777777" w:rsidR="000A7D9D" w:rsidRPr="007F38F4" w:rsidRDefault="000A7D9D" w:rsidP="00F31937">
            <w:pPr>
              <w:pStyle w:val="BodyText"/>
              <w:spacing w:line="259" w:lineRule="auto"/>
              <w:rPr>
                <w:noProof/>
              </w:rPr>
            </w:pPr>
            <w:r w:rsidRPr="007F38F4">
              <w:rPr>
                <w:noProof/>
              </w:rPr>
              <w:t>Register of commissioned studies (development and operation)</w:t>
            </w:r>
          </w:p>
          <w:p w14:paraId="1EA9818F" w14:textId="77777777" w:rsidR="000A7D9D" w:rsidRPr="007F38F4" w:rsidRDefault="000A7D9D" w:rsidP="00F31937">
            <w:pPr>
              <w:pStyle w:val="BodyText"/>
              <w:rPr>
                <w:noProof/>
              </w:rPr>
            </w:pPr>
          </w:p>
        </w:tc>
        <w:tc>
          <w:tcPr>
            <w:tcW w:w="3360" w:type="dxa"/>
          </w:tcPr>
          <w:p w14:paraId="67DC017F" w14:textId="77777777" w:rsidR="000A7D9D" w:rsidRPr="001B4563" w:rsidRDefault="000A7D9D" w:rsidP="00F31937">
            <w:pPr>
              <w:pStyle w:val="BodyText"/>
              <w:spacing w:after="0"/>
              <w:rPr>
                <w:rFonts w:eastAsiaTheme="minorEastAsia"/>
                <w:noProof/>
                <w:lang w:val="fr-BE"/>
              </w:rPr>
            </w:pPr>
            <w:r w:rsidRPr="001B4563">
              <w:rPr>
                <w:noProof/>
                <w:lang w:val="fr-BE"/>
              </w:rPr>
              <w:t>2020: EUR 160 000</w:t>
            </w:r>
          </w:p>
          <w:p w14:paraId="7E3247F7" w14:textId="77777777" w:rsidR="000A7D9D" w:rsidRPr="001B4563" w:rsidRDefault="000A7D9D" w:rsidP="00F31937">
            <w:pPr>
              <w:pStyle w:val="BodyText"/>
              <w:spacing w:after="0"/>
              <w:rPr>
                <w:rFonts w:eastAsiaTheme="minorEastAsia"/>
                <w:noProof/>
                <w:lang w:val="fr-BE"/>
              </w:rPr>
            </w:pPr>
            <w:r w:rsidRPr="001B4563">
              <w:rPr>
                <w:noProof/>
                <w:lang w:val="fr-BE"/>
              </w:rPr>
              <w:t>2021: EUR 280 000</w:t>
            </w:r>
          </w:p>
          <w:p w14:paraId="69FFBEF9" w14:textId="77777777" w:rsidR="000A7D9D" w:rsidRPr="001B4563" w:rsidRDefault="000A7D9D" w:rsidP="00F31937">
            <w:pPr>
              <w:pStyle w:val="BodyText"/>
              <w:spacing w:after="0"/>
              <w:rPr>
                <w:rFonts w:eastAsiaTheme="minorEastAsia"/>
                <w:noProof/>
                <w:lang w:val="fr-BE"/>
              </w:rPr>
            </w:pPr>
            <w:r w:rsidRPr="001B4563">
              <w:rPr>
                <w:noProof/>
                <w:lang w:val="fr-BE"/>
              </w:rPr>
              <w:t xml:space="preserve">2022: EUR 400 0002023: </w:t>
            </w:r>
            <w:r>
              <w:rPr>
                <w:noProof/>
                <w:lang w:val="fr-BE"/>
              </w:rPr>
              <w:t xml:space="preserve">EUR </w:t>
            </w:r>
            <w:r w:rsidRPr="001B4563">
              <w:rPr>
                <w:noProof/>
                <w:lang w:val="fr-BE"/>
              </w:rPr>
              <w:t>400</w:t>
            </w:r>
            <w:r>
              <w:rPr>
                <w:noProof/>
                <w:lang w:val="fr-BE"/>
              </w:rPr>
              <w:t xml:space="preserve"> 000</w:t>
            </w:r>
          </w:p>
          <w:p w14:paraId="134E3432" w14:textId="77777777" w:rsidR="000A7D9D" w:rsidRPr="001B4563" w:rsidRDefault="000A7D9D" w:rsidP="00F31937">
            <w:pPr>
              <w:pStyle w:val="BodyText"/>
              <w:spacing w:after="0"/>
              <w:rPr>
                <w:rFonts w:eastAsiaTheme="minorEastAsia"/>
                <w:noProof/>
                <w:lang w:val="fr-BE"/>
              </w:rPr>
            </w:pPr>
            <w:r w:rsidRPr="001B4563">
              <w:rPr>
                <w:noProof/>
                <w:lang w:val="fr-BE"/>
              </w:rPr>
              <w:t xml:space="preserve">2024: </w:t>
            </w:r>
            <w:r>
              <w:rPr>
                <w:noProof/>
                <w:lang w:val="fr-BE"/>
              </w:rPr>
              <w:t xml:space="preserve">EUR </w:t>
            </w:r>
            <w:r w:rsidRPr="001B4563">
              <w:rPr>
                <w:noProof/>
                <w:lang w:val="fr-BE"/>
              </w:rPr>
              <w:t>400</w:t>
            </w:r>
            <w:r>
              <w:rPr>
                <w:noProof/>
                <w:lang w:val="fr-BE"/>
              </w:rPr>
              <w:t xml:space="preserve"> 000</w:t>
            </w:r>
          </w:p>
        </w:tc>
      </w:tr>
    </w:tbl>
    <w:p w14:paraId="22E216DD" w14:textId="77777777" w:rsidR="000A7D9D" w:rsidRPr="007F38F4" w:rsidRDefault="000A7D9D" w:rsidP="000A7D9D">
      <w:pPr>
        <w:pStyle w:val="BodyText"/>
        <w:spacing w:before="120"/>
        <w:rPr>
          <w:noProof/>
          <w:u w:val="single"/>
        </w:rPr>
      </w:pPr>
      <w:r w:rsidRPr="007F38F4">
        <w:rPr>
          <w:noProof/>
          <w:u w:val="single"/>
        </w:rPr>
        <w:t>Current budget line:</w:t>
      </w:r>
      <w:r w:rsidRPr="007F38F4">
        <w:rPr>
          <w:noProof/>
        </w:rPr>
        <w:t xml:space="preserve"> DG SANTE </w:t>
      </w:r>
    </w:p>
    <w:p w14:paraId="5693D7A1" w14:textId="77777777" w:rsidR="000A7D9D" w:rsidRPr="007F38F4" w:rsidRDefault="000A7D9D" w:rsidP="000A7D9D">
      <w:pPr>
        <w:spacing w:before="120" w:after="120"/>
        <w:rPr>
          <w:rFonts w:ascii="Times New Roman" w:hAnsi="Times New Roman" w:cs="Times New Roman"/>
          <w:noProof/>
          <w:sz w:val="24"/>
          <w:szCs w:val="24"/>
          <w:u w:val="single"/>
        </w:rPr>
      </w:pPr>
      <w:r w:rsidRPr="13AEFEEB">
        <w:rPr>
          <w:rFonts w:ascii="Times New Roman" w:hAnsi="Times New Roman" w:cs="Times New Roman"/>
          <w:noProof/>
          <w:sz w:val="24"/>
          <w:szCs w:val="24"/>
          <w:u w:val="single"/>
        </w:rPr>
        <w:t>Future workload and resource needs:</w:t>
      </w:r>
    </w:p>
    <w:p w14:paraId="00C40FF0" w14:textId="77777777" w:rsidR="000A7D9D" w:rsidRDefault="000A7D9D" w:rsidP="000A7D9D">
      <w:pPr>
        <w:pStyle w:val="BodyText"/>
        <w:jc w:val="both"/>
        <w:rPr>
          <w:noProof/>
        </w:rPr>
      </w:pPr>
      <w:r>
        <w:rPr>
          <w:noProof/>
        </w:rPr>
        <w:t xml:space="preserve">ECHA will need to set up a database of study notifications and  an IT interface for receiving the notifications. The system needs to be operational within 2 years from the entry into force of the legislation (expected mid 2027). </w:t>
      </w:r>
      <w:r w:rsidRPr="003F0D22">
        <w:rPr>
          <w:noProof/>
        </w:rPr>
        <w:t xml:space="preserve">ECHA and EFSA will have to cooperate to ensure a common approach for the identification of information notified to both systems. </w:t>
      </w:r>
      <w:r w:rsidRPr="13AEFEEB">
        <w:rPr>
          <w:rFonts w:eastAsia="Verdana"/>
          <w:noProof/>
          <w:color w:val="000000" w:themeColor="text1"/>
        </w:rPr>
        <w:t xml:space="preserve">ECHA </w:t>
      </w:r>
      <w:r>
        <w:rPr>
          <w:rFonts w:eastAsia="Verdana"/>
          <w:noProof/>
          <w:color w:val="000000" w:themeColor="text1"/>
        </w:rPr>
        <w:t xml:space="preserve">will </w:t>
      </w:r>
      <w:r w:rsidRPr="13AEFEEB">
        <w:rPr>
          <w:rFonts w:eastAsia="Verdana"/>
          <w:noProof/>
          <w:color w:val="000000" w:themeColor="text1"/>
        </w:rPr>
        <w:t xml:space="preserve">have to build an automatic solution that requires lead registrants </w:t>
      </w:r>
      <w:r>
        <w:rPr>
          <w:rFonts w:eastAsia="Verdana"/>
          <w:noProof/>
          <w:color w:val="000000" w:themeColor="text1"/>
        </w:rPr>
        <w:t xml:space="preserve">or applicant </w:t>
      </w:r>
      <w:r w:rsidRPr="13AEFEEB">
        <w:rPr>
          <w:rFonts w:eastAsia="Verdana"/>
          <w:noProof/>
          <w:color w:val="000000" w:themeColor="text1"/>
        </w:rPr>
        <w:t>to include the notification number into the registration or biocidal product dossiers</w:t>
      </w:r>
      <w:r>
        <w:rPr>
          <w:rFonts w:eastAsia="Verdana"/>
          <w:noProof/>
          <w:color w:val="000000" w:themeColor="text1"/>
        </w:rPr>
        <w:t>, respectively,</w:t>
      </w:r>
      <w:r w:rsidRPr="13AEFEEB">
        <w:rPr>
          <w:rFonts w:eastAsia="Verdana"/>
          <w:noProof/>
          <w:color w:val="000000" w:themeColor="text1"/>
        </w:rPr>
        <w:t xml:space="preserve"> or indicate the reason why a study was not notified. It </w:t>
      </w:r>
      <w:r>
        <w:rPr>
          <w:rFonts w:eastAsia="Verdana"/>
          <w:noProof/>
          <w:color w:val="000000" w:themeColor="text1"/>
        </w:rPr>
        <w:t xml:space="preserve">will </w:t>
      </w:r>
      <w:r w:rsidRPr="13AEFEEB">
        <w:rPr>
          <w:rFonts w:eastAsia="Verdana"/>
          <w:noProof/>
          <w:color w:val="000000" w:themeColor="text1"/>
        </w:rPr>
        <w:t xml:space="preserve">also require adapting the dossier format to capture the notification number or justification, and connect the submission system to the </w:t>
      </w:r>
      <w:r>
        <w:rPr>
          <w:rFonts w:eastAsia="Verdana"/>
          <w:noProof/>
          <w:color w:val="000000" w:themeColor="text1"/>
        </w:rPr>
        <w:t xml:space="preserve">database of study </w:t>
      </w:r>
      <w:r w:rsidRPr="13AEFEEB">
        <w:rPr>
          <w:rFonts w:eastAsia="Verdana"/>
          <w:noProof/>
          <w:color w:val="000000" w:themeColor="text1"/>
        </w:rPr>
        <w:t>notification</w:t>
      </w:r>
      <w:r>
        <w:rPr>
          <w:rFonts w:eastAsia="Verdana"/>
          <w:noProof/>
          <w:color w:val="000000" w:themeColor="text1"/>
        </w:rPr>
        <w:t>s</w:t>
      </w:r>
      <w:r w:rsidRPr="13AEFEEB">
        <w:rPr>
          <w:rFonts w:eastAsia="Verdana"/>
          <w:noProof/>
          <w:color w:val="000000" w:themeColor="text1"/>
        </w:rPr>
        <w:t>. This would be a one-off-cost of adapting the REACH IT and the biocidal products system.</w:t>
      </w:r>
      <w:r>
        <w:rPr>
          <w:rFonts w:eastAsia="Verdana"/>
          <w:noProof/>
          <w:color w:val="000000" w:themeColor="text1"/>
        </w:rPr>
        <w:t xml:space="preserve"> </w:t>
      </w:r>
      <w:r>
        <w:rPr>
          <w:noProof/>
        </w:rPr>
        <w:t xml:space="preserve">For setting up the system it is estimated that additional 3 FTEs per year will be needed and an operational budget of EUR 1 600 000 to commission the external support in the development of the system.  </w:t>
      </w:r>
    </w:p>
    <w:p w14:paraId="7CA4127F" w14:textId="77777777" w:rsidR="000A7D9D" w:rsidRPr="007F38F4" w:rsidRDefault="000A7D9D" w:rsidP="000A7D9D">
      <w:pPr>
        <w:pStyle w:val="BodyText"/>
        <w:jc w:val="both"/>
        <w:rPr>
          <w:noProof/>
        </w:rPr>
      </w:pPr>
      <w:r>
        <w:rPr>
          <w:noProof/>
        </w:rPr>
        <w:t xml:space="preserve">Once the system is set up ECHA will have to operate it, maintain it and make the necessary adaptations. ECHA will have to provide helpdesk to reply requests of duty holders. ECHA will also facilitate checking the compliance with the notification provisions. </w:t>
      </w:r>
    </w:p>
    <w:p w14:paraId="3D6687B3" w14:textId="77777777" w:rsidR="000A7D9D" w:rsidRPr="007F38F4" w:rsidRDefault="000A7D9D" w:rsidP="000A7D9D">
      <w:pPr>
        <w:spacing w:after="120"/>
        <w:jc w:val="both"/>
        <w:rPr>
          <w:rFonts w:ascii="Times New Roman" w:eastAsia="Verdana" w:hAnsi="Times New Roman" w:cs="Times New Roman"/>
          <w:noProof/>
          <w:color w:val="000000" w:themeColor="text1"/>
          <w:sz w:val="24"/>
          <w:szCs w:val="24"/>
        </w:rPr>
      </w:pPr>
      <w:r w:rsidRPr="13AEFEEB">
        <w:rPr>
          <w:rFonts w:ascii="Times New Roman" w:eastAsia="Verdana" w:hAnsi="Times New Roman" w:cs="Times New Roman"/>
          <w:noProof/>
          <w:color w:val="000000" w:themeColor="text1"/>
          <w:sz w:val="24"/>
          <w:szCs w:val="24"/>
        </w:rPr>
        <w:t xml:space="preserve">For the </w:t>
      </w:r>
      <w:r w:rsidRPr="00C432A6">
        <w:rPr>
          <w:rFonts w:ascii="Times New Roman" w:eastAsia="Verdana" w:hAnsi="Times New Roman" w:cs="Times New Roman"/>
          <w:noProof/>
          <w:color w:val="000000" w:themeColor="text1"/>
          <w:sz w:val="24"/>
          <w:szCs w:val="24"/>
        </w:rPr>
        <w:t>Biocidal Products Regulation</w:t>
      </w:r>
      <w:r w:rsidRPr="13AEFEEB">
        <w:rPr>
          <w:rFonts w:ascii="Times New Roman" w:eastAsia="Verdana" w:hAnsi="Times New Roman" w:cs="Times New Roman"/>
          <w:noProof/>
          <w:color w:val="000000" w:themeColor="text1"/>
          <w:sz w:val="24"/>
          <w:szCs w:val="24"/>
        </w:rPr>
        <w:t xml:space="preserve">, the notification of studies would be checked for active substance </w:t>
      </w:r>
      <w:r>
        <w:rPr>
          <w:rFonts w:ascii="Times New Roman" w:eastAsia="Verdana" w:hAnsi="Times New Roman" w:cs="Times New Roman"/>
          <w:noProof/>
          <w:color w:val="000000" w:themeColor="text1"/>
          <w:sz w:val="24"/>
          <w:szCs w:val="24"/>
        </w:rPr>
        <w:t>approval</w:t>
      </w:r>
      <w:r w:rsidRPr="13AEFEEB">
        <w:rPr>
          <w:rFonts w:ascii="Times New Roman" w:eastAsia="Verdana" w:hAnsi="Times New Roman" w:cs="Times New Roman"/>
          <w:noProof/>
          <w:color w:val="000000" w:themeColor="text1"/>
          <w:sz w:val="24"/>
          <w:szCs w:val="24"/>
        </w:rPr>
        <w:t xml:space="preserve"> as part of new applications, Art 95 dossiers and renewals. It can be estimated that there would be a need to check 50 dossiers a year (containing ca. 100 notifications). The notification of studies would be also checked for biocidal product authorisation. In 2022, 160 applications were received (containing ca. 45 notifications). The checks would be performed by the Member States competent authorities, while ECHA would make available to them the summary of notifications. It is expected that verification of notifications would not take more than 4 hours per dossier. This could be absorbed by the overall resources dedicated by the Member States for the evaluation of the applications, as it is marginal compared to the overall resource need for the evaluation of an application.</w:t>
      </w:r>
    </w:p>
    <w:p w14:paraId="2170C342" w14:textId="77777777" w:rsidR="000A7D9D" w:rsidRPr="004D43EB" w:rsidRDefault="000A7D9D" w:rsidP="000A7D9D">
      <w:pPr>
        <w:spacing w:after="120"/>
        <w:jc w:val="both"/>
        <w:rPr>
          <w:rFonts w:ascii="Times New Roman" w:eastAsia="Verdana" w:hAnsi="Times New Roman" w:cs="Times New Roman"/>
          <w:noProof/>
          <w:color w:val="000000" w:themeColor="text1"/>
          <w:sz w:val="24"/>
          <w:szCs w:val="24"/>
        </w:rPr>
      </w:pPr>
      <w:r w:rsidRPr="004D43EB">
        <w:rPr>
          <w:rFonts w:ascii="Times New Roman" w:eastAsia="Verdana" w:hAnsi="Times New Roman" w:cs="Times New Roman"/>
          <w:noProof/>
          <w:color w:val="000000" w:themeColor="text1"/>
          <w:sz w:val="24"/>
          <w:szCs w:val="24"/>
        </w:rPr>
        <w:t>For REACH, ECHA receives from lead registrants on average yearly about 3</w:t>
      </w:r>
      <w:r>
        <w:rPr>
          <w:rFonts w:ascii="Times New Roman" w:eastAsia="Verdana" w:hAnsi="Times New Roman" w:cs="Times New Roman"/>
          <w:noProof/>
          <w:color w:val="000000" w:themeColor="text1"/>
          <w:sz w:val="24"/>
          <w:szCs w:val="24"/>
        </w:rPr>
        <w:t xml:space="preserve"> </w:t>
      </w:r>
      <w:r w:rsidRPr="004D43EB">
        <w:rPr>
          <w:rFonts w:ascii="Times New Roman" w:eastAsia="Verdana" w:hAnsi="Times New Roman" w:cs="Times New Roman"/>
          <w:noProof/>
          <w:color w:val="000000" w:themeColor="text1"/>
          <w:sz w:val="24"/>
          <w:szCs w:val="24"/>
        </w:rPr>
        <w:t xml:space="preserve">600 updates of the registrations and about 300 new registrations. </w:t>
      </w:r>
      <w:r w:rsidRPr="004D43EB">
        <w:rPr>
          <w:rFonts w:ascii="Times New Roman" w:eastAsia="Verdana" w:hAnsi="Times New Roman" w:cs="Times New Roman"/>
          <w:noProof/>
          <w:color w:val="000000" w:themeColor="text1"/>
          <w:sz w:val="24"/>
          <w:szCs w:val="24"/>
          <w:lang w:val="en-US"/>
        </w:rPr>
        <w:t>Updates can be submitted for a variety of reasons and may or may not contain studies. When submitted in response to an evaluation decision and when submitted due to an increase in information requirements following an increased tonnage band, they most likely contain new studies. Companies may also include new studies for other reasons, e.g. to follow regulatory changes or to strengthen adaptations. The number of annually submitted new studies from increase in tonnage band and in response to evaluation decisions is 1</w:t>
      </w:r>
      <w:r>
        <w:rPr>
          <w:rFonts w:ascii="Times New Roman" w:eastAsia="Verdana" w:hAnsi="Times New Roman" w:cs="Times New Roman"/>
          <w:noProof/>
          <w:color w:val="000000" w:themeColor="text1"/>
          <w:sz w:val="24"/>
          <w:szCs w:val="24"/>
          <w:lang w:val="en-US"/>
        </w:rPr>
        <w:t xml:space="preserve"> </w:t>
      </w:r>
      <w:r w:rsidRPr="004D43EB">
        <w:rPr>
          <w:rFonts w:ascii="Times New Roman" w:eastAsia="Verdana" w:hAnsi="Times New Roman" w:cs="Times New Roman"/>
          <w:noProof/>
          <w:color w:val="000000" w:themeColor="text1"/>
          <w:sz w:val="24"/>
          <w:szCs w:val="24"/>
          <w:lang w:val="en-US"/>
        </w:rPr>
        <w:t>400.</w:t>
      </w:r>
      <w:r w:rsidRPr="004D43EB">
        <w:rPr>
          <w:rFonts w:ascii="Times New Roman" w:eastAsia="Verdana" w:hAnsi="Times New Roman" w:cs="Times New Roman"/>
          <w:noProof/>
          <w:color w:val="000000" w:themeColor="text1"/>
          <w:sz w:val="24"/>
          <w:szCs w:val="24"/>
        </w:rPr>
        <w:t xml:space="preserve"> The new registrations are estimated to contain on average 12 studies, i.e. 3</w:t>
      </w:r>
      <w:r>
        <w:rPr>
          <w:rFonts w:ascii="Times New Roman" w:eastAsia="Verdana" w:hAnsi="Times New Roman" w:cs="Times New Roman"/>
          <w:noProof/>
          <w:color w:val="000000" w:themeColor="text1"/>
          <w:sz w:val="24"/>
          <w:szCs w:val="24"/>
        </w:rPr>
        <w:t xml:space="preserve"> </w:t>
      </w:r>
      <w:r w:rsidRPr="004D43EB">
        <w:rPr>
          <w:rFonts w:ascii="Times New Roman" w:eastAsia="Verdana" w:hAnsi="Times New Roman" w:cs="Times New Roman"/>
          <w:noProof/>
          <w:color w:val="000000" w:themeColor="text1"/>
          <w:sz w:val="24"/>
          <w:szCs w:val="24"/>
        </w:rPr>
        <w:t>600 studies for 300 new registrations per year. In summary, ECHA receives on average 3</w:t>
      </w:r>
      <w:r>
        <w:rPr>
          <w:rFonts w:ascii="Times New Roman" w:eastAsia="Verdana" w:hAnsi="Times New Roman" w:cs="Times New Roman"/>
          <w:noProof/>
          <w:color w:val="000000" w:themeColor="text1"/>
          <w:sz w:val="24"/>
          <w:szCs w:val="24"/>
        </w:rPr>
        <w:t xml:space="preserve"> </w:t>
      </w:r>
      <w:r w:rsidRPr="004D43EB">
        <w:rPr>
          <w:rFonts w:ascii="Times New Roman" w:eastAsia="Verdana" w:hAnsi="Times New Roman" w:cs="Times New Roman"/>
          <w:noProof/>
          <w:color w:val="000000" w:themeColor="text1"/>
          <w:sz w:val="24"/>
          <w:szCs w:val="24"/>
        </w:rPr>
        <w:t>900 registrations per year (updates + new registrations) containing some 5</w:t>
      </w:r>
      <w:r>
        <w:rPr>
          <w:rFonts w:ascii="Times New Roman" w:eastAsia="Verdana" w:hAnsi="Times New Roman" w:cs="Times New Roman"/>
          <w:noProof/>
          <w:color w:val="000000" w:themeColor="text1"/>
          <w:sz w:val="24"/>
          <w:szCs w:val="24"/>
        </w:rPr>
        <w:t xml:space="preserve"> </w:t>
      </w:r>
      <w:r w:rsidRPr="004D43EB">
        <w:rPr>
          <w:rFonts w:ascii="Times New Roman" w:eastAsia="Verdana" w:hAnsi="Times New Roman" w:cs="Times New Roman"/>
          <w:noProof/>
          <w:color w:val="000000" w:themeColor="text1"/>
          <w:sz w:val="24"/>
          <w:szCs w:val="24"/>
        </w:rPr>
        <w:t>000 experimental studies that would need to be notified per year.</w:t>
      </w:r>
      <w:r w:rsidRPr="13AEFEEB">
        <w:rPr>
          <w:rFonts w:ascii="Times New Roman" w:eastAsia="Verdana" w:hAnsi="Times New Roman" w:cs="Times New Roman"/>
          <w:noProof/>
          <w:color w:val="000000" w:themeColor="text1"/>
          <w:sz w:val="24"/>
          <w:szCs w:val="24"/>
        </w:rPr>
        <w:t xml:space="preserve"> </w:t>
      </w:r>
      <w:r>
        <w:rPr>
          <w:rFonts w:ascii="Times New Roman" w:eastAsia="Verdana" w:hAnsi="Times New Roman" w:cs="Times New Roman"/>
          <w:noProof/>
          <w:color w:val="000000" w:themeColor="text1"/>
          <w:sz w:val="24"/>
          <w:szCs w:val="24"/>
        </w:rPr>
        <w:t xml:space="preserve">This would result in ca. 7 500 notifications, as it is assumed that ca. 50% of studies would have to be notified also by commercial laboratories.  </w:t>
      </w:r>
    </w:p>
    <w:p w14:paraId="7DFF7DA9" w14:textId="77777777" w:rsidR="000A7D9D" w:rsidRPr="007F38F4" w:rsidRDefault="000A7D9D" w:rsidP="000A7D9D">
      <w:pPr>
        <w:spacing w:after="120"/>
        <w:jc w:val="both"/>
        <w:rPr>
          <w:rFonts w:ascii="Times New Roman" w:eastAsia="Verdana" w:hAnsi="Times New Roman" w:cs="Times New Roman"/>
          <w:noProof/>
          <w:color w:val="000000" w:themeColor="text1"/>
          <w:sz w:val="24"/>
          <w:szCs w:val="24"/>
        </w:rPr>
      </w:pPr>
      <w:r w:rsidRPr="13AEFEEB">
        <w:rPr>
          <w:rFonts w:ascii="Times New Roman" w:eastAsia="Verdana" w:hAnsi="Times New Roman" w:cs="Times New Roman"/>
          <w:noProof/>
          <w:color w:val="000000" w:themeColor="text1"/>
          <w:sz w:val="24"/>
          <w:szCs w:val="24"/>
        </w:rPr>
        <w:t>Compliance with the notification-of-studies requirement would be checked as part of the registration compliance check. ECHA checks approximately 300 registrations per year for compliance. Checking the compliance with the study-notification requirement would not take more than 4 hours per dossier. This would amount to 1</w:t>
      </w:r>
      <w:r>
        <w:rPr>
          <w:rFonts w:ascii="Times New Roman" w:eastAsia="Verdana" w:hAnsi="Times New Roman" w:cs="Times New Roman"/>
          <w:noProof/>
          <w:color w:val="000000" w:themeColor="text1"/>
          <w:sz w:val="24"/>
          <w:szCs w:val="24"/>
        </w:rPr>
        <w:t xml:space="preserve"> </w:t>
      </w:r>
      <w:r w:rsidRPr="13AEFEEB">
        <w:rPr>
          <w:rFonts w:ascii="Times New Roman" w:eastAsia="Verdana" w:hAnsi="Times New Roman" w:cs="Times New Roman"/>
          <w:noProof/>
          <w:color w:val="000000" w:themeColor="text1"/>
          <w:sz w:val="24"/>
          <w:szCs w:val="24"/>
        </w:rPr>
        <w:t>200 hour per year, i.e. ca 0.6 FTE. However, it is likely that registrations selected for a compliance check would not consist of only new registrations or updated registrations for which the requirement of notification of studies applies, and thus the number of checks for complying with study-notifications requirements would be lower. In addition, when one is performing a full compliance check of a registration, the additional time for checking compliance with the study-notification requirement is negligible.</w:t>
      </w:r>
    </w:p>
    <w:p w14:paraId="4D84AF8F" w14:textId="77777777" w:rsidR="000A7D9D" w:rsidRDefault="000A7D9D" w:rsidP="000A7D9D">
      <w:pPr>
        <w:spacing w:after="120"/>
        <w:jc w:val="both"/>
        <w:rPr>
          <w:rFonts w:ascii="Times New Roman" w:eastAsia="Verdana" w:hAnsi="Times New Roman" w:cs="Times New Roman"/>
          <w:noProof/>
          <w:color w:val="000000" w:themeColor="text1"/>
          <w:sz w:val="24"/>
          <w:szCs w:val="24"/>
        </w:rPr>
      </w:pPr>
      <w:r>
        <w:rPr>
          <w:rFonts w:ascii="Times New Roman" w:eastAsia="Verdana" w:hAnsi="Times New Roman" w:cs="Times New Roman"/>
          <w:noProof/>
          <w:color w:val="000000" w:themeColor="text1"/>
          <w:sz w:val="24"/>
          <w:szCs w:val="24"/>
        </w:rPr>
        <w:t xml:space="preserve">For any other legislation, ECHA might need to assist Member State authorities in their enforcement action and for those legislative pieces, where a dossier containing studies is submitted by duty holders to ECHA, ECHA can verify the compliance when evaluating such dossier (e.g. under RoHS directive, there might be some 3 dossiers per year requesting derogation which potentially might contain study results). </w:t>
      </w:r>
    </w:p>
    <w:p w14:paraId="764FE1D4" w14:textId="77777777" w:rsidR="000A7D9D" w:rsidRDefault="000A7D9D" w:rsidP="000A7D9D">
      <w:pPr>
        <w:spacing w:after="120"/>
        <w:jc w:val="both"/>
        <w:rPr>
          <w:rFonts w:ascii="Times New Roman" w:eastAsia="Verdana" w:hAnsi="Times New Roman" w:cs="Times New Roman"/>
          <w:noProof/>
          <w:color w:val="000000" w:themeColor="text1"/>
          <w:sz w:val="24"/>
          <w:szCs w:val="24"/>
        </w:rPr>
      </w:pPr>
      <w:r w:rsidRPr="13AEFEEB">
        <w:rPr>
          <w:rFonts w:ascii="Times New Roman" w:eastAsia="Verdana" w:hAnsi="Times New Roman" w:cs="Times New Roman"/>
          <w:noProof/>
          <w:color w:val="000000" w:themeColor="text1"/>
          <w:sz w:val="24"/>
          <w:szCs w:val="24"/>
        </w:rPr>
        <w:t xml:space="preserve">It is estimated that </w:t>
      </w:r>
      <w:r w:rsidRPr="00106A23">
        <w:rPr>
          <w:rFonts w:ascii="Times New Roman" w:eastAsia="Verdana" w:hAnsi="Times New Roman" w:cs="Times New Roman"/>
          <w:noProof/>
          <w:color w:val="000000" w:themeColor="text1"/>
          <w:sz w:val="24"/>
          <w:szCs w:val="24"/>
        </w:rPr>
        <w:t>3</w:t>
      </w:r>
      <w:r w:rsidRPr="00FA0C9D">
        <w:rPr>
          <w:rFonts w:ascii="Times New Roman" w:eastAsia="Verdana" w:hAnsi="Times New Roman" w:cs="Times New Roman"/>
          <w:noProof/>
          <w:color w:val="000000" w:themeColor="text1"/>
          <w:sz w:val="24"/>
          <w:szCs w:val="24"/>
        </w:rPr>
        <w:t xml:space="preserve"> FTE</w:t>
      </w:r>
      <w:r>
        <w:rPr>
          <w:rFonts w:ascii="Times New Roman" w:eastAsia="Verdana" w:hAnsi="Times New Roman" w:cs="Times New Roman"/>
          <w:noProof/>
          <w:color w:val="000000" w:themeColor="text1"/>
          <w:sz w:val="24"/>
          <w:szCs w:val="24"/>
        </w:rPr>
        <w:t xml:space="preserve">s per year and an operational budget of EUR 200 000 per year will be needed for ECHA to operate the system, </w:t>
      </w:r>
      <w:r w:rsidRPr="13AEFEEB">
        <w:rPr>
          <w:rFonts w:ascii="Times New Roman" w:eastAsia="Verdana" w:hAnsi="Times New Roman" w:cs="Times New Roman"/>
          <w:noProof/>
          <w:color w:val="000000" w:themeColor="text1"/>
          <w:sz w:val="24"/>
          <w:szCs w:val="24"/>
        </w:rPr>
        <w:t xml:space="preserve">deal with requests from </w:t>
      </w:r>
      <w:r>
        <w:rPr>
          <w:rFonts w:ascii="Times New Roman" w:eastAsia="Verdana" w:hAnsi="Times New Roman" w:cs="Times New Roman"/>
          <w:noProof/>
          <w:color w:val="000000" w:themeColor="text1"/>
          <w:sz w:val="24"/>
          <w:szCs w:val="24"/>
        </w:rPr>
        <w:t xml:space="preserve">duty holders </w:t>
      </w:r>
      <w:r w:rsidRPr="13AEFEEB">
        <w:rPr>
          <w:rFonts w:ascii="Times New Roman" w:eastAsia="Verdana" w:hAnsi="Times New Roman" w:cs="Times New Roman"/>
          <w:noProof/>
          <w:color w:val="000000" w:themeColor="text1"/>
          <w:sz w:val="24"/>
          <w:szCs w:val="24"/>
        </w:rPr>
        <w:t xml:space="preserve">and to assist in compliance check. </w:t>
      </w:r>
    </w:p>
    <w:p w14:paraId="71977CE5" w14:textId="77777777" w:rsidR="000A7D9D" w:rsidRPr="007F38F4" w:rsidRDefault="000A7D9D" w:rsidP="000A7D9D">
      <w:pPr>
        <w:spacing w:after="120"/>
        <w:jc w:val="both"/>
        <w:rPr>
          <w:rFonts w:ascii="Times New Roman" w:eastAsia="Verdana" w:hAnsi="Times New Roman" w:cs="Times New Roman"/>
          <w:noProof/>
          <w:color w:val="000000" w:themeColor="text1"/>
          <w:sz w:val="24"/>
          <w:szCs w:val="24"/>
        </w:rPr>
      </w:pPr>
      <w:r w:rsidRPr="13AEFEEB">
        <w:rPr>
          <w:rFonts w:ascii="Times New Roman" w:eastAsia="Verdana" w:hAnsi="Times New Roman" w:cs="Times New Roman"/>
          <w:noProof/>
          <w:color w:val="000000" w:themeColor="text1"/>
          <w:sz w:val="24"/>
          <w:szCs w:val="24"/>
        </w:rPr>
        <w:t>ECHA will have to</w:t>
      </w:r>
      <w:r>
        <w:rPr>
          <w:rFonts w:ascii="Times New Roman" w:eastAsia="Verdana" w:hAnsi="Times New Roman" w:cs="Times New Roman"/>
          <w:noProof/>
          <w:color w:val="000000" w:themeColor="text1"/>
          <w:sz w:val="24"/>
          <w:szCs w:val="24"/>
        </w:rPr>
        <w:t xml:space="preserve"> </w:t>
      </w:r>
      <w:r w:rsidRPr="13AEFEEB">
        <w:rPr>
          <w:rFonts w:ascii="Times New Roman" w:eastAsia="Verdana" w:hAnsi="Times New Roman" w:cs="Times New Roman"/>
          <w:noProof/>
          <w:color w:val="000000" w:themeColor="text1"/>
          <w:sz w:val="24"/>
          <w:szCs w:val="24"/>
        </w:rPr>
        <w:t xml:space="preserve">cooperate with EFSA </w:t>
      </w:r>
      <w:r>
        <w:rPr>
          <w:rFonts w:ascii="Times New Roman" w:eastAsia="Verdana" w:hAnsi="Times New Roman" w:cs="Times New Roman"/>
          <w:noProof/>
          <w:color w:val="000000" w:themeColor="text1"/>
          <w:sz w:val="24"/>
          <w:szCs w:val="24"/>
        </w:rPr>
        <w:t xml:space="preserve">also </w:t>
      </w:r>
      <w:r w:rsidRPr="13AEFEEB">
        <w:rPr>
          <w:rFonts w:ascii="Times New Roman" w:eastAsia="Verdana" w:hAnsi="Times New Roman" w:cs="Times New Roman"/>
          <w:noProof/>
          <w:color w:val="000000" w:themeColor="text1"/>
          <w:sz w:val="24"/>
          <w:szCs w:val="24"/>
        </w:rPr>
        <w:t xml:space="preserve">on the integration of EFSA’s notifications database into the common data platform. </w:t>
      </w:r>
      <w:r w:rsidRPr="00FA0C9D">
        <w:rPr>
          <w:rFonts w:ascii="Times New Roman" w:eastAsia="Verdana" w:hAnsi="Times New Roman" w:cs="Times New Roman"/>
          <w:noProof/>
          <w:color w:val="000000" w:themeColor="text1"/>
          <w:sz w:val="24"/>
          <w:szCs w:val="24"/>
        </w:rPr>
        <w:t>This part of work is covered by the resources planned for the common data platform.</w:t>
      </w:r>
    </w:p>
    <w:p w14:paraId="5B9F5932" w14:textId="77777777" w:rsidR="000A7D9D" w:rsidRPr="007F38F4" w:rsidRDefault="000A7D9D" w:rsidP="000A7D9D">
      <w:pPr>
        <w:spacing w:after="120"/>
        <w:rPr>
          <w:rFonts w:ascii="Times New Roman" w:eastAsiaTheme="minorEastAsia" w:hAnsi="Times New Roman" w:cs="Times New Roman"/>
          <w:noProof/>
          <w:sz w:val="24"/>
          <w:szCs w:val="24"/>
          <w:lang w:val="en-US" w:eastAsia="en-GB"/>
        </w:rPr>
      </w:pPr>
      <w:r w:rsidRPr="13AEFEEB">
        <w:rPr>
          <w:rFonts w:ascii="Times New Roman" w:eastAsiaTheme="minorEastAsia" w:hAnsi="Times New Roman" w:cs="Times New Roman"/>
          <w:noProof/>
          <w:sz w:val="24"/>
          <w:szCs w:val="24"/>
          <w:lang w:val="en-US" w:eastAsia="en-GB"/>
        </w:rPr>
        <w:t>Summary of additional resource needs for the mechanism for notification of studies:</w:t>
      </w:r>
    </w:p>
    <w:tbl>
      <w:tblPr>
        <w:tblStyle w:val="TableGrid"/>
        <w:tblW w:w="0" w:type="auto"/>
        <w:tblLook w:val="04A0" w:firstRow="1" w:lastRow="0" w:firstColumn="1" w:lastColumn="0" w:noHBand="0" w:noVBand="1"/>
      </w:tblPr>
      <w:tblGrid>
        <w:gridCol w:w="1035"/>
        <w:gridCol w:w="4914"/>
        <w:gridCol w:w="1559"/>
        <w:gridCol w:w="2121"/>
      </w:tblGrid>
      <w:tr w:rsidR="000A7D9D" w14:paraId="0866ABFE" w14:textId="77777777" w:rsidTr="00F31937">
        <w:trPr>
          <w:trHeight w:val="300"/>
        </w:trPr>
        <w:tc>
          <w:tcPr>
            <w:tcW w:w="1035" w:type="dxa"/>
            <w:shd w:val="clear" w:color="auto" w:fill="D9D9D9" w:themeFill="background1" w:themeFillShade="D9"/>
          </w:tcPr>
          <w:p w14:paraId="0B2DC4AF" w14:textId="77777777" w:rsidR="000A7D9D" w:rsidRPr="007F38F4" w:rsidRDefault="000A7D9D" w:rsidP="00F31937">
            <w:pPr>
              <w:pStyle w:val="BodyText"/>
              <w:spacing w:line="259" w:lineRule="auto"/>
              <w:rPr>
                <w:rFonts w:eastAsiaTheme="minorEastAsia"/>
                <w:b/>
                <w:bCs/>
                <w:noProof/>
                <w:sz w:val="20"/>
                <w:szCs w:val="20"/>
              </w:rPr>
            </w:pPr>
            <w:r w:rsidRPr="007F38F4">
              <w:rPr>
                <w:rFonts w:eastAsiaTheme="minorEastAsia"/>
                <w:b/>
                <w:bCs/>
                <w:noProof/>
                <w:sz w:val="20"/>
                <w:szCs w:val="20"/>
              </w:rPr>
              <w:t>Agency</w:t>
            </w:r>
          </w:p>
        </w:tc>
        <w:tc>
          <w:tcPr>
            <w:tcW w:w="4914" w:type="dxa"/>
            <w:shd w:val="clear" w:color="auto" w:fill="D9D9D9" w:themeFill="background1" w:themeFillShade="D9"/>
          </w:tcPr>
          <w:p w14:paraId="75DF282A" w14:textId="77777777" w:rsidR="000A7D9D" w:rsidRPr="007F38F4" w:rsidRDefault="000A7D9D" w:rsidP="00F31937">
            <w:pPr>
              <w:pStyle w:val="BodyText"/>
              <w:rPr>
                <w:rFonts w:eastAsiaTheme="minorEastAsia"/>
                <w:b/>
                <w:bCs/>
                <w:noProof/>
                <w:sz w:val="20"/>
                <w:szCs w:val="20"/>
              </w:rPr>
            </w:pPr>
            <w:r w:rsidRPr="007F38F4">
              <w:rPr>
                <w:rFonts w:eastAsiaTheme="minorEastAsia"/>
                <w:b/>
                <w:bCs/>
                <w:noProof/>
                <w:sz w:val="20"/>
                <w:szCs w:val="20"/>
              </w:rPr>
              <w:t>Summary of tasks</w:t>
            </w:r>
          </w:p>
        </w:tc>
        <w:tc>
          <w:tcPr>
            <w:tcW w:w="1559" w:type="dxa"/>
            <w:shd w:val="clear" w:color="auto" w:fill="D9D9D9" w:themeFill="background1" w:themeFillShade="D9"/>
          </w:tcPr>
          <w:p w14:paraId="0D14D51D" w14:textId="77777777" w:rsidR="000A7D9D" w:rsidRPr="007F38F4" w:rsidRDefault="000A7D9D" w:rsidP="00F31937">
            <w:pPr>
              <w:pStyle w:val="BodyText"/>
              <w:tabs>
                <w:tab w:val="left" w:pos="4170"/>
              </w:tabs>
              <w:rPr>
                <w:rFonts w:eastAsiaTheme="minorEastAsia"/>
                <w:noProof/>
                <w:sz w:val="20"/>
                <w:szCs w:val="20"/>
              </w:rPr>
            </w:pPr>
          </w:p>
        </w:tc>
        <w:tc>
          <w:tcPr>
            <w:tcW w:w="2121" w:type="dxa"/>
            <w:shd w:val="clear" w:color="auto" w:fill="D9D9D9" w:themeFill="background1" w:themeFillShade="D9"/>
          </w:tcPr>
          <w:p w14:paraId="734064C4" w14:textId="77777777" w:rsidR="000A7D9D" w:rsidRPr="007F38F4" w:rsidRDefault="000A7D9D" w:rsidP="00F31937">
            <w:pPr>
              <w:pStyle w:val="BodyText"/>
              <w:tabs>
                <w:tab w:val="left" w:pos="4170"/>
              </w:tabs>
              <w:spacing w:after="0"/>
              <w:rPr>
                <w:rFonts w:eastAsiaTheme="minorEastAsia"/>
                <w:noProof/>
                <w:sz w:val="20"/>
                <w:szCs w:val="20"/>
              </w:rPr>
            </w:pPr>
          </w:p>
        </w:tc>
      </w:tr>
      <w:tr w:rsidR="000A7D9D" w14:paraId="68FD5E9D" w14:textId="77777777" w:rsidTr="00F31937">
        <w:trPr>
          <w:trHeight w:val="300"/>
        </w:trPr>
        <w:tc>
          <w:tcPr>
            <w:tcW w:w="1035" w:type="dxa"/>
            <w:vMerge w:val="restart"/>
            <w:shd w:val="clear" w:color="auto" w:fill="D9D9D9" w:themeFill="background1" w:themeFillShade="D9"/>
          </w:tcPr>
          <w:p w14:paraId="65E0DB41" w14:textId="77777777" w:rsidR="000A7D9D" w:rsidRPr="007F38F4" w:rsidRDefault="000A7D9D" w:rsidP="00F31937">
            <w:pPr>
              <w:pStyle w:val="BodyText"/>
              <w:rPr>
                <w:rFonts w:eastAsiaTheme="minorEastAsia"/>
                <w:noProof/>
                <w:sz w:val="20"/>
                <w:szCs w:val="20"/>
              </w:rPr>
            </w:pPr>
            <w:r w:rsidRPr="007F38F4">
              <w:rPr>
                <w:rFonts w:eastAsiaTheme="minorEastAsia"/>
                <w:noProof/>
                <w:sz w:val="20"/>
                <w:szCs w:val="20"/>
              </w:rPr>
              <w:t>ECHA</w:t>
            </w:r>
          </w:p>
        </w:tc>
        <w:tc>
          <w:tcPr>
            <w:tcW w:w="4914" w:type="dxa"/>
            <w:vMerge w:val="restart"/>
            <w:shd w:val="clear" w:color="auto" w:fill="D9D9D9" w:themeFill="background1" w:themeFillShade="D9"/>
          </w:tcPr>
          <w:p w14:paraId="7E483E5A" w14:textId="77777777" w:rsidR="000A7D9D" w:rsidRDefault="000A7D9D" w:rsidP="00F31937">
            <w:pPr>
              <w:spacing w:after="120" w:line="259" w:lineRule="auto"/>
              <w:rPr>
                <w:rFonts w:eastAsiaTheme="majorEastAsia"/>
                <w:noProof/>
                <w:lang w:val="en-US"/>
              </w:rPr>
            </w:pPr>
            <w:r w:rsidRPr="13AEFEEB">
              <w:rPr>
                <w:rFonts w:eastAsiaTheme="majorEastAsia"/>
                <w:noProof/>
                <w:lang w:val="en-US"/>
              </w:rPr>
              <w:t xml:space="preserve">Setup </w:t>
            </w:r>
            <w:r>
              <w:rPr>
                <w:rFonts w:eastAsiaTheme="majorEastAsia"/>
                <w:noProof/>
                <w:lang w:val="en-US"/>
              </w:rPr>
              <w:t xml:space="preserve">and operation </w:t>
            </w:r>
            <w:r w:rsidRPr="13AEFEEB">
              <w:rPr>
                <w:rFonts w:eastAsiaTheme="majorEastAsia"/>
                <w:noProof/>
                <w:lang w:val="en-US"/>
              </w:rPr>
              <w:t>of notifications database and</w:t>
            </w:r>
            <w:r>
              <w:rPr>
                <w:rFonts w:eastAsiaTheme="majorEastAsia"/>
                <w:noProof/>
                <w:lang w:val="en-US"/>
              </w:rPr>
              <w:t xml:space="preserve"> ensuring </w:t>
            </w:r>
            <w:r w:rsidRPr="003F0D22">
              <w:rPr>
                <w:noProof/>
              </w:rPr>
              <w:t xml:space="preserve">common approach for the identification of information notified to </w:t>
            </w:r>
            <w:r>
              <w:rPr>
                <w:noProof/>
              </w:rPr>
              <w:t xml:space="preserve">EFSA and ECHA system </w:t>
            </w:r>
          </w:p>
          <w:p w14:paraId="348CF88F" w14:textId="77777777" w:rsidR="000A7D9D" w:rsidRPr="007F38F4" w:rsidRDefault="000A7D9D" w:rsidP="00F31937">
            <w:pPr>
              <w:spacing w:after="120" w:line="259" w:lineRule="auto"/>
              <w:rPr>
                <w:rFonts w:eastAsiaTheme="majorEastAsia"/>
                <w:noProof/>
                <w:lang w:val="en-US"/>
              </w:rPr>
            </w:pPr>
            <w:r w:rsidRPr="007F38F4">
              <w:rPr>
                <w:rFonts w:eastAsiaTheme="majorEastAsia"/>
                <w:noProof/>
                <w:lang w:val="en-US"/>
              </w:rPr>
              <w:t>Adaptation of the REACH registration system to include study notifications numbers</w:t>
            </w:r>
          </w:p>
          <w:p w14:paraId="1F285527" w14:textId="77777777" w:rsidR="000A7D9D" w:rsidRPr="007F38F4" w:rsidRDefault="000A7D9D" w:rsidP="00F31937">
            <w:pPr>
              <w:spacing w:after="120" w:line="259" w:lineRule="auto"/>
              <w:rPr>
                <w:rFonts w:eastAsiaTheme="majorEastAsia"/>
                <w:noProof/>
                <w:lang w:val="en-US"/>
              </w:rPr>
            </w:pPr>
            <w:r w:rsidRPr="007F38F4">
              <w:rPr>
                <w:rFonts w:eastAsiaTheme="majorEastAsia"/>
                <w:noProof/>
                <w:lang w:val="en-US"/>
              </w:rPr>
              <w:t>Adaptation of the biocidal products regulation system to include study notifications numbers</w:t>
            </w:r>
          </w:p>
          <w:p w14:paraId="69576C6B" w14:textId="77777777" w:rsidR="000A7D9D" w:rsidRDefault="000A7D9D" w:rsidP="00F31937">
            <w:pPr>
              <w:spacing w:after="120" w:line="259" w:lineRule="auto"/>
              <w:rPr>
                <w:rFonts w:eastAsiaTheme="majorEastAsia"/>
                <w:noProof/>
                <w:lang w:val="en-US"/>
              </w:rPr>
            </w:pPr>
            <w:r>
              <w:rPr>
                <w:rFonts w:eastAsiaTheme="majorEastAsia"/>
                <w:noProof/>
                <w:lang w:val="en-US"/>
              </w:rPr>
              <w:t>Helpdesk</w:t>
            </w:r>
          </w:p>
          <w:p w14:paraId="59E72800" w14:textId="77777777" w:rsidR="000A7D9D" w:rsidRDefault="000A7D9D" w:rsidP="00F31937">
            <w:pPr>
              <w:spacing w:after="120" w:line="259" w:lineRule="auto"/>
              <w:rPr>
                <w:rFonts w:eastAsiaTheme="majorEastAsia"/>
                <w:noProof/>
                <w:lang w:val="en-US"/>
              </w:rPr>
            </w:pPr>
            <w:r w:rsidRPr="007F38F4">
              <w:rPr>
                <w:rFonts w:eastAsiaTheme="majorEastAsia"/>
                <w:noProof/>
                <w:lang w:val="en-US"/>
              </w:rPr>
              <w:t xml:space="preserve">Verification of compliance with the study notification requirements as part of the REACH compliance check and biocides </w:t>
            </w:r>
            <w:r>
              <w:rPr>
                <w:rFonts w:eastAsiaTheme="majorEastAsia"/>
                <w:noProof/>
                <w:lang w:val="en-US"/>
              </w:rPr>
              <w:t>authorization</w:t>
            </w:r>
          </w:p>
          <w:p w14:paraId="13F66DC1" w14:textId="77777777" w:rsidR="000A7D9D" w:rsidRPr="007F38F4" w:rsidRDefault="000A7D9D" w:rsidP="00F31937">
            <w:pPr>
              <w:spacing w:after="120" w:line="259" w:lineRule="auto"/>
              <w:rPr>
                <w:rFonts w:eastAsiaTheme="majorEastAsia"/>
                <w:noProof/>
                <w:lang w:val="en-US"/>
              </w:rPr>
            </w:pPr>
            <w:r>
              <w:rPr>
                <w:rFonts w:eastAsiaTheme="majorEastAsia"/>
                <w:noProof/>
                <w:lang w:val="en-US"/>
              </w:rPr>
              <w:t xml:space="preserve">Support to Member State authorities in enforcement </w:t>
            </w:r>
          </w:p>
        </w:tc>
        <w:tc>
          <w:tcPr>
            <w:tcW w:w="1559" w:type="dxa"/>
            <w:shd w:val="clear" w:color="auto" w:fill="D9D9D9" w:themeFill="background1" w:themeFillShade="D9"/>
          </w:tcPr>
          <w:p w14:paraId="6FDD5236" w14:textId="77777777" w:rsidR="000A7D9D" w:rsidRPr="007F38F4" w:rsidRDefault="000A7D9D" w:rsidP="00F31937">
            <w:pPr>
              <w:pStyle w:val="BodyText"/>
              <w:tabs>
                <w:tab w:val="left" w:pos="4170"/>
              </w:tabs>
              <w:rPr>
                <w:rFonts w:eastAsiaTheme="minorEastAsia"/>
                <w:noProof/>
                <w:sz w:val="20"/>
                <w:szCs w:val="20"/>
              </w:rPr>
            </w:pPr>
            <w:r w:rsidRPr="007F38F4">
              <w:rPr>
                <w:rFonts w:eastAsiaTheme="minorEastAsia"/>
                <w:noProof/>
                <w:sz w:val="20"/>
                <w:szCs w:val="20"/>
              </w:rPr>
              <w:t>Financial resource needs:</w:t>
            </w:r>
          </w:p>
        </w:tc>
        <w:tc>
          <w:tcPr>
            <w:tcW w:w="2121" w:type="dxa"/>
            <w:shd w:val="clear" w:color="auto" w:fill="D9D9D9" w:themeFill="background1" w:themeFillShade="D9"/>
          </w:tcPr>
          <w:p w14:paraId="18A7DE4D" w14:textId="77777777" w:rsidR="000A7D9D" w:rsidRPr="007F38F4" w:rsidRDefault="000A7D9D" w:rsidP="00F31937">
            <w:pPr>
              <w:pStyle w:val="BodyText"/>
              <w:tabs>
                <w:tab w:val="left" w:pos="4170"/>
              </w:tabs>
              <w:spacing w:after="0"/>
              <w:rPr>
                <w:rFonts w:eastAsiaTheme="minorEastAsia"/>
                <w:noProof/>
                <w:sz w:val="20"/>
                <w:szCs w:val="20"/>
              </w:rPr>
            </w:pPr>
            <w:r w:rsidRPr="007F38F4">
              <w:rPr>
                <w:rFonts w:eastAsiaTheme="minorEastAsia"/>
                <w:noProof/>
                <w:sz w:val="20"/>
                <w:szCs w:val="20"/>
              </w:rPr>
              <w:t xml:space="preserve">2025: </w:t>
            </w:r>
            <w:r>
              <w:rPr>
                <w:rFonts w:eastAsiaTheme="minorEastAsia"/>
                <w:b/>
                <w:bCs/>
                <w:noProof/>
                <w:sz w:val="20"/>
                <w:szCs w:val="20"/>
              </w:rPr>
              <w:t>EUR 0</w:t>
            </w:r>
          </w:p>
          <w:p w14:paraId="7B07ED09" w14:textId="77777777" w:rsidR="000A7D9D" w:rsidRPr="007F38F4" w:rsidRDefault="000A7D9D" w:rsidP="00F31937">
            <w:pPr>
              <w:pStyle w:val="BodyText"/>
              <w:tabs>
                <w:tab w:val="left" w:pos="4170"/>
              </w:tabs>
              <w:spacing w:after="0"/>
              <w:rPr>
                <w:rFonts w:eastAsiaTheme="minorEastAsia"/>
                <w:noProof/>
                <w:sz w:val="20"/>
                <w:szCs w:val="20"/>
              </w:rPr>
            </w:pPr>
            <w:r w:rsidRPr="007F38F4">
              <w:rPr>
                <w:rFonts w:eastAsiaTheme="minorEastAsia"/>
                <w:noProof/>
                <w:sz w:val="20"/>
                <w:szCs w:val="20"/>
              </w:rPr>
              <w:t xml:space="preserve">2026: </w:t>
            </w:r>
            <w:r>
              <w:rPr>
                <w:rFonts w:eastAsiaTheme="minorEastAsia"/>
                <w:b/>
                <w:bCs/>
                <w:noProof/>
                <w:sz w:val="20"/>
                <w:szCs w:val="20"/>
              </w:rPr>
              <w:t>EUR 1 200 000</w:t>
            </w:r>
          </w:p>
          <w:p w14:paraId="7A1D73E4" w14:textId="77777777" w:rsidR="000A7D9D" w:rsidRPr="007F38F4" w:rsidRDefault="000A7D9D" w:rsidP="00F31937">
            <w:pPr>
              <w:pStyle w:val="BodyText"/>
              <w:tabs>
                <w:tab w:val="left" w:pos="4170"/>
              </w:tabs>
              <w:spacing w:after="0"/>
              <w:rPr>
                <w:rFonts w:eastAsiaTheme="minorEastAsia"/>
                <w:noProof/>
                <w:sz w:val="20"/>
                <w:szCs w:val="20"/>
              </w:rPr>
            </w:pPr>
            <w:r w:rsidRPr="007F38F4">
              <w:rPr>
                <w:rFonts w:eastAsiaTheme="minorEastAsia"/>
                <w:noProof/>
                <w:sz w:val="20"/>
                <w:szCs w:val="20"/>
              </w:rPr>
              <w:t xml:space="preserve">2027: </w:t>
            </w:r>
            <w:r>
              <w:rPr>
                <w:rFonts w:eastAsiaTheme="minorEastAsia"/>
                <w:b/>
                <w:bCs/>
                <w:noProof/>
                <w:sz w:val="20"/>
                <w:szCs w:val="20"/>
              </w:rPr>
              <w:t>EUR 400 000</w:t>
            </w:r>
          </w:p>
          <w:p w14:paraId="56F3FB52" w14:textId="77777777" w:rsidR="000A7D9D" w:rsidRPr="007F38F4" w:rsidRDefault="000A7D9D" w:rsidP="00F31937">
            <w:pPr>
              <w:pStyle w:val="BodyText"/>
              <w:tabs>
                <w:tab w:val="left" w:pos="4170"/>
              </w:tabs>
              <w:spacing w:after="0"/>
              <w:rPr>
                <w:rFonts w:eastAsiaTheme="minorEastAsia"/>
                <w:noProof/>
                <w:sz w:val="20"/>
                <w:szCs w:val="20"/>
              </w:rPr>
            </w:pPr>
            <w:r w:rsidRPr="007F38F4">
              <w:rPr>
                <w:rFonts w:eastAsiaTheme="minorEastAsia"/>
                <w:noProof/>
                <w:sz w:val="20"/>
                <w:szCs w:val="20"/>
              </w:rPr>
              <w:t xml:space="preserve">2028: </w:t>
            </w:r>
            <w:r>
              <w:rPr>
                <w:rFonts w:eastAsiaTheme="minorEastAsia"/>
                <w:b/>
                <w:bCs/>
                <w:noProof/>
                <w:sz w:val="20"/>
                <w:szCs w:val="20"/>
              </w:rPr>
              <w:t>EUR 200 000</w:t>
            </w:r>
          </w:p>
        </w:tc>
      </w:tr>
      <w:tr w:rsidR="000A7D9D" w:rsidRPr="00BB139D" w14:paraId="2CC3FB24" w14:textId="77777777" w:rsidTr="00F31937">
        <w:trPr>
          <w:trHeight w:val="300"/>
        </w:trPr>
        <w:tc>
          <w:tcPr>
            <w:tcW w:w="1035" w:type="dxa"/>
            <w:vMerge/>
            <w:shd w:val="clear" w:color="auto" w:fill="D9D9D9" w:themeFill="background1" w:themeFillShade="D9"/>
          </w:tcPr>
          <w:p w14:paraId="5B23A777" w14:textId="77777777" w:rsidR="000A7D9D" w:rsidRPr="007F38F4" w:rsidRDefault="000A7D9D" w:rsidP="00F31937">
            <w:pPr>
              <w:pStyle w:val="BodyText"/>
              <w:rPr>
                <w:rFonts w:eastAsiaTheme="minorEastAsia"/>
                <w:noProof/>
                <w:sz w:val="20"/>
                <w:szCs w:val="20"/>
              </w:rPr>
            </w:pPr>
          </w:p>
        </w:tc>
        <w:tc>
          <w:tcPr>
            <w:tcW w:w="4914" w:type="dxa"/>
            <w:vMerge/>
            <w:shd w:val="clear" w:color="auto" w:fill="D9D9D9" w:themeFill="background1" w:themeFillShade="D9"/>
          </w:tcPr>
          <w:p w14:paraId="01DC78CB" w14:textId="77777777" w:rsidR="000A7D9D" w:rsidRPr="007F38F4" w:rsidRDefault="000A7D9D" w:rsidP="00F31937">
            <w:pPr>
              <w:pStyle w:val="BodyText"/>
              <w:rPr>
                <w:rFonts w:eastAsiaTheme="minorEastAsia"/>
                <w:noProof/>
                <w:sz w:val="20"/>
                <w:szCs w:val="20"/>
              </w:rPr>
            </w:pPr>
          </w:p>
        </w:tc>
        <w:tc>
          <w:tcPr>
            <w:tcW w:w="1559" w:type="dxa"/>
            <w:shd w:val="clear" w:color="auto" w:fill="D9D9D9" w:themeFill="background1" w:themeFillShade="D9"/>
          </w:tcPr>
          <w:p w14:paraId="0212C131" w14:textId="77777777" w:rsidR="000A7D9D" w:rsidRPr="007F38F4" w:rsidRDefault="000A7D9D" w:rsidP="00F31937">
            <w:pPr>
              <w:pStyle w:val="BodyText"/>
              <w:tabs>
                <w:tab w:val="left" w:pos="4170"/>
              </w:tabs>
              <w:rPr>
                <w:rFonts w:eastAsiaTheme="minorEastAsia"/>
                <w:noProof/>
                <w:sz w:val="20"/>
                <w:szCs w:val="20"/>
              </w:rPr>
            </w:pPr>
            <w:r w:rsidRPr="007F38F4">
              <w:rPr>
                <w:rFonts w:eastAsiaTheme="minorEastAsia"/>
                <w:noProof/>
                <w:sz w:val="20"/>
                <w:szCs w:val="20"/>
              </w:rPr>
              <w:t>Human resource needs:</w:t>
            </w:r>
          </w:p>
        </w:tc>
        <w:tc>
          <w:tcPr>
            <w:tcW w:w="2121" w:type="dxa"/>
            <w:shd w:val="clear" w:color="auto" w:fill="D9D9D9" w:themeFill="background1" w:themeFillShade="D9"/>
          </w:tcPr>
          <w:p w14:paraId="248A262F" w14:textId="77777777" w:rsidR="000A7D9D" w:rsidRPr="009E05B6" w:rsidRDefault="000A7D9D" w:rsidP="00F31937">
            <w:pPr>
              <w:pStyle w:val="BodyText"/>
              <w:tabs>
                <w:tab w:val="left" w:pos="4170"/>
              </w:tabs>
              <w:spacing w:after="0"/>
              <w:rPr>
                <w:rFonts w:eastAsiaTheme="minorEastAsia"/>
                <w:b/>
                <w:noProof/>
                <w:sz w:val="20"/>
                <w:szCs w:val="20"/>
                <w:lang w:val="pl-PL"/>
              </w:rPr>
            </w:pPr>
            <w:r w:rsidRPr="009E05B6">
              <w:rPr>
                <w:rFonts w:eastAsiaTheme="minorEastAsia"/>
                <w:noProof/>
                <w:sz w:val="20"/>
                <w:szCs w:val="20"/>
                <w:lang w:val="pl-PL"/>
              </w:rPr>
              <w:t xml:space="preserve">2025: </w:t>
            </w:r>
            <w:r w:rsidRPr="009E05B6">
              <w:rPr>
                <w:rFonts w:eastAsiaTheme="minorEastAsia"/>
                <w:b/>
                <w:noProof/>
                <w:sz w:val="20"/>
                <w:szCs w:val="20"/>
                <w:lang w:val="pl-PL"/>
              </w:rPr>
              <w:t xml:space="preserve">1 TA, </w:t>
            </w:r>
            <w:r>
              <w:rPr>
                <w:rFonts w:eastAsiaTheme="minorEastAsia"/>
                <w:b/>
                <w:noProof/>
                <w:sz w:val="20"/>
                <w:szCs w:val="20"/>
                <w:lang w:val="pl-PL"/>
              </w:rPr>
              <w:t>2</w:t>
            </w:r>
            <w:r w:rsidRPr="009E05B6">
              <w:rPr>
                <w:rFonts w:eastAsiaTheme="minorEastAsia"/>
                <w:b/>
                <w:noProof/>
                <w:sz w:val="20"/>
                <w:szCs w:val="20"/>
                <w:lang w:val="pl-PL"/>
              </w:rPr>
              <w:t xml:space="preserve"> CA</w:t>
            </w:r>
          </w:p>
          <w:p w14:paraId="62E79815" w14:textId="77777777" w:rsidR="000A7D9D" w:rsidRPr="009E05B6" w:rsidRDefault="000A7D9D" w:rsidP="00F31937">
            <w:pPr>
              <w:pStyle w:val="BodyText"/>
              <w:tabs>
                <w:tab w:val="left" w:pos="4170"/>
              </w:tabs>
              <w:spacing w:after="0"/>
              <w:rPr>
                <w:rFonts w:eastAsiaTheme="minorEastAsia"/>
                <w:b/>
                <w:noProof/>
                <w:sz w:val="20"/>
                <w:szCs w:val="20"/>
                <w:lang w:val="pl-PL"/>
              </w:rPr>
            </w:pPr>
            <w:r w:rsidRPr="009E05B6">
              <w:rPr>
                <w:rFonts w:eastAsiaTheme="minorEastAsia"/>
                <w:noProof/>
                <w:sz w:val="20"/>
                <w:szCs w:val="20"/>
                <w:lang w:val="pl-PL"/>
              </w:rPr>
              <w:t xml:space="preserve">2026: </w:t>
            </w:r>
            <w:r w:rsidRPr="009E05B6">
              <w:rPr>
                <w:rFonts w:eastAsiaTheme="minorEastAsia"/>
                <w:b/>
                <w:noProof/>
                <w:sz w:val="20"/>
                <w:szCs w:val="20"/>
                <w:lang w:val="pl-PL"/>
              </w:rPr>
              <w:t xml:space="preserve">1 TA, </w:t>
            </w:r>
            <w:r>
              <w:rPr>
                <w:rFonts w:eastAsiaTheme="minorEastAsia"/>
                <w:b/>
                <w:noProof/>
                <w:sz w:val="20"/>
                <w:szCs w:val="20"/>
                <w:lang w:val="pl-PL"/>
              </w:rPr>
              <w:t>2</w:t>
            </w:r>
            <w:r w:rsidRPr="009E05B6">
              <w:rPr>
                <w:rFonts w:eastAsiaTheme="minorEastAsia"/>
                <w:b/>
                <w:noProof/>
                <w:sz w:val="20"/>
                <w:szCs w:val="20"/>
                <w:lang w:val="pl-PL"/>
              </w:rPr>
              <w:t xml:space="preserve"> CA</w:t>
            </w:r>
          </w:p>
          <w:p w14:paraId="69C24CF8" w14:textId="77777777" w:rsidR="000A7D9D" w:rsidRPr="009E05B6" w:rsidRDefault="000A7D9D" w:rsidP="00F31937">
            <w:pPr>
              <w:pStyle w:val="BodyText"/>
              <w:tabs>
                <w:tab w:val="left" w:pos="4170"/>
              </w:tabs>
              <w:spacing w:after="0"/>
              <w:rPr>
                <w:rFonts w:eastAsiaTheme="minorEastAsia"/>
                <w:b/>
                <w:noProof/>
                <w:sz w:val="20"/>
                <w:szCs w:val="20"/>
                <w:lang w:val="pl-PL"/>
              </w:rPr>
            </w:pPr>
            <w:r w:rsidRPr="009E05B6">
              <w:rPr>
                <w:rFonts w:eastAsiaTheme="minorEastAsia"/>
                <w:noProof/>
                <w:sz w:val="20"/>
                <w:szCs w:val="20"/>
                <w:lang w:val="pl-PL"/>
              </w:rPr>
              <w:t xml:space="preserve">2027: </w:t>
            </w:r>
            <w:r w:rsidRPr="009E05B6">
              <w:rPr>
                <w:rFonts w:eastAsiaTheme="minorEastAsia"/>
                <w:b/>
                <w:noProof/>
                <w:sz w:val="20"/>
                <w:szCs w:val="20"/>
                <w:lang w:val="pl-PL"/>
              </w:rPr>
              <w:t xml:space="preserve">1 TA, </w:t>
            </w:r>
            <w:r>
              <w:rPr>
                <w:rFonts w:eastAsiaTheme="minorEastAsia"/>
                <w:b/>
                <w:noProof/>
                <w:sz w:val="20"/>
                <w:szCs w:val="20"/>
                <w:lang w:val="pl-PL"/>
              </w:rPr>
              <w:t>2</w:t>
            </w:r>
            <w:r w:rsidRPr="009E05B6">
              <w:rPr>
                <w:rFonts w:eastAsiaTheme="minorEastAsia"/>
                <w:b/>
                <w:noProof/>
                <w:sz w:val="20"/>
                <w:szCs w:val="20"/>
                <w:lang w:val="pl-PL"/>
              </w:rPr>
              <w:t xml:space="preserve"> CA</w:t>
            </w:r>
          </w:p>
          <w:p w14:paraId="5E0FC326" w14:textId="77777777" w:rsidR="000A7D9D" w:rsidRPr="009E05B6" w:rsidRDefault="000A7D9D" w:rsidP="00F31937">
            <w:pPr>
              <w:pStyle w:val="BodyText"/>
              <w:tabs>
                <w:tab w:val="left" w:pos="4170"/>
              </w:tabs>
              <w:spacing w:after="0"/>
              <w:rPr>
                <w:rFonts w:eastAsiaTheme="minorEastAsia"/>
                <w:b/>
                <w:noProof/>
                <w:sz w:val="20"/>
                <w:szCs w:val="20"/>
                <w:lang w:val="pl-PL"/>
              </w:rPr>
            </w:pPr>
            <w:r w:rsidRPr="009E05B6">
              <w:rPr>
                <w:rFonts w:eastAsiaTheme="minorEastAsia"/>
                <w:noProof/>
                <w:sz w:val="20"/>
                <w:szCs w:val="20"/>
                <w:lang w:val="pl-PL"/>
              </w:rPr>
              <w:t xml:space="preserve">2028: </w:t>
            </w:r>
            <w:r w:rsidRPr="009E05B6">
              <w:rPr>
                <w:rFonts w:eastAsiaTheme="minorEastAsia"/>
                <w:b/>
                <w:noProof/>
                <w:sz w:val="20"/>
                <w:szCs w:val="20"/>
                <w:lang w:val="pl-PL"/>
              </w:rPr>
              <w:t xml:space="preserve">1 TA, </w:t>
            </w:r>
            <w:r>
              <w:rPr>
                <w:rFonts w:eastAsiaTheme="minorEastAsia"/>
                <w:b/>
                <w:noProof/>
                <w:sz w:val="20"/>
                <w:szCs w:val="20"/>
                <w:lang w:val="pl-PL"/>
              </w:rPr>
              <w:t>2</w:t>
            </w:r>
            <w:r w:rsidRPr="009E05B6">
              <w:rPr>
                <w:rFonts w:eastAsiaTheme="minorEastAsia"/>
                <w:b/>
                <w:noProof/>
                <w:sz w:val="20"/>
                <w:szCs w:val="20"/>
                <w:lang w:val="pl-PL"/>
              </w:rPr>
              <w:t xml:space="preserve"> CA</w:t>
            </w:r>
          </w:p>
          <w:p w14:paraId="1DBE68B7" w14:textId="77777777" w:rsidR="000A7D9D" w:rsidRPr="009E05B6" w:rsidRDefault="000A7D9D" w:rsidP="00F31937">
            <w:pPr>
              <w:pStyle w:val="BodyText"/>
              <w:tabs>
                <w:tab w:val="left" w:pos="4170"/>
              </w:tabs>
              <w:spacing w:after="0"/>
              <w:rPr>
                <w:rFonts w:eastAsiaTheme="minorEastAsia"/>
                <w:noProof/>
                <w:sz w:val="20"/>
                <w:szCs w:val="20"/>
                <w:lang w:val="pl-PL"/>
              </w:rPr>
            </w:pPr>
          </w:p>
        </w:tc>
      </w:tr>
      <w:tr w:rsidR="000A7D9D" w14:paraId="1FCB6FC8" w14:textId="77777777" w:rsidTr="00F31937">
        <w:trPr>
          <w:trHeight w:val="300"/>
        </w:trPr>
        <w:tc>
          <w:tcPr>
            <w:tcW w:w="1035" w:type="dxa"/>
            <w:vMerge w:val="restart"/>
            <w:shd w:val="clear" w:color="auto" w:fill="D9D9D9" w:themeFill="background1" w:themeFillShade="D9"/>
          </w:tcPr>
          <w:p w14:paraId="75865291" w14:textId="77777777" w:rsidR="000A7D9D" w:rsidRPr="007F38F4" w:rsidRDefault="000A7D9D" w:rsidP="00F31937">
            <w:pPr>
              <w:pStyle w:val="BodyText"/>
              <w:rPr>
                <w:rFonts w:eastAsiaTheme="minorEastAsia"/>
                <w:noProof/>
                <w:sz w:val="20"/>
                <w:szCs w:val="20"/>
              </w:rPr>
            </w:pPr>
            <w:r w:rsidRPr="007F38F4">
              <w:rPr>
                <w:rFonts w:eastAsiaTheme="minorEastAsia"/>
                <w:noProof/>
                <w:sz w:val="20"/>
                <w:szCs w:val="20"/>
              </w:rPr>
              <w:t>EFSA</w:t>
            </w:r>
          </w:p>
        </w:tc>
        <w:tc>
          <w:tcPr>
            <w:tcW w:w="4914" w:type="dxa"/>
            <w:vMerge w:val="restart"/>
            <w:shd w:val="clear" w:color="auto" w:fill="D9D9D9" w:themeFill="background1" w:themeFillShade="D9"/>
          </w:tcPr>
          <w:p w14:paraId="3D1A713F" w14:textId="77777777" w:rsidR="000A7D9D" w:rsidRPr="007F38F4" w:rsidRDefault="000A7D9D" w:rsidP="00F31937">
            <w:pPr>
              <w:spacing w:after="120" w:line="259" w:lineRule="auto"/>
              <w:rPr>
                <w:rFonts w:eastAsiaTheme="majorEastAsia"/>
                <w:noProof/>
                <w:lang w:val="en-US"/>
              </w:rPr>
            </w:pPr>
            <w:r w:rsidRPr="13AEFEEB">
              <w:rPr>
                <w:rFonts w:eastAsiaTheme="majorEastAsia"/>
                <w:noProof/>
                <w:lang w:val="en-US"/>
              </w:rPr>
              <w:t xml:space="preserve">Continue running its existing notifications database  </w:t>
            </w:r>
          </w:p>
          <w:p w14:paraId="3A775F5E" w14:textId="77777777" w:rsidR="000A7D9D" w:rsidRPr="007F38F4" w:rsidRDefault="000A7D9D" w:rsidP="00F31937">
            <w:pPr>
              <w:spacing w:line="259" w:lineRule="auto"/>
              <w:rPr>
                <w:rFonts w:eastAsiaTheme="majorEastAsia"/>
                <w:noProof/>
                <w:lang w:val="en-US"/>
              </w:rPr>
            </w:pPr>
            <w:r w:rsidRPr="007F38F4">
              <w:rPr>
                <w:rFonts w:eastAsiaTheme="majorEastAsia"/>
                <w:noProof/>
                <w:lang w:val="en-US"/>
              </w:rPr>
              <w:t xml:space="preserve">Coordination with ECHA </w:t>
            </w:r>
            <w:r>
              <w:rPr>
                <w:rFonts w:eastAsiaTheme="majorEastAsia"/>
                <w:noProof/>
                <w:lang w:val="en-US"/>
              </w:rPr>
              <w:t xml:space="preserve">to ensure </w:t>
            </w:r>
            <w:r w:rsidRPr="003F0D22">
              <w:rPr>
                <w:noProof/>
              </w:rPr>
              <w:t xml:space="preserve">common approach for the identification of information notified to </w:t>
            </w:r>
            <w:r>
              <w:rPr>
                <w:noProof/>
              </w:rPr>
              <w:t>EFSA and ECHA systems</w:t>
            </w:r>
          </w:p>
        </w:tc>
        <w:tc>
          <w:tcPr>
            <w:tcW w:w="1559" w:type="dxa"/>
            <w:shd w:val="clear" w:color="auto" w:fill="D9D9D9" w:themeFill="background1" w:themeFillShade="D9"/>
          </w:tcPr>
          <w:p w14:paraId="10927F0E" w14:textId="77777777" w:rsidR="000A7D9D" w:rsidRPr="007F38F4" w:rsidRDefault="000A7D9D" w:rsidP="00F31937">
            <w:pPr>
              <w:pStyle w:val="BodyText"/>
              <w:tabs>
                <w:tab w:val="left" w:pos="4170"/>
              </w:tabs>
              <w:rPr>
                <w:rFonts w:eastAsiaTheme="minorEastAsia"/>
                <w:noProof/>
                <w:sz w:val="20"/>
                <w:szCs w:val="20"/>
              </w:rPr>
            </w:pPr>
            <w:r w:rsidRPr="007F38F4">
              <w:rPr>
                <w:rFonts w:eastAsiaTheme="minorEastAsia"/>
                <w:noProof/>
                <w:sz w:val="20"/>
                <w:szCs w:val="20"/>
              </w:rPr>
              <w:t>Financial resource needs:</w:t>
            </w:r>
          </w:p>
          <w:p w14:paraId="5F20F0C2" w14:textId="77777777" w:rsidR="000A7D9D" w:rsidRPr="007F38F4" w:rsidRDefault="000A7D9D" w:rsidP="00F31937">
            <w:pPr>
              <w:pStyle w:val="BodyText"/>
              <w:rPr>
                <w:rFonts w:eastAsiaTheme="minorEastAsia"/>
                <w:noProof/>
                <w:sz w:val="20"/>
                <w:szCs w:val="20"/>
              </w:rPr>
            </w:pPr>
          </w:p>
        </w:tc>
        <w:tc>
          <w:tcPr>
            <w:tcW w:w="2121" w:type="dxa"/>
            <w:shd w:val="clear" w:color="auto" w:fill="D9D9D9" w:themeFill="background1" w:themeFillShade="D9"/>
          </w:tcPr>
          <w:p w14:paraId="0DC136EB" w14:textId="77777777" w:rsidR="000A7D9D" w:rsidRPr="007F38F4" w:rsidRDefault="000A7D9D" w:rsidP="00F31937">
            <w:pPr>
              <w:pStyle w:val="BodyText"/>
              <w:tabs>
                <w:tab w:val="left" w:pos="4170"/>
              </w:tabs>
              <w:spacing w:after="0"/>
              <w:rPr>
                <w:rFonts w:eastAsiaTheme="minorEastAsia"/>
                <w:noProof/>
                <w:sz w:val="20"/>
                <w:szCs w:val="20"/>
              </w:rPr>
            </w:pPr>
            <w:r w:rsidRPr="007F38F4">
              <w:rPr>
                <w:rFonts w:eastAsiaTheme="minorEastAsia"/>
                <w:noProof/>
                <w:sz w:val="20"/>
                <w:szCs w:val="20"/>
              </w:rPr>
              <w:t xml:space="preserve">2025: </w:t>
            </w:r>
            <w:r>
              <w:rPr>
                <w:rFonts w:eastAsiaTheme="minorEastAsia"/>
                <w:b/>
                <w:bCs/>
                <w:noProof/>
                <w:sz w:val="20"/>
                <w:szCs w:val="20"/>
              </w:rPr>
              <w:t>EUR 0</w:t>
            </w:r>
          </w:p>
          <w:p w14:paraId="48649330" w14:textId="77777777" w:rsidR="000A7D9D" w:rsidRPr="007F38F4" w:rsidRDefault="000A7D9D" w:rsidP="00F31937">
            <w:pPr>
              <w:pStyle w:val="BodyText"/>
              <w:tabs>
                <w:tab w:val="left" w:pos="4170"/>
              </w:tabs>
              <w:spacing w:after="0"/>
              <w:rPr>
                <w:rFonts w:eastAsiaTheme="minorEastAsia"/>
                <w:noProof/>
                <w:sz w:val="20"/>
                <w:szCs w:val="20"/>
              </w:rPr>
            </w:pPr>
            <w:r w:rsidRPr="007F38F4">
              <w:rPr>
                <w:rFonts w:eastAsiaTheme="minorEastAsia"/>
                <w:noProof/>
                <w:sz w:val="20"/>
                <w:szCs w:val="20"/>
              </w:rPr>
              <w:t xml:space="preserve">2026: </w:t>
            </w:r>
            <w:r>
              <w:rPr>
                <w:rFonts w:eastAsiaTheme="minorEastAsia"/>
                <w:b/>
                <w:bCs/>
                <w:noProof/>
                <w:sz w:val="20"/>
                <w:szCs w:val="20"/>
              </w:rPr>
              <w:t>EUR 0</w:t>
            </w:r>
          </w:p>
          <w:p w14:paraId="556F6CA8" w14:textId="77777777" w:rsidR="000A7D9D" w:rsidRPr="007F38F4" w:rsidRDefault="000A7D9D" w:rsidP="00F31937">
            <w:pPr>
              <w:pStyle w:val="BodyText"/>
              <w:tabs>
                <w:tab w:val="left" w:pos="4170"/>
              </w:tabs>
              <w:spacing w:after="0"/>
              <w:rPr>
                <w:rFonts w:eastAsiaTheme="minorEastAsia"/>
                <w:noProof/>
                <w:sz w:val="20"/>
                <w:szCs w:val="20"/>
              </w:rPr>
            </w:pPr>
            <w:r w:rsidRPr="007F38F4">
              <w:rPr>
                <w:rFonts w:eastAsiaTheme="minorEastAsia"/>
                <w:noProof/>
                <w:sz w:val="20"/>
                <w:szCs w:val="20"/>
              </w:rPr>
              <w:t xml:space="preserve">2027: </w:t>
            </w:r>
            <w:r>
              <w:rPr>
                <w:rFonts w:eastAsiaTheme="minorEastAsia"/>
                <w:b/>
                <w:noProof/>
                <w:sz w:val="20"/>
                <w:szCs w:val="20"/>
              </w:rPr>
              <w:t>EUR 0</w:t>
            </w:r>
          </w:p>
          <w:p w14:paraId="2EA8492A" w14:textId="77777777" w:rsidR="000A7D9D" w:rsidRPr="007F38F4" w:rsidRDefault="000A7D9D" w:rsidP="00F31937">
            <w:pPr>
              <w:pStyle w:val="BodyText"/>
              <w:tabs>
                <w:tab w:val="left" w:pos="4170"/>
              </w:tabs>
              <w:spacing w:after="0"/>
              <w:rPr>
                <w:rFonts w:eastAsiaTheme="minorEastAsia"/>
                <w:noProof/>
                <w:sz w:val="20"/>
                <w:szCs w:val="20"/>
              </w:rPr>
            </w:pPr>
            <w:r w:rsidRPr="007F38F4">
              <w:rPr>
                <w:rFonts w:eastAsiaTheme="minorEastAsia"/>
                <w:noProof/>
                <w:sz w:val="20"/>
                <w:szCs w:val="20"/>
              </w:rPr>
              <w:t xml:space="preserve">2028: </w:t>
            </w:r>
            <w:r>
              <w:rPr>
                <w:rFonts w:eastAsiaTheme="minorEastAsia"/>
                <w:b/>
                <w:noProof/>
                <w:sz w:val="20"/>
                <w:szCs w:val="20"/>
              </w:rPr>
              <w:t>EUR 0</w:t>
            </w:r>
          </w:p>
          <w:p w14:paraId="090BABD3" w14:textId="77777777" w:rsidR="000A7D9D" w:rsidRPr="007F38F4" w:rsidRDefault="000A7D9D" w:rsidP="00F31937">
            <w:pPr>
              <w:pStyle w:val="BodyText"/>
              <w:tabs>
                <w:tab w:val="left" w:pos="4170"/>
              </w:tabs>
              <w:spacing w:after="0"/>
              <w:rPr>
                <w:rFonts w:eastAsiaTheme="minorEastAsia"/>
                <w:noProof/>
                <w:sz w:val="20"/>
                <w:szCs w:val="20"/>
              </w:rPr>
            </w:pPr>
          </w:p>
        </w:tc>
      </w:tr>
      <w:tr w:rsidR="000A7D9D" w:rsidRPr="00BB139D" w14:paraId="34ADEA19" w14:textId="77777777" w:rsidTr="00F31937">
        <w:trPr>
          <w:trHeight w:val="300"/>
        </w:trPr>
        <w:tc>
          <w:tcPr>
            <w:tcW w:w="1035" w:type="dxa"/>
            <w:vMerge/>
            <w:shd w:val="clear" w:color="auto" w:fill="D9D9D9" w:themeFill="background1" w:themeFillShade="D9"/>
          </w:tcPr>
          <w:p w14:paraId="5A8C12FD" w14:textId="77777777" w:rsidR="000A7D9D" w:rsidRPr="007F38F4" w:rsidRDefault="000A7D9D" w:rsidP="00F31937">
            <w:pPr>
              <w:pStyle w:val="BodyText"/>
              <w:rPr>
                <w:rFonts w:eastAsiaTheme="minorEastAsia"/>
                <w:noProof/>
                <w:sz w:val="20"/>
                <w:szCs w:val="20"/>
              </w:rPr>
            </w:pPr>
          </w:p>
        </w:tc>
        <w:tc>
          <w:tcPr>
            <w:tcW w:w="4914" w:type="dxa"/>
            <w:vMerge/>
            <w:shd w:val="clear" w:color="auto" w:fill="D9D9D9" w:themeFill="background1" w:themeFillShade="D9"/>
          </w:tcPr>
          <w:p w14:paraId="4AC14AC0" w14:textId="77777777" w:rsidR="000A7D9D" w:rsidRPr="007F38F4" w:rsidRDefault="000A7D9D" w:rsidP="00F31937">
            <w:pPr>
              <w:rPr>
                <w:rFonts w:eastAsiaTheme="majorEastAsia"/>
                <w:noProof/>
                <w:lang w:val="en-US"/>
              </w:rPr>
            </w:pPr>
          </w:p>
        </w:tc>
        <w:tc>
          <w:tcPr>
            <w:tcW w:w="1559" w:type="dxa"/>
            <w:shd w:val="clear" w:color="auto" w:fill="D9D9D9" w:themeFill="background1" w:themeFillShade="D9"/>
          </w:tcPr>
          <w:p w14:paraId="745D9598" w14:textId="77777777" w:rsidR="000A7D9D" w:rsidRPr="007F38F4" w:rsidRDefault="000A7D9D" w:rsidP="00F31937">
            <w:pPr>
              <w:pStyle w:val="BodyText"/>
              <w:tabs>
                <w:tab w:val="left" w:pos="4170"/>
              </w:tabs>
              <w:rPr>
                <w:rFonts w:eastAsiaTheme="minorEastAsia"/>
                <w:noProof/>
                <w:sz w:val="20"/>
                <w:szCs w:val="20"/>
              </w:rPr>
            </w:pPr>
            <w:r w:rsidRPr="007F38F4">
              <w:rPr>
                <w:rFonts w:eastAsiaTheme="minorEastAsia"/>
                <w:noProof/>
                <w:sz w:val="20"/>
                <w:szCs w:val="20"/>
              </w:rPr>
              <w:t>Human resource needs:</w:t>
            </w:r>
          </w:p>
        </w:tc>
        <w:tc>
          <w:tcPr>
            <w:tcW w:w="2121" w:type="dxa"/>
            <w:shd w:val="clear" w:color="auto" w:fill="D9D9D9" w:themeFill="background1" w:themeFillShade="D9"/>
          </w:tcPr>
          <w:p w14:paraId="4540CCFF" w14:textId="77777777" w:rsidR="000A7D9D" w:rsidRPr="007F38F4" w:rsidRDefault="000A7D9D" w:rsidP="00F31937">
            <w:pPr>
              <w:pStyle w:val="BodyText"/>
              <w:tabs>
                <w:tab w:val="left" w:pos="4170"/>
              </w:tabs>
              <w:spacing w:after="0"/>
              <w:rPr>
                <w:rFonts w:eastAsiaTheme="minorEastAsia"/>
                <w:b/>
                <w:noProof/>
                <w:sz w:val="20"/>
                <w:szCs w:val="20"/>
                <w:lang w:val="fr-BE"/>
              </w:rPr>
            </w:pPr>
            <w:r w:rsidRPr="007F38F4">
              <w:rPr>
                <w:rFonts w:eastAsiaTheme="minorEastAsia"/>
                <w:noProof/>
                <w:sz w:val="20"/>
                <w:szCs w:val="20"/>
                <w:lang w:val="fr-BE"/>
              </w:rPr>
              <w:t xml:space="preserve">2025: </w:t>
            </w:r>
            <w:r>
              <w:rPr>
                <w:rFonts w:eastAsiaTheme="minorEastAsia"/>
                <w:b/>
                <w:bCs/>
                <w:noProof/>
                <w:sz w:val="20"/>
                <w:szCs w:val="20"/>
                <w:lang w:val="fr-BE"/>
              </w:rPr>
              <w:t>0 FTEs</w:t>
            </w:r>
          </w:p>
          <w:p w14:paraId="62053850" w14:textId="77777777" w:rsidR="000A7D9D" w:rsidRPr="007F38F4" w:rsidRDefault="000A7D9D" w:rsidP="00F31937">
            <w:pPr>
              <w:pStyle w:val="BodyText"/>
              <w:tabs>
                <w:tab w:val="left" w:pos="4170"/>
              </w:tabs>
              <w:spacing w:after="0"/>
              <w:rPr>
                <w:rFonts w:eastAsiaTheme="minorEastAsia"/>
                <w:b/>
                <w:noProof/>
                <w:sz w:val="20"/>
                <w:szCs w:val="20"/>
                <w:lang w:val="fr-BE"/>
              </w:rPr>
            </w:pPr>
            <w:r w:rsidRPr="007F38F4">
              <w:rPr>
                <w:rFonts w:eastAsiaTheme="minorEastAsia"/>
                <w:noProof/>
                <w:sz w:val="20"/>
                <w:szCs w:val="20"/>
                <w:lang w:val="fr-BE"/>
              </w:rPr>
              <w:t xml:space="preserve">2026: </w:t>
            </w:r>
            <w:r>
              <w:rPr>
                <w:rFonts w:eastAsiaTheme="minorEastAsia"/>
                <w:b/>
                <w:bCs/>
                <w:noProof/>
                <w:sz w:val="20"/>
                <w:szCs w:val="20"/>
                <w:lang w:val="fr-BE"/>
              </w:rPr>
              <w:t>0 FTEs</w:t>
            </w:r>
          </w:p>
          <w:p w14:paraId="7D4E418E" w14:textId="77777777" w:rsidR="000A7D9D" w:rsidRPr="007F38F4" w:rsidRDefault="000A7D9D" w:rsidP="00F31937">
            <w:pPr>
              <w:pStyle w:val="BodyText"/>
              <w:tabs>
                <w:tab w:val="left" w:pos="4170"/>
              </w:tabs>
              <w:spacing w:after="0"/>
              <w:rPr>
                <w:rFonts w:eastAsiaTheme="minorEastAsia"/>
                <w:b/>
                <w:noProof/>
                <w:sz w:val="20"/>
                <w:szCs w:val="20"/>
                <w:lang w:val="fr-BE"/>
              </w:rPr>
            </w:pPr>
            <w:r w:rsidRPr="007F38F4">
              <w:rPr>
                <w:rFonts w:eastAsiaTheme="minorEastAsia"/>
                <w:noProof/>
                <w:sz w:val="20"/>
                <w:szCs w:val="20"/>
                <w:lang w:val="fr-BE"/>
              </w:rPr>
              <w:t xml:space="preserve">2027: </w:t>
            </w:r>
            <w:r>
              <w:rPr>
                <w:rFonts w:eastAsiaTheme="minorEastAsia"/>
                <w:b/>
                <w:bCs/>
                <w:noProof/>
                <w:sz w:val="20"/>
                <w:szCs w:val="20"/>
                <w:lang w:val="fr-BE"/>
              </w:rPr>
              <w:t>0 FTEs</w:t>
            </w:r>
          </w:p>
          <w:p w14:paraId="3E35E563" w14:textId="77777777" w:rsidR="000A7D9D" w:rsidRPr="004D43EB" w:rsidRDefault="000A7D9D" w:rsidP="00F31937">
            <w:pPr>
              <w:pStyle w:val="BodyText"/>
              <w:tabs>
                <w:tab w:val="left" w:pos="4170"/>
              </w:tabs>
              <w:spacing w:after="0"/>
              <w:rPr>
                <w:rFonts w:eastAsiaTheme="minorEastAsia"/>
                <w:b/>
                <w:noProof/>
                <w:sz w:val="20"/>
                <w:szCs w:val="20"/>
                <w:lang w:val="fr-BE"/>
              </w:rPr>
            </w:pPr>
            <w:r w:rsidRPr="007F38F4">
              <w:rPr>
                <w:rFonts w:eastAsiaTheme="minorEastAsia"/>
                <w:noProof/>
                <w:sz w:val="20"/>
                <w:szCs w:val="20"/>
                <w:lang w:val="fr-BE"/>
              </w:rPr>
              <w:t xml:space="preserve">2028: </w:t>
            </w:r>
            <w:r>
              <w:rPr>
                <w:rFonts w:eastAsiaTheme="minorEastAsia"/>
                <w:b/>
                <w:bCs/>
                <w:noProof/>
                <w:sz w:val="20"/>
                <w:szCs w:val="20"/>
                <w:lang w:val="fr-BE"/>
              </w:rPr>
              <w:t>0 FTEs</w:t>
            </w:r>
          </w:p>
        </w:tc>
      </w:tr>
    </w:tbl>
    <w:p w14:paraId="0EFA807A" w14:textId="77777777" w:rsidR="000A7D9D" w:rsidRDefault="000A7D9D" w:rsidP="000A7D9D">
      <w:pPr>
        <w:pStyle w:val="BodyText"/>
        <w:spacing w:before="120"/>
        <w:rPr>
          <w:noProof/>
        </w:rPr>
      </w:pPr>
      <w:r w:rsidRPr="1880B16D">
        <w:rPr>
          <w:noProof/>
          <w:u w:val="single"/>
        </w:rPr>
        <w:t>Future budget line:</w:t>
      </w:r>
      <w:r>
        <w:rPr>
          <w:noProof/>
        </w:rPr>
        <w:t xml:space="preserve"> DG Environment</w:t>
      </w:r>
    </w:p>
    <w:p w14:paraId="3B1F6F0F" w14:textId="77777777" w:rsidR="000A7D9D" w:rsidRDefault="000A7D9D" w:rsidP="000A7D9D">
      <w:pPr>
        <w:pStyle w:val="BodyText"/>
        <w:rPr>
          <w:noProof/>
        </w:rPr>
      </w:pPr>
      <w:r w:rsidRPr="28B2440B">
        <w:rPr>
          <w:noProof/>
          <w:u w:val="single"/>
        </w:rPr>
        <w:t>Candidate for fees:</w:t>
      </w:r>
      <w:r>
        <w:rPr>
          <w:noProof/>
        </w:rPr>
        <w:t xml:space="preserve"> No</w:t>
      </w:r>
    </w:p>
    <w:p w14:paraId="3FF468C4" w14:textId="77777777" w:rsidR="000A7D9D" w:rsidRPr="00E46DC1" w:rsidRDefault="000A7D9D" w:rsidP="000A7D9D">
      <w:pPr>
        <w:rPr>
          <w:b/>
          <w:bCs/>
          <w:noProof/>
        </w:rPr>
      </w:pPr>
    </w:p>
    <w:p w14:paraId="1E640AA3"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81" w:name="_Toc150499946"/>
      <w:r w:rsidRPr="00291F95">
        <w:rPr>
          <w:rFonts w:ascii="Times New Roman" w:hAnsi="Times New Roman"/>
          <w:smallCaps/>
          <w:noProof/>
          <w:color w:val="auto"/>
          <w:sz w:val="24"/>
          <w:szCs w:val="20"/>
          <w:lang w:eastAsia="en-US"/>
        </w:rPr>
        <w:t>EU Chemical Early Warning and Action System and Indicator Framework for Chemicals</w:t>
      </w:r>
      <w:bookmarkEnd w:id="81"/>
      <w:r w:rsidRPr="00291F95">
        <w:rPr>
          <w:rFonts w:ascii="Times New Roman" w:hAnsi="Times New Roman"/>
          <w:smallCaps/>
          <w:noProof/>
          <w:color w:val="auto"/>
          <w:sz w:val="24"/>
          <w:szCs w:val="20"/>
          <w:lang w:eastAsia="en-US"/>
        </w:rPr>
        <w:t xml:space="preserve"> </w:t>
      </w:r>
    </w:p>
    <w:p w14:paraId="7EF8C41C" w14:textId="77777777" w:rsidR="000A7D9D" w:rsidRPr="007F38F4" w:rsidRDefault="000A7D9D" w:rsidP="000A7D9D">
      <w:pPr>
        <w:spacing w:after="120"/>
        <w:rPr>
          <w:rFonts w:ascii="Times New Roman" w:hAnsi="Times New Roman" w:cs="Times New Roman"/>
          <w:b/>
          <w:bCs/>
          <w:noProof/>
          <w:sz w:val="24"/>
          <w:szCs w:val="24"/>
        </w:rPr>
      </w:pPr>
      <w:r w:rsidRPr="007F38F4">
        <w:rPr>
          <w:rFonts w:ascii="Times New Roman" w:hAnsi="Times New Roman" w:cs="Times New Roman"/>
          <w:b/>
          <w:bCs/>
          <w:noProof/>
          <w:sz w:val="24"/>
          <w:szCs w:val="24"/>
        </w:rPr>
        <w:t>Responsible body:</w:t>
      </w:r>
    </w:p>
    <w:p w14:paraId="28886F84"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u w:val="single"/>
        </w:rPr>
        <w:t>Currently:</w:t>
      </w:r>
      <w:r w:rsidRPr="007F38F4">
        <w:rPr>
          <w:rFonts w:ascii="Times New Roman" w:hAnsi="Times New Roman" w:cs="Times New Roman"/>
          <w:noProof/>
          <w:sz w:val="24"/>
          <w:szCs w:val="24"/>
        </w:rPr>
        <w:t xml:space="preserve"> EEA, ECHA </w:t>
      </w:r>
    </w:p>
    <w:p w14:paraId="152AF2D9" w14:textId="77777777" w:rsidR="000A7D9D" w:rsidRPr="007F38F4" w:rsidRDefault="000A7D9D" w:rsidP="000A7D9D">
      <w:pPr>
        <w:spacing w:after="120"/>
        <w:rPr>
          <w:rFonts w:ascii="Times New Roman" w:hAnsi="Times New Roman" w:cs="Times New Roman"/>
          <w:noProof/>
          <w:sz w:val="24"/>
          <w:szCs w:val="24"/>
        </w:rPr>
      </w:pPr>
      <w:r w:rsidRPr="13AEFEEB">
        <w:rPr>
          <w:rFonts w:ascii="Times New Roman" w:hAnsi="Times New Roman" w:cs="Times New Roman"/>
          <w:noProof/>
          <w:sz w:val="24"/>
          <w:szCs w:val="24"/>
          <w:u w:val="single"/>
        </w:rPr>
        <w:t>(Re-)attribution planned to:</w:t>
      </w:r>
      <w:r w:rsidRPr="13AEFEEB">
        <w:rPr>
          <w:rFonts w:ascii="Times New Roman" w:hAnsi="Times New Roman" w:cs="Times New Roman"/>
          <w:noProof/>
          <w:sz w:val="24"/>
          <w:szCs w:val="24"/>
        </w:rPr>
        <w:t xml:space="preserve"> EEA, ECHA in collaboration with EFSA, EMA and EU-OSHA (expanding the task)</w:t>
      </w:r>
    </w:p>
    <w:p w14:paraId="2BB324C8" w14:textId="77777777" w:rsidR="000A7D9D" w:rsidRPr="007F38F4" w:rsidRDefault="000A7D9D" w:rsidP="000A7D9D">
      <w:pPr>
        <w:spacing w:after="120"/>
        <w:jc w:val="both"/>
        <w:rPr>
          <w:noProof/>
        </w:rPr>
      </w:pPr>
      <w:r w:rsidRPr="00EA0F47">
        <w:rPr>
          <w:rFonts w:ascii="Times New Roman" w:hAnsi="Times New Roman" w:cs="Times New Roman"/>
          <w:b/>
          <w:bCs/>
          <w:noProof/>
          <w:sz w:val="24"/>
          <w:szCs w:val="24"/>
        </w:rPr>
        <w:t>Legal basis for reattribution:</w:t>
      </w:r>
      <w:r w:rsidRPr="13AEFEEB">
        <w:rPr>
          <w:b/>
          <w:bCs/>
          <w:noProof/>
        </w:rPr>
        <w:t xml:space="preserve"> </w:t>
      </w:r>
      <w:r w:rsidRPr="13AEFEEB">
        <w:rPr>
          <w:rFonts w:ascii="Times New Roman" w:hAnsi="Times New Roman" w:cs="Times New Roman"/>
          <w:noProof/>
          <w:sz w:val="24"/>
          <w:szCs w:val="24"/>
        </w:rPr>
        <w:t xml:space="preserve"> Proposal for a regulation of the European Parliament and of the Council establishing a common data platform on chemicals, laying down rules to ensure that the data contained in it are findable, accessible, interoperable and reusable and establishing a monitoring and outlook framework for chemicals</w:t>
      </w:r>
    </w:p>
    <w:p w14:paraId="1296DE1B"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b/>
          <w:bCs/>
          <w:noProof/>
          <w:sz w:val="24"/>
          <w:szCs w:val="24"/>
        </w:rPr>
        <w:t xml:space="preserve">Type of task: </w:t>
      </w:r>
      <w:r w:rsidRPr="007F38F4">
        <w:rPr>
          <w:rFonts w:ascii="Times New Roman" w:hAnsi="Times New Roman" w:cs="Times New Roman"/>
          <w:noProof/>
          <w:sz w:val="24"/>
          <w:szCs w:val="24"/>
        </w:rPr>
        <w:t>existing (Task 2) and new (Task 1)</w:t>
      </w:r>
    </w:p>
    <w:p w14:paraId="40D3764B"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b/>
          <w:bCs/>
          <w:noProof/>
          <w:sz w:val="24"/>
          <w:szCs w:val="24"/>
        </w:rPr>
        <w:t xml:space="preserve">Brief task overview: </w:t>
      </w:r>
    </w:p>
    <w:p w14:paraId="0B6DF5D7" w14:textId="77777777" w:rsidR="000A7D9D" w:rsidRPr="007F38F4" w:rsidRDefault="000A7D9D" w:rsidP="000A7D9D">
      <w:pPr>
        <w:pStyle w:val="ListParagraph"/>
        <w:widowControl w:val="0"/>
        <w:numPr>
          <w:ilvl w:val="0"/>
          <w:numId w:val="126"/>
        </w:numPr>
        <w:spacing w:after="120"/>
        <w:jc w:val="both"/>
        <w:rPr>
          <w:noProof/>
        </w:rPr>
      </w:pPr>
      <w:r>
        <w:rPr>
          <w:noProof/>
        </w:rPr>
        <w:t>Establishment and operation of an EU early warning and action system for emerging chemical risks through developing and compiling early warning signals and drawing up summary report to inform regulatory follow up actions</w:t>
      </w:r>
    </w:p>
    <w:p w14:paraId="147CDD60" w14:textId="77777777" w:rsidR="000A7D9D" w:rsidRPr="007F38F4" w:rsidRDefault="000A7D9D" w:rsidP="000A7D9D">
      <w:pPr>
        <w:pStyle w:val="ListParagraph"/>
        <w:widowControl w:val="0"/>
        <w:numPr>
          <w:ilvl w:val="0"/>
          <w:numId w:val="126"/>
        </w:numPr>
        <w:spacing w:after="120"/>
        <w:rPr>
          <w:noProof/>
        </w:rPr>
      </w:pPr>
      <w:r w:rsidRPr="007F38F4">
        <w:rPr>
          <w:noProof/>
        </w:rPr>
        <w:t>Establishment and operation of the indicator framework for chemicals</w:t>
      </w:r>
    </w:p>
    <w:p w14:paraId="15455C0F" w14:textId="77777777" w:rsidR="000A7D9D" w:rsidRPr="007F38F4" w:rsidRDefault="000A7D9D" w:rsidP="000A7D9D">
      <w:pPr>
        <w:spacing w:after="120"/>
        <w:textAlignment w:val="baseline"/>
        <w:rPr>
          <w:rFonts w:ascii="Times New Roman" w:hAnsi="Times New Roman" w:cs="Times New Roman"/>
          <w:noProof/>
          <w:sz w:val="24"/>
          <w:szCs w:val="24"/>
          <w:lang w:eastAsia="en-GB"/>
        </w:rPr>
      </w:pPr>
      <w:r w:rsidRPr="007F38F4">
        <w:rPr>
          <w:rFonts w:ascii="Times New Roman" w:hAnsi="Times New Roman" w:cs="Times New Roman"/>
          <w:b/>
          <w:bCs/>
          <w:noProof/>
          <w:sz w:val="24"/>
          <w:szCs w:val="24"/>
          <w:lang w:val="en-US" w:eastAsia="en-GB"/>
        </w:rPr>
        <w:t>Detailed process description: </w:t>
      </w:r>
      <w:r w:rsidRPr="007F38F4">
        <w:rPr>
          <w:rFonts w:ascii="Times New Roman" w:hAnsi="Times New Roman" w:cs="Times New Roman"/>
          <w:noProof/>
          <w:sz w:val="24"/>
          <w:szCs w:val="24"/>
          <w:lang w:eastAsia="en-GB"/>
        </w:rPr>
        <w:t> </w:t>
      </w:r>
    </w:p>
    <w:p w14:paraId="20E9570F" w14:textId="77777777" w:rsidR="000A7D9D" w:rsidRPr="007F38F4" w:rsidRDefault="000A7D9D" w:rsidP="000A7D9D">
      <w:pPr>
        <w:pStyle w:val="BodyText"/>
        <w:jc w:val="both"/>
        <w:rPr>
          <w:i/>
          <w:iCs/>
          <w:noProof/>
        </w:rPr>
      </w:pPr>
      <w:r w:rsidRPr="007F38F4">
        <w:rPr>
          <w:i/>
          <w:iCs/>
          <w:noProof/>
          <w:u w:val="single"/>
        </w:rPr>
        <w:t>Current process:</w:t>
      </w:r>
    </w:p>
    <w:p w14:paraId="32BDA95A" w14:textId="77777777" w:rsidR="000A7D9D" w:rsidRPr="007F38F4" w:rsidRDefault="000A7D9D" w:rsidP="000A7D9D">
      <w:pPr>
        <w:pStyle w:val="BodyText"/>
        <w:jc w:val="both"/>
        <w:rPr>
          <w:noProof/>
        </w:rPr>
      </w:pPr>
      <w:r w:rsidRPr="007F38F4">
        <w:rPr>
          <w:noProof/>
        </w:rPr>
        <w:t xml:space="preserve">Task 1 is a new task and there is no ongoing process or activity for this task. </w:t>
      </w:r>
    </w:p>
    <w:p w14:paraId="31169F70" w14:textId="77777777" w:rsidR="000A7D9D" w:rsidRPr="007F38F4" w:rsidRDefault="000A7D9D" w:rsidP="000A7D9D">
      <w:pPr>
        <w:pStyle w:val="BodyText"/>
        <w:jc w:val="both"/>
        <w:rPr>
          <w:noProof/>
          <w:lang w:val="en-IE"/>
        </w:rPr>
      </w:pPr>
      <w:r>
        <w:rPr>
          <w:noProof/>
        </w:rPr>
        <w:t xml:space="preserve">As regards Task 2 (framework of indicators), the EEA and ECHA are jointly developing a </w:t>
      </w:r>
      <w:r w:rsidRPr="13AEFEEB">
        <w:rPr>
          <w:noProof/>
          <w:lang w:val="en-IE"/>
        </w:rPr>
        <w:t xml:space="preserve">framework of indicators for chemicals policy to monitor the drivers and impacts of exposure of environment and humans to chemicals and to provide a fact base to measure the effectiveness of chemicals legislation in protecting human health and the environment. The framework of indicators is being developed as part of the framework of indicators for zero pollution. The indicators for chemical policies are expected to monitor: </w:t>
      </w:r>
    </w:p>
    <w:p w14:paraId="4BEF58F0" w14:textId="77777777" w:rsidR="000A7D9D" w:rsidRPr="007F38F4" w:rsidRDefault="000A7D9D" w:rsidP="000A7D9D">
      <w:pPr>
        <w:pStyle w:val="BodyText"/>
        <w:widowControl w:val="0"/>
        <w:numPr>
          <w:ilvl w:val="0"/>
          <w:numId w:val="129"/>
        </w:numPr>
        <w:jc w:val="both"/>
        <w:rPr>
          <w:noProof/>
          <w:lang w:val="en-IE"/>
        </w:rPr>
      </w:pPr>
      <w:r w:rsidRPr="007F38F4">
        <w:rPr>
          <w:noProof/>
          <w:lang w:val="en-IE"/>
        </w:rPr>
        <w:t xml:space="preserve">the drivers of human and environmental exposure to chemicals, namely the production and use of chemicals, regulation of these activities;  </w:t>
      </w:r>
    </w:p>
    <w:p w14:paraId="3833D371" w14:textId="77777777" w:rsidR="000A7D9D" w:rsidRPr="007F38F4" w:rsidRDefault="000A7D9D" w:rsidP="000A7D9D">
      <w:pPr>
        <w:pStyle w:val="BodyText"/>
        <w:widowControl w:val="0"/>
        <w:numPr>
          <w:ilvl w:val="0"/>
          <w:numId w:val="129"/>
        </w:numPr>
        <w:jc w:val="both"/>
        <w:rPr>
          <w:noProof/>
          <w:lang w:val="en-IE"/>
        </w:rPr>
      </w:pPr>
      <w:r w:rsidRPr="007F38F4">
        <w:rPr>
          <w:noProof/>
          <w:lang w:val="en-IE"/>
        </w:rPr>
        <w:t>the impacts of chemicals, in terms of emissions and occurrence in environmental matrices and in humans compared against effect levels, and—where possible—their impacts on human health and the environment;</w:t>
      </w:r>
    </w:p>
    <w:p w14:paraId="3743713D" w14:textId="77777777" w:rsidR="000A7D9D" w:rsidRPr="007F38F4" w:rsidRDefault="000A7D9D" w:rsidP="000A7D9D">
      <w:pPr>
        <w:pStyle w:val="BodyText"/>
        <w:widowControl w:val="0"/>
        <w:numPr>
          <w:ilvl w:val="0"/>
          <w:numId w:val="129"/>
        </w:numPr>
        <w:jc w:val="both"/>
        <w:rPr>
          <w:noProof/>
          <w:lang w:val="en-IE"/>
        </w:rPr>
      </w:pPr>
      <w:r w:rsidRPr="007F38F4">
        <w:rPr>
          <w:noProof/>
          <w:lang w:val="en-IE"/>
        </w:rPr>
        <w:t>progress with the industrial transition to safe and sustainable chemicals.</w:t>
      </w:r>
    </w:p>
    <w:p w14:paraId="315C0D2C" w14:textId="77777777" w:rsidR="000A7D9D" w:rsidRPr="007F38F4" w:rsidRDefault="000A7D9D" w:rsidP="000A7D9D">
      <w:pPr>
        <w:pStyle w:val="BodyText"/>
        <w:jc w:val="both"/>
        <w:rPr>
          <w:noProof/>
          <w:lang w:val="en-IE"/>
        </w:rPr>
      </w:pPr>
      <w:r w:rsidRPr="13AEFEEB">
        <w:rPr>
          <w:noProof/>
          <w:lang w:val="en-IE"/>
        </w:rPr>
        <w:t xml:space="preserve">The framework will consist of a set of indicators that is annually updated and presented in the form of a dashboard. EEA and ECHA plan to publish the baseline information for the first set of indicators in 2024. The EEA and ECHA are the technical co-leads of the Commission inter-service working group on chemicals indicators (WG8 of the Chemicals Strategy). During 2021, the working group developed the first concept paper and agreed on the full set of candidate indicators. In 2022 the indicators were further developed, in cooperation with the services involved. For each candidate indicator, EEA and ECHA prepared a prototype and validated data availability, potential data representation and interpretation. In 2023 EEA and ECHA will prepare the dashboard, conclude the development of the indicators and case studies, as well as develop the synthesis report. EEA and ECHA have established a data flow to quantify the selected indicators, and will continue to coordinate work for the preparation of indicators that are expected to be available after 2024.  </w:t>
      </w:r>
    </w:p>
    <w:p w14:paraId="33722CEC" w14:textId="77777777" w:rsidR="000A7D9D" w:rsidRPr="007F38F4" w:rsidRDefault="000A7D9D" w:rsidP="000A7D9D">
      <w:pPr>
        <w:pStyle w:val="BodyText"/>
        <w:jc w:val="both"/>
        <w:rPr>
          <w:i/>
          <w:iCs/>
          <w:noProof/>
          <w:u w:val="single"/>
        </w:rPr>
      </w:pPr>
      <w:r w:rsidRPr="007F38F4">
        <w:rPr>
          <w:i/>
          <w:iCs/>
          <w:noProof/>
          <w:u w:val="single"/>
        </w:rPr>
        <w:t>Changes in the process / New process:</w:t>
      </w:r>
    </w:p>
    <w:p w14:paraId="3E322EB4" w14:textId="77777777" w:rsidR="000A7D9D" w:rsidRPr="007F38F4" w:rsidRDefault="000A7D9D" w:rsidP="000A7D9D">
      <w:pPr>
        <w:pStyle w:val="BodyText"/>
        <w:jc w:val="both"/>
        <w:rPr>
          <w:i/>
          <w:iCs/>
          <w:noProof/>
        </w:rPr>
      </w:pPr>
      <w:r w:rsidRPr="13AEFEEB">
        <w:rPr>
          <w:i/>
          <w:iCs/>
          <w:noProof/>
        </w:rPr>
        <w:t>Task 1 – early warning and action system</w:t>
      </w:r>
    </w:p>
    <w:p w14:paraId="2636887B" w14:textId="77777777" w:rsidR="000A7D9D" w:rsidRPr="007F38F4" w:rsidRDefault="000A7D9D" w:rsidP="000A7D9D">
      <w:pPr>
        <w:pStyle w:val="BodyText"/>
        <w:jc w:val="both"/>
        <w:rPr>
          <w:noProof/>
        </w:rPr>
      </w:pPr>
      <w:r>
        <w:rPr>
          <w:noProof/>
        </w:rPr>
        <w:t>This is a new task. The early warning and action system will complement the implementation of the EU legislation on chemicals by adopting a proactive and systematic approach to the identification of emerging chemical risks. The system will consist of an annual compilation of a report summarising the collection of early warning signals, identifying potential emerging risks from chemicals and presenting the report and its finding to the expert working group on one substance, one assessment for discussion and decision on the need for potential follow-up policy or regulatory action. The system would be developed progressively. Initially, it will rely on existing early warning systems and signals, such as the EFSA’s emerging risks exchange network (</w:t>
      </w:r>
      <w:hyperlink r:id="rId84">
        <w:r w:rsidRPr="13AEFEEB">
          <w:rPr>
            <w:rStyle w:val="Hyperlink"/>
            <w:noProof/>
          </w:rPr>
          <w:t>EREN</w:t>
        </w:r>
      </w:hyperlink>
      <w:r>
        <w:rPr>
          <w:noProof/>
        </w:rPr>
        <w:t>), the national warning systems (</w:t>
      </w:r>
      <w:r w:rsidRPr="13AEFEEB">
        <w:rPr>
          <w:i/>
          <w:iCs/>
          <w:noProof/>
        </w:rPr>
        <w:t>e.g.</w:t>
      </w:r>
      <w:r>
        <w:rPr>
          <w:noProof/>
        </w:rPr>
        <w:t xml:space="preserve"> </w:t>
      </w:r>
      <w:hyperlink r:id="rId85">
        <w:r w:rsidRPr="13AEFEEB">
          <w:rPr>
            <w:rStyle w:val="Hyperlink"/>
            <w:noProof/>
          </w:rPr>
          <w:t>SamTox</w:t>
        </w:r>
      </w:hyperlink>
      <w:r>
        <w:rPr>
          <w:noProof/>
        </w:rPr>
        <w:t xml:space="preserve">, SIGNAAL), targeted literature searches performed by EEA, as well as on relevant existing data and information made available by EFSA, ECHA, EEA, EMA and EU-OSHA. Progressively, more signals would be developed by the cooperating agencies (i.e. EEA, ECHA, EFSA, EMA, EU-OSHA) and the tools for early warning signals developed by </w:t>
      </w:r>
      <w:r w:rsidRPr="13AEFEEB">
        <w:rPr>
          <w:noProof/>
          <w:lang w:val="en-IE"/>
        </w:rPr>
        <w:t>the Partnership for the Assessment of Risks from Chemicals</w:t>
      </w:r>
      <w:r>
        <w:rPr>
          <w:noProof/>
        </w:rPr>
        <w:t xml:space="preserve"> (PARC) would be utilised and integrated as appropriate. </w:t>
      </w:r>
    </w:p>
    <w:p w14:paraId="151EAF67" w14:textId="77777777" w:rsidR="000A7D9D" w:rsidRPr="007F38F4" w:rsidRDefault="000A7D9D" w:rsidP="000A7D9D">
      <w:pPr>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The types of signals that could feed into the EU early warning and action system for emerging chemical risks include: </w:t>
      </w:r>
    </w:p>
    <w:p w14:paraId="553BB84A" w14:textId="77777777" w:rsidR="000A7D9D" w:rsidRPr="007F38F4" w:rsidRDefault="000A7D9D" w:rsidP="000A7D9D">
      <w:pPr>
        <w:pStyle w:val="BodyText"/>
        <w:widowControl w:val="0"/>
        <w:numPr>
          <w:ilvl w:val="0"/>
          <w:numId w:val="124"/>
        </w:numPr>
        <w:spacing w:before="120" w:after="100" w:afterAutospacing="1"/>
        <w:ind w:left="714" w:hanging="357"/>
        <w:jc w:val="both"/>
        <w:rPr>
          <w:noProof/>
          <w:lang w:val="en-IE"/>
        </w:rPr>
      </w:pPr>
      <w:r w:rsidRPr="007F38F4">
        <w:rPr>
          <w:noProof/>
        </w:rPr>
        <w:t>substances on the market currently produced and used in small quantities but with high growth potential,</w:t>
      </w:r>
    </w:p>
    <w:p w14:paraId="6F19DFB9" w14:textId="77777777" w:rsidR="000A7D9D" w:rsidRPr="007F38F4" w:rsidRDefault="000A7D9D" w:rsidP="000A7D9D">
      <w:pPr>
        <w:pStyle w:val="BodyText"/>
        <w:widowControl w:val="0"/>
        <w:numPr>
          <w:ilvl w:val="0"/>
          <w:numId w:val="124"/>
        </w:numPr>
        <w:spacing w:before="100" w:beforeAutospacing="1" w:after="100" w:afterAutospacing="1"/>
        <w:rPr>
          <w:noProof/>
          <w:lang w:val="en-IE"/>
        </w:rPr>
      </w:pPr>
      <w:r w:rsidRPr="007F38F4">
        <w:rPr>
          <w:noProof/>
        </w:rPr>
        <w:t>new substances at research and development stage not yet on the market,</w:t>
      </w:r>
    </w:p>
    <w:p w14:paraId="4EA8AB2D" w14:textId="77777777" w:rsidR="000A7D9D" w:rsidRPr="007F38F4" w:rsidRDefault="000A7D9D" w:rsidP="000A7D9D">
      <w:pPr>
        <w:pStyle w:val="BodyText"/>
        <w:widowControl w:val="0"/>
        <w:numPr>
          <w:ilvl w:val="0"/>
          <w:numId w:val="124"/>
        </w:numPr>
        <w:spacing w:before="100" w:beforeAutospacing="1" w:after="100" w:afterAutospacing="1"/>
        <w:rPr>
          <w:noProof/>
          <w:lang w:val="en-IE"/>
        </w:rPr>
      </w:pPr>
      <w:r w:rsidRPr="007F38F4">
        <w:rPr>
          <w:noProof/>
          <w:lang w:val="en-US"/>
        </w:rPr>
        <w:t>new scientific knowledge leading to a more critical assessment of the risk (e.g., discovery of subtle effects or sensitive species),</w:t>
      </w:r>
    </w:p>
    <w:p w14:paraId="37BBB7A3" w14:textId="77777777" w:rsidR="000A7D9D" w:rsidRPr="007F38F4" w:rsidRDefault="000A7D9D" w:rsidP="000A7D9D">
      <w:pPr>
        <w:pStyle w:val="BodyText"/>
        <w:widowControl w:val="0"/>
        <w:numPr>
          <w:ilvl w:val="0"/>
          <w:numId w:val="124"/>
        </w:numPr>
        <w:spacing w:before="100" w:beforeAutospacing="1" w:after="100" w:afterAutospacing="1"/>
        <w:rPr>
          <w:noProof/>
          <w:lang w:val="en-IE"/>
        </w:rPr>
      </w:pPr>
      <w:r w:rsidRPr="007F38F4">
        <w:rPr>
          <w:noProof/>
        </w:rPr>
        <w:t>New substances on the market, such as recently developed substitutes for regulated substances,</w:t>
      </w:r>
    </w:p>
    <w:p w14:paraId="3780BD56" w14:textId="77777777" w:rsidR="000A7D9D" w:rsidRPr="007F38F4" w:rsidRDefault="000A7D9D" w:rsidP="000A7D9D">
      <w:pPr>
        <w:pStyle w:val="BodyText"/>
        <w:widowControl w:val="0"/>
        <w:numPr>
          <w:ilvl w:val="0"/>
          <w:numId w:val="124"/>
        </w:numPr>
        <w:spacing w:before="100" w:beforeAutospacing="1" w:after="100" w:afterAutospacing="1"/>
        <w:rPr>
          <w:noProof/>
          <w:lang w:val="en-IE"/>
        </w:rPr>
      </w:pPr>
      <w:r w:rsidRPr="007F38F4">
        <w:rPr>
          <w:noProof/>
        </w:rPr>
        <w:t xml:space="preserve">substances for which emerging evidence raises concerns due to: </w:t>
      </w:r>
    </w:p>
    <w:p w14:paraId="60EC4CE7" w14:textId="77777777" w:rsidR="000A7D9D" w:rsidRPr="007F38F4" w:rsidRDefault="000A7D9D" w:rsidP="000A7D9D">
      <w:pPr>
        <w:pStyle w:val="BodyText"/>
        <w:widowControl w:val="0"/>
        <w:numPr>
          <w:ilvl w:val="1"/>
          <w:numId w:val="124"/>
        </w:numPr>
        <w:spacing w:before="100" w:beforeAutospacing="1" w:after="100" w:afterAutospacing="1"/>
        <w:rPr>
          <w:noProof/>
          <w:lang w:val="en-IE"/>
        </w:rPr>
      </w:pPr>
      <w:r>
        <w:rPr>
          <w:noProof/>
        </w:rPr>
        <w:t xml:space="preserve">improvements in the sensitivity of analytical methods, </w:t>
      </w:r>
    </w:p>
    <w:p w14:paraId="644F30C1" w14:textId="77777777" w:rsidR="000A7D9D" w:rsidRPr="007F38F4" w:rsidRDefault="000A7D9D" w:rsidP="000A7D9D">
      <w:pPr>
        <w:pStyle w:val="BodyText"/>
        <w:widowControl w:val="0"/>
        <w:numPr>
          <w:ilvl w:val="1"/>
          <w:numId w:val="124"/>
        </w:numPr>
        <w:spacing w:before="100" w:beforeAutospacing="1" w:after="100" w:afterAutospacing="1"/>
        <w:rPr>
          <w:noProof/>
          <w:lang w:val="en-IE"/>
        </w:rPr>
      </w:pPr>
      <w:r>
        <w:rPr>
          <w:noProof/>
        </w:rPr>
        <w:t>chemical mixtures/combination effects of chemicals,</w:t>
      </w:r>
    </w:p>
    <w:p w14:paraId="4D0E3919" w14:textId="77777777" w:rsidR="000A7D9D" w:rsidRPr="007F38F4" w:rsidRDefault="000A7D9D" w:rsidP="000A7D9D">
      <w:pPr>
        <w:pStyle w:val="BodyText"/>
        <w:widowControl w:val="0"/>
        <w:numPr>
          <w:ilvl w:val="1"/>
          <w:numId w:val="124"/>
        </w:numPr>
        <w:spacing w:before="100" w:beforeAutospacing="1" w:after="100" w:afterAutospacing="1"/>
        <w:rPr>
          <w:noProof/>
          <w:lang w:val="en-IE"/>
        </w:rPr>
      </w:pPr>
      <w:r>
        <w:rPr>
          <w:noProof/>
        </w:rPr>
        <w:t>new toxicological evidence,</w:t>
      </w:r>
    </w:p>
    <w:p w14:paraId="35B15DE2" w14:textId="77777777" w:rsidR="000A7D9D" w:rsidRPr="007F38F4" w:rsidRDefault="000A7D9D" w:rsidP="000A7D9D">
      <w:pPr>
        <w:pStyle w:val="BodyText"/>
        <w:widowControl w:val="0"/>
        <w:numPr>
          <w:ilvl w:val="1"/>
          <w:numId w:val="124"/>
        </w:numPr>
        <w:spacing w:before="100" w:beforeAutospacing="1" w:after="100" w:afterAutospacing="1"/>
        <w:rPr>
          <w:noProof/>
          <w:lang w:val="en-IE"/>
        </w:rPr>
      </w:pPr>
      <w:r>
        <w:rPr>
          <w:noProof/>
        </w:rPr>
        <w:t>newly identified exposure routes,</w:t>
      </w:r>
    </w:p>
    <w:p w14:paraId="706B6CDB" w14:textId="77777777" w:rsidR="000A7D9D" w:rsidRPr="007F38F4" w:rsidRDefault="000A7D9D" w:rsidP="000A7D9D">
      <w:pPr>
        <w:pStyle w:val="BodyText"/>
        <w:widowControl w:val="0"/>
        <w:numPr>
          <w:ilvl w:val="1"/>
          <w:numId w:val="124"/>
        </w:numPr>
        <w:spacing w:before="100" w:beforeAutospacing="1" w:after="100" w:afterAutospacing="1"/>
        <w:rPr>
          <w:noProof/>
          <w:lang w:val="en-IE"/>
        </w:rPr>
      </w:pPr>
      <w:r>
        <w:rPr>
          <w:noProof/>
        </w:rPr>
        <w:t>increasing levels and scale of exposure or trends in the profile of the exposure,</w:t>
      </w:r>
    </w:p>
    <w:p w14:paraId="643C11E1" w14:textId="77777777" w:rsidR="000A7D9D" w:rsidRPr="007F38F4" w:rsidRDefault="000A7D9D" w:rsidP="000A7D9D">
      <w:pPr>
        <w:pStyle w:val="BodyText"/>
        <w:widowControl w:val="0"/>
        <w:numPr>
          <w:ilvl w:val="1"/>
          <w:numId w:val="124"/>
        </w:numPr>
        <w:spacing w:before="100" w:beforeAutospacing="1" w:after="100" w:afterAutospacing="1"/>
        <w:rPr>
          <w:noProof/>
          <w:lang w:val="en-IE"/>
        </w:rPr>
      </w:pPr>
      <w:r>
        <w:rPr>
          <w:noProof/>
        </w:rPr>
        <w:t>development of the legislation,</w:t>
      </w:r>
    </w:p>
    <w:p w14:paraId="6F86DC8C" w14:textId="77777777" w:rsidR="000A7D9D" w:rsidRPr="007F38F4" w:rsidRDefault="000A7D9D" w:rsidP="000A7D9D">
      <w:pPr>
        <w:pStyle w:val="BodyText"/>
        <w:widowControl w:val="0"/>
        <w:numPr>
          <w:ilvl w:val="1"/>
          <w:numId w:val="124"/>
        </w:numPr>
        <w:spacing w:before="100" w:beforeAutospacing="1" w:after="100" w:afterAutospacing="1"/>
        <w:rPr>
          <w:noProof/>
          <w:lang w:val="en-IE"/>
        </w:rPr>
      </w:pPr>
      <w:r>
        <w:rPr>
          <w:noProof/>
        </w:rPr>
        <w:t>new susceptible at-risk population or at-risk groups</w:t>
      </w:r>
      <w:r w:rsidRPr="120044EF">
        <w:rPr>
          <w:noProof/>
          <w:lang w:val="en-US"/>
        </w:rPr>
        <w:t>.</w:t>
      </w:r>
      <w:r w:rsidRPr="120044EF">
        <w:rPr>
          <w:i/>
          <w:iCs/>
          <w:noProof/>
          <w:lang w:val="en-US"/>
        </w:rPr>
        <w:t xml:space="preserve"> </w:t>
      </w:r>
    </w:p>
    <w:p w14:paraId="23C7D1B6" w14:textId="77777777" w:rsidR="000A7D9D" w:rsidRPr="007F38F4" w:rsidRDefault="000A7D9D" w:rsidP="000A7D9D">
      <w:pPr>
        <w:pStyle w:val="BodyText"/>
        <w:widowControl w:val="0"/>
        <w:numPr>
          <w:ilvl w:val="0"/>
          <w:numId w:val="124"/>
        </w:numPr>
        <w:spacing w:before="100" w:beforeAutospacing="1" w:after="100" w:afterAutospacing="1"/>
        <w:jc w:val="both"/>
        <w:rPr>
          <w:noProof/>
          <w:lang w:val="en-IE"/>
        </w:rPr>
      </w:pPr>
      <w:r w:rsidRPr="007F38F4">
        <w:rPr>
          <w:noProof/>
          <w:lang w:val="en-US"/>
        </w:rPr>
        <w:t>industry data (e.g., development of alternatives, production volumes)</w:t>
      </w:r>
    </w:p>
    <w:p w14:paraId="43C4E77E" w14:textId="77777777" w:rsidR="000A7D9D" w:rsidRPr="007F38F4" w:rsidRDefault="000A7D9D" w:rsidP="000A7D9D">
      <w:pPr>
        <w:pStyle w:val="BodyText"/>
        <w:widowControl w:val="0"/>
        <w:numPr>
          <w:ilvl w:val="0"/>
          <w:numId w:val="124"/>
        </w:numPr>
        <w:spacing w:before="100" w:beforeAutospacing="1"/>
        <w:jc w:val="both"/>
        <w:rPr>
          <w:noProof/>
          <w:lang w:val="en-IE"/>
        </w:rPr>
      </w:pPr>
      <w:r w:rsidRPr="007F38F4">
        <w:rPr>
          <w:noProof/>
          <w:lang w:val="en-US"/>
        </w:rPr>
        <w:t xml:space="preserve">biological signals (e.g., biodiversity loss) </w:t>
      </w:r>
    </w:p>
    <w:p w14:paraId="73F1A556" w14:textId="77777777" w:rsidR="000A7D9D" w:rsidRPr="007F38F4" w:rsidRDefault="000A7D9D" w:rsidP="000A7D9D">
      <w:pPr>
        <w:pStyle w:val="BodyText"/>
        <w:jc w:val="both"/>
        <w:rPr>
          <w:noProof/>
          <w:lang w:val="en-IE"/>
        </w:rPr>
      </w:pPr>
      <w:r w:rsidRPr="13AEFEEB">
        <w:rPr>
          <w:i/>
          <w:iCs/>
          <w:noProof/>
          <w:lang w:val="en-IE"/>
        </w:rPr>
        <w:t>Task 2</w:t>
      </w:r>
    </w:p>
    <w:p w14:paraId="1860C8E9" w14:textId="77777777" w:rsidR="000A7D9D" w:rsidRPr="007F38F4" w:rsidRDefault="000A7D9D" w:rsidP="000A7D9D">
      <w:pPr>
        <w:pStyle w:val="BodyText"/>
        <w:jc w:val="both"/>
        <w:rPr>
          <w:noProof/>
          <w:lang w:val="en-IE"/>
        </w:rPr>
      </w:pPr>
      <w:r w:rsidRPr="65252D1F">
        <w:rPr>
          <w:noProof/>
          <w:lang w:val="en-IE"/>
        </w:rPr>
        <w:t>This is an existing task. The framework of indicators will be maintained and further developed by EEA in collaboration with ECHA, EFSA, EMA</w:t>
      </w:r>
      <w:r>
        <w:rPr>
          <w:noProof/>
          <w:lang w:val="en-IE"/>
        </w:rPr>
        <w:t>, EU-OSHA</w:t>
      </w:r>
      <w:r w:rsidRPr="65252D1F">
        <w:rPr>
          <w:noProof/>
          <w:lang w:val="en-IE"/>
        </w:rPr>
        <w:t xml:space="preserve"> and the Commission. The dashboard of indicators shall be integrated into the common data platform on chemicals and the relevant information shall be made available as part of the report on early warnings. </w:t>
      </w:r>
    </w:p>
    <w:p w14:paraId="54083F13" w14:textId="77777777" w:rsidR="000A7D9D" w:rsidRPr="007F38F4" w:rsidRDefault="000A7D9D" w:rsidP="000A7D9D">
      <w:pPr>
        <w:pStyle w:val="BodyText"/>
        <w:jc w:val="both"/>
        <w:rPr>
          <w:noProof/>
        </w:rPr>
      </w:pPr>
      <w:r w:rsidRPr="007F38F4">
        <w:rPr>
          <w:b/>
          <w:bCs/>
          <w:noProof/>
        </w:rPr>
        <w:t>Proximity to Agencies’ mandate:</w:t>
      </w:r>
      <w:r w:rsidRPr="007F38F4">
        <w:rPr>
          <w:noProof/>
        </w:rPr>
        <w:t xml:space="preserve"> </w:t>
      </w:r>
    </w:p>
    <w:p w14:paraId="5B68B117" w14:textId="77777777" w:rsidR="000A7D9D" w:rsidRPr="007F38F4" w:rsidRDefault="000A7D9D" w:rsidP="000A7D9D">
      <w:pPr>
        <w:pStyle w:val="BodyText"/>
        <w:jc w:val="both"/>
        <w:rPr>
          <w:noProof/>
        </w:rPr>
      </w:pPr>
      <w:r>
        <w:rPr>
          <w:noProof/>
        </w:rPr>
        <w:t xml:space="preserve">The task of having a lead for the early warning system for chemicals fits well with the core mandate of EEA, as EEA already operates a number of early warning systems for other areas (e.g. waste). The task of co-developing the indicator framework fits well with the mandates of EEA and ECHA, as ECHA is an agency that as part of the operation of common data platform manages access to all chemicals related data held by other agencies  and EEA already operates number of indicators as part of its work on the assessment of the state of environment. The task of providing information/data for the early warning system and indicator framework within their competence fits well with the mandates of EEA, ECHA, EFSA, EMA </w:t>
      </w:r>
      <w:r w:rsidRPr="00EA0F47">
        <w:rPr>
          <w:noProof/>
        </w:rPr>
        <w:t>and EU-OSHA</w:t>
      </w:r>
      <w:r>
        <w:rPr>
          <w:noProof/>
        </w:rPr>
        <w:t xml:space="preserve"> as they collate and hold the relevant information as part of their mandates. </w:t>
      </w:r>
    </w:p>
    <w:p w14:paraId="5A5E9C7D" w14:textId="77777777" w:rsidR="000A7D9D" w:rsidRPr="007F38F4" w:rsidRDefault="000A7D9D" w:rsidP="000A7D9D">
      <w:pPr>
        <w:pStyle w:val="BodyText"/>
        <w:rPr>
          <w:noProof/>
        </w:rPr>
      </w:pPr>
      <w:r w:rsidRPr="007F38F4">
        <w:rPr>
          <w:b/>
          <w:bCs/>
          <w:noProof/>
          <w:lang w:val="en-US"/>
        </w:rPr>
        <w:t>Projected synergies and added value of (re-)attribution:</w:t>
      </w:r>
      <w:r w:rsidRPr="007F38F4">
        <w:rPr>
          <w:noProof/>
        </w:rPr>
        <w:t> </w:t>
      </w:r>
    </w:p>
    <w:p w14:paraId="7AA65F24" w14:textId="77777777" w:rsidR="000A7D9D" w:rsidRPr="007F38F4" w:rsidRDefault="000A7D9D" w:rsidP="000A7D9D">
      <w:pPr>
        <w:pStyle w:val="BodyText"/>
        <w:jc w:val="both"/>
        <w:rPr>
          <w:noProof/>
          <w:lang w:val="en-US"/>
        </w:rPr>
      </w:pPr>
      <w:r w:rsidRPr="13AEFEEB">
        <w:rPr>
          <w:noProof/>
          <w:lang w:val="en-US"/>
        </w:rPr>
        <w:t xml:space="preserve">Attribution of the lead to EEA will provide for synergies with existing early warning systems and with the EEA’s work on indicators, including its work on the zero-pollution indicator framework. EEA has already been tasked to develop a framework of indicators in collaboration with ECHA. For EEA, the lead on an early warning system can be considered as a natural expansion of its work on indicators, as several indicators can serve also as early warning signals. In addition, EEA (and also ECHA) are involved in the Partnership for the Assessment of Risks from Chemicals (PARC) through which they can steer the development of the tools for early warning signals.  </w:t>
      </w:r>
    </w:p>
    <w:p w14:paraId="5B9CF252" w14:textId="77777777" w:rsidR="000A7D9D" w:rsidRPr="007F38F4" w:rsidRDefault="000A7D9D" w:rsidP="000A7D9D">
      <w:pPr>
        <w:pStyle w:val="BodyText"/>
        <w:jc w:val="both"/>
        <w:rPr>
          <w:b/>
          <w:bCs/>
          <w:noProof/>
        </w:rPr>
      </w:pPr>
      <w:r w:rsidRPr="13AEFEEB">
        <w:rPr>
          <w:b/>
          <w:bCs/>
          <w:noProof/>
        </w:rPr>
        <w:t>Projected impact on agencies:</w:t>
      </w:r>
    </w:p>
    <w:p w14:paraId="2F091293" w14:textId="77777777" w:rsidR="000A7D9D" w:rsidRPr="007F38F4" w:rsidRDefault="000A7D9D" w:rsidP="000A7D9D">
      <w:pPr>
        <w:pStyle w:val="BodyText"/>
        <w:widowControl w:val="0"/>
        <w:numPr>
          <w:ilvl w:val="0"/>
          <w:numId w:val="70"/>
        </w:numPr>
        <w:jc w:val="both"/>
        <w:rPr>
          <w:noProof/>
        </w:rPr>
      </w:pPr>
      <w:r>
        <w:rPr>
          <w:noProof/>
        </w:rPr>
        <w:t>EEA/ECHA/EMA/EFSA/</w:t>
      </w:r>
      <w:r w:rsidRPr="00EA0F47">
        <w:rPr>
          <w:noProof/>
        </w:rPr>
        <w:t>EU-OSHA</w:t>
      </w:r>
      <w:r>
        <w:rPr>
          <w:noProof/>
        </w:rPr>
        <w:t xml:space="preserve"> committees/bodies: </w:t>
      </w:r>
      <w:r w:rsidRPr="13AEFEEB">
        <w:rPr>
          <w:b/>
          <w:bCs/>
          <w:noProof/>
        </w:rPr>
        <w:t>low impact</w:t>
      </w:r>
      <w:r>
        <w:rPr>
          <w:noProof/>
        </w:rPr>
        <w:t xml:space="preserve">. EEA might use some of their networks for the provision of early warning signals. No other additional impact on committees is expected for EMA, EFSA, ECHA or </w:t>
      </w:r>
      <w:r w:rsidRPr="00EA0F47">
        <w:rPr>
          <w:noProof/>
        </w:rPr>
        <w:t>EU-OSHA</w:t>
      </w:r>
    </w:p>
    <w:p w14:paraId="0A1A62A1" w14:textId="77777777" w:rsidR="000A7D9D" w:rsidRPr="007F38F4" w:rsidRDefault="000A7D9D" w:rsidP="000A7D9D">
      <w:pPr>
        <w:pStyle w:val="BodyText"/>
        <w:widowControl w:val="0"/>
        <w:numPr>
          <w:ilvl w:val="0"/>
          <w:numId w:val="69"/>
        </w:numPr>
        <w:jc w:val="both"/>
        <w:rPr>
          <w:noProof/>
        </w:rPr>
      </w:pPr>
      <w:r w:rsidRPr="007F38F4">
        <w:rPr>
          <w:noProof/>
        </w:rPr>
        <w:t xml:space="preserve">EEA data model and IT infrastructure: </w:t>
      </w:r>
      <w:r w:rsidRPr="007F38F4">
        <w:rPr>
          <w:b/>
          <w:bCs/>
          <w:noProof/>
        </w:rPr>
        <w:t>low impact</w:t>
      </w:r>
      <w:r w:rsidRPr="007F38F4">
        <w:rPr>
          <w:noProof/>
        </w:rPr>
        <w:t>. The task can be implemented with adjustments / configuration of existing data structures and IT systems.</w:t>
      </w:r>
    </w:p>
    <w:p w14:paraId="31466A12" w14:textId="77777777" w:rsidR="000A7D9D" w:rsidRPr="007F38F4" w:rsidRDefault="000A7D9D" w:rsidP="000A7D9D">
      <w:pPr>
        <w:pStyle w:val="ListParagraph"/>
        <w:numPr>
          <w:ilvl w:val="0"/>
          <w:numId w:val="68"/>
        </w:numPr>
        <w:spacing w:after="240"/>
        <w:jc w:val="both"/>
        <w:rPr>
          <w:noProof/>
        </w:rPr>
      </w:pPr>
      <w:r>
        <w:rPr>
          <w:noProof/>
        </w:rPr>
        <w:t>EEA/ECHA/EMA/EFSA/</w:t>
      </w:r>
      <w:r w:rsidRPr="00EA0F47">
        <w:rPr>
          <w:noProof/>
        </w:rPr>
        <w:t>EU-OSHA</w:t>
      </w:r>
      <w:r>
        <w:rPr>
          <w:noProof/>
        </w:rPr>
        <w:t xml:space="preserve"> key experts: </w:t>
      </w:r>
      <w:r w:rsidRPr="13AEFEEB">
        <w:rPr>
          <w:b/>
          <w:bCs/>
          <w:noProof/>
        </w:rPr>
        <w:t>low impact</w:t>
      </w:r>
      <w:r>
        <w:rPr>
          <w:noProof/>
        </w:rPr>
        <w:t xml:space="preserve">. Expertise existing in the agencies can be used for these tasks. </w:t>
      </w:r>
    </w:p>
    <w:p w14:paraId="755FF520" w14:textId="77777777" w:rsidR="000A7D9D" w:rsidRPr="007F38F4" w:rsidRDefault="000A7D9D" w:rsidP="000A7D9D">
      <w:pPr>
        <w:spacing w:after="120"/>
        <w:rPr>
          <w:rFonts w:ascii="Times New Roman" w:hAnsi="Times New Roman" w:cs="Times New Roman"/>
          <w:noProof/>
          <w:color w:val="000000" w:themeColor="text1"/>
          <w:sz w:val="24"/>
          <w:szCs w:val="24"/>
        </w:rPr>
      </w:pPr>
      <w:r w:rsidRPr="007F38F4">
        <w:rPr>
          <w:rFonts w:ascii="Times New Roman" w:hAnsi="Times New Roman" w:cs="Times New Roman"/>
          <w:b/>
          <w:bCs/>
          <w:noProof/>
          <w:sz w:val="24"/>
          <w:szCs w:val="24"/>
        </w:rPr>
        <w:t>Workload and resource implications:</w:t>
      </w:r>
      <w:r w:rsidRPr="007F38F4">
        <w:rPr>
          <w:rFonts w:ascii="Times New Roman" w:hAnsi="Times New Roman" w:cs="Times New Roman"/>
          <w:noProof/>
          <w:sz w:val="24"/>
          <w:szCs w:val="24"/>
        </w:rPr>
        <w:t xml:space="preserve"> </w:t>
      </w:r>
    </w:p>
    <w:p w14:paraId="7D4BBC7D" w14:textId="77777777" w:rsidR="000A7D9D" w:rsidRPr="007F38F4" w:rsidRDefault="000A7D9D" w:rsidP="000A7D9D">
      <w:pPr>
        <w:spacing w:after="120"/>
        <w:rPr>
          <w:rFonts w:ascii="Times New Roman" w:hAnsi="Times New Roman" w:cs="Times New Roman"/>
          <w:noProof/>
          <w:sz w:val="24"/>
          <w:szCs w:val="24"/>
          <w:u w:val="single"/>
        </w:rPr>
      </w:pPr>
      <w:r w:rsidRPr="007F38F4">
        <w:rPr>
          <w:rFonts w:ascii="Times New Roman" w:hAnsi="Times New Roman" w:cs="Times New Roman"/>
          <w:noProof/>
          <w:sz w:val="24"/>
          <w:szCs w:val="24"/>
          <w:u w:val="single"/>
        </w:rPr>
        <w:t>Current workload and resource use:</w:t>
      </w:r>
    </w:p>
    <w:p w14:paraId="5D8B0EF4"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rPr>
        <w:t xml:space="preserve">Task 1 is a new task and there is no existing work or resources. </w:t>
      </w:r>
    </w:p>
    <w:p w14:paraId="3AC9971C" w14:textId="77777777" w:rsidR="000A7D9D" w:rsidRPr="007F38F4" w:rsidRDefault="000A7D9D" w:rsidP="000A7D9D">
      <w:pPr>
        <w:spacing w:after="120"/>
        <w:jc w:val="both"/>
        <w:rPr>
          <w:rFonts w:ascii="Times New Roman" w:eastAsiaTheme="minorEastAsia" w:hAnsi="Times New Roman" w:cs="Times New Roman"/>
          <w:noProof/>
          <w:color w:val="333333"/>
          <w:sz w:val="24"/>
          <w:szCs w:val="24"/>
        </w:rPr>
      </w:pPr>
      <w:r w:rsidRPr="13AEFEEB">
        <w:rPr>
          <w:rFonts w:ascii="Times New Roman" w:hAnsi="Times New Roman" w:cs="Times New Roman"/>
          <w:noProof/>
          <w:sz w:val="24"/>
          <w:szCs w:val="24"/>
        </w:rPr>
        <w:t xml:space="preserve">Task 2 is an existing task. Resources for this work were allocated to both </w:t>
      </w:r>
      <w:r w:rsidRPr="13AEFEEB">
        <w:rPr>
          <w:rFonts w:ascii="Times New Roman" w:eastAsiaTheme="minorEastAsia" w:hAnsi="Times New Roman" w:cs="Times New Roman"/>
          <w:noProof/>
          <w:color w:val="333333"/>
          <w:sz w:val="24"/>
          <w:szCs w:val="24"/>
        </w:rPr>
        <w:t xml:space="preserve">EEA and ECHA, as part of the resource allocation under the 8th Environment Action Programme. ECHA uses 2 FTEs (1 TA and 1 CA) for the development of the chemical indicators (out of 2 FTEs allocated under the 8th EAP). </w:t>
      </w:r>
      <w:r w:rsidRPr="13AEFEEB">
        <w:rPr>
          <w:rFonts w:ascii="Times New Roman" w:eastAsia="Verdana" w:hAnsi="Times New Roman" w:cs="Times New Roman"/>
          <w:noProof/>
          <w:sz w:val="24"/>
          <w:szCs w:val="24"/>
        </w:rPr>
        <w:t xml:space="preserve">These resources are used by ECHA for the management and consolidation of databases, provision of chemicals data in order to complete the respective emerging risk reports and contribution to chemical policy indicators and other inputs to EEA’s work. </w:t>
      </w:r>
      <w:r w:rsidRPr="13AEFEEB">
        <w:rPr>
          <w:rFonts w:ascii="Times New Roman" w:eastAsiaTheme="minorEastAsia" w:hAnsi="Times New Roman" w:cs="Times New Roman"/>
          <w:noProof/>
          <w:color w:val="333333"/>
          <w:sz w:val="24"/>
          <w:szCs w:val="24"/>
        </w:rPr>
        <w:t>EEA uses 1 FTE for the work on indicators (out of 15 allocated under the 8th EAP). These resources are used by EEA for the integrated analysis of pollution impacts on environment and health and on reporting on cross-cutting areas of the zero-pollution ambition of the green deal, in close cooperation with ECHA and EFSA.</w:t>
      </w:r>
    </w:p>
    <w:p w14:paraId="62B6D94C"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u w:val="single"/>
        </w:rPr>
        <w:t>Future workload and resource needs:</w:t>
      </w:r>
      <w:r w:rsidRPr="007F38F4">
        <w:rPr>
          <w:rFonts w:ascii="Times New Roman" w:hAnsi="Times New Roman" w:cs="Times New Roman"/>
          <w:noProof/>
          <w:sz w:val="24"/>
          <w:szCs w:val="24"/>
        </w:rPr>
        <w:t xml:space="preserve"> </w:t>
      </w:r>
    </w:p>
    <w:p w14:paraId="1BBB276E" w14:textId="77777777" w:rsidR="000A7D9D" w:rsidRPr="007F38F4" w:rsidRDefault="000A7D9D" w:rsidP="000A7D9D">
      <w:pPr>
        <w:spacing w:after="120"/>
        <w:rPr>
          <w:rFonts w:ascii="Times New Roman" w:hAnsi="Times New Roman" w:cs="Times New Roman"/>
          <w:i/>
          <w:iCs/>
          <w:noProof/>
          <w:sz w:val="24"/>
          <w:szCs w:val="24"/>
        </w:rPr>
      </w:pPr>
      <w:r w:rsidRPr="13AEFEEB">
        <w:rPr>
          <w:rFonts w:ascii="Times New Roman" w:hAnsi="Times New Roman" w:cs="Times New Roman"/>
          <w:i/>
          <w:iCs/>
          <w:noProof/>
          <w:sz w:val="24"/>
          <w:szCs w:val="24"/>
        </w:rPr>
        <w:t>Task 1 – Early warning and action system for emerging chemicals risks</w:t>
      </w:r>
    </w:p>
    <w:tbl>
      <w:tblPr>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73"/>
        <w:gridCol w:w="1134"/>
        <w:gridCol w:w="3827"/>
      </w:tblGrid>
      <w:tr w:rsidR="000A7D9D" w:rsidRPr="002814A6" w14:paraId="184912C7" w14:textId="77777777" w:rsidTr="00F31937">
        <w:trPr>
          <w:trHeight w:val="300"/>
        </w:trPr>
        <w:tc>
          <w:tcPr>
            <w:tcW w:w="4673" w:type="dxa"/>
            <w:shd w:val="clear" w:color="auto" w:fill="auto"/>
            <w:hideMark/>
          </w:tcPr>
          <w:p w14:paraId="75E4733C" w14:textId="77777777" w:rsidR="000A7D9D" w:rsidRPr="002814A6" w:rsidRDefault="000A7D9D" w:rsidP="00F31937">
            <w:pPr>
              <w:textAlignment w:val="baseline"/>
              <w:rPr>
                <w:rFonts w:ascii="Times New Roman" w:hAnsi="Times New Roman" w:cs="Times New Roman"/>
                <w:noProof/>
                <w:sz w:val="20"/>
                <w:szCs w:val="20"/>
                <w:lang w:eastAsia="en-GB"/>
              </w:rPr>
            </w:pPr>
            <w:r w:rsidRPr="002814A6">
              <w:rPr>
                <w:rFonts w:ascii="Times New Roman" w:hAnsi="Times New Roman" w:cs="Times New Roman"/>
                <w:b/>
                <w:bCs/>
                <w:noProof/>
                <w:sz w:val="20"/>
                <w:szCs w:val="20"/>
                <w:lang w:val="en-US" w:eastAsia="en-GB"/>
              </w:rPr>
              <w:t>Work description </w:t>
            </w:r>
            <w:r w:rsidRPr="002814A6">
              <w:rPr>
                <w:rFonts w:ascii="Times New Roman" w:hAnsi="Times New Roman" w:cs="Times New Roman"/>
                <w:noProof/>
                <w:sz w:val="20"/>
                <w:szCs w:val="20"/>
                <w:lang w:eastAsia="en-GB"/>
              </w:rPr>
              <w:t> </w:t>
            </w:r>
          </w:p>
        </w:tc>
        <w:tc>
          <w:tcPr>
            <w:tcW w:w="1134" w:type="dxa"/>
            <w:shd w:val="clear" w:color="auto" w:fill="auto"/>
            <w:hideMark/>
          </w:tcPr>
          <w:p w14:paraId="5825C18D" w14:textId="77777777" w:rsidR="000A7D9D" w:rsidRPr="002814A6" w:rsidRDefault="000A7D9D" w:rsidP="00F31937">
            <w:pPr>
              <w:textAlignment w:val="baseline"/>
              <w:rPr>
                <w:rFonts w:ascii="Times New Roman" w:hAnsi="Times New Roman" w:cs="Times New Roman"/>
                <w:noProof/>
                <w:sz w:val="20"/>
                <w:szCs w:val="20"/>
                <w:lang w:eastAsia="en-GB"/>
              </w:rPr>
            </w:pPr>
            <w:r w:rsidRPr="002814A6">
              <w:rPr>
                <w:rFonts w:ascii="Times New Roman" w:hAnsi="Times New Roman" w:cs="Times New Roman"/>
                <w:b/>
                <w:bCs/>
                <w:noProof/>
                <w:sz w:val="20"/>
                <w:szCs w:val="20"/>
                <w:lang w:val="en-US" w:eastAsia="en-GB"/>
              </w:rPr>
              <w:t>Who </w:t>
            </w:r>
            <w:r w:rsidRPr="002814A6">
              <w:rPr>
                <w:rFonts w:ascii="Times New Roman" w:hAnsi="Times New Roman" w:cs="Times New Roman"/>
                <w:noProof/>
                <w:sz w:val="20"/>
                <w:szCs w:val="20"/>
                <w:lang w:eastAsia="en-GB"/>
              </w:rPr>
              <w:t> </w:t>
            </w:r>
          </w:p>
        </w:tc>
        <w:tc>
          <w:tcPr>
            <w:tcW w:w="3827" w:type="dxa"/>
            <w:shd w:val="clear" w:color="auto" w:fill="auto"/>
            <w:hideMark/>
          </w:tcPr>
          <w:p w14:paraId="3B7F28B2" w14:textId="77777777" w:rsidR="000A7D9D" w:rsidRPr="002814A6" w:rsidRDefault="000A7D9D" w:rsidP="00F31937">
            <w:pPr>
              <w:textAlignment w:val="baseline"/>
              <w:rPr>
                <w:rFonts w:ascii="Times New Roman" w:hAnsi="Times New Roman" w:cs="Times New Roman"/>
                <w:b/>
                <w:bCs/>
                <w:noProof/>
                <w:sz w:val="20"/>
                <w:szCs w:val="20"/>
                <w:lang w:val="en-US" w:eastAsia="en-GB"/>
              </w:rPr>
            </w:pPr>
            <w:r w:rsidRPr="002814A6">
              <w:rPr>
                <w:rFonts w:ascii="Times New Roman" w:hAnsi="Times New Roman" w:cs="Times New Roman"/>
                <w:b/>
                <w:bCs/>
                <w:noProof/>
                <w:sz w:val="20"/>
                <w:szCs w:val="20"/>
                <w:lang w:val="en-US" w:eastAsia="en-GB"/>
              </w:rPr>
              <w:t>Resource needs estimate</w:t>
            </w:r>
            <w:r w:rsidRPr="002814A6">
              <w:rPr>
                <w:rFonts w:ascii="Times New Roman" w:hAnsi="Times New Roman" w:cs="Times New Roman"/>
                <w:noProof/>
                <w:sz w:val="20"/>
                <w:szCs w:val="20"/>
                <w:lang w:eastAsia="en-GB"/>
              </w:rPr>
              <w:t> </w:t>
            </w:r>
          </w:p>
        </w:tc>
      </w:tr>
      <w:tr w:rsidR="000A7D9D" w:rsidRPr="002814A6" w14:paraId="7B3F010B" w14:textId="77777777" w:rsidTr="00F31937">
        <w:trPr>
          <w:trHeight w:val="300"/>
        </w:trPr>
        <w:tc>
          <w:tcPr>
            <w:tcW w:w="4673" w:type="dxa"/>
            <w:shd w:val="clear" w:color="auto" w:fill="auto"/>
            <w:hideMark/>
          </w:tcPr>
          <w:p w14:paraId="4662152A" w14:textId="77777777" w:rsidR="000A7D9D" w:rsidRPr="002814A6" w:rsidRDefault="000A7D9D" w:rsidP="00F31937">
            <w:pPr>
              <w:textAlignment w:val="baseline"/>
              <w:rPr>
                <w:rFonts w:ascii="Times New Roman" w:hAnsi="Times New Roman" w:cs="Times New Roman"/>
                <w:noProof/>
                <w:sz w:val="20"/>
                <w:szCs w:val="20"/>
                <w:lang w:val="en-US" w:eastAsia="en-GB"/>
              </w:rPr>
            </w:pPr>
            <w:r w:rsidRPr="002814A6">
              <w:rPr>
                <w:rFonts w:ascii="Times New Roman" w:hAnsi="Times New Roman" w:cs="Times New Roman"/>
                <w:b/>
                <w:bCs/>
                <w:noProof/>
                <w:sz w:val="20"/>
                <w:szCs w:val="20"/>
                <w:lang w:val="en-US" w:eastAsia="en-GB"/>
              </w:rPr>
              <w:t>Setting up the EU early warning and action system</w:t>
            </w:r>
          </w:p>
        </w:tc>
        <w:tc>
          <w:tcPr>
            <w:tcW w:w="1134" w:type="dxa"/>
            <w:shd w:val="clear" w:color="auto" w:fill="auto"/>
            <w:hideMark/>
          </w:tcPr>
          <w:p w14:paraId="3BD2C0ED" w14:textId="77777777" w:rsidR="000A7D9D" w:rsidRPr="002814A6" w:rsidRDefault="000A7D9D" w:rsidP="00F31937">
            <w:pPr>
              <w:textAlignment w:val="baseline"/>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 </w:t>
            </w:r>
          </w:p>
        </w:tc>
        <w:tc>
          <w:tcPr>
            <w:tcW w:w="3827" w:type="dxa"/>
            <w:shd w:val="clear" w:color="auto" w:fill="auto"/>
            <w:hideMark/>
          </w:tcPr>
          <w:p w14:paraId="1F4027AE" w14:textId="77777777" w:rsidR="000A7D9D" w:rsidRPr="002814A6" w:rsidRDefault="000A7D9D" w:rsidP="00F31937">
            <w:pPr>
              <w:textAlignment w:val="baseline"/>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 </w:t>
            </w:r>
          </w:p>
        </w:tc>
      </w:tr>
      <w:tr w:rsidR="000A7D9D" w:rsidRPr="002814A6" w14:paraId="13FD4200" w14:textId="77777777" w:rsidTr="00F31937">
        <w:trPr>
          <w:trHeight w:val="2894"/>
        </w:trPr>
        <w:tc>
          <w:tcPr>
            <w:tcW w:w="4673" w:type="dxa"/>
            <w:tcBorders>
              <w:top w:val="single" w:sz="4" w:space="0" w:color="000000" w:themeColor="text1"/>
              <w:left w:val="single" w:sz="4" w:space="0" w:color="000000" w:themeColor="text1"/>
              <w:right w:val="single" w:sz="4" w:space="0" w:color="000000" w:themeColor="text1"/>
            </w:tcBorders>
            <w:shd w:val="clear" w:color="auto" w:fill="auto"/>
            <w:hideMark/>
          </w:tcPr>
          <w:p w14:paraId="3B180419" w14:textId="77777777" w:rsidR="000A7D9D" w:rsidRPr="002814A6" w:rsidRDefault="000A7D9D" w:rsidP="00F31937">
            <w:pPr>
              <w:jc w:val="both"/>
              <w:rPr>
                <w:rFonts w:ascii="Times New Roman" w:hAnsi="Times New Roman" w:cs="Times New Roman"/>
                <w:noProof/>
                <w:sz w:val="20"/>
                <w:szCs w:val="20"/>
              </w:rPr>
            </w:pPr>
            <w:r w:rsidRPr="002814A6">
              <w:rPr>
                <w:rFonts w:ascii="Times New Roman" w:hAnsi="Times New Roman" w:cs="Times New Roman"/>
                <w:noProof/>
                <w:sz w:val="20"/>
                <w:szCs w:val="20"/>
              </w:rPr>
              <w:t>Identifying and selecting existing working procedures, setting up the necessary contacts with other agencies and Member States experts, developing the early warning signals available in EEA.</w:t>
            </w:r>
          </w:p>
          <w:p w14:paraId="23620BB9" w14:textId="77777777" w:rsidR="000A7D9D" w:rsidRPr="002814A6" w:rsidRDefault="000A7D9D" w:rsidP="00F31937">
            <w:pPr>
              <w:spacing w:after="0"/>
              <w:jc w:val="both"/>
              <w:rPr>
                <w:rFonts w:ascii="Times New Roman" w:hAnsi="Times New Roman" w:cs="Times New Roman"/>
                <w:noProof/>
                <w:color w:val="000000" w:themeColor="text1"/>
                <w:sz w:val="20"/>
                <w:szCs w:val="20"/>
              </w:rPr>
            </w:pPr>
            <w:r w:rsidRPr="002814A6">
              <w:rPr>
                <w:rFonts w:ascii="Times New Roman" w:hAnsi="Times New Roman" w:cs="Times New Roman"/>
                <w:noProof/>
                <w:sz w:val="20"/>
                <w:szCs w:val="20"/>
              </w:rPr>
              <w:t>Compiling report on system set-up, signal generators and data sources, working procedures and consulting the expert group on one substance, one assessment for feedback</w:t>
            </w:r>
          </w:p>
        </w:tc>
        <w:tc>
          <w:tcPr>
            <w:tcW w:w="1134" w:type="dxa"/>
            <w:tcBorders>
              <w:top w:val="single" w:sz="4" w:space="0" w:color="000000" w:themeColor="text1"/>
              <w:left w:val="single" w:sz="4" w:space="0" w:color="000000" w:themeColor="text1"/>
              <w:right w:val="single" w:sz="4" w:space="0" w:color="000000" w:themeColor="text1"/>
            </w:tcBorders>
            <w:shd w:val="clear" w:color="auto" w:fill="auto"/>
            <w:hideMark/>
          </w:tcPr>
          <w:p w14:paraId="03688D7B" w14:textId="77777777" w:rsidR="000A7D9D" w:rsidRPr="002814A6" w:rsidRDefault="000A7D9D" w:rsidP="00F31937">
            <w:pPr>
              <w:textAlignment w:val="baseline"/>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EEA</w:t>
            </w:r>
          </w:p>
          <w:p w14:paraId="5D084FEB" w14:textId="77777777" w:rsidR="000A7D9D" w:rsidRPr="002814A6" w:rsidRDefault="000A7D9D" w:rsidP="00F31937">
            <w:pPr>
              <w:textAlignment w:val="baseline"/>
              <w:rPr>
                <w:rFonts w:ascii="Times New Roman" w:hAnsi="Times New Roman" w:cs="Times New Roman"/>
                <w:noProof/>
                <w:sz w:val="20"/>
                <w:szCs w:val="20"/>
                <w:lang w:eastAsia="en-GB"/>
              </w:rPr>
            </w:pPr>
          </w:p>
        </w:tc>
        <w:tc>
          <w:tcPr>
            <w:tcW w:w="3827" w:type="dxa"/>
            <w:tcBorders>
              <w:top w:val="single" w:sz="4" w:space="0" w:color="000000" w:themeColor="text1"/>
              <w:left w:val="single" w:sz="4" w:space="0" w:color="000000" w:themeColor="text1"/>
              <w:right w:val="single" w:sz="4" w:space="0" w:color="000000" w:themeColor="text1"/>
            </w:tcBorders>
            <w:shd w:val="clear" w:color="auto" w:fill="auto"/>
            <w:hideMark/>
          </w:tcPr>
          <w:p w14:paraId="22EED8F8" w14:textId="77777777" w:rsidR="000A7D9D" w:rsidRPr="002814A6" w:rsidRDefault="000A7D9D" w:rsidP="00F31937">
            <w:pPr>
              <w:spacing w:after="0"/>
              <w:textAlignment w:val="baseline"/>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Development by 2026; development duration 2 years (2025, 2026); Resource needs:</w:t>
            </w:r>
          </w:p>
          <w:p w14:paraId="40065977" w14:textId="77777777" w:rsidR="000A7D9D" w:rsidRPr="002814A6" w:rsidRDefault="000A7D9D" w:rsidP="000A7D9D">
            <w:pPr>
              <w:pStyle w:val="ListParagraph"/>
              <w:numPr>
                <w:ilvl w:val="0"/>
                <w:numId w:val="68"/>
              </w:numPr>
              <w:ind w:left="363"/>
              <w:textAlignment w:val="baseline"/>
              <w:rPr>
                <w:noProof/>
                <w:sz w:val="20"/>
                <w:szCs w:val="20"/>
                <w:lang w:val="en-US" w:eastAsia="en-GB"/>
              </w:rPr>
            </w:pPr>
            <w:r w:rsidRPr="002814A6">
              <w:rPr>
                <w:noProof/>
                <w:sz w:val="20"/>
                <w:szCs w:val="20"/>
                <w:lang w:val="en-US" w:eastAsia="en-GB"/>
              </w:rPr>
              <w:t>Staff 1 FTE per year</w:t>
            </w:r>
          </w:p>
          <w:p w14:paraId="4EA30CFC" w14:textId="77777777" w:rsidR="000A7D9D" w:rsidRPr="002814A6" w:rsidRDefault="000A7D9D" w:rsidP="000A7D9D">
            <w:pPr>
              <w:pStyle w:val="ListParagraph"/>
              <w:numPr>
                <w:ilvl w:val="0"/>
                <w:numId w:val="68"/>
              </w:numPr>
              <w:spacing w:after="120"/>
              <w:ind w:left="363" w:hanging="357"/>
              <w:textAlignment w:val="baseline"/>
              <w:rPr>
                <w:noProof/>
                <w:sz w:val="20"/>
                <w:szCs w:val="20"/>
                <w:lang w:val="en-US" w:eastAsia="en-GB"/>
              </w:rPr>
            </w:pPr>
            <w:r w:rsidRPr="002814A6">
              <w:rPr>
                <w:noProof/>
                <w:sz w:val="20"/>
                <w:szCs w:val="20"/>
                <w:lang w:val="en-US" w:eastAsia="en-GB"/>
              </w:rPr>
              <w:t>Operational budget EUR 300 000 in 2026</w:t>
            </w:r>
          </w:p>
          <w:p w14:paraId="603608D2" w14:textId="77777777" w:rsidR="000A7D9D" w:rsidRPr="002814A6" w:rsidRDefault="000A7D9D" w:rsidP="00F31937">
            <w:pPr>
              <w:textAlignment w:val="baseline"/>
              <w:rPr>
                <w:rFonts w:ascii="Times New Roman" w:hAnsi="Times New Roman" w:cs="Times New Roman"/>
                <w:noProof/>
                <w:sz w:val="20"/>
                <w:szCs w:val="20"/>
                <w:lang w:eastAsia="en-GB"/>
              </w:rPr>
            </w:pPr>
            <w:r w:rsidRPr="002814A6">
              <w:rPr>
                <w:rFonts w:ascii="Times New Roman" w:hAnsi="Times New Roman" w:cs="Times New Roman"/>
                <w:noProof/>
                <w:sz w:val="20"/>
                <w:szCs w:val="20"/>
                <w:lang w:val="en-US" w:eastAsia="en-GB"/>
              </w:rPr>
              <w:t xml:space="preserve">Setting up of the system and compiling report shall be based on information gathered from identified signal generators, including ECHA, EFSA, EU-OSHA and EMA. </w:t>
            </w:r>
          </w:p>
        </w:tc>
      </w:tr>
      <w:tr w:rsidR="000A7D9D" w:rsidRPr="002814A6" w14:paraId="6008F62A" w14:textId="77777777" w:rsidTr="00F31937">
        <w:trPr>
          <w:trHeight w:val="300"/>
        </w:trPr>
        <w:tc>
          <w:tcPr>
            <w:tcW w:w="4673" w:type="dxa"/>
            <w:shd w:val="clear" w:color="auto" w:fill="auto"/>
          </w:tcPr>
          <w:p w14:paraId="75D9A814" w14:textId="77777777" w:rsidR="000A7D9D" w:rsidRPr="002814A6" w:rsidRDefault="000A7D9D" w:rsidP="00F31937">
            <w:pPr>
              <w:jc w:val="both"/>
              <w:rPr>
                <w:rFonts w:ascii="Times New Roman" w:hAnsi="Times New Roman" w:cs="Times New Roman"/>
                <w:noProof/>
                <w:sz w:val="20"/>
                <w:szCs w:val="20"/>
              </w:rPr>
            </w:pPr>
            <w:r w:rsidRPr="002814A6">
              <w:rPr>
                <w:rFonts w:ascii="Times New Roman" w:hAnsi="Times New Roman" w:cs="Times New Roman"/>
                <w:noProof/>
                <w:sz w:val="20"/>
                <w:szCs w:val="20"/>
                <w:lang w:val="en-US" w:eastAsia="en-GB"/>
              </w:rPr>
              <w:t>Providing relevant input for the setting up the early warning and action system</w:t>
            </w:r>
          </w:p>
        </w:tc>
        <w:tc>
          <w:tcPr>
            <w:tcW w:w="1134" w:type="dxa"/>
            <w:shd w:val="clear" w:color="auto" w:fill="auto"/>
          </w:tcPr>
          <w:p w14:paraId="3A11FC4E" w14:textId="77777777" w:rsidR="000A7D9D" w:rsidRPr="002814A6" w:rsidRDefault="000A7D9D" w:rsidP="00F31937">
            <w:pPr>
              <w:spacing w:after="0"/>
              <w:textAlignment w:val="baseline"/>
              <w:rPr>
                <w:rFonts w:ascii="Times New Roman" w:hAnsi="Times New Roman" w:cs="Times New Roman"/>
                <w:noProof/>
                <w:sz w:val="20"/>
                <w:szCs w:val="20"/>
                <w:lang w:val="fr-BE" w:eastAsia="en-GB"/>
              </w:rPr>
            </w:pPr>
            <w:r w:rsidRPr="002814A6">
              <w:rPr>
                <w:rFonts w:ascii="Times New Roman" w:hAnsi="Times New Roman" w:cs="Times New Roman"/>
                <w:noProof/>
                <w:sz w:val="20"/>
                <w:szCs w:val="20"/>
                <w:lang w:val="fr-BE" w:eastAsia="en-GB"/>
              </w:rPr>
              <w:t>ECHA, EFSA, </w:t>
            </w:r>
          </w:p>
          <w:p w14:paraId="5F090BAF" w14:textId="77777777" w:rsidR="000A7D9D" w:rsidRPr="002814A6" w:rsidRDefault="000A7D9D" w:rsidP="00F31937">
            <w:pPr>
              <w:spacing w:after="0"/>
              <w:textAlignment w:val="baseline"/>
              <w:rPr>
                <w:rFonts w:ascii="Times New Roman" w:hAnsi="Times New Roman" w:cs="Times New Roman"/>
                <w:noProof/>
                <w:sz w:val="20"/>
                <w:szCs w:val="20"/>
                <w:lang w:val="fr-BE" w:eastAsia="en-GB"/>
              </w:rPr>
            </w:pPr>
            <w:r w:rsidRPr="002814A6">
              <w:rPr>
                <w:rFonts w:ascii="Times New Roman" w:hAnsi="Times New Roman" w:cs="Times New Roman"/>
                <w:noProof/>
                <w:sz w:val="20"/>
                <w:szCs w:val="20"/>
                <w:lang w:val="fr-BE" w:eastAsia="en-GB"/>
              </w:rPr>
              <w:t>EMA  ,</w:t>
            </w:r>
          </w:p>
          <w:p w14:paraId="7912201F" w14:textId="77777777" w:rsidR="000A7D9D" w:rsidRPr="002814A6" w:rsidRDefault="000A7D9D" w:rsidP="00F31937">
            <w:pPr>
              <w:spacing w:after="0"/>
              <w:textAlignment w:val="baseline"/>
              <w:rPr>
                <w:rFonts w:ascii="Times New Roman" w:hAnsi="Times New Roman" w:cs="Times New Roman"/>
                <w:noProof/>
                <w:sz w:val="20"/>
                <w:szCs w:val="20"/>
                <w:highlight w:val="yellow"/>
                <w:lang w:val="fr-BE" w:eastAsia="en-GB"/>
              </w:rPr>
            </w:pPr>
            <w:r w:rsidRPr="002814A6">
              <w:rPr>
                <w:rFonts w:ascii="Times New Roman" w:hAnsi="Times New Roman" w:cs="Times New Roman"/>
                <w:noProof/>
                <w:sz w:val="20"/>
                <w:szCs w:val="20"/>
                <w:lang w:val="fr-BE" w:eastAsia="en-GB"/>
              </w:rPr>
              <w:t>EU-OSHA</w:t>
            </w:r>
          </w:p>
        </w:tc>
        <w:tc>
          <w:tcPr>
            <w:tcW w:w="3827" w:type="dxa"/>
            <w:shd w:val="clear" w:color="auto" w:fill="auto"/>
          </w:tcPr>
          <w:p w14:paraId="47674683" w14:textId="77777777" w:rsidR="000A7D9D" w:rsidRPr="002814A6" w:rsidRDefault="000A7D9D" w:rsidP="00F31937">
            <w:pPr>
              <w:rPr>
                <w:rFonts w:ascii="Times New Roman" w:hAnsi="Times New Roman" w:cs="Times New Roman"/>
                <w:noProof/>
                <w:sz w:val="20"/>
                <w:szCs w:val="20"/>
                <w:lang w:val="en-IE"/>
              </w:rPr>
            </w:pPr>
            <w:r w:rsidRPr="002814A6">
              <w:rPr>
                <w:rFonts w:ascii="Times New Roman" w:hAnsi="Times New Roman" w:cs="Times New Roman"/>
                <w:noProof/>
                <w:sz w:val="20"/>
                <w:szCs w:val="20"/>
                <w:lang w:val="en-US" w:eastAsia="en-GB"/>
              </w:rPr>
              <w:t>Negligible: to be absorbed by the agencies’ existing work.</w:t>
            </w:r>
          </w:p>
        </w:tc>
      </w:tr>
      <w:tr w:rsidR="000A7D9D" w:rsidRPr="002814A6" w14:paraId="3915283C" w14:textId="77777777" w:rsidTr="00F31937">
        <w:trPr>
          <w:trHeight w:val="300"/>
        </w:trPr>
        <w:tc>
          <w:tcPr>
            <w:tcW w:w="4673" w:type="dxa"/>
            <w:shd w:val="clear" w:color="auto" w:fill="auto"/>
            <w:hideMark/>
          </w:tcPr>
          <w:p w14:paraId="52D89CA6" w14:textId="77777777" w:rsidR="000A7D9D" w:rsidRPr="002814A6" w:rsidRDefault="000A7D9D" w:rsidP="00F31937">
            <w:pPr>
              <w:textAlignment w:val="baseline"/>
              <w:rPr>
                <w:rFonts w:ascii="Times New Roman" w:hAnsi="Times New Roman" w:cs="Times New Roman"/>
                <w:noProof/>
                <w:sz w:val="20"/>
                <w:szCs w:val="20"/>
                <w:lang w:val="en-US" w:eastAsia="en-GB"/>
              </w:rPr>
            </w:pPr>
            <w:r w:rsidRPr="002814A6">
              <w:rPr>
                <w:rFonts w:ascii="Times New Roman" w:hAnsi="Times New Roman" w:cs="Times New Roman"/>
                <w:b/>
                <w:bCs/>
                <w:noProof/>
                <w:sz w:val="20"/>
                <w:szCs w:val="20"/>
                <w:lang w:val="en-US" w:eastAsia="en-GB"/>
              </w:rPr>
              <w:t>Operating the EU early warning and action system</w:t>
            </w:r>
          </w:p>
        </w:tc>
        <w:tc>
          <w:tcPr>
            <w:tcW w:w="1134" w:type="dxa"/>
            <w:shd w:val="clear" w:color="auto" w:fill="auto"/>
            <w:hideMark/>
          </w:tcPr>
          <w:p w14:paraId="5AFE5BA7" w14:textId="77777777" w:rsidR="000A7D9D" w:rsidRPr="002814A6" w:rsidRDefault="000A7D9D" w:rsidP="00F31937">
            <w:pPr>
              <w:textAlignment w:val="baseline"/>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 </w:t>
            </w:r>
          </w:p>
        </w:tc>
        <w:tc>
          <w:tcPr>
            <w:tcW w:w="3827" w:type="dxa"/>
            <w:shd w:val="clear" w:color="auto" w:fill="auto"/>
            <w:hideMark/>
          </w:tcPr>
          <w:p w14:paraId="6B0EFD37" w14:textId="77777777" w:rsidR="000A7D9D" w:rsidRPr="002814A6" w:rsidRDefault="000A7D9D" w:rsidP="00F31937">
            <w:pPr>
              <w:textAlignment w:val="baseline"/>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 </w:t>
            </w:r>
          </w:p>
        </w:tc>
      </w:tr>
      <w:tr w:rsidR="000A7D9D" w:rsidRPr="002814A6" w14:paraId="4DD46713" w14:textId="77777777" w:rsidTr="004C1B00">
        <w:trPr>
          <w:trHeight w:val="5099"/>
        </w:trPr>
        <w:tc>
          <w:tcPr>
            <w:tcW w:w="4673" w:type="dxa"/>
            <w:shd w:val="clear" w:color="auto" w:fill="auto"/>
            <w:hideMark/>
          </w:tcPr>
          <w:p w14:paraId="7BB54602" w14:textId="77777777" w:rsidR="000A7D9D" w:rsidRPr="002814A6" w:rsidRDefault="000A7D9D" w:rsidP="00F31937">
            <w:pPr>
              <w:spacing w:after="120"/>
              <w:textAlignment w:val="baseline"/>
              <w:rPr>
                <w:rFonts w:ascii="Times New Roman" w:hAnsi="Times New Roman" w:cs="Times New Roman"/>
                <w:noProof/>
                <w:sz w:val="20"/>
                <w:szCs w:val="20"/>
                <w:lang w:eastAsia="en-GB"/>
              </w:rPr>
            </w:pPr>
            <w:r w:rsidRPr="002814A6">
              <w:rPr>
                <w:rFonts w:ascii="Times New Roman" w:hAnsi="Times New Roman" w:cs="Times New Roman"/>
                <w:noProof/>
                <w:sz w:val="20"/>
                <w:szCs w:val="20"/>
                <w:lang w:eastAsia="en-GB"/>
              </w:rPr>
              <w:t xml:space="preserve">Conduct a horizon scanning and foresight exercise, including organising an annual workshop, to identify early warning signals, including: </w:t>
            </w:r>
          </w:p>
          <w:p w14:paraId="744BAE1D" w14:textId="77777777" w:rsidR="000A7D9D" w:rsidRPr="002814A6" w:rsidRDefault="000A7D9D" w:rsidP="000A7D9D">
            <w:pPr>
              <w:pStyle w:val="ListParagraph"/>
              <w:numPr>
                <w:ilvl w:val="0"/>
                <w:numId w:val="50"/>
              </w:numPr>
              <w:textAlignment w:val="baseline"/>
              <w:rPr>
                <w:noProof/>
                <w:sz w:val="20"/>
                <w:szCs w:val="20"/>
                <w:lang w:eastAsia="en-GB"/>
              </w:rPr>
            </w:pPr>
            <w:r w:rsidRPr="002814A6">
              <w:rPr>
                <w:noProof/>
                <w:sz w:val="20"/>
                <w:szCs w:val="20"/>
                <w:lang w:eastAsia="en-GB"/>
              </w:rPr>
              <w:t xml:space="preserve">performing a literature search, </w:t>
            </w:r>
          </w:p>
          <w:p w14:paraId="16638440" w14:textId="77777777" w:rsidR="000A7D9D" w:rsidRPr="002814A6" w:rsidRDefault="000A7D9D" w:rsidP="000A7D9D">
            <w:pPr>
              <w:pStyle w:val="ListParagraph"/>
              <w:numPr>
                <w:ilvl w:val="0"/>
                <w:numId w:val="50"/>
              </w:numPr>
              <w:textAlignment w:val="baseline"/>
              <w:rPr>
                <w:noProof/>
                <w:sz w:val="20"/>
                <w:szCs w:val="20"/>
                <w:lang w:eastAsia="en-GB"/>
              </w:rPr>
            </w:pPr>
            <w:r w:rsidRPr="002814A6">
              <w:rPr>
                <w:noProof/>
                <w:sz w:val="20"/>
                <w:szCs w:val="20"/>
                <w:lang w:eastAsia="en-GB"/>
              </w:rPr>
              <w:t>reviewing the EEA data flows on chemicals in the environment</w:t>
            </w:r>
          </w:p>
          <w:p w14:paraId="02D54C84" w14:textId="77777777" w:rsidR="000A7D9D" w:rsidRPr="002814A6" w:rsidRDefault="000A7D9D" w:rsidP="000A7D9D">
            <w:pPr>
              <w:pStyle w:val="ListParagraph"/>
              <w:numPr>
                <w:ilvl w:val="0"/>
                <w:numId w:val="50"/>
              </w:numPr>
              <w:textAlignment w:val="baseline"/>
              <w:rPr>
                <w:noProof/>
                <w:sz w:val="20"/>
                <w:szCs w:val="20"/>
                <w:lang w:eastAsia="en-GB"/>
              </w:rPr>
            </w:pPr>
            <w:r w:rsidRPr="002814A6">
              <w:rPr>
                <w:noProof/>
                <w:sz w:val="20"/>
                <w:szCs w:val="20"/>
                <w:lang w:eastAsia="en-GB"/>
              </w:rPr>
              <w:t>compiling the early warning signals from collaborating EU agencies, including from data provided by ECHA, EFSA and EMA and EU-OSHA</w:t>
            </w:r>
          </w:p>
          <w:p w14:paraId="4BE51F72" w14:textId="77777777" w:rsidR="000A7D9D" w:rsidRPr="002814A6" w:rsidRDefault="000A7D9D" w:rsidP="000A7D9D">
            <w:pPr>
              <w:pStyle w:val="ListParagraph"/>
              <w:numPr>
                <w:ilvl w:val="0"/>
                <w:numId w:val="50"/>
              </w:numPr>
              <w:textAlignment w:val="baseline"/>
              <w:rPr>
                <w:noProof/>
                <w:sz w:val="20"/>
                <w:szCs w:val="20"/>
                <w:lang w:eastAsia="en-GB"/>
              </w:rPr>
            </w:pPr>
            <w:r w:rsidRPr="002814A6">
              <w:rPr>
                <w:noProof/>
                <w:sz w:val="20"/>
                <w:szCs w:val="20"/>
                <w:lang w:eastAsia="en-GB"/>
              </w:rPr>
              <w:t>compiling the early warning signals from relevant initiatives, such as the EEA Eionet network and Horizon Europe partnership PARC</w:t>
            </w:r>
          </w:p>
          <w:p w14:paraId="2FF43ACC" w14:textId="77777777" w:rsidR="000A7D9D" w:rsidRPr="002814A6" w:rsidRDefault="000A7D9D" w:rsidP="000A7D9D">
            <w:pPr>
              <w:pStyle w:val="ListParagraph"/>
              <w:numPr>
                <w:ilvl w:val="0"/>
                <w:numId w:val="50"/>
              </w:numPr>
              <w:textAlignment w:val="baseline"/>
              <w:rPr>
                <w:noProof/>
                <w:sz w:val="20"/>
                <w:szCs w:val="20"/>
                <w:lang w:eastAsia="en-GB"/>
              </w:rPr>
            </w:pPr>
            <w:r w:rsidRPr="002814A6">
              <w:rPr>
                <w:noProof/>
                <w:sz w:val="20"/>
                <w:szCs w:val="20"/>
                <w:lang w:eastAsia="en-GB"/>
              </w:rPr>
              <w:t>operating relevant early warning tools developed under PARC.</w:t>
            </w:r>
          </w:p>
          <w:p w14:paraId="4780818B" w14:textId="77777777" w:rsidR="000A7D9D" w:rsidRPr="002814A6" w:rsidRDefault="000A7D9D" w:rsidP="00F31937">
            <w:pPr>
              <w:textAlignment w:val="baseline"/>
              <w:rPr>
                <w:rFonts w:ascii="Times New Roman" w:hAnsi="Times New Roman" w:cs="Times New Roman"/>
                <w:noProof/>
                <w:sz w:val="20"/>
                <w:szCs w:val="20"/>
                <w:lang w:eastAsia="en-GB"/>
              </w:rPr>
            </w:pPr>
            <w:r w:rsidRPr="002814A6">
              <w:rPr>
                <w:rFonts w:ascii="Times New Roman" w:hAnsi="Times New Roman" w:cs="Times New Roman"/>
                <w:noProof/>
                <w:sz w:val="20"/>
                <w:szCs w:val="20"/>
                <w:lang w:eastAsia="en-GB"/>
              </w:rPr>
              <w:t xml:space="preserve">Producing and publishing an annual report on early warning signals and presenting it to Commission, relevant EU agencies and Member States for decision on potential regulatory follow up actions. </w:t>
            </w:r>
          </w:p>
        </w:tc>
        <w:tc>
          <w:tcPr>
            <w:tcW w:w="1134" w:type="dxa"/>
            <w:shd w:val="clear" w:color="auto" w:fill="auto"/>
            <w:hideMark/>
          </w:tcPr>
          <w:p w14:paraId="27F69EBE" w14:textId="77777777" w:rsidR="000A7D9D" w:rsidRPr="002814A6" w:rsidRDefault="000A7D9D" w:rsidP="00F31937">
            <w:pPr>
              <w:textAlignment w:val="baseline"/>
              <w:rPr>
                <w:rFonts w:ascii="Times New Roman" w:hAnsi="Times New Roman" w:cs="Times New Roman"/>
                <w:noProof/>
                <w:sz w:val="20"/>
                <w:szCs w:val="20"/>
                <w:lang w:eastAsia="en-GB"/>
              </w:rPr>
            </w:pPr>
            <w:r w:rsidRPr="002814A6">
              <w:rPr>
                <w:rFonts w:ascii="Times New Roman" w:hAnsi="Times New Roman" w:cs="Times New Roman"/>
                <w:noProof/>
                <w:sz w:val="20"/>
                <w:szCs w:val="20"/>
                <w:lang w:val="en-US" w:eastAsia="en-GB"/>
              </w:rPr>
              <w:t>EEA</w:t>
            </w:r>
          </w:p>
          <w:p w14:paraId="3B34B26B" w14:textId="77777777" w:rsidR="000A7D9D" w:rsidRPr="002814A6" w:rsidRDefault="000A7D9D" w:rsidP="00F31937">
            <w:pPr>
              <w:textAlignment w:val="baseline"/>
              <w:rPr>
                <w:rFonts w:ascii="Times New Roman" w:hAnsi="Times New Roman" w:cs="Times New Roman"/>
                <w:noProof/>
                <w:sz w:val="20"/>
                <w:szCs w:val="20"/>
                <w:lang w:eastAsia="en-GB"/>
              </w:rPr>
            </w:pPr>
          </w:p>
        </w:tc>
        <w:tc>
          <w:tcPr>
            <w:tcW w:w="3827" w:type="dxa"/>
            <w:shd w:val="clear" w:color="auto" w:fill="auto"/>
            <w:hideMark/>
          </w:tcPr>
          <w:p w14:paraId="6FAD9314" w14:textId="77777777" w:rsidR="000A7D9D" w:rsidRPr="002814A6" w:rsidRDefault="000A7D9D" w:rsidP="00F31937">
            <w:pPr>
              <w:textAlignment w:val="baseline"/>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Recurrent costs as of 2027:</w:t>
            </w:r>
          </w:p>
          <w:p w14:paraId="70F048CB" w14:textId="77777777" w:rsidR="000A7D9D" w:rsidRPr="002814A6" w:rsidRDefault="000A7D9D" w:rsidP="000A7D9D">
            <w:pPr>
              <w:pStyle w:val="ListParagraph"/>
              <w:numPr>
                <w:ilvl w:val="0"/>
                <w:numId w:val="68"/>
              </w:numPr>
              <w:ind w:left="351"/>
              <w:textAlignment w:val="baseline"/>
              <w:rPr>
                <w:noProof/>
                <w:sz w:val="20"/>
                <w:szCs w:val="20"/>
                <w:lang w:val="en-US" w:eastAsia="en-GB"/>
              </w:rPr>
            </w:pPr>
            <w:r w:rsidRPr="002814A6">
              <w:rPr>
                <w:noProof/>
                <w:sz w:val="20"/>
                <w:szCs w:val="20"/>
                <w:lang w:val="en-US" w:eastAsia="en-GB"/>
              </w:rPr>
              <w:t xml:space="preserve">Staff 1 FTE per year </w:t>
            </w:r>
          </w:p>
          <w:p w14:paraId="4D258E8E" w14:textId="77777777" w:rsidR="000A7D9D" w:rsidRPr="002814A6" w:rsidRDefault="000A7D9D" w:rsidP="000A7D9D">
            <w:pPr>
              <w:pStyle w:val="ListParagraph"/>
              <w:numPr>
                <w:ilvl w:val="0"/>
                <w:numId w:val="68"/>
              </w:numPr>
              <w:ind w:left="351"/>
              <w:textAlignment w:val="baseline"/>
              <w:rPr>
                <w:noProof/>
                <w:sz w:val="20"/>
                <w:szCs w:val="20"/>
                <w:lang w:val="en-US" w:eastAsia="en-GB"/>
              </w:rPr>
            </w:pPr>
            <w:r w:rsidRPr="002814A6">
              <w:rPr>
                <w:noProof/>
                <w:sz w:val="20"/>
                <w:szCs w:val="20"/>
                <w:lang w:val="en-US" w:eastAsia="en-GB"/>
              </w:rPr>
              <w:t>EUR 150 000 per year for annual studies for literature review, horizon scanning, foresight and support in systemic examination of potential chemical risks and covering annual workshop costs</w:t>
            </w:r>
          </w:p>
          <w:p w14:paraId="34DAAC56" w14:textId="77777777" w:rsidR="000A7D9D" w:rsidRPr="002814A6" w:rsidRDefault="000A7D9D" w:rsidP="00F31937">
            <w:pPr>
              <w:textAlignment w:val="baseline"/>
              <w:rPr>
                <w:rFonts w:ascii="Times New Roman" w:hAnsi="Times New Roman" w:cs="Times New Roman"/>
                <w:noProof/>
                <w:sz w:val="20"/>
                <w:szCs w:val="20"/>
                <w:lang w:val="en-US" w:eastAsia="en-GB"/>
              </w:rPr>
            </w:pPr>
          </w:p>
          <w:p w14:paraId="44123569" w14:textId="77777777" w:rsidR="000A7D9D" w:rsidRPr="002814A6" w:rsidRDefault="000A7D9D" w:rsidP="00F31937">
            <w:pPr>
              <w:textAlignment w:val="baseline"/>
              <w:rPr>
                <w:rFonts w:ascii="Times New Roman" w:hAnsi="Times New Roman" w:cs="Times New Roman"/>
                <w:noProof/>
                <w:sz w:val="20"/>
                <w:szCs w:val="20"/>
                <w:lang w:eastAsia="en-GB"/>
              </w:rPr>
            </w:pPr>
            <w:r w:rsidRPr="002814A6">
              <w:rPr>
                <w:rFonts w:ascii="Times New Roman" w:hAnsi="Times New Roman" w:cs="Times New Roman"/>
                <w:noProof/>
                <w:sz w:val="20"/>
                <w:szCs w:val="20"/>
                <w:lang w:val="en-US" w:eastAsia="en-GB"/>
              </w:rPr>
              <w:t xml:space="preserve">Operating the system and compiling report shall be based on information gathered from identified signal generators, including ECHA, EFSA and EMA. </w:t>
            </w:r>
          </w:p>
          <w:p w14:paraId="0997D2A4" w14:textId="77777777" w:rsidR="000A7D9D" w:rsidRPr="002814A6" w:rsidRDefault="000A7D9D" w:rsidP="00F31937">
            <w:pPr>
              <w:textAlignment w:val="baseline"/>
              <w:rPr>
                <w:rFonts w:ascii="Times New Roman" w:hAnsi="Times New Roman" w:cs="Times New Roman"/>
                <w:noProof/>
                <w:sz w:val="20"/>
                <w:szCs w:val="20"/>
                <w:highlight w:val="yellow"/>
                <w:lang w:eastAsia="en-GB"/>
              </w:rPr>
            </w:pPr>
          </w:p>
          <w:p w14:paraId="20789AB9" w14:textId="77777777" w:rsidR="000A7D9D" w:rsidRPr="002814A6" w:rsidRDefault="000A7D9D" w:rsidP="00F31937">
            <w:pPr>
              <w:textAlignment w:val="baseline"/>
              <w:rPr>
                <w:rFonts w:ascii="Times New Roman" w:hAnsi="Times New Roman" w:cs="Times New Roman"/>
                <w:noProof/>
                <w:sz w:val="20"/>
                <w:szCs w:val="20"/>
                <w:lang w:eastAsia="en-GB"/>
              </w:rPr>
            </w:pPr>
          </w:p>
        </w:tc>
      </w:tr>
      <w:tr w:rsidR="000A7D9D" w:rsidRPr="002814A6" w14:paraId="6936040A" w14:textId="77777777" w:rsidTr="00F31937">
        <w:trPr>
          <w:trHeight w:val="300"/>
        </w:trPr>
        <w:tc>
          <w:tcPr>
            <w:tcW w:w="4673" w:type="dxa"/>
            <w:shd w:val="clear" w:color="auto" w:fill="auto"/>
            <w:hideMark/>
          </w:tcPr>
          <w:p w14:paraId="688322C2" w14:textId="77777777" w:rsidR="000A7D9D" w:rsidRPr="002814A6" w:rsidRDefault="000A7D9D" w:rsidP="00F31937">
            <w:pPr>
              <w:textAlignment w:val="baseline"/>
              <w:rPr>
                <w:rFonts w:ascii="Times New Roman" w:hAnsi="Times New Roman" w:cs="Times New Roman"/>
                <w:noProof/>
                <w:sz w:val="20"/>
                <w:szCs w:val="20"/>
                <w:lang w:eastAsia="en-GB"/>
              </w:rPr>
            </w:pPr>
            <w:r w:rsidRPr="002814A6">
              <w:rPr>
                <w:rFonts w:ascii="Times New Roman" w:hAnsi="Times New Roman" w:cs="Times New Roman"/>
                <w:noProof/>
                <w:sz w:val="20"/>
                <w:szCs w:val="20"/>
                <w:lang w:val="en-US" w:eastAsia="en-GB"/>
              </w:rPr>
              <w:t>Providing relevant data and information on early warning risks</w:t>
            </w:r>
          </w:p>
        </w:tc>
        <w:tc>
          <w:tcPr>
            <w:tcW w:w="1134" w:type="dxa"/>
            <w:shd w:val="clear" w:color="auto" w:fill="auto"/>
            <w:hideMark/>
          </w:tcPr>
          <w:p w14:paraId="09D96B09" w14:textId="77777777" w:rsidR="000A7D9D" w:rsidRPr="002814A6" w:rsidRDefault="000A7D9D" w:rsidP="00F31937">
            <w:pPr>
              <w:spacing w:after="0"/>
              <w:textAlignment w:val="baseline"/>
              <w:rPr>
                <w:rFonts w:ascii="Times New Roman" w:hAnsi="Times New Roman" w:cs="Times New Roman"/>
                <w:noProof/>
                <w:sz w:val="20"/>
                <w:szCs w:val="20"/>
                <w:lang w:val="fr-BE" w:eastAsia="en-GB"/>
              </w:rPr>
            </w:pPr>
            <w:r w:rsidRPr="002814A6">
              <w:rPr>
                <w:rFonts w:ascii="Times New Roman" w:hAnsi="Times New Roman" w:cs="Times New Roman"/>
                <w:noProof/>
                <w:sz w:val="20"/>
                <w:szCs w:val="20"/>
                <w:lang w:val="fr-BE" w:eastAsia="en-GB"/>
              </w:rPr>
              <w:t>ECHA, EFSA, </w:t>
            </w:r>
          </w:p>
          <w:p w14:paraId="74EBE3BA" w14:textId="77777777" w:rsidR="000A7D9D" w:rsidRPr="002814A6" w:rsidRDefault="000A7D9D" w:rsidP="00F31937">
            <w:pPr>
              <w:spacing w:after="0"/>
              <w:textAlignment w:val="baseline"/>
              <w:rPr>
                <w:rFonts w:ascii="Times New Roman" w:hAnsi="Times New Roman" w:cs="Times New Roman"/>
                <w:noProof/>
                <w:sz w:val="20"/>
                <w:szCs w:val="20"/>
                <w:lang w:val="fr-BE" w:eastAsia="en-GB"/>
              </w:rPr>
            </w:pPr>
            <w:r w:rsidRPr="002814A6">
              <w:rPr>
                <w:rFonts w:ascii="Times New Roman" w:hAnsi="Times New Roman" w:cs="Times New Roman"/>
                <w:noProof/>
                <w:sz w:val="20"/>
                <w:szCs w:val="20"/>
                <w:lang w:val="fr-BE" w:eastAsia="en-GB"/>
              </w:rPr>
              <w:t>EU-OSHA</w:t>
            </w:r>
          </w:p>
          <w:p w14:paraId="188C3DE6" w14:textId="77777777" w:rsidR="000A7D9D" w:rsidRPr="002814A6" w:rsidRDefault="000A7D9D" w:rsidP="00F31937">
            <w:pPr>
              <w:spacing w:after="0"/>
              <w:textAlignment w:val="baseline"/>
              <w:rPr>
                <w:rFonts w:ascii="Times New Roman" w:hAnsi="Times New Roman" w:cs="Times New Roman"/>
                <w:noProof/>
                <w:sz w:val="20"/>
                <w:szCs w:val="20"/>
                <w:lang w:val="fr-BE" w:eastAsia="en-GB"/>
              </w:rPr>
            </w:pPr>
            <w:r w:rsidRPr="002814A6">
              <w:rPr>
                <w:rFonts w:ascii="Times New Roman" w:hAnsi="Times New Roman" w:cs="Times New Roman"/>
                <w:noProof/>
                <w:sz w:val="20"/>
                <w:szCs w:val="20"/>
                <w:lang w:val="fr-BE" w:eastAsia="en-GB"/>
              </w:rPr>
              <w:t>EMA,  </w:t>
            </w:r>
          </w:p>
          <w:p w14:paraId="572F669D" w14:textId="77777777" w:rsidR="000A7D9D" w:rsidRPr="002814A6" w:rsidRDefault="000A7D9D" w:rsidP="00F31937">
            <w:pPr>
              <w:textAlignment w:val="baseline"/>
              <w:rPr>
                <w:rFonts w:ascii="Times New Roman" w:hAnsi="Times New Roman" w:cs="Times New Roman"/>
                <w:noProof/>
                <w:sz w:val="20"/>
                <w:szCs w:val="20"/>
                <w:lang w:val="fr-BE" w:eastAsia="en-GB"/>
              </w:rPr>
            </w:pPr>
          </w:p>
        </w:tc>
        <w:tc>
          <w:tcPr>
            <w:tcW w:w="3827" w:type="dxa"/>
            <w:shd w:val="clear" w:color="auto" w:fill="auto"/>
            <w:hideMark/>
          </w:tcPr>
          <w:p w14:paraId="50806881" w14:textId="77777777" w:rsidR="000A7D9D" w:rsidRPr="002814A6" w:rsidRDefault="000A7D9D" w:rsidP="00F31937">
            <w:pPr>
              <w:textAlignment w:val="baseline"/>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Negligible; should be absorbed by the agencies; EFSA already operates food related early warning system; ECHA develops indicators and the resources allocated for that should cover also this activity; EMA and EU-OSHA should contribute with the existing information they identify.</w:t>
            </w:r>
          </w:p>
        </w:tc>
      </w:tr>
    </w:tbl>
    <w:p w14:paraId="5845D20B" w14:textId="77777777" w:rsidR="000A7D9D" w:rsidRPr="00AA3EF5" w:rsidRDefault="000A7D9D" w:rsidP="000A7D9D">
      <w:pPr>
        <w:rPr>
          <w:noProof/>
        </w:rPr>
      </w:pPr>
    </w:p>
    <w:p w14:paraId="0997C4BE" w14:textId="77777777" w:rsidR="000A7D9D" w:rsidRPr="007F38F4" w:rsidRDefault="000A7D9D" w:rsidP="000A7D9D">
      <w:pPr>
        <w:rPr>
          <w:rFonts w:ascii="Times New Roman" w:hAnsi="Times New Roman" w:cs="Times New Roman"/>
          <w:i/>
          <w:iCs/>
          <w:noProof/>
          <w:sz w:val="24"/>
          <w:szCs w:val="24"/>
        </w:rPr>
      </w:pPr>
      <w:r w:rsidRPr="13AEFEEB">
        <w:rPr>
          <w:rFonts w:ascii="Times New Roman" w:hAnsi="Times New Roman" w:cs="Times New Roman"/>
          <w:i/>
          <w:iCs/>
          <w:noProof/>
          <w:sz w:val="24"/>
          <w:szCs w:val="24"/>
        </w:rPr>
        <w:t>Task 2 – Framework of indicators</w:t>
      </w:r>
    </w:p>
    <w:p w14:paraId="1E637136" w14:textId="77777777" w:rsidR="000A7D9D" w:rsidRPr="007F38F4" w:rsidRDefault="000A7D9D" w:rsidP="000A7D9D">
      <w:pPr>
        <w:spacing w:after="120"/>
        <w:jc w:val="both"/>
        <w:rPr>
          <w:rFonts w:ascii="Times New Roman" w:eastAsiaTheme="minorEastAsia" w:hAnsi="Times New Roman" w:cs="Times New Roman"/>
          <w:noProof/>
          <w:color w:val="333333"/>
          <w:sz w:val="24"/>
          <w:szCs w:val="24"/>
        </w:rPr>
      </w:pPr>
      <w:r w:rsidRPr="007F38F4">
        <w:rPr>
          <w:rFonts w:ascii="Times New Roman" w:eastAsiaTheme="minorEastAsia" w:hAnsi="Times New Roman" w:cs="Times New Roman"/>
          <w:noProof/>
          <w:color w:val="333333"/>
          <w:sz w:val="24"/>
          <w:szCs w:val="24"/>
        </w:rPr>
        <w:t xml:space="preserve">There is no need </w:t>
      </w:r>
      <w:r>
        <w:rPr>
          <w:rFonts w:ascii="Times New Roman" w:eastAsiaTheme="minorEastAsia" w:hAnsi="Times New Roman" w:cs="Times New Roman"/>
          <w:noProof/>
          <w:color w:val="333333"/>
          <w:sz w:val="24"/>
          <w:szCs w:val="24"/>
        </w:rPr>
        <w:t>for</w:t>
      </w:r>
      <w:r w:rsidRPr="007F38F4">
        <w:rPr>
          <w:rFonts w:ascii="Times New Roman" w:eastAsiaTheme="minorEastAsia" w:hAnsi="Times New Roman" w:cs="Times New Roman"/>
          <w:noProof/>
          <w:color w:val="333333"/>
          <w:sz w:val="24"/>
          <w:szCs w:val="24"/>
        </w:rPr>
        <w:t xml:space="preserve"> additional resources for Task 2, but the current resources need to be maintained to ensure operation of the indicator framework.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68"/>
        <w:gridCol w:w="986"/>
        <w:gridCol w:w="4375"/>
      </w:tblGrid>
      <w:tr w:rsidR="000A7D9D" w:rsidRPr="002814A6" w14:paraId="0165327D" w14:textId="77777777" w:rsidTr="00F31937">
        <w:trPr>
          <w:trHeight w:val="300"/>
        </w:trPr>
        <w:tc>
          <w:tcPr>
            <w:tcW w:w="4320" w:type="dxa"/>
            <w:shd w:val="clear" w:color="auto" w:fill="auto"/>
          </w:tcPr>
          <w:p w14:paraId="67FAE354" w14:textId="77777777" w:rsidR="000A7D9D" w:rsidRPr="002814A6" w:rsidRDefault="000A7D9D" w:rsidP="00F31937">
            <w:pPr>
              <w:rPr>
                <w:rFonts w:ascii="Times New Roman" w:hAnsi="Times New Roman" w:cs="Times New Roman"/>
                <w:noProof/>
                <w:sz w:val="20"/>
                <w:szCs w:val="20"/>
                <w:lang w:eastAsia="en-GB"/>
              </w:rPr>
            </w:pPr>
            <w:r w:rsidRPr="002814A6">
              <w:rPr>
                <w:rFonts w:ascii="Times New Roman" w:hAnsi="Times New Roman" w:cs="Times New Roman"/>
                <w:b/>
                <w:bCs/>
                <w:noProof/>
                <w:sz w:val="20"/>
                <w:szCs w:val="20"/>
                <w:lang w:val="en-US" w:eastAsia="en-GB"/>
              </w:rPr>
              <w:t>Work description </w:t>
            </w:r>
            <w:r w:rsidRPr="002814A6">
              <w:rPr>
                <w:rFonts w:ascii="Times New Roman" w:hAnsi="Times New Roman" w:cs="Times New Roman"/>
                <w:noProof/>
                <w:sz w:val="20"/>
                <w:szCs w:val="20"/>
                <w:lang w:eastAsia="en-GB"/>
              </w:rPr>
              <w:t> </w:t>
            </w:r>
          </w:p>
        </w:tc>
        <w:tc>
          <w:tcPr>
            <w:tcW w:w="990" w:type="dxa"/>
            <w:shd w:val="clear" w:color="auto" w:fill="auto"/>
          </w:tcPr>
          <w:p w14:paraId="1EF00EFE" w14:textId="77777777" w:rsidR="000A7D9D" w:rsidRPr="002814A6" w:rsidRDefault="000A7D9D" w:rsidP="00F31937">
            <w:pPr>
              <w:rPr>
                <w:rFonts w:ascii="Times New Roman" w:hAnsi="Times New Roman" w:cs="Times New Roman"/>
                <w:noProof/>
                <w:sz w:val="20"/>
                <w:szCs w:val="20"/>
                <w:lang w:eastAsia="en-GB"/>
              </w:rPr>
            </w:pPr>
            <w:r w:rsidRPr="002814A6">
              <w:rPr>
                <w:rFonts w:ascii="Times New Roman" w:hAnsi="Times New Roman" w:cs="Times New Roman"/>
                <w:b/>
                <w:bCs/>
                <w:noProof/>
                <w:sz w:val="20"/>
                <w:szCs w:val="20"/>
                <w:lang w:val="en-US" w:eastAsia="en-GB"/>
              </w:rPr>
              <w:t>Who </w:t>
            </w:r>
            <w:r w:rsidRPr="002814A6">
              <w:rPr>
                <w:rFonts w:ascii="Times New Roman" w:hAnsi="Times New Roman" w:cs="Times New Roman"/>
                <w:noProof/>
                <w:sz w:val="20"/>
                <w:szCs w:val="20"/>
                <w:lang w:eastAsia="en-GB"/>
              </w:rPr>
              <w:t> </w:t>
            </w:r>
          </w:p>
        </w:tc>
        <w:tc>
          <w:tcPr>
            <w:tcW w:w="4432" w:type="dxa"/>
            <w:shd w:val="clear" w:color="auto" w:fill="auto"/>
          </w:tcPr>
          <w:p w14:paraId="7A7BFB50" w14:textId="77777777" w:rsidR="000A7D9D" w:rsidRPr="002814A6" w:rsidRDefault="000A7D9D" w:rsidP="00F31937">
            <w:pPr>
              <w:rPr>
                <w:rFonts w:ascii="Times New Roman" w:hAnsi="Times New Roman" w:cs="Times New Roman"/>
                <w:b/>
                <w:bCs/>
                <w:noProof/>
                <w:sz w:val="20"/>
                <w:szCs w:val="20"/>
                <w:lang w:val="en-US" w:eastAsia="en-GB"/>
              </w:rPr>
            </w:pPr>
            <w:r w:rsidRPr="002814A6">
              <w:rPr>
                <w:rFonts w:ascii="Times New Roman" w:hAnsi="Times New Roman" w:cs="Times New Roman"/>
                <w:b/>
                <w:bCs/>
                <w:noProof/>
                <w:sz w:val="20"/>
                <w:szCs w:val="20"/>
                <w:lang w:val="en-US" w:eastAsia="en-GB"/>
              </w:rPr>
              <w:t>Resource needs estimate</w:t>
            </w:r>
            <w:r w:rsidRPr="002814A6">
              <w:rPr>
                <w:rFonts w:ascii="Times New Roman" w:hAnsi="Times New Roman" w:cs="Times New Roman"/>
                <w:noProof/>
                <w:sz w:val="20"/>
                <w:szCs w:val="20"/>
                <w:lang w:eastAsia="en-GB"/>
              </w:rPr>
              <w:t> </w:t>
            </w:r>
          </w:p>
        </w:tc>
      </w:tr>
      <w:tr w:rsidR="000A7D9D" w:rsidRPr="002814A6" w14:paraId="74632E15" w14:textId="77777777" w:rsidTr="00F31937">
        <w:trPr>
          <w:trHeight w:val="300"/>
        </w:trPr>
        <w:tc>
          <w:tcPr>
            <w:tcW w:w="4320" w:type="dxa"/>
            <w:shd w:val="clear" w:color="auto" w:fill="auto"/>
          </w:tcPr>
          <w:p w14:paraId="224E93CB" w14:textId="77777777" w:rsidR="000A7D9D" w:rsidRPr="002814A6" w:rsidRDefault="000A7D9D" w:rsidP="00F31937">
            <w:pPr>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 xml:space="preserve">Maintaining and further developing the framework of indicators for chemicals </w:t>
            </w:r>
          </w:p>
        </w:tc>
        <w:tc>
          <w:tcPr>
            <w:tcW w:w="990" w:type="dxa"/>
            <w:shd w:val="clear" w:color="auto" w:fill="auto"/>
          </w:tcPr>
          <w:p w14:paraId="3B8896EF" w14:textId="77777777" w:rsidR="000A7D9D" w:rsidRPr="002814A6" w:rsidRDefault="000A7D9D" w:rsidP="00F31937">
            <w:pPr>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EEA, ECHA</w:t>
            </w:r>
          </w:p>
          <w:p w14:paraId="0213190B" w14:textId="77777777" w:rsidR="000A7D9D" w:rsidRPr="002814A6" w:rsidRDefault="000A7D9D" w:rsidP="00F31937">
            <w:pPr>
              <w:rPr>
                <w:rFonts w:ascii="Times New Roman" w:hAnsi="Times New Roman" w:cs="Times New Roman"/>
                <w:noProof/>
                <w:sz w:val="20"/>
                <w:szCs w:val="20"/>
                <w:lang w:val="en-US" w:eastAsia="en-GB"/>
              </w:rPr>
            </w:pPr>
          </w:p>
        </w:tc>
        <w:tc>
          <w:tcPr>
            <w:tcW w:w="4432" w:type="dxa"/>
            <w:shd w:val="clear" w:color="auto" w:fill="auto"/>
          </w:tcPr>
          <w:p w14:paraId="31B47E6F" w14:textId="77777777" w:rsidR="000A7D9D" w:rsidRPr="002814A6" w:rsidRDefault="000A7D9D" w:rsidP="00F31937">
            <w:pPr>
              <w:rPr>
                <w:rFonts w:ascii="Times New Roman" w:hAnsi="Times New Roman" w:cs="Times New Roman"/>
                <w:noProof/>
                <w:sz w:val="20"/>
                <w:szCs w:val="20"/>
                <w:lang w:val="en-US" w:eastAsia="en-GB"/>
              </w:rPr>
            </w:pPr>
            <w:r w:rsidRPr="002814A6">
              <w:rPr>
                <w:rFonts w:ascii="Times New Roman" w:hAnsi="Times New Roman" w:cs="Times New Roman"/>
                <w:noProof/>
                <w:sz w:val="20"/>
                <w:szCs w:val="20"/>
                <w:lang w:val="en-US" w:eastAsia="en-GB"/>
              </w:rPr>
              <w:t>Resources already allocated (EEA: 1 FTEs, ECHA: 2 FTEs) No additional resources needed, but they should be maintained</w:t>
            </w:r>
          </w:p>
        </w:tc>
      </w:tr>
    </w:tbl>
    <w:p w14:paraId="1BEBD098" w14:textId="77777777" w:rsidR="000A7D9D" w:rsidRPr="007F38F4" w:rsidRDefault="000A7D9D" w:rsidP="000A7D9D">
      <w:pPr>
        <w:spacing w:before="120" w:after="120"/>
        <w:jc w:val="both"/>
        <w:rPr>
          <w:rFonts w:ascii="Times New Roman" w:eastAsiaTheme="minorEastAsia" w:hAnsi="Times New Roman" w:cs="Times New Roman"/>
          <w:noProof/>
          <w:color w:val="333333"/>
          <w:sz w:val="24"/>
          <w:szCs w:val="24"/>
        </w:rPr>
      </w:pPr>
      <w:r w:rsidRPr="13AEFEEB">
        <w:rPr>
          <w:rFonts w:ascii="Times New Roman" w:hAnsi="Times New Roman" w:cs="Times New Roman"/>
          <w:noProof/>
          <w:sz w:val="24"/>
          <w:szCs w:val="24"/>
        </w:rPr>
        <w:t xml:space="preserve">Summary of additional resource needs for early warning and action system and indicator framework for chemicals: </w:t>
      </w:r>
    </w:p>
    <w:tbl>
      <w:tblPr>
        <w:tblStyle w:val="TableGrid"/>
        <w:tblW w:w="0" w:type="auto"/>
        <w:tblLook w:val="04A0" w:firstRow="1" w:lastRow="0" w:firstColumn="1" w:lastColumn="0" w:noHBand="0" w:noVBand="1"/>
      </w:tblPr>
      <w:tblGrid>
        <w:gridCol w:w="1439"/>
        <w:gridCol w:w="4510"/>
        <w:gridCol w:w="1276"/>
        <w:gridCol w:w="2404"/>
      </w:tblGrid>
      <w:tr w:rsidR="000A7D9D" w:rsidRPr="002814A6" w14:paraId="06A56879" w14:textId="77777777" w:rsidTr="00F31937">
        <w:trPr>
          <w:trHeight w:val="300"/>
        </w:trPr>
        <w:tc>
          <w:tcPr>
            <w:tcW w:w="1439" w:type="dxa"/>
            <w:shd w:val="clear" w:color="auto" w:fill="D9D9D9" w:themeFill="background1" w:themeFillShade="D9"/>
          </w:tcPr>
          <w:p w14:paraId="40AE1F86" w14:textId="77777777" w:rsidR="000A7D9D" w:rsidRPr="002814A6" w:rsidRDefault="000A7D9D" w:rsidP="00F31937">
            <w:pPr>
              <w:pStyle w:val="BodyText"/>
              <w:spacing w:line="259" w:lineRule="auto"/>
              <w:rPr>
                <w:b/>
                <w:bCs/>
                <w:noProof/>
                <w:sz w:val="20"/>
                <w:szCs w:val="20"/>
              </w:rPr>
            </w:pPr>
            <w:r w:rsidRPr="002814A6">
              <w:rPr>
                <w:b/>
                <w:bCs/>
                <w:noProof/>
                <w:sz w:val="20"/>
                <w:szCs w:val="20"/>
              </w:rPr>
              <w:t>Agency</w:t>
            </w:r>
          </w:p>
        </w:tc>
        <w:tc>
          <w:tcPr>
            <w:tcW w:w="4510" w:type="dxa"/>
            <w:shd w:val="clear" w:color="auto" w:fill="D9D9D9" w:themeFill="background1" w:themeFillShade="D9"/>
          </w:tcPr>
          <w:p w14:paraId="72FC3C61" w14:textId="77777777" w:rsidR="000A7D9D" w:rsidRPr="002814A6" w:rsidRDefault="000A7D9D" w:rsidP="00F31937">
            <w:pPr>
              <w:pStyle w:val="BodyText"/>
              <w:rPr>
                <w:b/>
                <w:bCs/>
                <w:noProof/>
                <w:sz w:val="20"/>
                <w:szCs w:val="20"/>
              </w:rPr>
            </w:pPr>
            <w:r w:rsidRPr="002814A6">
              <w:rPr>
                <w:b/>
                <w:bCs/>
                <w:noProof/>
                <w:sz w:val="20"/>
                <w:szCs w:val="20"/>
              </w:rPr>
              <w:t>Summary of tasks</w:t>
            </w:r>
          </w:p>
        </w:tc>
        <w:tc>
          <w:tcPr>
            <w:tcW w:w="1276" w:type="dxa"/>
            <w:shd w:val="clear" w:color="auto" w:fill="D9D9D9" w:themeFill="background1" w:themeFillShade="D9"/>
          </w:tcPr>
          <w:p w14:paraId="51A55A3C" w14:textId="77777777" w:rsidR="000A7D9D" w:rsidRPr="002814A6" w:rsidRDefault="000A7D9D" w:rsidP="00F31937">
            <w:pPr>
              <w:pStyle w:val="BodyText"/>
              <w:tabs>
                <w:tab w:val="left" w:pos="4170"/>
              </w:tabs>
              <w:rPr>
                <w:noProof/>
                <w:sz w:val="20"/>
                <w:szCs w:val="20"/>
              </w:rPr>
            </w:pPr>
          </w:p>
        </w:tc>
        <w:tc>
          <w:tcPr>
            <w:tcW w:w="2404" w:type="dxa"/>
            <w:shd w:val="clear" w:color="auto" w:fill="D9D9D9" w:themeFill="background1" w:themeFillShade="D9"/>
          </w:tcPr>
          <w:p w14:paraId="4F839985" w14:textId="77777777" w:rsidR="000A7D9D" w:rsidRPr="002814A6" w:rsidRDefault="000A7D9D" w:rsidP="00F31937">
            <w:pPr>
              <w:pStyle w:val="BodyText"/>
              <w:tabs>
                <w:tab w:val="left" w:pos="4170"/>
              </w:tabs>
              <w:spacing w:after="0"/>
              <w:rPr>
                <w:noProof/>
                <w:sz w:val="20"/>
                <w:szCs w:val="20"/>
              </w:rPr>
            </w:pPr>
          </w:p>
        </w:tc>
      </w:tr>
      <w:tr w:rsidR="000A7D9D" w:rsidRPr="002814A6" w14:paraId="1BF33C37" w14:textId="77777777" w:rsidTr="00F31937">
        <w:trPr>
          <w:trHeight w:val="300"/>
        </w:trPr>
        <w:tc>
          <w:tcPr>
            <w:tcW w:w="1439" w:type="dxa"/>
            <w:vMerge w:val="restart"/>
            <w:shd w:val="clear" w:color="auto" w:fill="D9D9D9" w:themeFill="background1" w:themeFillShade="D9"/>
          </w:tcPr>
          <w:p w14:paraId="12A5A5AE" w14:textId="77777777" w:rsidR="000A7D9D" w:rsidRPr="002814A6" w:rsidRDefault="000A7D9D" w:rsidP="00F31937">
            <w:pPr>
              <w:pStyle w:val="BodyText"/>
              <w:spacing w:line="259" w:lineRule="auto"/>
              <w:rPr>
                <w:noProof/>
                <w:sz w:val="20"/>
                <w:szCs w:val="20"/>
              </w:rPr>
            </w:pPr>
            <w:r w:rsidRPr="002814A6">
              <w:rPr>
                <w:noProof/>
                <w:sz w:val="20"/>
                <w:szCs w:val="20"/>
              </w:rPr>
              <w:t>EEA</w:t>
            </w:r>
          </w:p>
        </w:tc>
        <w:tc>
          <w:tcPr>
            <w:tcW w:w="4510" w:type="dxa"/>
            <w:vMerge w:val="restart"/>
            <w:shd w:val="clear" w:color="auto" w:fill="D9D9D9" w:themeFill="background1" w:themeFillShade="D9"/>
          </w:tcPr>
          <w:p w14:paraId="77D1AEC4" w14:textId="77777777" w:rsidR="000A7D9D" w:rsidRPr="002814A6" w:rsidRDefault="000A7D9D" w:rsidP="00F31937">
            <w:pPr>
              <w:pStyle w:val="BodyText"/>
              <w:rPr>
                <w:noProof/>
                <w:sz w:val="20"/>
                <w:szCs w:val="20"/>
              </w:rPr>
            </w:pPr>
            <w:r w:rsidRPr="002814A6">
              <w:rPr>
                <w:noProof/>
                <w:sz w:val="20"/>
                <w:szCs w:val="20"/>
                <w:lang w:val="en-US"/>
              </w:rPr>
              <w:t>Literature review, horizon scanning, foresight and support in systemic examination of potential chemical risks and covering annual workshop costs</w:t>
            </w:r>
            <w:r w:rsidRPr="002814A6">
              <w:rPr>
                <w:noProof/>
                <w:sz w:val="20"/>
                <w:szCs w:val="20"/>
              </w:rPr>
              <w:t xml:space="preserve"> </w:t>
            </w:r>
          </w:p>
          <w:p w14:paraId="422A9C00" w14:textId="77777777" w:rsidR="000A7D9D" w:rsidRPr="002814A6" w:rsidRDefault="000A7D9D" w:rsidP="00F31937">
            <w:pPr>
              <w:jc w:val="both"/>
              <w:rPr>
                <w:noProof/>
              </w:rPr>
            </w:pPr>
            <w:r w:rsidRPr="002814A6">
              <w:rPr>
                <w:noProof/>
              </w:rPr>
              <w:t xml:space="preserve">Review of existing working procedures for early warning signals for chemicals, including </w:t>
            </w:r>
            <w:r w:rsidRPr="002814A6">
              <w:rPr>
                <w:noProof/>
                <w:lang w:val="en-US"/>
              </w:rPr>
              <w:t>signal generators.</w:t>
            </w:r>
          </w:p>
          <w:p w14:paraId="77AF7D25" w14:textId="77777777" w:rsidR="000A7D9D" w:rsidRPr="002814A6" w:rsidRDefault="000A7D9D" w:rsidP="00F31937">
            <w:pPr>
              <w:rPr>
                <w:noProof/>
                <w:lang w:val="en-US"/>
              </w:rPr>
            </w:pPr>
          </w:p>
          <w:p w14:paraId="2260E9C8" w14:textId="77777777" w:rsidR="000A7D9D" w:rsidRPr="002814A6" w:rsidRDefault="000A7D9D" w:rsidP="00F31937">
            <w:pPr>
              <w:pStyle w:val="BodyText"/>
              <w:rPr>
                <w:noProof/>
                <w:sz w:val="20"/>
                <w:szCs w:val="20"/>
                <w:lang w:val="en-US"/>
              </w:rPr>
            </w:pPr>
            <w:r w:rsidRPr="002814A6">
              <w:rPr>
                <w:noProof/>
                <w:sz w:val="20"/>
                <w:szCs w:val="20"/>
                <w:lang w:val="en-US"/>
              </w:rPr>
              <w:t>Review of EEA data flows on chemicals in the environment to identify early warning signals available in EEA.</w:t>
            </w:r>
          </w:p>
          <w:p w14:paraId="7AF56283" w14:textId="77777777" w:rsidR="000A7D9D" w:rsidRPr="002814A6" w:rsidRDefault="000A7D9D" w:rsidP="00F31937">
            <w:pPr>
              <w:pStyle w:val="BodyText"/>
              <w:rPr>
                <w:noProof/>
                <w:sz w:val="20"/>
                <w:szCs w:val="20"/>
                <w:lang w:val="en-US"/>
              </w:rPr>
            </w:pPr>
            <w:r w:rsidRPr="002814A6">
              <w:rPr>
                <w:noProof/>
                <w:sz w:val="20"/>
                <w:szCs w:val="20"/>
                <w:lang w:val="en-US"/>
              </w:rPr>
              <w:t>Compiling the early warning signals from collaborating EU agencies.</w:t>
            </w:r>
          </w:p>
          <w:p w14:paraId="32D13905" w14:textId="77777777" w:rsidR="000A7D9D" w:rsidRPr="002814A6" w:rsidRDefault="000A7D9D" w:rsidP="00F31937">
            <w:pPr>
              <w:pStyle w:val="BodyText"/>
              <w:rPr>
                <w:noProof/>
                <w:sz w:val="20"/>
                <w:szCs w:val="20"/>
                <w:lang w:val="en-US"/>
              </w:rPr>
            </w:pPr>
            <w:r w:rsidRPr="002814A6">
              <w:rPr>
                <w:noProof/>
                <w:sz w:val="20"/>
                <w:szCs w:val="20"/>
                <w:lang w:val="en-US"/>
              </w:rPr>
              <w:t>Compiling the early warning signals from relevant initiatives, such as the EEA Eionet network and Horizon Europe partnership PARC, including with the early warning tools developed under PARC, as appropriate.</w:t>
            </w:r>
          </w:p>
          <w:p w14:paraId="1F85515B" w14:textId="77777777" w:rsidR="000A7D9D" w:rsidRPr="002814A6" w:rsidRDefault="000A7D9D" w:rsidP="00F31937">
            <w:pPr>
              <w:pStyle w:val="BodyText"/>
              <w:rPr>
                <w:noProof/>
                <w:sz w:val="20"/>
                <w:szCs w:val="20"/>
              </w:rPr>
            </w:pPr>
            <w:r w:rsidRPr="002814A6">
              <w:rPr>
                <w:noProof/>
                <w:sz w:val="20"/>
                <w:szCs w:val="20"/>
              </w:rPr>
              <w:t>Producing and publishing an annual report on early warning signals and presenting it to expert group on one substance, one assessment.</w:t>
            </w:r>
          </w:p>
        </w:tc>
        <w:tc>
          <w:tcPr>
            <w:tcW w:w="1276" w:type="dxa"/>
            <w:shd w:val="clear" w:color="auto" w:fill="D9D9D9" w:themeFill="background1" w:themeFillShade="D9"/>
          </w:tcPr>
          <w:p w14:paraId="588ED00C" w14:textId="77777777" w:rsidR="000A7D9D" w:rsidRPr="002814A6" w:rsidRDefault="000A7D9D" w:rsidP="00F31937">
            <w:pPr>
              <w:pStyle w:val="BodyText"/>
              <w:tabs>
                <w:tab w:val="left" w:pos="4170"/>
              </w:tabs>
              <w:rPr>
                <w:noProof/>
                <w:sz w:val="20"/>
                <w:szCs w:val="20"/>
              </w:rPr>
            </w:pPr>
            <w:r w:rsidRPr="002814A6">
              <w:rPr>
                <w:noProof/>
                <w:sz w:val="20"/>
                <w:szCs w:val="20"/>
              </w:rPr>
              <w:t>Financial resource needs:</w:t>
            </w:r>
          </w:p>
        </w:tc>
        <w:tc>
          <w:tcPr>
            <w:tcW w:w="2404" w:type="dxa"/>
            <w:shd w:val="clear" w:color="auto" w:fill="D9D9D9" w:themeFill="background1" w:themeFillShade="D9"/>
          </w:tcPr>
          <w:p w14:paraId="79D03AD7" w14:textId="77777777" w:rsidR="000A7D9D" w:rsidRPr="002814A6" w:rsidRDefault="000A7D9D" w:rsidP="00F31937">
            <w:pPr>
              <w:pStyle w:val="BodyText"/>
              <w:tabs>
                <w:tab w:val="left" w:pos="4170"/>
              </w:tabs>
              <w:spacing w:after="0"/>
              <w:rPr>
                <w:b/>
                <w:noProof/>
                <w:sz w:val="20"/>
                <w:szCs w:val="20"/>
              </w:rPr>
            </w:pPr>
            <w:r w:rsidRPr="002814A6">
              <w:rPr>
                <w:noProof/>
                <w:sz w:val="20"/>
                <w:szCs w:val="20"/>
              </w:rPr>
              <w:t xml:space="preserve">2025: </w:t>
            </w:r>
            <w:r w:rsidRPr="002814A6">
              <w:rPr>
                <w:b/>
                <w:noProof/>
                <w:sz w:val="20"/>
                <w:szCs w:val="20"/>
              </w:rPr>
              <w:t>EUR 0</w:t>
            </w:r>
          </w:p>
          <w:p w14:paraId="446E4C2E" w14:textId="77777777" w:rsidR="000A7D9D" w:rsidRPr="002814A6" w:rsidRDefault="000A7D9D" w:rsidP="00F31937">
            <w:pPr>
              <w:pStyle w:val="BodyText"/>
              <w:tabs>
                <w:tab w:val="left" w:pos="4170"/>
              </w:tabs>
              <w:spacing w:after="0"/>
              <w:rPr>
                <w:noProof/>
                <w:sz w:val="20"/>
                <w:szCs w:val="20"/>
              </w:rPr>
            </w:pPr>
            <w:r w:rsidRPr="002814A6">
              <w:rPr>
                <w:noProof/>
                <w:sz w:val="20"/>
                <w:szCs w:val="20"/>
              </w:rPr>
              <w:t xml:space="preserve">2026: </w:t>
            </w:r>
            <w:r w:rsidRPr="002814A6">
              <w:rPr>
                <w:b/>
                <w:bCs/>
                <w:noProof/>
                <w:sz w:val="20"/>
                <w:szCs w:val="20"/>
              </w:rPr>
              <w:t>EUR 300 000</w:t>
            </w:r>
          </w:p>
          <w:p w14:paraId="566D6723" w14:textId="77777777" w:rsidR="000A7D9D" w:rsidRPr="002814A6" w:rsidRDefault="000A7D9D" w:rsidP="00F31937">
            <w:pPr>
              <w:pStyle w:val="BodyText"/>
              <w:tabs>
                <w:tab w:val="left" w:pos="4170"/>
              </w:tabs>
              <w:spacing w:after="0"/>
              <w:rPr>
                <w:noProof/>
                <w:sz w:val="20"/>
                <w:szCs w:val="20"/>
              </w:rPr>
            </w:pPr>
            <w:r w:rsidRPr="002814A6">
              <w:rPr>
                <w:noProof/>
                <w:sz w:val="20"/>
                <w:szCs w:val="20"/>
              </w:rPr>
              <w:t xml:space="preserve">2027: </w:t>
            </w:r>
            <w:r w:rsidRPr="002814A6">
              <w:rPr>
                <w:b/>
                <w:noProof/>
                <w:sz w:val="20"/>
                <w:szCs w:val="20"/>
              </w:rPr>
              <w:t>EUR</w:t>
            </w:r>
            <w:r w:rsidRPr="002814A6">
              <w:rPr>
                <w:noProof/>
                <w:sz w:val="20"/>
                <w:szCs w:val="20"/>
              </w:rPr>
              <w:t xml:space="preserve"> </w:t>
            </w:r>
            <w:r w:rsidRPr="002814A6">
              <w:rPr>
                <w:b/>
                <w:bCs/>
                <w:noProof/>
                <w:sz w:val="20"/>
                <w:szCs w:val="20"/>
              </w:rPr>
              <w:t>150 000</w:t>
            </w:r>
          </w:p>
          <w:p w14:paraId="3E1A8F2B" w14:textId="77777777" w:rsidR="000A7D9D" w:rsidRPr="002814A6" w:rsidRDefault="000A7D9D" w:rsidP="00F31937">
            <w:pPr>
              <w:pStyle w:val="BodyText"/>
              <w:tabs>
                <w:tab w:val="left" w:pos="4170"/>
              </w:tabs>
              <w:spacing w:after="0"/>
              <w:rPr>
                <w:noProof/>
                <w:sz w:val="20"/>
                <w:szCs w:val="20"/>
              </w:rPr>
            </w:pPr>
            <w:r w:rsidRPr="002814A6">
              <w:rPr>
                <w:noProof/>
                <w:sz w:val="20"/>
                <w:szCs w:val="20"/>
              </w:rPr>
              <w:t xml:space="preserve">2028: </w:t>
            </w:r>
            <w:r w:rsidRPr="002814A6">
              <w:rPr>
                <w:b/>
                <w:noProof/>
                <w:sz w:val="20"/>
                <w:szCs w:val="20"/>
              </w:rPr>
              <w:t>EUR</w:t>
            </w:r>
            <w:r w:rsidRPr="002814A6">
              <w:rPr>
                <w:noProof/>
                <w:sz w:val="20"/>
                <w:szCs w:val="20"/>
              </w:rPr>
              <w:t xml:space="preserve"> </w:t>
            </w:r>
            <w:r w:rsidRPr="002814A6">
              <w:rPr>
                <w:b/>
                <w:bCs/>
                <w:noProof/>
                <w:sz w:val="20"/>
                <w:szCs w:val="20"/>
              </w:rPr>
              <w:t>150 000</w:t>
            </w:r>
          </w:p>
        </w:tc>
      </w:tr>
      <w:tr w:rsidR="000A7D9D" w:rsidRPr="002814A6" w14:paraId="64DBAEB3" w14:textId="77777777" w:rsidTr="00F31937">
        <w:trPr>
          <w:trHeight w:val="300"/>
        </w:trPr>
        <w:tc>
          <w:tcPr>
            <w:tcW w:w="1439" w:type="dxa"/>
            <w:vMerge/>
            <w:shd w:val="clear" w:color="auto" w:fill="D9D9D9" w:themeFill="background1" w:themeFillShade="D9"/>
          </w:tcPr>
          <w:p w14:paraId="5D59CA6B" w14:textId="77777777" w:rsidR="000A7D9D" w:rsidRPr="002814A6" w:rsidRDefault="000A7D9D" w:rsidP="00F31937">
            <w:pPr>
              <w:pStyle w:val="BodyText"/>
              <w:rPr>
                <w:noProof/>
                <w:sz w:val="20"/>
                <w:szCs w:val="20"/>
              </w:rPr>
            </w:pPr>
          </w:p>
        </w:tc>
        <w:tc>
          <w:tcPr>
            <w:tcW w:w="4510" w:type="dxa"/>
            <w:vMerge/>
            <w:shd w:val="clear" w:color="auto" w:fill="D9D9D9" w:themeFill="background1" w:themeFillShade="D9"/>
          </w:tcPr>
          <w:p w14:paraId="58B74CCD" w14:textId="77777777" w:rsidR="000A7D9D" w:rsidRPr="002814A6" w:rsidRDefault="000A7D9D" w:rsidP="00F31937">
            <w:pPr>
              <w:pStyle w:val="BodyText"/>
              <w:rPr>
                <w:noProof/>
                <w:sz w:val="20"/>
                <w:szCs w:val="20"/>
              </w:rPr>
            </w:pPr>
          </w:p>
        </w:tc>
        <w:tc>
          <w:tcPr>
            <w:tcW w:w="1276" w:type="dxa"/>
            <w:shd w:val="clear" w:color="auto" w:fill="D9D9D9" w:themeFill="background1" w:themeFillShade="D9"/>
          </w:tcPr>
          <w:p w14:paraId="0B0A3DD3" w14:textId="77777777" w:rsidR="000A7D9D" w:rsidRPr="002814A6" w:rsidRDefault="000A7D9D" w:rsidP="00F31937">
            <w:pPr>
              <w:pStyle w:val="BodyText"/>
              <w:tabs>
                <w:tab w:val="left" w:pos="4170"/>
              </w:tabs>
              <w:rPr>
                <w:noProof/>
                <w:sz w:val="20"/>
                <w:szCs w:val="20"/>
              </w:rPr>
            </w:pPr>
            <w:r w:rsidRPr="002814A6">
              <w:rPr>
                <w:noProof/>
                <w:sz w:val="20"/>
                <w:szCs w:val="20"/>
              </w:rPr>
              <w:t>Human resource needs:</w:t>
            </w:r>
          </w:p>
        </w:tc>
        <w:tc>
          <w:tcPr>
            <w:tcW w:w="2404" w:type="dxa"/>
            <w:shd w:val="clear" w:color="auto" w:fill="D9D9D9" w:themeFill="background1" w:themeFillShade="D9"/>
          </w:tcPr>
          <w:p w14:paraId="22F289F7" w14:textId="77777777" w:rsidR="000A7D9D" w:rsidRPr="002814A6" w:rsidRDefault="000A7D9D" w:rsidP="00F31937">
            <w:pPr>
              <w:pStyle w:val="BodyText"/>
              <w:tabs>
                <w:tab w:val="left" w:pos="4170"/>
              </w:tabs>
              <w:spacing w:after="0"/>
              <w:rPr>
                <w:noProof/>
                <w:sz w:val="20"/>
                <w:szCs w:val="20"/>
                <w:lang w:val="fr-BE"/>
              </w:rPr>
            </w:pPr>
            <w:r w:rsidRPr="002814A6">
              <w:rPr>
                <w:noProof/>
                <w:sz w:val="20"/>
                <w:szCs w:val="20"/>
                <w:lang w:val="fr-BE"/>
              </w:rPr>
              <w:t xml:space="preserve">2025: </w:t>
            </w:r>
            <w:r w:rsidRPr="002814A6">
              <w:rPr>
                <w:b/>
                <w:bCs/>
                <w:noProof/>
                <w:sz w:val="20"/>
                <w:szCs w:val="20"/>
                <w:lang w:val="fr-BE"/>
              </w:rPr>
              <w:t>1 TA</w:t>
            </w:r>
            <w:r w:rsidRPr="002814A6">
              <w:rPr>
                <w:noProof/>
                <w:sz w:val="20"/>
                <w:szCs w:val="20"/>
                <w:lang w:val="fr-BE"/>
              </w:rPr>
              <w:t xml:space="preserve">, </w:t>
            </w:r>
            <w:r w:rsidRPr="002814A6">
              <w:rPr>
                <w:b/>
                <w:noProof/>
                <w:sz w:val="20"/>
                <w:szCs w:val="20"/>
                <w:lang w:val="fr-BE"/>
              </w:rPr>
              <w:t>0 CAs</w:t>
            </w:r>
          </w:p>
          <w:p w14:paraId="4DA3990E" w14:textId="77777777" w:rsidR="000A7D9D" w:rsidRPr="002814A6" w:rsidRDefault="000A7D9D" w:rsidP="00F31937">
            <w:pPr>
              <w:pStyle w:val="BodyText"/>
              <w:tabs>
                <w:tab w:val="left" w:pos="4170"/>
              </w:tabs>
              <w:spacing w:after="0"/>
              <w:rPr>
                <w:noProof/>
                <w:sz w:val="20"/>
                <w:szCs w:val="20"/>
                <w:lang w:val="fr-BE"/>
              </w:rPr>
            </w:pPr>
            <w:r w:rsidRPr="002814A6">
              <w:rPr>
                <w:noProof/>
                <w:sz w:val="20"/>
                <w:szCs w:val="20"/>
                <w:lang w:val="fr-BE"/>
              </w:rPr>
              <w:t xml:space="preserve">2026: </w:t>
            </w:r>
            <w:r w:rsidRPr="002814A6">
              <w:rPr>
                <w:b/>
                <w:bCs/>
                <w:noProof/>
                <w:sz w:val="20"/>
                <w:szCs w:val="20"/>
                <w:lang w:val="fr-BE"/>
              </w:rPr>
              <w:t>1 TA</w:t>
            </w:r>
            <w:r w:rsidRPr="002814A6">
              <w:rPr>
                <w:noProof/>
                <w:sz w:val="20"/>
                <w:szCs w:val="20"/>
                <w:lang w:val="fr-BE"/>
              </w:rPr>
              <w:t xml:space="preserve">, </w:t>
            </w:r>
            <w:r w:rsidRPr="002814A6">
              <w:rPr>
                <w:b/>
                <w:noProof/>
                <w:sz w:val="20"/>
                <w:szCs w:val="20"/>
                <w:lang w:val="fr-BE"/>
              </w:rPr>
              <w:t>0 CAs</w:t>
            </w:r>
          </w:p>
          <w:p w14:paraId="18337D23" w14:textId="77777777" w:rsidR="000A7D9D" w:rsidRPr="002814A6" w:rsidRDefault="000A7D9D" w:rsidP="00F31937">
            <w:pPr>
              <w:pStyle w:val="BodyText"/>
              <w:tabs>
                <w:tab w:val="left" w:pos="4170"/>
              </w:tabs>
              <w:spacing w:after="0"/>
              <w:rPr>
                <w:noProof/>
                <w:sz w:val="20"/>
                <w:szCs w:val="20"/>
                <w:lang w:val="fr-BE"/>
              </w:rPr>
            </w:pPr>
            <w:r w:rsidRPr="002814A6">
              <w:rPr>
                <w:noProof/>
                <w:sz w:val="20"/>
                <w:szCs w:val="20"/>
                <w:lang w:val="fr-BE"/>
              </w:rPr>
              <w:t xml:space="preserve">2027: </w:t>
            </w:r>
            <w:r w:rsidRPr="002814A6">
              <w:rPr>
                <w:b/>
                <w:bCs/>
                <w:noProof/>
                <w:sz w:val="20"/>
                <w:szCs w:val="20"/>
                <w:lang w:val="fr-BE"/>
              </w:rPr>
              <w:t>1 TA</w:t>
            </w:r>
            <w:r w:rsidRPr="002814A6">
              <w:rPr>
                <w:noProof/>
                <w:sz w:val="20"/>
                <w:szCs w:val="20"/>
                <w:lang w:val="fr-BE"/>
              </w:rPr>
              <w:t xml:space="preserve">, </w:t>
            </w:r>
            <w:r w:rsidRPr="002814A6">
              <w:rPr>
                <w:b/>
                <w:noProof/>
                <w:sz w:val="20"/>
                <w:szCs w:val="20"/>
                <w:lang w:val="fr-BE"/>
              </w:rPr>
              <w:t>0 CAs</w:t>
            </w:r>
          </w:p>
          <w:p w14:paraId="0A547365" w14:textId="77777777" w:rsidR="000A7D9D" w:rsidRPr="002814A6" w:rsidRDefault="000A7D9D" w:rsidP="00F31937">
            <w:pPr>
              <w:pStyle w:val="BodyText"/>
              <w:tabs>
                <w:tab w:val="left" w:pos="4170"/>
              </w:tabs>
              <w:spacing w:after="0"/>
              <w:rPr>
                <w:noProof/>
                <w:sz w:val="20"/>
                <w:szCs w:val="20"/>
              </w:rPr>
            </w:pPr>
            <w:r w:rsidRPr="002814A6">
              <w:rPr>
                <w:noProof/>
                <w:sz w:val="20"/>
                <w:szCs w:val="20"/>
              </w:rPr>
              <w:t xml:space="preserve">2028: </w:t>
            </w:r>
            <w:r w:rsidRPr="002814A6">
              <w:rPr>
                <w:b/>
                <w:bCs/>
                <w:noProof/>
                <w:sz w:val="20"/>
                <w:szCs w:val="20"/>
              </w:rPr>
              <w:t>1 TA</w:t>
            </w:r>
            <w:r w:rsidRPr="002814A6">
              <w:rPr>
                <w:noProof/>
                <w:sz w:val="20"/>
                <w:szCs w:val="20"/>
              </w:rPr>
              <w:t xml:space="preserve">, </w:t>
            </w:r>
            <w:r w:rsidRPr="002814A6">
              <w:rPr>
                <w:b/>
                <w:noProof/>
                <w:sz w:val="20"/>
                <w:szCs w:val="20"/>
              </w:rPr>
              <w:t>0 CAs</w:t>
            </w:r>
          </w:p>
        </w:tc>
      </w:tr>
      <w:tr w:rsidR="000A7D9D" w:rsidRPr="002814A6" w14:paraId="49EE415D" w14:textId="77777777" w:rsidTr="00F31937">
        <w:trPr>
          <w:trHeight w:val="300"/>
        </w:trPr>
        <w:tc>
          <w:tcPr>
            <w:tcW w:w="1439" w:type="dxa"/>
            <w:vMerge w:val="restart"/>
            <w:shd w:val="clear" w:color="auto" w:fill="D9D9D9" w:themeFill="background1" w:themeFillShade="D9"/>
          </w:tcPr>
          <w:p w14:paraId="5AC9EE08" w14:textId="77777777" w:rsidR="000A7D9D" w:rsidRPr="002814A6" w:rsidRDefault="000A7D9D" w:rsidP="00F31937">
            <w:pPr>
              <w:pStyle w:val="BodyText"/>
              <w:spacing w:line="259" w:lineRule="auto"/>
              <w:rPr>
                <w:noProof/>
                <w:sz w:val="20"/>
                <w:szCs w:val="20"/>
                <w:lang w:val="fr-BE"/>
              </w:rPr>
            </w:pPr>
            <w:r w:rsidRPr="002814A6">
              <w:rPr>
                <w:noProof/>
                <w:sz w:val="20"/>
                <w:szCs w:val="20"/>
                <w:lang w:val="fr-BE"/>
              </w:rPr>
              <w:t>ECHA</w:t>
            </w:r>
          </w:p>
          <w:p w14:paraId="0FBD7D0E" w14:textId="77777777" w:rsidR="000A7D9D" w:rsidRPr="002814A6" w:rsidRDefault="000A7D9D" w:rsidP="00F31937">
            <w:pPr>
              <w:pStyle w:val="BodyText"/>
              <w:spacing w:line="259" w:lineRule="auto"/>
              <w:rPr>
                <w:noProof/>
                <w:sz w:val="20"/>
                <w:szCs w:val="20"/>
                <w:lang w:val="fr-BE"/>
              </w:rPr>
            </w:pPr>
            <w:r w:rsidRPr="002814A6">
              <w:rPr>
                <w:noProof/>
                <w:sz w:val="20"/>
                <w:szCs w:val="20"/>
                <w:lang w:val="fr-BE"/>
              </w:rPr>
              <w:t>EMA</w:t>
            </w:r>
          </w:p>
          <w:p w14:paraId="737334E2" w14:textId="77777777" w:rsidR="000A7D9D" w:rsidRPr="002814A6" w:rsidRDefault="000A7D9D" w:rsidP="00F31937">
            <w:pPr>
              <w:pStyle w:val="BodyText"/>
              <w:spacing w:line="259" w:lineRule="auto"/>
              <w:rPr>
                <w:noProof/>
                <w:sz w:val="20"/>
                <w:szCs w:val="20"/>
                <w:lang w:val="fr-BE"/>
              </w:rPr>
            </w:pPr>
            <w:r w:rsidRPr="002814A6">
              <w:rPr>
                <w:noProof/>
                <w:sz w:val="20"/>
                <w:szCs w:val="20"/>
                <w:lang w:val="fr-BE"/>
              </w:rPr>
              <w:t>EFSA</w:t>
            </w:r>
          </w:p>
          <w:p w14:paraId="25C0C826" w14:textId="77777777" w:rsidR="000A7D9D" w:rsidRPr="002814A6" w:rsidRDefault="000A7D9D" w:rsidP="00F31937">
            <w:pPr>
              <w:pStyle w:val="BodyText"/>
              <w:spacing w:line="259" w:lineRule="auto"/>
              <w:rPr>
                <w:noProof/>
                <w:sz w:val="20"/>
                <w:szCs w:val="20"/>
                <w:lang w:val="fr-BE"/>
              </w:rPr>
            </w:pPr>
            <w:r w:rsidRPr="002814A6">
              <w:rPr>
                <w:noProof/>
                <w:sz w:val="20"/>
                <w:szCs w:val="20"/>
                <w:lang w:val="fr-BE"/>
              </w:rPr>
              <w:t>EU-OSHA</w:t>
            </w:r>
          </w:p>
        </w:tc>
        <w:tc>
          <w:tcPr>
            <w:tcW w:w="4510" w:type="dxa"/>
            <w:vMerge w:val="restart"/>
            <w:shd w:val="clear" w:color="auto" w:fill="D9D9D9" w:themeFill="background1" w:themeFillShade="D9"/>
          </w:tcPr>
          <w:p w14:paraId="6FCB31FE" w14:textId="77777777" w:rsidR="000A7D9D" w:rsidRPr="002814A6" w:rsidRDefault="000A7D9D" w:rsidP="00F31937">
            <w:pPr>
              <w:pStyle w:val="BodyText"/>
              <w:rPr>
                <w:noProof/>
                <w:sz w:val="20"/>
                <w:szCs w:val="20"/>
              </w:rPr>
            </w:pPr>
            <w:r w:rsidRPr="002814A6">
              <w:rPr>
                <w:noProof/>
                <w:sz w:val="20"/>
                <w:szCs w:val="20"/>
              </w:rPr>
              <w:t>Providing relevant data and information on early warning risks within their competence.</w:t>
            </w:r>
          </w:p>
        </w:tc>
        <w:tc>
          <w:tcPr>
            <w:tcW w:w="1276" w:type="dxa"/>
            <w:shd w:val="clear" w:color="auto" w:fill="D9D9D9" w:themeFill="background1" w:themeFillShade="D9"/>
          </w:tcPr>
          <w:p w14:paraId="6149D575" w14:textId="77777777" w:rsidR="000A7D9D" w:rsidRPr="002814A6" w:rsidRDefault="000A7D9D" w:rsidP="00F31937">
            <w:pPr>
              <w:pStyle w:val="BodyText"/>
              <w:tabs>
                <w:tab w:val="left" w:pos="4170"/>
              </w:tabs>
              <w:rPr>
                <w:noProof/>
                <w:sz w:val="20"/>
                <w:szCs w:val="20"/>
              </w:rPr>
            </w:pPr>
            <w:r w:rsidRPr="002814A6">
              <w:rPr>
                <w:noProof/>
                <w:sz w:val="20"/>
                <w:szCs w:val="20"/>
              </w:rPr>
              <w:t>Financial resource needs:</w:t>
            </w:r>
          </w:p>
        </w:tc>
        <w:tc>
          <w:tcPr>
            <w:tcW w:w="2404" w:type="dxa"/>
            <w:shd w:val="clear" w:color="auto" w:fill="D9D9D9" w:themeFill="background1" w:themeFillShade="D9"/>
          </w:tcPr>
          <w:p w14:paraId="688ED0D4" w14:textId="77777777" w:rsidR="000A7D9D" w:rsidRPr="002814A6" w:rsidRDefault="000A7D9D" w:rsidP="00F31937">
            <w:pPr>
              <w:pStyle w:val="BodyText"/>
              <w:rPr>
                <w:noProof/>
                <w:sz w:val="20"/>
                <w:szCs w:val="20"/>
                <w:lang w:val="en-IE"/>
              </w:rPr>
            </w:pPr>
            <w:r w:rsidRPr="002814A6">
              <w:rPr>
                <w:noProof/>
                <w:sz w:val="20"/>
                <w:szCs w:val="20"/>
                <w:lang w:val="en-IE"/>
              </w:rPr>
              <w:t>None, it should be absorbed by the agency</w:t>
            </w:r>
          </w:p>
        </w:tc>
      </w:tr>
      <w:tr w:rsidR="000A7D9D" w:rsidRPr="002814A6" w14:paraId="07CAB7CC" w14:textId="77777777" w:rsidTr="00F31937">
        <w:trPr>
          <w:trHeight w:val="300"/>
        </w:trPr>
        <w:tc>
          <w:tcPr>
            <w:tcW w:w="1439" w:type="dxa"/>
            <w:vMerge/>
            <w:shd w:val="clear" w:color="auto" w:fill="D9D9D9" w:themeFill="background1" w:themeFillShade="D9"/>
          </w:tcPr>
          <w:p w14:paraId="544E5949" w14:textId="77777777" w:rsidR="000A7D9D" w:rsidRPr="002814A6" w:rsidRDefault="000A7D9D" w:rsidP="00F31937">
            <w:pPr>
              <w:pStyle w:val="BodyText"/>
              <w:rPr>
                <w:noProof/>
                <w:sz w:val="20"/>
                <w:szCs w:val="20"/>
              </w:rPr>
            </w:pPr>
          </w:p>
        </w:tc>
        <w:tc>
          <w:tcPr>
            <w:tcW w:w="4510" w:type="dxa"/>
            <w:vMerge/>
            <w:shd w:val="clear" w:color="auto" w:fill="D9D9D9" w:themeFill="background1" w:themeFillShade="D9"/>
          </w:tcPr>
          <w:p w14:paraId="5CC430D1" w14:textId="77777777" w:rsidR="000A7D9D" w:rsidRPr="002814A6" w:rsidRDefault="000A7D9D" w:rsidP="00F31937">
            <w:pPr>
              <w:pStyle w:val="BodyText"/>
              <w:rPr>
                <w:noProof/>
                <w:sz w:val="20"/>
                <w:szCs w:val="20"/>
                <w:highlight w:val="yellow"/>
              </w:rPr>
            </w:pPr>
          </w:p>
        </w:tc>
        <w:tc>
          <w:tcPr>
            <w:tcW w:w="1276" w:type="dxa"/>
            <w:shd w:val="clear" w:color="auto" w:fill="D9D9D9" w:themeFill="background1" w:themeFillShade="D9"/>
          </w:tcPr>
          <w:p w14:paraId="6D919FF5" w14:textId="77777777" w:rsidR="000A7D9D" w:rsidRPr="002814A6" w:rsidRDefault="000A7D9D" w:rsidP="00F31937">
            <w:pPr>
              <w:pStyle w:val="BodyText"/>
              <w:tabs>
                <w:tab w:val="left" w:pos="4170"/>
              </w:tabs>
              <w:rPr>
                <w:noProof/>
                <w:sz w:val="20"/>
                <w:szCs w:val="20"/>
              </w:rPr>
            </w:pPr>
            <w:r w:rsidRPr="002814A6">
              <w:rPr>
                <w:noProof/>
                <w:sz w:val="20"/>
                <w:szCs w:val="20"/>
              </w:rPr>
              <w:t>Human resource needs:</w:t>
            </w:r>
          </w:p>
        </w:tc>
        <w:tc>
          <w:tcPr>
            <w:tcW w:w="2404" w:type="dxa"/>
            <w:shd w:val="clear" w:color="auto" w:fill="D9D9D9" w:themeFill="background1" w:themeFillShade="D9"/>
          </w:tcPr>
          <w:p w14:paraId="06B278A3" w14:textId="77777777" w:rsidR="000A7D9D" w:rsidRPr="002814A6" w:rsidRDefault="000A7D9D" w:rsidP="00F31937">
            <w:pPr>
              <w:pStyle w:val="BodyText"/>
              <w:rPr>
                <w:noProof/>
                <w:sz w:val="20"/>
                <w:szCs w:val="20"/>
                <w:lang w:val="en-IE"/>
              </w:rPr>
            </w:pPr>
            <w:r w:rsidRPr="002814A6">
              <w:rPr>
                <w:noProof/>
                <w:sz w:val="20"/>
                <w:szCs w:val="20"/>
                <w:lang w:val="en-IE"/>
              </w:rPr>
              <w:t>None, it should be absorbed by the agency</w:t>
            </w:r>
          </w:p>
        </w:tc>
      </w:tr>
    </w:tbl>
    <w:p w14:paraId="06F9B187" w14:textId="77777777" w:rsidR="000A7D9D" w:rsidRPr="007F38F4" w:rsidRDefault="000A7D9D" w:rsidP="000A7D9D">
      <w:pPr>
        <w:pStyle w:val="BodyText"/>
        <w:spacing w:before="120"/>
        <w:rPr>
          <w:noProof/>
        </w:rPr>
      </w:pPr>
      <w:r w:rsidRPr="007F38F4">
        <w:rPr>
          <w:noProof/>
          <w:u w:val="single"/>
        </w:rPr>
        <w:t>Budget line:</w:t>
      </w:r>
      <w:r w:rsidRPr="007F38F4">
        <w:rPr>
          <w:noProof/>
        </w:rPr>
        <w:t xml:space="preserve"> DG Environment </w:t>
      </w:r>
    </w:p>
    <w:p w14:paraId="341C4629" w14:textId="77777777" w:rsidR="000A7D9D" w:rsidRPr="007F38F4" w:rsidRDefault="000A7D9D" w:rsidP="000A7D9D">
      <w:pPr>
        <w:pStyle w:val="BodyText"/>
        <w:rPr>
          <w:noProof/>
        </w:rPr>
      </w:pPr>
      <w:r w:rsidRPr="007F38F4">
        <w:rPr>
          <w:noProof/>
          <w:u w:val="single"/>
        </w:rPr>
        <w:t>Candidate for fees:</w:t>
      </w:r>
      <w:r w:rsidRPr="007F38F4">
        <w:rPr>
          <w:noProof/>
        </w:rPr>
        <w:t xml:space="preserve"> No</w:t>
      </w:r>
    </w:p>
    <w:p w14:paraId="3BBC5CA0" w14:textId="77777777" w:rsidR="000A7D9D" w:rsidRDefault="000A7D9D" w:rsidP="000A7D9D">
      <w:pPr>
        <w:pStyle w:val="BodyText"/>
        <w:rPr>
          <w:noProof/>
        </w:rPr>
      </w:pPr>
    </w:p>
    <w:p w14:paraId="443A35C6"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82" w:name="_Toc150499947"/>
      <w:r>
        <w:rPr>
          <w:rFonts w:ascii="Times New Roman" w:hAnsi="Times New Roman"/>
          <w:smallCaps/>
          <w:noProof/>
          <w:color w:val="auto"/>
          <w:sz w:val="24"/>
          <w:szCs w:val="20"/>
          <w:lang w:eastAsia="en-US"/>
        </w:rPr>
        <w:t>Observatory for specific chemicals with potential contribution to emerging chemical risks</w:t>
      </w:r>
      <w:bookmarkEnd w:id="82"/>
      <w:r>
        <w:rPr>
          <w:rFonts w:ascii="Times New Roman" w:hAnsi="Times New Roman"/>
          <w:smallCaps/>
          <w:noProof/>
          <w:color w:val="auto"/>
          <w:sz w:val="24"/>
          <w:szCs w:val="20"/>
          <w:lang w:eastAsia="en-US"/>
        </w:rPr>
        <w:t xml:space="preserve"> </w:t>
      </w:r>
    </w:p>
    <w:p w14:paraId="082DC9FF" w14:textId="77777777" w:rsidR="000A7D9D" w:rsidRPr="007F38F4" w:rsidRDefault="000A7D9D" w:rsidP="000A7D9D">
      <w:pPr>
        <w:spacing w:after="120"/>
        <w:rPr>
          <w:rFonts w:ascii="Times New Roman" w:hAnsi="Times New Roman" w:cs="Times New Roman"/>
          <w:b/>
          <w:bCs/>
          <w:noProof/>
          <w:sz w:val="24"/>
          <w:szCs w:val="24"/>
        </w:rPr>
      </w:pPr>
      <w:r w:rsidRPr="007F38F4">
        <w:rPr>
          <w:rFonts w:ascii="Times New Roman" w:hAnsi="Times New Roman" w:cs="Times New Roman"/>
          <w:b/>
          <w:bCs/>
          <w:noProof/>
          <w:sz w:val="24"/>
          <w:szCs w:val="24"/>
        </w:rPr>
        <w:t>Responsible body:</w:t>
      </w:r>
    </w:p>
    <w:p w14:paraId="5FAADFAD"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u w:val="single"/>
        </w:rPr>
        <w:t>Currently:</w:t>
      </w:r>
      <w:r w:rsidRPr="007F38F4">
        <w:rPr>
          <w:rFonts w:ascii="Times New Roman" w:hAnsi="Times New Roman" w:cs="Times New Roman"/>
          <w:noProof/>
          <w:sz w:val="24"/>
          <w:szCs w:val="24"/>
        </w:rPr>
        <w:t xml:space="preserve"> Commission, delegated to ECHA</w:t>
      </w:r>
    </w:p>
    <w:p w14:paraId="3953D7D9"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u w:val="single"/>
        </w:rPr>
        <w:t>(Re-)attribution planned to:</w:t>
      </w:r>
      <w:r w:rsidRPr="007F38F4">
        <w:rPr>
          <w:rFonts w:ascii="Times New Roman" w:hAnsi="Times New Roman" w:cs="Times New Roman"/>
          <w:noProof/>
          <w:sz w:val="24"/>
          <w:szCs w:val="24"/>
        </w:rPr>
        <w:t xml:space="preserve"> ECHA</w:t>
      </w:r>
    </w:p>
    <w:p w14:paraId="608C7E2A" w14:textId="77777777" w:rsidR="000A7D9D" w:rsidRPr="007F38F4" w:rsidRDefault="000A7D9D" w:rsidP="000A7D9D">
      <w:pPr>
        <w:spacing w:after="120"/>
        <w:jc w:val="both"/>
        <w:rPr>
          <w:noProof/>
        </w:rPr>
      </w:pPr>
      <w:r w:rsidRPr="003D0A5D">
        <w:rPr>
          <w:rFonts w:ascii="Times New Roman" w:hAnsi="Times New Roman" w:cs="Times New Roman"/>
          <w:b/>
          <w:bCs/>
          <w:noProof/>
          <w:sz w:val="24"/>
          <w:szCs w:val="24"/>
        </w:rPr>
        <w:t>Legal basis for reattribution:</w:t>
      </w:r>
      <w:r w:rsidRPr="003D0A5D">
        <w:rPr>
          <w:rFonts w:ascii="Times New Roman" w:hAnsi="Times New Roman" w:cs="Times New Roman"/>
          <w:noProof/>
          <w:sz w:val="24"/>
          <w:szCs w:val="24"/>
        </w:rPr>
        <w:t xml:space="preserve">  Proposal</w:t>
      </w:r>
      <w:r w:rsidRPr="13AEFEEB">
        <w:rPr>
          <w:rFonts w:ascii="Times New Roman" w:hAnsi="Times New Roman" w:cs="Times New Roman"/>
          <w:noProof/>
          <w:sz w:val="24"/>
          <w:szCs w:val="24"/>
        </w:rPr>
        <w:t xml:space="preserve"> for a regulation of the European Parliament and of the Council establishing a common data platform on chemicals, laying down rules to ensure that the data contained in it are findable, accessible, interoperable and reusable and establishing a monitoring and outlook framework for chemicals</w:t>
      </w:r>
    </w:p>
    <w:p w14:paraId="08D10566" w14:textId="77777777" w:rsidR="000A7D9D" w:rsidRPr="007F38F4" w:rsidRDefault="000A7D9D" w:rsidP="000A7D9D">
      <w:pPr>
        <w:pStyle w:val="BodyText"/>
        <w:rPr>
          <w:b/>
          <w:bCs/>
          <w:noProof/>
        </w:rPr>
      </w:pPr>
      <w:r w:rsidRPr="007F38F4">
        <w:rPr>
          <w:b/>
          <w:bCs/>
          <w:noProof/>
        </w:rPr>
        <w:t xml:space="preserve">Type of task: </w:t>
      </w:r>
      <w:r w:rsidRPr="007F38F4">
        <w:rPr>
          <w:noProof/>
        </w:rPr>
        <w:t>existing</w:t>
      </w:r>
    </w:p>
    <w:p w14:paraId="55C8E25C" w14:textId="77777777" w:rsidR="000A7D9D" w:rsidRPr="007F38F4" w:rsidRDefault="000A7D9D" w:rsidP="000A7D9D">
      <w:pPr>
        <w:pStyle w:val="BodyText"/>
        <w:jc w:val="both"/>
        <w:rPr>
          <w:noProof/>
        </w:rPr>
      </w:pPr>
      <w:bookmarkStart w:id="83" w:name="_Hlk106796252"/>
      <w:r w:rsidRPr="007F38F4">
        <w:rPr>
          <w:b/>
          <w:bCs/>
          <w:noProof/>
        </w:rPr>
        <w:t xml:space="preserve">Brief task overview: </w:t>
      </w:r>
      <w:r w:rsidRPr="007F38F4">
        <w:rPr>
          <w:noProof/>
        </w:rPr>
        <w:t xml:space="preserve">Operate </w:t>
      </w:r>
      <w:r>
        <w:rPr>
          <w:noProof/>
        </w:rPr>
        <w:t>the o</w:t>
      </w:r>
      <w:r w:rsidRPr="003D0A5D">
        <w:rPr>
          <w:bCs/>
          <w:noProof/>
          <w:color w:val="000000" w:themeColor="text1"/>
        </w:rPr>
        <w:t>bservatory for specific chemicals with potential contribution to emerging chemical risks</w:t>
      </w:r>
      <w:bookmarkEnd w:id="83"/>
    </w:p>
    <w:p w14:paraId="16A0C821" w14:textId="77777777" w:rsidR="000A7D9D" w:rsidRPr="007F38F4" w:rsidRDefault="000A7D9D" w:rsidP="000A7D9D">
      <w:pPr>
        <w:pStyle w:val="BodyText"/>
        <w:rPr>
          <w:b/>
          <w:bCs/>
          <w:noProof/>
        </w:rPr>
      </w:pPr>
      <w:r w:rsidRPr="007F38F4">
        <w:rPr>
          <w:b/>
          <w:bCs/>
          <w:noProof/>
        </w:rPr>
        <w:t>Detailed process description:</w:t>
      </w:r>
    </w:p>
    <w:p w14:paraId="312A5243" w14:textId="77777777" w:rsidR="000A7D9D" w:rsidRPr="007F38F4" w:rsidRDefault="000A7D9D" w:rsidP="000A7D9D">
      <w:pPr>
        <w:pStyle w:val="BodyText"/>
        <w:rPr>
          <w:noProof/>
          <w:u w:val="single"/>
        </w:rPr>
      </w:pPr>
      <w:r w:rsidRPr="007F38F4">
        <w:rPr>
          <w:noProof/>
          <w:u w:val="single"/>
        </w:rPr>
        <w:t>Current process:</w:t>
      </w:r>
      <w:r w:rsidRPr="007F38F4">
        <w:rPr>
          <w:noProof/>
        </w:rPr>
        <w:t xml:space="preserve"> </w:t>
      </w:r>
    </w:p>
    <w:p w14:paraId="3FA297A0" w14:textId="77777777" w:rsidR="000A7D9D" w:rsidRPr="007F38F4" w:rsidRDefault="000A7D9D" w:rsidP="000A7D9D">
      <w:pPr>
        <w:pStyle w:val="BodyText"/>
        <w:rPr>
          <w:noProof/>
        </w:rPr>
      </w:pPr>
      <w:r>
        <w:rPr>
          <w:noProof/>
        </w:rPr>
        <w:t xml:space="preserve">ECHA operates EU Observatory for nanomaterials (EUON) that </w:t>
      </w:r>
      <w:r w:rsidRPr="007F38F4">
        <w:rPr>
          <w:noProof/>
        </w:rPr>
        <w:t xml:space="preserve">includes the following activities: </w:t>
      </w:r>
    </w:p>
    <w:p w14:paraId="5B9FB34F" w14:textId="77777777" w:rsidR="000A7D9D" w:rsidRPr="007F38F4" w:rsidRDefault="000A7D9D" w:rsidP="000A7D9D">
      <w:pPr>
        <w:pStyle w:val="BodyText"/>
        <w:widowControl w:val="0"/>
        <w:numPr>
          <w:ilvl w:val="0"/>
          <w:numId w:val="67"/>
        </w:numPr>
        <w:spacing w:after="0"/>
        <w:jc w:val="both"/>
        <w:rPr>
          <w:noProof/>
        </w:rPr>
      </w:pPr>
      <w:r w:rsidRPr="007F38F4">
        <w:rPr>
          <w:noProof/>
        </w:rPr>
        <w:t>Dissemination and communication (webpages, newsletters</w:t>
      </w:r>
      <w:r>
        <w:rPr>
          <w:noProof/>
        </w:rPr>
        <w:t>,</w:t>
      </w:r>
      <w:r w:rsidRPr="007F38F4">
        <w:rPr>
          <w:noProof/>
        </w:rPr>
        <w:t xml:space="preserve"> opinions) about different aspects of nanomaterials; </w:t>
      </w:r>
    </w:p>
    <w:p w14:paraId="18AEC3E7" w14:textId="77777777" w:rsidR="000A7D9D" w:rsidRPr="007F38F4" w:rsidRDefault="000A7D9D" w:rsidP="000A7D9D">
      <w:pPr>
        <w:pStyle w:val="BodyText"/>
        <w:widowControl w:val="0"/>
        <w:numPr>
          <w:ilvl w:val="0"/>
          <w:numId w:val="67"/>
        </w:numPr>
        <w:spacing w:after="0"/>
        <w:jc w:val="both"/>
        <w:rPr>
          <w:noProof/>
        </w:rPr>
      </w:pPr>
      <w:r w:rsidRPr="007F38F4">
        <w:rPr>
          <w:noProof/>
        </w:rPr>
        <w:t>Commissioning number of ‘paper’ studies every year on various aspects of nanomaterials to fill knowledge gaps based on the proposals received from stakeholders via an open call for proposals;</w:t>
      </w:r>
    </w:p>
    <w:p w14:paraId="039E4578" w14:textId="77777777" w:rsidR="000A7D9D" w:rsidRPr="007F38F4" w:rsidRDefault="000A7D9D" w:rsidP="000A7D9D">
      <w:pPr>
        <w:pStyle w:val="BodyText"/>
        <w:widowControl w:val="0"/>
        <w:numPr>
          <w:ilvl w:val="0"/>
          <w:numId w:val="67"/>
        </w:numPr>
        <w:spacing w:after="0"/>
        <w:jc w:val="both"/>
        <w:rPr>
          <w:noProof/>
        </w:rPr>
      </w:pPr>
      <w:r w:rsidRPr="007F38F4">
        <w:rPr>
          <w:noProof/>
        </w:rPr>
        <w:t>Ru</w:t>
      </w:r>
      <w:r>
        <w:rPr>
          <w:noProof/>
        </w:rPr>
        <w:t>n</w:t>
      </w:r>
      <w:r w:rsidRPr="007F38F4">
        <w:rPr>
          <w:noProof/>
        </w:rPr>
        <w:t xml:space="preserve">ning </w:t>
      </w:r>
      <w:r>
        <w:rPr>
          <w:noProof/>
        </w:rPr>
        <w:t xml:space="preserve">the </w:t>
      </w:r>
      <w:r w:rsidRPr="007F38F4">
        <w:rPr>
          <w:noProof/>
        </w:rPr>
        <w:t xml:space="preserve">NanoData </w:t>
      </w:r>
      <w:r w:rsidRPr="00887052">
        <w:rPr>
          <w:noProof/>
        </w:rPr>
        <w:t>nanotechnology knowledge base</w:t>
      </w:r>
      <w:r>
        <w:rPr>
          <w:noProof/>
        </w:rPr>
        <w:t xml:space="preserve"> </w:t>
      </w:r>
      <w:r w:rsidRPr="007F38F4">
        <w:rPr>
          <w:noProof/>
        </w:rPr>
        <w:t>which periodically takes stock of market development on nanomaterials (e.g. statistics of growth in sectors, patents, ….);</w:t>
      </w:r>
    </w:p>
    <w:p w14:paraId="69DBCA2F" w14:textId="77777777" w:rsidR="000A7D9D" w:rsidRPr="007F38F4" w:rsidRDefault="000A7D9D" w:rsidP="000A7D9D">
      <w:pPr>
        <w:pStyle w:val="BodyText"/>
        <w:widowControl w:val="0"/>
        <w:numPr>
          <w:ilvl w:val="0"/>
          <w:numId w:val="67"/>
        </w:numPr>
        <w:spacing w:after="0"/>
        <w:jc w:val="both"/>
        <w:rPr>
          <w:noProof/>
        </w:rPr>
      </w:pPr>
      <w:r w:rsidRPr="007F38F4">
        <w:rPr>
          <w:noProof/>
        </w:rPr>
        <w:t>Providing service as a portal to ‘nano’ community where links to external resources (e.g.</w:t>
      </w:r>
      <w:r>
        <w:rPr>
          <w:noProof/>
        </w:rPr>
        <w:t>,</w:t>
      </w:r>
      <w:r w:rsidRPr="007F38F4">
        <w:rPr>
          <w:noProof/>
        </w:rPr>
        <w:t xml:space="preserve"> eNanoMapper serving as a common resource where EU</w:t>
      </w:r>
      <w:r w:rsidRPr="004A3474">
        <w:rPr>
          <w:noProof/>
        </w:rPr>
        <w:t>-funded projects on</w:t>
      </w:r>
      <w:r w:rsidRPr="007F38F4">
        <w:rPr>
          <w:noProof/>
        </w:rPr>
        <w:t xml:space="preserve"> nano</w:t>
      </w:r>
      <w:r w:rsidRPr="00476423">
        <w:rPr>
          <w:noProof/>
        </w:rPr>
        <w:t>materials and nanotechnologies</w:t>
      </w:r>
      <w:r w:rsidRPr="007F38F4">
        <w:rPr>
          <w:noProof/>
        </w:rPr>
        <w:t xml:space="preserve"> can place their results and where some tools are made available);</w:t>
      </w:r>
    </w:p>
    <w:p w14:paraId="2FE852C1" w14:textId="77777777" w:rsidR="000A7D9D" w:rsidRPr="007F38F4" w:rsidRDefault="000A7D9D" w:rsidP="000A7D9D">
      <w:pPr>
        <w:pStyle w:val="BodyText"/>
        <w:widowControl w:val="0"/>
        <w:numPr>
          <w:ilvl w:val="0"/>
          <w:numId w:val="67"/>
        </w:numPr>
        <w:jc w:val="both"/>
        <w:rPr>
          <w:noProof/>
        </w:rPr>
      </w:pPr>
      <w:r w:rsidRPr="007F38F4">
        <w:rPr>
          <w:noProof/>
        </w:rPr>
        <w:t>Operating</w:t>
      </w:r>
      <w:r>
        <w:rPr>
          <w:noProof/>
        </w:rPr>
        <w:t xml:space="preserve"> a</w:t>
      </w:r>
      <w:r w:rsidRPr="007F38F4">
        <w:rPr>
          <w:noProof/>
        </w:rPr>
        <w:t xml:space="preserve"> database that compiles data on nanomaterials from some sources, such as REACH registration, EU nano inventories (FR, BE) - and present it together with a slightly advanced search functionality linked to nanoforms. </w:t>
      </w:r>
    </w:p>
    <w:p w14:paraId="7EBB7C3E" w14:textId="77777777" w:rsidR="000A7D9D" w:rsidRPr="007F38F4" w:rsidRDefault="000A7D9D" w:rsidP="000A7D9D">
      <w:pPr>
        <w:pStyle w:val="BodyText"/>
        <w:rPr>
          <w:noProof/>
        </w:rPr>
      </w:pPr>
      <w:r w:rsidRPr="007F38F4">
        <w:rPr>
          <w:noProof/>
        </w:rPr>
        <w:t>The EUON is funded by the European Commission and is hosted and maintained by ECHA.</w:t>
      </w:r>
    </w:p>
    <w:p w14:paraId="799A5752" w14:textId="77777777" w:rsidR="000A7D9D" w:rsidRPr="007F38F4" w:rsidRDefault="000A7D9D" w:rsidP="000A7D9D">
      <w:pPr>
        <w:pStyle w:val="BodyText"/>
        <w:rPr>
          <w:noProof/>
          <w:u w:val="single"/>
        </w:rPr>
      </w:pPr>
      <w:r w:rsidRPr="007F38F4">
        <w:rPr>
          <w:noProof/>
          <w:u w:val="single"/>
        </w:rPr>
        <w:t>Changes in the process:</w:t>
      </w:r>
      <w:r w:rsidRPr="007F38F4">
        <w:rPr>
          <w:noProof/>
        </w:rPr>
        <w:t xml:space="preserve"> </w:t>
      </w:r>
    </w:p>
    <w:p w14:paraId="3114EE49" w14:textId="77777777" w:rsidR="000A7D9D" w:rsidRPr="007F38F4" w:rsidRDefault="000A7D9D" w:rsidP="000A7D9D">
      <w:pPr>
        <w:spacing w:after="120"/>
        <w:jc w:val="both"/>
        <w:rPr>
          <w:rFonts w:ascii="Times New Roman" w:eastAsiaTheme="minorEastAsia" w:hAnsi="Times New Roman" w:cs="Times New Roman"/>
          <w:noProof/>
          <w:sz w:val="24"/>
          <w:szCs w:val="24"/>
          <w:lang w:val="en-US"/>
        </w:rPr>
      </w:pPr>
      <w:r w:rsidRPr="13AEFEEB">
        <w:rPr>
          <w:rFonts w:ascii="Times New Roman" w:eastAsiaTheme="minorEastAsia" w:hAnsi="Times New Roman" w:cs="Times New Roman"/>
          <w:noProof/>
          <w:sz w:val="24"/>
          <w:szCs w:val="24"/>
          <w:lang w:val="en-US"/>
        </w:rPr>
        <w:t>Continue performing ‘the EUON’ activities, maintaining the principal objective of providing transparency on selected class of materials, but modifying its remit and exploiting new infrastructure:</w:t>
      </w:r>
    </w:p>
    <w:p w14:paraId="0B0625FD" w14:textId="77777777" w:rsidR="000A7D9D" w:rsidRPr="007F38F4" w:rsidRDefault="000A7D9D" w:rsidP="000A7D9D">
      <w:pPr>
        <w:pStyle w:val="ListParagraph"/>
        <w:widowControl w:val="0"/>
        <w:numPr>
          <w:ilvl w:val="0"/>
          <w:numId w:val="68"/>
        </w:numPr>
        <w:spacing w:after="120"/>
        <w:jc w:val="both"/>
        <w:rPr>
          <w:rFonts w:eastAsiaTheme="minorEastAsia"/>
          <w:noProof/>
          <w:lang w:val="en-US"/>
        </w:rPr>
      </w:pPr>
      <w:r w:rsidRPr="007F38F4">
        <w:rPr>
          <w:rFonts w:eastAsiaTheme="minorEastAsia"/>
          <w:noProof/>
          <w:lang w:val="en-US"/>
        </w:rPr>
        <w:t>Expanding the scope to</w:t>
      </w:r>
      <w:r w:rsidRPr="00FF685F">
        <w:rPr>
          <w:noProof/>
        </w:rPr>
        <w:t xml:space="preserve"> </w:t>
      </w:r>
      <w:r w:rsidRPr="00FF685F">
        <w:rPr>
          <w:rFonts w:eastAsiaTheme="minorEastAsia"/>
          <w:noProof/>
          <w:lang w:val="en-US"/>
        </w:rPr>
        <w:t>other chemicals and materials, such as complex</w:t>
      </w:r>
      <w:r w:rsidRPr="007F38F4">
        <w:rPr>
          <w:rFonts w:eastAsiaTheme="minorEastAsia"/>
          <w:noProof/>
          <w:lang w:val="en-US"/>
        </w:rPr>
        <w:t xml:space="preserve"> advanced materials</w:t>
      </w:r>
      <w:r>
        <w:rPr>
          <w:rFonts w:eastAsiaTheme="minorEastAsia"/>
          <w:noProof/>
          <w:lang w:val="en-US"/>
        </w:rPr>
        <w:t xml:space="preserve"> </w:t>
      </w:r>
      <w:bookmarkStart w:id="84" w:name="_Hlk136609898"/>
      <w:r>
        <w:rPr>
          <w:rFonts w:eastAsiaTheme="minorEastAsia"/>
          <w:noProof/>
        </w:rPr>
        <w:t>or (other) materials identified through the early warning system</w:t>
      </w:r>
      <w:bookmarkEnd w:id="84"/>
      <w:r>
        <w:rPr>
          <w:rFonts w:eastAsiaTheme="minorEastAsia"/>
          <w:noProof/>
        </w:rPr>
        <w:t>, selected based on  the assessment by the Commission of expected need and benefit of their inclusion in the observatory</w:t>
      </w:r>
      <w:r w:rsidRPr="007F38F4">
        <w:rPr>
          <w:rFonts w:eastAsiaTheme="minorEastAsia"/>
          <w:noProof/>
          <w:lang w:val="en-US"/>
        </w:rPr>
        <w:t xml:space="preserve">; </w:t>
      </w:r>
    </w:p>
    <w:p w14:paraId="05EC089F" w14:textId="77777777" w:rsidR="000A7D9D" w:rsidRPr="007F38F4" w:rsidRDefault="000A7D9D" w:rsidP="000A7D9D">
      <w:pPr>
        <w:pStyle w:val="ListParagraph"/>
        <w:widowControl w:val="0"/>
        <w:numPr>
          <w:ilvl w:val="0"/>
          <w:numId w:val="68"/>
        </w:numPr>
        <w:spacing w:after="120"/>
        <w:jc w:val="both"/>
        <w:rPr>
          <w:rFonts w:eastAsiaTheme="minorEastAsia"/>
          <w:noProof/>
          <w:lang w:val="en-US"/>
        </w:rPr>
      </w:pPr>
      <w:r w:rsidRPr="007F38F4">
        <w:rPr>
          <w:rFonts w:eastAsiaTheme="minorEastAsia"/>
          <w:noProof/>
          <w:lang w:val="en-US"/>
        </w:rPr>
        <w:t>Using as appropriate</w:t>
      </w:r>
      <w:r>
        <w:rPr>
          <w:rFonts w:eastAsiaTheme="minorEastAsia"/>
          <w:noProof/>
          <w:lang w:val="en-US"/>
        </w:rPr>
        <w:t xml:space="preserve"> the</w:t>
      </w:r>
      <w:r w:rsidRPr="007F38F4">
        <w:rPr>
          <w:rFonts w:eastAsiaTheme="minorEastAsia"/>
          <w:noProof/>
          <w:lang w:val="en-US"/>
        </w:rPr>
        <w:t xml:space="preserve"> new data generation mechanism to commission also studies related to nanomaterials </w:t>
      </w:r>
      <w:r w:rsidRPr="0002180E">
        <w:rPr>
          <w:rFonts w:eastAsiaTheme="minorEastAsia"/>
          <w:noProof/>
          <w:lang w:val="en-US"/>
        </w:rPr>
        <w:t xml:space="preserve">(initially) and, later, also other </w:t>
      </w:r>
      <w:r>
        <w:rPr>
          <w:rFonts w:eastAsiaTheme="minorEastAsia"/>
          <w:noProof/>
          <w:lang w:val="en-US"/>
        </w:rPr>
        <w:t xml:space="preserve">selected </w:t>
      </w:r>
      <w:r w:rsidRPr="0002180E">
        <w:rPr>
          <w:rFonts w:eastAsiaTheme="minorEastAsia"/>
          <w:noProof/>
          <w:lang w:val="en-US"/>
        </w:rPr>
        <w:t xml:space="preserve">groups of chemicals and </w:t>
      </w:r>
      <w:r w:rsidRPr="007F38F4">
        <w:rPr>
          <w:rFonts w:eastAsiaTheme="minorEastAsia"/>
          <w:noProof/>
          <w:lang w:val="en-US"/>
        </w:rPr>
        <w:t>materials;</w:t>
      </w:r>
    </w:p>
    <w:p w14:paraId="4B136798" w14:textId="77777777" w:rsidR="000A7D9D" w:rsidRPr="007F38F4" w:rsidRDefault="000A7D9D" w:rsidP="000A7D9D">
      <w:pPr>
        <w:pStyle w:val="ListParagraph"/>
        <w:widowControl w:val="0"/>
        <w:numPr>
          <w:ilvl w:val="0"/>
          <w:numId w:val="68"/>
        </w:numPr>
        <w:spacing w:after="120"/>
        <w:jc w:val="both"/>
        <w:rPr>
          <w:rFonts w:eastAsiaTheme="minorEastAsia"/>
          <w:noProof/>
          <w:lang w:val="en-US"/>
        </w:rPr>
      </w:pPr>
      <w:r w:rsidRPr="13AEFEEB">
        <w:rPr>
          <w:rFonts w:eastAsiaTheme="minorEastAsia"/>
          <w:noProof/>
          <w:lang w:val="en-US"/>
        </w:rPr>
        <w:t>Operating a database that compiles data on nanomaterials and making it accessible via the common data platform to maximize integration with information from other datasets in the platform and its utility as additional source of information, including as appropriate in work on the framework of indicators;</w:t>
      </w:r>
    </w:p>
    <w:p w14:paraId="427A1606" w14:textId="77777777" w:rsidR="000A7D9D" w:rsidRPr="007F38F4" w:rsidRDefault="000A7D9D" w:rsidP="000A7D9D">
      <w:pPr>
        <w:pStyle w:val="ListParagraph"/>
        <w:widowControl w:val="0"/>
        <w:numPr>
          <w:ilvl w:val="0"/>
          <w:numId w:val="68"/>
        </w:numPr>
        <w:spacing w:after="120"/>
        <w:jc w:val="both"/>
        <w:rPr>
          <w:rFonts w:eastAsiaTheme="minorEastAsia"/>
          <w:noProof/>
          <w:lang w:val="en-US"/>
        </w:rPr>
      </w:pPr>
      <w:r w:rsidRPr="007F38F4">
        <w:rPr>
          <w:rFonts w:eastAsiaTheme="minorEastAsia"/>
          <w:noProof/>
          <w:lang w:val="en-US"/>
        </w:rPr>
        <w:t>ECHA to dedicate part of its dissemination effort on chemicals to nanomaterials (</w:t>
      </w:r>
      <w:r>
        <w:rPr>
          <w:rFonts w:eastAsiaTheme="minorEastAsia"/>
          <w:noProof/>
          <w:lang w:val="en-US"/>
        </w:rPr>
        <w:t xml:space="preserve">initially) </w:t>
      </w:r>
      <w:r w:rsidRPr="007F38F4">
        <w:rPr>
          <w:rFonts w:eastAsiaTheme="minorEastAsia"/>
          <w:noProof/>
          <w:lang w:val="en-US"/>
        </w:rPr>
        <w:t>and</w:t>
      </w:r>
      <w:r>
        <w:rPr>
          <w:rFonts w:eastAsiaTheme="minorEastAsia"/>
          <w:noProof/>
          <w:lang w:val="en-US"/>
        </w:rPr>
        <w:t xml:space="preserve"> other </w:t>
      </w:r>
      <w:r w:rsidRPr="007F38F4">
        <w:rPr>
          <w:rFonts w:eastAsiaTheme="minorEastAsia"/>
          <w:noProof/>
          <w:lang w:val="en-US"/>
        </w:rPr>
        <w:t>materials</w:t>
      </w:r>
      <w:r>
        <w:rPr>
          <w:rFonts w:eastAsiaTheme="minorEastAsia"/>
          <w:noProof/>
          <w:lang w:val="en-US"/>
        </w:rPr>
        <w:t>(later</w:t>
      </w:r>
      <w:r w:rsidRPr="007F38F4">
        <w:rPr>
          <w:rFonts w:eastAsiaTheme="minorEastAsia"/>
          <w:noProof/>
          <w:lang w:val="en-US"/>
        </w:rPr>
        <w:t>).</w:t>
      </w:r>
    </w:p>
    <w:p w14:paraId="60ABBBEB" w14:textId="77777777" w:rsidR="000A7D9D" w:rsidRPr="007F38F4" w:rsidRDefault="000A7D9D" w:rsidP="000A7D9D">
      <w:pPr>
        <w:spacing w:after="120"/>
        <w:jc w:val="both"/>
        <w:rPr>
          <w:rFonts w:ascii="Times New Roman" w:hAnsi="Times New Roman" w:cs="Times New Roman"/>
          <w:noProof/>
          <w:sz w:val="24"/>
          <w:szCs w:val="24"/>
        </w:rPr>
      </w:pPr>
      <w:r w:rsidRPr="13AEFEEB">
        <w:rPr>
          <w:rFonts w:ascii="Times New Roman" w:hAnsi="Times New Roman" w:cs="Times New Roman"/>
          <w:b/>
          <w:bCs/>
          <w:noProof/>
          <w:sz w:val="24"/>
          <w:szCs w:val="24"/>
        </w:rPr>
        <w:t>Proximity to agency mandate:</w:t>
      </w:r>
      <w:r w:rsidRPr="13AEFEEB">
        <w:rPr>
          <w:rFonts w:ascii="Times New Roman" w:hAnsi="Times New Roman" w:cs="Times New Roman"/>
          <w:noProof/>
          <w:sz w:val="24"/>
          <w:szCs w:val="24"/>
        </w:rPr>
        <w:t xml:space="preserve"> the EUON task was assigned to ECHA because it was assessed to have the appropriate data and expertise to perform this task, this is confirmed by the fact that  this task has been successfully  performed by ECHA </w:t>
      </w:r>
      <w:bookmarkStart w:id="85" w:name="_Hlk136612073"/>
      <w:r w:rsidRPr="13AEFEEB">
        <w:rPr>
          <w:rFonts w:ascii="Times New Roman" w:hAnsi="Times New Roman" w:cs="Times New Roman"/>
          <w:noProof/>
          <w:sz w:val="24"/>
          <w:szCs w:val="24"/>
        </w:rPr>
        <w:t>for over more than 5 years</w:t>
      </w:r>
      <w:bookmarkEnd w:id="85"/>
      <w:r w:rsidRPr="13AEFEEB">
        <w:rPr>
          <w:rFonts w:ascii="Times New Roman" w:hAnsi="Times New Roman" w:cs="Times New Roman"/>
          <w:noProof/>
          <w:sz w:val="24"/>
          <w:szCs w:val="24"/>
        </w:rPr>
        <w:t xml:space="preserve">. </w:t>
      </w:r>
    </w:p>
    <w:p w14:paraId="37551B1C" w14:textId="77777777" w:rsidR="000A7D9D" w:rsidRPr="007F38F4" w:rsidRDefault="000A7D9D" w:rsidP="000A7D9D">
      <w:pPr>
        <w:pStyle w:val="BodyText"/>
        <w:jc w:val="both"/>
        <w:rPr>
          <w:noProof/>
        </w:rPr>
      </w:pPr>
      <w:r w:rsidRPr="13AEFEEB">
        <w:rPr>
          <w:b/>
          <w:bCs/>
          <w:noProof/>
        </w:rPr>
        <w:t xml:space="preserve">Main risks and opportunities: </w:t>
      </w:r>
      <w:r>
        <w:rPr>
          <w:noProof/>
        </w:rPr>
        <w:t xml:space="preserve">There are clear synergies and overlaps between EUON’s compilation of European nanomaterial inventories (“Search for nanomaterials” section) and the future EU common data platform on chemicals. There are also clear synergies and overlaps between commissioning studies on nanomaterials and the new data generation mechanism. There might be also some overlaps and synergies between the NanoData </w:t>
      </w:r>
      <w:bookmarkStart w:id="86" w:name="_Hlk136612180"/>
      <w:r>
        <w:rPr>
          <w:noProof/>
        </w:rPr>
        <w:t>nanotechnology knowledge base</w:t>
      </w:r>
      <w:bookmarkEnd w:id="86"/>
      <w:r>
        <w:rPr>
          <w:noProof/>
        </w:rPr>
        <w:t xml:space="preserve"> and the work on the famework of indicators and on the early warning system. The exploitation of these overlaps is an opportunity of the reattribution of tasks proposal.</w:t>
      </w:r>
    </w:p>
    <w:p w14:paraId="56FDDADC" w14:textId="77777777" w:rsidR="000A7D9D" w:rsidRPr="007F38F4" w:rsidRDefault="000A7D9D" w:rsidP="000A7D9D">
      <w:pPr>
        <w:pStyle w:val="BodyText"/>
        <w:rPr>
          <w:b/>
          <w:bCs/>
          <w:noProof/>
        </w:rPr>
      </w:pPr>
      <w:r w:rsidRPr="007F38F4">
        <w:rPr>
          <w:b/>
          <w:bCs/>
          <w:noProof/>
        </w:rPr>
        <w:t>Projected impact on ECHA:</w:t>
      </w:r>
    </w:p>
    <w:p w14:paraId="63C21405" w14:textId="77777777" w:rsidR="000A7D9D" w:rsidRPr="007F38F4" w:rsidRDefault="000A7D9D" w:rsidP="000A7D9D">
      <w:pPr>
        <w:pStyle w:val="BodyText"/>
        <w:widowControl w:val="0"/>
        <w:numPr>
          <w:ilvl w:val="0"/>
          <w:numId w:val="88"/>
        </w:numPr>
        <w:spacing w:after="0"/>
        <w:rPr>
          <w:b/>
          <w:bCs/>
          <w:noProof/>
        </w:rPr>
      </w:pPr>
      <w:r>
        <w:rPr>
          <w:noProof/>
        </w:rPr>
        <w:t xml:space="preserve">ECHA committees/bodies: </w:t>
      </w:r>
      <w:r w:rsidRPr="13AEFEEB">
        <w:rPr>
          <w:b/>
          <w:bCs/>
          <w:noProof/>
        </w:rPr>
        <w:t>no impact</w:t>
      </w:r>
      <w:r>
        <w:rPr>
          <w:noProof/>
        </w:rPr>
        <w:t>. The task does not require the involvement of ECHA committees /bodies.</w:t>
      </w:r>
    </w:p>
    <w:p w14:paraId="2786E573" w14:textId="77777777" w:rsidR="000A7D9D" w:rsidRPr="007F38F4" w:rsidRDefault="000A7D9D" w:rsidP="000A7D9D">
      <w:pPr>
        <w:pStyle w:val="BodyText"/>
        <w:widowControl w:val="0"/>
        <w:numPr>
          <w:ilvl w:val="0"/>
          <w:numId w:val="88"/>
        </w:numPr>
        <w:spacing w:after="0"/>
        <w:rPr>
          <w:b/>
          <w:bCs/>
          <w:noProof/>
        </w:rPr>
      </w:pPr>
      <w:r>
        <w:rPr>
          <w:noProof/>
        </w:rPr>
        <w:t>ECHA data model and IT infrastructure:</w:t>
      </w:r>
      <w:r w:rsidRPr="13AEFEEB">
        <w:rPr>
          <w:b/>
          <w:bCs/>
          <w:noProof/>
        </w:rPr>
        <w:t xml:space="preserve"> low impact</w:t>
      </w:r>
      <w:r>
        <w:rPr>
          <w:noProof/>
        </w:rPr>
        <w:t>. Given the investments in IT and data under this task since 2017, its continued implementation would not require significant further efforts in this area. The existing databases can be integrated into the common data platform.</w:t>
      </w:r>
    </w:p>
    <w:p w14:paraId="7D1D3A40" w14:textId="77777777" w:rsidR="000A7D9D" w:rsidRPr="007F38F4" w:rsidRDefault="000A7D9D" w:rsidP="000A7D9D">
      <w:pPr>
        <w:pStyle w:val="BodyText"/>
        <w:widowControl w:val="0"/>
        <w:numPr>
          <w:ilvl w:val="0"/>
          <w:numId w:val="88"/>
        </w:numPr>
        <w:rPr>
          <w:b/>
          <w:bCs/>
          <w:noProof/>
        </w:rPr>
      </w:pPr>
      <w:r w:rsidRPr="007F38F4">
        <w:rPr>
          <w:noProof/>
        </w:rPr>
        <w:t>ECHA key experts:</w:t>
      </w:r>
      <w:r w:rsidRPr="007F38F4">
        <w:rPr>
          <w:b/>
          <w:bCs/>
          <w:noProof/>
        </w:rPr>
        <w:t xml:space="preserve"> high impact</w:t>
      </w:r>
      <w:r w:rsidRPr="007F38F4">
        <w:rPr>
          <w:noProof/>
        </w:rPr>
        <w:t>. The task heavily relies on expert competencies, which are limited within ECHA and also critical to REACH/CLP/BPR regulatory tasks</w:t>
      </w:r>
      <w:r>
        <w:rPr>
          <w:noProof/>
        </w:rPr>
        <w:t>.</w:t>
      </w:r>
    </w:p>
    <w:p w14:paraId="6550A268" w14:textId="77777777" w:rsidR="000A7D9D" w:rsidRPr="007F38F4" w:rsidRDefault="000A7D9D" w:rsidP="000A7D9D">
      <w:pPr>
        <w:pStyle w:val="BodyText"/>
        <w:rPr>
          <w:noProof/>
        </w:rPr>
      </w:pPr>
      <w:r w:rsidRPr="007F38F4">
        <w:rPr>
          <w:b/>
          <w:bCs/>
          <w:noProof/>
        </w:rPr>
        <w:t>Projected workload and resource implications:</w:t>
      </w:r>
      <w:r w:rsidRPr="007F38F4">
        <w:rPr>
          <w:noProof/>
        </w:rPr>
        <w:t xml:space="preserve"> </w:t>
      </w:r>
    </w:p>
    <w:p w14:paraId="6173650B" w14:textId="77777777" w:rsidR="000A7D9D" w:rsidRPr="007F38F4" w:rsidRDefault="000A7D9D" w:rsidP="000A7D9D">
      <w:pPr>
        <w:spacing w:after="120"/>
        <w:rPr>
          <w:rFonts w:ascii="Times New Roman" w:hAnsi="Times New Roman" w:cs="Times New Roman"/>
          <w:noProof/>
          <w:sz w:val="24"/>
          <w:szCs w:val="24"/>
          <w:u w:val="single"/>
        </w:rPr>
      </w:pPr>
      <w:r w:rsidRPr="007F38F4">
        <w:rPr>
          <w:rFonts w:ascii="Times New Roman" w:hAnsi="Times New Roman" w:cs="Times New Roman"/>
          <w:noProof/>
          <w:sz w:val="24"/>
          <w:szCs w:val="24"/>
          <w:u w:val="single"/>
        </w:rPr>
        <w:t xml:space="preserve">Current workload and resources used: </w:t>
      </w:r>
    </w:p>
    <w:p w14:paraId="22F83B1A" w14:textId="77777777" w:rsidR="000A7D9D"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The work is financed via the Contribution Agreement between ECHA and DG GROW</w:t>
      </w:r>
      <w:r>
        <w:rPr>
          <w:rFonts w:ascii="Times New Roman" w:hAnsi="Times New Roman" w:cs="Times New Roman"/>
          <w:noProof/>
          <w:sz w:val="24"/>
          <w:szCs w:val="24"/>
        </w:rPr>
        <w:t xml:space="preserve"> and sometimes additional funding from DG RTD</w:t>
      </w:r>
      <w:r w:rsidRPr="007F38F4">
        <w:rPr>
          <w:rFonts w:ascii="Times New Roman" w:hAnsi="Times New Roman" w:cs="Times New Roman"/>
          <w:noProof/>
          <w:sz w:val="24"/>
          <w:szCs w:val="24"/>
        </w:rPr>
        <w:t xml:space="preserve">. The </w:t>
      </w:r>
      <w:r>
        <w:rPr>
          <w:rFonts w:ascii="Times New Roman" w:hAnsi="Times New Roman" w:cs="Times New Roman"/>
          <w:noProof/>
          <w:sz w:val="24"/>
          <w:szCs w:val="24"/>
        </w:rPr>
        <w:t>contribution</w:t>
      </w:r>
      <w:r w:rsidRPr="007F38F4">
        <w:rPr>
          <w:rFonts w:ascii="Times New Roman" w:hAnsi="Times New Roman" w:cs="Times New Roman"/>
          <w:noProof/>
          <w:sz w:val="24"/>
          <w:szCs w:val="24"/>
        </w:rPr>
        <w:t xml:space="preserve"> consists of </w:t>
      </w:r>
      <w:r>
        <w:rPr>
          <w:rFonts w:ascii="Times New Roman" w:hAnsi="Times New Roman" w:cs="Times New Roman"/>
          <w:noProof/>
          <w:sz w:val="24"/>
          <w:szCs w:val="24"/>
        </w:rPr>
        <w:t xml:space="preserve">approximately EUR 700 000 per year (calculated as an average of contributions over the last 10 years: 2016 - EUR 900 000, 2017 – EUR 600 000, 2018 – EUR 600 000, 2019 – EUR 600 000, 2020 – EUR 828 000, 2021 – EUR 600 000, 2022 – EUR 809 000, 2023 – EUR 614 000, 2024 – EUR 619 000, 2025 – EUR 624 000). From the contributions received, ECHA employs 3 CAs (ca. EUR 270 000) and uses ca. EUR 430 000 as an operational budget for commissioning or the calls. </w:t>
      </w:r>
    </w:p>
    <w:p w14:paraId="280021B3" w14:textId="77777777" w:rsidR="000A7D9D" w:rsidRPr="007F38F4" w:rsidRDefault="000A7D9D" w:rsidP="000A7D9D">
      <w:pPr>
        <w:spacing w:after="120"/>
        <w:jc w:val="both"/>
        <w:rPr>
          <w:rFonts w:ascii="Times New Roman" w:hAnsi="Times New Roman" w:cs="Times New Roman"/>
          <w:noProof/>
          <w:sz w:val="24"/>
          <w:szCs w:val="24"/>
        </w:rPr>
      </w:pPr>
    </w:p>
    <w:p w14:paraId="28198DEB" w14:textId="77777777" w:rsidR="000A7D9D" w:rsidRPr="007F38F4" w:rsidRDefault="000A7D9D" w:rsidP="000A7D9D">
      <w:pPr>
        <w:spacing w:before="120" w:after="120"/>
        <w:rPr>
          <w:rFonts w:ascii="Times New Roman" w:hAnsi="Times New Roman" w:cs="Times New Roman"/>
          <w:noProof/>
          <w:sz w:val="24"/>
          <w:szCs w:val="24"/>
          <w:lang w:val="en-US"/>
        </w:rPr>
      </w:pPr>
      <w:r w:rsidRPr="007F38F4">
        <w:rPr>
          <w:rFonts w:ascii="Times New Roman" w:hAnsi="Times New Roman" w:cs="Times New Roman"/>
          <w:noProof/>
          <w:sz w:val="24"/>
          <w:szCs w:val="24"/>
          <w:lang w:val="en-US"/>
        </w:rPr>
        <w:t>The current resources spent by the Commission can be summarized as follows:</w:t>
      </w:r>
    </w:p>
    <w:tbl>
      <w:tblPr>
        <w:tblStyle w:val="TableGrid5"/>
        <w:tblW w:w="0" w:type="auto"/>
        <w:tblLook w:val="04A0" w:firstRow="1" w:lastRow="0" w:firstColumn="1" w:lastColumn="0" w:noHBand="0" w:noVBand="1"/>
      </w:tblPr>
      <w:tblGrid>
        <w:gridCol w:w="4811"/>
        <w:gridCol w:w="4818"/>
      </w:tblGrid>
      <w:tr w:rsidR="000A7D9D" w:rsidRPr="004C1B00" w14:paraId="472C214E" w14:textId="77777777" w:rsidTr="00F31937">
        <w:trPr>
          <w:trHeight w:val="300"/>
        </w:trPr>
        <w:tc>
          <w:tcPr>
            <w:tcW w:w="4811" w:type="dxa"/>
          </w:tcPr>
          <w:p w14:paraId="77664B8E" w14:textId="77777777" w:rsidR="000A7D9D" w:rsidRPr="004C1B00" w:rsidRDefault="000A7D9D" w:rsidP="00F31937">
            <w:pPr>
              <w:spacing w:after="240"/>
              <w:rPr>
                <w:rFonts w:ascii="Times New Roman" w:hAnsi="Times New Roman"/>
                <w:noProof/>
              </w:rPr>
            </w:pPr>
            <w:r w:rsidRPr="004C1B00">
              <w:rPr>
                <w:rFonts w:ascii="Times New Roman" w:hAnsi="Times New Roman"/>
                <w:noProof/>
              </w:rPr>
              <w:t xml:space="preserve">DG GROW – ECHA contribution agreement </w:t>
            </w:r>
          </w:p>
        </w:tc>
        <w:tc>
          <w:tcPr>
            <w:tcW w:w="4818" w:type="dxa"/>
          </w:tcPr>
          <w:p w14:paraId="2A6D88F6" w14:textId="77777777" w:rsidR="000A7D9D" w:rsidRPr="004C1B00" w:rsidRDefault="000A7D9D" w:rsidP="00F31937">
            <w:pPr>
              <w:spacing w:after="240"/>
              <w:rPr>
                <w:rFonts w:ascii="Times New Roman" w:hAnsi="Times New Roman"/>
                <w:noProof/>
              </w:rPr>
            </w:pPr>
            <w:r w:rsidRPr="004C1B00">
              <w:rPr>
                <w:rFonts w:ascii="Times New Roman" w:hAnsi="Times New Roman"/>
                <w:b/>
                <w:bCs/>
                <w:noProof/>
              </w:rPr>
              <w:t>3 FTEs</w:t>
            </w:r>
            <w:r w:rsidRPr="004C1B00">
              <w:rPr>
                <w:rFonts w:ascii="Times New Roman" w:hAnsi="Times New Roman"/>
                <w:noProof/>
              </w:rPr>
              <w:t xml:space="preserve"> (3 CAs)</w:t>
            </w:r>
          </w:p>
        </w:tc>
      </w:tr>
      <w:tr w:rsidR="000A7D9D" w:rsidRPr="004C1B00" w14:paraId="43730551" w14:textId="77777777" w:rsidTr="00F31937">
        <w:trPr>
          <w:trHeight w:val="300"/>
        </w:trPr>
        <w:tc>
          <w:tcPr>
            <w:tcW w:w="4811" w:type="dxa"/>
          </w:tcPr>
          <w:p w14:paraId="0306824F" w14:textId="77777777" w:rsidR="000A7D9D" w:rsidRPr="004C1B00" w:rsidRDefault="000A7D9D" w:rsidP="00F31937">
            <w:pPr>
              <w:spacing w:after="240" w:line="259" w:lineRule="auto"/>
              <w:rPr>
                <w:rFonts w:ascii="Times New Roman" w:hAnsi="Times New Roman"/>
                <w:noProof/>
              </w:rPr>
            </w:pPr>
            <w:r w:rsidRPr="004C1B00">
              <w:rPr>
                <w:rFonts w:ascii="Times New Roman" w:hAnsi="Times New Roman"/>
                <w:noProof/>
              </w:rPr>
              <w:t>Operational budget</w:t>
            </w:r>
          </w:p>
        </w:tc>
        <w:tc>
          <w:tcPr>
            <w:tcW w:w="4818" w:type="dxa"/>
          </w:tcPr>
          <w:p w14:paraId="2BC1C36D" w14:textId="77777777" w:rsidR="000A7D9D" w:rsidRPr="004C1B00" w:rsidRDefault="000A7D9D" w:rsidP="00F31937">
            <w:pPr>
              <w:spacing w:after="240"/>
              <w:rPr>
                <w:rFonts w:ascii="Times New Roman" w:hAnsi="Times New Roman"/>
                <w:b/>
                <w:bCs/>
                <w:noProof/>
              </w:rPr>
            </w:pPr>
            <w:r w:rsidRPr="004C1B00">
              <w:rPr>
                <w:rFonts w:ascii="Times New Roman" w:hAnsi="Times New Roman"/>
                <w:b/>
                <w:bCs/>
                <w:noProof/>
              </w:rPr>
              <w:t xml:space="preserve">EUR 430 000 per year </w:t>
            </w:r>
          </w:p>
        </w:tc>
      </w:tr>
    </w:tbl>
    <w:p w14:paraId="2E9FC14E" w14:textId="77777777" w:rsidR="000A7D9D" w:rsidRPr="007F38F4" w:rsidRDefault="000A7D9D" w:rsidP="000A7D9D">
      <w:pPr>
        <w:spacing w:before="120" w:after="120"/>
        <w:jc w:val="both"/>
        <w:rPr>
          <w:rFonts w:ascii="Times New Roman" w:hAnsi="Times New Roman" w:cs="Times New Roman"/>
          <w:noProof/>
          <w:sz w:val="24"/>
          <w:szCs w:val="24"/>
        </w:rPr>
      </w:pPr>
      <w:r w:rsidRPr="007F38F4">
        <w:rPr>
          <w:rFonts w:ascii="Times New Roman" w:hAnsi="Times New Roman" w:cs="Times New Roman"/>
          <w:noProof/>
          <w:sz w:val="24"/>
          <w:szCs w:val="24"/>
          <w:u w:val="single"/>
        </w:rPr>
        <w:t>Current budget line:</w:t>
      </w:r>
      <w:r w:rsidRPr="007F38F4">
        <w:rPr>
          <w:rFonts w:ascii="Times New Roman" w:hAnsi="Times New Roman" w:cs="Times New Roman"/>
          <w:noProof/>
          <w:sz w:val="24"/>
          <w:szCs w:val="24"/>
        </w:rPr>
        <w:t xml:space="preserve"> DG GROW</w:t>
      </w:r>
      <w:r>
        <w:rPr>
          <w:rFonts w:ascii="Times New Roman" w:hAnsi="Times New Roman" w:cs="Times New Roman"/>
          <w:noProof/>
          <w:sz w:val="24"/>
          <w:szCs w:val="24"/>
        </w:rPr>
        <w:t xml:space="preserve"> (SMP-COSME)</w:t>
      </w:r>
    </w:p>
    <w:p w14:paraId="41C78EC0" w14:textId="77777777" w:rsidR="000A7D9D" w:rsidRPr="007F38F4" w:rsidRDefault="000A7D9D" w:rsidP="000A7D9D">
      <w:pPr>
        <w:spacing w:before="120" w:after="120"/>
        <w:rPr>
          <w:rFonts w:ascii="Times New Roman" w:hAnsi="Times New Roman" w:cs="Times New Roman"/>
          <w:noProof/>
          <w:sz w:val="24"/>
          <w:szCs w:val="24"/>
          <w:u w:val="single"/>
        </w:rPr>
      </w:pPr>
      <w:r w:rsidRPr="007F38F4">
        <w:rPr>
          <w:rFonts w:ascii="Times New Roman" w:hAnsi="Times New Roman" w:cs="Times New Roman"/>
          <w:noProof/>
          <w:sz w:val="24"/>
          <w:szCs w:val="24"/>
          <w:u w:val="single"/>
        </w:rPr>
        <w:t>Future workload and resource needs:</w:t>
      </w:r>
    </w:p>
    <w:p w14:paraId="1FBC252F" w14:textId="3A301657" w:rsidR="000A7D9D" w:rsidRPr="003B1B9E" w:rsidRDefault="000A7D9D" w:rsidP="000A7D9D">
      <w:pPr>
        <w:spacing w:after="120"/>
        <w:jc w:val="both"/>
        <w:rPr>
          <w:rFonts w:ascii="Times New Roman" w:hAnsi="Times New Roman" w:cs="Times New Roman"/>
          <w:noProof/>
          <w:sz w:val="24"/>
          <w:szCs w:val="24"/>
        </w:rPr>
      </w:pPr>
      <w:r w:rsidRPr="13AEFEEB">
        <w:rPr>
          <w:rFonts w:ascii="Times New Roman" w:hAnsi="Times New Roman" w:cs="Times New Roman"/>
          <w:noProof/>
          <w:sz w:val="24"/>
          <w:szCs w:val="24"/>
        </w:rPr>
        <w:t xml:space="preserve">Keeping it as a coherent set of services compiling and disseminating reliable information on selected groups of  materials, the Commission intends to integrate the work of the EUON into other work streams assigned to the agency, namely operating the nanomaterials database as part of the common data platform, commissioning certain studies through the new data generation mechanism, integrating some signals from the NanoData nanotechnology knowledge base into the work onthe framework of indicators and an early warning and action system, and specific dissemination into general communication on chemicals. </w:t>
      </w:r>
      <w:r>
        <w:rPr>
          <w:rFonts w:ascii="Times New Roman" w:hAnsi="Times New Roman" w:cs="Times New Roman"/>
          <w:noProof/>
          <w:sz w:val="24"/>
          <w:szCs w:val="24"/>
        </w:rPr>
        <w:t xml:space="preserve">The scope of EUON will be also extended </w:t>
      </w:r>
      <w:r w:rsidRPr="003B1B9E">
        <w:rPr>
          <w:rFonts w:ascii="Times New Roman" w:hAnsi="Times New Roman" w:cs="Times New Roman"/>
          <w:noProof/>
          <w:sz w:val="24"/>
          <w:szCs w:val="24"/>
        </w:rPr>
        <w:t xml:space="preserve">to </w:t>
      </w:r>
      <w:r w:rsidRPr="003B1B9E">
        <w:rPr>
          <w:rFonts w:ascii="Times New Roman" w:eastAsiaTheme="minorEastAsia" w:hAnsi="Times New Roman" w:cs="Times New Roman"/>
          <w:noProof/>
          <w:sz w:val="24"/>
          <w:szCs w:val="24"/>
          <w:lang w:val="en-US"/>
        </w:rPr>
        <w:t xml:space="preserve">other chemicals and materials, such as complex advanced materials </w:t>
      </w:r>
      <w:r w:rsidRPr="003B1B9E">
        <w:rPr>
          <w:rFonts w:ascii="Times New Roman" w:eastAsiaTheme="minorEastAsia" w:hAnsi="Times New Roman" w:cs="Times New Roman"/>
          <w:noProof/>
          <w:sz w:val="24"/>
          <w:szCs w:val="24"/>
        </w:rPr>
        <w:t>or (other) materials identified through the early warning system, selected based on the assessment by the Commission of expected need and benefit of their inclusion in the observatory</w:t>
      </w:r>
    </w:p>
    <w:p w14:paraId="0FEB2FDA" w14:textId="23269AB4" w:rsidR="000A7D9D" w:rsidRPr="003B1B9E" w:rsidRDefault="000A7D9D" w:rsidP="000A7D9D">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No additional resources are required for this work, but the existing resources for EUON must be maintained.  </w:t>
      </w:r>
      <w:r w:rsidRPr="003B1B9E">
        <w:rPr>
          <w:rFonts w:ascii="Times New Roman" w:hAnsi="Times New Roman" w:cs="Times New Roman"/>
          <w:noProof/>
          <w:sz w:val="24"/>
          <w:szCs w:val="24"/>
        </w:rPr>
        <w:t>The existing resources for EUON will be used to continue operating, further developing and slightly expanding the system. The dedicated service on information on the obligations under EU acts on chemicals will have to be integrated into the platform, but the resource needs for adaptation are already covered under the common data platform.</w:t>
      </w:r>
      <w:r>
        <w:rPr>
          <w:rFonts w:ascii="Times New Roman" w:hAnsi="Times New Roman" w:cs="Times New Roman"/>
          <w:noProof/>
          <w:sz w:val="24"/>
          <w:szCs w:val="24"/>
        </w:rPr>
        <w:t xml:space="preserve"> </w:t>
      </w:r>
      <w:r w:rsidRPr="003B1B9E">
        <w:rPr>
          <w:rFonts w:ascii="Times New Roman" w:hAnsi="Times New Roman" w:cs="Times New Roman"/>
          <w:noProof/>
          <w:sz w:val="24"/>
          <w:szCs w:val="24"/>
        </w:rPr>
        <w:t xml:space="preserve">Although no additional resources are required under </w:t>
      </w:r>
      <w:r>
        <w:rPr>
          <w:rFonts w:ascii="Times New Roman" w:hAnsi="Times New Roman" w:cs="Times New Roman"/>
          <w:noProof/>
          <w:sz w:val="24"/>
          <w:szCs w:val="24"/>
        </w:rPr>
        <w:t>the proposal for the</w:t>
      </w:r>
      <w:r w:rsidRPr="13AEFEEB">
        <w:rPr>
          <w:rFonts w:ascii="Times New Roman" w:hAnsi="Times New Roman" w:cs="Times New Roman"/>
          <w:noProof/>
          <w:sz w:val="24"/>
          <w:szCs w:val="24"/>
        </w:rPr>
        <w:t xml:space="preserve"> regulation establishing a common data platform on chemicals and establishing a monitoring and outlook framework for chemicals</w:t>
      </w:r>
      <w:r w:rsidRPr="003B1B9E">
        <w:rPr>
          <w:rFonts w:ascii="Times New Roman" w:hAnsi="Times New Roman" w:cs="Times New Roman"/>
          <w:noProof/>
          <w:sz w:val="24"/>
          <w:szCs w:val="24"/>
        </w:rPr>
        <w:t xml:space="preserve">, the legislative proposal for a regulation on ECHA that is in preparation should address the fact that the operation of the </w:t>
      </w:r>
      <w:r w:rsidR="0023321B">
        <w:rPr>
          <w:rFonts w:ascii="Times New Roman" w:hAnsi="Times New Roman" w:cs="Times New Roman"/>
          <w:noProof/>
          <w:sz w:val="24"/>
          <w:szCs w:val="24"/>
        </w:rPr>
        <w:t>EUON</w:t>
      </w:r>
      <w:r w:rsidRPr="003B1B9E">
        <w:rPr>
          <w:rFonts w:ascii="Times New Roman" w:hAnsi="Times New Roman" w:cs="Times New Roman"/>
          <w:noProof/>
          <w:sz w:val="24"/>
          <w:szCs w:val="24"/>
        </w:rPr>
        <w:t xml:space="preserve"> became a structural task for ECHA and that the financing should become part of the annual contribution to ECHA.</w:t>
      </w:r>
    </w:p>
    <w:p w14:paraId="4C978560" w14:textId="77777777" w:rsidR="000A7D9D" w:rsidRPr="003B1B9E" w:rsidRDefault="000A7D9D" w:rsidP="000A7D9D">
      <w:pPr>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Summary of </w:t>
      </w:r>
      <w:r>
        <w:rPr>
          <w:rFonts w:ascii="Times New Roman" w:hAnsi="Times New Roman" w:cs="Times New Roman"/>
          <w:noProof/>
          <w:sz w:val="24"/>
          <w:szCs w:val="24"/>
        </w:rPr>
        <w:t xml:space="preserve">additional </w:t>
      </w:r>
      <w:r w:rsidRPr="007F38F4">
        <w:rPr>
          <w:rFonts w:ascii="Times New Roman" w:hAnsi="Times New Roman" w:cs="Times New Roman"/>
          <w:noProof/>
          <w:sz w:val="24"/>
          <w:szCs w:val="24"/>
        </w:rPr>
        <w:t>resource needs for</w:t>
      </w:r>
      <w:r>
        <w:rPr>
          <w:rFonts w:ascii="Times New Roman" w:hAnsi="Times New Roman" w:cs="Times New Roman"/>
          <w:noProof/>
          <w:sz w:val="24"/>
          <w:szCs w:val="24"/>
        </w:rPr>
        <w:t xml:space="preserve"> the</w:t>
      </w:r>
      <w:r w:rsidRPr="007F38F4">
        <w:rPr>
          <w:rFonts w:ascii="Times New Roman" w:hAnsi="Times New Roman" w:cs="Times New Roman"/>
          <w:noProof/>
          <w:sz w:val="24"/>
          <w:szCs w:val="24"/>
        </w:rPr>
        <w:t xml:space="preserve"> </w:t>
      </w:r>
      <w:r w:rsidRPr="003B1B9E">
        <w:rPr>
          <w:rFonts w:ascii="Times New Roman" w:hAnsi="Times New Roman" w:cs="Times New Roman"/>
          <w:noProof/>
          <w:sz w:val="24"/>
          <w:szCs w:val="24"/>
        </w:rPr>
        <w:t>o</w:t>
      </w:r>
      <w:r w:rsidRPr="003B1B9E">
        <w:rPr>
          <w:rFonts w:ascii="Times New Roman" w:eastAsia="Times New Roman" w:hAnsi="Times New Roman" w:cs="Times New Roman"/>
          <w:bCs/>
          <w:noProof/>
          <w:color w:val="000000" w:themeColor="text1"/>
          <w:sz w:val="24"/>
          <w:szCs w:val="24"/>
        </w:rPr>
        <w:t>bservatory for specific chemicals with potential contribution to emerging chemical risks</w:t>
      </w:r>
      <w:r w:rsidRPr="003B1B9E">
        <w:rPr>
          <w:rFonts w:ascii="Times New Roman" w:hAnsi="Times New Roman" w:cs="Times New Roman"/>
          <w:noProof/>
          <w:sz w:val="24"/>
          <w:szCs w:val="24"/>
        </w:rPr>
        <w:t xml:space="preserve">: </w:t>
      </w:r>
    </w:p>
    <w:tbl>
      <w:tblPr>
        <w:tblStyle w:val="TableGrid"/>
        <w:tblW w:w="0" w:type="auto"/>
        <w:tblLook w:val="04A0" w:firstRow="1" w:lastRow="0" w:firstColumn="1" w:lastColumn="0" w:noHBand="0" w:noVBand="1"/>
      </w:tblPr>
      <w:tblGrid>
        <w:gridCol w:w="1349"/>
        <w:gridCol w:w="3825"/>
        <w:gridCol w:w="2115"/>
        <w:gridCol w:w="2340"/>
      </w:tblGrid>
      <w:tr w:rsidR="000A7D9D" w:rsidRPr="002814A6" w14:paraId="43A64AAA" w14:textId="77777777" w:rsidTr="00F31937">
        <w:trPr>
          <w:trHeight w:val="300"/>
        </w:trPr>
        <w:tc>
          <w:tcPr>
            <w:tcW w:w="1349" w:type="dxa"/>
            <w:shd w:val="clear" w:color="auto" w:fill="D9D9D9" w:themeFill="background1" w:themeFillShade="D9"/>
          </w:tcPr>
          <w:p w14:paraId="3D53922A" w14:textId="77777777" w:rsidR="000A7D9D" w:rsidRPr="002814A6" w:rsidRDefault="000A7D9D" w:rsidP="00F31937">
            <w:pPr>
              <w:pStyle w:val="BodyText"/>
              <w:spacing w:line="259" w:lineRule="auto"/>
              <w:rPr>
                <w:b/>
                <w:bCs/>
                <w:noProof/>
                <w:sz w:val="20"/>
                <w:szCs w:val="20"/>
              </w:rPr>
            </w:pPr>
            <w:r w:rsidRPr="002814A6">
              <w:rPr>
                <w:b/>
                <w:bCs/>
                <w:noProof/>
                <w:sz w:val="20"/>
                <w:szCs w:val="20"/>
              </w:rPr>
              <w:t>Agency</w:t>
            </w:r>
          </w:p>
        </w:tc>
        <w:tc>
          <w:tcPr>
            <w:tcW w:w="3825" w:type="dxa"/>
            <w:shd w:val="clear" w:color="auto" w:fill="D9D9D9" w:themeFill="background1" w:themeFillShade="D9"/>
          </w:tcPr>
          <w:p w14:paraId="4A1B3949" w14:textId="77777777" w:rsidR="000A7D9D" w:rsidRPr="002814A6" w:rsidRDefault="000A7D9D" w:rsidP="00F31937">
            <w:pPr>
              <w:pStyle w:val="BodyText"/>
              <w:rPr>
                <w:b/>
                <w:bCs/>
                <w:noProof/>
                <w:sz w:val="20"/>
                <w:szCs w:val="20"/>
              </w:rPr>
            </w:pPr>
            <w:r w:rsidRPr="002814A6">
              <w:rPr>
                <w:b/>
                <w:bCs/>
                <w:noProof/>
                <w:sz w:val="20"/>
                <w:szCs w:val="20"/>
              </w:rPr>
              <w:t>Summary of tasks</w:t>
            </w:r>
          </w:p>
        </w:tc>
        <w:tc>
          <w:tcPr>
            <w:tcW w:w="2115" w:type="dxa"/>
            <w:shd w:val="clear" w:color="auto" w:fill="D9D9D9" w:themeFill="background1" w:themeFillShade="D9"/>
          </w:tcPr>
          <w:p w14:paraId="1171922B" w14:textId="77777777" w:rsidR="000A7D9D" w:rsidRPr="002814A6" w:rsidRDefault="000A7D9D" w:rsidP="00F31937">
            <w:pPr>
              <w:pStyle w:val="BodyText"/>
              <w:tabs>
                <w:tab w:val="left" w:pos="4170"/>
              </w:tabs>
              <w:rPr>
                <w:noProof/>
                <w:sz w:val="20"/>
                <w:szCs w:val="20"/>
              </w:rPr>
            </w:pPr>
          </w:p>
        </w:tc>
        <w:tc>
          <w:tcPr>
            <w:tcW w:w="2340" w:type="dxa"/>
            <w:shd w:val="clear" w:color="auto" w:fill="D9D9D9" w:themeFill="background1" w:themeFillShade="D9"/>
          </w:tcPr>
          <w:p w14:paraId="4D013DA2" w14:textId="77777777" w:rsidR="000A7D9D" w:rsidRPr="002814A6" w:rsidRDefault="000A7D9D" w:rsidP="00F31937">
            <w:pPr>
              <w:pStyle w:val="BodyText"/>
              <w:tabs>
                <w:tab w:val="left" w:pos="4170"/>
              </w:tabs>
              <w:spacing w:after="0"/>
              <w:rPr>
                <w:noProof/>
                <w:sz w:val="20"/>
                <w:szCs w:val="20"/>
              </w:rPr>
            </w:pPr>
          </w:p>
        </w:tc>
      </w:tr>
      <w:tr w:rsidR="000A7D9D" w:rsidRPr="002814A6" w14:paraId="27BEBE24" w14:textId="77777777" w:rsidTr="00F31937">
        <w:trPr>
          <w:trHeight w:val="300"/>
        </w:trPr>
        <w:tc>
          <w:tcPr>
            <w:tcW w:w="1349" w:type="dxa"/>
            <w:vMerge w:val="restart"/>
            <w:shd w:val="clear" w:color="auto" w:fill="D9D9D9" w:themeFill="background1" w:themeFillShade="D9"/>
          </w:tcPr>
          <w:p w14:paraId="5D8B3B4A" w14:textId="77777777" w:rsidR="000A7D9D" w:rsidRPr="002814A6" w:rsidRDefault="000A7D9D" w:rsidP="00F31937">
            <w:pPr>
              <w:pStyle w:val="BodyText"/>
              <w:spacing w:line="259" w:lineRule="auto"/>
              <w:rPr>
                <w:noProof/>
                <w:sz w:val="20"/>
                <w:szCs w:val="20"/>
              </w:rPr>
            </w:pPr>
            <w:r w:rsidRPr="002814A6">
              <w:rPr>
                <w:noProof/>
                <w:sz w:val="20"/>
                <w:szCs w:val="20"/>
              </w:rPr>
              <w:t>ECHA</w:t>
            </w:r>
          </w:p>
        </w:tc>
        <w:tc>
          <w:tcPr>
            <w:tcW w:w="3825" w:type="dxa"/>
            <w:vMerge w:val="restart"/>
            <w:shd w:val="clear" w:color="auto" w:fill="D9D9D9" w:themeFill="background1" w:themeFillShade="D9"/>
          </w:tcPr>
          <w:p w14:paraId="416E766D" w14:textId="77777777" w:rsidR="000A7D9D" w:rsidRPr="002814A6" w:rsidRDefault="000A7D9D" w:rsidP="00F31937">
            <w:pPr>
              <w:pStyle w:val="BodyText"/>
              <w:spacing w:line="259" w:lineRule="auto"/>
              <w:rPr>
                <w:noProof/>
                <w:sz w:val="20"/>
                <w:szCs w:val="20"/>
              </w:rPr>
            </w:pPr>
            <w:r w:rsidRPr="002814A6">
              <w:rPr>
                <w:noProof/>
                <w:sz w:val="20"/>
                <w:szCs w:val="20"/>
              </w:rPr>
              <w:t>Commissioning of studies on nanomaterials and other materials potentially presenting new emerging chemical risks (e.g., complex advanced materials via the data generation mechanism</w:t>
            </w:r>
          </w:p>
          <w:p w14:paraId="45C206B1" w14:textId="77777777" w:rsidR="000A7D9D" w:rsidRPr="002814A6" w:rsidRDefault="000A7D9D" w:rsidP="00F31937">
            <w:pPr>
              <w:pStyle w:val="BodyText"/>
              <w:spacing w:line="259" w:lineRule="auto"/>
              <w:rPr>
                <w:noProof/>
                <w:sz w:val="20"/>
                <w:szCs w:val="20"/>
              </w:rPr>
            </w:pPr>
            <w:r w:rsidRPr="002814A6">
              <w:rPr>
                <w:noProof/>
                <w:sz w:val="20"/>
                <w:szCs w:val="20"/>
              </w:rPr>
              <w:t>Operating ‘nanomaterials’ database</w:t>
            </w:r>
          </w:p>
          <w:p w14:paraId="3F879F00" w14:textId="77777777" w:rsidR="000A7D9D" w:rsidRPr="002814A6" w:rsidRDefault="000A7D9D" w:rsidP="00F31937">
            <w:pPr>
              <w:pStyle w:val="BodyText"/>
              <w:spacing w:line="259" w:lineRule="auto"/>
              <w:rPr>
                <w:noProof/>
                <w:sz w:val="20"/>
                <w:szCs w:val="20"/>
              </w:rPr>
            </w:pPr>
            <w:r w:rsidRPr="002814A6">
              <w:rPr>
                <w:noProof/>
                <w:sz w:val="20"/>
                <w:szCs w:val="20"/>
              </w:rPr>
              <w:t xml:space="preserve">Dissemination and communication on nano- and (e.g., complex advanced) materials </w:t>
            </w:r>
          </w:p>
          <w:p w14:paraId="77F2CC89" w14:textId="24604A84" w:rsidR="000A7D9D" w:rsidRPr="002814A6" w:rsidRDefault="000A7D9D" w:rsidP="00F31937">
            <w:pPr>
              <w:pStyle w:val="BodyText"/>
              <w:spacing w:line="259" w:lineRule="auto"/>
              <w:rPr>
                <w:noProof/>
                <w:sz w:val="20"/>
                <w:szCs w:val="20"/>
              </w:rPr>
            </w:pPr>
            <w:r w:rsidRPr="002814A6">
              <w:rPr>
                <w:noProof/>
                <w:sz w:val="20"/>
                <w:szCs w:val="20"/>
              </w:rPr>
              <w:t>Running the NanoData nanotechnology knowledge database. Provid</w:t>
            </w:r>
            <w:r w:rsidR="0023321B">
              <w:rPr>
                <w:noProof/>
                <w:sz w:val="20"/>
                <w:szCs w:val="20"/>
              </w:rPr>
              <w:t>ing service to ‘nano’ community</w:t>
            </w:r>
          </w:p>
        </w:tc>
        <w:tc>
          <w:tcPr>
            <w:tcW w:w="2115" w:type="dxa"/>
            <w:shd w:val="clear" w:color="auto" w:fill="D9D9D9" w:themeFill="background1" w:themeFillShade="D9"/>
          </w:tcPr>
          <w:p w14:paraId="389D9FED" w14:textId="77777777" w:rsidR="000A7D9D" w:rsidRPr="002814A6" w:rsidRDefault="000A7D9D" w:rsidP="00F31937">
            <w:pPr>
              <w:pStyle w:val="BodyText"/>
              <w:tabs>
                <w:tab w:val="left" w:pos="4170"/>
              </w:tabs>
              <w:rPr>
                <w:noProof/>
                <w:sz w:val="20"/>
                <w:szCs w:val="20"/>
              </w:rPr>
            </w:pPr>
            <w:r w:rsidRPr="002814A6">
              <w:rPr>
                <w:noProof/>
                <w:sz w:val="20"/>
                <w:szCs w:val="20"/>
              </w:rPr>
              <w:t>Financial resource needs:</w:t>
            </w:r>
          </w:p>
        </w:tc>
        <w:tc>
          <w:tcPr>
            <w:tcW w:w="2340" w:type="dxa"/>
            <w:shd w:val="clear" w:color="auto" w:fill="D9D9D9" w:themeFill="background1" w:themeFillShade="D9"/>
          </w:tcPr>
          <w:p w14:paraId="120D2031" w14:textId="77777777" w:rsidR="000A7D9D" w:rsidRPr="002814A6" w:rsidRDefault="000A7D9D" w:rsidP="00F31937">
            <w:pPr>
              <w:pStyle w:val="BodyText"/>
              <w:tabs>
                <w:tab w:val="left" w:pos="4170"/>
              </w:tabs>
              <w:spacing w:after="0"/>
              <w:rPr>
                <w:noProof/>
                <w:sz w:val="20"/>
                <w:szCs w:val="20"/>
              </w:rPr>
            </w:pPr>
            <w:r w:rsidRPr="002814A6">
              <w:rPr>
                <w:noProof/>
                <w:sz w:val="20"/>
                <w:szCs w:val="20"/>
              </w:rPr>
              <w:t xml:space="preserve">2025: </w:t>
            </w:r>
            <w:r w:rsidRPr="002814A6">
              <w:rPr>
                <w:b/>
                <w:bCs/>
                <w:noProof/>
                <w:sz w:val="20"/>
                <w:szCs w:val="20"/>
              </w:rPr>
              <w:t>EUR 0</w:t>
            </w:r>
          </w:p>
          <w:p w14:paraId="1C98AA28" w14:textId="77777777" w:rsidR="000A7D9D" w:rsidRPr="002814A6" w:rsidRDefault="000A7D9D" w:rsidP="00F31937">
            <w:pPr>
              <w:pStyle w:val="BodyText"/>
              <w:tabs>
                <w:tab w:val="left" w:pos="4170"/>
              </w:tabs>
              <w:spacing w:after="0"/>
              <w:rPr>
                <w:b/>
                <w:noProof/>
                <w:sz w:val="20"/>
                <w:szCs w:val="20"/>
              </w:rPr>
            </w:pPr>
            <w:r w:rsidRPr="002814A6">
              <w:rPr>
                <w:noProof/>
                <w:sz w:val="20"/>
                <w:szCs w:val="20"/>
              </w:rPr>
              <w:t xml:space="preserve">2026: </w:t>
            </w:r>
            <w:r w:rsidRPr="002814A6">
              <w:rPr>
                <w:b/>
                <w:noProof/>
                <w:sz w:val="20"/>
                <w:szCs w:val="20"/>
              </w:rPr>
              <w:t xml:space="preserve">EUR 0 </w:t>
            </w:r>
          </w:p>
          <w:p w14:paraId="27C47668" w14:textId="77777777" w:rsidR="000A7D9D" w:rsidRPr="002814A6" w:rsidRDefault="000A7D9D" w:rsidP="00F31937">
            <w:pPr>
              <w:pStyle w:val="BodyText"/>
              <w:tabs>
                <w:tab w:val="left" w:pos="4170"/>
              </w:tabs>
              <w:spacing w:after="0"/>
              <w:rPr>
                <w:noProof/>
                <w:sz w:val="20"/>
                <w:szCs w:val="20"/>
              </w:rPr>
            </w:pPr>
            <w:r w:rsidRPr="002814A6">
              <w:rPr>
                <w:noProof/>
                <w:sz w:val="20"/>
                <w:szCs w:val="20"/>
              </w:rPr>
              <w:t xml:space="preserve">2027: </w:t>
            </w:r>
            <w:r w:rsidRPr="002814A6">
              <w:rPr>
                <w:b/>
                <w:noProof/>
                <w:sz w:val="20"/>
                <w:szCs w:val="20"/>
              </w:rPr>
              <w:t xml:space="preserve">EUR </w:t>
            </w:r>
            <w:r w:rsidRPr="002814A6">
              <w:rPr>
                <w:b/>
                <w:bCs/>
                <w:noProof/>
                <w:sz w:val="20"/>
                <w:szCs w:val="20"/>
              </w:rPr>
              <w:t>0</w:t>
            </w:r>
          </w:p>
          <w:p w14:paraId="36FF3E43" w14:textId="77777777" w:rsidR="000A7D9D" w:rsidRPr="002814A6" w:rsidRDefault="000A7D9D" w:rsidP="00F31937">
            <w:pPr>
              <w:pStyle w:val="BodyText"/>
              <w:tabs>
                <w:tab w:val="left" w:pos="4170"/>
              </w:tabs>
              <w:spacing w:after="0"/>
              <w:rPr>
                <w:b/>
                <w:bCs/>
                <w:noProof/>
                <w:sz w:val="20"/>
                <w:szCs w:val="20"/>
              </w:rPr>
            </w:pPr>
            <w:r w:rsidRPr="002814A6">
              <w:rPr>
                <w:noProof/>
                <w:sz w:val="20"/>
                <w:szCs w:val="20"/>
              </w:rPr>
              <w:t xml:space="preserve">2028: </w:t>
            </w:r>
            <w:r w:rsidRPr="002814A6">
              <w:rPr>
                <w:b/>
                <w:bCs/>
                <w:noProof/>
                <w:sz w:val="20"/>
                <w:szCs w:val="20"/>
              </w:rPr>
              <w:t>EUR 0</w:t>
            </w:r>
          </w:p>
          <w:p w14:paraId="790458F1" w14:textId="77777777" w:rsidR="000A7D9D" w:rsidRPr="002814A6" w:rsidRDefault="000A7D9D" w:rsidP="00F31937">
            <w:pPr>
              <w:pStyle w:val="BodyText"/>
              <w:tabs>
                <w:tab w:val="left" w:pos="4170"/>
              </w:tabs>
              <w:spacing w:after="0"/>
              <w:rPr>
                <w:bCs/>
                <w:noProof/>
                <w:sz w:val="20"/>
                <w:szCs w:val="20"/>
              </w:rPr>
            </w:pPr>
          </w:p>
          <w:p w14:paraId="36D51621" w14:textId="6AD76492" w:rsidR="000A7D9D" w:rsidRPr="002814A6" w:rsidRDefault="000A7D9D" w:rsidP="00F31937">
            <w:pPr>
              <w:pStyle w:val="BodyText"/>
              <w:tabs>
                <w:tab w:val="left" w:pos="4170"/>
              </w:tabs>
              <w:spacing w:after="0"/>
              <w:rPr>
                <w:noProof/>
                <w:sz w:val="20"/>
                <w:szCs w:val="20"/>
              </w:rPr>
            </w:pPr>
          </w:p>
        </w:tc>
      </w:tr>
      <w:tr w:rsidR="000A7D9D" w:rsidRPr="002814A6" w14:paraId="0A7454BE" w14:textId="77777777" w:rsidTr="00F31937">
        <w:trPr>
          <w:trHeight w:val="300"/>
        </w:trPr>
        <w:tc>
          <w:tcPr>
            <w:tcW w:w="1349" w:type="dxa"/>
            <w:vMerge/>
            <w:shd w:val="clear" w:color="auto" w:fill="D9D9D9" w:themeFill="background1" w:themeFillShade="D9"/>
          </w:tcPr>
          <w:p w14:paraId="5B912FDC" w14:textId="77777777" w:rsidR="000A7D9D" w:rsidRPr="002814A6" w:rsidRDefault="000A7D9D" w:rsidP="00F31937">
            <w:pPr>
              <w:pStyle w:val="BodyText"/>
              <w:rPr>
                <w:noProof/>
                <w:sz w:val="20"/>
                <w:szCs w:val="20"/>
              </w:rPr>
            </w:pPr>
          </w:p>
        </w:tc>
        <w:tc>
          <w:tcPr>
            <w:tcW w:w="3825" w:type="dxa"/>
            <w:vMerge/>
            <w:shd w:val="clear" w:color="auto" w:fill="D9D9D9" w:themeFill="background1" w:themeFillShade="D9"/>
          </w:tcPr>
          <w:p w14:paraId="6BE60162" w14:textId="77777777" w:rsidR="000A7D9D" w:rsidRPr="002814A6" w:rsidRDefault="000A7D9D" w:rsidP="00F31937">
            <w:pPr>
              <w:pStyle w:val="BodyText"/>
              <w:rPr>
                <w:noProof/>
                <w:sz w:val="20"/>
                <w:szCs w:val="20"/>
              </w:rPr>
            </w:pPr>
          </w:p>
        </w:tc>
        <w:tc>
          <w:tcPr>
            <w:tcW w:w="2115" w:type="dxa"/>
            <w:shd w:val="clear" w:color="auto" w:fill="D9D9D9" w:themeFill="background1" w:themeFillShade="D9"/>
          </w:tcPr>
          <w:p w14:paraId="71CFED1B" w14:textId="77777777" w:rsidR="000A7D9D" w:rsidRPr="002814A6" w:rsidRDefault="000A7D9D" w:rsidP="00F31937">
            <w:pPr>
              <w:pStyle w:val="BodyText"/>
              <w:tabs>
                <w:tab w:val="left" w:pos="4170"/>
              </w:tabs>
              <w:rPr>
                <w:noProof/>
                <w:sz w:val="20"/>
                <w:szCs w:val="20"/>
              </w:rPr>
            </w:pPr>
            <w:r w:rsidRPr="002814A6">
              <w:rPr>
                <w:noProof/>
                <w:sz w:val="20"/>
                <w:szCs w:val="20"/>
              </w:rPr>
              <w:t>Human resource needs:</w:t>
            </w:r>
          </w:p>
        </w:tc>
        <w:tc>
          <w:tcPr>
            <w:tcW w:w="2340" w:type="dxa"/>
            <w:shd w:val="clear" w:color="auto" w:fill="D9D9D9" w:themeFill="background1" w:themeFillShade="D9"/>
          </w:tcPr>
          <w:p w14:paraId="50C82336" w14:textId="77777777" w:rsidR="000A7D9D" w:rsidRPr="002814A6" w:rsidRDefault="000A7D9D" w:rsidP="00F31937">
            <w:pPr>
              <w:pStyle w:val="BodyText"/>
              <w:tabs>
                <w:tab w:val="left" w:pos="4170"/>
              </w:tabs>
              <w:spacing w:after="0"/>
              <w:rPr>
                <w:noProof/>
                <w:sz w:val="20"/>
                <w:szCs w:val="20"/>
              </w:rPr>
            </w:pPr>
            <w:r w:rsidRPr="002814A6">
              <w:rPr>
                <w:noProof/>
                <w:sz w:val="20"/>
                <w:szCs w:val="20"/>
              </w:rPr>
              <w:t xml:space="preserve">2025:  </w:t>
            </w:r>
            <w:r w:rsidRPr="002814A6">
              <w:rPr>
                <w:b/>
                <w:bCs/>
                <w:noProof/>
                <w:sz w:val="20"/>
                <w:szCs w:val="20"/>
              </w:rPr>
              <w:t>0 FTEs</w:t>
            </w:r>
          </w:p>
          <w:p w14:paraId="28FBB8F1" w14:textId="77777777" w:rsidR="000A7D9D" w:rsidRPr="002814A6" w:rsidRDefault="000A7D9D" w:rsidP="00F31937">
            <w:pPr>
              <w:pStyle w:val="BodyText"/>
              <w:tabs>
                <w:tab w:val="left" w:pos="4170"/>
              </w:tabs>
              <w:spacing w:after="0"/>
              <w:rPr>
                <w:noProof/>
                <w:sz w:val="20"/>
                <w:szCs w:val="20"/>
              </w:rPr>
            </w:pPr>
            <w:r w:rsidRPr="002814A6">
              <w:rPr>
                <w:noProof/>
                <w:sz w:val="20"/>
                <w:szCs w:val="20"/>
              </w:rPr>
              <w:t xml:space="preserve">2026:  </w:t>
            </w:r>
            <w:r w:rsidRPr="002814A6">
              <w:rPr>
                <w:b/>
                <w:bCs/>
                <w:noProof/>
                <w:sz w:val="20"/>
                <w:szCs w:val="20"/>
              </w:rPr>
              <w:t>0 FTEs</w:t>
            </w:r>
          </w:p>
          <w:p w14:paraId="5BF2C5B9" w14:textId="77777777" w:rsidR="000A7D9D" w:rsidRPr="002814A6" w:rsidRDefault="000A7D9D" w:rsidP="00F31937">
            <w:pPr>
              <w:pStyle w:val="BodyText"/>
              <w:tabs>
                <w:tab w:val="left" w:pos="4170"/>
              </w:tabs>
              <w:spacing w:after="0"/>
              <w:rPr>
                <w:noProof/>
                <w:sz w:val="20"/>
                <w:szCs w:val="20"/>
              </w:rPr>
            </w:pPr>
            <w:r w:rsidRPr="002814A6">
              <w:rPr>
                <w:noProof/>
                <w:sz w:val="20"/>
                <w:szCs w:val="20"/>
              </w:rPr>
              <w:t xml:space="preserve">2027:  </w:t>
            </w:r>
            <w:r w:rsidRPr="002814A6">
              <w:rPr>
                <w:b/>
                <w:bCs/>
                <w:noProof/>
                <w:sz w:val="20"/>
                <w:szCs w:val="20"/>
              </w:rPr>
              <w:t>0 FTEs</w:t>
            </w:r>
          </w:p>
          <w:p w14:paraId="0B9831B0" w14:textId="77777777" w:rsidR="000A7D9D" w:rsidRPr="002814A6" w:rsidRDefault="000A7D9D" w:rsidP="00F31937">
            <w:pPr>
              <w:pStyle w:val="BodyText"/>
              <w:tabs>
                <w:tab w:val="left" w:pos="4170"/>
              </w:tabs>
              <w:spacing w:after="0"/>
              <w:rPr>
                <w:noProof/>
                <w:sz w:val="20"/>
                <w:szCs w:val="20"/>
              </w:rPr>
            </w:pPr>
            <w:r w:rsidRPr="002814A6">
              <w:rPr>
                <w:noProof/>
                <w:sz w:val="20"/>
                <w:szCs w:val="20"/>
              </w:rPr>
              <w:t xml:space="preserve">2028:  </w:t>
            </w:r>
            <w:r w:rsidRPr="002814A6">
              <w:rPr>
                <w:b/>
                <w:bCs/>
                <w:noProof/>
                <w:sz w:val="20"/>
                <w:szCs w:val="20"/>
              </w:rPr>
              <w:t>0 FTEs</w:t>
            </w:r>
          </w:p>
          <w:p w14:paraId="68B6DA7E" w14:textId="77777777" w:rsidR="000A7D9D" w:rsidRPr="002814A6" w:rsidRDefault="000A7D9D" w:rsidP="00F31937">
            <w:pPr>
              <w:pStyle w:val="BodyText"/>
              <w:tabs>
                <w:tab w:val="left" w:pos="4170"/>
              </w:tabs>
              <w:spacing w:after="0"/>
              <w:rPr>
                <w:noProof/>
                <w:sz w:val="20"/>
                <w:szCs w:val="20"/>
              </w:rPr>
            </w:pPr>
          </w:p>
          <w:p w14:paraId="49E8FE65" w14:textId="115EA715" w:rsidR="000A7D9D" w:rsidRPr="002814A6" w:rsidRDefault="000A7D9D" w:rsidP="00F31937">
            <w:pPr>
              <w:pStyle w:val="BodyText"/>
              <w:tabs>
                <w:tab w:val="left" w:pos="4170"/>
              </w:tabs>
              <w:spacing w:after="0"/>
              <w:rPr>
                <w:noProof/>
                <w:sz w:val="20"/>
                <w:szCs w:val="20"/>
              </w:rPr>
            </w:pPr>
          </w:p>
        </w:tc>
      </w:tr>
    </w:tbl>
    <w:p w14:paraId="2BE3ADA7" w14:textId="77777777" w:rsidR="000A7D9D" w:rsidRPr="007F38F4" w:rsidRDefault="000A7D9D" w:rsidP="000A7D9D">
      <w:pPr>
        <w:pStyle w:val="BodyText"/>
        <w:spacing w:before="120" w:line="259" w:lineRule="auto"/>
        <w:rPr>
          <w:noProof/>
        </w:rPr>
      </w:pPr>
      <w:r w:rsidRPr="007F38F4">
        <w:rPr>
          <w:noProof/>
          <w:u w:val="single"/>
        </w:rPr>
        <w:t>Budget line:</w:t>
      </w:r>
      <w:r w:rsidRPr="007F38F4">
        <w:rPr>
          <w:noProof/>
        </w:rPr>
        <w:t xml:space="preserve"> </w:t>
      </w:r>
      <w:r>
        <w:rPr>
          <w:noProof/>
        </w:rPr>
        <w:t>n/a</w:t>
      </w:r>
    </w:p>
    <w:p w14:paraId="5889B516" w14:textId="77777777" w:rsidR="000A7D9D" w:rsidRPr="007F38F4" w:rsidRDefault="000A7D9D" w:rsidP="000A7D9D">
      <w:pPr>
        <w:pStyle w:val="BodyText"/>
        <w:rPr>
          <w:noProof/>
        </w:rPr>
      </w:pPr>
      <w:r w:rsidRPr="007F38F4">
        <w:rPr>
          <w:noProof/>
          <w:u w:val="single"/>
        </w:rPr>
        <w:t>Candidate for fees:</w:t>
      </w:r>
      <w:r w:rsidRPr="007F38F4">
        <w:rPr>
          <w:noProof/>
        </w:rPr>
        <w:t xml:space="preserve"> No</w:t>
      </w:r>
    </w:p>
    <w:p w14:paraId="35F4E988" w14:textId="77777777" w:rsidR="000A7D9D" w:rsidRDefault="000A7D9D" w:rsidP="000A7D9D">
      <w:pPr>
        <w:jc w:val="both"/>
        <w:rPr>
          <w:noProof/>
        </w:rPr>
        <w:sectPr w:rsidR="000A7D9D" w:rsidSect="00F31937">
          <w:headerReference w:type="even" r:id="rId86"/>
          <w:headerReference w:type="default" r:id="rId87"/>
          <w:footerReference w:type="even" r:id="rId88"/>
          <w:footerReference w:type="default" r:id="rId89"/>
          <w:headerReference w:type="first" r:id="rId90"/>
          <w:footerReference w:type="first" r:id="rId91"/>
          <w:pgSz w:w="11907" w:h="16840" w:code="9"/>
          <w:pgMar w:top="851" w:right="1134" w:bottom="567" w:left="1134" w:header="856" w:footer="567" w:gutter="0"/>
          <w:cols w:space="708"/>
          <w:docGrid w:linePitch="272"/>
        </w:sectPr>
      </w:pPr>
    </w:p>
    <w:p w14:paraId="0FAFC666"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87" w:name="_Toc150499948"/>
      <w:r w:rsidRPr="00291F95">
        <w:rPr>
          <w:rFonts w:ascii="Times New Roman" w:hAnsi="Times New Roman"/>
          <w:smallCaps/>
          <w:noProof/>
          <w:color w:val="auto"/>
          <w:sz w:val="24"/>
          <w:szCs w:val="20"/>
          <w:lang w:eastAsia="en-US"/>
        </w:rPr>
        <w:t>Cooperation of ECHA with other EU agencies</w:t>
      </w:r>
      <w:bookmarkEnd w:id="87"/>
    </w:p>
    <w:p w14:paraId="655AEF2D" w14:textId="77777777" w:rsidR="000A7D9D" w:rsidRPr="007F38F4" w:rsidRDefault="000A7D9D" w:rsidP="000A7D9D">
      <w:pPr>
        <w:pStyle w:val="BodyText"/>
        <w:rPr>
          <w:b/>
          <w:bCs/>
          <w:noProof/>
        </w:rPr>
      </w:pPr>
      <w:r w:rsidRPr="007F38F4">
        <w:rPr>
          <w:b/>
          <w:bCs/>
          <w:noProof/>
        </w:rPr>
        <w:t>Responsible body:</w:t>
      </w:r>
    </w:p>
    <w:p w14:paraId="6C966D0F" w14:textId="77777777" w:rsidR="000A7D9D" w:rsidRPr="007F38F4" w:rsidRDefault="000A7D9D" w:rsidP="000A7D9D">
      <w:pPr>
        <w:pStyle w:val="BodyText"/>
        <w:rPr>
          <w:noProof/>
        </w:rPr>
      </w:pPr>
      <w:r w:rsidRPr="007F38F4">
        <w:rPr>
          <w:noProof/>
          <w:u w:val="single"/>
        </w:rPr>
        <w:t>Currently:</w:t>
      </w:r>
      <w:r w:rsidRPr="007F38F4">
        <w:rPr>
          <w:noProof/>
        </w:rPr>
        <w:t xml:space="preserve"> ECHA</w:t>
      </w:r>
    </w:p>
    <w:p w14:paraId="61E2BEE0" w14:textId="77777777" w:rsidR="000A7D9D" w:rsidRPr="007F38F4" w:rsidRDefault="000A7D9D" w:rsidP="000A7D9D">
      <w:pPr>
        <w:pStyle w:val="BodyText"/>
        <w:rPr>
          <w:noProof/>
        </w:rPr>
      </w:pPr>
      <w:r w:rsidRPr="007F38F4">
        <w:rPr>
          <w:noProof/>
          <w:u w:val="single"/>
        </w:rPr>
        <w:t>(Re-)attribution planned to:</w:t>
      </w:r>
      <w:r w:rsidRPr="007F38F4">
        <w:rPr>
          <w:noProof/>
        </w:rPr>
        <w:t xml:space="preserve"> ECHA, expanding the existing tasks</w:t>
      </w:r>
    </w:p>
    <w:p w14:paraId="52C17CE7" w14:textId="77777777" w:rsidR="000A7D9D" w:rsidRPr="007F38F4" w:rsidRDefault="000A7D9D" w:rsidP="000A7D9D">
      <w:pPr>
        <w:pStyle w:val="BodyText"/>
        <w:rPr>
          <w:b/>
          <w:bCs/>
          <w:noProof/>
        </w:rPr>
      </w:pPr>
      <w:r w:rsidRPr="007F38F4">
        <w:rPr>
          <w:b/>
          <w:bCs/>
          <w:noProof/>
        </w:rPr>
        <w:t xml:space="preserve">Legal basis for reattribution: </w:t>
      </w:r>
      <w:r w:rsidRPr="007F38F4">
        <w:rPr>
          <w:noProof/>
        </w:rPr>
        <w:t>ECHA founding regulation</w:t>
      </w:r>
    </w:p>
    <w:p w14:paraId="63E1887A" w14:textId="77777777" w:rsidR="000A7D9D" w:rsidRPr="007F38F4" w:rsidRDefault="000A7D9D" w:rsidP="000A7D9D">
      <w:pPr>
        <w:pStyle w:val="BodyText"/>
        <w:rPr>
          <w:noProof/>
        </w:rPr>
      </w:pPr>
      <w:r w:rsidRPr="007F38F4">
        <w:rPr>
          <w:b/>
          <w:bCs/>
          <w:noProof/>
        </w:rPr>
        <w:t xml:space="preserve">Type of task: </w:t>
      </w:r>
      <w:r w:rsidRPr="007F38F4">
        <w:rPr>
          <w:noProof/>
        </w:rPr>
        <w:t>New, expanding the exis</w:t>
      </w:r>
      <w:r>
        <w:rPr>
          <w:noProof/>
        </w:rPr>
        <w:t>t</w:t>
      </w:r>
      <w:r w:rsidRPr="007F38F4">
        <w:rPr>
          <w:noProof/>
        </w:rPr>
        <w:t xml:space="preserve">ing task </w:t>
      </w:r>
    </w:p>
    <w:p w14:paraId="5E3D9300" w14:textId="77777777" w:rsidR="000A7D9D" w:rsidRPr="007F38F4" w:rsidRDefault="000A7D9D" w:rsidP="000A7D9D">
      <w:pPr>
        <w:pStyle w:val="BodyText"/>
        <w:jc w:val="both"/>
        <w:rPr>
          <w:b/>
          <w:bCs/>
          <w:noProof/>
        </w:rPr>
      </w:pPr>
      <w:r w:rsidRPr="007F38F4">
        <w:rPr>
          <w:b/>
          <w:bCs/>
          <w:noProof/>
        </w:rPr>
        <w:t xml:space="preserve">Brief task overview: </w:t>
      </w:r>
    </w:p>
    <w:p w14:paraId="7B3D494D" w14:textId="77777777" w:rsidR="000A7D9D" w:rsidRPr="007F38F4" w:rsidRDefault="000A7D9D" w:rsidP="000A7D9D">
      <w:pPr>
        <w:pStyle w:val="BodyText"/>
        <w:widowControl w:val="0"/>
        <w:numPr>
          <w:ilvl w:val="0"/>
          <w:numId w:val="136"/>
        </w:numPr>
        <w:jc w:val="both"/>
        <w:rPr>
          <w:noProof/>
        </w:rPr>
      </w:pPr>
      <w:r w:rsidRPr="007F38F4">
        <w:rPr>
          <w:noProof/>
        </w:rPr>
        <w:t>Developing methodologies for assessment of chemicals in the fields falling within its mission;</w:t>
      </w:r>
    </w:p>
    <w:p w14:paraId="79321B29" w14:textId="77777777" w:rsidR="000A7D9D" w:rsidRPr="007F38F4" w:rsidRDefault="000A7D9D" w:rsidP="000A7D9D">
      <w:pPr>
        <w:pStyle w:val="BodyText"/>
        <w:widowControl w:val="0"/>
        <w:numPr>
          <w:ilvl w:val="0"/>
          <w:numId w:val="136"/>
        </w:numPr>
        <w:jc w:val="both"/>
        <w:rPr>
          <w:noProof/>
        </w:rPr>
      </w:pPr>
      <w:r w:rsidRPr="007F38F4">
        <w:rPr>
          <w:noProof/>
        </w:rPr>
        <w:t xml:space="preserve">Cooperating with other agencies as regards exchange of data, defining formats and controlled vocabularies and development of methodologies related to chemicals; </w:t>
      </w:r>
    </w:p>
    <w:p w14:paraId="1248EE68" w14:textId="77777777" w:rsidR="000A7D9D" w:rsidRPr="007F38F4" w:rsidRDefault="000A7D9D" w:rsidP="000A7D9D">
      <w:pPr>
        <w:pStyle w:val="BodyText"/>
        <w:widowControl w:val="0"/>
        <w:numPr>
          <w:ilvl w:val="0"/>
          <w:numId w:val="136"/>
        </w:numPr>
        <w:jc w:val="both"/>
        <w:rPr>
          <w:noProof/>
        </w:rPr>
      </w:pPr>
      <w:r w:rsidRPr="007F38F4">
        <w:rPr>
          <w:noProof/>
        </w:rPr>
        <w:t>Preventing and solving divergent opinions on chemicals with EFSA and EMA.</w:t>
      </w:r>
    </w:p>
    <w:p w14:paraId="12EEBEA9" w14:textId="77777777" w:rsidR="000A7D9D" w:rsidRPr="007F38F4" w:rsidRDefault="000A7D9D" w:rsidP="000A7D9D">
      <w:pPr>
        <w:pStyle w:val="BodyText"/>
        <w:rPr>
          <w:b/>
          <w:bCs/>
          <w:noProof/>
        </w:rPr>
      </w:pPr>
      <w:r w:rsidRPr="007F38F4">
        <w:rPr>
          <w:b/>
          <w:bCs/>
          <w:noProof/>
        </w:rPr>
        <w:t>Detailed process description:</w:t>
      </w:r>
    </w:p>
    <w:p w14:paraId="6C1519AE" w14:textId="77777777" w:rsidR="000A7D9D" w:rsidRPr="007F38F4" w:rsidRDefault="000A7D9D" w:rsidP="000A7D9D">
      <w:pPr>
        <w:pStyle w:val="BodyText"/>
        <w:rPr>
          <w:noProof/>
          <w:u w:val="single"/>
        </w:rPr>
      </w:pPr>
      <w:r w:rsidRPr="007F38F4">
        <w:rPr>
          <w:noProof/>
          <w:u w:val="single"/>
        </w:rPr>
        <w:t>Current process:</w:t>
      </w:r>
    </w:p>
    <w:p w14:paraId="00872293" w14:textId="77777777" w:rsidR="000A7D9D" w:rsidRPr="007F38F4" w:rsidRDefault="000A7D9D" w:rsidP="000A7D9D">
      <w:pPr>
        <w:pStyle w:val="BodyText"/>
        <w:rPr>
          <w:rFonts w:eastAsiaTheme="minorEastAsia"/>
          <w:i/>
          <w:iCs/>
          <w:noProof/>
        </w:rPr>
      </w:pPr>
      <w:r w:rsidRPr="007F38F4">
        <w:rPr>
          <w:rFonts w:eastAsiaTheme="minorEastAsia"/>
          <w:i/>
          <w:iCs/>
          <w:noProof/>
        </w:rPr>
        <w:t>Task 1</w:t>
      </w:r>
    </w:p>
    <w:p w14:paraId="5B460657" w14:textId="77777777" w:rsidR="000A7D9D" w:rsidRPr="007F38F4" w:rsidRDefault="000A7D9D" w:rsidP="000A7D9D">
      <w:pPr>
        <w:spacing w:after="120"/>
        <w:jc w:val="both"/>
        <w:rPr>
          <w:rFonts w:ascii="Times New Roman" w:eastAsiaTheme="minorEastAsia" w:hAnsi="Times New Roman" w:cs="Times New Roman"/>
          <w:noProof/>
          <w:sz w:val="24"/>
          <w:szCs w:val="24"/>
        </w:rPr>
      </w:pPr>
      <w:r w:rsidRPr="007F38F4">
        <w:rPr>
          <w:rFonts w:ascii="Times New Roman" w:eastAsiaTheme="minorEastAsia" w:hAnsi="Times New Roman" w:cs="Times New Roman"/>
          <w:noProof/>
          <w:sz w:val="24"/>
          <w:szCs w:val="24"/>
        </w:rPr>
        <w:t xml:space="preserve">ECHA has some very specific tasks with some relevance to the development of methodologies mentioned in the current founding provisions under REACH. The Article 77 of REACH on the tasks of the Agency lists the following tasks: </w:t>
      </w:r>
    </w:p>
    <w:p w14:paraId="286E2681" w14:textId="77777777" w:rsidR="000A7D9D" w:rsidRPr="007F38F4" w:rsidRDefault="000A7D9D" w:rsidP="000A7D9D">
      <w:pPr>
        <w:pStyle w:val="ListParagraph"/>
        <w:numPr>
          <w:ilvl w:val="0"/>
          <w:numId w:val="88"/>
        </w:numPr>
        <w:spacing w:after="120"/>
        <w:jc w:val="both"/>
        <w:rPr>
          <w:noProof/>
        </w:rPr>
      </w:pPr>
      <w:r w:rsidRPr="007F38F4">
        <w:rPr>
          <w:noProof/>
        </w:rPr>
        <w:t>providing technical and scientific guidance and tools where appropriate for the operation of this Regulation in particular to assist the development of chemical safety reports (in accordance with Article 14, Article 31(1) and Article 37(4)) and application of Article 10(a)(viii), Article 11(3) and Article 19(2) by industry and especially by SMEs; and technical and scientific guidance for the application of Article 7 by producers and importers of articles;</w:t>
      </w:r>
    </w:p>
    <w:p w14:paraId="24C7DB36" w14:textId="77777777" w:rsidR="000A7D9D" w:rsidRPr="007F38F4" w:rsidRDefault="000A7D9D" w:rsidP="000A7D9D">
      <w:pPr>
        <w:pStyle w:val="ListParagraph"/>
        <w:numPr>
          <w:ilvl w:val="0"/>
          <w:numId w:val="88"/>
        </w:numPr>
        <w:spacing w:after="120"/>
        <w:jc w:val="both"/>
        <w:rPr>
          <w:noProof/>
        </w:rPr>
      </w:pPr>
      <w:r w:rsidRPr="007F38F4">
        <w:rPr>
          <w:noProof/>
        </w:rPr>
        <w:t>providing technical and scientific guidance on the operation of this Regulation for Member State competent authorities and providing support to the helpdesks established by Member States under Title XIII;</w:t>
      </w:r>
    </w:p>
    <w:p w14:paraId="223170E0" w14:textId="77777777" w:rsidR="000A7D9D" w:rsidRPr="007F38F4" w:rsidRDefault="000A7D9D" w:rsidP="000A7D9D">
      <w:pPr>
        <w:pStyle w:val="ListParagraph"/>
        <w:numPr>
          <w:ilvl w:val="0"/>
          <w:numId w:val="88"/>
        </w:numPr>
        <w:spacing w:after="120"/>
        <w:jc w:val="both"/>
        <w:rPr>
          <w:noProof/>
        </w:rPr>
      </w:pPr>
      <w:r w:rsidRPr="007F38F4">
        <w:rPr>
          <w:noProof/>
        </w:rPr>
        <w:t>providing advice and assistance to manufacturers and importers registering a substance in accordance with Article 12(1);</w:t>
      </w:r>
    </w:p>
    <w:p w14:paraId="5DC3F513" w14:textId="77777777" w:rsidR="000A7D9D" w:rsidRPr="007F38F4" w:rsidRDefault="000A7D9D" w:rsidP="000A7D9D">
      <w:pPr>
        <w:pStyle w:val="ListParagraph"/>
        <w:numPr>
          <w:ilvl w:val="0"/>
          <w:numId w:val="88"/>
        </w:numPr>
        <w:spacing w:after="120"/>
        <w:jc w:val="both"/>
        <w:rPr>
          <w:noProof/>
        </w:rPr>
      </w:pPr>
      <w:r w:rsidRPr="007F38F4">
        <w:rPr>
          <w:noProof/>
        </w:rPr>
        <w:t>preparing explanatory information on this Regulation for other stakeholders;</w:t>
      </w:r>
    </w:p>
    <w:p w14:paraId="419DC07B" w14:textId="77777777" w:rsidR="000A7D9D" w:rsidRPr="007F38F4" w:rsidRDefault="000A7D9D" w:rsidP="000A7D9D">
      <w:pPr>
        <w:pStyle w:val="ListParagraph"/>
        <w:numPr>
          <w:ilvl w:val="0"/>
          <w:numId w:val="88"/>
        </w:numPr>
        <w:spacing w:after="120"/>
        <w:ind w:left="714" w:hanging="357"/>
        <w:contextualSpacing w:val="0"/>
        <w:jc w:val="both"/>
        <w:rPr>
          <w:noProof/>
        </w:rPr>
      </w:pPr>
      <w:r w:rsidRPr="007F38F4">
        <w:rPr>
          <w:noProof/>
        </w:rPr>
        <w:t>keeping a Manual of Decisions and Opinions based on conclusions from the Member State Committee regarding interpretation and implementation of this Regulation;</w:t>
      </w:r>
    </w:p>
    <w:p w14:paraId="5BEDFBB5" w14:textId="77777777" w:rsidR="000A7D9D" w:rsidRPr="007F38F4" w:rsidRDefault="000A7D9D" w:rsidP="000A7D9D">
      <w:pPr>
        <w:pStyle w:val="BodyText"/>
        <w:jc w:val="both"/>
        <w:rPr>
          <w:noProof/>
        </w:rPr>
      </w:pPr>
      <w:r w:rsidRPr="007F38F4">
        <w:rPr>
          <w:noProof/>
        </w:rPr>
        <w:t xml:space="preserve">ECHA however lacks the mandate and obligation to develop methodologies for the assessment related to chemicals. This disadvantages the ECHA as compared to other agencies and does not allow ECHA to actively participate or contribute to the development of assessment methods. </w:t>
      </w:r>
    </w:p>
    <w:p w14:paraId="53DE4477" w14:textId="77777777" w:rsidR="000A7D9D" w:rsidRPr="007F38F4" w:rsidRDefault="000A7D9D" w:rsidP="000A7D9D">
      <w:pPr>
        <w:pStyle w:val="BodyText"/>
        <w:rPr>
          <w:i/>
          <w:iCs/>
          <w:noProof/>
        </w:rPr>
      </w:pPr>
      <w:r w:rsidRPr="007F38F4">
        <w:rPr>
          <w:i/>
          <w:iCs/>
          <w:noProof/>
        </w:rPr>
        <w:t>Task 2</w:t>
      </w:r>
    </w:p>
    <w:p w14:paraId="10F570C9" w14:textId="77777777" w:rsidR="000A7D9D" w:rsidRPr="007F38F4" w:rsidRDefault="000A7D9D" w:rsidP="000A7D9D">
      <w:pPr>
        <w:pStyle w:val="BodyText"/>
        <w:jc w:val="both"/>
        <w:rPr>
          <w:noProof/>
        </w:rPr>
      </w:pPr>
      <w:r w:rsidRPr="007F38F4">
        <w:rPr>
          <w:noProof/>
        </w:rPr>
        <w:t xml:space="preserve">The ECHA founding provisions under REACH contain provisions related to cooperation. The Article 110 of REACH on the relations with relevant community bodies states: </w:t>
      </w:r>
    </w:p>
    <w:p w14:paraId="32F4838C" w14:textId="77777777" w:rsidR="000A7D9D" w:rsidRPr="007F38F4" w:rsidRDefault="000A7D9D" w:rsidP="000A7D9D">
      <w:pPr>
        <w:pStyle w:val="ListParagraph"/>
        <w:numPr>
          <w:ilvl w:val="0"/>
          <w:numId w:val="88"/>
        </w:numPr>
        <w:spacing w:after="120"/>
        <w:jc w:val="both"/>
        <w:rPr>
          <w:b/>
          <w:noProof/>
        </w:rPr>
      </w:pPr>
      <w:r w:rsidRPr="007F38F4">
        <w:rPr>
          <w:noProof/>
        </w:rPr>
        <w:t xml:space="preserve">The Agency shall cooperate with other Community bodies to ensure mutual support in the accomplishment of their respective tasks in particular to avoid duplication of work. </w:t>
      </w:r>
    </w:p>
    <w:p w14:paraId="696751FF" w14:textId="77777777" w:rsidR="000A7D9D" w:rsidRPr="007F38F4" w:rsidRDefault="000A7D9D" w:rsidP="000A7D9D">
      <w:pPr>
        <w:pStyle w:val="ListParagraph"/>
        <w:numPr>
          <w:ilvl w:val="0"/>
          <w:numId w:val="88"/>
        </w:numPr>
        <w:spacing w:after="120"/>
        <w:ind w:left="709" w:hanging="357"/>
        <w:jc w:val="both"/>
        <w:rPr>
          <w:b/>
          <w:noProof/>
        </w:rPr>
      </w:pPr>
      <w:r w:rsidRPr="007F38F4">
        <w:rPr>
          <w:noProof/>
        </w:rPr>
        <w:t xml:space="preserve">The Executive Director, having consulted the Committee on Risk Assessment and the European Food Safety Authority, shall establish rules of procedure concerning substances for which an opinion has been sought in a food safety context. These rules of procedure shall be adopted by the Management Board, in agreement with the Commission. This Title shall not otherwise affect the competences vested in the European Food Safety Authority. </w:t>
      </w:r>
    </w:p>
    <w:p w14:paraId="3BC1900F" w14:textId="77777777" w:rsidR="000A7D9D" w:rsidRPr="007F38F4" w:rsidRDefault="000A7D9D" w:rsidP="000A7D9D">
      <w:pPr>
        <w:pStyle w:val="ListParagraph"/>
        <w:numPr>
          <w:ilvl w:val="0"/>
          <w:numId w:val="88"/>
        </w:numPr>
        <w:spacing w:after="120"/>
        <w:ind w:left="709" w:hanging="357"/>
        <w:jc w:val="both"/>
        <w:rPr>
          <w:b/>
          <w:noProof/>
        </w:rPr>
      </w:pPr>
      <w:r w:rsidRPr="007F38F4">
        <w:rPr>
          <w:noProof/>
        </w:rPr>
        <w:t>This Title shall not affect the competences vested in the European Medicines Agency.</w:t>
      </w:r>
    </w:p>
    <w:p w14:paraId="0BC062EC" w14:textId="77777777" w:rsidR="000A7D9D" w:rsidRPr="007F38F4" w:rsidRDefault="000A7D9D" w:rsidP="000A7D9D">
      <w:pPr>
        <w:pStyle w:val="ListParagraph"/>
        <w:numPr>
          <w:ilvl w:val="0"/>
          <w:numId w:val="88"/>
        </w:numPr>
        <w:spacing w:after="120"/>
        <w:ind w:left="709" w:hanging="357"/>
        <w:jc w:val="both"/>
        <w:rPr>
          <w:b/>
          <w:noProof/>
        </w:rPr>
      </w:pPr>
      <w:r w:rsidRPr="007F38F4">
        <w:rPr>
          <w:noProof/>
        </w:rPr>
        <w:t xml:space="preserve">The Executive Director, having consulted the Committee on Risk Assessment, the Committee on Socio-economic Analysis and the Advisory Committee on Safety, Hygiene and Health Protection at Work, shall establish rules of procedure concerning worker protection issues. These rules of procedure shall be adopted by the Management Board, in agreement with the Commission. </w:t>
      </w:r>
    </w:p>
    <w:p w14:paraId="6E9FB88B" w14:textId="77777777" w:rsidR="000A7D9D" w:rsidRPr="007F38F4" w:rsidRDefault="000A7D9D" w:rsidP="000A7D9D">
      <w:pPr>
        <w:pStyle w:val="ListParagraph"/>
        <w:spacing w:after="120"/>
        <w:contextualSpacing w:val="0"/>
        <w:jc w:val="both"/>
        <w:rPr>
          <w:b/>
          <w:noProof/>
        </w:rPr>
      </w:pPr>
      <w:r w:rsidRPr="007F38F4">
        <w:rPr>
          <w:noProof/>
        </w:rPr>
        <w:t>This Title shall not affect the competences vested in the Advisory Committee on Safety, Hygiene and Health Protection at Work and the European Agency for Health and Safety at Work.</w:t>
      </w:r>
    </w:p>
    <w:p w14:paraId="0077B146" w14:textId="77777777" w:rsidR="000A7D9D" w:rsidRPr="007F38F4" w:rsidRDefault="000A7D9D" w:rsidP="000A7D9D">
      <w:pPr>
        <w:spacing w:after="120"/>
        <w:jc w:val="both"/>
        <w:rPr>
          <w:rFonts w:ascii="Times New Roman" w:eastAsiaTheme="minorEastAsia" w:hAnsi="Times New Roman" w:cs="Times New Roman"/>
          <w:noProof/>
          <w:sz w:val="24"/>
          <w:szCs w:val="24"/>
        </w:rPr>
      </w:pPr>
      <w:r w:rsidRPr="007F38F4">
        <w:rPr>
          <w:rFonts w:ascii="Times New Roman" w:eastAsiaTheme="minorEastAsia" w:hAnsi="Times New Roman" w:cs="Times New Roman"/>
          <w:noProof/>
          <w:sz w:val="24"/>
          <w:szCs w:val="24"/>
        </w:rPr>
        <w:t>The existing provisions are rather general. In order to achieve the one substance, one assessment ambition, it is necessary to strengthen the provisions on cooperation and make them coherent with the provisions of other EU Agencies.</w:t>
      </w:r>
    </w:p>
    <w:p w14:paraId="0AD878D0" w14:textId="77777777" w:rsidR="000A7D9D" w:rsidRPr="007F38F4" w:rsidRDefault="000A7D9D" w:rsidP="000A7D9D">
      <w:pPr>
        <w:spacing w:after="120"/>
        <w:jc w:val="both"/>
        <w:rPr>
          <w:rFonts w:ascii="Times New Roman" w:hAnsi="Times New Roman" w:cs="Times New Roman"/>
          <w:i/>
          <w:iCs/>
          <w:noProof/>
          <w:sz w:val="24"/>
          <w:szCs w:val="24"/>
          <w:u w:val="single"/>
        </w:rPr>
      </w:pPr>
      <w:r w:rsidRPr="007F38F4">
        <w:rPr>
          <w:rFonts w:ascii="Times New Roman" w:hAnsi="Times New Roman" w:cs="Times New Roman"/>
          <w:i/>
          <w:iCs/>
          <w:noProof/>
          <w:sz w:val="24"/>
          <w:szCs w:val="24"/>
        </w:rPr>
        <w:t>Task 3</w:t>
      </w:r>
    </w:p>
    <w:p w14:paraId="2D9F87C0"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ECHA founding regulation specifies provisions for preventing and solving divergent scientific opinions with other agencies. Article 95 on conflicts of opinion with other bodies states:</w:t>
      </w:r>
    </w:p>
    <w:p w14:paraId="5C279AF7" w14:textId="77777777" w:rsidR="000A7D9D" w:rsidRPr="007F38F4" w:rsidRDefault="000A7D9D" w:rsidP="000A7D9D">
      <w:pPr>
        <w:pStyle w:val="ListParagraph"/>
        <w:numPr>
          <w:ilvl w:val="0"/>
          <w:numId w:val="88"/>
        </w:numPr>
        <w:spacing w:after="120"/>
        <w:jc w:val="both"/>
        <w:rPr>
          <w:b/>
          <w:bCs/>
          <w:noProof/>
        </w:rPr>
      </w:pPr>
      <w:r w:rsidRPr="007F38F4">
        <w:rPr>
          <w:noProof/>
        </w:rPr>
        <w:t xml:space="preserve">The Agency shall take care to ensure early identification of potential sources of conflict between its opinions and those of community law, including Community Agencies, carrying out a similar task in relation to issues of common concern. </w:t>
      </w:r>
    </w:p>
    <w:p w14:paraId="7670DF7D" w14:textId="77777777" w:rsidR="000A7D9D" w:rsidRPr="007F38F4" w:rsidRDefault="000A7D9D" w:rsidP="000A7D9D">
      <w:pPr>
        <w:pStyle w:val="ListParagraph"/>
        <w:numPr>
          <w:ilvl w:val="0"/>
          <w:numId w:val="88"/>
        </w:numPr>
        <w:spacing w:after="120"/>
        <w:jc w:val="both"/>
        <w:rPr>
          <w:b/>
          <w:bCs/>
          <w:noProof/>
        </w:rPr>
      </w:pPr>
      <w:r w:rsidRPr="007F38F4">
        <w:rPr>
          <w:noProof/>
        </w:rPr>
        <w:t xml:space="preserve">Where the Agency identifies a potential source of conflict, it shall contact the body concerned in order to ensure that any relevant scientific or technical information is shared and to identify the scientific or technical points which are potentially contentious. </w:t>
      </w:r>
    </w:p>
    <w:p w14:paraId="633ABA31" w14:textId="77777777" w:rsidR="000A7D9D" w:rsidRPr="007F38F4" w:rsidRDefault="000A7D9D" w:rsidP="000A7D9D">
      <w:pPr>
        <w:pStyle w:val="ListParagraph"/>
        <w:numPr>
          <w:ilvl w:val="0"/>
          <w:numId w:val="88"/>
        </w:numPr>
        <w:spacing w:after="120"/>
        <w:jc w:val="both"/>
        <w:rPr>
          <w:b/>
          <w:bCs/>
          <w:noProof/>
        </w:rPr>
      </w:pPr>
      <w:r w:rsidRPr="007F38F4">
        <w:rPr>
          <w:noProof/>
        </w:rPr>
        <w:t>Where there is a fundamental conflict over scientific or technical points and the body concerned is a Community Agency or a scientific committee, the Agency and the body concerned shall work together either to solve the conflict or to submit a joint document to the Commission clarifying the scientific and/or technical points of conflict.</w:t>
      </w:r>
    </w:p>
    <w:p w14:paraId="5F05C656" w14:textId="77777777" w:rsidR="000A7D9D" w:rsidRPr="007F38F4" w:rsidRDefault="000A7D9D" w:rsidP="000A7D9D">
      <w:pPr>
        <w:spacing w:after="120"/>
        <w:jc w:val="both"/>
        <w:rPr>
          <w:rFonts w:ascii="Times New Roman" w:hAnsi="Times New Roman" w:cs="Times New Roman"/>
          <w:noProof/>
          <w:sz w:val="24"/>
          <w:szCs w:val="24"/>
        </w:rPr>
      </w:pPr>
      <w:r w:rsidRPr="007F38F4">
        <w:rPr>
          <w:rFonts w:ascii="Times New Roman" w:hAnsi="Times New Roman" w:cs="Times New Roman"/>
          <w:noProof/>
          <w:sz w:val="24"/>
          <w:szCs w:val="24"/>
        </w:rPr>
        <w:t xml:space="preserve">The provisions need to be aligned with those for other agencies. In addition, there is a need to strengthen the requirement to solve the divergent view by agencies among themselves, before the matter is referred to the Commission to be solved. </w:t>
      </w:r>
    </w:p>
    <w:p w14:paraId="7B96B797" w14:textId="77777777" w:rsidR="000A7D9D" w:rsidRPr="007F38F4" w:rsidRDefault="000A7D9D" w:rsidP="000A7D9D">
      <w:pPr>
        <w:pStyle w:val="BodyText"/>
        <w:rPr>
          <w:noProof/>
          <w:u w:val="single"/>
        </w:rPr>
      </w:pPr>
      <w:r w:rsidRPr="007F38F4">
        <w:rPr>
          <w:noProof/>
          <w:u w:val="single"/>
        </w:rPr>
        <w:t>Future process:</w:t>
      </w:r>
    </w:p>
    <w:p w14:paraId="600E20B4" w14:textId="77777777" w:rsidR="000A7D9D" w:rsidRPr="007F38F4" w:rsidRDefault="000A7D9D" w:rsidP="000A7D9D">
      <w:pPr>
        <w:pStyle w:val="BodyText"/>
        <w:rPr>
          <w:i/>
          <w:iCs/>
          <w:noProof/>
        </w:rPr>
      </w:pPr>
      <w:r w:rsidRPr="007F38F4">
        <w:rPr>
          <w:i/>
          <w:iCs/>
          <w:noProof/>
        </w:rPr>
        <w:t>Task 1:</w:t>
      </w:r>
    </w:p>
    <w:p w14:paraId="1909752E" w14:textId="77777777" w:rsidR="000A7D9D" w:rsidRPr="007F38F4" w:rsidRDefault="000A7D9D" w:rsidP="000A7D9D">
      <w:pPr>
        <w:pStyle w:val="BodyText"/>
        <w:jc w:val="both"/>
        <w:rPr>
          <w:noProof/>
        </w:rPr>
      </w:pPr>
      <w:r w:rsidRPr="007F38F4">
        <w:rPr>
          <w:noProof/>
        </w:rPr>
        <w:t xml:space="preserve">ECHA should have a mandate to develop methodologies for the assessments related to chemicals it performs based on its needs. It should have also a mandate similar to EFSA to promote and coordinate the development of uniform risk assessment </w:t>
      </w:r>
      <w:r w:rsidRPr="007F38F4">
        <w:rPr>
          <w:bCs/>
          <w:noProof/>
        </w:rPr>
        <w:t>methodologies</w:t>
      </w:r>
      <w:r w:rsidRPr="007F38F4">
        <w:rPr>
          <w:noProof/>
        </w:rPr>
        <w:t xml:space="preserve"> in the fields falling within its mission. </w:t>
      </w:r>
    </w:p>
    <w:p w14:paraId="1AE12CBF" w14:textId="77777777" w:rsidR="000A7D9D" w:rsidRPr="007F38F4" w:rsidRDefault="000A7D9D" w:rsidP="000A7D9D">
      <w:pPr>
        <w:pStyle w:val="BodyText"/>
        <w:jc w:val="both"/>
        <w:rPr>
          <w:i/>
          <w:iCs/>
          <w:noProof/>
        </w:rPr>
      </w:pPr>
      <w:r w:rsidRPr="007F38F4">
        <w:rPr>
          <w:i/>
          <w:iCs/>
          <w:noProof/>
        </w:rPr>
        <w:t>Task 2:</w:t>
      </w:r>
    </w:p>
    <w:p w14:paraId="4B7E565B" w14:textId="77777777" w:rsidR="000A7D9D" w:rsidRPr="007F38F4" w:rsidRDefault="000A7D9D" w:rsidP="000A7D9D">
      <w:pPr>
        <w:pStyle w:val="BodyText"/>
        <w:jc w:val="both"/>
        <w:rPr>
          <w:noProof/>
        </w:rPr>
      </w:pPr>
      <w:r w:rsidRPr="007F38F4">
        <w:rPr>
          <w:noProof/>
        </w:rPr>
        <w:t>ECHA actively cooperates with EFSA, EEA and EMA as regards:</w:t>
      </w:r>
    </w:p>
    <w:p w14:paraId="48C3B906" w14:textId="77777777" w:rsidR="000A7D9D" w:rsidRPr="007F38F4" w:rsidRDefault="000A7D9D" w:rsidP="000A7D9D">
      <w:pPr>
        <w:pStyle w:val="BodyText"/>
        <w:widowControl w:val="0"/>
        <w:numPr>
          <w:ilvl w:val="0"/>
          <w:numId w:val="58"/>
        </w:numPr>
        <w:spacing w:after="0"/>
        <w:jc w:val="both"/>
        <w:rPr>
          <w:noProof/>
        </w:rPr>
      </w:pPr>
      <w:r w:rsidRPr="007F38F4">
        <w:rPr>
          <w:noProof/>
        </w:rPr>
        <w:t>exchange of data on chemicals and defining formats and controlled vocabularies for such data</w:t>
      </w:r>
    </w:p>
    <w:p w14:paraId="179DFE76" w14:textId="77777777" w:rsidR="000A7D9D" w:rsidRPr="007F38F4" w:rsidRDefault="000A7D9D" w:rsidP="000A7D9D">
      <w:pPr>
        <w:pStyle w:val="BodyText"/>
        <w:widowControl w:val="0"/>
        <w:numPr>
          <w:ilvl w:val="0"/>
          <w:numId w:val="58"/>
        </w:numPr>
        <w:ind w:left="714" w:hanging="357"/>
        <w:jc w:val="both"/>
        <w:rPr>
          <w:noProof/>
        </w:rPr>
      </w:pPr>
      <w:r w:rsidRPr="007F38F4">
        <w:rPr>
          <w:noProof/>
        </w:rPr>
        <w:t xml:space="preserve">development of methodologies related to chemicals. </w:t>
      </w:r>
    </w:p>
    <w:p w14:paraId="2337C232" w14:textId="77777777" w:rsidR="000A7D9D" w:rsidRPr="007F38F4" w:rsidRDefault="000A7D9D" w:rsidP="000A7D9D">
      <w:pPr>
        <w:pStyle w:val="BodyText"/>
        <w:jc w:val="both"/>
        <w:rPr>
          <w:noProof/>
        </w:rPr>
      </w:pPr>
      <w:r w:rsidRPr="007F38F4">
        <w:rPr>
          <w:noProof/>
        </w:rPr>
        <w:t xml:space="preserve">The cooperation is foreseen both ways, </w:t>
      </w:r>
      <w:r w:rsidRPr="007F38F4">
        <w:rPr>
          <w:i/>
          <w:noProof/>
        </w:rPr>
        <w:t>i.e.</w:t>
      </w:r>
      <w:r w:rsidRPr="007F38F4">
        <w:rPr>
          <w:noProof/>
        </w:rPr>
        <w:t xml:space="preserve"> when ECHA itself makes some development in those specified areas within its domain as well as when EFSA, EEA and EMA make some development in those areas within their domains. The goal is to ensure coherence, consistency and interoperability in the specified areas. </w:t>
      </w:r>
    </w:p>
    <w:p w14:paraId="2D21BD06" w14:textId="77777777" w:rsidR="000A7D9D" w:rsidRPr="007F38F4" w:rsidRDefault="000A7D9D" w:rsidP="000A7D9D">
      <w:pPr>
        <w:pStyle w:val="BodyText"/>
        <w:jc w:val="both"/>
        <w:rPr>
          <w:i/>
          <w:iCs/>
          <w:noProof/>
        </w:rPr>
      </w:pPr>
      <w:r w:rsidRPr="007F38F4">
        <w:rPr>
          <w:i/>
          <w:iCs/>
          <w:noProof/>
        </w:rPr>
        <w:t>Task 3:</w:t>
      </w:r>
    </w:p>
    <w:p w14:paraId="025D6640" w14:textId="77777777" w:rsidR="000A7D9D" w:rsidRPr="007F38F4" w:rsidRDefault="000A7D9D" w:rsidP="000A7D9D">
      <w:pPr>
        <w:pStyle w:val="BodyText"/>
        <w:jc w:val="both"/>
        <w:rPr>
          <w:noProof/>
        </w:rPr>
      </w:pPr>
      <w:r w:rsidRPr="007F38F4">
        <w:rPr>
          <w:noProof/>
        </w:rPr>
        <w:t>ECHA and body concerned shall first attempt to solve the divergent opinion on scientific or technical issues by themselves. They shall revert the decision to the Commission only if they were not able to solve the issue. In addition, if the divergence come from divergence in hazard assessment, the Commission should request ECHA to prepare a proposal for harmonised classification under the CLP regulation.</w:t>
      </w:r>
    </w:p>
    <w:p w14:paraId="54285B46" w14:textId="77777777" w:rsidR="000A7D9D" w:rsidRPr="007F38F4" w:rsidRDefault="000A7D9D" w:rsidP="000A7D9D">
      <w:pPr>
        <w:pStyle w:val="BodyText"/>
        <w:jc w:val="both"/>
        <w:rPr>
          <w:noProof/>
        </w:rPr>
      </w:pPr>
      <w:r w:rsidRPr="007F38F4">
        <w:rPr>
          <w:b/>
          <w:bCs/>
          <w:noProof/>
        </w:rPr>
        <w:t xml:space="preserve">Proximity to Agency mandate: </w:t>
      </w:r>
      <w:r w:rsidRPr="007F38F4">
        <w:rPr>
          <w:noProof/>
        </w:rPr>
        <w:t>The tasks fit well with the mandate of ECHA as all three tasks target the areas of the ECHA mandate, and they are just improvement, specification or expansion of existing tasks.</w:t>
      </w:r>
    </w:p>
    <w:p w14:paraId="2B4264D9" w14:textId="77777777" w:rsidR="000A7D9D" w:rsidRPr="007F38F4" w:rsidRDefault="000A7D9D" w:rsidP="000A7D9D">
      <w:pPr>
        <w:pStyle w:val="BodyText"/>
        <w:jc w:val="both"/>
        <w:rPr>
          <w:noProof/>
        </w:rPr>
      </w:pPr>
      <w:r w:rsidRPr="007F38F4">
        <w:rPr>
          <w:b/>
          <w:bCs/>
          <w:noProof/>
        </w:rPr>
        <w:t xml:space="preserve">Projected synergies and added value of reattribution: </w:t>
      </w:r>
      <w:r w:rsidRPr="007F38F4">
        <w:rPr>
          <w:noProof/>
        </w:rPr>
        <w:t xml:space="preserve">Improving coherence, consistency and interoperability among the Agencies work is the key added value. </w:t>
      </w:r>
    </w:p>
    <w:p w14:paraId="2D23B033" w14:textId="77777777" w:rsidR="000A7D9D" w:rsidRPr="007F38F4" w:rsidRDefault="000A7D9D" w:rsidP="000A7D9D">
      <w:pPr>
        <w:pStyle w:val="BodyText"/>
        <w:rPr>
          <w:b/>
          <w:bCs/>
          <w:noProof/>
        </w:rPr>
      </w:pPr>
      <w:r w:rsidRPr="007F38F4">
        <w:rPr>
          <w:b/>
          <w:bCs/>
          <w:noProof/>
        </w:rPr>
        <w:t>Projected impact on ECHA:</w:t>
      </w:r>
    </w:p>
    <w:p w14:paraId="4D2B666C" w14:textId="77777777" w:rsidR="000A7D9D" w:rsidRPr="007F38F4" w:rsidRDefault="000A7D9D" w:rsidP="000A7D9D">
      <w:pPr>
        <w:pStyle w:val="BodyText"/>
        <w:widowControl w:val="0"/>
        <w:numPr>
          <w:ilvl w:val="0"/>
          <w:numId w:val="88"/>
        </w:numPr>
        <w:jc w:val="both"/>
        <w:rPr>
          <w:noProof/>
        </w:rPr>
      </w:pPr>
      <w:r w:rsidRPr="007F38F4">
        <w:rPr>
          <w:noProof/>
        </w:rPr>
        <w:t xml:space="preserve">ECHA Committees/bodies: </w:t>
      </w:r>
      <w:r w:rsidRPr="007F38F4">
        <w:rPr>
          <w:b/>
          <w:bCs/>
          <w:noProof/>
        </w:rPr>
        <w:t>low impact</w:t>
      </w:r>
      <w:r w:rsidRPr="007F38F4">
        <w:rPr>
          <w:noProof/>
        </w:rPr>
        <w:t xml:space="preserve">. The task might require some ad hoc involvement of committee/panels or their consultation. </w:t>
      </w:r>
    </w:p>
    <w:p w14:paraId="15052B88" w14:textId="77777777" w:rsidR="000A7D9D" w:rsidRPr="007F38F4" w:rsidRDefault="000A7D9D" w:rsidP="000A7D9D">
      <w:pPr>
        <w:pStyle w:val="BodyText"/>
        <w:widowControl w:val="0"/>
        <w:numPr>
          <w:ilvl w:val="0"/>
          <w:numId w:val="88"/>
        </w:numPr>
        <w:jc w:val="both"/>
        <w:rPr>
          <w:b/>
          <w:bCs/>
          <w:noProof/>
        </w:rPr>
      </w:pPr>
      <w:r w:rsidRPr="007F38F4">
        <w:rPr>
          <w:noProof/>
        </w:rPr>
        <w:t xml:space="preserve">ECHA data model and IT infrastructure: </w:t>
      </w:r>
      <w:r w:rsidRPr="007F38F4">
        <w:rPr>
          <w:b/>
          <w:bCs/>
          <w:noProof/>
        </w:rPr>
        <w:t>low impact</w:t>
      </w:r>
      <w:r w:rsidRPr="007F38F4">
        <w:rPr>
          <w:noProof/>
        </w:rPr>
        <w:t>. The task can be implemented with adjustments / configuration of existing data structures and IT systems</w:t>
      </w:r>
    </w:p>
    <w:p w14:paraId="0263C246" w14:textId="77777777" w:rsidR="000A7D9D" w:rsidRPr="007F38F4" w:rsidRDefault="000A7D9D" w:rsidP="000A7D9D">
      <w:pPr>
        <w:pStyle w:val="BodyText"/>
        <w:widowControl w:val="0"/>
        <w:numPr>
          <w:ilvl w:val="0"/>
          <w:numId w:val="88"/>
        </w:numPr>
        <w:jc w:val="both"/>
        <w:rPr>
          <w:noProof/>
        </w:rPr>
      </w:pPr>
      <w:r w:rsidRPr="007F38F4">
        <w:rPr>
          <w:noProof/>
        </w:rPr>
        <w:t>ECHA key experts:</w:t>
      </w:r>
      <w:r w:rsidRPr="007F38F4">
        <w:rPr>
          <w:b/>
          <w:bCs/>
          <w:noProof/>
        </w:rPr>
        <w:t xml:space="preserve"> low impact</w:t>
      </w:r>
      <w:r w:rsidRPr="007F38F4">
        <w:rPr>
          <w:noProof/>
        </w:rPr>
        <w:t xml:space="preserve">. The task relies on expert competencies, but the task is limited and spread over time in its nature. </w:t>
      </w:r>
    </w:p>
    <w:p w14:paraId="48209DF1" w14:textId="77777777" w:rsidR="000A7D9D" w:rsidRPr="007F38F4" w:rsidRDefault="000A7D9D" w:rsidP="000A7D9D">
      <w:pPr>
        <w:pStyle w:val="BodyText"/>
        <w:rPr>
          <w:noProof/>
        </w:rPr>
      </w:pPr>
      <w:r w:rsidRPr="007F38F4">
        <w:rPr>
          <w:b/>
          <w:bCs/>
          <w:noProof/>
        </w:rPr>
        <w:t>Workload and resource implications:</w:t>
      </w:r>
    </w:p>
    <w:p w14:paraId="26580E55" w14:textId="77777777" w:rsidR="000A7D9D" w:rsidRPr="007F38F4" w:rsidRDefault="000A7D9D" w:rsidP="000A7D9D">
      <w:pPr>
        <w:spacing w:after="120"/>
        <w:rPr>
          <w:rFonts w:ascii="Times New Roman" w:hAnsi="Times New Roman" w:cs="Times New Roman"/>
          <w:noProof/>
          <w:sz w:val="24"/>
          <w:szCs w:val="24"/>
          <w:u w:val="single"/>
        </w:rPr>
      </w:pPr>
      <w:r w:rsidRPr="007F38F4">
        <w:rPr>
          <w:rFonts w:ascii="Times New Roman" w:hAnsi="Times New Roman" w:cs="Times New Roman"/>
          <w:noProof/>
          <w:sz w:val="24"/>
          <w:szCs w:val="24"/>
          <w:u w:val="single"/>
        </w:rPr>
        <w:t>Future workload and resource needs:</w:t>
      </w:r>
    </w:p>
    <w:p w14:paraId="1B2A8CF3" w14:textId="77777777" w:rsidR="000A7D9D" w:rsidRPr="007F38F4" w:rsidRDefault="000A7D9D" w:rsidP="000A7D9D">
      <w:pPr>
        <w:pStyle w:val="BodyText"/>
        <w:spacing w:line="259" w:lineRule="auto"/>
        <w:jc w:val="both"/>
        <w:rPr>
          <w:noProof/>
          <w:color w:val="000000" w:themeColor="text1"/>
        </w:rPr>
      </w:pPr>
      <w:r w:rsidRPr="007F38F4">
        <w:rPr>
          <w:noProof/>
          <w:color w:val="000000" w:themeColor="text1"/>
        </w:rPr>
        <w:t>The work on the new tasks is limited and spread over time in it is nature. On a need basis, it requires that ECHA will develop methodologies for the assessment it performs as regards chemicals. The development and setting the methodology is a standard practice for whoever performs the assessments, so this task can be seen as a formalisation of existing ECHA work. There is no need for additional resources for this task.</w:t>
      </w:r>
    </w:p>
    <w:p w14:paraId="4A6E1759" w14:textId="77777777" w:rsidR="000A7D9D" w:rsidRPr="007F38F4" w:rsidRDefault="000A7D9D" w:rsidP="000A7D9D">
      <w:pPr>
        <w:pStyle w:val="BodyText"/>
        <w:spacing w:line="259" w:lineRule="auto"/>
        <w:jc w:val="both"/>
        <w:rPr>
          <w:noProof/>
          <w:color w:val="000000" w:themeColor="text1"/>
        </w:rPr>
      </w:pPr>
      <w:r w:rsidRPr="007F38F4">
        <w:rPr>
          <w:noProof/>
          <w:color w:val="000000" w:themeColor="text1"/>
        </w:rPr>
        <w:t>ECHA will need to cooperate with EFSA, EEA and EMA in the areas on data, formats and methodologies. The need for additional resources for cooperation on these are already covered under the legislative proposal on data (operation of common data platform) or they are already within the mandate of ECHA. Consequently, there is no need for additional resources on this general formal mandate for ECHA to cooperate.</w:t>
      </w:r>
    </w:p>
    <w:p w14:paraId="7C829FB3" w14:textId="77777777" w:rsidR="000A7D9D" w:rsidRPr="007F38F4" w:rsidRDefault="000A7D9D" w:rsidP="000A7D9D">
      <w:pPr>
        <w:pStyle w:val="BodyText"/>
        <w:spacing w:line="259" w:lineRule="auto"/>
        <w:jc w:val="both"/>
        <w:rPr>
          <w:noProof/>
          <w:color w:val="000000" w:themeColor="text1"/>
        </w:rPr>
      </w:pPr>
      <w:r w:rsidRPr="007F38F4">
        <w:rPr>
          <w:noProof/>
          <w:color w:val="000000" w:themeColor="text1"/>
        </w:rPr>
        <w:t xml:space="preserve">ECHA will need to try to solve any divergence in technical or scientific issue with the other agency. ECHA already has such obligation in the existing regulation. The new task will require that the agencies make more effort to solve the issue among themselves, instead of just forwarding the problem to the Commission. Although it might require slightly higher amount of work by the agency as compared to today, such situations are rare and therefore this can be absorbed by the agency without any additional resources. </w:t>
      </w:r>
    </w:p>
    <w:p w14:paraId="3A358539" w14:textId="77777777" w:rsidR="000A7D9D" w:rsidRPr="007F38F4" w:rsidRDefault="000A7D9D" w:rsidP="000A7D9D">
      <w:pPr>
        <w:pStyle w:val="BodyText"/>
        <w:jc w:val="both"/>
        <w:rPr>
          <w:rFonts w:eastAsiaTheme="minorEastAsia"/>
          <w:noProof/>
          <w:lang w:val="en-US" w:eastAsia="en-GB"/>
        </w:rPr>
      </w:pPr>
      <w:r w:rsidRPr="007F38F4">
        <w:rPr>
          <w:rFonts w:eastAsiaTheme="minorEastAsia"/>
          <w:noProof/>
          <w:lang w:val="en-US" w:eastAsia="en-GB"/>
        </w:rPr>
        <w:t xml:space="preserve">Summary of additional resource needs for </w:t>
      </w:r>
      <w:r>
        <w:rPr>
          <w:rFonts w:eastAsiaTheme="minorEastAsia"/>
          <w:noProof/>
          <w:lang w:val="en-US" w:eastAsia="en-GB"/>
        </w:rPr>
        <w:t>c</w:t>
      </w:r>
      <w:r w:rsidRPr="007F38F4">
        <w:rPr>
          <w:rFonts w:eastAsiaTheme="minorEastAsia"/>
          <w:noProof/>
          <w:lang w:val="en-US" w:eastAsia="en-GB"/>
        </w:rPr>
        <w:t>ooperation of ECHA with other EU Agencies:</w:t>
      </w:r>
    </w:p>
    <w:tbl>
      <w:tblPr>
        <w:tblStyle w:val="TableGrid"/>
        <w:tblW w:w="0" w:type="auto"/>
        <w:tblLook w:val="04A0" w:firstRow="1" w:lastRow="0" w:firstColumn="1" w:lastColumn="0" w:noHBand="0" w:noVBand="1"/>
      </w:tblPr>
      <w:tblGrid>
        <w:gridCol w:w="1129"/>
        <w:gridCol w:w="3969"/>
        <w:gridCol w:w="1985"/>
        <w:gridCol w:w="1933"/>
      </w:tblGrid>
      <w:tr w:rsidR="000A7D9D" w:rsidRPr="002814A6" w14:paraId="7FB809DC" w14:textId="77777777" w:rsidTr="00F31937">
        <w:trPr>
          <w:trHeight w:val="300"/>
        </w:trPr>
        <w:tc>
          <w:tcPr>
            <w:tcW w:w="1129" w:type="dxa"/>
            <w:shd w:val="clear" w:color="auto" w:fill="D9D9D9" w:themeFill="background1" w:themeFillShade="D9"/>
          </w:tcPr>
          <w:p w14:paraId="3244A477" w14:textId="77777777" w:rsidR="000A7D9D" w:rsidRPr="002814A6" w:rsidRDefault="000A7D9D" w:rsidP="00F31937">
            <w:pPr>
              <w:pStyle w:val="BodyText"/>
              <w:spacing w:line="259" w:lineRule="auto"/>
              <w:rPr>
                <w:b/>
                <w:bCs/>
                <w:noProof/>
                <w:sz w:val="20"/>
                <w:szCs w:val="20"/>
              </w:rPr>
            </w:pPr>
            <w:r w:rsidRPr="002814A6">
              <w:rPr>
                <w:b/>
                <w:bCs/>
                <w:noProof/>
                <w:sz w:val="20"/>
                <w:szCs w:val="20"/>
              </w:rPr>
              <w:t>Agency</w:t>
            </w:r>
          </w:p>
        </w:tc>
        <w:tc>
          <w:tcPr>
            <w:tcW w:w="3969" w:type="dxa"/>
            <w:shd w:val="clear" w:color="auto" w:fill="D9D9D9" w:themeFill="background1" w:themeFillShade="D9"/>
          </w:tcPr>
          <w:p w14:paraId="0E662B05" w14:textId="77777777" w:rsidR="000A7D9D" w:rsidRPr="002814A6" w:rsidRDefault="000A7D9D" w:rsidP="00F31937">
            <w:pPr>
              <w:pStyle w:val="BodyText"/>
              <w:rPr>
                <w:b/>
                <w:bCs/>
                <w:noProof/>
                <w:sz w:val="20"/>
                <w:szCs w:val="20"/>
              </w:rPr>
            </w:pPr>
            <w:r w:rsidRPr="002814A6">
              <w:rPr>
                <w:b/>
                <w:bCs/>
                <w:noProof/>
                <w:sz w:val="20"/>
                <w:szCs w:val="20"/>
              </w:rPr>
              <w:t>Summary of tasks</w:t>
            </w:r>
          </w:p>
        </w:tc>
        <w:tc>
          <w:tcPr>
            <w:tcW w:w="1985" w:type="dxa"/>
            <w:shd w:val="clear" w:color="auto" w:fill="D9D9D9" w:themeFill="background1" w:themeFillShade="D9"/>
          </w:tcPr>
          <w:p w14:paraId="008D24BB" w14:textId="77777777" w:rsidR="000A7D9D" w:rsidRPr="002814A6" w:rsidRDefault="000A7D9D" w:rsidP="00F31937">
            <w:pPr>
              <w:pStyle w:val="BodyText"/>
              <w:tabs>
                <w:tab w:val="left" w:pos="4170"/>
              </w:tabs>
              <w:rPr>
                <w:noProof/>
                <w:sz w:val="20"/>
                <w:szCs w:val="20"/>
              </w:rPr>
            </w:pPr>
          </w:p>
        </w:tc>
        <w:tc>
          <w:tcPr>
            <w:tcW w:w="1933" w:type="dxa"/>
            <w:shd w:val="clear" w:color="auto" w:fill="D9D9D9" w:themeFill="background1" w:themeFillShade="D9"/>
          </w:tcPr>
          <w:p w14:paraId="41C6B91B" w14:textId="77777777" w:rsidR="000A7D9D" w:rsidRPr="002814A6" w:rsidRDefault="000A7D9D" w:rsidP="00F31937">
            <w:pPr>
              <w:pStyle w:val="BodyText"/>
              <w:tabs>
                <w:tab w:val="left" w:pos="4170"/>
              </w:tabs>
              <w:spacing w:after="0"/>
              <w:rPr>
                <w:noProof/>
                <w:sz w:val="20"/>
                <w:szCs w:val="20"/>
              </w:rPr>
            </w:pPr>
          </w:p>
        </w:tc>
      </w:tr>
      <w:tr w:rsidR="00BA24B0" w:rsidRPr="00187DBF" w14:paraId="16E646DE" w14:textId="77777777" w:rsidTr="00F31937">
        <w:trPr>
          <w:trHeight w:val="300"/>
        </w:trPr>
        <w:tc>
          <w:tcPr>
            <w:tcW w:w="1129" w:type="dxa"/>
            <w:vMerge w:val="restart"/>
            <w:shd w:val="clear" w:color="auto" w:fill="D9D9D9" w:themeFill="background1" w:themeFillShade="D9"/>
          </w:tcPr>
          <w:p w14:paraId="525F4C69" w14:textId="77777777" w:rsidR="00BA24B0" w:rsidRPr="002814A6" w:rsidRDefault="00BA24B0" w:rsidP="00F31937">
            <w:pPr>
              <w:pStyle w:val="BodyText"/>
              <w:spacing w:line="259" w:lineRule="auto"/>
              <w:rPr>
                <w:noProof/>
                <w:sz w:val="20"/>
                <w:szCs w:val="20"/>
              </w:rPr>
            </w:pPr>
            <w:r w:rsidRPr="002814A6">
              <w:rPr>
                <w:noProof/>
                <w:sz w:val="20"/>
                <w:szCs w:val="20"/>
              </w:rPr>
              <w:t>ECHA</w:t>
            </w:r>
          </w:p>
        </w:tc>
        <w:tc>
          <w:tcPr>
            <w:tcW w:w="3969" w:type="dxa"/>
            <w:vMerge w:val="restart"/>
            <w:shd w:val="clear" w:color="auto" w:fill="D9D9D9" w:themeFill="background1" w:themeFillShade="D9"/>
          </w:tcPr>
          <w:p w14:paraId="2D032BFE" w14:textId="77777777" w:rsidR="00BA24B0" w:rsidRPr="002814A6" w:rsidRDefault="00BA24B0" w:rsidP="00F31937">
            <w:pPr>
              <w:pStyle w:val="BodyText"/>
              <w:spacing w:after="0"/>
              <w:rPr>
                <w:noProof/>
                <w:sz w:val="20"/>
                <w:szCs w:val="20"/>
              </w:rPr>
            </w:pPr>
            <w:r w:rsidRPr="002814A6">
              <w:rPr>
                <w:noProof/>
                <w:sz w:val="20"/>
                <w:szCs w:val="20"/>
              </w:rPr>
              <w:t>- Development of methodologies for assessments related to chemicals within its missions</w:t>
            </w:r>
          </w:p>
          <w:p w14:paraId="6DBB6C90" w14:textId="77777777" w:rsidR="00BA24B0" w:rsidRPr="002814A6" w:rsidRDefault="00BA24B0" w:rsidP="00F31937">
            <w:pPr>
              <w:pStyle w:val="BodyText"/>
              <w:spacing w:after="0"/>
              <w:rPr>
                <w:noProof/>
                <w:sz w:val="20"/>
                <w:szCs w:val="20"/>
              </w:rPr>
            </w:pPr>
            <w:r w:rsidRPr="002814A6">
              <w:rPr>
                <w:noProof/>
                <w:sz w:val="20"/>
                <w:szCs w:val="20"/>
              </w:rPr>
              <w:t>- Cooperation with EFSA, EEA and EMA on issues related to chemicals</w:t>
            </w:r>
          </w:p>
          <w:p w14:paraId="4A40C07B" w14:textId="77777777" w:rsidR="00BA24B0" w:rsidRPr="002814A6" w:rsidRDefault="00BA24B0" w:rsidP="00F31937">
            <w:pPr>
              <w:pStyle w:val="BodyText"/>
              <w:spacing w:after="0"/>
              <w:rPr>
                <w:noProof/>
                <w:sz w:val="20"/>
                <w:szCs w:val="20"/>
              </w:rPr>
            </w:pPr>
            <w:r w:rsidRPr="002814A6">
              <w:rPr>
                <w:noProof/>
                <w:sz w:val="20"/>
                <w:szCs w:val="20"/>
              </w:rPr>
              <w:t xml:space="preserve">- Preventing and solving divergent opinions or assessments </w:t>
            </w:r>
          </w:p>
        </w:tc>
        <w:tc>
          <w:tcPr>
            <w:tcW w:w="1985" w:type="dxa"/>
            <w:shd w:val="clear" w:color="auto" w:fill="D9D9D9" w:themeFill="background1" w:themeFillShade="D9"/>
          </w:tcPr>
          <w:p w14:paraId="31250560" w14:textId="77777777" w:rsidR="00BA24B0" w:rsidRPr="002814A6" w:rsidRDefault="00BA24B0" w:rsidP="00F31937">
            <w:pPr>
              <w:pStyle w:val="BodyText"/>
              <w:tabs>
                <w:tab w:val="left" w:pos="4170"/>
              </w:tabs>
              <w:rPr>
                <w:noProof/>
                <w:sz w:val="20"/>
                <w:szCs w:val="20"/>
              </w:rPr>
            </w:pPr>
            <w:r w:rsidRPr="002814A6">
              <w:rPr>
                <w:noProof/>
                <w:sz w:val="20"/>
                <w:szCs w:val="20"/>
              </w:rPr>
              <w:t>Financial resource needs:</w:t>
            </w:r>
          </w:p>
        </w:tc>
        <w:tc>
          <w:tcPr>
            <w:tcW w:w="1933" w:type="dxa"/>
            <w:shd w:val="clear" w:color="auto" w:fill="D9D9D9" w:themeFill="background1" w:themeFillShade="D9"/>
          </w:tcPr>
          <w:p w14:paraId="744C13C8" w14:textId="77777777" w:rsidR="00BA24B0" w:rsidRPr="002814A6" w:rsidRDefault="00BA24B0" w:rsidP="00F31937">
            <w:pPr>
              <w:pStyle w:val="BodyText"/>
              <w:tabs>
                <w:tab w:val="left" w:pos="4170"/>
              </w:tabs>
              <w:spacing w:after="0"/>
              <w:rPr>
                <w:noProof/>
                <w:sz w:val="20"/>
                <w:szCs w:val="20"/>
                <w:lang w:val="fr-BE"/>
              </w:rPr>
            </w:pPr>
            <w:r w:rsidRPr="002814A6">
              <w:rPr>
                <w:noProof/>
                <w:sz w:val="20"/>
                <w:szCs w:val="20"/>
                <w:lang w:val="fr-BE"/>
              </w:rPr>
              <w:t xml:space="preserve">2024: </w:t>
            </w:r>
            <w:r w:rsidRPr="002814A6">
              <w:rPr>
                <w:b/>
                <w:noProof/>
                <w:sz w:val="20"/>
                <w:szCs w:val="20"/>
                <w:lang w:val="fr-BE"/>
              </w:rPr>
              <w:t>EUR 0</w:t>
            </w:r>
            <w:r w:rsidRPr="002814A6">
              <w:rPr>
                <w:noProof/>
                <w:sz w:val="20"/>
                <w:szCs w:val="20"/>
                <w:lang w:val="fr-BE"/>
              </w:rPr>
              <w:t xml:space="preserve"> </w:t>
            </w:r>
          </w:p>
          <w:p w14:paraId="259FCCAE" w14:textId="77777777" w:rsidR="00BA24B0" w:rsidRPr="002814A6" w:rsidRDefault="00BA24B0" w:rsidP="00F31937">
            <w:pPr>
              <w:pStyle w:val="BodyText"/>
              <w:tabs>
                <w:tab w:val="left" w:pos="4170"/>
              </w:tabs>
              <w:spacing w:after="0"/>
              <w:rPr>
                <w:noProof/>
                <w:sz w:val="20"/>
                <w:szCs w:val="20"/>
                <w:lang w:val="fr-BE"/>
              </w:rPr>
            </w:pPr>
            <w:r w:rsidRPr="002814A6">
              <w:rPr>
                <w:noProof/>
                <w:sz w:val="20"/>
                <w:szCs w:val="20"/>
                <w:lang w:val="fr-BE"/>
              </w:rPr>
              <w:t xml:space="preserve">2025: </w:t>
            </w:r>
            <w:r w:rsidRPr="002814A6">
              <w:rPr>
                <w:b/>
                <w:noProof/>
                <w:sz w:val="20"/>
                <w:szCs w:val="20"/>
                <w:lang w:val="fr-BE"/>
              </w:rPr>
              <w:t>EUR 0</w:t>
            </w:r>
          </w:p>
          <w:p w14:paraId="7E7BEDC6" w14:textId="77777777" w:rsidR="00BA24B0" w:rsidRPr="002814A6" w:rsidRDefault="00BA24B0" w:rsidP="00F31937">
            <w:pPr>
              <w:pStyle w:val="BodyText"/>
              <w:tabs>
                <w:tab w:val="left" w:pos="4170"/>
              </w:tabs>
              <w:spacing w:after="0"/>
              <w:rPr>
                <w:noProof/>
                <w:sz w:val="20"/>
                <w:szCs w:val="20"/>
                <w:lang w:val="fr-BE"/>
              </w:rPr>
            </w:pPr>
            <w:r w:rsidRPr="002814A6">
              <w:rPr>
                <w:noProof/>
                <w:sz w:val="20"/>
                <w:szCs w:val="20"/>
                <w:lang w:val="fr-BE"/>
              </w:rPr>
              <w:t xml:space="preserve">2026: </w:t>
            </w:r>
            <w:r w:rsidRPr="002814A6">
              <w:rPr>
                <w:b/>
                <w:noProof/>
                <w:sz w:val="20"/>
                <w:szCs w:val="20"/>
                <w:lang w:val="fr-BE"/>
              </w:rPr>
              <w:t>EUR 0</w:t>
            </w:r>
          </w:p>
          <w:p w14:paraId="735DB877" w14:textId="77777777" w:rsidR="00BA24B0" w:rsidRPr="002814A6" w:rsidRDefault="00BA24B0" w:rsidP="00F31937">
            <w:pPr>
              <w:pStyle w:val="BodyText"/>
              <w:tabs>
                <w:tab w:val="left" w:pos="4170"/>
              </w:tabs>
              <w:spacing w:after="0"/>
              <w:rPr>
                <w:b/>
                <w:noProof/>
                <w:sz w:val="20"/>
                <w:szCs w:val="20"/>
                <w:lang w:val="fr-BE"/>
              </w:rPr>
            </w:pPr>
            <w:r w:rsidRPr="002814A6">
              <w:rPr>
                <w:noProof/>
                <w:sz w:val="20"/>
                <w:szCs w:val="20"/>
                <w:lang w:val="fr-BE"/>
              </w:rPr>
              <w:t xml:space="preserve">2027: </w:t>
            </w:r>
            <w:r w:rsidRPr="002814A6">
              <w:rPr>
                <w:b/>
                <w:noProof/>
                <w:sz w:val="20"/>
                <w:szCs w:val="20"/>
                <w:lang w:val="fr-BE"/>
              </w:rPr>
              <w:t>EUR 0</w:t>
            </w:r>
          </w:p>
          <w:p w14:paraId="6D7AB107" w14:textId="77777777" w:rsidR="00BA24B0" w:rsidRPr="002814A6" w:rsidRDefault="00BA24B0" w:rsidP="00F31937">
            <w:pPr>
              <w:pStyle w:val="BodyText"/>
              <w:tabs>
                <w:tab w:val="left" w:pos="4170"/>
              </w:tabs>
              <w:spacing w:after="0"/>
              <w:rPr>
                <w:noProof/>
                <w:sz w:val="20"/>
                <w:szCs w:val="20"/>
                <w:lang w:val="fr-BE"/>
              </w:rPr>
            </w:pPr>
            <w:r w:rsidRPr="002814A6">
              <w:rPr>
                <w:noProof/>
                <w:sz w:val="20"/>
                <w:szCs w:val="20"/>
                <w:lang w:val="fr-BE"/>
              </w:rPr>
              <w:t>2028:</w:t>
            </w:r>
            <w:r w:rsidRPr="002814A6">
              <w:rPr>
                <w:b/>
                <w:noProof/>
                <w:sz w:val="20"/>
                <w:szCs w:val="20"/>
                <w:lang w:val="fr-BE"/>
              </w:rPr>
              <w:t xml:space="preserve"> EUR 0</w:t>
            </w:r>
          </w:p>
        </w:tc>
      </w:tr>
      <w:tr w:rsidR="00BA24B0" w:rsidRPr="002814A6" w14:paraId="10E8E707" w14:textId="77777777" w:rsidTr="00F31937">
        <w:trPr>
          <w:trHeight w:val="300"/>
        </w:trPr>
        <w:tc>
          <w:tcPr>
            <w:tcW w:w="1129" w:type="dxa"/>
            <w:vMerge/>
            <w:shd w:val="clear" w:color="auto" w:fill="D9D9D9" w:themeFill="background1" w:themeFillShade="D9"/>
          </w:tcPr>
          <w:p w14:paraId="1B3966BA" w14:textId="77777777" w:rsidR="00BA24B0" w:rsidRPr="002814A6" w:rsidRDefault="00BA24B0" w:rsidP="00F31937">
            <w:pPr>
              <w:pStyle w:val="BodyText"/>
              <w:rPr>
                <w:noProof/>
                <w:sz w:val="20"/>
                <w:szCs w:val="20"/>
                <w:lang w:val="fr-BE"/>
              </w:rPr>
            </w:pPr>
          </w:p>
        </w:tc>
        <w:tc>
          <w:tcPr>
            <w:tcW w:w="3969" w:type="dxa"/>
            <w:vMerge/>
            <w:shd w:val="clear" w:color="auto" w:fill="D9D9D9" w:themeFill="background1" w:themeFillShade="D9"/>
          </w:tcPr>
          <w:p w14:paraId="0426AA44" w14:textId="77777777" w:rsidR="00BA24B0" w:rsidRPr="002814A6" w:rsidRDefault="00BA24B0" w:rsidP="00F31937">
            <w:pPr>
              <w:pStyle w:val="BodyText"/>
              <w:rPr>
                <w:noProof/>
                <w:sz w:val="20"/>
                <w:szCs w:val="20"/>
                <w:lang w:val="fr-BE"/>
              </w:rPr>
            </w:pPr>
          </w:p>
        </w:tc>
        <w:tc>
          <w:tcPr>
            <w:tcW w:w="1985" w:type="dxa"/>
            <w:shd w:val="clear" w:color="auto" w:fill="D9D9D9" w:themeFill="background1" w:themeFillShade="D9"/>
          </w:tcPr>
          <w:p w14:paraId="5A5EAB1F" w14:textId="77777777" w:rsidR="00BA24B0" w:rsidRPr="002814A6" w:rsidRDefault="00BA24B0" w:rsidP="00F31937">
            <w:pPr>
              <w:pStyle w:val="BodyText"/>
              <w:tabs>
                <w:tab w:val="left" w:pos="4170"/>
              </w:tabs>
              <w:rPr>
                <w:noProof/>
                <w:sz w:val="20"/>
                <w:szCs w:val="20"/>
              </w:rPr>
            </w:pPr>
            <w:r w:rsidRPr="002814A6">
              <w:rPr>
                <w:noProof/>
                <w:sz w:val="20"/>
                <w:szCs w:val="20"/>
              </w:rPr>
              <w:t>Human resource needs:</w:t>
            </w:r>
          </w:p>
        </w:tc>
        <w:tc>
          <w:tcPr>
            <w:tcW w:w="1933" w:type="dxa"/>
            <w:shd w:val="clear" w:color="auto" w:fill="D9D9D9" w:themeFill="background1" w:themeFillShade="D9"/>
          </w:tcPr>
          <w:p w14:paraId="7CD7BBD8" w14:textId="77777777" w:rsidR="00BA24B0" w:rsidRPr="002814A6" w:rsidRDefault="00BA24B0" w:rsidP="00F31937">
            <w:pPr>
              <w:pStyle w:val="BodyText"/>
              <w:tabs>
                <w:tab w:val="left" w:pos="4170"/>
              </w:tabs>
              <w:spacing w:after="0"/>
              <w:rPr>
                <w:noProof/>
                <w:sz w:val="20"/>
                <w:szCs w:val="20"/>
              </w:rPr>
            </w:pPr>
            <w:r w:rsidRPr="002814A6">
              <w:rPr>
                <w:noProof/>
                <w:sz w:val="20"/>
                <w:szCs w:val="20"/>
              </w:rPr>
              <w:t xml:space="preserve">2024:  </w:t>
            </w:r>
            <w:r w:rsidRPr="002814A6">
              <w:rPr>
                <w:b/>
                <w:noProof/>
                <w:sz w:val="20"/>
                <w:szCs w:val="20"/>
              </w:rPr>
              <w:t>0 FTE</w:t>
            </w:r>
          </w:p>
          <w:p w14:paraId="7B4E49C6" w14:textId="77777777" w:rsidR="00BA24B0" w:rsidRPr="002814A6" w:rsidRDefault="00BA24B0" w:rsidP="00F31937">
            <w:pPr>
              <w:pStyle w:val="BodyText"/>
              <w:tabs>
                <w:tab w:val="left" w:pos="4170"/>
              </w:tabs>
              <w:spacing w:after="0"/>
              <w:rPr>
                <w:b/>
                <w:noProof/>
                <w:sz w:val="20"/>
                <w:szCs w:val="20"/>
              </w:rPr>
            </w:pPr>
            <w:r w:rsidRPr="002814A6">
              <w:rPr>
                <w:noProof/>
                <w:sz w:val="20"/>
                <w:szCs w:val="20"/>
              </w:rPr>
              <w:t xml:space="preserve">2025:  </w:t>
            </w:r>
            <w:r w:rsidRPr="002814A6">
              <w:rPr>
                <w:b/>
                <w:noProof/>
                <w:sz w:val="20"/>
                <w:szCs w:val="20"/>
              </w:rPr>
              <w:t>0 FTE</w:t>
            </w:r>
          </w:p>
          <w:p w14:paraId="057117F6" w14:textId="77777777" w:rsidR="00BA24B0" w:rsidRPr="002814A6" w:rsidRDefault="00BA24B0" w:rsidP="00F31937">
            <w:pPr>
              <w:pStyle w:val="BodyText"/>
              <w:tabs>
                <w:tab w:val="left" w:pos="4170"/>
              </w:tabs>
              <w:spacing w:after="0"/>
              <w:rPr>
                <w:noProof/>
                <w:sz w:val="20"/>
                <w:szCs w:val="20"/>
              </w:rPr>
            </w:pPr>
            <w:r w:rsidRPr="002814A6">
              <w:rPr>
                <w:noProof/>
                <w:sz w:val="20"/>
                <w:szCs w:val="20"/>
              </w:rPr>
              <w:t xml:space="preserve">2026:  </w:t>
            </w:r>
            <w:r w:rsidRPr="002814A6">
              <w:rPr>
                <w:b/>
                <w:noProof/>
                <w:sz w:val="20"/>
                <w:szCs w:val="20"/>
              </w:rPr>
              <w:t>0 FTE</w:t>
            </w:r>
          </w:p>
          <w:p w14:paraId="5EB0E28D" w14:textId="77777777" w:rsidR="00BA24B0" w:rsidRPr="002814A6" w:rsidRDefault="00BA24B0" w:rsidP="00F31937">
            <w:pPr>
              <w:pStyle w:val="BodyText"/>
              <w:tabs>
                <w:tab w:val="left" w:pos="4170"/>
              </w:tabs>
              <w:spacing w:after="0"/>
              <w:rPr>
                <w:b/>
                <w:noProof/>
                <w:sz w:val="20"/>
                <w:szCs w:val="20"/>
              </w:rPr>
            </w:pPr>
            <w:r w:rsidRPr="002814A6">
              <w:rPr>
                <w:noProof/>
                <w:sz w:val="20"/>
                <w:szCs w:val="20"/>
              </w:rPr>
              <w:t xml:space="preserve">2027:  </w:t>
            </w:r>
            <w:r w:rsidRPr="002814A6">
              <w:rPr>
                <w:b/>
                <w:noProof/>
                <w:sz w:val="20"/>
                <w:szCs w:val="20"/>
              </w:rPr>
              <w:t>0 FTE</w:t>
            </w:r>
          </w:p>
          <w:p w14:paraId="42F01F2D" w14:textId="77777777" w:rsidR="00BA24B0" w:rsidRPr="002814A6" w:rsidRDefault="00BA24B0" w:rsidP="00F31937">
            <w:pPr>
              <w:pStyle w:val="BodyText"/>
              <w:tabs>
                <w:tab w:val="left" w:pos="4170"/>
              </w:tabs>
              <w:spacing w:after="0"/>
              <w:rPr>
                <w:noProof/>
                <w:sz w:val="20"/>
                <w:szCs w:val="20"/>
              </w:rPr>
            </w:pPr>
            <w:r w:rsidRPr="002814A6">
              <w:rPr>
                <w:noProof/>
                <w:sz w:val="20"/>
                <w:szCs w:val="20"/>
              </w:rPr>
              <w:t>2028:</w:t>
            </w:r>
            <w:r w:rsidRPr="002814A6">
              <w:rPr>
                <w:b/>
                <w:noProof/>
                <w:sz w:val="20"/>
                <w:szCs w:val="20"/>
              </w:rPr>
              <w:t xml:space="preserve">  0 FTE</w:t>
            </w:r>
          </w:p>
        </w:tc>
      </w:tr>
    </w:tbl>
    <w:p w14:paraId="51F3BDAD" w14:textId="77777777" w:rsidR="000A7D9D" w:rsidRPr="007F38F4" w:rsidRDefault="000A7D9D" w:rsidP="000A7D9D">
      <w:pPr>
        <w:pStyle w:val="BodyText"/>
        <w:tabs>
          <w:tab w:val="left" w:pos="4170"/>
        </w:tabs>
        <w:spacing w:before="120"/>
        <w:rPr>
          <w:noProof/>
          <w:color w:val="000000" w:themeColor="text1"/>
        </w:rPr>
      </w:pPr>
      <w:r w:rsidRPr="007F38F4">
        <w:rPr>
          <w:noProof/>
          <w:u w:val="single"/>
        </w:rPr>
        <w:t>Future budget line:</w:t>
      </w:r>
      <w:r w:rsidRPr="007F38F4">
        <w:rPr>
          <w:noProof/>
        </w:rPr>
        <w:t xml:space="preserve"> DG GROW </w:t>
      </w:r>
    </w:p>
    <w:p w14:paraId="0EC0704A" w14:textId="77777777" w:rsidR="000A7D9D" w:rsidRPr="007F38F4" w:rsidRDefault="000A7D9D" w:rsidP="000A7D9D">
      <w:pPr>
        <w:pStyle w:val="BodyText"/>
        <w:tabs>
          <w:tab w:val="left" w:pos="4170"/>
        </w:tabs>
        <w:rPr>
          <w:noProof/>
        </w:rPr>
      </w:pPr>
      <w:r w:rsidRPr="007F38F4">
        <w:rPr>
          <w:noProof/>
          <w:u w:val="single"/>
        </w:rPr>
        <w:t>Candidate for fees:</w:t>
      </w:r>
      <w:r w:rsidRPr="007F38F4">
        <w:rPr>
          <w:noProof/>
        </w:rPr>
        <w:t xml:space="preserve"> No</w:t>
      </w:r>
    </w:p>
    <w:p w14:paraId="07A08394" w14:textId="77777777" w:rsidR="000A7D9D" w:rsidRPr="00FF4268" w:rsidRDefault="000A7D9D" w:rsidP="000A7D9D">
      <w:pPr>
        <w:pStyle w:val="BodyText"/>
        <w:rPr>
          <w:noProof/>
        </w:rPr>
      </w:pPr>
    </w:p>
    <w:p w14:paraId="33E47D30" w14:textId="77777777" w:rsidR="000A7D9D" w:rsidRPr="00217E38"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val="fr-BE" w:eastAsia="en-US"/>
        </w:rPr>
      </w:pPr>
      <w:bookmarkStart w:id="88" w:name="_Toc150499949"/>
      <w:r w:rsidRPr="00217E38">
        <w:rPr>
          <w:rFonts w:ascii="Times New Roman" w:hAnsi="Times New Roman"/>
          <w:smallCaps/>
          <w:noProof/>
          <w:color w:val="auto"/>
          <w:sz w:val="24"/>
          <w:szCs w:val="20"/>
          <w:lang w:val="fr-BE" w:eastAsia="en-US"/>
        </w:rPr>
        <w:t>Scientific opinions on occupational exposure limits</w:t>
      </w:r>
      <w:bookmarkEnd w:id="88"/>
    </w:p>
    <w:p w14:paraId="5FA36BA8" w14:textId="77777777" w:rsidR="000A7D9D" w:rsidRPr="007F38F4" w:rsidRDefault="000A7D9D" w:rsidP="000A7D9D">
      <w:pPr>
        <w:spacing w:after="120"/>
        <w:rPr>
          <w:rFonts w:ascii="Times New Roman" w:hAnsi="Times New Roman" w:cs="Times New Roman"/>
          <w:b/>
          <w:bCs/>
          <w:noProof/>
          <w:sz w:val="24"/>
          <w:szCs w:val="24"/>
        </w:rPr>
      </w:pPr>
      <w:r w:rsidRPr="007F38F4">
        <w:rPr>
          <w:rFonts w:ascii="Times New Roman" w:hAnsi="Times New Roman" w:cs="Times New Roman"/>
          <w:b/>
          <w:bCs/>
          <w:noProof/>
          <w:sz w:val="24"/>
          <w:szCs w:val="24"/>
        </w:rPr>
        <w:t>Responsible body:</w:t>
      </w:r>
    </w:p>
    <w:p w14:paraId="1B660857"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u w:val="single"/>
        </w:rPr>
        <w:t>Currently:</w:t>
      </w:r>
      <w:r w:rsidRPr="007F38F4">
        <w:rPr>
          <w:rFonts w:ascii="Times New Roman" w:hAnsi="Times New Roman" w:cs="Times New Roman"/>
          <w:noProof/>
          <w:sz w:val="24"/>
          <w:szCs w:val="24"/>
        </w:rPr>
        <w:t xml:space="preserve"> Commission, delegated to ECHA</w:t>
      </w:r>
    </w:p>
    <w:p w14:paraId="345AB232"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u w:val="single"/>
        </w:rPr>
        <w:t>(Re-)attribution planned to:</w:t>
      </w:r>
      <w:r w:rsidRPr="007F38F4">
        <w:rPr>
          <w:rFonts w:ascii="Times New Roman" w:hAnsi="Times New Roman" w:cs="Times New Roman"/>
          <w:noProof/>
          <w:sz w:val="24"/>
          <w:szCs w:val="24"/>
        </w:rPr>
        <w:t xml:space="preserve"> ECHA</w:t>
      </w:r>
    </w:p>
    <w:p w14:paraId="1672F1AC" w14:textId="77777777" w:rsidR="000A7D9D" w:rsidRPr="007F38F4" w:rsidRDefault="000A7D9D" w:rsidP="000A7D9D">
      <w:pPr>
        <w:pStyle w:val="BodyText"/>
        <w:rPr>
          <w:noProof/>
        </w:rPr>
      </w:pPr>
      <w:r w:rsidRPr="007F38F4">
        <w:rPr>
          <w:b/>
          <w:bCs/>
          <w:noProof/>
        </w:rPr>
        <w:t xml:space="preserve">Legal basis for reattribution: </w:t>
      </w:r>
      <w:r w:rsidRPr="007F38F4">
        <w:rPr>
          <w:noProof/>
        </w:rPr>
        <w:t>ECHA founding regulation</w:t>
      </w:r>
    </w:p>
    <w:p w14:paraId="52AE0E3A"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b/>
          <w:bCs/>
          <w:noProof/>
          <w:sz w:val="24"/>
          <w:szCs w:val="24"/>
        </w:rPr>
        <w:t xml:space="preserve">Type of task: </w:t>
      </w:r>
      <w:r w:rsidRPr="007F38F4">
        <w:rPr>
          <w:rFonts w:ascii="Times New Roman" w:hAnsi="Times New Roman" w:cs="Times New Roman"/>
          <w:noProof/>
          <w:sz w:val="24"/>
          <w:szCs w:val="24"/>
        </w:rPr>
        <w:t>existing</w:t>
      </w:r>
    </w:p>
    <w:p w14:paraId="7A64B07E" w14:textId="77777777" w:rsidR="000A7D9D" w:rsidRPr="007F38F4" w:rsidRDefault="000A7D9D" w:rsidP="000A7D9D">
      <w:pPr>
        <w:pStyle w:val="BodyText"/>
        <w:jc w:val="both"/>
        <w:rPr>
          <w:noProof/>
        </w:rPr>
      </w:pPr>
      <w:r w:rsidRPr="007F38F4">
        <w:rPr>
          <w:b/>
          <w:bCs/>
          <w:noProof/>
        </w:rPr>
        <w:t xml:space="preserve">Brief task overview: </w:t>
      </w:r>
      <w:r w:rsidRPr="007F38F4">
        <w:rPr>
          <w:noProof/>
        </w:rPr>
        <w:t>Assessments underpinning setting the EU occupational exposure levels</w:t>
      </w:r>
    </w:p>
    <w:p w14:paraId="03D3C16C" w14:textId="77777777" w:rsidR="000A7D9D" w:rsidRPr="007F38F4" w:rsidRDefault="000A7D9D" w:rsidP="000A7D9D">
      <w:pPr>
        <w:pStyle w:val="BodyText"/>
        <w:rPr>
          <w:b/>
          <w:bCs/>
          <w:noProof/>
        </w:rPr>
      </w:pPr>
      <w:r w:rsidRPr="007F38F4">
        <w:rPr>
          <w:b/>
          <w:bCs/>
          <w:noProof/>
        </w:rPr>
        <w:t>Detailed process description:</w:t>
      </w:r>
    </w:p>
    <w:p w14:paraId="6DAFF238" w14:textId="77777777" w:rsidR="000A7D9D" w:rsidRPr="007F38F4" w:rsidRDefault="000A7D9D" w:rsidP="000A7D9D">
      <w:pPr>
        <w:pStyle w:val="BodyText"/>
        <w:spacing w:line="259" w:lineRule="auto"/>
        <w:jc w:val="both"/>
        <w:rPr>
          <w:i/>
          <w:iCs/>
          <w:noProof/>
          <w:u w:val="single"/>
        </w:rPr>
      </w:pPr>
      <w:r w:rsidRPr="007F38F4">
        <w:rPr>
          <w:i/>
          <w:iCs/>
          <w:noProof/>
          <w:u w:val="single"/>
        </w:rPr>
        <w:t>Current process:</w:t>
      </w:r>
    </w:p>
    <w:p w14:paraId="11EC5212" w14:textId="77777777" w:rsidR="000A7D9D" w:rsidRPr="007F38F4" w:rsidRDefault="000A7D9D" w:rsidP="000A7D9D">
      <w:pPr>
        <w:pStyle w:val="BodyText"/>
        <w:spacing w:line="259" w:lineRule="auto"/>
        <w:jc w:val="both"/>
        <w:rPr>
          <w:i/>
          <w:iCs/>
          <w:noProof/>
        </w:rPr>
      </w:pPr>
      <w:r w:rsidRPr="007F38F4">
        <w:rPr>
          <w:noProof/>
        </w:rPr>
        <w:t>Occupational exposure limit (OEL) values are adopted under two legal frameworks (Chemical Agents Directive (CAD) and Carcinogens and Mutagens Directive (CMD)) that form an integral part of the EU’s mechanism for protecting the health of workers. In addition, there is a specific directive on asbestos that includes an OEL for this substance. Occupational exposure limits adopted by the EU need to be integrated into the national legislative framework.</w:t>
      </w:r>
    </w:p>
    <w:p w14:paraId="32153C9B" w14:textId="77777777" w:rsidR="000A7D9D" w:rsidRPr="007F38F4" w:rsidRDefault="000A7D9D" w:rsidP="000A7D9D">
      <w:pPr>
        <w:pStyle w:val="BodyText"/>
        <w:jc w:val="both"/>
        <w:rPr>
          <w:noProof/>
        </w:rPr>
      </w:pPr>
      <w:r w:rsidRPr="007F38F4">
        <w:rPr>
          <w:noProof/>
        </w:rPr>
        <w:t>ECHA and its Committee for Risk Assessment (RAC) have been supporting the European Commission’s Directorate-General for Employment, Social Affairs and Inclusion (DG EMPL) by providing scientific opinions on OELs since 2019. This work was previously carried out by DG EMPL’s Scientific Committee on Occupational Exposure Limits (SCOEL).</w:t>
      </w:r>
    </w:p>
    <w:p w14:paraId="73C2C565" w14:textId="77777777" w:rsidR="000A7D9D" w:rsidRPr="007F38F4" w:rsidRDefault="000A7D9D" w:rsidP="000A7D9D">
      <w:pPr>
        <w:pStyle w:val="BodyText"/>
        <w:jc w:val="both"/>
        <w:rPr>
          <w:noProof/>
        </w:rPr>
      </w:pPr>
      <w:r w:rsidRPr="007F38F4">
        <w:rPr>
          <w:noProof/>
        </w:rPr>
        <w:t>Following the request from DG EMPL, ECHA prepares a scientific report for its Committee for Risk Assessment (RAC) based on the available scientific data and any relevant information collected through a 90-day call for evidence. The scientific report is subject to a 60-day open consultation. RAC then develops its opinion based on a review of ECHA’s scientific report and the information provided during the consultation. ECHA’s scientific report becomes an integral part of RAC’s opinion and forms an annex to the opinion. The adopted final RAC opinion is then forwarded to DG EMPL.</w:t>
      </w:r>
    </w:p>
    <w:p w14:paraId="121BB1A6" w14:textId="77777777" w:rsidR="000A7D9D" w:rsidRPr="007F38F4" w:rsidRDefault="000A7D9D" w:rsidP="000A7D9D">
      <w:pPr>
        <w:pStyle w:val="BodyText"/>
        <w:jc w:val="both"/>
        <w:rPr>
          <w:noProof/>
        </w:rPr>
      </w:pPr>
      <w:r w:rsidRPr="007F38F4">
        <w:rPr>
          <w:noProof/>
        </w:rPr>
        <w:t>DG EMPL will discuss RAC’s report in the tripartite Working Party on Chemicals. This working party prepares a draft opinion on the proposed occupational exposure limit, which is then presented to the tripartite Advisory Committee on Safety and Health for adoption. In the end, the Commission adopts a legislative proposal. For binding OELs, this happens through the ordinary legislative procedure for adoption by the Council and the European Parliament. For indicative OELs, it happens through a Commission directive.</w:t>
      </w:r>
    </w:p>
    <w:p w14:paraId="4B7AEDD1" w14:textId="77777777" w:rsidR="000A7D9D" w:rsidRPr="007F38F4" w:rsidRDefault="000A7D9D" w:rsidP="000A7D9D">
      <w:pPr>
        <w:pStyle w:val="BodyText"/>
        <w:spacing w:line="259" w:lineRule="auto"/>
        <w:jc w:val="both"/>
        <w:rPr>
          <w:noProof/>
        </w:rPr>
      </w:pPr>
      <w:r w:rsidRPr="007F38F4">
        <w:rPr>
          <w:noProof/>
          <w:u w:val="single"/>
        </w:rPr>
        <w:t>Change in the process:</w:t>
      </w:r>
      <w:r w:rsidRPr="007F38F4">
        <w:rPr>
          <w:noProof/>
        </w:rPr>
        <w:t xml:space="preserve"> No</w:t>
      </w:r>
    </w:p>
    <w:p w14:paraId="460253D3" w14:textId="77777777" w:rsidR="000A7D9D" w:rsidRPr="007F38F4" w:rsidRDefault="000A7D9D" w:rsidP="000A7D9D">
      <w:pPr>
        <w:pStyle w:val="BodyText"/>
        <w:jc w:val="both"/>
        <w:rPr>
          <w:noProof/>
        </w:rPr>
      </w:pPr>
      <w:r w:rsidRPr="007F38F4">
        <w:rPr>
          <w:b/>
          <w:bCs/>
          <w:noProof/>
        </w:rPr>
        <w:t>Proximity to ECHA mandate:</w:t>
      </w:r>
      <w:r w:rsidRPr="007F38F4">
        <w:rPr>
          <w:noProof/>
        </w:rPr>
        <w:t xml:space="preserve"> The task is currently already performed by ECHA via an Service Level Agreement (SLA) and is a good fit with its core mandate. </w:t>
      </w:r>
    </w:p>
    <w:p w14:paraId="6256AAE1" w14:textId="77777777" w:rsidR="000A7D9D" w:rsidRPr="007F38F4" w:rsidRDefault="000A7D9D" w:rsidP="000A7D9D">
      <w:pPr>
        <w:pStyle w:val="BodyText"/>
        <w:jc w:val="both"/>
        <w:rPr>
          <w:b/>
          <w:bCs/>
          <w:noProof/>
        </w:rPr>
      </w:pPr>
      <w:r w:rsidRPr="007F38F4">
        <w:rPr>
          <w:b/>
          <w:bCs/>
          <w:noProof/>
        </w:rPr>
        <w:t xml:space="preserve">Main risks and opportunities: </w:t>
      </w:r>
      <w:r w:rsidRPr="007F38F4">
        <w:rPr>
          <w:noProof/>
        </w:rPr>
        <w:t xml:space="preserve">Resources in ECHA staffing are a limiting factor to do more OELs proposals. Capacity of the RAC secretariat is also a limiting factor. </w:t>
      </w:r>
    </w:p>
    <w:p w14:paraId="31E662CA" w14:textId="77777777" w:rsidR="000A7D9D" w:rsidRPr="007F38F4" w:rsidRDefault="000A7D9D" w:rsidP="000A7D9D">
      <w:pPr>
        <w:pStyle w:val="BodyText"/>
        <w:jc w:val="both"/>
        <w:rPr>
          <w:b/>
          <w:bCs/>
          <w:noProof/>
        </w:rPr>
      </w:pPr>
      <w:r w:rsidRPr="007F38F4">
        <w:rPr>
          <w:b/>
          <w:bCs/>
          <w:noProof/>
        </w:rPr>
        <w:t>Projected impact on ECHA:</w:t>
      </w:r>
    </w:p>
    <w:p w14:paraId="6E68AC2F" w14:textId="77777777" w:rsidR="000A7D9D" w:rsidRPr="007F38F4" w:rsidRDefault="000A7D9D" w:rsidP="000A7D9D">
      <w:pPr>
        <w:pStyle w:val="BodyText"/>
        <w:widowControl w:val="0"/>
        <w:numPr>
          <w:ilvl w:val="0"/>
          <w:numId w:val="88"/>
        </w:numPr>
        <w:spacing w:after="0"/>
        <w:jc w:val="both"/>
        <w:rPr>
          <w:b/>
          <w:bCs/>
          <w:noProof/>
        </w:rPr>
      </w:pPr>
      <w:r w:rsidRPr="007F38F4">
        <w:rPr>
          <w:noProof/>
        </w:rPr>
        <w:t xml:space="preserve">ECHA Committees/bodies: </w:t>
      </w:r>
      <w:r w:rsidRPr="007F38F4">
        <w:rPr>
          <w:b/>
          <w:bCs/>
          <w:noProof/>
        </w:rPr>
        <w:t>high impact</w:t>
      </w:r>
      <w:r w:rsidRPr="007F38F4">
        <w:rPr>
          <w:noProof/>
        </w:rPr>
        <w:t>. The task generates major impact on the setup / organisation / staffing of Committees/bodies due to the (additional) workload</w:t>
      </w:r>
    </w:p>
    <w:p w14:paraId="40A267E2" w14:textId="77777777" w:rsidR="000A7D9D" w:rsidRPr="007F38F4" w:rsidRDefault="000A7D9D" w:rsidP="000A7D9D">
      <w:pPr>
        <w:pStyle w:val="BodyText"/>
        <w:widowControl w:val="0"/>
        <w:numPr>
          <w:ilvl w:val="0"/>
          <w:numId w:val="88"/>
        </w:numPr>
        <w:spacing w:after="0"/>
        <w:jc w:val="both"/>
        <w:rPr>
          <w:b/>
          <w:bCs/>
          <w:noProof/>
        </w:rPr>
      </w:pPr>
      <w:r w:rsidRPr="007F38F4">
        <w:rPr>
          <w:noProof/>
        </w:rPr>
        <w:t xml:space="preserve">ECHA data model and IT infrastructure: </w:t>
      </w:r>
      <w:r w:rsidRPr="007F38F4">
        <w:rPr>
          <w:b/>
          <w:bCs/>
          <w:noProof/>
        </w:rPr>
        <w:t>low impact</w:t>
      </w:r>
      <w:r w:rsidRPr="007F38F4">
        <w:rPr>
          <w:noProof/>
        </w:rPr>
        <w:t>. The task can be implemented with adjustments / configuration of existing data structures and IT systems</w:t>
      </w:r>
    </w:p>
    <w:p w14:paraId="317816A7" w14:textId="77777777" w:rsidR="000A7D9D" w:rsidRPr="007F38F4" w:rsidRDefault="000A7D9D" w:rsidP="000A7D9D">
      <w:pPr>
        <w:pStyle w:val="BodyText"/>
        <w:widowControl w:val="0"/>
        <w:numPr>
          <w:ilvl w:val="0"/>
          <w:numId w:val="88"/>
        </w:numPr>
        <w:jc w:val="both"/>
        <w:rPr>
          <w:b/>
          <w:bCs/>
          <w:noProof/>
        </w:rPr>
      </w:pPr>
      <w:r w:rsidRPr="007F38F4">
        <w:rPr>
          <w:noProof/>
        </w:rPr>
        <w:t>ECHA key experts:</w:t>
      </w:r>
      <w:r w:rsidRPr="007F38F4">
        <w:rPr>
          <w:b/>
          <w:bCs/>
          <w:noProof/>
        </w:rPr>
        <w:t xml:space="preserve"> high impact</w:t>
      </w:r>
      <w:r w:rsidRPr="007F38F4">
        <w:rPr>
          <w:noProof/>
        </w:rPr>
        <w:t>. The task heavily relies on expert competencies, which are limited within ECHA and also critical to REACH/CLP/BPR regulatory tasks</w:t>
      </w:r>
    </w:p>
    <w:p w14:paraId="6709DE6E" w14:textId="77777777" w:rsidR="000A7D9D" w:rsidRPr="007F38F4" w:rsidRDefault="000A7D9D" w:rsidP="000A7D9D">
      <w:pPr>
        <w:pStyle w:val="BodyText"/>
        <w:rPr>
          <w:noProof/>
        </w:rPr>
      </w:pPr>
      <w:r w:rsidRPr="007F38F4">
        <w:rPr>
          <w:rFonts w:eastAsia="Verdana"/>
          <w:b/>
          <w:bCs/>
          <w:noProof/>
        </w:rPr>
        <w:t>Workload and resource implications:</w:t>
      </w:r>
    </w:p>
    <w:p w14:paraId="00A71308" w14:textId="77777777" w:rsidR="000A7D9D" w:rsidRPr="007F38F4" w:rsidRDefault="000A7D9D" w:rsidP="000A7D9D">
      <w:pPr>
        <w:pStyle w:val="BodyText"/>
        <w:rPr>
          <w:noProof/>
          <w:u w:val="single"/>
        </w:rPr>
      </w:pPr>
      <w:r w:rsidRPr="007F38F4">
        <w:rPr>
          <w:noProof/>
          <w:u w:val="single"/>
        </w:rPr>
        <w:t>Current workload and resources used:</w:t>
      </w:r>
    </w:p>
    <w:p w14:paraId="2491D10E" w14:textId="77777777" w:rsidR="000A7D9D" w:rsidRPr="007F38F4" w:rsidRDefault="000A7D9D" w:rsidP="000A7D9D">
      <w:pPr>
        <w:pStyle w:val="BodyText"/>
        <w:jc w:val="both"/>
        <w:rPr>
          <w:noProof/>
        </w:rPr>
      </w:pPr>
      <w:r w:rsidRPr="007F38F4">
        <w:rPr>
          <w:noProof/>
        </w:rPr>
        <w:t xml:space="preserve">The number of RAC opinion on OELs varies between 0 and 3 opinions per year, with average of 1.5 opinion per year.  </w:t>
      </w:r>
    </w:p>
    <w:tbl>
      <w:tblPr>
        <w:tblStyle w:val="TableGrid"/>
        <w:tblW w:w="0" w:type="auto"/>
        <w:tblInd w:w="105" w:type="dxa"/>
        <w:tblLayout w:type="fixed"/>
        <w:tblLook w:val="04A0" w:firstRow="1" w:lastRow="0" w:firstColumn="1" w:lastColumn="0" w:noHBand="0" w:noVBand="1"/>
      </w:tblPr>
      <w:tblGrid>
        <w:gridCol w:w="2310"/>
        <w:gridCol w:w="645"/>
        <w:gridCol w:w="645"/>
        <w:gridCol w:w="645"/>
        <w:gridCol w:w="720"/>
        <w:gridCol w:w="720"/>
        <w:gridCol w:w="645"/>
        <w:gridCol w:w="720"/>
      </w:tblGrid>
      <w:tr w:rsidR="000A7D9D" w:rsidRPr="007F38F4" w14:paraId="78956498" w14:textId="77777777" w:rsidTr="00F31937">
        <w:trPr>
          <w:trHeight w:val="300"/>
        </w:trPr>
        <w:tc>
          <w:tcPr>
            <w:tcW w:w="2310" w:type="dxa"/>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108" w:type="dxa"/>
              <w:right w:w="108" w:type="dxa"/>
            </w:tcMar>
          </w:tcPr>
          <w:p w14:paraId="090DD3F1" w14:textId="77777777" w:rsidR="000A7D9D" w:rsidRPr="007F38F4" w:rsidRDefault="000A7D9D" w:rsidP="00F31937">
            <w:pPr>
              <w:jc w:val="both"/>
              <w:rPr>
                <w:rFonts w:eastAsia="Calibri"/>
                <w:b/>
                <w:bCs/>
                <w:noProof/>
              </w:rPr>
            </w:pPr>
          </w:p>
        </w:tc>
        <w:tc>
          <w:tcPr>
            <w:tcW w:w="4740" w:type="dxa"/>
            <w:gridSpan w:val="7"/>
            <w:tcBorders>
              <w:top w:val="single" w:sz="8"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tcPr>
          <w:p w14:paraId="728878F6" w14:textId="77777777" w:rsidR="000A7D9D" w:rsidRPr="007F38F4" w:rsidRDefault="000A7D9D" w:rsidP="00F31937">
            <w:pPr>
              <w:jc w:val="center"/>
              <w:rPr>
                <w:rFonts w:eastAsia="Calibri"/>
                <w:b/>
                <w:bCs/>
                <w:noProof/>
              </w:rPr>
            </w:pPr>
            <w:r w:rsidRPr="007F38F4">
              <w:rPr>
                <w:rFonts w:eastAsia="Calibri"/>
                <w:b/>
                <w:bCs/>
                <w:noProof/>
              </w:rPr>
              <w:t xml:space="preserve">Number of RAC opinions on OELs per year </w:t>
            </w:r>
          </w:p>
        </w:tc>
      </w:tr>
      <w:tr w:rsidR="000A7D9D" w:rsidRPr="007F38F4" w14:paraId="7F5008E7" w14:textId="77777777" w:rsidTr="00F31937">
        <w:trPr>
          <w:trHeight w:val="300"/>
        </w:trPr>
        <w:tc>
          <w:tcPr>
            <w:tcW w:w="2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641211E" w14:textId="77777777" w:rsidR="000A7D9D" w:rsidRPr="007F38F4" w:rsidRDefault="000A7D9D" w:rsidP="00F31937">
            <w:pPr>
              <w:jc w:val="both"/>
              <w:rPr>
                <w:rFonts w:eastAsia="Calibri"/>
                <w:b/>
                <w:bCs/>
                <w:noProof/>
              </w:rPr>
            </w:pPr>
            <w:r w:rsidRPr="007F38F4">
              <w:rPr>
                <w:rFonts w:eastAsia="Calibri"/>
                <w:b/>
                <w:bCs/>
                <w:noProof/>
              </w:rPr>
              <w:t>RAC opinion on</w:t>
            </w:r>
          </w:p>
        </w:tc>
        <w:tc>
          <w:tcPr>
            <w:tcW w:w="6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BA04627" w14:textId="77777777" w:rsidR="000A7D9D" w:rsidRPr="007F38F4" w:rsidRDefault="000A7D9D" w:rsidP="00F31937">
            <w:pPr>
              <w:jc w:val="both"/>
              <w:rPr>
                <w:rFonts w:eastAsia="Calibri"/>
                <w:b/>
                <w:bCs/>
                <w:noProof/>
              </w:rPr>
            </w:pPr>
            <w:r w:rsidRPr="007F38F4">
              <w:rPr>
                <w:rFonts w:eastAsia="Calibri"/>
                <w:b/>
                <w:bCs/>
                <w:noProof/>
              </w:rPr>
              <w:t>2016</w:t>
            </w:r>
          </w:p>
        </w:tc>
        <w:tc>
          <w:tcPr>
            <w:tcW w:w="64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EB0203C" w14:textId="77777777" w:rsidR="000A7D9D" w:rsidRPr="007F38F4" w:rsidRDefault="000A7D9D" w:rsidP="00F31937">
            <w:pPr>
              <w:jc w:val="both"/>
              <w:rPr>
                <w:rFonts w:eastAsia="Calibri"/>
                <w:b/>
                <w:bCs/>
                <w:noProof/>
              </w:rPr>
            </w:pPr>
            <w:r w:rsidRPr="007F38F4">
              <w:rPr>
                <w:rFonts w:eastAsia="Calibri"/>
                <w:b/>
                <w:bCs/>
                <w:noProof/>
              </w:rPr>
              <w:t>2017</w:t>
            </w:r>
          </w:p>
        </w:tc>
        <w:tc>
          <w:tcPr>
            <w:tcW w:w="64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D15E03" w14:textId="77777777" w:rsidR="000A7D9D" w:rsidRPr="007F38F4" w:rsidRDefault="000A7D9D" w:rsidP="00F31937">
            <w:pPr>
              <w:jc w:val="both"/>
              <w:rPr>
                <w:rFonts w:eastAsia="Calibri"/>
                <w:b/>
                <w:bCs/>
                <w:noProof/>
              </w:rPr>
            </w:pPr>
            <w:r w:rsidRPr="007F38F4">
              <w:rPr>
                <w:rFonts w:eastAsia="Calibri"/>
                <w:b/>
                <w:bCs/>
                <w:noProof/>
              </w:rPr>
              <w:t>2018</w:t>
            </w:r>
          </w:p>
        </w:tc>
        <w:tc>
          <w:tcPr>
            <w:tcW w:w="720"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10661E" w14:textId="77777777" w:rsidR="000A7D9D" w:rsidRPr="007F38F4" w:rsidRDefault="000A7D9D" w:rsidP="00F31937">
            <w:pPr>
              <w:jc w:val="both"/>
              <w:rPr>
                <w:rFonts w:eastAsia="Calibri"/>
                <w:b/>
                <w:bCs/>
                <w:noProof/>
              </w:rPr>
            </w:pPr>
            <w:r w:rsidRPr="007F38F4">
              <w:rPr>
                <w:rFonts w:eastAsia="Calibri"/>
                <w:b/>
                <w:bCs/>
                <w:noProof/>
              </w:rPr>
              <w:t>2019</w:t>
            </w:r>
          </w:p>
        </w:tc>
        <w:tc>
          <w:tcPr>
            <w:tcW w:w="720"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C2A5C3F" w14:textId="77777777" w:rsidR="000A7D9D" w:rsidRPr="007F38F4" w:rsidRDefault="000A7D9D" w:rsidP="00F31937">
            <w:pPr>
              <w:jc w:val="both"/>
              <w:rPr>
                <w:rFonts w:eastAsia="Calibri"/>
                <w:b/>
                <w:bCs/>
                <w:noProof/>
              </w:rPr>
            </w:pPr>
            <w:r w:rsidRPr="007F38F4">
              <w:rPr>
                <w:rFonts w:eastAsia="Calibri"/>
                <w:b/>
                <w:bCs/>
                <w:noProof/>
              </w:rPr>
              <w:t>2020</w:t>
            </w:r>
          </w:p>
        </w:tc>
        <w:tc>
          <w:tcPr>
            <w:tcW w:w="64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21C470" w14:textId="77777777" w:rsidR="000A7D9D" w:rsidRPr="007F38F4" w:rsidRDefault="000A7D9D" w:rsidP="00F31937">
            <w:pPr>
              <w:jc w:val="both"/>
              <w:rPr>
                <w:rFonts w:eastAsia="Calibri"/>
                <w:b/>
                <w:bCs/>
                <w:noProof/>
              </w:rPr>
            </w:pPr>
            <w:r w:rsidRPr="007F38F4">
              <w:rPr>
                <w:rFonts w:eastAsia="Calibri"/>
                <w:b/>
                <w:bCs/>
                <w:noProof/>
              </w:rPr>
              <w:t>2021</w:t>
            </w:r>
          </w:p>
        </w:tc>
        <w:tc>
          <w:tcPr>
            <w:tcW w:w="720"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A79D794" w14:textId="77777777" w:rsidR="000A7D9D" w:rsidRPr="007F38F4" w:rsidRDefault="000A7D9D" w:rsidP="00F31937">
            <w:pPr>
              <w:jc w:val="center"/>
              <w:rPr>
                <w:rFonts w:eastAsia="Calibri"/>
                <w:b/>
                <w:bCs/>
                <w:noProof/>
              </w:rPr>
            </w:pPr>
            <w:r w:rsidRPr="007F38F4">
              <w:rPr>
                <w:rFonts w:eastAsia="Calibri"/>
                <w:b/>
                <w:bCs/>
                <w:noProof/>
              </w:rPr>
              <w:t>2022</w:t>
            </w:r>
          </w:p>
        </w:tc>
      </w:tr>
      <w:tr w:rsidR="000A7D9D" w:rsidRPr="007F38F4" w14:paraId="0E8B621C" w14:textId="77777777" w:rsidTr="00F31937">
        <w:trPr>
          <w:trHeight w:val="300"/>
        </w:trPr>
        <w:tc>
          <w:tcPr>
            <w:tcW w:w="2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C727257" w14:textId="77777777" w:rsidR="000A7D9D" w:rsidRPr="007F38F4" w:rsidRDefault="000A7D9D" w:rsidP="00F31937">
            <w:pPr>
              <w:jc w:val="both"/>
              <w:rPr>
                <w:noProof/>
              </w:rPr>
            </w:pPr>
            <w:r w:rsidRPr="007F38F4">
              <w:rPr>
                <w:rFonts w:eastAsia="Calibri"/>
                <w:noProof/>
              </w:rPr>
              <w:t>Occupational exposure limits (OELs)</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0D994727" w14:textId="77777777" w:rsidR="000A7D9D" w:rsidRPr="007F38F4" w:rsidRDefault="000A7D9D" w:rsidP="00F31937">
            <w:pPr>
              <w:jc w:val="both"/>
              <w:rPr>
                <w:noProof/>
              </w:rPr>
            </w:pPr>
            <w:r w:rsidRPr="007F38F4">
              <w:rPr>
                <w:rFonts w:eastAsia="Calibri"/>
                <w:noProof/>
              </w:rPr>
              <w:t>0</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4C4B6AF3" w14:textId="77777777" w:rsidR="000A7D9D" w:rsidRPr="007F38F4" w:rsidRDefault="000A7D9D" w:rsidP="00F31937">
            <w:pPr>
              <w:jc w:val="both"/>
              <w:rPr>
                <w:noProof/>
              </w:rPr>
            </w:pPr>
            <w:r w:rsidRPr="007F38F4">
              <w:rPr>
                <w:rFonts w:eastAsia="Calibri"/>
                <w:noProof/>
              </w:rPr>
              <w:t>2</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0452C692" w14:textId="77777777" w:rsidR="000A7D9D" w:rsidRPr="007F38F4" w:rsidRDefault="000A7D9D" w:rsidP="00F31937">
            <w:pPr>
              <w:jc w:val="both"/>
              <w:rPr>
                <w:noProof/>
              </w:rPr>
            </w:pPr>
            <w:r w:rsidRPr="007F38F4">
              <w:rPr>
                <w:rFonts w:eastAsia="Calibri"/>
                <w:noProof/>
              </w:rPr>
              <w:t>3</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76987DCB" w14:textId="77777777" w:rsidR="000A7D9D" w:rsidRPr="007F38F4" w:rsidRDefault="000A7D9D" w:rsidP="00F31937">
            <w:pPr>
              <w:jc w:val="both"/>
              <w:rPr>
                <w:noProof/>
              </w:rPr>
            </w:pPr>
            <w:r w:rsidRPr="007F38F4">
              <w:rPr>
                <w:rFonts w:eastAsia="Calibri"/>
                <w:noProof/>
              </w:rPr>
              <w:t>0</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531EBBC6" w14:textId="77777777" w:rsidR="000A7D9D" w:rsidRPr="007F38F4" w:rsidRDefault="000A7D9D" w:rsidP="00F31937">
            <w:pPr>
              <w:jc w:val="both"/>
              <w:rPr>
                <w:noProof/>
              </w:rPr>
            </w:pPr>
            <w:r w:rsidRPr="007F38F4">
              <w:rPr>
                <w:rFonts w:eastAsia="Calibri"/>
                <w:noProof/>
              </w:rPr>
              <w:t>2</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5D166B7A" w14:textId="77777777" w:rsidR="000A7D9D" w:rsidRPr="007F38F4" w:rsidRDefault="000A7D9D" w:rsidP="00F31937">
            <w:pPr>
              <w:jc w:val="both"/>
              <w:rPr>
                <w:noProof/>
              </w:rPr>
            </w:pPr>
            <w:r w:rsidRPr="007F38F4">
              <w:rPr>
                <w:rFonts w:eastAsia="Calibri"/>
                <w:noProof/>
              </w:rPr>
              <w:t>2</w:t>
            </w:r>
          </w:p>
        </w:tc>
        <w:tc>
          <w:tcPr>
            <w:tcW w:w="720" w:type="dxa"/>
            <w:tcBorders>
              <w:top w:val="single" w:sz="8" w:space="0" w:color="auto"/>
              <w:left w:val="single" w:sz="8" w:space="0" w:color="auto"/>
              <w:bottom w:val="single" w:sz="8" w:space="0" w:color="auto"/>
              <w:right w:val="single" w:sz="8" w:space="0" w:color="auto"/>
            </w:tcBorders>
            <w:tcMar>
              <w:left w:w="108" w:type="dxa"/>
              <w:right w:w="108" w:type="dxa"/>
            </w:tcMar>
          </w:tcPr>
          <w:p w14:paraId="40260B46" w14:textId="77777777" w:rsidR="000A7D9D" w:rsidRPr="007F38F4" w:rsidRDefault="000A7D9D" w:rsidP="00F31937">
            <w:pPr>
              <w:jc w:val="both"/>
              <w:rPr>
                <w:noProof/>
              </w:rPr>
            </w:pPr>
            <w:r w:rsidRPr="007F38F4">
              <w:rPr>
                <w:rFonts w:eastAsia="Calibri"/>
                <w:noProof/>
              </w:rPr>
              <w:t xml:space="preserve"> </w:t>
            </w:r>
          </w:p>
        </w:tc>
      </w:tr>
    </w:tbl>
    <w:p w14:paraId="143F924F" w14:textId="77777777" w:rsidR="000A7D9D" w:rsidRPr="007F38F4" w:rsidRDefault="000A7D9D" w:rsidP="000A7D9D">
      <w:pPr>
        <w:pStyle w:val="BodyText"/>
        <w:spacing w:before="120"/>
        <w:jc w:val="both"/>
        <w:rPr>
          <w:noProof/>
        </w:rPr>
      </w:pPr>
      <w:r w:rsidRPr="007F38F4">
        <w:rPr>
          <w:noProof/>
        </w:rPr>
        <w:t xml:space="preserve">ECHA provides scientific advice for the setting of Occupational Exposure Limits under a Service Level Agreement (SLA) with DG EMPL. To assess 5 substances annually, ECHA receives 4 CA posts and in total </w:t>
      </w:r>
      <w:r>
        <w:rPr>
          <w:noProof/>
        </w:rPr>
        <w:t xml:space="preserve">EUR </w:t>
      </w:r>
      <w:r w:rsidRPr="007F38F4">
        <w:rPr>
          <w:noProof/>
          <w:color w:val="000000" w:themeColor="text1"/>
        </w:rPr>
        <w:t>975</w:t>
      </w:r>
      <w:r>
        <w:rPr>
          <w:noProof/>
          <w:color w:val="000000" w:themeColor="text1"/>
        </w:rPr>
        <w:t xml:space="preserve"> </w:t>
      </w:r>
      <w:r w:rsidRPr="007F38F4">
        <w:rPr>
          <w:noProof/>
          <w:color w:val="000000" w:themeColor="text1"/>
        </w:rPr>
        <w:t xml:space="preserve">000 </w:t>
      </w:r>
      <w:r w:rsidRPr="007F38F4">
        <w:rPr>
          <w:noProof/>
        </w:rPr>
        <w:t xml:space="preserve">that includes </w:t>
      </w:r>
      <w:r>
        <w:rPr>
          <w:noProof/>
        </w:rPr>
        <w:t xml:space="preserve">resources for </w:t>
      </w:r>
      <w:r w:rsidRPr="007F38F4">
        <w:rPr>
          <w:noProof/>
        </w:rPr>
        <w:t xml:space="preserve">those 4 CA posts. </w:t>
      </w:r>
    </w:p>
    <w:p w14:paraId="65DC94C6" w14:textId="77777777" w:rsidR="000A7D9D" w:rsidRPr="007F38F4" w:rsidRDefault="000A7D9D" w:rsidP="000A7D9D">
      <w:pPr>
        <w:spacing w:before="120" w:after="120"/>
        <w:rPr>
          <w:rFonts w:ascii="Times New Roman" w:hAnsi="Times New Roman" w:cs="Times New Roman"/>
          <w:noProof/>
          <w:sz w:val="24"/>
          <w:szCs w:val="24"/>
          <w:lang w:val="en-US"/>
        </w:rPr>
      </w:pPr>
      <w:r w:rsidRPr="007F38F4">
        <w:rPr>
          <w:rFonts w:ascii="Times New Roman" w:hAnsi="Times New Roman" w:cs="Times New Roman"/>
          <w:noProof/>
          <w:sz w:val="24"/>
          <w:szCs w:val="24"/>
          <w:lang w:val="en-US"/>
        </w:rPr>
        <w:t>The current resources spent by the Commission can be summarized as follows:</w:t>
      </w:r>
    </w:p>
    <w:tbl>
      <w:tblPr>
        <w:tblStyle w:val="TableGrid5"/>
        <w:tblW w:w="0" w:type="auto"/>
        <w:tblLook w:val="04A0" w:firstRow="1" w:lastRow="0" w:firstColumn="1" w:lastColumn="0" w:noHBand="0" w:noVBand="1"/>
      </w:tblPr>
      <w:tblGrid>
        <w:gridCol w:w="5413"/>
        <w:gridCol w:w="3603"/>
      </w:tblGrid>
      <w:tr w:rsidR="000A7D9D" w:rsidRPr="007F38F4" w14:paraId="7EB8CA19" w14:textId="77777777" w:rsidTr="00F31937">
        <w:trPr>
          <w:trHeight w:val="300"/>
        </w:trPr>
        <w:tc>
          <w:tcPr>
            <w:tcW w:w="5790" w:type="dxa"/>
          </w:tcPr>
          <w:p w14:paraId="5A4452FC" w14:textId="77777777" w:rsidR="000A7D9D" w:rsidRPr="007F38F4" w:rsidRDefault="000A7D9D" w:rsidP="00F31937">
            <w:pPr>
              <w:spacing w:after="240"/>
              <w:rPr>
                <w:rFonts w:ascii="Times New Roman" w:hAnsi="Times New Roman"/>
                <w:noProof/>
              </w:rPr>
            </w:pPr>
            <w:r w:rsidRPr="007F38F4">
              <w:rPr>
                <w:rFonts w:ascii="Times New Roman" w:hAnsi="Times New Roman"/>
                <w:noProof/>
              </w:rPr>
              <w:t xml:space="preserve">DG EMPL – ECHA Service Level Agreement </w:t>
            </w:r>
          </w:p>
        </w:tc>
        <w:tc>
          <w:tcPr>
            <w:tcW w:w="3839" w:type="dxa"/>
          </w:tcPr>
          <w:p w14:paraId="0A306C56" w14:textId="77777777" w:rsidR="000A7D9D" w:rsidRPr="007F38F4" w:rsidRDefault="000A7D9D" w:rsidP="00F31937">
            <w:pPr>
              <w:spacing w:after="240"/>
              <w:rPr>
                <w:rFonts w:ascii="Times New Roman" w:hAnsi="Times New Roman"/>
                <w:noProof/>
              </w:rPr>
            </w:pPr>
            <w:r w:rsidRPr="007F38F4">
              <w:rPr>
                <w:rFonts w:ascii="Times New Roman" w:hAnsi="Times New Roman"/>
                <w:b/>
                <w:bCs/>
                <w:noProof/>
              </w:rPr>
              <w:t>4 FTEs</w:t>
            </w:r>
            <w:r w:rsidRPr="007F38F4">
              <w:rPr>
                <w:rFonts w:ascii="Times New Roman" w:hAnsi="Times New Roman"/>
                <w:noProof/>
              </w:rPr>
              <w:t xml:space="preserve"> (4 CAs)</w:t>
            </w:r>
          </w:p>
        </w:tc>
      </w:tr>
      <w:tr w:rsidR="000A7D9D" w:rsidRPr="007F38F4" w14:paraId="06CBF1C0" w14:textId="77777777" w:rsidTr="00F31937">
        <w:trPr>
          <w:trHeight w:val="300"/>
        </w:trPr>
        <w:tc>
          <w:tcPr>
            <w:tcW w:w="5790" w:type="dxa"/>
          </w:tcPr>
          <w:p w14:paraId="122E1D64" w14:textId="77777777" w:rsidR="000A7D9D" w:rsidRPr="007F38F4" w:rsidRDefault="000A7D9D" w:rsidP="00F31937">
            <w:pPr>
              <w:spacing w:after="240" w:line="259" w:lineRule="auto"/>
              <w:rPr>
                <w:rFonts w:ascii="Times New Roman" w:hAnsi="Times New Roman"/>
                <w:noProof/>
              </w:rPr>
            </w:pPr>
            <w:r w:rsidRPr="007F38F4">
              <w:rPr>
                <w:rFonts w:ascii="Times New Roman" w:hAnsi="Times New Roman"/>
                <w:noProof/>
              </w:rPr>
              <w:t>Operational budget</w:t>
            </w:r>
          </w:p>
        </w:tc>
        <w:tc>
          <w:tcPr>
            <w:tcW w:w="3839" w:type="dxa"/>
          </w:tcPr>
          <w:p w14:paraId="0E2A45FF" w14:textId="77777777" w:rsidR="000A7D9D" w:rsidRPr="007F38F4" w:rsidRDefault="000A7D9D" w:rsidP="00F31937">
            <w:pPr>
              <w:spacing w:after="240"/>
              <w:rPr>
                <w:rFonts w:ascii="Times New Roman" w:hAnsi="Times New Roman"/>
                <w:b/>
                <w:bCs/>
                <w:noProof/>
              </w:rPr>
            </w:pPr>
            <w:r>
              <w:rPr>
                <w:rFonts w:ascii="Times New Roman" w:hAnsi="Times New Roman"/>
                <w:b/>
                <w:bCs/>
                <w:noProof/>
              </w:rPr>
              <w:t xml:space="preserve">EUR </w:t>
            </w:r>
            <w:r w:rsidRPr="007F38F4">
              <w:rPr>
                <w:rFonts w:ascii="Times New Roman" w:hAnsi="Times New Roman"/>
                <w:b/>
                <w:bCs/>
                <w:noProof/>
              </w:rPr>
              <w:t>575</w:t>
            </w:r>
            <w:r>
              <w:rPr>
                <w:rFonts w:ascii="Times New Roman" w:hAnsi="Times New Roman"/>
                <w:b/>
                <w:bCs/>
                <w:noProof/>
              </w:rPr>
              <w:t xml:space="preserve"> 000</w:t>
            </w:r>
            <w:r w:rsidRPr="007F38F4">
              <w:rPr>
                <w:rFonts w:ascii="Times New Roman" w:hAnsi="Times New Roman"/>
                <w:b/>
                <w:bCs/>
                <w:noProof/>
              </w:rPr>
              <w:t>/year</w:t>
            </w:r>
          </w:p>
        </w:tc>
      </w:tr>
    </w:tbl>
    <w:p w14:paraId="5906095F" w14:textId="77777777" w:rsidR="000A7D9D" w:rsidRPr="007F38F4" w:rsidRDefault="000A7D9D" w:rsidP="000A7D9D">
      <w:pPr>
        <w:spacing w:before="120" w:after="120"/>
        <w:jc w:val="both"/>
        <w:rPr>
          <w:rFonts w:ascii="Times New Roman" w:hAnsi="Times New Roman" w:cs="Times New Roman"/>
          <w:noProof/>
          <w:sz w:val="24"/>
          <w:szCs w:val="24"/>
        </w:rPr>
      </w:pPr>
      <w:r w:rsidRPr="007F38F4">
        <w:rPr>
          <w:rFonts w:ascii="Times New Roman" w:hAnsi="Times New Roman" w:cs="Times New Roman"/>
          <w:noProof/>
          <w:sz w:val="24"/>
          <w:szCs w:val="24"/>
        </w:rPr>
        <w:t>Through the SLA this activity does not currently contribute to the staff cost of running the Agency, although it contributes to Infrastructure and Operational costs (administrative overhead or IT development).</w:t>
      </w:r>
    </w:p>
    <w:p w14:paraId="57A26B4F" w14:textId="77777777" w:rsidR="000A7D9D" w:rsidRPr="007F38F4" w:rsidRDefault="000A7D9D" w:rsidP="000A7D9D">
      <w:pPr>
        <w:spacing w:before="120" w:after="120"/>
        <w:jc w:val="both"/>
        <w:rPr>
          <w:rFonts w:ascii="Times New Roman" w:hAnsi="Times New Roman" w:cs="Times New Roman"/>
          <w:noProof/>
          <w:sz w:val="24"/>
          <w:szCs w:val="24"/>
        </w:rPr>
      </w:pPr>
      <w:r w:rsidRPr="007F38F4">
        <w:rPr>
          <w:rFonts w:ascii="Times New Roman" w:hAnsi="Times New Roman" w:cs="Times New Roman"/>
          <w:noProof/>
          <w:sz w:val="24"/>
          <w:szCs w:val="24"/>
          <w:u w:val="single"/>
        </w:rPr>
        <w:t>Current budget line:</w:t>
      </w:r>
      <w:r w:rsidRPr="007F38F4">
        <w:rPr>
          <w:rFonts w:ascii="Times New Roman" w:hAnsi="Times New Roman" w:cs="Times New Roman"/>
          <w:noProof/>
          <w:sz w:val="24"/>
          <w:szCs w:val="24"/>
        </w:rPr>
        <w:t xml:space="preserve"> Budget line of DG EMPL</w:t>
      </w:r>
    </w:p>
    <w:p w14:paraId="0CFBA1D3" w14:textId="77777777" w:rsidR="000A7D9D" w:rsidRPr="007F38F4" w:rsidRDefault="000A7D9D" w:rsidP="000A7D9D">
      <w:pPr>
        <w:pStyle w:val="BodyText"/>
        <w:rPr>
          <w:noProof/>
          <w:u w:val="single"/>
        </w:rPr>
      </w:pPr>
      <w:r w:rsidRPr="007F38F4">
        <w:rPr>
          <w:noProof/>
          <w:u w:val="single"/>
        </w:rPr>
        <w:t>Future workload and resource needs:</w:t>
      </w:r>
    </w:p>
    <w:p w14:paraId="2C7BD340" w14:textId="77777777" w:rsidR="000A7D9D" w:rsidRPr="007F38F4" w:rsidRDefault="000A7D9D" w:rsidP="000A7D9D">
      <w:pPr>
        <w:pStyle w:val="BodyText"/>
        <w:jc w:val="both"/>
        <w:rPr>
          <w:noProof/>
        </w:rPr>
      </w:pPr>
      <w:r w:rsidRPr="007F38F4">
        <w:rPr>
          <w:noProof/>
        </w:rPr>
        <w:t>The Commission intends to stop the arrangement via a SLA and formally assign this task to ECHA by enshrining it in its mandate. The normal resource needs for REACH restriction dossier, which includes also socio-economic assessment and SEAC opinion is 1 (light dossier) - 1.5 (complex dossier) FTEs. As the OEL derivation does not require socio-economic assessment nor SEAC opinion and is principle lighter than restriction dossier, the average resource needs for one OEL is 0.8 FTEs. The Commission wishes to get at least 5 OELs per year, which requires at least 4 FTEs per year. Overhead of 15% is required to contribution for common component of IT tool development (data submission, processing, output), which is additional 0.6 FTE, and overhead of 15 % is required to contribution for horizontal support (governance, enablers, administrative overhead), which is additional 0.6 FTE. In total, it makes 5.2 FTEs</w:t>
      </w:r>
    </w:p>
    <w:p w14:paraId="25640F8D" w14:textId="77777777" w:rsidR="000A7D9D" w:rsidRPr="007F38F4" w:rsidRDefault="000A7D9D" w:rsidP="000A7D9D">
      <w:pPr>
        <w:pStyle w:val="BodyText"/>
        <w:jc w:val="both"/>
        <w:rPr>
          <w:noProof/>
        </w:rPr>
      </w:pPr>
      <w:r w:rsidRPr="007F38F4">
        <w:rPr>
          <w:noProof/>
        </w:rPr>
        <w:t>Summary of resource needs for scientific opinions on OELs:</w:t>
      </w:r>
    </w:p>
    <w:tbl>
      <w:tblPr>
        <w:tblStyle w:val="TableGrid"/>
        <w:tblW w:w="0" w:type="auto"/>
        <w:tblLook w:val="04A0" w:firstRow="1" w:lastRow="0" w:firstColumn="1" w:lastColumn="0" w:noHBand="0" w:noVBand="1"/>
      </w:tblPr>
      <w:tblGrid>
        <w:gridCol w:w="1160"/>
        <w:gridCol w:w="3797"/>
        <w:gridCol w:w="1559"/>
        <w:gridCol w:w="2500"/>
      </w:tblGrid>
      <w:tr w:rsidR="000A7D9D" w:rsidRPr="00740C12" w14:paraId="75CF5AF6" w14:textId="77777777" w:rsidTr="00F31937">
        <w:trPr>
          <w:trHeight w:val="300"/>
        </w:trPr>
        <w:tc>
          <w:tcPr>
            <w:tcW w:w="1160" w:type="dxa"/>
            <w:shd w:val="clear" w:color="auto" w:fill="D9D9D9" w:themeFill="background1" w:themeFillShade="D9"/>
          </w:tcPr>
          <w:p w14:paraId="0AB54AC6" w14:textId="77777777" w:rsidR="000A7D9D" w:rsidRPr="00740C12" w:rsidRDefault="000A7D9D" w:rsidP="00F31937">
            <w:pPr>
              <w:pStyle w:val="BodyText"/>
              <w:spacing w:line="259" w:lineRule="auto"/>
              <w:rPr>
                <w:b/>
                <w:bCs/>
                <w:noProof/>
                <w:sz w:val="20"/>
                <w:szCs w:val="20"/>
              </w:rPr>
            </w:pPr>
            <w:r w:rsidRPr="00740C12">
              <w:rPr>
                <w:b/>
                <w:bCs/>
                <w:noProof/>
                <w:sz w:val="20"/>
                <w:szCs w:val="20"/>
              </w:rPr>
              <w:t>Agency</w:t>
            </w:r>
          </w:p>
        </w:tc>
        <w:tc>
          <w:tcPr>
            <w:tcW w:w="3797" w:type="dxa"/>
            <w:shd w:val="clear" w:color="auto" w:fill="D9D9D9" w:themeFill="background1" w:themeFillShade="D9"/>
          </w:tcPr>
          <w:p w14:paraId="68024A65" w14:textId="77777777" w:rsidR="000A7D9D" w:rsidRPr="00740C12" w:rsidRDefault="000A7D9D" w:rsidP="00F31937">
            <w:pPr>
              <w:pStyle w:val="BodyText"/>
              <w:rPr>
                <w:b/>
                <w:bCs/>
                <w:noProof/>
                <w:sz w:val="20"/>
                <w:szCs w:val="20"/>
              </w:rPr>
            </w:pPr>
            <w:r w:rsidRPr="00740C12">
              <w:rPr>
                <w:b/>
                <w:bCs/>
                <w:noProof/>
                <w:sz w:val="20"/>
                <w:szCs w:val="20"/>
              </w:rPr>
              <w:t>Summary of tasks</w:t>
            </w:r>
          </w:p>
        </w:tc>
        <w:tc>
          <w:tcPr>
            <w:tcW w:w="1559" w:type="dxa"/>
            <w:shd w:val="clear" w:color="auto" w:fill="D9D9D9" w:themeFill="background1" w:themeFillShade="D9"/>
          </w:tcPr>
          <w:p w14:paraId="3AECF4EF" w14:textId="77777777" w:rsidR="000A7D9D" w:rsidRPr="00740C12" w:rsidRDefault="000A7D9D" w:rsidP="00F31937">
            <w:pPr>
              <w:pStyle w:val="BodyText"/>
              <w:tabs>
                <w:tab w:val="left" w:pos="4170"/>
              </w:tabs>
              <w:rPr>
                <w:noProof/>
                <w:sz w:val="20"/>
                <w:szCs w:val="20"/>
              </w:rPr>
            </w:pPr>
          </w:p>
        </w:tc>
        <w:tc>
          <w:tcPr>
            <w:tcW w:w="2500" w:type="dxa"/>
            <w:shd w:val="clear" w:color="auto" w:fill="D9D9D9" w:themeFill="background1" w:themeFillShade="D9"/>
          </w:tcPr>
          <w:p w14:paraId="2F7D5269" w14:textId="77777777" w:rsidR="000A7D9D" w:rsidRPr="00740C12" w:rsidRDefault="000A7D9D" w:rsidP="00F31937">
            <w:pPr>
              <w:pStyle w:val="BodyText"/>
              <w:tabs>
                <w:tab w:val="left" w:pos="4170"/>
              </w:tabs>
              <w:spacing w:after="0"/>
              <w:rPr>
                <w:noProof/>
                <w:sz w:val="20"/>
                <w:szCs w:val="20"/>
              </w:rPr>
            </w:pPr>
          </w:p>
        </w:tc>
      </w:tr>
      <w:tr w:rsidR="000A7D9D" w:rsidRPr="00187DBF" w14:paraId="6431792F" w14:textId="77777777" w:rsidTr="00F31937">
        <w:trPr>
          <w:trHeight w:val="300"/>
        </w:trPr>
        <w:tc>
          <w:tcPr>
            <w:tcW w:w="1160" w:type="dxa"/>
            <w:vMerge w:val="restart"/>
            <w:shd w:val="clear" w:color="auto" w:fill="D9D9D9" w:themeFill="background1" w:themeFillShade="D9"/>
          </w:tcPr>
          <w:p w14:paraId="2EE180E3" w14:textId="77777777" w:rsidR="000A7D9D" w:rsidRPr="00740C12" w:rsidRDefault="000A7D9D" w:rsidP="00F31937">
            <w:pPr>
              <w:pStyle w:val="BodyText"/>
              <w:spacing w:line="259" w:lineRule="auto"/>
              <w:rPr>
                <w:noProof/>
                <w:sz w:val="20"/>
                <w:szCs w:val="20"/>
              </w:rPr>
            </w:pPr>
            <w:r w:rsidRPr="00740C12">
              <w:rPr>
                <w:noProof/>
                <w:sz w:val="20"/>
                <w:szCs w:val="20"/>
              </w:rPr>
              <w:t>ECHA</w:t>
            </w:r>
          </w:p>
        </w:tc>
        <w:tc>
          <w:tcPr>
            <w:tcW w:w="3797" w:type="dxa"/>
            <w:vMerge w:val="restart"/>
            <w:shd w:val="clear" w:color="auto" w:fill="D9D9D9" w:themeFill="background1" w:themeFillShade="D9"/>
          </w:tcPr>
          <w:p w14:paraId="1C1A3F23" w14:textId="77777777" w:rsidR="000A7D9D" w:rsidRPr="00740C12" w:rsidRDefault="000A7D9D" w:rsidP="00F31937">
            <w:pPr>
              <w:pStyle w:val="BodyText"/>
              <w:spacing w:line="259" w:lineRule="auto"/>
              <w:rPr>
                <w:noProof/>
                <w:sz w:val="20"/>
                <w:szCs w:val="20"/>
              </w:rPr>
            </w:pPr>
            <w:r w:rsidRPr="00740C12">
              <w:rPr>
                <w:noProof/>
                <w:sz w:val="20"/>
                <w:szCs w:val="20"/>
              </w:rPr>
              <w:t>Preparation of 5 dossiers/year with proposal for OEL</w:t>
            </w:r>
          </w:p>
          <w:p w14:paraId="35F4DDCF" w14:textId="77777777" w:rsidR="000A7D9D" w:rsidRPr="00740C12" w:rsidRDefault="000A7D9D" w:rsidP="00F31937">
            <w:pPr>
              <w:pStyle w:val="BodyText"/>
              <w:spacing w:line="259" w:lineRule="auto"/>
              <w:rPr>
                <w:noProof/>
                <w:sz w:val="20"/>
                <w:szCs w:val="20"/>
              </w:rPr>
            </w:pPr>
            <w:r w:rsidRPr="00740C12">
              <w:rPr>
                <w:noProof/>
                <w:sz w:val="20"/>
                <w:szCs w:val="20"/>
              </w:rPr>
              <w:t>Public consultation</w:t>
            </w:r>
          </w:p>
          <w:p w14:paraId="0DEE1B9B" w14:textId="77777777" w:rsidR="000A7D9D" w:rsidRPr="00740C12" w:rsidRDefault="000A7D9D" w:rsidP="00F31937">
            <w:pPr>
              <w:pStyle w:val="BodyText"/>
              <w:spacing w:line="259" w:lineRule="auto"/>
              <w:rPr>
                <w:noProof/>
                <w:sz w:val="20"/>
                <w:szCs w:val="20"/>
              </w:rPr>
            </w:pPr>
            <w:r w:rsidRPr="00740C12">
              <w:rPr>
                <w:noProof/>
                <w:sz w:val="20"/>
                <w:szCs w:val="20"/>
              </w:rPr>
              <w:t xml:space="preserve">RAC opinion on the 5 dossiers per year and input from the public consultation </w:t>
            </w:r>
          </w:p>
        </w:tc>
        <w:tc>
          <w:tcPr>
            <w:tcW w:w="1559" w:type="dxa"/>
            <w:shd w:val="clear" w:color="auto" w:fill="D9D9D9" w:themeFill="background1" w:themeFillShade="D9"/>
          </w:tcPr>
          <w:p w14:paraId="02A5AEC7" w14:textId="77777777" w:rsidR="000A7D9D" w:rsidRPr="00740C12" w:rsidRDefault="000A7D9D" w:rsidP="00F31937">
            <w:pPr>
              <w:pStyle w:val="BodyText"/>
              <w:tabs>
                <w:tab w:val="left" w:pos="4170"/>
              </w:tabs>
              <w:rPr>
                <w:noProof/>
                <w:sz w:val="20"/>
                <w:szCs w:val="20"/>
              </w:rPr>
            </w:pPr>
            <w:r w:rsidRPr="00740C12">
              <w:rPr>
                <w:noProof/>
                <w:sz w:val="20"/>
                <w:szCs w:val="20"/>
              </w:rPr>
              <w:t>Financial resource needs:</w:t>
            </w:r>
          </w:p>
        </w:tc>
        <w:tc>
          <w:tcPr>
            <w:tcW w:w="2500" w:type="dxa"/>
            <w:shd w:val="clear" w:color="auto" w:fill="D9D9D9" w:themeFill="background1" w:themeFillShade="D9"/>
          </w:tcPr>
          <w:p w14:paraId="292EB4E1"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2024: </w:t>
            </w:r>
            <w:r w:rsidRPr="00740C12">
              <w:rPr>
                <w:b/>
                <w:noProof/>
                <w:sz w:val="20"/>
                <w:szCs w:val="20"/>
                <w:lang w:val="fr-BE"/>
              </w:rPr>
              <w:t>EUR 0</w:t>
            </w:r>
            <w:r w:rsidRPr="00740C12">
              <w:rPr>
                <w:noProof/>
                <w:sz w:val="20"/>
                <w:szCs w:val="20"/>
                <w:lang w:val="fr-BE"/>
              </w:rPr>
              <w:t xml:space="preserve"> </w:t>
            </w:r>
          </w:p>
          <w:p w14:paraId="7FDDD223"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2025: </w:t>
            </w:r>
            <w:r w:rsidRPr="00740C12">
              <w:rPr>
                <w:b/>
                <w:noProof/>
                <w:sz w:val="20"/>
                <w:szCs w:val="20"/>
                <w:lang w:val="fr-BE"/>
              </w:rPr>
              <w:t xml:space="preserve">EUR </w:t>
            </w:r>
            <w:r w:rsidRPr="00740C12">
              <w:rPr>
                <w:b/>
                <w:bCs/>
                <w:noProof/>
                <w:sz w:val="20"/>
                <w:szCs w:val="20"/>
                <w:lang w:val="fr-BE"/>
              </w:rPr>
              <w:t>0</w:t>
            </w:r>
          </w:p>
          <w:p w14:paraId="7BD3749C"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2026: </w:t>
            </w:r>
            <w:r w:rsidRPr="00740C12">
              <w:rPr>
                <w:b/>
                <w:noProof/>
                <w:sz w:val="20"/>
                <w:szCs w:val="20"/>
                <w:lang w:val="fr-BE"/>
              </w:rPr>
              <w:t>EUR</w:t>
            </w:r>
            <w:r w:rsidRPr="00740C12">
              <w:rPr>
                <w:noProof/>
                <w:sz w:val="20"/>
                <w:szCs w:val="20"/>
                <w:lang w:val="fr-BE"/>
              </w:rPr>
              <w:t xml:space="preserve"> </w:t>
            </w:r>
            <w:r w:rsidRPr="00740C12">
              <w:rPr>
                <w:b/>
                <w:bCs/>
                <w:noProof/>
                <w:sz w:val="20"/>
                <w:szCs w:val="20"/>
                <w:lang w:val="fr-BE"/>
              </w:rPr>
              <w:t>200 000</w:t>
            </w:r>
          </w:p>
          <w:p w14:paraId="7A2D7416"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2027: </w:t>
            </w:r>
            <w:r w:rsidRPr="00740C12">
              <w:rPr>
                <w:b/>
                <w:noProof/>
                <w:sz w:val="20"/>
                <w:szCs w:val="20"/>
                <w:lang w:val="fr-BE"/>
              </w:rPr>
              <w:t>EUR</w:t>
            </w:r>
            <w:r w:rsidRPr="00740C12">
              <w:rPr>
                <w:noProof/>
                <w:sz w:val="20"/>
                <w:szCs w:val="20"/>
                <w:lang w:val="fr-BE"/>
              </w:rPr>
              <w:t xml:space="preserve"> </w:t>
            </w:r>
            <w:r w:rsidRPr="00740C12">
              <w:rPr>
                <w:b/>
                <w:bCs/>
                <w:noProof/>
                <w:sz w:val="20"/>
                <w:szCs w:val="20"/>
                <w:lang w:val="fr-BE"/>
              </w:rPr>
              <w:t>200 000</w:t>
            </w:r>
          </w:p>
          <w:p w14:paraId="3CCB7417"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2028: </w:t>
            </w:r>
            <w:r w:rsidRPr="00740C12">
              <w:rPr>
                <w:b/>
                <w:noProof/>
                <w:sz w:val="20"/>
                <w:szCs w:val="20"/>
                <w:lang w:val="fr-BE"/>
              </w:rPr>
              <w:t>EUR</w:t>
            </w:r>
            <w:r w:rsidRPr="00740C12">
              <w:rPr>
                <w:noProof/>
                <w:sz w:val="20"/>
                <w:szCs w:val="20"/>
                <w:lang w:val="fr-BE"/>
              </w:rPr>
              <w:t xml:space="preserve"> </w:t>
            </w:r>
            <w:r w:rsidRPr="00740C12">
              <w:rPr>
                <w:b/>
                <w:bCs/>
                <w:noProof/>
                <w:sz w:val="20"/>
                <w:szCs w:val="20"/>
                <w:lang w:val="fr-BE"/>
              </w:rPr>
              <w:t>200 000</w:t>
            </w:r>
          </w:p>
        </w:tc>
      </w:tr>
      <w:tr w:rsidR="000A7D9D" w:rsidRPr="00740C12" w14:paraId="5D8DA623" w14:textId="77777777" w:rsidTr="00F31937">
        <w:trPr>
          <w:trHeight w:val="300"/>
        </w:trPr>
        <w:tc>
          <w:tcPr>
            <w:tcW w:w="1160" w:type="dxa"/>
            <w:vMerge/>
            <w:shd w:val="clear" w:color="auto" w:fill="D9D9D9" w:themeFill="background1" w:themeFillShade="D9"/>
          </w:tcPr>
          <w:p w14:paraId="5902F051" w14:textId="77777777" w:rsidR="000A7D9D" w:rsidRPr="00740C12" w:rsidRDefault="000A7D9D" w:rsidP="00F31937">
            <w:pPr>
              <w:pStyle w:val="BodyText"/>
              <w:rPr>
                <w:noProof/>
                <w:sz w:val="20"/>
                <w:szCs w:val="20"/>
                <w:lang w:val="fr-BE"/>
              </w:rPr>
            </w:pPr>
          </w:p>
        </w:tc>
        <w:tc>
          <w:tcPr>
            <w:tcW w:w="3797" w:type="dxa"/>
            <w:vMerge/>
            <w:shd w:val="clear" w:color="auto" w:fill="D9D9D9" w:themeFill="background1" w:themeFillShade="D9"/>
          </w:tcPr>
          <w:p w14:paraId="60CA3102" w14:textId="77777777" w:rsidR="000A7D9D" w:rsidRPr="00740C12" w:rsidRDefault="000A7D9D" w:rsidP="00F31937">
            <w:pPr>
              <w:pStyle w:val="BodyText"/>
              <w:rPr>
                <w:noProof/>
                <w:sz w:val="20"/>
                <w:szCs w:val="20"/>
                <w:lang w:val="fr-BE"/>
              </w:rPr>
            </w:pPr>
          </w:p>
        </w:tc>
        <w:tc>
          <w:tcPr>
            <w:tcW w:w="1559" w:type="dxa"/>
            <w:shd w:val="clear" w:color="auto" w:fill="D9D9D9" w:themeFill="background1" w:themeFillShade="D9"/>
          </w:tcPr>
          <w:p w14:paraId="47C714E9" w14:textId="77777777" w:rsidR="000A7D9D" w:rsidRPr="00740C12" w:rsidRDefault="000A7D9D" w:rsidP="00F31937">
            <w:pPr>
              <w:pStyle w:val="BodyText"/>
              <w:tabs>
                <w:tab w:val="left" w:pos="4170"/>
              </w:tabs>
              <w:rPr>
                <w:noProof/>
                <w:sz w:val="20"/>
                <w:szCs w:val="20"/>
              </w:rPr>
            </w:pPr>
            <w:r w:rsidRPr="00740C12">
              <w:rPr>
                <w:noProof/>
                <w:sz w:val="20"/>
                <w:szCs w:val="20"/>
              </w:rPr>
              <w:t>Human resource needs:</w:t>
            </w:r>
          </w:p>
        </w:tc>
        <w:tc>
          <w:tcPr>
            <w:tcW w:w="2500" w:type="dxa"/>
            <w:shd w:val="clear" w:color="auto" w:fill="D9D9D9" w:themeFill="background1" w:themeFillShade="D9"/>
          </w:tcPr>
          <w:p w14:paraId="3B79F9CC" w14:textId="77777777" w:rsidR="000A7D9D" w:rsidRPr="00740C12" w:rsidRDefault="000A7D9D" w:rsidP="00F31937">
            <w:pPr>
              <w:pStyle w:val="BodyText"/>
              <w:tabs>
                <w:tab w:val="left" w:pos="4170"/>
              </w:tabs>
              <w:spacing w:after="0"/>
              <w:rPr>
                <w:noProof/>
                <w:sz w:val="20"/>
                <w:szCs w:val="20"/>
                <w:lang w:val="pl-PL"/>
              </w:rPr>
            </w:pPr>
            <w:r w:rsidRPr="00740C12">
              <w:rPr>
                <w:noProof/>
                <w:sz w:val="20"/>
                <w:szCs w:val="20"/>
                <w:lang w:val="pl-PL"/>
              </w:rPr>
              <w:t xml:space="preserve">2024:  </w:t>
            </w:r>
            <w:r w:rsidRPr="00740C12">
              <w:rPr>
                <w:b/>
                <w:bCs/>
                <w:noProof/>
                <w:sz w:val="20"/>
                <w:szCs w:val="20"/>
                <w:lang w:val="pl-PL"/>
              </w:rPr>
              <w:t>0 TA</w:t>
            </w:r>
            <w:r w:rsidRPr="00740C12">
              <w:rPr>
                <w:noProof/>
                <w:sz w:val="20"/>
                <w:szCs w:val="20"/>
                <w:lang w:val="pl-PL"/>
              </w:rPr>
              <w:t xml:space="preserve">, </w:t>
            </w:r>
            <w:r w:rsidRPr="00740C12">
              <w:rPr>
                <w:b/>
                <w:noProof/>
                <w:sz w:val="20"/>
                <w:szCs w:val="20"/>
                <w:lang w:val="pl-PL"/>
              </w:rPr>
              <w:t>0 CA</w:t>
            </w:r>
          </w:p>
          <w:p w14:paraId="5170E811" w14:textId="77777777" w:rsidR="000A7D9D" w:rsidRPr="00740C12" w:rsidRDefault="000A7D9D" w:rsidP="00F31937">
            <w:pPr>
              <w:pStyle w:val="BodyText"/>
              <w:tabs>
                <w:tab w:val="left" w:pos="4170"/>
              </w:tabs>
              <w:spacing w:after="0"/>
              <w:rPr>
                <w:b/>
                <w:noProof/>
                <w:sz w:val="20"/>
                <w:szCs w:val="20"/>
                <w:lang w:val="pl-PL"/>
              </w:rPr>
            </w:pPr>
            <w:r w:rsidRPr="00740C12">
              <w:rPr>
                <w:noProof/>
                <w:sz w:val="20"/>
                <w:szCs w:val="20"/>
                <w:lang w:val="pl-PL"/>
              </w:rPr>
              <w:t xml:space="preserve">2025: </w:t>
            </w:r>
            <w:r w:rsidRPr="00740C12">
              <w:rPr>
                <w:b/>
                <w:bCs/>
                <w:noProof/>
                <w:sz w:val="20"/>
                <w:szCs w:val="20"/>
                <w:lang w:val="pl-PL"/>
              </w:rPr>
              <w:t xml:space="preserve"> 3 TA</w:t>
            </w:r>
            <w:r w:rsidRPr="00740C12">
              <w:rPr>
                <w:noProof/>
                <w:sz w:val="20"/>
                <w:szCs w:val="20"/>
                <w:lang w:val="pl-PL"/>
              </w:rPr>
              <w:t xml:space="preserve">, </w:t>
            </w:r>
            <w:r w:rsidRPr="00740C12">
              <w:rPr>
                <w:b/>
                <w:noProof/>
                <w:sz w:val="20"/>
                <w:szCs w:val="20"/>
                <w:lang w:val="pl-PL"/>
              </w:rPr>
              <w:t>2 CA</w:t>
            </w:r>
          </w:p>
          <w:p w14:paraId="7383AFA9" w14:textId="77777777" w:rsidR="000A7D9D" w:rsidRPr="00740C12" w:rsidRDefault="000A7D9D" w:rsidP="00F31937">
            <w:pPr>
              <w:pStyle w:val="BodyText"/>
              <w:tabs>
                <w:tab w:val="left" w:pos="4170"/>
              </w:tabs>
              <w:spacing w:after="0"/>
              <w:rPr>
                <w:b/>
                <w:noProof/>
                <w:sz w:val="20"/>
                <w:szCs w:val="20"/>
                <w:lang w:val="pl-PL"/>
              </w:rPr>
            </w:pPr>
            <w:r w:rsidRPr="00740C12">
              <w:rPr>
                <w:noProof/>
                <w:sz w:val="20"/>
                <w:szCs w:val="20"/>
                <w:lang w:val="pl-PL"/>
              </w:rPr>
              <w:t xml:space="preserve">2026: </w:t>
            </w:r>
            <w:r w:rsidRPr="00740C12">
              <w:rPr>
                <w:b/>
                <w:bCs/>
                <w:noProof/>
                <w:sz w:val="20"/>
                <w:szCs w:val="20"/>
                <w:lang w:val="pl-PL"/>
              </w:rPr>
              <w:t xml:space="preserve"> 3 TA</w:t>
            </w:r>
            <w:r w:rsidRPr="00740C12">
              <w:rPr>
                <w:noProof/>
                <w:sz w:val="20"/>
                <w:szCs w:val="20"/>
                <w:lang w:val="pl-PL"/>
              </w:rPr>
              <w:t xml:space="preserve">, </w:t>
            </w:r>
            <w:r w:rsidRPr="00740C12">
              <w:rPr>
                <w:b/>
                <w:noProof/>
                <w:sz w:val="20"/>
                <w:szCs w:val="20"/>
                <w:lang w:val="pl-PL"/>
              </w:rPr>
              <w:t>2 CA</w:t>
            </w:r>
          </w:p>
          <w:p w14:paraId="1DF6DE48" w14:textId="77777777" w:rsidR="000A7D9D" w:rsidRPr="00740C12" w:rsidRDefault="000A7D9D" w:rsidP="00F31937">
            <w:pPr>
              <w:pStyle w:val="BodyText"/>
              <w:tabs>
                <w:tab w:val="left" w:pos="4170"/>
              </w:tabs>
              <w:spacing w:after="0"/>
              <w:rPr>
                <w:b/>
                <w:noProof/>
                <w:sz w:val="20"/>
                <w:szCs w:val="20"/>
              </w:rPr>
            </w:pPr>
            <w:r w:rsidRPr="00740C12">
              <w:rPr>
                <w:noProof/>
                <w:sz w:val="20"/>
                <w:szCs w:val="20"/>
              </w:rPr>
              <w:t xml:space="preserve">2027:  </w:t>
            </w:r>
            <w:r w:rsidRPr="00740C12">
              <w:rPr>
                <w:b/>
                <w:bCs/>
                <w:noProof/>
                <w:sz w:val="20"/>
                <w:szCs w:val="20"/>
              </w:rPr>
              <w:t>3 TA</w:t>
            </w:r>
            <w:r w:rsidRPr="00740C12">
              <w:rPr>
                <w:noProof/>
                <w:sz w:val="20"/>
                <w:szCs w:val="20"/>
              </w:rPr>
              <w:t xml:space="preserve">, </w:t>
            </w:r>
            <w:r w:rsidRPr="00740C12">
              <w:rPr>
                <w:b/>
                <w:noProof/>
                <w:sz w:val="20"/>
                <w:szCs w:val="20"/>
              </w:rPr>
              <w:t>2 CA</w:t>
            </w:r>
          </w:p>
          <w:p w14:paraId="22BA3B9C" w14:textId="77777777" w:rsidR="000A7D9D" w:rsidRPr="00740C12" w:rsidRDefault="000A7D9D" w:rsidP="00F31937">
            <w:pPr>
              <w:pStyle w:val="BodyText"/>
              <w:tabs>
                <w:tab w:val="left" w:pos="4170"/>
              </w:tabs>
              <w:spacing w:after="0"/>
              <w:rPr>
                <w:noProof/>
                <w:sz w:val="20"/>
                <w:szCs w:val="20"/>
              </w:rPr>
            </w:pPr>
            <w:r w:rsidRPr="00740C12">
              <w:rPr>
                <w:noProof/>
                <w:sz w:val="20"/>
                <w:szCs w:val="20"/>
              </w:rPr>
              <w:t xml:space="preserve">2028:  </w:t>
            </w:r>
            <w:r w:rsidRPr="00740C12">
              <w:rPr>
                <w:b/>
                <w:bCs/>
                <w:noProof/>
                <w:sz w:val="20"/>
                <w:szCs w:val="20"/>
              </w:rPr>
              <w:t>3 TA</w:t>
            </w:r>
            <w:r w:rsidRPr="00740C12">
              <w:rPr>
                <w:noProof/>
                <w:sz w:val="20"/>
                <w:szCs w:val="20"/>
              </w:rPr>
              <w:t xml:space="preserve">, </w:t>
            </w:r>
            <w:r w:rsidRPr="00740C12">
              <w:rPr>
                <w:b/>
                <w:noProof/>
                <w:sz w:val="20"/>
                <w:szCs w:val="20"/>
              </w:rPr>
              <w:t>2 CA</w:t>
            </w:r>
          </w:p>
        </w:tc>
      </w:tr>
    </w:tbl>
    <w:p w14:paraId="1E2B7E15" w14:textId="77777777" w:rsidR="000A7D9D" w:rsidRPr="007F38F4" w:rsidRDefault="000A7D9D" w:rsidP="000A7D9D">
      <w:pPr>
        <w:pStyle w:val="BodyText"/>
        <w:spacing w:before="120"/>
        <w:jc w:val="both"/>
        <w:rPr>
          <w:noProof/>
        </w:rPr>
      </w:pPr>
      <w:r w:rsidRPr="007F38F4">
        <w:rPr>
          <w:noProof/>
          <w:u w:val="single"/>
        </w:rPr>
        <w:t>Future budget line:</w:t>
      </w:r>
      <w:r w:rsidRPr="007F38F4">
        <w:rPr>
          <w:noProof/>
        </w:rPr>
        <w:t xml:space="preserve"> DG Employment</w:t>
      </w:r>
    </w:p>
    <w:p w14:paraId="0590BEA7" w14:textId="77777777" w:rsidR="000A7D9D" w:rsidRPr="007F38F4" w:rsidRDefault="000A7D9D" w:rsidP="000A7D9D">
      <w:pPr>
        <w:pStyle w:val="BodyText"/>
        <w:jc w:val="both"/>
        <w:rPr>
          <w:noProof/>
        </w:rPr>
      </w:pPr>
      <w:r w:rsidRPr="007F38F4">
        <w:rPr>
          <w:noProof/>
          <w:u w:val="single"/>
        </w:rPr>
        <w:t>Candidate for funding:</w:t>
      </w:r>
      <w:r w:rsidRPr="007F38F4">
        <w:rPr>
          <w:noProof/>
        </w:rPr>
        <w:t xml:space="preserve"> No</w:t>
      </w:r>
    </w:p>
    <w:p w14:paraId="1CEECA09" w14:textId="77777777" w:rsidR="000A7D9D" w:rsidRDefault="000A7D9D" w:rsidP="000A7D9D">
      <w:pPr>
        <w:pStyle w:val="BodyText"/>
        <w:jc w:val="both"/>
        <w:rPr>
          <w:noProof/>
        </w:rPr>
      </w:pPr>
    </w:p>
    <w:p w14:paraId="0FC98C0C"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89" w:name="_Toc150499950"/>
      <w:r w:rsidRPr="00291F95">
        <w:rPr>
          <w:rFonts w:ascii="Times New Roman" w:hAnsi="Times New Roman"/>
          <w:smallCaps/>
          <w:noProof/>
          <w:color w:val="auto"/>
          <w:sz w:val="24"/>
          <w:szCs w:val="20"/>
          <w:lang w:eastAsia="en-US"/>
        </w:rPr>
        <w:t>REACH regulation (1907/2006)</w:t>
      </w:r>
      <w:bookmarkEnd w:id="89"/>
    </w:p>
    <w:p w14:paraId="420E547E" w14:textId="77777777" w:rsidR="000A7D9D" w:rsidRPr="007F38F4" w:rsidRDefault="000A7D9D" w:rsidP="000A7D9D">
      <w:pPr>
        <w:spacing w:after="120"/>
        <w:rPr>
          <w:rFonts w:ascii="Times New Roman" w:hAnsi="Times New Roman" w:cs="Times New Roman"/>
          <w:b/>
          <w:bCs/>
          <w:noProof/>
          <w:sz w:val="24"/>
          <w:szCs w:val="24"/>
        </w:rPr>
      </w:pPr>
      <w:r w:rsidRPr="007F38F4">
        <w:rPr>
          <w:rFonts w:ascii="Times New Roman" w:hAnsi="Times New Roman" w:cs="Times New Roman"/>
          <w:b/>
          <w:bCs/>
          <w:noProof/>
          <w:sz w:val="24"/>
          <w:szCs w:val="24"/>
        </w:rPr>
        <w:t>Responsible body:</w:t>
      </w:r>
    </w:p>
    <w:p w14:paraId="3ACC3F17"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u w:val="single"/>
        </w:rPr>
        <w:t>Currently:</w:t>
      </w:r>
      <w:r w:rsidRPr="007F38F4">
        <w:rPr>
          <w:rFonts w:ascii="Times New Roman" w:hAnsi="Times New Roman" w:cs="Times New Roman"/>
          <w:noProof/>
          <w:sz w:val="24"/>
          <w:szCs w:val="24"/>
        </w:rPr>
        <w:t xml:space="preserve"> ECHA</w:t>
      </w:r>
    </w:p>
    <w:p w14:paraId="489D1C9D"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noProof/>
          <w:sz w:val="24"/>
          <w:szCs w:val="24"/>
          <w:u w:val="single"/>
        </w:rPr>
        <w:t>(Re-)attribution planned to:</w:t>
      </w:r>
      <w:r w:rsidRPr="007F38F4">
        <w:rPr>
          <w:rFonts w:ascii="Times New Roman" w:hAnsi="Times New Roman" w:cs="Times New Roman"/>
          <w:noProof/>
          <w:sz w:val="24"/>
          <w:szCs w:val="24"/>
        </w:rPr>
        <w:t xml:space="preserve"> ECHA (changes in tasks)</w:t>
      </w:r>
    </w:p>
    <w:p w14:paraId="4E5F82E8" w14:textId="77777777" w:rsidR="000A7D9D" w:rsidRPr="007F38F4" w:rsidRDefault="000A7D9D" w:rsidP="000A7D9D">
      <w:pPr>
        <w:pStyle w:val="BodyText"/>
        <w:rPr>
          <w:noProof/>
        </w:rPr>
      </w:pPr>
      <w:r w:rsidRPr="007F38F4">
        <w:rPr>
          <w:b/>
          <w:bCs/>
          <w:noProof/>
        </w:rPr>
        <w:t xml:space="preserve">Legal basis for reattribution: </w:t>
      </w:r>
      <w:r w:rsidRPr="007F38F4">
        <w:rPr>
          <w:noProof/>
        </w:rPr>
        <w:t xml:space="preserve">Revision of REACH regulation </w:t>
      </w:r>
    </w:p>
    <w:p w14:paraId="412DF03F" w14:textId="77777777" w:rsidR="000A7D9D" w:rsidRPr="007F38F4" w:rsidRDefault="000A7D9D" w:rsidP="000A7D9D">
      <w:pPr>
        <w:spacing w:after="120"/>
        <w:rPr>
          <w:rFonts w:ascii="Times New Roman" w:hAnsi="Times New Roman" w:cs="Times New Roman"/>
          <w:noProof/>
          <w:sz w:val="24"/>
          <w:szCs w:val="24"/>
        </w:rPr>
      </w:pPr>
      <w:r w:rsidRPr="007F38F4">
        <w:rPr>
          <w:rFonts w:ascii="Times New Roman" w:hAnsi="Times New Roman" w:cs="Times New Roman"/>
          <w:b/>
          <w:bCs/>
          <w:noProof/>
          <w:sz w:val="24"/>
          <w:szCs w:val="24"/>
        </w:rPr>
        <w:t xml:space="preserve">Type of task: </w:t>
      </w:r>
      <w:r w:rsidRPr="007F38F4">
        <w:rPr>
          <w:rFonts w:ascii="Times New Roman" w:hAnsi="Times New Roman" w:cs="Times New Roman"/>
          <w:noProof/>
          <w:sz w:val="24"/>
          <w:szCs w:val="24"/>
        </w:rPr>
        <w:t>New or modified existing tasks</w:t>
      </w:r>
    </w:p>
    <w:p w14:paraId="1A66854B" w14:textId="77777777" w:rsidR="000A7D9D" w:rsidRPr="007F38F4" w:rsidRDefault="000A7D9D" w:rsidP="000A7D9D">
      <w:pPr>
        <w:pStyle w:val="BodyText"/>
        <w:jc w:val="both"/>
        <w:rPr>
          <w:b/>
          <w:bCs/>
          <w:noProof/>
        </w:rPr>
      </w:pPr>
      <w:r w:rsidRPr="007F38F4">
        <w:rPr>
          <w:b/>
          <w:bCs/>
          <w:noProof/>
        </w:rPr>
        <w:t>Brief task overview:</w:t>
      </w:r>
    </w:p>
    <w:p w14:paraId="6A145101" w14:textId="77777777" w:rsidR="000A7D9D" w:rsidRPr="007F38F4" w:rsidRDefault="000A7D9D" w:rsidP="000A7D9D">
      <w:pPr>
        <w:pStyle w:val="BodyText"/>
        <w:widowControl w:val="0"/>
        <w:numPr>
          <w:ilvl w:val="0"/>
          <w:numId w:val="137"/>
        </w:numPr>
        <w:spacing w:after="0"/>
        <w:ind w:left="714" w:hanging="357"/>
        <w:jc w:val="both"/>
        <w:rPr>
          <w:noProof/>
        </w:rPr>
      </w:pPr>
      <w:r w:rsidRPr="007F38F4">
        <w:rPr>
          <w:noProof/>
        </w:rPr>
        <w:t>Registration</w:t>
      </w:r>
    </w:p>
    <w:p w14:paraId="28748D80" w14:textId="77777777" w:rsidR="000A7D9D" w:rsidRPr="007F38F4" w:rsidRDefault="000A7D9D" w:rsidP="000A7D9D">
      <w:pPr>
        <w:pStyle w:val="BodyText"/>
        <w:widowControl w:val="0"/>
        <w:numPr>
          <w:ilvl w:val="0"/>
          <w:numId w:val="137"/>
        </w:numPr>
        <w:spacing w:after="0"/>
        <w:ind w:left="714" w:hanging="357"/>
        <w:jc w:val="both"/>
        <w:rPr>
          <w:noProof/>
        </w:rPr>
      </w:pPr>
      <w:r w:rsidRPr="007F38F4">
        <w:rPr>
          <w:noProof/>
        </w:rPr>
        <w:t>Authorisation</w:t>
      </w:r>
    </w:p>
    <w:p w14:paraId="1A651DD3" w14:textId="77777777" w:rsidR="000A7D9D" w:rsidRPr="007F38F4" w:rsidRDefault="000A7D9D" w:rsidP="000A7D9D">
      <w:pPr>
        <w:pStyle w:val="BodyText"/>
        <w:widowControl w:val="0"/>
        <w:numPr>
          <w:ilvl w:val="0"/>
          <w:numId w:val="137"/>
        </w:numPr>
        <w:spacing w:after="0"/>
        <w:ind w:left="714" w:hanging="357"/>
        <w:jc w:val="both"/>
        <w:rPr>
          <w:noProof/>
        </w:rPr>
      </w:pPr>
      <w:r w:rsidRPr="007F38F4">
        <w:rPr>
          <w:noProof/>
        </w:rPr>
        <w:t xml:space="preserve">Restriction </w:t>
      </w:r>
    </w:p>
    <w:p w14:paraId="3435F594" w14:textId="77777777" w:rsidR="000A7D9D" w:rsidRPr="007F38F4" w:rsidRDefault="000A7D9D" w:rsidP="000A7D9D">
      <w:pPr>
        <w:pStyle w:val="BodyText"/>
        <w:widowControl w:val="0"/>
        <w:numPr>
          <w:ilvl w:val="0"/>
          <w:numId w:val="137"/>
        </w:numPr>
        <w:spacing w:after="0"/>
        <w:ind w:left="714" w:hanging="357"/>
        <w:jc w:val="both"/>
        <w:rPr>
          <w:noProof/>
        </w:rPr>
      </w:pPr>
      <w:r w:rsidRPr="007F38F4">
        <w:rPr>
          <w:noProof/>
        </w:rPr>
        <w:t xml:space="preserve">Evaluation </w:t>
      </w:r>
    </w:p>
    <w:p w14:paraId="151B0503" w14:textId="77777777" w:rsidR="000A7D9D" w:rsidRPr="007F38F4" w:rsidRDefault="000A7D9D" w:rsidP="000A7D9D">
      <w:pPr>
        <w:pStyle w:val="BodyText"/>
        <w:widowControl w:val="0"/>
        <w:numPr>
          <w:ilvl w:val="0"/>
          <w:numId w:val="137"/>
        </w:numPr>
        <w:jc w:val="both"/>
        <w:rPr>
          <w:noProof/>
        </w:rPr>
      </w:pPr>
      <w:r w:rsidRPr="007F38F4">
        <w:rPr>
          <w:noProof/>
        </w:rPr>
        <w:t xml:space="preserve">Enforcement </w:t>
      </w:r>
    </w:p>
    <w:p w14:paraId="489BFA30" w14:textId="77777777" w:rsidR="000A7D9D" w:rsidRPr="007F38F4" w:rsidRDefault="000A7D9D" w:rsidP="000A7D9D">
      <w:pPr>
        <w:pStyle w:val="BodyText"/>
        <w:rPr>
          <w:b/>
          <w:bCs/>
          <w:noProof/>
        </w:rPr>
      </w:pPr>
      <w:r w:rsidRPr="007F38F4">
        <w:rPr>
          <w:b/>
          <w:bCs/>
          <w:noProof/>
        </w:rPr>
        <w:t>Detailed process description:</w:t>
      </w:r>
    </w:p>
    <w:p w14:paraId="22D9E2D3" w14:textId="77777777" w:rsidR="000A7D9D" w:rsidRPr="007F38F4" w:rsidRDefault="000A7D9D" w:rsidP="000A7D9D">
      <w:pPr>
        <w:pStyle w:val="BodyText"/>
        <w:spacing w:line="259" w:lineRule="auto"/>
        <w:jc w:val="both"/>
        <w:rPr>
          <w:noProof/>
        </w:rPr>
      </w:pPr>
      <w:r w:rsidRPr="007F38F4">
        <w:rPr>
          <w:noProof/>
          <w:u w:val="single"/>
        </w:rPr>
        <w:t>Change in the process:</w:t>
      </w:r>
      <w:r w:rsidRPr="007F38F4">
        <w:rPr>
          <w:noProof/>
        </w:rPr>
        <w:t xml:space="preserve"> Yes</w:t>
      </w:r>
    </w:p>
    <w:p w14:paraId="1BDF74E6" w14:textId="77777777" w:rsidR="000A7D9D" w:rsidRPr="007F38F4" w:rsidRDefault="000A7D9D" w:rsidP="000A7D9D">
      <w:pPr>
        <w:pStyle w:val="BodyText"/>
        <w:spacing w:line="259" w:lineRule="auto"/>
        <w:jc w:val="both"/>
        <w:rPr>
          <w:i/>
          <w:noProof/>
        </w:rPr>
      </w:pPr>
      <w:r w:rsidRPr="007F38F4">
        <w:rPr>
          <w:i/>
          <w:noProof/>
        </w:rPr>
        <w:t>Task 1 Registration</w:t>
      </w:r>
    </w:p>
    <w:p w14:paraId="66945087" w14:textId="77777777" w:rsidR="000A7D9D" w:rsidRPr="007F38F4" w:rsidRDefault="000A7D9D" w:rsidP="000A7D9D">
      <w:pPr>
        <w:jc w:val="both"/>
        <w:textAlignment w:val="baseline"/>
        <w:rPr>
          <w:rFonts w:ascii="Times New Roman" w:hAnsi="Times New Roman" w:cs="Times New Roman"/>
          <w:noProof/>
          <w:sz w:val="24"/>
          <w:szCs w:val="24"/>
        </w:rPr>
      </w:pPr>
      <w:r w:rsidRPr="007F38F4">
        <w:rPr>
          <w:rFonts w:ascii="Times New Roman" w:hAnsi="Times New Roman" w:cs="Times New Roman"/>
          <w:noProof/>
          <w:sz w:val="24"/>
          <w:szCs w:val="24"/>
        </w:rPr>
        <w:t>Additional information requirements are foreseen to enable the identification and regulation of substances, in particular: </w:t>
      </w:r>
    </w:p>
    <w:p w14:paraId="62E234FD" w14:textId="77777777" w:rsidR="000A7D9D" w:rsidRPr="007F38F4" w:rsidRDefault="000A7D9D" w:rsidP="000A7D9D">
      <w:pPr>
        <w:pStyle w:val="ListParagraph"/>
        <w:numPr>
          <w:ilvl w:val="0"/>
          <w:numId w:val="88"/>
        </w:numPr>
        <w:jc w:val="both"/>
        <w:textAlignment w:val="baseline"/>
        <w:rPr>
          <w:noProof/>
        </w:rPr>
      </w:pPr>
      <w:r w:rsidRPr="007F38F4">
        <w:rPr>
          <w:noProof/>
        </w:rPr>
        <w:t>endocrine disruptors and persistent substances, for which new hazard classes have been recently created in the CLP Regulation;   </w:t>
      </w:r>
    </w:p>
    <w:p w14:paraId="1B17C7F9" w14:textId="77777777" w:rsidR="000A7D9D" w:rsidRPr="007F38F4" w:rsidRDefault="000A7D9D" w:rsidP="000A7D9D">
      <w:pPr>
        <w:pStyle w:val="ListParagraph"/>
        <w:numPr>
          <w:ilvl w:val="0"/>
          <w:numId w:val="88"/>
        </w:numPr>
        <w:jc w:val="both"/>
        <w:textAlignment w:val="baseline"/>
        <w:rPr>
          <w:noProof/>
        </w:rPr>
      </w:pPr>
      <w:r w:rsidRPr="007F38F4">
        <w:rPr>
          <w:noProof/>
        </w:rPr>
        <w:t>polymers will be added to the scope of REACH (notification obligation for all polymers, registration only for those polymers which are more likely to be hazardous); </w:t>
      </w:r>
    </w:p>
    <w:p w14:paraId="7A5F4ACF" w14:textId="77777777" w:rsidR="000A7D9D" w:rsidRPr="007F38F4" w:rsidRDefault="000A7D9D" w:rsidP="000A7D9D">
      <w:pPr>
        <w:pStyle w:val="ListParagraph"/>
        <w:numPr>
          <w:ilvl w:val="0"/>
          <w:numId w:val="88"/>
        </w:numPr>
        <w:jc w:val="both"/>
        <w:textAlignment w:val="baseline"/>
        <w:rPr>
          <w:noProof/>
        </w:rPr>
      </w:pPr>
      <w:r w:rsidRPr="007F38F4">
        <w:rPr>
          <w:noProof/>
        </w:rPr>
        <w:t>chemical safety assessment will be made stricter through a so-called “mixture allocation factor” to take into account multiple exposure to different chemical substances (so called “cocktail effect”). It will initially only apply to high tonnage substances and with some opt-out possibilities under certain conditions only and if  specific risk assessments taking into account multiple exposure are not already provided in the registration dossier; </w:t>
      </w:r>
    </w:p>
    <w:p w14:paraId="34C5DF9C" w14:textId="77777777" w:rsidR="000A7D9D" w:rsidRPr="007F38F4" w:rsidRDefault="000A7D9D" w:rsidP="000A7D9D">
      <w:pPr>
        <w:pStyle w:val="ListParagraph"/>
        <w:numPr>
          <w:ilvl w:val="0"/>
          <w:numId w:val="88"/>
        </w:numPr>
        <w:spacing w:after="120"/>
        <w:ind w:left="714" w:hanging="357"/>
        <w:contextualSpacing w:val="0"/>
        <w:jc w:val="both"/>
        <w:textAlignment w:val="baseline"/>
        <w:rPr>
          <w:noProof/>
        </w:rPr>
      </w:pPr>
      <w:r w:rsidRPr="007F38F4">
        <w:rPr>
          <w:noProof/>
        </w:rPr>
        <w:t>a chemical safety assessment will be required for substances in the 1-10 tonnage band. </w:t>
      </w:r>
    </w:p>
    <w:p w14:paraId="2620399E" w14:textId="77777777" w:rsidR="000A7D9D" w:rsidRPr="007F38F4" w:rsidRDefault="000A7D9D" w:rsidP="000A7D9D">
      <w:pPr>
        <w:pStyle w:val="BodyText"/>
        <w:spacing w:line="259" w:lineRule="auto"/>
        <w:jc w:val="both"/>
        <w:rPr>
          <w:i/>
          <w:noProof/>
        </w:rPr>
      </w:pPr>
      <w:r w:rsidRPr="007F38F4">
        <w:rPr>
          <w:i/>
          <w:noProof/>
        </w:rPr>
        <w:t xml:space="preserve">Task 2 Authorisation </w:t>
      </w:r>
    </w:p>
    <w:p w14:paraId="3D4F22FD" w14:textId="77777777" w:rsidR="000A7D9D" w:rsidRPr="007F38F4" w:rsidRDefault="000A7D9D" w:rsidP="000A7D9D">
      <w:pPr>
        <w:spacing w:after="120"/>
        <w:jc w:val="both"/>
        <w:textAlignment w:val="baseline"/>
        <w:rPr>
          <w:rFonts w:ascii="Times New Roman" w:hAnsi="Times New Roman" w:cs="Times New Roman"/>
          <w:noProof/>
          <w:sz w:val="24"/>
          <w:szCs w:val="24"/>
        </w:rPr>
      </w:pPr>
      <w:r w:rsidRPr="007F38F4">
        <w:rPr>
          <w:rFonts w:ascii="Times New Roman" w:hAnsi="Times New Roman" w:cs="Times New Roman"/>
          <w:noProof/>
          <w:sz w:val="24"/>
          <w:szCs w:val="24"/>
        </w:rPr>
        <w:t>REACH authorisation, with its system of applicant by applicant decisions on allowing or not the use of the concerned substances, will be replaced by a simpler, less granular system. Details are still under discussion and include considerations of establishing a system calling for early information on use, exposure and alternatives, notably from downstream uses, to inform the decision on the best regulatory approach per substance. </w:t>
      </w:r>
    </w:p>
    <w:p w14:paraId="1FFE0D6B" w14:textId="77777777" w:rsidR="000A7D9D" w:rsidRPr="007F38F4" w:rsidRDefault="000A7D9D" w:rsidP="000A7D9D">
      <w:pPr>
        <w:spacing w:after="120"/>
        <w:jc w:val="both"/>
        <w:textAlignment w:val="baseline"/>
        <w:rPr>
          <w:rFonts w:ascii="Times New Roman" w:hAnsi="Times New Roman" w:cs="Times New Roman"/>
          <w:noProof/>
          <w:sz w:val="24"/>
          <w:szCs w:val="24"/>
        </w:rPr>
      </w:pPr>
      <w:r w:rsidRPr="007F38F4">
        <w:rPr>
          <w:rFonts w:ascii="Times New Roman" w:hAnsi="Times New Roman" w:cs="Times New Roman"/>
          <w:noProof/>
          <w:sz w:val="24"/>
          <w:szCs w:val="24"/>
        </w:rPr>
        <w:t>Additionally, the concept of essential uses will be implemented to take into account the needs of society (essential uses) or push to faster phase-out of substances for non-essential uses.  </w:t>
      </w:r>
    </w:p>
    <w:p w14:paraId="70557C9D" w14:textId="77777777" w:rsidR="000A7D9D" w:rsidRPr="007F38F4" w:rsidRDefault="000A7D9D" w:rsidP="000A7D9D">
      <w:pPr>
        <w:pStyle w:val="BodyText"/>
        <w:spacing w:line="259" w:lineRule="auto"/>
        <w:jc w:val="both"/>
        <w:rPr>
          <w:i/>
          <w:noProof/>
        </w:rPr>
      </w:pPr>
      <w:r w:rsidRPr="007F38F4">
        <w:rPr>
          <w:i/>
          <w:noProof/>
        </w:rPr>
        <w:t xml:space="preserve">Task 3 Restriction </w:t>
      </w:r>
    </w:p>
    <w:p w14:paraId="1A9A7C76" w14:textId="77777777" w:rsidR="000A7D9D" w:rsidRPr="007F38F4" w:rsidRDefault="000A7D9D" w:rsidP="000A7D9D">
      <w:pPr>
        <w:spacing w:after="120"/>
        <w:jc w:val="both"/>
        <w:textAlignment w:val="baseline"/>
        <w:rPr>
          <w:rFonts w:ascii="Times New Roman" w:hAnsi="Times New Roman" w:cs="Times New Roman"/>
          <w:noProof/>
          <w:sz w:val="24"/>
          <w:szCs w:val="24"/>
        </w:rPr>
      </w:pPr>
      <w:r w:rsidRPr="007F38F4">
        <w:rPr>
          <w:rFonts w:ascii="Times New Roman" w:hAnsi="Times New Roman" w:cs="Times New Roman"/>
          <w:noProof/>
          <w:sz w:val="24"/>
          <w:szCs w:val="24"/>
        </w:rPr>
        <w:t>Where risks are obvious, simpler restriction procedures in the so-called “Generic Risk management Approach” (GRA) will be extended from CMRs to new hazard classes and from consumer to professional uses.  </w:t>
      </w:r>
    </w:p>
    <w:p w14:paraId="33A58439" w14:textId="77777777" w:rsidR="000A7D9D" w:rsidRPr="007F38F4" w:rsidRDefault="000A7D9D" w:rsidP="000A7D9D">
      <w:pPr>
        <w:spacing w:after="120"/>
        <w:jc w:val="both"/>
        <w:textAlignment w:val="baseline"/>
        <w:rPr>
          <w:rFonts w:ascii="Times New Roman" w:hAnsi="Times New Roman" w:cs="Times New Roman"/>
          <w:noProof/>
          <w:sz w:val="24"/>
          <w:szCs w:val="24"/>
        </w:rPr>
      </w:pPr>
      <w:r w:rsidRPr="007F38F4">
        <w:rPr>
          <w:rFonts w:ascii="Times New Roman" w:hAnsi="Times New Roman" w:cs="Times New Roman"/>
          <w:noProof/>
          <w:sz w:val="24"/>
          <w:szCs w:val="24"/>
        </w:rPr>
        <w:t>Likewise the authorisation process, the essential use concept will be implemented to derogate essential uses from the restrictions by taking into account the needs of society (essential uses) or to push for faster phase-out of substances for non-essential uses. </w:t>
      </w:r>
    </w:p>
    <w:p w14:paraId="6FCE51E0" w14:textId="77777777" w:rsidR="000A7D9D" w:rsidRPr="007F38F4" w:rsidRDefault="000A7D9D" w:rsidP="000A7D9D">
      <w:pPr>
        <w:pStyle w:val="BodyText"/>
        <w:spacing w:line="259" w:lineRule="auto"/>
        <w:jc w:val="both"/>
        <w:rPr>
          <w:i/>
          <w:noProof/>
        </w:rPr>
      </w:pPr>
      <w:r w:rsidRPr="007F38F4">
        <w:rPr>
          <w:i/>
          <w:noProof/>
        </w:rPr>
        <w:t xml:space="preserve">Task 4 Evaluation </w:t>
      </w:r>
    </w:p>
    <w:p w14:paraId="5927F00A" w14:textId="77777777" w:rsidR="000A7D9D" w:rsidRPr="007F38F4" w:rsidRDefault="000A7D9D" w:rsidP="000A7D9D">
      <w:pPr>
        <w:spacing w:after="120"/>
        <w:jc w:val="both"/>
        <w:textAlignment w:val="baseline"/>
        <w:rPr>
          <w:rFonts w:ascii="Times New Roman" w:hAnsi="Times New Roman" w:cs="Times New Roman"/>
          <w:noProof/>
          <w:sz w:val="24"/>
          <w:szCs w:val="24"/>
        </w:rPr>
      </w:pPr>
      <w:r w:rsidRPr="007F38F4">
        <w:rPr>
          <w:rFonts w:ascii="Times New Roman" w:hAnsi="Times New Roman" w:cs="Times New Roman"/>
          <w:noProof/>
          <w:sz w:val="24"/>
          <w:szCs w:val="24"/>
        </w:rPr>
        <w:t>Several provisions related to dossier and substance evaluation and its decision-making will be modified to enhance efficiency of the processes and re-focus attention of testing proposal examinations from volume-considerations to animal testing and complex studies. Annually adopted Community Rolling Action Plan will be replaced with lightweight registry of substance evaluations that would be justified based on hazard or risk considerations. ECHA will also be able to perform substance evaluation alongside MS competent authorities.  </w:t>
      </w:r>
    </w:p>
    <w:p w14:paraId="6C309E99" w14:textId="77777777" w:rsidR="000A7D9D" w:rsidRPr="007F38F4" w:rsidRDefault="000A7D9D" w:rsidP="000A7D9D">
      <w:pPr>
        <w:pStyle w:val="BodyText"/>
        <w:spacing w:line="259" w:lineRule="auto"/>
        <w:jc w:val="both"/>
        <w:rPr>
          <w:i/>
          <w:noProof/>
        </w:rPr>
      </w:pPr>
      <w:r w:rsidRPr="007F38F4">
        <w:rPr>
          <w:i/>
          <w:noProof/>
        </w:rPr>
        <w:t>Task 5 Enforcement</w:t>
      </w:r>
    </w:p>
    <w:p w14:paraId="20415429" w14:textId="77777777" w:rsidR="000A7D9D" w:rsidRPr="007F38F4" w:rsidRDefault="000A7D9D" w:rsidP="000A7D9D">
      <w:pPr>
        <w:spacing w:after="120"/>
        <w:jc w:val="both"/>
        <w:textAlignment w:val="baseline"/>
        <w:rPr>
          <w:rFonts w:ascii="Times New Roman" w:hAnsi="Times New Roman" w:cs="Times New Roman"/>
          <w:noProof/>
          <w:sz w:val="24"/>
          <w:szCs w:val="24"/>
        </w:rPr>
      </w:pPr>
      <w:r w:rsidRPr="007F38F4">
        <w:rPr>
          <w:rFonts w:ascii="Times New Roman" w:hAnsi="Times New Roman" w:cs="Times New Roman"/>
          <w:noProof/>
          <w:sz w:val="24"/>
          <w:szCs w:val="24"/>
        </w:rPr>
        <w:t>A number of actions is foreseen, which include revoking registration in case of persistent incompliance or expiry of the technical dossier, Commission audits of Member States’ enforcement systems, improving customs controls, enabling OLAF to investigate breaches of REACH, improving access to justice and dealing with online sales from third countries to consumers.  </w:t>
      </w:r>
    </w:p>
    <w:p w14:paraId="0546770C" w14:textId="77777777" w:rsidR="000A7D9D" w:rsidRPr="007F38F4" w:rsidRDefault="000A7D9D" w:rsidP="000A7D9D">
      <w:pPr>
        <w:pStyle w:val="BodyText"/>
        <w:jc w:val="both"/>
        <w:rPr>
          <w:noProof/>
        </w:rPr>
      </w:pPr>
      <w:r w:rsidRPr="007F38F4">
        <w:rPr>
          <w:b/>
          <w:bCs/>
          <w:noProof/>
        </w:rPr>
        <w:t>Proximity to ECHA mandate:</w:t>
      </w:r>
      <w:r w:rsidRPr="007F38F4">
        <w:rPr>
          <w:noProof/>
        </w:rPr>
        <w:t xml:space="preserve"> The tasks are core tasks already performed by ECHA and therefore there is a good fit with its core mandate. </w:t>
      </w:r>
    </w:p>
    <w:p w14:paraId="7B51CC24" w14:textId="77777777" w:rsidR="000A7D9D" w:rsidRPr="007F38F4" w:rsidRDefault="000A7D9D" w:rsidP="000A7D9D">
      <w:pPr>
        <w:pStyle w:val="BodyText"/>
        <w:jc w:val="both"/>
        <w:rPr>
          <w:b/>
          <w:bCs/>
          <w:noProof/>
        </w:rPr>
      </w:pPr>
      <w:r w:rsidRPr="007F38F4">
        <w:rPr>
          <w:b/>
          <w:bCs/>
          <w:noProof/>
        </w:rPr>
        <w:t>Projected impact on ECHA:</w:t>
      </w:r>
    </w:p>
    <w:p w14:paraId="0C11778B" w14:textId="77777777" w:rsidR="000A7D9D" w:rsidRPr="007F38F4" w:rsidRDefault="000A7D9D" w:rsidP="000A7D9D">
      <w:pPr>
        <w:pStyle w:val="BodyText"/>
        <w:widowControl w:val="0"/>
        <w:numPr>
          <w:ilvl w:val="0"/>
          <w:numId w:val="88"/>
        </w:numPr>
        <w:spacing w:after="0"/>
        <w:jc w:val="both"/>
        <w:rPr>
          <w:b/>
          <w:bCs/>
          <w:noProof/>
        </w:rPr>
      </w:pPr>
      <w:r w:rsidRPr="007F38F4">
        <w:rPr>
          <w:noProof/>
        </w:rPr>
        <w:t xml:space="preserve">ECHA Committees/bodies: </w:t>
      </w:r>
      <w:r w:rsidRPr="007F38F4">
        <w:rPr>
          <w:b/>
          <w:bCs/>
          <w:noProof/>
        </w:rPr>
        <w:t>low impact</w:t>
      </w:r>
      <w:r w:rsidRPr="007F38F4">
        <w:rPr>
          <w:noProof/>
        </w:rPr>
        <w:t xml:space="preserve">. The changes in the tasks on restriction and authorisation may slightly reduce the workloead of the committees </w:t>
      </w:r>
    </w:p>
    <w:p w14:paraId="1523C9B8" w14:textId="77777777" w:rsidR="000A7D9D" w:rsidRPr="007F38F4" w:rsidRDefault="000A7D9D" w:rsidP="000A7D9D">
      <w:pPr>
        <w:pStyle w:val="BodyText"/>
        <w:widowControl w:val="0"/>
        <w:numPr>
          <w:ilvl w:val="0"/>
          <w:numId w:val="88"/>
        </w:numPr>
        <w:spacing w:after="0"/>
        <w:jc w:val="both"/>
        <w:rPr>
          <w:b/>
          <w:bCs/>
          <w:noProof/>
        </w:rPr>
      </w:pPr>
      <w:r w:rsidRPr="007F38F4">
        <w:rPr>
          <w:noProof/>
        </w:rPr>
        <w:t xml:space="preserve">ECHA data model and IT infrastructure: </w:t>
      </w:r>
      <w:r w:rsidRPr="007F38F4">
        <w:rPr>
          <w:b/>
          <w:bCs/>
          <w:noProof/>
        </w:rPr>
        <w:t>medium impact</w:t>
      </w:r>
      <w:r w:rsidRPr="007F38F4">
        <w:rPr>
          <w:noProof/>
        </w:rPr>
        <w:t>. The task can be implemented with adjustments / configuration of existing data structures and IT systems</w:t>
      </w:r>
    </w:p>
    <w:p w14:paraId="18FE507E" w14:textId="77777777" w:rsidR="000A7D9D" w:rsidRPr="007F38F4" w:rsidRDefault="000A7D9D" w:rsidP="000A7D9D">
      <w:pPr>
        <w:pStyle w:val="BodyText"/>
        <w:widowControl w:val="0"/>
        <w:numPr>
          <w:ilvl w:val="0"/>
          <w:numId w:val="88"/>
        </w:numPr>
        <w:jc w:val="both"/>
        <w:rPr>
          <w:b/>
          <w:bCs/>
          <w:noProof/>
        </w:rPr>
      </w:pPr>
      <w:r w:rsidRPr="007F38F4">
        <w:rPr>
          <w:noProof/>
        </w:rPr>
        <w:t>ECHA key experts:</w:t>
      </w:r>
      <w:r w:rsidRPr="007F38F4">
        <w:rPr>
          <w:b/>
          <w:bCs/>
          <w:noProof/>
        </w:rPr>
        <w:t xml:space="preserve"> high impact</w:t>
      </w:r>
      <w:r w:rsidRPr="007F38F4">
        <w:rPr>
          <w:noProof/>
        </w:rPr>
        <w:t>. The task heavily relies on expert competencies, which are limited within ECHA and also critical to REACH/CLP/BPR regulatory tasks</w:t>
      </w:r>
    </w:p>
    <w:p w14:paraId="6F62B189" w14:textId="77777777" w:rsidR="000A7D9D" w:rsidRPr="007F38F4" w:rsidRDefault="000A7D9D" w:rsidP="000A7D9D">
      <w:pPr>
        <w:pStyle w:val="BodyText"/>
        <w:rPr>
          <w:noProof/>
        </w:rPr>
      </w:pPr>
      <w:r w:rsidRPr="007F38F4">
        <w:rPr>
          <w:rFonts w:eastAsia="Verdana"/>
          <w:b/>
          <w:bCs/>
          <w:noProof/>
        </w:rPr>
        <w:t>Workload and resource implications:</w:t>
      </w:r>
    </w:p>
    <w:p w14:paraId="3841C4B7" w14:textId="77777777" w:rsidR="000A7D9D" w:rsidRPr="007F38F4" w:rsidRDefault="000A7D9D" w:rsidP="000A7D9D">
      <w:pPr>
        <w:pStyle w:val="BodyText"/>
        <w:rPr>
          <w:noProof/>
          <w:u w:val="single"/>
        </w:rPr>
      </w:pPr>
      <w:r w:rsidRPr="007F38F4">
        <w:rPr>
          <w:noProof/>
          <w:u w:val="single"/>
        </w:rPr>
        <w:t>Current workload and resources used:</w:t>
      </w:r>
    </w:p>
    <w:p w14:paraId="4E246258" w14:textId="77777777" w:rsidR="000A7D9D" w:rsidRPr="007F38F4" w:rsidRDefault="000A7D9D" w:rsidP="000A7D9D">
      <w:pPr>
        <w:spacing w:before="120" w:after="120"/>
        <w:jc w:val="both"/>
        <w:rPr>
          <w:rFonts w:ascii="Times New Roman" w:hAnsi="Times New Roman" w:cs="Times New Roman"/>
          <w:noProof/>
          <w:sz w:val="24"/>
          <w:szCs w:val="24"/>
        </w:rPr>
      </w:pPr>
      <w:r w:rsidRPr="007F38F4">
        <w:rPr>
          <w:rFonts w:ascii="Times New Roman" w:hAnsi="Times New Roman" w:cs="Times New Roman"/>
          <w:noProof/>
          <w:sz w:val="24"/>
          <w:szCs w:val="24"/>
          <w:u w:val="single"/>
        </w:rPr>
        <w:t>Current budget line:</w:t>
      </w:r>
      <w:r w:rsidRPr="007F38F4">
        <w:rPr>
          <w:rFonts w:ascii="Times New Roman" w:hAnsi="Times New Roman" w:cs="Times New Roman"/>
          <w:noProof/>
          <w:sz w:val="24"/>
          <w:szCs w:val="24"/>
        </w:rPr>
        <w:t xml:space="preserve"> Budget line of DG GROW</w:t>
      </w:r>
    </w:p>
    <w:p w14:paraId="64DD96D8" w14:textId="77777777" w:rsidR="000A7D9D" w:rsidRPr="007F38F4" w:rsidRDefault="000A7D9D" w:rsidP="000A7D9D">
      <w:pPr>
        <w:pStyle w:val="BodyText"/>
        <w:rPr>
          <w:noProof/>
          <w:u w:val="single"/>
        </w:rPr>
      </w:pPr>
      <w:r w:rsidRPr="007F38F4">
        <w:rPr>
          <w:noProof/>
          <w:u w:val="single"/>
        </w:rPr>
        <w:t>Future workload and resource needs:</w:t>
      </w:r>
    </w:p>
    <w:p w14:paraId="23F0C43F" w14:textId="77777777" w:rsidR="000A7D9D" w:rsidRPr="007F38F4" w:rsidRDefault="000A7D9D" w:rsidP="000A7D9D">
      <w:pPr>
        <w:pStyle w:val="BodyText"/>
        <w:jc w:val="both"/>
        <w:rPr>
          <w:i/>
          <w:noProof/>
        </w:rPr>
      </w:pPr>
      <w:r w:rsidRPr="007F38F4">
        <w:rPr>
          <w:i/>
          <w:noProof/>
        </w:rPr>
        <w:t xml:space="preserve">Task 1 Registration </w:t>
      </w:r>
    </w:p>
    <w:p w14:paraId="66A56E50" w14:textId="77777777" w:rsidR="000A7D9D" w:rsidRPr="007F38F4" w:rsidRDefault="000A7D9D" w:rsidP="000A7D9D">
      <w:pPr>
        <w:spacing w:after="120"/>
        <w:textAlignment w:val="baseline"/>
        <w:rPr>
          <w:rFonts w:ascii="Times New Roman" w:hAnsi="Times New Roman" w:cs="Times New Roman"/>
          <w:noProof/>
          <w:sz w:val="24"/>
          <w:szCs w:val="24"/>
        </w:rPr>
      </w:pPr>
      <w:r w:rsidRPr="007F38F4">
        <w:rPr>
          <w:rFonts w:ascii="Times New Roman" w:hAnsi="Times New Roman" w:cs="Times New Roman"/>
          <w:noProof/>
          <w:sz w:val="24"/>
          <w:szCs w:val="24"/>
        </w:rPr>
        <w:t>Changes in Uses and exposure will require:</w:t>
      </w:r>
    </w:p>
    <w:p w14:paraId="7385F390" w14:textId="77777777" w:rsidR="000A7D9D" w:rsidRPr="007F38F4" w:rsidRDefault="000A7D9D" w:rsidP="000A7D9D">
      <w:pPr>
        <w:pStyle w:val="ListParagraph"/>
        <w:numPr>
          <w:ilvl w:val="0"/>
          <w:numId w:val="88"/>
        </w:numPr>
        <w:textAlignment w:val="baseline"/>
        <w:rPr>
          <w:noProof/>
        </w:rPr>
      </w:pPr>
      <w:r w:rsidRPr="007F38F4">
        <w:rPr>
          <w:noProof/>
        </w:rPr>
        <w:t>Unquantified costs to ECHA to update guidance and IT tools (one-off direct administrative costs); </w:t>
      </w:r>
    </w:p>
    <w:p w14:paraId="74DDC8DB" w14:textId="77777777" w:rsidR="000A7D9D" w:rsidRPr="007F38F4" w:rsidRDefault="000A7D9D" w:rsidP="000A7D9D">
      <w:pPr>
        <w:pStyle w:val="ListParagraph"/>
        <w:numPr>
          <w:ilvl w:val="0"/>
          <w:numId w:val="88"/>
        </w:numPr>
        <w:spacing w:after="120"/>
        <w:ind w:left="714" w:hanging="357"/>
        <w:contextualSpacing w:val="0"/>
        <w:textAlignment w:val="baseline"/>
        <w:rPr>
          <w:noProof/>
        </w:rPr>
      </w:pPr>
      <w:r w:rsidRPr="007F38F4">
        <w:rPr>
          <w:noProof/>
        </w:rPr>
        <w:t>EUR 160 000 costs to ECHA for additional manual Technical Completeness Check (recurrent direct administrative costs). </w:t>
      </w:r>
    </w:p>
    <w:p w14:paraId="7B6F68F9" w14:textId="77777777" w:rsidR="000A7D9D" w:rsidRPr="007F38F4" w:rsidRDefault="000A7D9D" w:rsidP="000A7D9D">
      <w:pPr>
        <w:spacing w:after="120"/>
        <w:textAlignment w:val="baseline"/>
        <w:rPr>
          <w:rFonts w:ascii="Times New Roman" w:hAnsi="Times New Roman" w:cs="Times New Roman"/>
          <w:noProof/>
          <w:sz w:val="24"/>
          <w:szCs w:val="24"/>
        </w:rPr>
      </w:pPr>
      <w:r w:rsidRPr="007F38F4">
        <w:rPr>
          <w:rFonts w:ascii="Times New Roman" w:hAnsi="Times New Roman" w:cs="Times New Roman"/>
          <w:noProof/>
          <w:sz w:val="24"/>
          <w:szCs w:val="24"/>
        </w:rPr>
        <w:t xml:space="preserve">Changes on registration requirements for polymers: </w:t>
      </w:r>
    </w:p>
    <w:p w14:paraId="7C1B1C8D" w14:textId="77777777" w:rsidR="000A7D9D" w:rsidRPr="007F38F4" w:rsidRDefault="000A7D9D" w:rsidP="000A7D9D">
      <w:pPr>
        <w:spacing w:after="120"/>
        <w:jc w:val="both"/>
        <w:textAlignment w:val="baseline"/>
        <w:rPr>
          <w:rFonts w:ascii="Times New Roman" w:hAnsi="Times New Roman" w:cs="Times New Roman"/>
          <w:noProof/>
          <w:sz w:val="24"/>
          <w:szCs w:val="24"/>
        </w:rPr>
      </w:pPr>
      <w:r w:rsidRPr="007F38F4">
        <w:rPr>
          <w:rFonts w:ascii="Times New Roman" w:hAnsi="Times New Roman" w:cs="Times New Roman"/>
          <w:noProof/>
          <w:sz w:val="24"/>
          <w:szCs w:val="24"/>
        </w:rPr>
        <w:t xml:space="preserve">The impact assessment estimates that the registration of polymers will entail additional EUR 141 million for ECHA (one-off direct administrative costs). ECHA has provided a more detailed breakdown of costs and FTEs, </w:t>
      </w:r>
      <w:r w:rsidRPr="007F38F4">
        <w:rPr>
          <w:rFonts w:ascii="Times New Roman" w:hAnsi="Times New Roman" w:cs="Times New Roman"/>
          <w:noProof/>
          <w:sz w:val="24"/>
          <w:szCs w:val="24"/>
          <w:u w:val="single"/>
        </w:rPr>
        <w:t>according</w:t>
      </w:r>
      <w:r w:rsidRPr="007F38F4">
        <w:rPr>
          <w:rFonts w:ascii="Times New Roman" w:hAnsi="Times New Roman" w:cs="Times New Roman"/>
          <w:noProof/>
          <w:sz w:val="24"/>
          <w:szCs w:val="24"/>
        </w:rPr>
        <w:t xml:space="preserve"> to their own estimates:  </w:t>
      </w:r>
    </w:p>
    <w:p w14:paraId="3723566B" w14:textId="77777777" w:rsidR="000A7D9D" w:rsidRPr="007F38F4" w:rsidRDefault="000A7D9D" w:rsidP="000A7D9D">
      <w:pPr>
        <w:pStyle w:val="ListParagraph"/>
        <w:numPr>
          <w:ilvl w:val="0"/>
          <w:numId w:val="88"/>
        </w:numPr>
        <w:textAlignment w:val="baseline"/>
        <w:rPr>
          <w:noProof/>
        </w:rPr>
      </w:pPr>
      <w:r w:rsidRPr="007F38F4">
        <w:rPr>
          <w:noProof/>
        </w:rPr>
        <w:t>Capacity building and guidance development (industry and authority): 5-10 FTE annually from 2024 until 2033, EUR 0.9-1.5 million </w:t>
      </w:r>
    </w:p>
    <w:p w14:paraId="61B710D3" w14:textId="77777777" w:rsidR="000A7D9D" w:rsidRPr="007F38F4" w:rsidRDefault="000A7D9D" w:rsidP="000A7D9D">
      <w:pPr>
        <w:pStyle w:val="ListParagraph"/>
        <w:numPr>
          <w:ilvl w:val="0"/>
          <w:numId w:val="88"/>
        </w:numPr>
        <w:textAlignment w:val="baseline"/>
        <w:rPr>
          <w:noProof/>
        </w:rPr>
      </w:pPr>
      <w:r w:rsidRPr="007F38F4">
        <w:rPr>
          <w:noProof/>
        </w:rPr>
        <w:t>Notification, incl. support to industry: 10-15 FTE in 2027, 10-20 FTE in 2028, 2029 and 2030, and 10-15 FTE in 2031, marginal onwards, EUR 3 million </w:t>
      </w:r>
    </w:p>
    <w:p w14:paraId="470D5335" w14:textId="77777777" w:rsidR="000A7D9D" w:rsidRPr="007F38F4" w:rsidRDefault="000A7D9D" w:rsidP="000A7D9D">
      <w:pPr>
        <w:pStyle w:val="ListParagraph"/>
        <w:numPr>
          <w:ilvl w:val="0"/>
          <w:numId w:val="88"/>
        </w:numPr>
        <w:textAlignment w:val="baseline"/>
        <w:rPr>
          <w:noProof/>
        </w:rPr>
      </w:pPr>
      <w:r w:rsidRPr="007F38F4">
        <w:rPr>
          <w:noProof/>
        </w:rPr>
        <w:t>Developing grouping criteria: 5-10 FTE annually from 2029 to 2032, EUR 1.5-2 million </w:t>
      </w:r>
    </w:p>
    <w:p w14:paraId="653DE8F3" w14:textId="77777777" w:rsidR="000A7D9D" w:rsidRDefault="000A7D9D" w:rsidP="000A7D9D">
      <w:pPr>
        <w:pStyle w:val="ListParagraph"/>
        <w:numPr>
          <w:ilvl w:val="0"/>
          <w:numId w:val="88"/>
        </w:numPr>
        <w:textAlignment w:val="baseline"/>
        <w:rPr>
          <w:noProof/>
        </w:rPr>
      </w:pPr>
      <w:r w:rsidRPr="007F38F4">
        <w:rPr>
          <w:noProof/>
        </w:rPr>
        <w:t>Registration, incl. support to industry: between 10 and 60 FTE annually from 2031 onwards, EUR 4-5 million </w:t>
      </w:r>
    </w:p>
    <w:p w14:paraId="131EA42C" w14:textId="77777777" w:rsidR="000A7D9D" w:rsidRPr="007F38F4" w:rsidRDefault="000A7D9D" w:rsidP="000A7D9D">
      <w:pPr>
        <w:pStyle w:val="ListParagraph"/>
        <w:textAlignment w:val="baseline"/>
        <w:rPr>
          <w:noProof/>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4"/>
        <w:gridCol w:w="455"/>
        <w:gridCol w:w="466"/>
        <w:gridCol w:w="465"/>
        <w:gridCol w:w="465"/>
        <w:gridCol w:w="529"/>
        <w:gridCol w:w="541"/>
        <w:gridCol w:w="541"/>
        <w:gridCol w:w="541"/>
        <w:gridCol w:w="541"/>
        <w:gridCol w:w="541"/>
        <w:gridCol w:w="541"/>
        <w:gridCol w:w="550"/>
        <w:gridCol w:w="541"/>
        <w:gridCol w:w="541"/>
        <w:gridCol w:w="541"/>
        <w:gridCol w:w="647"/>
      </w:tblGrid>
      <w:tr w:rsidR="000A7D9D" w:rsidRPr="007F38F4" w14:paraId="14DE1A6B" w14:textId="77777777" w:rsidTr="00F31937">
        <w:trPr>
          <w:trHeight w:val="360"/>
        </w:trPr>
        <w:tc>
          <w:tcPr>
            <w:tcW w:w="9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8CE30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387" w:type="dxa"/>
            <w:tcBorders>
              <w:top w:val="single" w:sz="6" w:space="0" w:color="auto"/>
              <w:left w:val="nil"/>
              <w:bottom w:val="single" w:sz="6" w:space="0" w:color="auto"/>
              <w:right w:val="single" w:sz="6" w:space="0" w:color="auto"/>
            </w:tcBorders>
            <w:shd w:val="clear" w:color="auto" w:fill="auto"/>
            <w:vAlign w:val="bottom"/>
            <w:hideMark/>
          </w:tcPr>
          <w:p w14:paraId="4CEF7D5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single" w:sz="6" w:space="0" w:color="auto"/>
              <w:left w:val="nil"/>
              <w:bottom w:val="single" w:sz="6" w:space="0" w:color="auto"/>
              <w:right w:val="single" w:sz="6" w:space="0" w:color="auto"/>
            </w:tcBorders>
            <w:shd w:val="clear" w:color="auto" w:fill="auto"/>
            <w:vAlign w:val="bottom"/>
            <w:hideMark/>
          </w:tcPr>
          <w:p w14:paraId="1AA7F947"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2024 </w:t>
            </w:r>
          </w:p>
        </w:tc>
        <w:tc>
          <w:tcPr>
            <w:tcW w:w="421" w:type="dxa"/>
            <w:tcBorders>
              <w:top w:val="single" w:sz="6" w:space="0" w:color="auto"/>
              <w:left w:val="nil"/>
              <w:bottom w:val="single" w:sz="6" w:space="0" w:color="auto"/>
              <w:right w:val="single" w:sz="6" w:space="0" w:color="auto"/>
            </w:tcBorders>
            <w:shd w:val="clear" w:color="auto" w:fill="auto"/>
            <w:vAlign w:val="bottom"/>
            <w:hideMark/>
          </w:tcPr>
          <w:p w14:paraId="3912D2A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2025 </w:t>
            </w:r>
          </w:p>
        </w:tc>
        <w:tc>
          <w:tcPr>
            <w:tcW w:w="421" w:type="dxa"/>
            <w:tcBorders>
              <w:top w:val="single" w:sz="6" w:space="0" w:color="auto"/>
              <w:left w:val="nil"/>
              <w:bottom w:val="single" w:sz="6" w:space="0" w:color="auto"/>
              <w:right w:val="single" w:sz="6" w:space="0" w:color="auto"/>
            </w:tcBorders>
            <w:shd w:val="clear" w:color="auto" w:fill="auto"/>
            <w:vAlign w:val="bottom"/>
            <w:hideMark/>
          </w:tcPr>
          <w:p w14:paraId="222799B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2026 </w:t>
            </w:r>
          </w:p>
        </w:tc>
        <w:tc>
          <w:tcPr>
            <w:tcW w:w="551" w:type="dxa"/>
            <w:tcBorders>
              <w:top w:val="single" w:sz="6" w:space="0" w:color="auto"/>
              <w:left w:val="nil"/>
              <w:bottom w:val="single" w:sz="6" w:space="0" w:color="auto"/>
              <w:right w:val="single" w:sz="6" w:space="0" w:color="auto"/>
            </w:tcBorders>
            <w:shd w:val="clear" w:color="auto" w:fill="auto"/>
            <w:vAlign w:val="bottom"/>
            <w:hideMark/>
          </w:tcPr>
          <w:p w14:paraId="644208C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2027 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5456C22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2028 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1F64586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2029 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679FF3EE"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2030 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7E5DD81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2031 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7138A487"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2032 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250CC0B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2033 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7549CEB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2034 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2B8C696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2035 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44B52262"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2036 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73F4F4B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2037 </w:t>
            </w:r>
          </w:p>
        </w:tc>
        <w:tc>
          <w:tcPr>
            <w:tcW w:w="709" w:type="dxa"/>
            <w:tcBorders>
              <w:top w:val="single" w:sz="6" w:space="0" w:color="auto"/>
              <w:left w:val="nil"/>
              <w:bottom w:val="single" w:sz="6" w:space="0" w:color="auto"/>
              <w:right w:val="single" w:sz="6" w:space="0" w:color="auto"/>
            </w:tcBorders>
            <w:shd w:val="clear" w:color="auto" w:fill="auto"/>
            <w:vAlign w:val="bottom"/>
            <w:hideMark/>
          </w:tcPr>
          <w:p w14:paraId="175E39D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2038 </w:t>
            </w:r>
          </w:p>
        </w:tc>
      </w:tr>
      <w:tr w:rsidR="000A7D9D" w:rsidRPr="007F38F4" w14:paraId="4156CF0C" w14:textId="77777777" w:rsidTr="00F31937">
        <w:trPr>
          <w:trHeight w:val="242"/>
        </w:trPr>
        <w:tc>
          <w:tcPr>
            <w:tcW w:w="910" w:type="dxa"/>
            <w:tcBorders>
              <w:top w:val="nil"/>
              <w:left w:val="single" w:sz="6" w:space="0" w:color="auto"/>
              <w:bottom w:val="nil"/>
              <w:right w:val="single" w:sz="6" w:space="0" w:color="auto"/>
            </w:tcBorders>
            <w:shd w:val="clear" w:color="auto" w:fill="auto"/>
            <w:vAlign w:val="bottom"/>
            <w:hideMark/>
          </w:tcPr>
          <w:p w14:paraId="27A8338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Activity </w:t>
            </w:r>
          </w:p>
        </w:tc>
        <w:tc>
          <w:tcPr>
            <w:tcW w:w="387" w:type="dxa"/>
            <w:tcBorders>
              <w:top w:val="nil"/>
              <w:left w:val="nil"/>
              <w:bottom w:val="nil"/>
              <w:right w:val="single" w:sz="6" w:space="0" w:color="auto"/>
            </w:tcBorders>
            <w:shd w:val="clear" w:color="auto" w:fill="auto"/>
            <w:vAlign w:val="bottom"/>
            <w:hideMark/>
          </w:tcPr>
          <w:p w14:paraId="7ACD351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unit </w:t>
            </w:r>
          </w:p>
        </w:tc>
        <w:tc>
          <w:tcPr>
            <w:tcW w:w="421" w:type="dxa"/>
            <w:tcBorders>
              <w:top w:val="nil"/>
              <w:left w:val="nil"/>
              <w:bottom w:val="nil"/>
              <w:right w:val="single" w:sz="6" w:space="0" w:color="auto"/>
            </w:tcBorders>
            <w:shd w:val="clear" w:color="auto" w:fill="auto"/>
            <w:vAlign w:val="bottom"/>
            <w:hideMark/>
          </w:tcPr>
          <w:p w14:paraId="2D7A303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nil"/>
              <w:right w:val="single" w:sz="6" w:space="0" w:color="auto"/>
            </w:tcBorders>
            <w:shd w:val="clear" w:color="auto" w:fill="auto"/>
            <w:vAlign w:val="bottom"/>
            <w:hideMark/>
          </w:tcPr>
          <w:p w14:paraId="4398497B"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nil"/>
              <w:right w:val="single" w:sz="6" w:space="0" w:color="auto"/>
            </w:tcBorders>
            <w:shd w:val="clear" w:color="auto" w:fill="auto"/>
            <w:vAlign w:val="bottom"/>
            <w:hideMark/>
          </w:tcPr>
          <w:p w14:paraId="4447C08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51" w:type="dxa"/>
            <w:tcBorders>
              <w:top w:val="nil"/>
              <w:left w:val="nil"/>
              <w:bottom w:val="nil"/>
              <w:right w:val="single" w:sz="6" w:space="0" w:color="auto"/>
            </w:tcBorders>
            <w:shd w:val="clear" w:color="auto" w:fill="auto"/>
            <w:vAlign w:val="bottom"/>
            <w:hideMark/>
          </w:tcPr>
          <w:p w14:paraId="0FB315B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single" w:sz="6" w:space="0" w:color="auto"/>
            </w:tcBorders>
            <w:shd w:val="clear" w:color="auto" w:fill="auto"/>
            <w:vAlign w:val="bottom"/>
            <w:hideMark/>
          </w:tcPr>
          <w:p w14:paraId="64554A0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single" w:sz="6" w:space="0" w:color="auto"/>
            </w:tcBorders>
            <w:shd w:val="clear" w:color="auto" w:fill="auto"/>
            <w:vAlign w:val="bottom"/>
            <w:hideMark/>
          </w:tcPr>
          <w:p w14:paraId="3704BC2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single" w:sz="6" w:space="0" w:color="auto"/>
            </w:tcBorders>
            <w:shd w:val="clear" w:color="auto" w:fill="auto"/>
            <w:vAlign w:val="bottom"/>
          </w:tcPr>
          <w:p w14:paraId="4BB27842"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p>
        </w:tc>
        <w:tc>
          <w:tcPr>
            <w:tcW w:w="567" w:type="dxa"/>
            <w:tcBorders>
              <w:top w:val="nil"/>
              <w:left w:val="nil"/>
              <w:bottom w:val="nil"/>
              <w:right w:val="single" w:sz="6" w:space="0" w:color="auto"/>
            </w:tcBorders>
            <w:shd w:val="clear" w:color="auto" w:fill="auto"/>
            <w:vAlign w:val="bottom"/>
          </w:tcPr>
          <w:p w14:paraId="18BC6B3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p>
        </w:tc>
        <w:tc>
          <w:tcPr>
            <w:tcW w:w="567" w:type="dxa"/>
            <w:tcBorders>
              <w:top w:val="nil"/>
              <w:left w:val="nil"/>
              <w:bottom w:val="nil"/>
              <w:right w:val="single" w:sz="6" w:space="0" w:color="auto"/>
            </w:tcBorders>
            <w:shd w:val="clear" w:color="auto" w:fill="auto"/>
            <w:vAlign w:val="bottom"/>
          </w:tcPr>
          <w:p w14:paraId="0F6B1F9D"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p>
        </w:tc>
        <w:tc>
          <w:tcPr>
            <w:tcW w:w="567" w:type="dxa"/>
            <w:tcBorders>
              <w:top w:val="nil"/>
              <w:left w:val="nil"/>
              <w:bottom w:val="nil"/>
              <w:right w:val="single" w:sz="6" w:space="0" w:color="auto"/>
            </w:tcBorders>
            <w:shd w:val="clear" w:color="auto" w:fill="auto"/>
            <w:vAlign w:val="bottom"/>
          </w:tcPr>
          <w:p w14:paraId="1BA887B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p>
        </w:tc>
        <w:tc>
          <w:tcPr>
            <w:tcW w:w="567" w:type="dxa"/>
            <w:tcBorders>
              <w:top w:val="nil"/>
              <w:left w:val="nil"/>
              <w:bottom w:val="nil"/>
              <w:right w:val="single" w:sz="6" w:space="0" w:color="auto"/>
            </w:tcBorders>
            <w:shd w:val="clear" w:color="auto" w:fill="auto"/>
            <w:vAlign w:val="bottom"/>
          </w:tcPr>
          <w:p w14:paraId="2B6ACAAD"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p>
        </w:tc>
        <w:tc>
          <w:tcPr>
            <w:tcW w:w="567" w:type="dxa"/>
            <w:tcBorders>
              <w:top w:val="nil"/>
              <w:left w:val="nil"/>
              <w:bottom w:val="nil"/>
              <w:right w:val="single" w:sz="6" w:space="0" w:color="auto"/>
            </w:tcBorders>
            <w:shd w:val="clear" w:color="auto" w:fill="auto"/>
            <w:vAlign w:val="bottom"/>
          </w:tcPr>
          <w:p w14:paraId="3AEE10D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p>
        </w:tc>
        <w:tc>
          <w:tcPr>
            <w:tcW w:w="567" w:type="dxa"/>
            <w:tcBorders>
              <w:top w:val="nil"/>
              <w:left w:val="nil"/>
              <w:bottom w:val="nil"/>
              <w:right w:val="single" w:sz="6" w:space="0" w:color="auto"/>
            </w:tcBorders>
            <w:shd w:val="clear" w:color="auto" w:fill="auto"/>
            <w:vAlign w:val="bottom"/>
          </w:tcPr>
          <w:p w14:paraId="5A09A2B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p>
        </w:tc>
        <w:tc>
          <w:tcPr>
            <w:tcW w:w="567" w:type="dxa"/>
            <w:tcBorders>
              <w:top w:val="nil"/>
              <w:left w:val="nil"/>
              <w:bottom w:val="nil"/>
              <w:right w:val="single" w:sz="6" w:space="0" w:color="auto"/>
            </w:tcBorders>
            <w:shd w:val="clear" w:color="auto" w:fill="auto"/>
            <w:vAlign w:val="bottom"/>
          </w:tcPr>
          <w:p w14:paraId="3EB4E5D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p>
        </w:tc>
        <w:tc>
          <w:tcPr>
            <w:tcW w:w="709" w:type="dxa"/>
            <w:tcBorders>
              <w:top w:val="nil"/>
              <w:left w:val="nil"/>
              <w:bottom w:val="nil"/>
              <w:right w:val="single" w:sz="6" w:space="0" w:color="auto"/>
            </w:tcBorders>
            <w:shd w:val="clear" w:color="auto" w:fill="auto"/>
            <w:vAlign w:val="bottom"/>
            <w:hideMark/>
          </w:tcPr>
          <w:p w14:paraId="3CE1E68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r>
      <w:tr w:rsidR="000A7D9D" w:rsidRPr="007F38F4" w14:paraId="598DA3B1" w14:textId="77777777" w:rsidTr="00F31937">
        <w:trPr>
          <w:trHeight w:val="274"/>
        </w:trPr>
        <w:tc>
          <w:tcPr>
            <w:tcW w:w="9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51C3B2"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Capacity </w:t>
            </w:r>
          </w:p>
        </w:tc>
        <w:tc>
          <w:tcPr>
            <w:tcW w:w="387" w:type="dxa"/>
            <w:tcBorders>
              <w:top w:val="single" w:sz="6" w:space="0" w:color="auto"/>
              <w:left w:val="nil"/>
              <w:bottom w:val="single" w:sz="6" w:space="0" w:color="auto"/>
              <w:right w:val="single" w:sz="6" w:space="0" w:color="auto"/>
            </w:tcBorders>
            <w:shd w:val="clear" w:color="auto" w:fill="auto"/>
            <w:vAlign w:val="center"/>
            <w:hideMark/>
          </w:tcPr>
          <w:p w14:paraId="6DCD505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FTE </w:t>
            </w:r>
          </w:p>
        </w:tc>
        <w:tc>
          <w:tcPr>
            <w:tcW w:w="421" w:type="dxa"/>
            <w:tcBorders>
              <w:top w:val="single" w:sz="6" w:space="0" w:color="auto"/>
              <w:left w:val="nil"/>
              <w:bottom w:val="single" w:sz="6" w:space="0" w:color="auto"/>
              <w:right w:val="single" w:sz="6" w:space="0" w:color="auto"/>
            </w:tcBorders>
            <w:shd w:val="clear" w:color="auto" w:fill="auto"/>
            <w:vAlign w:val="center"/>
            <w:hideMark/>
          </w:tcPr>
          <w:p w14:paraId="788F064B"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421" w:type="dxa"/>
            <w:tcBorders>
              <w:top w:val="single" w:sz="6" w:space="0" w:color="auto"/>
              <w:left w:val="nil"/>
              <w:bottom w:val="single" w:sz="6" w:space="0" w:color="auto"/>
              <w:right w:val="single" w:sz="6" w:space="0" w:color="auto"/>
            </w:tcBorders>
            <w:shd w:val="clear" w:color="auto" w:fill="auto"/>
            <w:vAlign w:val="center"/>
            <w:hideMark/>
          </w:tcPr>
          <w:p w14:paraId="21F1678E"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421" w:type="dxa"/>
            <w:tcBorders>
              <w:top w:val="single" w:sz="6" w:space="0" w:color="auto"/>
              <w:left w:val="nil"/>
              <w:bottom w:val="single" w:sz="6" w:space="0" w:color="auto"/>
              <w:right w:val="single" w:sz="6" w:space="0" w:color="auto"/>
            </w:tcBorders>
            <w:shd w:val="clear" w:color="auto" w:fill="auto"/>
            <w:vAlign w:val="center"/>
            <w:hideMark/>
          </w:tcPr>
          <w:p w14:paraId="451E734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51" w:type="dxa"/>
            <w:tcBorders>
              <w:top w:val="single" w:sz="6" w:space="0" w:color="auto"/>
              <w:left w:val="nil"/>
              <w:bottom w:val="single" w:sz="6" w:space="0" w:color="auto"/>
              <w:right w:val="single" w:sz="6" w:space="0" w:color="auto"/>
            </w:tcBorders>
            <w:shd w:val="clear" w:color="auto" w:fill="auto"/>
            <w:vAlign w:val="center"/>
            <w:hideMark/>
          </w:tcPr>
          <w:p w14:paraId="3C382EB9"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single" w:sz="6" w:space="0" w:color="auto"/>
              <w:left w:val="nil"/>
              <w:bottom w:val="single" w:sz="6" w:space="0" w:color="auto"/>
              <w:right w:val="single" w:sz="6" w:space="0" w:color="auto"/>
            </w:tcBorders>
            <w:shd w:val="clear" w:color="auto" w:fill="auto"/>
            <w:vAlign w:val="center"/>
            <w:hideMark/>
          </w:tcPr>
          <w:p w14:paraId="52654C3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single" w:sz="6" w:space="0" w:color="auto"/>
              <w:left w:val="nil"/>
              <w:bottom w:val="single" w:sz="6" w:space="0" w:color="auto"/>
              <w:right w:val="single" w:sz="6" w:space="0" w:color="auto"/>
            </w:tcBorders>
            <w:shd w:val="clear" w:color="auto" w:fill="auto"/>
            <w:vAlign w:val="center"/>
            <w:hideMark/>
          </w:tcPr>
          <w:p w14:paraId="1328DD9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single" w:sz="6" w:space="0" w:color="auto"/>
              <w:left w:val="nil"/>
              <w:bottom w:val="single" w:sz="6" w:space="0" w:color="auto"/>
              <w:right w:val="single" w:sz="6" w:space="0" w:color="auto"/>
            </w:tcBorders>
            <w:shd w:val="clear" w:color="auto" w:fill="auto"/>
            <w:vAlign w:val="center"/>
            <w:hideMark/>
          </w:tcPr>
          <w:p w14:paraId="21CA22B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single" w:sz="6" w:space="0" w:color="auto"/>
              <w:left w:val="nil"/>
              <w:bottom w:val="single" w:sz="6" w:space="0" w:color="auto"/>
              <w:right w:val="single" w:sz="6" w:space="0" w:color="auto"/>
            </w:tcBorders>
            <w:shd w:val="clear" w:color="auto" w:fill="auto"/>
            <w:vAlign w:val="center"/>
            <w:hideMark/>
          </w:tcPr>
          <w:p w14:paraId="62A23159"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single" w:sz="6" w:space="0" w:color="auto"/>
              <w:left w:val="nil"/>
              <w:bottom w:val="single" w:sz="6" w:space="0" w:color="auto"/>
              <w:right w:val="single" w:sz="6" w:space="0" w:color="auto"/>
            </w:tcBorders>
            <w:shd w:val="clear" w:color="auto" w:fill="auto"/>
            <w:vAlign w:val="center"/>
            <w:hideMark/>
          </w:tcPr>
          <w:p w14:paraId="034C1AF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single" w:sz="6" w:space="0" w:color="auto"/>
              <w:left w:val="nil"/>
              <w:bottom w:val="single" w:sz="6" w:space="0" w:color="auto"/>
              <w:right w:val="single" w:sz="6" w:space="0" w:color="auto"/>
            </w:tcBorders>
            <w:shd w:val="clear" w:color="auto" w:fill="auto"/>
            <w:vAlign w:val="center"/>
            <w:hideMark/>
          </w:tcPr>
          <w:p w14:paraId="19B45F3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37B470E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205C552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113C00C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45F6A7F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709" w:type="dxa"/>
            <w:tcBorders>
              <w:top w:val="single" w:sz="6" w:space="0" w:color="auto"/>
              <w:left w:val="nil"/>
              <w:bottom w:val="single" w:sz="6" w:space="0" w:color="auto"/>
              <w:right w:val="single" w:sz="6" w:space="0" w:color="auto"/>
            </w:tcBorders>
            <w:shd w:val="clear" w:color="auto" w:fill="auto"/>
            <w:vAlign w:val="bottom"/>
            <w:hideMark/>
          </w:tcPr>
          <w:p w14:paraId="22956D4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r>
      <w:tr w:rsidR="000A7D9D" w:rsidRPr="007F38F4" w14:paraId="676ECC6A" w14:textId="77777777" w:rsidTr="00F31937">
        <w:trPr>
          <w:trHeight w:val="278"/>
        </w:trPr>
        <w:tc>
          <w:tcPr>
            <w:tcW w:w="910" w:type="dxa"/>
            <w:tcBorders>
              <w:top w:val="nil"/>
              <w:left w:val="single" w:sz="6" w:space="0" w:color="auto"/>
              <w:bottom w:val="single" w:sz="6" w:space="0" w:color="auto"/>
              <w:right w:val="single" w:sz="6" w:space="0" w:color="auto"/>
            </w:tcBorders>
            <w:shd w:val="clear" w:color="auto" w:fill="auto"/>
            <w:vAlign w:val="bottom"/>
            <w:hideMark/>
          </w:tcPr>
          <w:p w14:paraId="29CD9CE9"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Notification </w:t>
            </w:r>
          </w:p>
        </w:tc>
        <w:tc>
          <w:tcPr>
            <w:tcW w:w="387" w:type="dxa"/>
            <w:tcBorders>
              <w:top w:val="nil"/>
              <w:left w:val="nil"/>
              <w:bottom w:val="single" w:sz="6" w:space="0" w:color="auto"/>
              <w:right w:val="single" w:sz="6" w:space="0" w:color="auto"/>
            </w:tcBorders>
            <w:shd w:val="clear" w:color="auto" w:fill="auto"/>
            <w:vAlign w:val="center"/>
            <w:hideMark/>
          </w:tcPr>
          <w:p w14:paraId="500967CB"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FTE </w:t>
            </w:r>
          </w:p>
        </w:tc>
        <w:tc>
          <w:tcPr>
            <w:tcW w:w="421" w:type="dxa"/>
            <w:tcBorders>
              <w:top w:val="nil"/>
              <w:left w:val="nil"/>
              <w:bottom w:val="single" w:sz="6" w:space="0" w:color="auto"/>
              <w:right w:val="single" w:sz="6" w:space="0" w:color="auto"/>
            </w:tcBorders>
            <w:shd w:val="clear" w:color="auto" w:fill="auto"/>
            <w:vAlign w:val="center"/>
            <w:hideMark/>
          </w:tcPr>
          <w:p w14:paraId="13DFA5B9"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05E56EE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4DDCF68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51" w:type="dxa"/>
            <w:tcBorders>
              <w:top w:val="nil"/>
              <w:left w:val="nil"/>
              <w:bottom w:val="single" w:sz="6" w:space="0" w:color="auto"/>
              <w:right w:val="single" w:sz="6" w:space="0" w:color="auto"/>
            </w:tcBorders>
            <w:shd w:val="clear" w:color="auto" w:fill="auto"/>
            <w:vAlign w:val="center"/>
            <w:hideMark/>
          </w:tcPr>
          <w:p w14:paraId="30E9712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10-15 </w:t>
            </w:r>
          </w:p>
        </w:tc>
        <w:tc>
          <w:tcPr>
            <w:tcW w:w="567" w:type="dxa"/>
            <w:tcBorders>
              <w:top w:val="nil"/>
              <w:left w:val="nil"/>
              <w:bottom w:val="single" w:sz="6" w:space="0" w:color="auto"/>
              <w:right w:val="single" w:sz="6" w:space="0" w:color="auto"/>
            </w:tcBorders>
            <w:shd w:val="clear" w:color="auto" w:fill="auto"/>
            <w:vAlign w:val="center"/>
            <w:hideMark/>
          </w:tcPr>
          <w:p w14:paraId="06A5D6A9"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10-20 </w:t>
            </w:r>
          </w:p>
        </w:tc>
        <w:tc>
          <w:tcPr>
            <w:tcW w:w="567" w:type="dxa"/>
            <w:tcBorders>
              <w:top w:val="nil"/>
              <w:left w:val="nil"/>
              <w:bottom w:val="single" w:sz="6" w:space="0" w:color="auto"/>
              <w:right w:val="single" w:sz="6" w:space="0" w:color="auto"/>
            </w:tcBorders>
            <w:shd w:val="clear" w:color="auto" w:fill="auto"/>
            <w:vAlign w:val="center"/>
            <w:hideMark/>
          </w:tcPr>
          <w:p w14:paraId="2328B27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10-20 </w:t>
            </w:r>
          </w:p>
        </w:tc>
        <w:tc>
          <w:tcPr>
            <w:tcW w:w="567" w:type="dxa"/>
            <w:tcBorders>
              <w:top w:val="nil"/>
              <w:left w:val="nil"/>
              <w:bottom w:val="single" w:sz="6" w:space="0" w:color="auto"/>
              <w:right w:val="single" w:sz="6" w:space="0" w:color="auto"/>
            </w:tcBorders>
            <w:shd w:val="clear" w:color="auto" w:fill="auto"/>
            <w:vAlign w:val="center"/>
            <w:hideMark/>
          </w:tcPr>
          <w:p w14:paraId="6B52507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10-20 </w:t>
            </w:r>
          </w:p>
        </w:tc>
        <w:tc>
          <w:tcPr>
            <w:tcW w:w="567" w:type="dxa"/>
            <w:tcBorders>
              <w:top w:val="nil"/>
              <w:left w:val="nil"/>
              <w:bottom w:val="single" w:sz="6" w:space="0" w:color="auto"/>
              <w:right w:val="single" w:sz="6" w:space="0" w:color="auto"/>
            </w:tcBorders>
            <w:shd w:val="clear" w:color="auto" w:fill="auto"/>
            <w:vAlign w:val="center"/>
            <w:hideMark/>
          </w:tcPr>
          <w:p w14:paraId="4FE701D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10-15 </w:t>
            </w:r>
          </w:p>
        </w:tc>
        <w:tc>
          <w:tcPr>
            <w:tcW w:w="567" w:type="dxa"/>
            <w:tcBorders>
              <w:top w:val="nil"/>
              <w:left w:val="nil"/>
              <w:bottom w:val="single" w:sz="6" w:space="0" w:color="auto"/>
              <w:right w:val="single" w:sz="6" w:space="0" w:color="auto"/>
            </w:tcBorders>
            <w:shd w:val="clear" w:color="auto" w:fill="auto"/>
            <w:vAlign w:val="center"/>
            <w:hideMark/>
          </w:tcPr>
          <w:p w14:paraId="6C3F3A2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small</w:t>
            </w:r>
          </w:p>
        </w:tc>
        <w:tc>
          <w:tcPr>
            <w:tcW w:w="567" w:type="dxa"/>
            <w:tcBorders>
              <w:top w:val="nil"/>
              <w:left w:val="nil"/>
              <w:bottom w:val="single" w:sz="6" w:space="0" w:color="auto"/>
              <w:right w:val="single" w:sz="6" w:space="0" w:color="auto"/>
            </w:tcBorders>
            <w:shd w:val="clear" w:color="auto" w:fill="auto"/>
            <w:vAlign w:val="center"/>
            <w:hideMark/>
          </w:tcPr>
          <w:p w14:paraId="50A6ACD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small</w:t>
            </w:r>
          </w:p>
        </w:tc>
        <w:tc>
          <w:tcPr>
            <w:tcW w:w="567" w:type="dxa"/>
            <w:tcBorders>
              <w:top w:val="nil"/>
              <w:left w:val="nil"/>
              <w:bottom w:val="single" w:sz="6" w:space="0" w:color="auto"/>
              <w:right w:val="single" w:sz="6" w:space="0" w:color="auto"/>
            </w:tcBorders>
            <w:shd w:val="clear" w:color="auto" w:fill="auto"/>
            <w:vAlign w:val="center"/>
            <w:hideMark/>
          </w:tcPr>
          <w:p w14:paraId="25421A8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small </w:t>
            </w:r>
          </w:p>
        </w:tc>
        <w:tc>
          <w:tcPr>
            <w:tcW w:w="567" w:type="dxa"/>
            <w:tcBorders>
              <w:top w:val="nil"/>
              <w:left w:val="nil"/>
              <w:bottom w:val="single" w:sz="6" w:space="0" w:color="auto"/>
              <w:right w:val="single" w:sz="6" w:space="0" w:color="auto"/>
            </w:tcBorders>
            <w:shd w:val="clear" w:color="auto" w:fill="auto"/>
            <w:vAlign w:val="bottom"/>
            <w:hideMark/>
          </w:tcPr>
          <w:p w14:paraId="73FFDBF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39A6A4C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490BCDCB"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709" w:type="dxa"/>
            <w:tcBorders>
              <w:top w:val="nil"/>
              <w:left w:val="nil"/>
              <w:bottom w:val="single" w:sz="6" w:space="0" w:color="auto"/>
              <w:right w:val="single" w:sz="6" w:space="0" w:color="auto"/>
            </w:tcBorders>
            <w:shd w:val="clear" w:color="auto" w:fill="auto"/>
            <w:vAlign w:val="bottom"/>
            <w:hideMark/>
          </w:tcPr>
          <w:p w14:paraId="64E2AF5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r>
      <w:tr w:rsidR="000A7D9D" w:rsidRPr="007F38F4" w14:paraId="7139DEEA" w14:textId="77777777" w:rsidTr="00F31937">
        <w:trPr>
          <w:trHeight w:val="255"/>
        </w:trPr>
        <w:tc>
          <w:tcPr>
            <w:tcW w:w="910" w:type="dxa"/>
            <w:tcBorders>
              <w:top w:val="nil"/>
              <w:left w:val="single" w:sz="6" w:space="0" w:color="auto"/>
              <w:bottom w:val="single" w:sz="6" w:space="0" w:color="auto"/>
              <w:right w:val="single" w:sz="6" w:space="0" w:color="auto"/>
            </w:tcBorders>
            <w:shd w:val="clear" w:color="auto" w:fill="auto"/>
            <w:vAlign w:val="bottom"/>
            <w:hideMark/>
          </w:tcPr>
          <w:p w14:paraId="20A4F6D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Grouping </w:t>
            </w:r>
          </w:p>
        </w:tc>
        <w:tc>
          <w:tcPr>
            <w:tcW w:w="387" w:type="dxa"/>
            <w:tcBorders>
              <w:top w:val="nil"/>
              <w:left w:val="nil"/>
              <w:bottom w:val="single" w:sz="6" w:space="0" w:color="auto"/>
              <w:right w:val="single" w:sz="6" w:space="0" w:color="auto"/>
            </w:tcBorders>
            <w:shd w:val="clear" w:color="auto" w:fill="auto"/>
            <w:vAlign w:val="center"/>
            <w:hideMark/>
          </w:tcPr>
          <w:p w14:paraId="739E8B5E"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FTE </w:t>
            </w:r>
          </w:p>
        </w:tc>
        <w:tc>
          <w:tcPr>
            <w:tcW w:w="421" w:type="dxa"/>
            <w:tcBorders>
              <w:top w:val="nil"/>
              <w:left w:val="nil"/>
              <w:bottom w:val="single" w:sz="6" w:space="0" w:color="auto"/>
              <w:right w:val="single" w:sz="6" w:space="0" w:color="auto"/>
            </w:tcBorders>
            <w:shd w:val="clear" w:color="auto" w:fill="auto"/>
            <w:vAlign w:val="center"/>
            <w:hideMark/>
          </w:tcPr>
          <w:p w14:paraId="2455794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7E197FD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334B258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51" w:type="dxa"/>
            <w:tcBorders>
              <w:top w:val="nil"/>
              <w:left w:val="nil"/>
              <w:bottom w:val="single" w:sz="6" w:space="0" w:color="auto"/>
              <w:right w:val="single" w:sz="6" w:space="0" w:color="auto"/>
            </w:tcBorders>
            <w:shd w:val="clear" w:color="auto" w:fill="auto"/>
            <w:vAlign w:val="bottom"/>
            <w:hideMark/>
          </w:tcPr>
          <w:p w14:paraId="64EBFA7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4BF4B78B"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center"/>
            <w:hideMark/>
          </w:tcPr>
          <w:p w14:paraId="06322332"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nil"/>
              <w:left w:val="nil"/>
              <w:bottom w:val="single" w:sz="6" w:space="0" w:color="auto"/>
              <w:right w:val="single" w:sz="6" w:space="0" w:color="auto"/>
            </w:tcBorders>
            <w:shd w:val="clear" w:color="auto" w:fill="auto"/>
            <w:vAlign w:val="center"/>
            <w:hideMark/>
          </w:tcPr>
          <w:p w14:paraId="4C7CE48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nil"/>
              <w:left w:val="nil"/>
              <w:bottom w:val="single" w:sz="6" w:space="0" w:color="auto"/>
              <w:right w:val="single" w:sz="6" w:space="0" w:color="auto"/>
            </w:tcBorders>
            <w:shd w:val="clear" w:color="auto" w:fill="auto"/>
            <w:vAlign w:val="center"/>
            <w:hideMark/>
          </w:tcPr>
          <w:p w14:paraId="6E57945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nil"/>
              <w:left w:val="nil"/>
              <w:bottom w:val="single" w:sz="6" w:space="0" w:color="auto"/>
              <w:right w:val="single" w:sz="6" w:space="0" w:color="auto"/>
            </w:tcBorders>
            <w:shd w:val="clear" w:color="auto" w:fill="auto"/>
            <w:vAlign w:val="center"/>
            <w:hideMark/>
          </w:tcPr>
          <w:p w14:paraId="30E389A7"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67" w:type="dxa"/>
            <w:tcBorders>
              <w:top w:val="nil"/>
              <w:left w:val="nil"/>
              <w:bottom w:val="single" w:sz="6" w:space="0" w:color="auto"/>
              <w:right w:val="single" w:sz="6" w:space="0" w:color="auto"/>
            </w:tcBorders>
            <w:shd w:val="clear" w:color="auto" w:fill="auto"/>
            <w:vAlign w:val="bottom"/>
            <w:hideMark/>
          </w:tcPr>
          <w:p w14:paraId="2424ABCE"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2DDFB309"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79E438C2"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4362582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2EDD66D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709" w:type="dxa"/>
            <w:tcBorders>
              <w:top w:val="nil"/>
              <w:left w:val="nil"/>
              <w:bottom w:val="single" w:sz="6" w:space="0" w:color="auto"/>
              <w:right w:val="single" w:sz="6" w:space="0" w:color="auto"/>
            </w:tcBorders>
            <w:shd w:val="clear" w:color="auto" w:fill="auto"/>
            <w:vAlign w:val="bottom"/>
            <w:hideMark/>
          </w:tcPr>
          <w:p w14:paraId="7EBE9A7E"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r>
      <w:tr w:rsidR="000A7D9D" w:rsidRPr="007F38F4" w14:paraId="6C3E421F" w14:textId="77777777" w:rsidTr="00F31937">
        <w:trPr>
          <w:trHeight w:val="272"/>
        </w:trPr>
        <w:tc>
          <w:tcPr>
            <w:tcW w:w="910" w:type="dxa"/>
            <w:tcBorders>
              <w:top w:val="nil"/>
              <w:left w:val="single" w:sz="6" w:space="0" w:color="auto"/>
              <w:bottom w:val="single" w:sz="6" w:space="0" w:color="auto"/>
              <w:right w:val="single" w:sz="6" w:space="0" w:color="auto"/>
            </w:tcBorders>
            <w:shd w:val="clear" w:color="auto" w:fill="auto"/>
            <w:vAlign w:val="bottom"/>
            <w:hideMark/>
          </w:tcPr>
          <w:p w14:paraId="54299CA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Registration </w:t>
            </w:r>
          </w:p>
        </w:tc>
        <w:tc>
          <w:tcPr>
            <w:tcW w:w="387" w:type="dxa"/>
            <w:tcBorders>
              <w:top w:val="nil"/>
              <w:left w:val="nil"/>
              <w:bottom w:val="single" w:sz="6" w:space="0" w:color="auto"/>
              <w:right w:val="single" w:sz="6" w:space="0" w:color="auto"/>
            </w:tcBorders>
            <w:shd w:val="clear" w:color="auto" w:fill="auto"/>
            <w:vAlign w:val="center"/>
            <w:hideMark/>
          </w:tcPr>
          <w:p w14:paraId="5B6CD22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FTE </w:t>
            </w:r>
          </w:p>
        </w:tc>
        <w:tc>
          <w:tcPr>
            <w:tcW w:w="421" w:type="dxa"/>
            <w:tcBorders>
              <w:top w:val="nil"/>
              <w:left w:val="nil"/>
              <w:bottom w:val="single" w:sz="6" w:space="0" w:color="auto"/>
              <w:right w:val="single" w:sz="6" w:space="0" w:color="auto"/>
            </w:tcBorders>
            <w:shd w:val="clear" w:color="auto" w:fill="auto"/>
            <w:vAlign w:val="center"/>
            <w:hideMark/>
          </w:tcPr>
          <w:p w14:paraId="78C6B6D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7A6181C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09BC1B7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51" w:type="dxa"/>
            <w:tcBorders>
              <w:top w:val="nil"/>
              <w:left w:val="nil"/>
              <w:bottom w:val="single" w:sz="6" w:space="0" w:color="auto"/>
              <w:right w:val="single" w:sz="6" w:space="0" w:color="auto"/>
            </w:tcBorders>
            <w:shd w:val="clear" w:color="auto" w:fill="auto"/>
            <w:vAlign w:val="bottom"/>
            <w:hideMark/>
          </w:tcPr>
          <w:p w14:paraId="10756C6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03CDA28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02E03A4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6F299D72"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center"/>
            <w:hideMark/>
          </w:tcPr>
          <w:p w14:paraId="2A8A19D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10-15 </w:t>
            </w:r>
          </w:p>
        </w:tc>
        <w:tc>
          <w:tcPr>
            <w:tcW w:w="567" w:type="dxa"/>
            <w:tcBorders>
              <w:top w:val="nil"/>
              <w:left w:val="nil"/>
              <w:bottom w:val="single" w:sz="6" w:space="0" w:color="auto"/>
              <w:right w:val="single" w:sz="6" w:space="0" w:color="auto"/>
            </w:tcBorders>
            <w:shd w:val="clear" w:color="auto" w:fill="auto"/>
            <w:vAlign w:val="center"/>
            <w:hideMark/>
          </w:tcPr>
          <w:p w14:paraId="0F0D845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15-20 </w:t>
            </w:r>
          </w:p>
        </w:tc>
        <w:tc>
          <w:tcPr>
            <w:tcW w:w="567" w:type="dxa"/>
            <w:tcBorders>
              <w:top w:val="nil"/>
              <w:left w:val="nil"/>
              <w:bottom w:val="single" w:sz="6" w:space="0" w:color="auto"/>
              <w:right w:val="single" w:sz="6" w:space="0" w:color="auto"/>
            </w:tcBorders>
            <w:shd w:val="clear" w:color="auto" w:fill="auto"/>
            <w:vAlign w:val="center"/>
            <w:hideMark/>
          </w:tcPr>
          <w:p w14:paraId="149B3C3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30-45 </w:t>
            </w:r>
          </w:p>
        </w:tc>
        <w:tc>
          <w:tcPr>
            <w:tcW w:w="567" w:type="dxa"/>
            <w:tcBorders>
              <w:top w:val="nil"/>
              <w:left w:val="nil"/>
              <w:bottom w:val="single" w:sz="6" w:space="0" w:color="auto"/>
              <w:right w:val="single" w:sz="6" w:space="0" w:color="auto"/>
            </w:tcBorders>
            <w:shd w:val="clear" w:color="auto" w:fill="auto"/>
            <w:vAlign w:val="center"/>
            <w:hideMark/>
          </w:tcPr>
          <w:p w14:paraId="2262342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35-65 </w:t>
            </w:r>
          </w:p>
        </w:tc>
        <w:tc>
          <w:tcPr>
            <w:tcW w:w="567" w:type="dxa"/>
            <w:tcBorders>
              <w:top w:val="nil"/>
              <w:left w:val="nil"/>
              <w:bottom w:val="single" w:sz="6" w:space="0" w:color="auto"/>
              <w:right w:val="single" w:sz="6" w:space="0" w:color="auto"/>
            </w:tcBorders>
            <w:shd w:val="clear" w:color="auto" w:fill="auto"/>
            <w:vAlign w:val="center"/>
            <w:hideMark/>
          </w:tcPr>
          <w:p w14:paraId="2C77365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35-60 </w:t>
            </w:r>
          </w:p>
        </w:tc>
        <w:tc>
          <w:tcPr>
            <w:tcW w:w="567" w:type="dxa"/>
            <w:tcBorders>
              <w:top w:val="nil"/>
              <w:left w:val="nil"/>
              <w:bottom w:val="single" w:sz="6" w:space="0" w:color="auto"/>
              <w:right w:val="single" w:sz="6" w:space="0" w:color="auto"/>
            </w:tcBorders>
            <w:shd w:val="clear" w:color="auto" w:fill="auto"/>
            <w:vAlign w:val="center"/>
            <w:hideMark/>
          </w:tcPr>
          <w:p w14:paraId="746BE18B"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35-65 </w:t>
            </w:r>
          </w:p>
        </w:tc>
        <w:tc>
          <w:tcPr>
            <w:tcW w:w="567" w:type="dxa"/>
            <w:tcBorders>
              <w:top w:val="nil"/>
              <w:left w:val="nil"/>
              <w:bottom w:val="single" w:sz="6" w:space="0" w:color="auto"/>
              <w:right w:val="single" w:sz="6" w:space="0" w:color="auto"/>
            </w:tcBorders>
            <w:shd w:val="clear" w:color="auto" w:fill="auto"/>
            <w:vAlign w:val="center"/>
            <w:hideMark/>
          </w:tcPr>
          <w:p w14:paraId="69B8981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35-60 </w:t>
            </w:r>
          </w:p>
        </w:tc>
        <w:tc>
          <w:tcPr>
            <w:tcW w:w="709" w:type="dxa"/>
            <w:tcBorders>
              <w:top w:val="nil"/>
              <w:left w:val="nil"/>
              <w:bottom w:val="single" w:sz="6" w:space="0" w:color="auto"/>
              <w:right w:val="single" w:sz="6" w:space="0" w:color="auto"/>
            </w:tcBorders>
            <w:shd w:val="clear" w:color="auto" w:fill="auto"/>
            <w:vAlign w:val="center"/>
            <w:hideMark/>
          </w:tcPr>
          <w:p w14:paraId="69AEA6B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25-35 </w:t>
            </w:r>
          </w:p>
        </w:tc>
      </w:tr>
      <w:tr w:rsidR="000A7D9D" w:rsidRPr="007F38F4" w14:paraId="3339080B" w14:textId="77777777" w:rsidTr="00F31937">
        <w:trPr>
          <w:trHeight w:val="276"/>
        </w:trPr>
        <w:tc>
          <w:tcPr>
            <w:tcW w:w="910" w:type="dxa"/>
            <w:tcBorders>
              <w:top w:val="nil"/>
              <w:left w:val="single" w:sz="6" w:space="0" w:color="auto"/>
              <w:bottom w:val="single" w:sz="6" w:space="0" w:color="auto"/>
              <w:right w:val="single" w:sz="6" w:space="0" w:color="auto"/>
            </w:tcBorders>
            <w:shd w:val="clear" w:color="auto" w:fill="auto"/>
            <w:vAlign w:val="bottom"/>
            <w:hideMark/>
          </w:tcPr>
          <w:p w14:paraId="2B7B8D5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Total (app) </w:t>
            </w:r>
          </w:p>
        </w:tc>
        <w:tc>
          <w:tcPr>
            <w:tcW w:w="387" w:type="dxa"/>
            <w:tcBorders>
              <w:top w:val="nil"/>
              <w:left w:val="nil"/>
              <w:bottom w:val="single" w:sz="6" w:space="0" w:color="auto"/>
              <w:right w:val="single" w:sz="6" w:space="0" w:color="auto"/>
            </w:tcBorders>
            <w:shd w:val="clear" w:color="auto" w:fill="auto"/>
            <w:vAlign w:val="center"/>
            <w:hideMark/>
          </w:tcPr>
          <w:p w14:paraId="3DE9C94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FTE </w:t>
            </w:r>
          </w:p>
        </w:tc>
        <w:tc>
          <w:tcPr>
            <w:tcW w:w="421" w:type="dxa"/>
            <w:tcBorders>
              <w:top w:val="nil"/>
              <w:left w:val="nil"/>
              <w:bottom w:val="single" w:sz="6" w:space="0" w:color="auto"/>
              <w:right w:val="single" w:sz="6" w:space="0" w:color="auto"/>
            </w:tcBorders>
            <w:shd w:val="clear" w:color="auto" w:fill="auto"/>
            <w:vAlign w:val="center"/>
            <w:hideMark/>
          </w:tcPr>
          <w:p w14:paraId="4CDB62A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421" w:type="dxa"/>
            <w:tcBorders>
              <w:top w:val="nil"/>
              <w:left w:val="nil"/>
              <w:bottom w:val="single" w:sz="6" w:space="0" w:color="auto"/>
              <w:right w:val="single" w:sz="6" w:space="0" w:color="auto"/>
            </w:tcBorders>
            <w:shd w:val="clear" w:color="auto" w:fill="auto"/>
            <w:vAlign w:val="center"/>
            <w:hideMark/>
          </w:tcPr>
          <w:p w14:paraId="1763E9C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421" w:type="dxa"/>
            <w:tcBorders>
              <w:top w:val="nil"/>
              <w:left w:val="nil"/>
              <w:bottom w:val="single" w:sz="6" w:space="0" w:color="auto"/>
              <w:right w:val="single" w:sz="6" w:space="0" w:color="auto"/>
            </w:tcBorders>
            <w:shd w:val="clear" w:color="auto" w:fill="auto"/>
            <w:vAlign w:val="center"/>
            <w:hideMark/>
          </w:tcPr>
          <w:p w14:paraId="6F0B18C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5-10 </w:t>
            </w:r>
          </w:p>
        </w:tc>
        <w:tc>
          <w:tcPr>
            <w:tcW w:w="551" w:type="dxa"/>
            <w:tcBorders>
              <w:top w:val="nil"/>
              <w:left w:val="nil"/>
              <w:bottom w:val="single" w:sz="6" w:space="0" w:color="auto"/>
              <w:right w:val="single" w:sz="6" w:space="0" w:color="auto"/>
            </w:tcBorders>
            <w:shd w:val="clear" w:color="auto" w:fill="auto"/>
            <w:vAlign w:val="center"/>
            <w:hideMark/>
          </w:tcPr>
          <w:p w14:paraId="17C1923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15-25 </w:t>
            </w:r>
          </w:p>
        </w:tc>
        <w:tc>
          <w:tcPr>
            <w:tcW w:w="567" w:type="dxa"/>
            <w:tcBorders>
              <w:top w:val="nil"/>
              <w:left w:val="nil"/>
              <w:bottom w:val="single" w:sz="6" w:space="0" w:color="auto"/>
              <w:right w:val="single" w:sz="6" w:space="0" w:color="auto"/>
            </w:tcBorders>
            <w:shd w:val="clear" w:color="auto" w:fill="auto"/>
            <w:vAlign w:val="center"/>
            <w:hideMark/>
          </w:tcPr>
          <w:p w14:paraId="7811E877"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15-30 </w:t>
            </w:r>
          </w:p>
        </w:tc>
        <w:tc>
          <w:tcPr>
            <w:tcW w:w="567" w:type="dxa"/>
            <w:tcBorders>
              <w:top w:val="nil"/>
              <w:left w:val="nil"/>
              <w:bottom w:val="single" w:sz="6" w:space="0" w:color="auto"/>
              <w:right w:val="single" w:sz="6" w:space="0" w:color="auto"/>
            </w:tcBorders>
            <w:shd w:val="clear" w:color="auto" w:fill="auto"/>
            <w:vAlign w:val="center"/>
            <w:hideMark/>
          </w:tcPr>
          <w:p w14:paraId="621023CD"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20-40 </w:t>
            </w:r>
          </w:p>
        </w:tc>
        <w:tc>
          <w:tcPr>
            <w:tcW w:w="567" w:type="dxa"/>
            <w:tcBorders>
              <w:top w:val="nil"/>
              <w:left w:val="nil"/>
              <w:bottom w:val="single" w:sz="6" w:space="0" w:color="auto"/>
              <w:right w:val="single" w:sz="6" w:space="0" w:color="auto"/>
            </w:tcBorders>
            <w:shd w:val="clear" w:color="auto" w:fill="auto"/>
            <w:vAlign w:val="center"/>
            <w:hideMark/>
          </w:tcPr>
          <w:p w14:paraId="203A520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20-40 </w:t>
            </w:r>
          </w:p>
        </w:tc>
        <w:tc>
          <w:tcPr>
            <w:tcW w:w="567" w:type="dxa"/>
            <w:tcBorders>
              <w:top w:val="nil"/>
              <w:left w:val="nil"/>
              <w:bottom w:val="single" w:sz="6" w:space="0" w:color="auto"/>
              <w:right w:val="single" w:sz="6" w:space="0" w:color="auto"/>
            </w:tcBorders>
            <w:shd w:val="clear" w:color="auto" w:fill="auto"/>
            <w:vAlign w:val="center"/>
            <w:hideMark/>
          </w:tcPr>
          <w:p w14:paraId="7868C4BB"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30-50 </w:t>
            </w:r>
          </w:p>
        </w:tc>
        <w:tc>
          <w:tcPr>
            <w:tcW w:w="567" w:type="dxa"/>
            <w:tcBorders>
              <w:top w:val="nil"/>
              <w:left w:val="nil"/>
              <w:bottom w:val="single" w:sz="6" w:space="0" w:color="auto"/>
              <w:right w:val="single" w:sz="6" w:space="0" w:color="auto"/>
            </w:tcBorders>
            <w:shd w:val="clear" w:color="auto" w:fill="auto"/>
            <w:vAlign w:val="center"/>
            <w:hideMark/>
          </w:tcPr>
          <w:p w14:paraId="6650280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25-40 </w:t>
            </w:r>
          </w:p>
        </w:tc>
        <w:tc>
          <w:tcPr>
            <w:tcW w:w="567" w:type="dxa"/>
            <w:tcBorders>
              <w:top w:val="nil"/>
              <w:left w:val="nil"/>
              <w:bottom w:val="single" w:sz="6" w:space="0" w:color="auto"/>
              <w:right w:val="single" w:sz="6" w:space="0" w:color="auto"/>
            </w:tcBorders>
            <w:shd w:val="clear" w:color="auto" w:fill="auto"/>
            <w:vAlign w:val="center"/>
            <w:hideMark/>
          </w:tcPr>
          <w:p w14:paraId="2C1B81C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35-55 </w:t>
            </w:r>
          </w:p>
        </w:tc>
        <w:tc>
          <w:tcPr>
            <w:tcW w:w="567" w:type="dxa"/>
            <w:tcBorders>
              <w:top w:val="nil"/>
              <w:left w:val="nil"/>
              <w:bottom w:val="single" w:sz="6" w:space="0" w:color="auto"/>
              <w:right w:val="single" w:sz="6" w:space="0" w:color="auto"/>
            </w:tcBorders>
            <w:shd w:val="clear" w:color="auto" w:fill="auto"/>
            <w:vAlign w:val="center"/>
            <w:hideMark/>
          </w:tcPr>
          <w:p w14:paraId="364DCFA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35-65 </w:t>
            </w:r>
          </w:p>
        </w:tc>
        <w:tc>
          <w:tcPr>
            <w:tcW w:w="567" w:type="dxa"/>
            <w:tcBorders>
              <w:top w:val="nil"/>
              <w:left w:val="nil"/>
              <w:bottom w:val="single" w:sz="6" w:space="0" w:color="auto"/>
              <w:right w:val="single" w:sz="6" w:space="0" w:color="auto"/>
            </w:tcBorders>
            <w:shd w:val="clear" w:color="auto" w:fill="auto"/>
            <w:vAlign w:val="center"/>
            <w:hideMark/>
          </w:tcPr>
          <w:p w14:paraId="62254F1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35-60 </w:t>
            </w:r>
          </w:p>
        </w:tc>
        <w:tc>
          <w:tcPr>
            <w:tcW w:w="567" w:type="dxa"/>
            <w:tcBorders>
              <w:top w:val="nil"/>
              <w:left w:val="nil"/>
              <w:bottom w:val="single" w:sz="6" w:space="0" w:color="auto"/>
              <w:right w:val="single" w:sz="6" w:space="0" w:color="auto"/>
            </w:tcBorders>
            <w:shd w:val="clear" w:color="auto" w:fill="auto"/>
            <w:vAlign w:val="center"/>
            <w:hideMark/>
          </w:tcPr>
          <w:p w14:paraId="4C58932D"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35-65 </w:t>
            </w:r>
          </w:p>
        </w:tc>
        <w:tc>
          <w:tcPr>
            <w:tcW w:w="567" w:type="dxa"/>
            <w:tcBorders>
              <w:top w:val="nil"/>
              <w:left w:val="nil"/>
              <w:bottom w:val="single" w:sz="6" w:space="0" w:color="auto"/>
              <w:right w:val="single" w:sz="6" w:space="0" w:color="auto"/>
            </w:tcBorders>
            <w:shd w:val="clear" w:color="auto" w:fill="auto"/>
            <w:vAlign w:val="center"/>
            <w:hideMark/>
          </w:tcPr>
          <w:p w14:paraId="7D13136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35-60 </w:t>
            </w:r>
          </w:p>
        </w:tc>
        <w:tc>
          <w:tcPr>
            <w:tcW w:w="709" w:type="dxa"/>
            <w:tcBorders>
              <w:top w:val="single" w:sz="6" w:space="0" w:color="auto"/>
              <w:left w:val="nil"/>
              <w:bottom w:val="single" w:sz="6" w:space="0" w:color="auto"/>
              <w:right w:val="single" w:sz="6" w:space="0" w:color="auto"/>
            </w:tcBorders>
            <w:shd w:val="clear" w:color="auto" w:fill="auto"/>
            <w:vAlign w:val="center"/>
            <w:hideMark/>
          </w:tcPr>
          <w:p w14:paraId="5FDCC33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25-35 </w:t>
            </w:r>
          </w:p>
        </w:tc>
      </w:tr>
      <w:tr w:rsidR="000A7D9D" w:rsidRPr="007F38F4" w14:paraId="2E9A8CCB" w14:textId="77777777" w:rsidTr="00F31937">
        <w:trPr>
          <w:trHeight w:val="124"/>
        </w:trPr>
        <w:tc>
          <w:tcPr>
            <w:tcW w:w="910" w:type="dxa"/>
            <w:tcBorders>
              <w:top w:val="nil"/>
              <w:left w:val="nil"/>
              <w:bottom w:val="nil"/>
              <w:right w:val="nil"/>
            </w:tcBorders>
            <w:shd w:val="clear" w:color="auto" w:fill="auto"/>
            <w:vAlign w:val="bottom"/>
            <w:hideMark/>
          </w:tcPr>
          <w:p w14:paraId="2DF64E49"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p>
        </w:tc>
        <w:tc>
          <w:tcPr>
            <w:tcW w:w="387" w:type="dxa"/>
            <w:tcBorders>
              <w:top w:val="nil"/>
              <w:left w:val="nil"/>
              <w:bottom w:val="nil"/>
              <w:right w:val="nil"/>
            </w:tcBorders>
            <w:shd w:val="clear" w:color="auto" w:fill="auto"/>
            <w:vAlign w:val="center"/>
            <w:hideMark/>
          </w:tcPr>
          <w:p w14:paraId="5D261A8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nil"/>
              <w:right w:val="nil"/>
            </w:tcBorders>
            <w:shd w:val="clear" w:color="auto" w:fill="auto"/>
            <w:vAlign w:val="center"/>
            <w:hideMark/>
          </w:tcPr>
          <w:p w14:paraId="19D4052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nil"/>
              <w:right w:val="nil"/>
            </w:tcBorders>
            <w:shd w:val="clear" w:color="auto" w:fill="auto"/>
            <w:vAlign w:val="center"/>
            <w:hideMark/>
          </w:tcPr>
          <w:p w14:paraId="75D79DA2"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nil"/>
              <w:right w:val="nil"/>
            </w:tcBorders>
            <w:shd w:val="clear" w:color="auto" w:fill="auto"/>
            <w:vAlign w:val="center"/>
            <w:hideMark/>
          </w:tcPr>
          <w:p w14:paraId="6BC74D9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51" w:type="dxa"/>
            <w:tcBorders>
              <w:top w:val="nil"/>
              <w:left w:val="nil"/>
              <w:bottom w:val="nil"/>
              <w:right w:val="nil"/>
            </w:tcBorders>
            <w:shd w:val="clear" w:color="auto" w:fill="auto"/>
            <w:vAlign w:val="bottom"/>
            <w:hideMark/>
          </w:tcPr>
          <w:p w14:paraId="57F81F2D"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nil"/>
            </w:tcBorders>
            <w:shd w:val="clear" w:color="auto" w:fill="auto"/>
            <w:vAlign w:val="center"/>
            <w:hideMark/>
          </w:tcPr>
          <w:p w14:paraId="64D0D74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nil"/>
            </w:tcBorders>
            <w:shd w:val="clear" w:color="auto" w:fill="auto"/>
            <w:vAlign w:val="center"/>
            <w:hideMark/>
          </w:tcPr>
          <w:p w14:paraId="3AE018D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nil"/>
            </w:tcBorders>
            <w:shd w:val="clear" w:color="auto" w:fill="auto"/>
            <w:vAlign w:val="center"/>
            <w:hideMark/>
          </w:tcPr>
          <w:p w14:paraId="4225933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nil"/>
            </w:tcBorders>
            <w:shd w:val="clear" w:color="auto" w:fill="auto"/>
            <w:vAlign w:val="center"/>
            <w:hideMark/>
          </w:tcPr>
          <w:p w14:paraId="368EB8F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nil"/>
            </w:tcBorders>
            <w:shd w:val="clear" w:color="auto" w:fill="auto"/>
            <w:vAlign w:val="center"/>
            <w:hideMark/>
          </w:tcPr>
          <w:p w14:paraId="1C5BD1B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nil"/>
            </w:tcBorders>
            <w:shd w:val="clear" w:color="auto" w:fill="auto"/>
            <w:vAlign w:val="center"/>
            <w:hideMark/>
          </w:tcPr>
          <w:p w14:paraId="0988895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nil"/>
            </w:tcBorders>
            <w:shd w:val="clear" w:color="auto" w:fill="auto"/>
            <w:vAlign w:val="center"/>
            <w:hideMark/>
          </w:tcPr>
          <w:p w14:paraId="560867E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nil"/>
            </w:tcBorders>
            <w:shd w:val="clear" w:color="auto" w:fill="auto"/>
            <w:vAlign w:val="center"/>
            <w:hideMark/>
          </w:tcPr>
          <w:p w14:paraId="1B86D85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nil"/>
            </w:tcBorders>
            <w:shd w:val="clear" w:color="auto" w:fill="auto"/>
            <w:vAlign w:val="center"/>
            <w:hideMark/>
          </w:tcPr>
          <w:p w14:paraId="1F26702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nil"/>
              <w:right w:val="nil"/>
            </w:tcBorders>
            <w:shd w:val="clear" w:color="auto" w:fill="auto"/>
            <w:vAlign w:val="center"/>
            <w:hideMark/>
          </w:tcPr>
          <w:p w14:paraId="20A8526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709" w:type="dxa"/>
            <w:tcBorders>
              <w:top w:val="nil"/>
              <w:left w:val="nil"/>
              <w:bottom w:val="nil"/>
              <w:right w:val="nil"/>
            </w:tcBorders>
            <w:shd w:val="clear" w:color="auto" w:fill="auto"/>
            <w:vAlign w:val="center"/>
            <w:hideMark/>
          </w:tcPr>
          <w:p w14:paraId="746DAD3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r>
      <w:tr w:rsidR="000A7D9D" w:rsidRPr="007F38F4" w14:paraId="619E366E" w14:textId="77777777" w:rsidTr="00F31937">
        <w:trPr>
          <w:trHeight w:val="212"/>
        </w:trPr>
        <w:tc>
          <w:tcPr>
            <w:tcW w:w="9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18069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Capacity </w:t>
            </w:r>
          </w:p>
        </w:tc>
        <w:tc>
          <w:tcPr>
            <w:tcW w:w="387" w:type="dxa"/>
            <w:tcBorders>
              <w:top w:val="single" w:sz="6" w:space="0" w:color="auto"/>
              <w:left w:val="nil"/>
              <w:bottom w:val="single" w:sz="6" w:space="0" w:color="auto"/>
              <w:right w:val="single" w:sz="6" w:space="0" w:color="auto"/>
            </w:tcBorders>
            <w:shd w:val="clear" w:color="auto" w:fill="auto"/>
            <w:vAlign w:val="center"/>
            <w:hideMark/>
          </w:tcPr>
          <w:p w14:paraId="06C277B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Euro </w:t>
            </w:r>
          </w:p>
        </w:tc>
        <w:tc>
          <w:tcPr>
            <w:tcW w:w="421" w:type="dxa"/>
            <w:tcBorders>
              <w:top w:val="single" w:sz="6" w:space="0" w:color="auto"/>
              <w:left w:val="nil"/>
              <w:bottom w:val="single" w:sz="6" w:space="0" w:color="auto"/>
              <w:right w:val="single" w:sz="6" w:space="0" w:color="auto"/>
            </w:tcBorders>
            <w:shd w:val="clear" w:color="auto" w:fill="auto"/>
            <w:vAlign w:val="bottom"/>
            <w:hideMark/>
          </w:tcPr>
          <w:p w14:paraId="6D77C12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795" w:type="dxa"/>
            <w:gridSpan w:val="9"/>
            <w:tcBorders>
              <w:top w:val="single" w:sz="6" w:space="0" w:color="auto"/>
              <w:left w:val="nil"/>
              <w:bottom w:val="single" w:sz="6" w:space="0" w:color="auto"/>
              <w:right w:val="single" w:sz="6" w:space="0" w:color="auto"/>
            </w:tcBorders>
            <w:shd w:val="clear" w:color="auto" w:fill="auto"/>
            <w:vAlign w:val="center"/>
            <w:hideMark/>
          </w:tcPr>
          <w:p w14:paraId="263A0A47"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€ 0.9-1.5 million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1BA90B4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3F217EB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03067AD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single" w:sz="6" w:space="0" w:color="auto"/>
              <w:left w:val="nil"/>
              <w:bottom w:val="single" w:sz="6" w:space="0" w:color="auto"/>
              <w:right w:val="single" w:sz="6" w:space="0" w:color="auto"/>
            </w:tcBorders>
            <w:shd w:val="clear" w:color="auto" w:fill="auto"/>
            <w:vAlign w:val="bottom"/>
            <w:hideMark/>
          </w:tcPr>
          <w:p w14:paraId="2AA2329D"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709" w:type="dxa"/>
            <w:tcBorders>
              <w:top w:val="single" w:sz="6" w:space="0" w:color="auto"/>
              <w:left w:val="nil"/>
              <w:bottom w:val="single" w:sz="6" w:space="0" w:color="auto"/>
              <w:right w:val="single" w:sz="6" w:space="0" w:color="auto"/>
            </w:tcBorders>
            <w:shd w:val="clear" w:color="auto" w:fill="auto"/>
            <w:vAlign w:val="bottom"/>
            <w:hideMark/>
          </w:tcPr>
          <w:p w14:paraId="2B7C7B9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r>
      <w:tr w:rsidR="000A7D9D" w:rsidRPr="007F38F4" w14:paraId="4A1352BF" w14:textId="77777777" w:rsidTr="00F31937">
        <w:trPr>
          <w:trHeight w:val="272"/>
        </w:trPr>
        <w:tc>
          <w:tcPr>
            <w:tcW w:w="910" w:type="dxa"/>
            <w:tcBorders>
              <w:top w:val="nil"/>
              <w:left w:val="single" w:sz="6" w:space="0" w:color="auto"/>
              <w:bottom w:val="single" w:sz="6" w:space="0" w:color="auto"/>
              <w:right w:val="single" w:sz="6" w:space="0" w:color="auto"/>
            </w:tcBorders>
            <w:shd w:val="clear" w:color="auto" w:fill="auto"/>
            <w:vAlign w:val="bottom"/>
            <w:hideMark/>
          </w:tcPr>
          <w:p w14:paraId="0D9B0D5B"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Notification </w:t>
            </w:r>
          </w:p>
        </w:tc>
        <w:tc>
          <w:tcPr>
            <w:tcW w:w="387" w:type="dxa"/>
            <w:tcBorders>
              <w:top w:val="nil"/>
              <w:left w:val="nil"/>
              <w:bottom w:val="single" w:sz="6" w:space="0" w:color="auto"/>
              <w:right w:val="single" w:sz="6" w:space="0" w:color="auto"/>
            </w:tcBorders>
            <w:shd w:val="clear" w:color="auto" w:fill="auto"/>
            <w:vAlign w:val="center"/>
            <w:hideMark/>
          </w:tcPr>
          <w:p w14:paraId="105C050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Euro </w:t>
            </w:r>
          </w:p>
        </w:tc>
        <w:tc>
          <w:tcPr>
            <w:tcW w:w="421" w:type="dxa"/>
            <w:tcBorders>
              <w:top w:val="nil"/>
              <w:left w:val="nil"/>
              <w:bottom w:val="single" w:sz="6" w:space="0" w:color="auto"/>
              <w:right w:val="single" w:sz="6" w:space="0" w:color="auto"/>
            </w:tcBorders>
            <w:shd w:val="clear" w:color="auto" w:fill="auto"/>
            <w:vAlign w:val="center"/>
            <w:hideMark/>
          </w:tcPr>
          <w:p w14:paraId="353A5E8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1B49FBC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004BB4E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51" w:type="dxa"/>
            <w:tcBorders>
              <w:top w:val="nil"/>
              <w:left w:val="nil"/>
              <w:bottom w:val="single" w:sz="6" w:space="0" w:color="auto"/>
              <w:right w:val="single" w:sz="6" w:space="0" w:color="auto"/>
            </w:tcBorders>
            <w:shd w:val="clear" w:color="auto" w:fill="auto"/>
            <w:vAlign w:val="bottom"/>
            <w:hideMark/>
          </w:tcPr>
          <w:p w14:paraId="736754E2"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2268" w:type="dxa"/>
            <w:gridSpan w:val="4"/>
            <w:tcBorders>
              <w:top w:val="single" w:sz="6" w:space="0" w:color="auto"/>
              <w:left w:val="nil"/>
              <w:bottom w:val="single" w:sz="6" w:space="0" w:color="auto"/>
              <w:right w:val="single" w:sz="6" w:space="0" w:color="auto"/>
            </w:tcBorders>
            <w:shd w:val="clear" w:color="auto" w:fill="auto"/>
            <w:vAlign w:val="bottom"/>
            <w:hideMark/>
          </w:tcPr>
          <w:p w14:paraId="5E305BE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€ 3 million </w:t>
            </w:r>
          </w:p>
        </w:tc>
        <w:tc>
          <w:tcPr>
            <w:tcW w:w="567" w:type="dxa"/>
            <w:tcBorders>
              <w:top w:val="nil"/>
              <w:left w:val="nil"/>
              <w:bottom w:val="single" w:sz="6" w:space="0" w:color="auto"/>
              <w:right w:val="single" w:sz="6" w:space="0" w:color="auto"/>
            </w:tcBorders>
            <w:shd w:val="clear" w:color="auto" w:fill="auto"/>
            <w:vAlign w:val="bottom"/>
            <w:hideMark/>
          </w:tcPr>
          <w:p w14:paraId="0043D56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455E109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44AEE0E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03F6A55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2831763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0C8FCDC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709" w:type="dxa"/>
            <w:tcBorders>
              <w:top w:val="nil"/>
              <w:left w:val="nil"/>
              <w:bottom w:val="single" w:sz="6" w:space="0" w:color="auto"/>
              <w:right w:val="single" w:sz="6" w:space="0" w:color="auto"/>
            </w:tcBorders>
            <w:shd w:val="clear" w:color="auto" w:fill="auto"/>
            <w:vAlign w:val="bottom"/>
            <w:hideMark/>
          </w:tcPr>
          <w:p w14:paraId="03D629EE"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r>
      <w:tr w:rsidR="000A7D9D" w:rsidRPr="007F38F4" w14:paraId="3CA99BBE" w14:textId="77777777" w:rsidTr="00F31937">
        <w:trPr>
          <w:trHeight w:val="218"/>
        </w:trPr>
        <w:tc>
          <w:tcPr>
            <w:tcW w:w="910" w:type="dxa"/>
            <w:tcBorders>
              <w:top w:val="nil"/>
              <w:left w:val="single" w:sz="6" w:space="0" w:color="auto"/>
              <w:bottom w:val="single" w:sz="6" w:space="0" w:color="auto"/>
              <w:right w:val="single" w:sz="6" w:space="0" w:color="auto"/>
            </w:tcBorders>
            <w:shd w:val="clear" w:color="auto" w:fill="auto"/>
            <w:vAlign w:val="bottom"/>
            <w:hideMark/>
          </w:tcPr>
          <w:p w14:paraId="625A4792"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Grouping </w:t>
            </w:r>
          </w:p>
        </w:tc>
        <w:tc>
          <w:tcPr>
            <w:tcW w:w="387" w:type="dxa"/>
            <w:tcBorders>
              <w:top w:val="nil"/>
              <w:left w:val="nil"/>
              <w:bottom w:val="single" w:sz="6" w:space="0" w:color="auto"/>
              <w:right w:val="single" w:sz="6" w:space="0" w:color="auto"/>
            </w:tcBorders>
            <w:shd w:val="clear" w:color="auto" w:fill="auto"/>
            <w:vAlign w:val="center"/>
            <w:hideMark/>
          </w:tcPr>
          <w:p w14:paraId="3C78923E"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Euro </w:t>
            </w:r>
          </w:p>
        </w:tc>
        <w:tc>
          <w:tcPr>
            <w:tcW w:w="421" w:type="dxa"/>
            <w:tcBorders>
              <w:top w:val="nil"/>
              <w:left w:val="nil"/>
              <w:bottom w:val="single" w:sz="6" w:space="0" w:color="auto"/>
              <w:right w:val="single" w:sz="6" w:space="0" w:color="auto"/>
            </w:tcBorders>
            <w:shd w:val="clear" w:color="auto" w:fill="auto"/>
            <w:vAlign w:val="center"/>
            <w:hideMark/>
          </w:tcPr>
          <w:p w14:paraId="788F251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268E077F"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31C2529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51" w:type="dxa"/>
            <w:tcBorders>
              <w:top w:val="nil"/>
              <w:left w:val="nil"/>
              <w:bottom w:val="single" w:sz="6" w:space="0" w:color="auto"/>
              <w:right w:val="single" w:sz="6" w:space="0" w:color="auto"/>
            </w:tcBorders>
            <w:shd w:val="clear" w:color="auto" w:fill="auto"/>
            <w:vAlign w:val="bottom"/>
            <w:hideMark/>
          </w:tcPr>
          <w:p w14:paraId="06E7B20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01A515A7"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2268" w:type="dxa"/>
            <w:gridSpan w:val="4"/>
            <w:tcBorders>
              <w:top w:val="single" w:sz="6" w:space="0" w:color="auto"/>
              <w:left w:val="nil"/>
              <w:bottom w:val="single" w:sz="6" w:space="0" w:color="auto"/>
              <w:right w:val="single" w:sz="6" w:space="0" w:color="auto"/>
            </w:tcBorders>
            <w:shd w:val="clear" w:color="auto" w:fill="auto"/>
            <w:vAlign w:val="bottom"/>
            <w:hideMark/>
          </w:tcPr>
          <w:p w14:paraId="353C651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€ 1.5 - 2 million </w:t>
            </w:r>
          </w:p>
        </w:tc>
        <w:tc>
          <w:tcPr>
            <w:tcW w:w="567" w:type="dxa"/>
            <w:tcBorders>
              <w:top w:val="nil"/>
              <w:left w:val="nil"/>
              <w:bottom w:val="single" w:sz="6" w:space="0" w:color="auto"/>
              <w:right w:val="single" w:sz="6" w:space="0" w:color="auto"/>
            </w:tcBorders>
            <w:shd w:val="clear" w:color="auto" w:fill="auto"/>
            <w:vAlign w:val="bottom"/>
            <w:hideMark/>
          </w:tcPr>
          <w:p w14:paraId="68FFBAE9"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35B27CE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1B6DD268"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5F2D8D43"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719126FE"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709" w:type="dxa"/>
            <w:tcBorders>
              <w:top w:val="nil"/>
              <w:left w:val="nil"/>
              <w:bottom w:val="single" w:sz="6" w:space="0" w:color="auto"/>
              <w:right w:val="single" w:sz="6" w:space="0" w:color="auto"/>
            </w:tcBorders>
            <w:shd w:val="clear" w:color="auto" w:fill="auto"/>
            <w:vAlign w:val="bottom"/>
            <w:hideMark/>
          </w:tcPr>
          <w:p w14:paraId="6891CE70"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r>
      <w:tr w:rsidR="000A7D9D" w:rsidRPr="007F38F4" w14:paraId="5DA23F62" w14:textId="77777777" w:rsidTr="00F31937">
        <w:trPr>
          <w:trHeight w:val="308"/>
        </w:trPr>
        <w:tc>
          <w:tcPr>
            <w:tcW w:w="910" w:type="dxa"/>
            <w:tcBorders>
              <w:top w:val="nil"/>
              <w:left w:val="single" w:sz="6" w:space="0" w:color="auto"/>
              <w:bottom w:val="single" w:sz="6" w:space="0" w:color="auto"/>
              <w:right w:val="single" w:sz="6" w:space="0" w:color="auto"/>
            </w:tcBorders>
            <w:shd w:val="clear" w:color="auto" w:fill="auto"/>
            <w:vAlign w:val="bottom"/>
            <w:hideMark/>
          </w:tcPr>
          <w:p w14:paraId="51C8A7EE"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Registration </w:t>
            </w:r>
          </w:p>
        </w:tc>
        <w:tc>
          <w:tcPr>
            <w:tcW w:w="387" w:type="dxa"/>
            <w:tcBorders>
              <w:top w:val="nil"/>
              <w:left w:val="nil"/>
              <w:bottom w:val="single" w:sz="6" w:space="0" w:color="auto"/>
              <w:right w:val="single" w:sz="6" w:space="0" w:color="auto"/>
            </w:tcBorders>
            <w:shd w:val="clear" w:color="auto" w:fill="auto"/>
            <w:vAlign w:val="center"/>
            <w:hideMark/>
          </w:tcPr>
          <w:p w14:paraId="19DF427C"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Euro </w:t>
            </w:r>
          </w:p>
        </w:tc>
        <w:tc>
          <w:tcPr>
            <w:tcW w:w="421" w:type="dxa"/>
            <w:tcBorders>
              <w:top w:val="nil"/>
              <w:left w:val="nil"/>
              <w:bottom w:val="single" w:sz="6" w:space="0" w:color="auto"/>
              <w:right w:val="single" w:sz="6" w:space="0" w:color="auto"/>
            </w:tcBorders>
            <w:shd w:val="clear" w:color="auto" w:fill="auto"/>
            <w:vAlign w:val="center"/>
            <w:hideMark/>
          </w:tcPr>
          <w:p w14:paraId="25064D8A"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7DD96D5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21" w:type="dxa"/>
            <w:tcBorders>
              <w:top w:val="nil"/>
              <w:left w:val="nil"/>
              <w:bottom w:val="single" w:sz="6" w:space="0" w:color="auto"/>
              <w:right w:val="single" w:sz="6" w:space="0" w:color="auto"/>
            </w:tcBorders>
            <w:shd w:val="clear" w:color="auto" w:fill="auto"/>
            <w:vAlign w:val="center"/>
            <w:hideMark/>
          </w:tcPr>
          <w:p w14:paraId="19448404"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51" w:type="dxa"/>
            <w:tcBorders>
              <w:top w:val="nil"/>
              <w:left w:val="nil"/>
              <w:bottom w:val="single" w:sz="6" w:space="0" w:color="auto"/>
              <w:right w:val="single" w:sz="6" w:space="0" w:color="auto"/>
            </w:tcBorders>
            <w:shd w:val="clear" w:color="auto" w:fill="auto"/>
            <w:vAlign w:val="bottom"/>
            <w:hideMark/>
          </w:tcPr>
          <w:p w14:paraId="74894605"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51503357"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0CCE5E76"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567" w:type="dxa"/>
            <w:tcBorders>
              <w:top w:val="nil"/>
              <w:left w:val="nil"/>
              <w:bottom w:val="single" w:sz="6" w:space="0" w:color="auto"/>
              <w:right w:val="single" w:sz="6" w:space="0" w:color="auto"/>
            </w:tcBorders>
            <w:shd w:val="clear" w:color="auto" w:fill="auto"/>
            <w:vAlign w:val="bottom"/>
            <w:hideMark/>
          </w:tcPr>
          <w:p w14:paraId="640A7DC7"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w:t>
            </w:r>
          </w:p>
        </w:tc>
        <w:tc>
          <w:tcPr>
            <w:tcW w:w="4678" w:type="dxa"/>
            <w:gridSpan w:val="8"/>
            <w:tcBorders>
              <w:top w:val="single" w:sz="6" w:space="0" w:color="auto"/>
              <w:left w:val="nil"/>
              <w:bottom w:val="single" w:sz="6" w:space="0" w:color="auto"/>
              <w:right w:val="single" w:sz="6" w:space="0" w:color="000000"/>
            </w:tcBorders>
            <w:shd w:val="clear" w:color="auto" w:fill="auto"/>
            <w:vAlign w:val="bottom"/>
            <w:hideMark/>
          </w:tcPr>
          <w:p w14:paraId="01881BE1" w14:textId="77777777" w:rsidR="000A7D9D" w:rsidRPr="007F38F4" w:rsidRDefault="000A7D9D" w:rsidP="00F31937">
            <w:pPr>
              <w:textAlignment w:val="baseline"/>
              <w:rPr>
                <w:rFonts w:ascii="Times New Roman" w:hAnsi="Times New Roman" w:cs="Times New Roman"/>
                <w:noProof/>
                <w:color w:val="000000" w:themeColor="text1"/>
                <w:sz w:val="20"/>
                <w:szCs w:val="20"/>
                <w:lang w:eastAsia="en-GB"/>
              </w:rPr>
            </w:pPr>
            <w:r w:rsidRPr="007F38F4">
              <w:rPr>
                <w:rFonts w:ascii="Times New Roman" w:hAnsi="Times New Roman" w:cs="Times New Roman"/>
                <w:noProof/>
                <w:color w:val="000000" w:themeColor="text1"/>
                <w:sz w:val="20"/>
                <w:szCs w:val="20"/>
                <w:lang w:eastAsia="en-GB"/>
              </w:rPr>
              <w:t>€ 4 - 5 million </w:t>
            </w:r>
          </w:p>
        </w:tc>
      </w:tr>
    </w:tbl>
    <w:p w14:paraId="346678BB" w14:textId="77777777" w:rsidR="000A7D9D" w:rsidRDefault="000A7D9D" w:rsidP="000A7D9D">
      <w:pPr>
        <w:pStyle w:val="BodyText"/>
        <w:jc w:val="both"/>
        <w:rPr>
          <w:i/>
          <w:noProof/>
        </w:rPr>
      </w:pPr>
    </w:p>
    <w:p w14:paraId="5A3272FA" w14:textId="77777777" w:rsidR="000A7D9D" w:rsidRPr="007F38F4" w:rsidRDefault="000A7D9D" w:rsidP="000A7D9D">
      <w:pPr>
        <w:pStyle w:val="BodyText"/>
        <w:jc w:val="both"/>
        <w:rPr>
          <w:i/>
          <w:noProof/>
        </w:rPr>
      </w:pPr>
      <w:r w:rsidRPr="007F38F4">
        <w:rPr>
          <w:i/>
          <w:noProof/>
        </w:rPr>
        <w:t xml:space="preserve">Task 2 Authorisation  </w:t>
      </w:r>
    </w:p>
    <w:p w14:paraId="5C71C0E1" w14:textId="77777777" w:rsidR="000A7D9D" w:rsidRPr="007F38F4" w:rsidRDefault="000A7D9D" w:rsidP="000A7D9D">
      <w:pPr>
        <w:pStyle w:val="BodyText"/>
        <w:jc w:val="both"/>
        <w:rPr>
          <w:noProof/>
        </w:rPr>
      </w:pPr>
      <w:r w:rsidRPr="007F38F4">
        <w:rPr>
          <w:noProof/>
        </w:rPr>
        <w:t>No change in resource needs expected as a result of the revision</w:t>
      </w:r>
    </w:p>
    <w:p w14:paraId="13014C56" w14:textId="77777777" w:rsidR="000A7D9D" w:rsidRPr="007F38F4" w:rsidRDefault="000A7D9D" w:rsidP="000A7D9D">
      <w:pPr>
        <w:pStyle w:val="BodyText"/>
        <w:jc w:val="both"/>
        <w:rPr>
          <w:i/>
          <w:noProof/>
        </w:rPr>
      </w:pPr>
      <w:r w:rsidRPr="007F38F4">
        <w:rPr>
          <w:i/>
          <w:noProof/>
        </w:rPr>
        <w:t xml:space="preserve">Task 3 Restriction </w:t>
      </w:r>
    </w:p>
    <w:p w14:paraId="33DA357E" w14:textId="77777777" w:rsidR="000A7D9D" w:rsidRPr="007F38F4" w:rsidRDefault="000A7D9D" w:rsidP="000A7D9D">
      <w:pPr>
        <w:pStyle w:val="BodyText"/>
        <w:jc w:val="both"/>
        <w:rPr>
          <w:noProof/>
        </w:rPr>
      </w:pPr>
      <w:r w:rsidRPr="007F38F4">
        <w:rPr>
          <w:noProof/>
        </w:rPr>
        <w:t>No change in resource needs expected as a result of the revision</w:t>
      </w:r>
    </w:p>
    <w:p w14:paraId="5542E9BB" w14:textId="77777777" w:rsidR="000A7D9D" w:rsidRPr="007F38F4" w:rsidRDefault="000A7D9D" w:rsidP="000A7D9D">
      <w:pPr>
        <w:pStyle w:val="BodyText"/>
        <w:jc w:val="both"/>
        <w:rPr>
          <w:i/>
          <w:noProof/>
        </w:rPr>
      </w:pPr>
      <w:r w:rsidRPr="007F38F4">
        <w:rPr>
          <w:i/>
          <w:noProof/>
        </w:rPr>
        <w:t xml:space="preserve">Task 4 Evaluation </w:t>
      </w:r>
    </w:p>
    <w:p w14:paraId="030D854D" w14:textId="77777777" w:rsidR="000A7D9D" w:rsidRPr="007F38F4" w:rsidRDefault="000A7D9D" w:rsidP="000A7D9D">
      <w:pPr>
        <w:spacing w:after="120"/>
        <w:jc w:val="both"/>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 xml:space="preserve">Required evaluation resources are to an important degree proportional to the registration situation (number of registrations, changes to information requirements) and the ambition level applied (compliance check strategy </w:t>
      </w:r>
      <w:r w:rsidRPr="007F38F4">
        <w:rPr>
          <w:rFonts w:ascii="Times New Roman" w:hAnsi="Times New Roman" w:cs="Times New Roman"/>
          <w:i/>
          <w:noProof/>
          <w:sz w:val="24"/>
          <w:szCs w:val="24"/>
          <w:lang w:eastAsia="en-GB"/>
        </w:rPr>
        <w:t>e.g.</w:t>
      </w:r>
      <w:r w:rsidRPr="007F38F4">
        <w:rPr>
          <w:rFonts w:ascii="Times New Roman" w:hAnsi="Times New Roman" w:cs="Times New Roman"/>
          <w:noProof/>
          <w:sz w:val="24"/>
          <w:szCs w:val="24"/>
          <w:lang w:eastAsia="en-GB"/>
        </w:rPr>
        <w:t xml:space="preserve"> number of compliance checks).  </w:t>
      </w:r>
    </w:p>
    <w:p w14:paraId="38BF90B2" w14:textId="77777777" w:rsidR="000A7D9D" w:rsidRPr="007F38F4" w:rsidRDefault="000A7D9D" w:rsidP="000A7D9D">
      <w:pPr>
        <w:spacing w:after="120"/>
        <w:jc w:val="both"/>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While an assessment of currently ongoing Joint Evaluation Action Plan is only expected at its finalisation in 2027, until which time the current ECHA resources for evaluation are required at current level, it is generally considered that afterwards the proportion of resources working on present and incoming registrations would be freed. On the other side, additional resources to assess and address efficiencies in new polymer registrations will be required after 2031 (see above).  </w:t>
      </w:r>
    </w:p>
    <w:p w14:paraId="281EDF93" w14:textId="77777777" w:rsidR="000A7D9D" w:rsidRPr="007F38F4" w:rsidRDefault="000A7D9D" w:rsidP="000A7D9D">
      <w:pPr>
        <w:spacing w:after="120"/>
        <w:jc w:val="both"/>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While no quantified resource estimate could be made for the application of revocation processes and efficiency measures, it is considered that new needs are offset by the efficiency gains during evaluations and in their follow-up. Similar would apply for the expected increase in testing proposals but ability for a lighter process. The exception is required additional resource for ECHA’s contribution to substance evaluations.  </w:t>
      </w:r>
    </w:p>
    <w:tbl>
      <w:tblPr>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0" w:type="dxa"/>
          <w:right w:w="0" w:type="dxa"/>
        </w:tblCellMar>
        <w:tblLook w:val="04A0" w:firstRow="1" w:lastRow="0" w:firstColumn="1" w:lastColumn="0" w:noHBand="0" w:noVBand="1"/>
      </w:tblPr>
      <w:tblGrid>
        <w:gridCol w:w="985"/>
        <w:gridCol w:w="4252"/>
        <w:gridCol w:w="1985"/>
        <w:gridCol w:w="1842"/>
      </w:tblGrid>
      <w:tr w:rsidR="000A7D9D" w:rsidRPr="007F38F4" w14:paraId="5F552C64" w14:textId="77777777" w:rsidTr="00F31937">
        <w:trPr>
          <w:trHeight w:val="300"/>
        </w:trPr>
        <w:tc>
          <w:tcPr>
            <w:tcW w:w="985" w:type="dxa"/>
            <w:shd w:val="clear" w:color="auto" w:fill="FFFFFF" w:themeFill="background1"/>
            <w:hideMark/>
          </w:tcPr>
          <w:p w14:paraId="4373CBE4" w14:textId="77777777" w:rsidR="000A7D9D" w:rsidRPr="007F38F4" w:rsidRDefault="000A7D9D" w:rsidP="00F31937">
            <w:pPr>
              <w:textAlignment w:val="baseline"/>
              <w:rPr>
                <w:rFonts w:ascii="Times New Roman" w:hAnsi="Times New Roman" w:cs="Times New Roman"/>
                <w:noProof/>
                <w:sz w:val="24"/>
                <w:szCs w:val="24"/>
                <w:lang w:eastAsia="en-GB"/>
              </w:rPr>
            </w:pPr>
            <w:r w:rsidRPr="007F38F4">
              <w:rPr>
                <w:rFonts w:ascii="Times New Roman" w:hAnsi="Times New Roman" w:cs="Times New Roman"/>
                <w:b/>
                <w:bCs/>
                <w:noProof/>
                <w:sz w:val="24"/>
                <w:szCs w:val="24"/>
                <w:lang w:eastAsia="en-GB"/>
              </w:rPr>
              <w:t>Agency</w:t>
            </w:r>
            <w:r w:rsidRPr="007F38F4">
              <w:rPr>
                <w:rFonts w:ascii="Times New Roman" w:hAnsi="Times New Roman" w:cs="Times New Roman"/>
                <w:noProof/>
                <w:sz w:val="24"/>
                <w:szCs w:val="24"/>
                <w:lang w:eastAsia="en-GB"/>
              </w:rPr>
              <w:t> </w:t>
            </w:r>
          </w:p>
        </w:tc>
        <w:tc>
          <w:tcPr>
            <w:tcW w:w="4252" w:type="dxa"/>
            <w:shd w:val="clear" w:color="auto" w:fill="FFFFFF" w:themeFill="background1"/>
            <w:hideMark/>
          </w:tcPr>
          <w:p w14:paraId="4C61BA3A" w14:textId="77777777" w:rsidR="000A7D9D" w:rsidRPr="007F38F4" w:rsidRDefault="000A7D9D" w:rsidP="00F31937">
            <w:pPr>
              <w:textAlignment w:val="baseline"/>
              <w:rPr>
                <w:rFonts w:ascii="Times New Roman" w:hAnsi="Times New Roman" w:cs="Times New Roman"/>
                <w:noProof/>
                <w:sz w:val="24"/>
                <w:szCs w:val="24"/>
                <w:lang w:eastAsia="en-GB"/>
              </w:rPr>
            </w:pPr>
            <w:r w:rsidRPr="007F38F4">
              <w:rPr>
                <w:rFonts w:ascii="Times New Roman" w:hAnsi="Times New Roman" w:cs="Times New Roman"/>
                <w:b/>
                <w:bCs/>
                <w:noProof/>
                <w:sz w:val="24"/>
                <w:szCs w:val="24"/>
                <w:lang w:eastAsia="en-GB"/>
              </w:rPr>
              <w:t>Summary of tasks</w:t>
            </w:r>
            <w:r w:rsidRPr="007F38F4">
              <w:rPr>
                <w:rFonts w:ascii="Times New Roman" w:hAnsi="Times New Roman" w:cs="Times New Roman"/>
                <w:noProof/>
                <w:sz w:val="24"/>
                <w:szCs w:val="24"/>
                <w:lang w:eastAsia="en-GB"/>
              </w:rPr>
              <w:t> </w:t>
            </w:r>
          </w:p>
        </w:tc>
        <w:tc>
          <w:tcPr>
            <w:tcW w:w="1985" w:type="dxa"/>
            <w:shd w:val="clear" w:color="auto" w:fill="FFFFFF" w:themeFill="background1"/>
            <w:hideMark/>
          </w:tcPr>
          <w:p w14:paraId="5C321916" w14:textId="77777777" w:rsidR="000A7D9D" w:rsidRPr="007F38F4" w:rsidRDefault="000A7D9D" w:rsidP="00F31937">
            <w:pPr>
              <w:textAlignment w:val="baseline"/>
              <w:rPr>
                <w:rFonts w:ascii="Times New Roman" w:hAnsi="Times New Roman" w:cs="Times New Roman"/>
                <w:noProof/>
                <w:sz w:val="24"/>
                <w:szCs w:val="24"/>
                <w:lang w:eastAsia="en-GB"/>
              </w:rPr>
            </w:pPr>
            <w:r w:rsidRPr="007F38F4">
              <w:rPr>
                <w:rFonts w:ascii="Times New Roman" w:hAnsi="Times New Roman" w:cs="Times New Roman"/>
                <w:b/>
                <w:bCs/>
                <w:noProof/>
                <w:sz w:val="24"/>
                <w:szCs w:val="24"/>
                <w:lang w:eastAsia="en-GB"/>
              </w:rPr>
              <w:t>Resource needs</w:t>
            </w:r>
            <w:r w:rsidRPr="007F38F4">
              <w:rPr>
                <w:rFonts w:ascii="Times New Roman" w:hAnsi="Times New Roman" w:cs="Times New Roman"/>
                <w:noProof/>
                <w:sz w:val="24"/>
                <w:szCs w:val="24"/>
                <w:lang w:eastAsia="en-GB"/>
              </w:rPr>
              <w:t> </w:t>
            </w:r>
          </w:p>
        </w:tc>
        <w:tc>
          <w:tcPr>
            <w:tcW w:w="1842" w:type="dxa"/>
            <w:shd w:val="clear" w:color="auto" w:fill="FFFFFF" w:themeFill="background1"/>
            <w:hideMark/>
          </w:tcPr>
          <w:p w14:paraId="08F94EEA" w14:textId="77777777" w:rsidR="000A7D9D" w:rsidRPr="007F38F4" w:rsidRDefault="000A7D9D" w:rsidP="00F31937">
            <w:pPr>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 </w:t>
            </w:r>
          </w:p>
        </w:tc>
      </w:tr>
      <w:tr w:rsidR="000A7D9D" w:rsidRPr="007F38F4" w14:paraId="1CBA0E34" w14:textId="77777777" w:rsidTr="00F31937">
        <w:trPr>
          <w:trHeight w:val="300"/>
        </w:trPr>
        <w:tc>
          <w:tcPr>
            <w:tcW w:w="985" w:type="dxa"/>
            <w:shd w:val="clear" w:color="auto" w:fill="FFFFFF" w:themeFill="background1"/>
            <w:hideMark/>
          </w:tcPr>
          <w:p w14:paraId="6194D9CF" w14:textId="77777777" w:rsidR="000A7D9D" w:rsidRPr="007F38F4" w:rsidRDefault="000A7D9D" w:rsidP="00F31937">
            <w:pPr>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ECHA </w:t>
            </w:r>
          </w:p>
        </w:tc>
        <w:tc>
          <w:tcPr>
            <w:tcW w:w="4252" w:type="dxa"/>
            <w:shd w:val="clear" w:color="auto" w:fill="FFFFFF" w:themeFill="background1"/>
            <w:hideMark/>
          </w:tcPr>
          <w:p w14:paraId="2674C01B" w14:textId="77777777" w:rsidR="000A7D9D" w:rsidRPr="007F38F4" w:rsidRDefault="000A7D9D" w:rsidP="00F31937">
            <w:pPr>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Dossier and substance Evaluation: </w:t>
            </w:r>
          </w:p>
          <w:p w14:paraId="67FA807B" w14:textId="77777777" w:rsidR="000A7D9D" w:rsidRPr="007F38F4" w:rsidRDefault="000A7D9D" w:rsidP="000A7D9D">
            <w:pPr>
              <w:numPr>
                <w:ilvl w:val="0"/>
                <w:numId w:val="138"/>
              </w:numPr>
              <w:spacing w:after="0" w:line="240" w:lineRule="auto"/>
              <w:ind w:left="360" w:firstLine="0"/>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 ECHA’s contribution to substance evaluations is expected at the level of contribution of a larger Member State (e.g. 3 substances/year, estimated to require 4.5 FTE</w:t>
            </w:r>
            <w:r w:rsidRPr="007F38F4">
              <w:rPr>
                <w:rFonts w:ascii="Times New Roman" w:hAnsi="Times New Roman" w:cs="Times New Roman"/>
                <w:noProof/>
                <w:sz w:val="24"/>
                <w:szCs w:val="24"/>
                <w:vertAlign w:val="superscript"/>
                <w:lang w:eastAsia="en-GB"/>
              </w:rPr>
              <w:t>3</w:t>
            </w:r>
            <w:r w:rsidRPr="007F38F4">
              <w:rPr>
                <w:rFonts w:ascii="Times New Roman" w:hAnsi="Times New Roman" w:cs="Times New Roman"/>
                <w:noProof/>
                <w:sz w:val="24"/>
                <w:szCs w:val="24"/>
                <w:lang w:eastAsia="en-GB"/>
              </w:rPr>
              <w:t>) </w:t>
            </w:r>
          </w:p>
        </w:tc>
        <w:tc>
          <w:tcPr>
            <w:tcW w:w="1985" w:type="dxa"/>
            <w:shd w:val="clear" w:color="auto" w:fill="FFFFFF" w:themeFill="background1"/>
            <w:hideMark/>
          </w:tcPr>
          <w:p w14:paraId="101FE320" w14:textId="77777777" w:rsidR="000A7D9D" w:rsidRPr="007F38F4" w:rsidRDefault="000A7D9D" w:rsidP="00F31937">
            <w:pPr>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Note: these are additional resource needs for the ongoing processes </w:t>
            </w:r>
          </w:p>
        </w:tc>
        <w:tc>
          <w:tcPr>
            <w:tcW w:w="1842" w:type="dxa"/>
            <w:shd w:val="clear" w:color="auto" w:fill="FFFFFF" w:themeFill="background1"/>
            <w:hideMark/>
          </w:tcPr>
          <w:p w14:paraId="32590071" w14:textId="77777777" w:rsidR="000A7D9D" w:rsidRPr="007F38F4" w:rsidRDefault="000A7D9D" w:rsidP="00F31937">
            <w:pPr>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 </w:t>
            </w:r>
          </w:p>
          <w:p w14:paraId="1B72C346" w14:textId="77777777" w:rsidR="000A7D9D" w:rsidRPr="007F38F4" w:rsidRDefault="000A7D9D" w:rsidP="00F31937">
            <w:pPr>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2027 onwards:  4.5 FTE  </w:t>
            </w:r>
          </w:p>
        </w:tc>
      </w:tr>
    </w:tbl>
    <w:p w14:paraId="28BF9617" w14:textId="77777777" w:rsidR="000A7D9D" w:rsidRPr="007F38F4" w:rsidRDefault="000A7D9D" w:rsidP="000A7D9D">
      <w:pPr>
        <w:jc w:val="both"/>
        <w:textAlignment w:val="baseline"/>
        <w:rPr>
          <w:rFonts w:ascii="Times New Roman" w:hAnsi="Times New Roman" w:cs="Times New Roman"/>
          <w:noProof/>
          <w:lang w:eastAsia="en-GB"/>
        </w:rPr>
      </w:pPr>
      <w:r w:rsidRPr="007F38F4">
        <w:rPr>
          <w:rFonts w:ascii="Times New Roman" w:hAnsi="Times New Roman" w:cs="Times New Roman"/>
          <w:noProof/>
          <w:lang w:eastAsia="en-GB"/>
        </w:rPr>
        <w:t> </w:t>
      </w:r>
    </w:p>
    <w:p w14:paraId="58EDC8D8" w14:textId="77777777" w:rsidR="000A7D9D" w:rsidRPr="007F38F4" w:rsidRDefault="000A7D9D" w:rsidP="000A7D9D">
      <w:pPr>
        <w:spacing w:after="120"/>
        <w:jc w:val="both"/>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The evaluation processes are closely tied with the Member State Committee, whose main task is to assess the evaluation decisions. The changes will not require new capacity or change the nature of the work. The number of evaluation decisions to be taken is not expected to importantly change (within +-20%); any increase in testing proposal examination decisions that might come would be associated with likely more simple content from lower tier animal testing. </w:t>
      </w:r>
    </w:p>
    <w:p w14:paraId="353EF42A" w14:textId="77777777" w:rsidR="000A7D9D" w:rsidRPr="007F38F4" w:rsidRDefault="000A7D9D" w:rsidP="000A7D9D">
      <w:pPr>
        <w:pStyle w:val="BodyText"/>
        <w:jc w:val="both"/>
        <w:rPr>
          <w:i/>
          <w:noProof/>
        </w:rPr>
      </w:pPr>
      <w:r w:rsidRPr="007F38F4">
        <w:rPr>
          <w:i/>
          <w:noProof/>
        </w:rPr>
        <w:t xml:space="preserve">Task 5 Enforcement </w:t>
      </w:r>
    </w:p>
    <w:p w14:paraId="4B29C619" w14:textId="77777777" w:rsidR="000A7D9D" w:rsidRPr="007F38F4" w:rsidRDefault="000A7D9D" w:rsidP="000A7D9D">
      <w:pPr>
        <w:spacing w:after="120"/>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External Audit Capacity:  </w:t>
      </w:r>
    </w:p>
    <w:p w14:paraId="1CA19AEE" w14:textId="77777777" w:rsidR="000A7D9D" w:rsidRPr="007F38F4" w:rsidRDefault="000A7D9D" w:rsidP="000A7D9D">
      <w:pPr>
        <w:pStyle w:val="ListParagraph"/>
        <w:numPr>
          <w:ilvl w:val="0"/>
          <w:numId w:val="88"/>
        </w:numPr>
        <w:jc w:val="both"/>
        <w:textAlignment w:val="baseline"/>
        <w:rPr>
          <w:noProof/>
          <w:lang w:eastAsia="en-GB"/>
        </w:rPr>
      </w:pPr>
      <w:r w:rsidRPr="007F38F4">
        <w:rPr>
          <w:noProof/>
          <w:lang w:eastAsia="en-GB"/>
        </w:rPr>
        <w:t>Costs for ECHA Secretariat for Audit Capacity concerning REACH only, in the range of 0.1 to 0.13 FTE, i.e. from 21.5 working days to 29, which would amount to annual costs for ECHA Secretariat between around EUR 11 481 to 15 486 (recurring annual costs).  </w:t>
      </w:r>
    </w:p>
    <w:p w14:paraId="7EC15ADF" w14:textId="77777777" w:rsidR="000A7D9D" w:rsidRPr="007F38F4" w:rsidRDefault="000A7D9D" w:rsidP="000A7D9D">
      <w:pPr>
        <w:pStyle w:val="ListParagraph"/>
        <w:numPr>
          <w:ilvl w:val="0"/>
          <w:numId w:val="88"/>
        </w:numPr>
        <w:jc w:val="both"/>
        <w:textAlignment w:val="baseline"/>
        <w:rPr>
          <w:noProof/>
          <w:lang w:eastAsia="en-GB"/>
        </w:rPr>
      </w:pPr>
      <w:r w:rsidRPr="007F38F4">
        <w:rPr>
          <w:noProof/>
          <w:lang w:eastAsia="en-GB"/>
        </w:rPr>
        <w:t>Costs for ECHA Secretariat for External Audit Capacity covering REACH and CLP, in the range of 0.1 to 0.15 FTE, i.e. from 21.5 working days to 32, which would amount to annual costs for ECHA Secretariat between around EUR 11 481 to 17 088 (recurring annual costs), or EUR 225 000 to 335 000 over 30 years. These are related to administrative support to discussions in Forum that may take place in relation to Commission audits of MSs control systems. </w:t>
      </w:r>
    </w:p>
    <w:p w14:paraId="5AC828FA" w14:textId="77777777" w:rsidR="000A7D9D" w:rsidRPr="007F38F4" w:rsidRDefault="000A7D9D" w:rsidP="000A7D9D">
      <w:pPr>
        <w:pStyle w:val="ListParagraph"/>
        <w:numPr>
          <w:ilvl w:val="0"/>
          <w:numId w:val="88"/>
        </w:numPr>
        <w:spacing w:after="120"/>
        <w:ind w:left="714" w:hanging="357"/>
        <w:contextualSpacing w:val="0"/>
        <w:jc w:val="both"/>
        <w:textAlignment w:val="baseline"/>
        <w:rPr>
          <w:noProof/>
          <w:lang w:eastAsia="en-GB"/>
        </w:rPr>
      </w:pPr>
      <w:r w:rsidRPr="007F38F4">
        <w:rPr>
          <w:noProof/>
          <w:lang w:eastAsia="en-GB"/>
        </w:rPr>
        <w:t>Forum: some costs will be incurred as it can be expected that in some Forum meetings (maybe once per year) an agenda point may be included to discuss either the Commission programme for audits or the outcome of audits/controls carried out by the Commission. </w:t>
      </w:r>
    </w:p>
    <w:p w14:paraId="4BD8E459" w14:textId="77777777" w:rsidR="000A7D9D" w:rsidRPr="007F38F4" w:rsidRDefault="000A7D9D" w:rsidP="000A7D9D">
      <w:pPr>
        <w:spacing w:after="120"/>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Customs: </w:t>
      </w:r>
    </w:p>
    <w:p w14:paraId="5ABD08E4" w14:textId="77777777" w:rsidR="000A7D9D" w:rsidRPr="007F38F4" w:rsidRDefault="000A7D9D" w:rsidP="000A7D9D">
      <w:pPr>
        <w:pStyle w:val="ListParagraph"/>
        <w:numPr>
          <w:ilvl w:val="0"/>
          <w:numId w:val="88"/>
        </w:numPr>
        <w:jc w:val="both"/>
        <w:textAlignment w:val="baseline"/>
        <w:rPr>
          <w:noProof/>
          <w:lang w:eastAsia="en-GB"/>
        </w:rPr>
      </w:pPr>
      <w:r w:rsidRPr="007F38F4">
        <w:rPr>
          <w:noProof/>
          <w:lang w:eastAsia="en-GB"/>
        </w:rPr>
        <w:t>Costs for ECHA Secretariat to make the interconnection, under the responsibility of the Commission, of ECHA electronic systems with national single window environments for customs through the EU Single Window Environment for customs, for the automated controls of registrations, authorisations (and restrictions). The budget is estimated at about EUR 100 000.  </w:t>
      </w:r>
    </w:p>
    <w:p w14:paraId="210AF583" w14:textId="77777777" w:rsidR="000A7D9D" w:rsidRPr="007F38F4" w:rsidRDefault="000A7D9D" w:rsidP="000A7D9D">
      <w:pPr>
        <w:pStyle w:val="ListParagraph"/>
        <w:numPr>
          <w:ilvl w:val="0"/>
          <w:numId w:val="88"/>
        </w:numPr>
        <w:spacing w:after="120"/>
        <w:ind w:left="714" w:hanging="357"/>
        <w:contextualSpacing w:val="0"/>
        <w:jc w:val="both"/>
        <w:textAlignment w:val="baseline"/>
        <w:rPr>
          <w:noProof/>
          <w:lang w:eastAsia="en-GB"/>
        </w:rPr>
      </w:pPr>
      <w:r w:rsidRPr="007F38F4">
        <w:rPr>
          <w:noProof/>
          <w:lang w:eastAsia="en-GB"/>
        </w:rPr>
        <w:t>The workload in ECHA to handle this development, its maintenance, and potentially the updates of company accounts by importers and only representatives (around 14 000), the inquiries from companies, as well as the support to the work of the ECHA Forum triggered by these new measures is estimated together at around 1,6 FTEs </w:t>
      </w:r>
    </w:p>
    <w:p w14:paraId="3C795E88" w14:textId="77777777" w:rsidR="000A7D9D" w:rsidRPr="007F38F4" w:rsidRDefault="000A7D9D" w:rsidP="000A7D9D">
      <w:pPr>
        <w:spacing w:after="120"/>
        <w:jc w:val="both"/>
        <w:textAlignment w:val="baseline"/>
        <w:rPr>
          <w:rFonts w:ascii="Times New Roman" w:hAnsi="Times New Roman" w:cs="Times New Roman"/>
          <w:noProof/>
          <w:sz w:val="24"/>
          <w:szCs w:val="24"/>
          <w:lang w:eastAsia="en-GB"/>
        </w:rPr>
      </w:pPr>
      <w:r w:rsidRPr="007F38F4">
        <w:rPr>
          <w:rFonts w:ascii="Times New Roman" w:hAnsi="Times New Roman" w:cs="Times New Roman"/>
          <w:noProof/>
          <w:sz w:val="24"/>
          <w:szCs w:val="24"/>
          <w:lang w:eastAsia="en-GB"/>
        </w:rPr>
        <w:t>The resource needs for the implementation of the revised obligations under REACH should be absorbed by the existing resources for REACH and CLP.</w:t>
      </w:r>
    </w:p>
    <w:p w14:paraId="172C6D3D" w14:textId="77777777" w:rsidR="000A7D9D" w:rsidRPr="007F38F4" w:rsidRDefault="000A7D9D" w:rsidP="000A7D9D">
      <w:pPr>
        <w:pStyle w:val="BodyText"/>
        <w:jc w:val="both"/>
        <w:rPr>
          <w:noProof/>
        </w:rPr>
      </w:pPr>
      <w:r w:rsidRPr="007F38F4">
        <w:rPr>
          <w:noProof/>
        </w:rPr>
        <w:t>Summary of resource needs for REACH revision:</w:t>
      </w:r>
    </w:p>
    <w:tbl>
      <w:tblPr>
        <w:tblStyle w:val="TableGrid"/>
        <w:tblW w:w="0" w:type="auto"/>
        <w:tblLook w:val="04A0" w:firstRow="1" w:lastRow="0" w:firstColumn="1" w:lastColumn="0" w:noHBand="0" w:noVBand="1"/>
      </w:tblPr>
      <w:tblGrid>
        <w:gridCol w:w="1145"/>
        <w:gridCol w:w="3742"/>
        <w:gridCol w:w="1989"/>
        <w:gridCol w:w="2140"/>
      </w:tblGrid>
      <w:tr w:rsidR="000A7D9D" w:rsidRPr="00740C12" w14:paraId="40981CDC" w14:textId="77777777" w:rsidTr="00F31937">
        <w:trPr>
          <w:trHeight w:val="300"/>
        </w:trPr>
        <w:tc>
          <w:tcPr>
            <w:tcW w:w="1145" w:type="dxa"/>
            <w:shd w:val="clear" w:color="auto" w:fill="D9D9D9" w:themeFill="background1" w:themeFillShade="D9"/>
          </w:tcPr>
          <w:p w14:paraId="1E676ADE" w14:textId="77777777" w:rsidR="000A7D9D" w:rsidRPr="00740C12" w:rsidRDefault="000A7D9D" w:rsidP="00F31937">
            <w:pPr>
              <w:pStyle w:val="BodyText"/>
              <w:spacing w:line="259" w:lineRule="auto"/>
              <w:rPr>
                <w:b/>
                <w:bCs/>
                <w:noProof/>
                <w:sz w:val="20"/>
                <w:szCs w:val="20"/>
              </w:rPr>
            </w:pPr>
            <w:r w:rsidRPr="00740C12">
              <w:rPr>
                <w:b/>
                <w:bCs/>
                <w:noProof/>
                <w:sz w:val="20"/>
                <w:szCs w:val="20"/>
              </w:rPr>
              <w:t>Agency</w:t>
            </w:r>
          </w:p>
        </w:tc>
        <w:tc>
          <w:tcPr>
            <w:tcW w:w="3742" w:type="dxa"/>
            <w:shd w:val="clear" w:color="auto" w:fill="D9D9D9" w:themeFill="background1" w:themeFillShade="D9"/>
          </w:tcPr>
          <w:p w14:paraId="007B98D9" w14:textId="77777777" w:rsidR="000A7D9D" w:rsidRPr="00740C12" w:rsidRDefault="000A7D9D" w:rsidP="00F31937">
            <w:pPr>
              <w:pStyle w:val="BodyText"/>
              <w:rPr>
                <w:b/>
                <w:bCs/>
                <w:noProof/>
                <w:sz w:val="20"/>
                <w:szCs w:val="20"/>
              </w:rPr>
            </w:pPr>
            <w:r w:rsidRPr="00740C12">
              <w:rPr>
                <w:b/>
                <w:bCs/>
                <w:noProof/>
                <w:sz w:val="20"/>
                <w:szCs w:val="20"/>
              </w:rPr>
              <w:t>Summary of tasks</w:t>
            </w:r>
          </w:p>
        </w:tc>
        <w:tc>
          <w:tcPr>
            <w:tcW w:w="1989" w:type="dxa"/>
            <w:shd w:val="clear" w:color="auto" w:fill="D9D9D9" w:themeFill="background1" w:themeFillShade="D9"/>
          </w:tcPr>
          <w:p w14:paraId="20A37A47" w14:textId="77777777" w:rsidR="000A7D9D" w:rsidRPr="00740C12" w:rsidRDefault="000A7D9D" w:rsidP="00F31937">
            <w:pPr>
              <w:pStyle w:val="BodyText"/>
              <w:tabs>
                <w:tab w:val="left" w:pos="4170"/>
              </w:tabs>
              <w:rPr>
                <w:noProof/>
                <w:sz w:val="20"/>
                <w:szCs w:val="20"/>
              </w:rPr>
            </w:pPr>
          </w:p>
        </w:tc>
        <w:tc>
          <w:tcPr>
            <w:tcW w:w="2140" w:type="dxa"/>
            <w:shd w:val="clear" w:color="auto" w:fill="D9D9D9" w:themeFill="background1" w:themeFillShade="D9"/>
          </w:tcPr>
          <w:p w14:paraId="3A96A72C" w14:textId="77777777" w:rsidR="000A7D9D" w:rsidRPr="00740C12" w:rsidRDefault="000A7D9D" w:rsidP="00F31937">
            <w:pPr>
              <w:pStyle w:val="BodyText"/>
              <w:tabs>
                <w:tab w:val="left" w:pos="4170"/>
              </w:tabs>
              <w:spacing w:after="0"/>
              <w:rPr>
                <w:noProof/>
                <w:sz w:val="20"/>
                <w:szCs w:val="20"/>
              </w:rPr>
            </w:pPr>
          </w:p>
        </w:tc>
      </w:tr>
      <w:tr w:rsidR="000A7D9D" w:rsidRPr="00740C12" w14:paraId="17927006" w14:textId="77777777" w:rsidTr="00F31937">
        <w:trPr>
          <w:trHeight w:val="300"/>
        </w:trPr>
        <w:tc>
          <w:tcPr>
            <w:tcW w:w="1145" w:type="dxa"/>
            <w:vMerge w:val="restart"/>
            <w:shd w:val="clear" w:color="auto" w:fill="D9D9D9" w:themeFill="background1" w:themeFillShade="D9"/>
          </w:tcPr>
          <w:p w14:paraId="26980C39" w14:textId="77777777" w:rsidR="000A7D9D" w:rsidRPr="00740C12" w:rsidRDefault="000A7D9D" w:rsidP="00F31937">
            <w:pPr>
              <w:pStyle w:val="BodyText"/>
              <w:spacing w:line="259" w:lineRule="auto"/>
              <w:rPr>
                <w:noProof/>
                <w:sz w:val="20"/>
                <w:szCs w:val="20"/>
              </w:rPr>
            </w:pPr>
            <w:r w:rsidRPr="00740C12">
              <w:rPr>
                <w:noProof/>
                <w:sz w:val="20"/>
                <w:szCs w:val="20"/>
              </w:rPr>
              <w:t>ECHA</w:t>
            </w:r>
          </w:p>
        </w:tc>
        <w:tc>
          <w:tcPr>
            <w:tcW w:w="3742" w:type="dxa"/>
            <w:vMerge w:val="restart"/>
            <w:shd w:val="clear" w:color="auto" w:fill="D9D9D9" w:themeFill="background1" w:themeFillShade="D9"/>
          </w:tcPr>
          <w:p w14:paraId="3219BA8E" w14:textId="77777777" w:rsidR="000A7D9D" w:rsidRPr="00740C12" w:rsidRDefault="000A7D9D" w:rsidP="00F31937">
            <w:pPr>
              <w:pStyle w:val="BodyText"/>
              <w:spacing w:after="0" w:line="259" w:lineRule="auto"/>
              <w:rPr>
                <w:noProof/>
                <w:sz w:val="20"/>
                <w:szCs w:val="20"/>
              </w:rPr>
            </w:pPr>
            <w:r w:rsidRPr="00740C12">
              <w:rPr>
                <w:noProof/>
                <w:sz w:val="20"/>
                <w:szCs w:val="20"/>
              </w:rPr>
              <w:t xml:space="preserve">Implementing </w:t>
            </w:r>
          </w:p>
          <w:p w14:paraId="201696E1" w14:textId="77777777" w:rsidR="000A7D9D" w:rsidRPr="00740C12" w:rsidRDefault="000A7D9D" w:rsidP="000A7D9D">
            <w:pPr>
              <w:pStyle w:val="BodyText"/>
              <w:widowControl w:val="0"/>
              <w:numPr>
                <w:ilvl w:val="0"/>
                <w:numId w:val="88"/>
              </w:numPr>
              <w:spacing w:after="0" w:line="259" w:lineRule="auto"/>
              <w:rPr>
                <w:noProof/>
                <w:sz w:val="20"/>
                <w:szCs w:val="20"/>
              </w:rPr>
            </w:pPr>
            <w:r w:rsidRPr="00740C12">
              <w:rPr>
                <w:noProof/>
                <w:sz w:val="20"/>
                <w:szCs w:val="20"/>
              </w:rPr>
              <w:t>Registration,</w:t>
            </w:r>
          </w:p>
          <w:p w14:paraId="1DA6FF8C" w14:textId="77777777" w:rsidR="000A7D9D" w:rsidRPr="00740C12" w:rsidRDefault="000A7D9D" w:rsidP="000A7D9D">
            <w:pPr>
              <w:pStyle w:val="BodyText"/>
              <w:widowControl w:val="0"/>
              <w:numPr>
                <w:ilvl w:val="0"/>
                <w:numId w:val="88"/>
              </w:numPr>
              <w:spacing w:after="0" w:line="259" w:lineRule="auto"/>
              <w:rPr>
                <w:noProof/>
                <w:sz w:val="20"/>
                <w:szCs w:val="20"/>
              </w:rPr>
            </w:pPr>
            <w:r w:rsidRPr="00740C12">
              <w:rPr>
                <w:noProof/>
                <w:sz w:val="20"/>
                <w:szCs w:val="20"/>
              </w:rPr>
              <w:t xml:space="preserve">Authorisation </w:t>
            </w:r>
          </w:p>
          <w:p w14:paraId="2AA64E1D" w14:textId="77777777" w:rsidR="000A7D9D" w:rsidRPr="00740C12" w:rsidRDefault="000A7D9D" w:rsidP="000A7D9D">
            <w:pPr>
              <w:pStyle w:val="BodyText"/>
              <w:widowControl w:val="0"/>
              <w:numPr>
                <w:ilvl w:val="0"/>
                <w:numId w:val="88"/>
              </w:numPr>
              <w:spacing w:after="0" w:line="259" w:lineRule="auto"/>
              <w:rPr>
                <w:noProof/>
                <w:sz w:val="20"/>
                <w:szCs w:val="20"/>
              </w:rPr>
            </w:pPr>
            <w:r w:rsidRPr="00740C12">
              <w:rPr>
                <w:noProof/>
                <w:sz w:val="20"/>
                <w:szCs w:val="20"/>
              </w:rPr>
              <w:t xml:space="preserve">Restriction </w:t>
            </w:r>
          </w:p>
          <w:p w14:paraId="490F877A" w14:textId="77777777" w:rsidR="000A7D9D" w:rsidRPr="00740C12" w:rsidRDefault="000A7D9D" w:rsidP="000A7D9D">
            <w:pPr>
              <w:pStyle w:val="BodyText"/>
              <w:widowControl w:val="0"/>
              <w:numPr>
                <w:ilvl w:val="0"/>
                <w:numId w:val="88"/>
              </w:numPr>
              <w:spacing w:after="0" w:line="259" w:lineRule="auto"/>
              <w:rPr>
                <w:noProof/>
                <w:sz w:val="20"/>
                <w:szCs w:val="20"/>
              </w:rPr>
            </w:pPr>
            <w:r w:rsidRPr="00740C12">
              <w:rPr>
                <w:noProof/>
                <w:sz w:val="20"/>
                <w:szCs w:val="20"/>
              </w:rPr>
              <w:t xml:space="preserve">Evaluation </w:t>
            </w:r>
          </w:p>
          <w:p w14:paraId="73CD1E19" w14:textId="77777777" w:rsidR="000A7D9D" w:rsidRPr="00740C12" w:rsidRDefault="000A7D9D" w:rsidP="000A7D9D">
            <w:pPr>
              <w:pStyle w:val="BodyText"/>
              <w:widowControl w:val="0"/>
              <w:numPr>
                <w:ilvl w:val="0"/>
                <w:numId w:val="88"/>
              </w:numPr>
              <w:spacing w:line="259" w:lineRule="auto"/>
              <w:rPr>
                <w:noProof/>
                <w:sz w:val="20"/>
                <w:szCs w:val="20"/>
              </w:rPr>
            </w:pPr>
            <w:r w:rsidRPr="00740C12">
              <w:rPr>
                <w:noProof/>
                <w:sz w:val="20"/>
                <w:szCs w:val="20"/>
              </w:rPr>
              <w:t>Enforcement</w:t>
            </w:r>
          </w:p>
        </w:tc>
        <w:tc>
          <w:tcPr>
            <w:tcW w:w="1989" w:type="dxa"/>
            <w:shd w:val="clear" w:color="auto" w:fill="D9D9D9" w:themeFill="background1" w:themeFillShade="D9"/>
          </w:tcPr>
          <w:p w14:paraId="1F088990" w14:textId="77777777" w:rsidR="000A7D9D" w:rsidRPr="00740C12" w:rsidRDefault="000A7D9D" w:rsidP="00F31937">
            <w:pPr>
              <w:pStyle w:val="BodyText"/>
              <w:tabs>
                <w:tab w:val="left" w:pos="4170"/>
              </w:tabs>
              <w:rPr>
                <w:noProof/>
                <w:sz w:val="20"/>
                <w:szCs w:val="20"/>
              </w:rPr>
            </w:pPr>
            <w:r w:rsidRPr="00740C12">
              <w:rPr>
                <w:noProof/>
                <w:sz w:val="20"/>
                <w:szCs w:val="20"/>
              </w:rPr>
              <w:t>Financial resource needs:</w:t>
            </w:r>
          </w:p>
        </w:tc>
        <w:tc>
          <w:tcPr>
            <w:tcW w:w="2140" w:type="dxa"/>
            <w:shd w:val="clear" w:color="auto" w:fill="D9D9D9" w:themeFill="background1" w:themeFillShade="D9"/>
          </w:tcPr>
          <w:p w14:paraId="2592231E" w14:textId="77777777" w:rsidR="000A7D9D" w:rsidRPr="00740C12" w:rsidRDefault="000A7D9D" w:rsidP="00F31937">
            <w:pPr>
              <w:pStyle w:val="BodyText"/>
              <w:tabs>
                <w:tab w:val="left" w:pos="4170"/>
              </w:tabs>
              <w:spacing w:after="0"/>
              <w:rPr>
                <w:noProof/>
                <w:sz w:val="20"/>
                <w:szCs w:val="20"/>
              </w:rPr>
            </w:pPr>
            <w:r w:rsidRPr="00740C12">
              <w:rPr>
                <w:noProof/>
                <w:sz w:val="20"/>
                <w:szCs w:val="20"/>
              </w:rPr>
              <w:t xml:space="preserve">2024: </w:t>
            </w:r>
            <w:r w:rsidRPr="00740C12">
              <w:rPr>
                <w:b/>
                <w:noProof/>
                <w:sz w:val="20"/>
                <w:szCs w:val="20"/>
              </w:rPr>
              <w:t>EUR</w:t>
            </w:r>
            <w:r w:rsidRPr="00740C12">
              <w:rPr>
                <w:noProof/>
                <w:sz w:val="20"/>
                <w:szCs w:val="20"/>
              </w:rPr>
              <w:t xml:space="preserve"> </w:t>
            </w:r>
            <w:r w:rsidRPr="00740C12">
              <w:rPr>
                <w:b/>
                <w:bCs/>
                <w:noProof/>
                <w:sz w:val="20"/>
                <w:szCs w:val="20"/>
              </w:rPr>
              <w:t>0</w:t>
            </w:r>
            <w:r w:rsidRPr="00740C12">
              <w:rPr>
                <w:noProof/>
                <w:sz w:val="20"/>
                <w:szCs w:val="20"/>
              </w:rPr>
              <w:t xml:space="preserve"> </w:t>
            </w:r>
          </w:p>
          <w:p w14:paraId="725A0C83" w14:textId="77777777" w:rsidR="000A7D9D" w:rsidRPr="00740C12" w:rsidRDefault="000A7D9D" w:rsidP="00F31937">
            <w:pPr>
              <w:pStyle w:val="BodyText"/>
              <w:tabs>
                <w:tab w:val="left" w:pos="4170"/>
              </w:tabs>
              <w:spacing w:after="0"/>
              <w:rPr>
                <w:noProof/>
                <w:sz w:val="20"/>
                <w:szCs w:val="20"/>
              </w:rPr>
            </w:pPr>
            <w:r w:rsidRPr="00740C12">
              <w:rPr>
                <w:noProof/>
                <w:sz w:val="20"/>
                <w:szCs w:val="20"/>
              </w:rPr>
              <w:t xml:space="preserve">2025: </w:t>
            </w:r>
            <w:r w:rsidRPr="00740C12">
              <w:rPr>
                <w:b/>
                <w:noProof/>
                <w:sz w:val="20"/>
                <w:szCs w:val="20"/>
              </w:rPr>
              <w:t>EUR</w:t>
            </w:r>
            <w:r w:rsidRPr="00740C12">
              <w:rPr>
                <w:noProof/>
                <w:sz w:val="20"/>
                <w:szCs w:val="20"/>
              </w:rPr>
              <w:t xml:space="preserve"> </w:t>
            </w:r>
            <w:r w:rsidRPr="00740C12">
              <w:rPr>
                <w:b/>
                <w:bCs/>
                <w:noProof/>
                <w:sz w:val="20"/>
                <w:szCs w:val="20"/>
              </w:rPr>
              <w:t>0</w:t>
            </w:r>
          </w:p>
          <w:p w14:paraId="039EFCE6" w14:textId="77777777" w:rsidR="000A7D9D" w:rsidRPr="00740C12" w:rsidRDefault="000A7D9D" w:rsidP="00F31937">
            <w:pPr>
              <w:pStyle w:val="BodyText"/>
              <w:tabs>
                <w:tab w:val="left" w:pos="4170"/>
              </w:tabs>
              <w:spacing w:after="0"/>
              <w:rPr>
                <w:noProof/>
                <w:sz w:val="20"/>
                <w:szCs w:val="20"/>
              </w:rPr>
            </w:pPr>
            <w:r w:rsidRPr="00740C12">
              <w:rPr>
                <w:noProof/>
                <w:sz w:val="20"/>
                <w:szCs w:val="20"/>
              </w:rPr>
              <w:t xml:space="preserve">2026: </w:t>
            </w:r>
            <w:r w:rsidRPr="00740C12">
              <w:rPr>
                <w:b/>
                <w:noProof/>
                <w:sz w:val="20"/>
                <w:szCs w:val="20"/>
              </w:rPr>
              <w:t>EUR</w:t>
            </w:r>
            <w:r w:rsidRPr="00740C12">
              <w:rPr>
                <w:noProof/>
                <w:sz w:val="20"/>
                <w:szCs w:val="20"/>
              </w:rPr>
              <w:t xml:space="preserve"> </w:t>
            </w:r>
            <w:r w:rsidRPr="00740C12">
              <w:rPr>
                <w:b/>
                <w:bCs/>
                <w:noProof/>
                <w:sz w:val="20"/>
                <w:szCs w:val="20"/>
              </w:rPr>
              <w:t>0</w:t>
            </w:r>
          </w:p>
          <w:p w14:paraId="0558A80C" w14:textId="77777777" w:rsidR="000A7D9D" w:rsidRPr="00740C12" w:rsidRDefault="000A7D9D" w:rsidP="00F31937">
            <w:pPr>
              <w:pStyle w:val="BodyText"/>
              <w:tabs>
                <w:tab w:val="left" w:pos="4170"/>
              </w:tabs>
              <w:spacing w:after="0"/>
              <w:rPr>
                <w:noProof/>
                <w:sz w:val="20"/>
                <w:szCs w:val="20"/>
              </w:rPr>
            </w:pPr>
            <w:r w:rsidRPr="00740C12">
              <w:rPr>
                <w:noProof/>
                <w:sz w:val="20"/>
                <w:szCs w:val="20"/>
              </w:rPr>
              <w:t xml:space="preserve">2027: </w:t>
            </w:r>
            <w:r w:rsidRPr="00740C12">
              <w:rPr>
                <w:b/>
                <w:noProof/>
                <w:sz w:val="20"/>
                <w:szCs w:val="20"/>
              </w:rPr>
              <w:t>EUR</w:t>
            </w:r>
            <w:r w:rsidRPr="00740C12">
              <w:rPr>
                <w:noProof/>
                <w:sz w:val="20"/>
                <w:szCs w:val="20"/>
              </w:rPr>
              <w:t xml:space="preserve"> </w:t>
            </w:r>
            <w:r w:rsidRPr="00740C12">
              <w:rPr>
                <w:b/>
                <w:bCs/>
                <w:noProof/>
                <w:sz w:val="20"/>
                <w:szCs w:val="20"/>
              </w:rPr>
              <w:t>0</w:t>
            </w:r>
          </w:p>
          <w:p w14:paraId="35339972" w14:textId="77777777" w:rsidR="000A7D9D" w:rsidRPr="00740C12" w:rsidRDefault="000A7D9D" w:rsidP="00F31937">
            <w:pPr>
              <w:pStyle w:val="BodyText"/>
              <w:tabs>
                <w:tab w:val="left" w:pos="4170"/>
              </w:tabs>
              <w:spacing w:after="0"/>
              <w:rPr>
                <w:noProof/>
                <w:sz w:val="20"/>
                <w:szCs w:val="20"/>
              </w:rPr>
            </w:pPr>
            <w:r w:rsidRPr="00740C12">
              <w:rPr>
                <w:noProof/>
                <w:sz w:val="20"/>
                <w:szCs w:val="20"/>
              </w:rPr>
              <w:t xml:space="preserve">2028: </w:t>
            </w:r>
            <w:r w:rsidRPr="00740C12">
              <w:rPr>
                <w:b/>
                <w:noProof/>
                <w:sz w:val="20"/>
                <w:szCs w:val="20"/>
              </w:rPr>
              <w:t>EUR</w:t>
            </w:r>
            <w:r w:rsidRPr="00740C12">
              <w:rPr>
                <w:noProof/>
                <w:sz w:val="20"/>
                <w:szCs w:val="20"/>
              </w:rPr>
              <w:t xml:space="preserve"> </w:t>
            </w:r>
            <w:r w:rsidRPr="00740C12">
              <w:rPr>
                <w:b/>
                <w:bCs/>
                <w:noProof/>
                <w:sz w:val="20"/>
                <w:szCs w:val="20"/>
              </w:rPr>
              <w:t>0</w:t>
            </w:r>
          </w:p>
        </w:tc>
      </w:tr>
      <w:tr w:rsidR="000A7D9D" w:rsidRPr="00740C12" w14:paraId="35E8D80E" w14:textId="77777777" w:rsidTr="00F31937">
        <w:trPr>
          <w:trHeight w:val="300"/>
        </w:trPr>
        <w:tc>
          <w:tcPr>
            <w:tcW w:w="1145" w:type="dxa"/>
            <w:vMerge/>
            <w:shd w:val="clear" w:color="auto" w:fill="D9D9D9" w:themeFill="background1" w:themeFillShade="D9"/>
          </w:tcPr>
          <w:p w14:paraId="67E06633" w14:textId="77777777" w:rsidR="000A7D9D" w:rsidRPr="00740C12" w:rsidRDefault="000A7D9D" w:rsidP="00F31937">
            <w:pPr>
              <w:pStyle w:val="BodyText"/>
              <w:rPr>
                <w:noProof/>
                <w:sz w:val="20"/>
                <w:szCs w:val="20"/>
              </w:rPr>
            </w:pPr>
          </w:p>
        </w:tc>
        <w:tc>
          <w:tcPr>
            <w:tcW w:w="3742" w:type="dxa"/>
            <w:vMerge/>
            <w:shd w:val="clear" w:color="auto" w:fill="D9D9D9" w:themeFill="background1" w:themeFillShade="D9"/>
          </w:tcPr>
          <w:p w14:paraId="26BDB26F" w14:textId="77777777" w:rsidR="000A7D9D" w:rsidRPr="00740C12" w:rsidRDefault="000A7D9D" w:rsidP="00F31937">
            <w:pPr>
              <w:pStyle w:val="BodyText"/>
              <w:rPr>
                <w:noProof/>
                <w:sz w:val="20"/>
                <w:szCs w:val="20"/>
              </w:rPr>
            </w:pPr>
          </w:p>
        </w:tc>
        <w:tc>
          <w:tcPr>
            <w:tcW w:w="1989" w:type="dxa"/>
            <w:shd w:val="clear" w:color="auto" w:fill="D9D9D9" w:themeFill="background1" w:themeFillShade="D9"/>
          </w:tcPr>
          <w:p w14:paraId="5673021F" w14:textId="77777777" w:rsidR="000A7D9D" w:rsidRPr="00740C12" w:rsidRDefault="000A7D9D" w:rsidP="00F31937">
            <w:pPr>
              <w:pStyle w:val="BodyText"/>
              <w:tabs>
                <w:tab w:val="left" w:pos="4170"/>
              </w:tabs>
              <w:rPr>
                <w:noProof/>
                <w:sz w:val="20"/>
                <w:szCs w:val="20"/>
              </w:rPr>
            </w:pPr>
            <w:r w:rsidRPr="00740C12">
              <w:rPr>
                <w:noProof/>
                <w:sz w:val="20"/>
                <w:szCs w:val="20"/>
              </w:rPr>
              <w:t>Human resource needs:</w:t>
            </w:r>
          </w:p>
        </w:tc>
        <w:tc>
          <w:tcPr>
            <w:tcW w:w="2140" w:type="dxa"/>
            <w:shd w:val="clear" w:color="auto" w:fill="D9D9D9" w:themeFill="background1" w:themeFillShade="D9"/>
          </w:tcPr>
          <w:p w14:paraId="15254923"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2024:  </w:t>
            </w:r>
            <w:r w:rsidRPr="00740C12">
              <w:rPr>
                <w:b/>
                <w:bCs/>
                <w:noProof/>
                <w:sz w:val="20"/>
                <w:szCs w:val="20"/>
                <w:lang w:val="fr-BE"/>
              </w:rPr>
              <w:t>0 TA</w:t>
            </w:r>
            <w:r w:rsidRPr="00740C12">
              <w:rPr>
                <w:noProof/>
                <w:sz w:val="20"/>
                <w:szCs w:val="20"/>
                <w:lang w:val="fr-BE"/>
              </w:rPr>
              <w:t xml:space="preserve">, </w:t>
            </w:r>
            <w:r w:rsidRPr="00740C12">
              <w:rPr>
                <w:b/>
                <w:noProof/>
                <w:sz w:val="20"/>
                <w:szCs w:val="20"/>
                <w:lang w:val="fr-BE"/>
              </w:rPr>
              <w:t>0 CA</w:t>
            </w:r>
          </w:p>
          <w:p w14:paraId="52739071" w14:textId="77777777" w:rsidR="000A7D9D" w:rsidRPr="00740C12" w:rsidRDefault="000A7D9D" w:rsidP="00F31937">
            <w:pPr>
              <w:pStyle w:val="BodyText"/>
              <w:tabs>
                <w:tab w:val="left" w:pos="4170"/>
              </w:tabs>
              <w:spacing w:after="0"/>
              <w:rPr>
                <w:b/>
                <w:noProof/>
                <w:sz w:val="20"/>
                <w:szCs w:val="20"/>
                <w:lang w:val="fr-BE"/>
              </w:rPr>
            </w:pPr>
            <w:r w:rsidRPr="00740C12">
              <w:rPr>
                <w:noProof/>
                <w:sz w:val="20"/>
                <w:szCs w:val="20"/>
                <w:lang w:val="fr-BE"/>
              </w:rPr>
              <w:t xml:space="preserve">2025: </w:t>
            </w:r>
            <w:r w:rsidRPr="00740C12">
              <w:rPr>
                <w:b/>
                <w:bCs/>
                <w:noProof/>
                <w:sz w:val="20"/>
                <w:szCs w:val="20"/>
                <w:lang w:val="fr-BE"/>
              </w:rPr>
              <w:t xml:space="preserve"> 0 TA</w:t>
            </w:r>
            <w:r w:rsidRPr="00740C12">
              <w:rPr>
                <w:noProof/>
                <w:sz w:val="20"/>
                <w:szCs w:val="20"/>
                <w:lang w:val="fr-BE"/>
              </w:rPr>
              <w:t xml:space="preserve">, </w:t>
            </w:r>
            <w:r w:rsidRPr="00740C12">
              <w:rPr>
                <w:b/>
                <w:noProof/>
                <w:sz w:val="20"/>
                <w:szCs w:val="20"/>
                <w:lang w:val="fr-BE"/>
              </w:rPr>
              <w:t>0 CA</w:t>
            </w:r>
          </w:p>
          <w:p w14:paraId="367918E4" w14:textId="77777777" w:rsidR="000A7D9D" w:rsidRPr="00740C12" w:rsidRDefault="000A7D9D" w:rsidP="00F31937">
            <w:pPr>
              <w:pStyle w:val="BodyText"/>
              <w:tabs>
                <w:tab w:val="left" w:pos="4170"/>
              </w:tabs>
              <w:spacing w:after="0"/>
              <w:rPr>
                <w:b/>
                <w:noProof/>
                <w:sz w:val="20"/>
                <w:szCs w:val="20"/>
                <w:lang w:val="fr-BE"/>
              </w:rPr>
            </w:pPr>
            <w:r w:rsidRPr="00740C12">
              <w:rPr>
                <w:noProof/>
                <w:sz w:val="20"/>
                <w:szCs w:val="20"/>
                <w:lang w:val="fr-BE"/>
              </w:rPr>
              <w:t xml:space="preserve">2026: </w:t>
            </w:r>
            <w:r w:rsidRPr="00740C12">
              <w:rPr>
                <w:b/>
                <w:bCs/>
                <w:noProof/>
                <w:sz w:val="20"/>
                <w:szCs w:val="20"/>
                <w:lang w:val="fr-BE"/>
              </w:rPr>
              <w:t xml:space="preserve"> 0 TA</w:t>
            </w:r>
            <w:r w:rsidRPr="00740C12">
              <w:rPr>
                <w:noProof/>
                <w:sz w:val="20"/>
                <w:szCs w:val="20"/>
                <w:lang w:val="fr-BE"/>
              </w:rPr>
              <w:t xml:space="preserve">, </w:t>
            </w:r>
            <w:r w:rsidRPr="00740C12">
              <w:rPr>
                <w:b/>
                <w:noProof/>
                <w:sz w:val="20"/>
                <w:szCs w:val="20"/>
                <w:lang w:val="fr-BE"/>
              </w:rPr>
              <w:t>0 CA</w:t>
            </w:r>
          </w:p>
          <w:p w14:paraId="5EBCB480" w14:textId="77777777" w:rsidR="000A7D9D" w:rsidRPr="00740C12" w:rsidRDefault="000A7D9D" w:rsidP="00F31937">
            <w:pPr>
              <w:pStyle w:val="BodyText"/>
              <w:tabs>
                <w:tab w:val="left" w:pos="4170"/>
              </w:tabs>
              <w:spacing w:after="0"/>
              <w:rPr>
                <w:b/>
                <w:noProof/>
                <w:sz w:val="20"/>
                <w:szCs w:val="20"/>
              </w:rPr>
            </w:pPr>
            <w:r w:rsidRPr="00740C12">
              <w:rPr>
                <w:noProof/>
                <w:sz w:val="20"/>
                <w:szCs w:val="20"/>
              </w:rPr>
              <w:t xml:space="preserve">2027:  </w:t>
            </w:r>
            <w:r w:rsidRPr="00740C12">
              <w:rPr>
                <w:b/>
                <w:bCs/>
                <w:noProof/>
                <w:sz w:val="20"/>
                <w:szCs w:val="20"/>
              </w:rPr>
              <w:t>0 TA</w:t>
            </w:r>
            <w:r w:rsidRPr="00740C12">
              <w:rPr>
                <w:noProof/>
                <w:sz w:val="20"/>
                <w:szCs w:val="20"/>
              </w:rPr>
              <w:t xml:space="preserve">, </w:t>
            </w:r>
            <w:r w:rsidRPr="00740C12">
              <w:rPr>
                <w:b/>
                <w:noProof/>
                <w:sz w:val="20"/>
                <w:szCs w:val="20"/>
              </w:rPr>
              <w:t>0 CA</w:t>
            </w:r>
          </w:p>
          <w:p w14:paraId="08656BE5" w14:textId="77777777" w:rsidR="000A7D9D" w:rsidRPr="00740C12" w:rsidRDefault="000A7D9D" w:rsidP="00F31937">
            <w:pPr>
              <w:pStyle w:val="BodyText"/>
              <w:tabs>
                <w:tab w:val="left" w:pos="4170"/>
              </w:tabs>
              <w:spacing w:after="0"/>
              <w:rPr>
                <w:noProof/>
                <w:sz w:val="20"/>
                <w:szCs w:val="20"/>
              </w:rPr>
            </w:pPr>
            <w:r w:rsidRPr="00740C12">
              <w:rPr>
                <w:noProof/>
                <w:sz w:val="20"/>
                <w:szCs w:val="20"/>
              </w:rPr>
              <w:t xml:space="preserve">2028:  </w:t>
            </w:r>
            <w:r w:rsidRPr="00740C12">
              <w:rPr>
                <w:b/>
                <w:bCs/>
                <w:noProof/>
                <w:sz w:val="20"/>
                <w:szCs w:val="20"/>
              </w:rPr>
              <w:t>0 TA</w:t>
            </w:r>
            <w:r w:rsidRPr="00740C12">
              <w:rPr>
                <w:noProof/>
                <w:sz w:val="20"/>
                <w:szCs w:val="20"/>
              </w:rPr>
              <w:t xml:space="preserve">, </w:t>
            </w:r>
            <w:r w:rsidRPr="00740C12">
              <w:rPr>
                <w:b/>
                <w:noProof/>
                <w:sz w:val="20"/>
                <w:szCs w:val="20"/>
              </w:rPr>
              <w:t>0 CA</w:t>
            </w:r>
          </w:p>
        </w:tc>
      </w:tr>
    </w:tbl>
    <w:p w14:paraId="40B55CD7" w14:textId="77777777" w:rsidR="000A7D9D" w:rsidRPr="007F38F4" w:rsidRDefault="000A7D9D" w:rsidP="000A7D9D">
      <w:pPr>
        <w:pStyle w:val="BodyText"/>
        <w:spacing w:before="120"/>
        <w:jc w:val="both"/>
        <w:rPr>
          <w:noProof/>
        </w:rPr>
      </w:pPr>
      <w:r w:rsidRPr="007F38F4">
        <w:rPr>
          <w:noProof/>
          <w:u w:val="single"/>
        </w:rPr>
        <w:t>Future budget line:</w:t>
      </w:r>
      <w:r w:rsidRPr="007F38F4">
        <w:rPr>
          <w:noProof/>
        </w:rPr>
        <w:t xml:space="preserve"> DG GROW</w:t>
      </w:r>
    </w:p>
    <w:p w14:paraId="08B77016" w14:textId="77777777" w:rsidR="000A7D9D" w:rsidRPr="007F38F4" w:rsidRDefault="000A7D9D" w:rsidP="000A7D9D">
      <w:pPr>
        <w:pStyle w:val="BodyText"/>
        <w:jc w:val="both"/>
        <w:rPr>
          <w:noProof/>
        </w:rPr>
      </w:pPr>
      <w:r w:rsidRPr="007F38F4">
        <w:rPr>
          <w:noProof/>
          <w:u w:val="single"/>
        </w:rPr>
        <w:t>Candidate for funding:</w:t>
      </w:r>
      <w:r w:rsidRPr="007F38F4">
        <w:rPr>
          <w:noProof/>
        </w:rPr>
        <w:t xml:space="preserve"> No</w:t>
      </w:r>
    </w:p>
    <w:p w14:paraId="0053B684" w14:textId="77777777" w:rsidR="000A7D9D" w:rsidRDefault="000A7D9D" w:rsidP="000A7D9D">
      <w:pPr>
        <w:rPr>
          <w:noProof/>
        </w:rPr>
      </w:pPr>
      <w:bookmarkStart w:id="90" w:name="_Hlk106785595"/>
      <w:bookmarkEnd w:id="90"/>
    </w:p>
    <w:p w14:paraId="268D941C"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91" w:name="_Toc150499951"/>
      <w:r w:rsidRPr="00291F95">
        <w:rPr>
          <w:rFonts w:ascii="Times New Roman" w:hAnsi="Times New Roman"/>
          <w:smallCaps/>
          <w:noProof/>
          <w:color w:val="auto"/>
          <w:sz w:val="24"/>
          <w:szCs w:val="20"/>
          <w:lang w:eastAsia="en-US"/>
        </w:rPr>
        <w:t>Cosmetic Products Regulation</w:t>
      </w:r>
      <w:bookmarkEnd w:id="91"/>
    </w:p>
    <w:p w14:paraId="2077CBD2" w14:textId="77777777" w:rsidR="000A7D9D" w:rsidRPr="00A00723" w:rsidRDefault="000A7D9D" w:rsidP="000A7D9D">
      <w:pPr>
        <w:spacing w:after="120"/>
        <w:rPr>
          <w:rFonts w:ascii="Times New Roman" w:hAnsi="Times New Roman" w:cs="Times New Roman"/>
          <w:b/>
          <w:bCs/>
          <w:noProof/>
          <w:sz w:val="24"/>
          <w:szCs w:val="24"/>
        </w:rPr>
      </w:pPr>
      <w:r w:rsidRPr="00A00723">
        <w:rPr>
          <w:rFonts w:ascii="Times New Roman" w:hAnsi="Times New Roman" w:cs="Times New Roman"/>
          <w:b/>
          <w:bCs/>
          <w:noProof/>
          <w:sz w:val="24"/>
          <w:szCs w:val="24"/>
        </w:rPr>
        <w:t>Responsible body:</w:t>
      </w:r>
    </w:p>
    <w:p w14:paraId="2ED2EA64" w14:textId="77777777" w:rsidR="000A7D9D" w:rsidRPr="00A00723" w:rsidRDefault="000A7D9D" w:rsidP="000A7D9D">
      <w:pPr>
        <w:spacing w:after="120"/>
        <w:rPr>
          <w:rFonts w:ascii="Times New Roman" w:hAnsi="Times New Roman" w:cs="Times New Roman"/>
          <w:noProof/>
          <w:sz w:val="24"/>
          <w:szCs w:val="24"/>
        </w:rPr>
      </w:pPr>
      <w:r w:rsidRPr="00A00723">
        <w:rPr>
          <w:rFonts w:ascii="Times New Roman" w:hAnsi="Times New Roman" w:cs="Times New Roman"/>
          <w:noProof/>
          <w:sz w:val="24"/>
          <w:szCs w:val="24"/>
          <w:u w:val="single"/>
        </w:rPr>
        <w:t>Currently:</w:t>
      </w:r>
      <w:r w:rsidRPr="00A00723">
        <w:rPr>
          <w:rFonts w:ascii="Times New Roman" w:hAnsi="Times New Roman" w:cs="Times New Roman"/>
          <w:noProof/>
          <w:sz w:val="24"/>
          <w:szCs w:val="24"/>
        </w:rPr>
        <w:t xml:space="preserve"> Commission with the support of the SCCS committee</w:t>
      </w:r>
    </w:p>
    <w:p w14:paraId="6C76D385" w14:textId="77777777" w:rsidR="000A7D9D" w:rsidRPr="00A00723" w:rsidRDefault="000A7D9D" w:rsidP="000A7D9D">
      <w:pPr>
        <w:spacing w:after="120"/>
        <w:rPr>
          <w:rFonts w:ascii="Times New Roman" w:hAnsi="Times New Roman" w:cs="Times New Roman"/>
          <w:noProof/>
          <w:sz w:val="24"/>
          <w:szCs w:val="24"/>
        </w:rPr>
      </w:pPr>
      <w:r w:rsidRPr="00A00723">
        <w:rPr>
          <w:rFonts w:ascii="Times New Roman" w:hAnsi="Times New Roman" w:cs="Times New Roman"/>
          <w:noProof/>
          <w:sz w:val="24"/>
          <w:szCs w:val="24"/>
          <w:u w:val="single"/>
        </w:rPr>
        <w:t>(Re-)attribution planned to:</w:t>
      </w:r>
      <w:r w:rsidRPr="00A00723">
        <w:rPr>
          <w:rFonts w:ascii="Times New Roman" w:hAnsi="Times New Roman" w:cs="Times New Roman"/>
          <w:noProof/>
          <w:sz w:val="24"/>
          <w:szCs w:val="24"/>
        </w:rPr>
        <w:t xml:space="preserve"> ECHA</w:t>
      </w:r>
    </w:p>
    <w:p w14:paraId="259D8350" w14:textId="77777777" w:rsidR="000A7D9D" w:rsidRPr="00A00723" w:rsidRDefault="000A7D9D" w:rsidP="000A7D9D">
      <w:pPr>
        <w:pStyle w:val="BodyText"/>
        <w:rPr>
          <w:b/>
          <w:bCs/>
          <w:noProof/>
        </w:rPr>
      </w:pPr>
      <w:r w:rsidRPr="00A00723">
        <w:rPr>
          <w:b/>
          <w:bCs/>
          <w:noProof/>
        </w:rPr>
        <w:t xml:space="preserve">Legal basis for reattribution: </w:t>
      </w:r>
      <w:r w:rsidRPr="00A00723">
        <w:rPr>
          <w:noProof/>
        </w:rPr>
        <w:t>revision of the Cosmetic Products Regulation (1223/2009)</w:t>
      </w:r>
    </w:p>
    <w:p w14:paraId="26C3606B" w14:textId="77777777" w:rsidR="000A7D9D" w:rsidRPr="00A00723" w:rsidRDefault="000A7D9D" w:rsidP="000A7D9D">
      <w:pPr>
        <w:pStyle w:val="BodyText"/>
        <w:rPr>
          <w:b/>
          <w:bCs/>
          <w:noProof/>
        </w:rPr>
      </w:pPr>
      <w:r w:rsidRPr="00A00723">
        <w:rPr>
          <w:b/>
          <w:bCs/>
          <w:noProof/>
        </w:rPr>
        <w:t xml:space="preserve">Type of task: </w:t>
      </w:r>
      <w:r w:rsidRPr="00A00723">
        <w:rPr>
          <w:noProof/>
        </w:rPr>
        <w:t>existing</w:t>
      </w:r>
    </w:p>
    <w:p w14:paraId="30569FDF" w14:textId="77777777" w:rsidR="000A7D9D" w:rsidRPr="00A00723" w:rsidRDefault="000A7D9D" w:rsidP="000A7D9D">
      <w:pPr>
        <w:pStyle w:val="BodyText"/>
        <w:jc w:val="both"/>
        <w:rPr>
          <w:noProof/>
        </w:rPr>
      </w:pPr>
      <w:r w:rsidRPr="00A00723">
        <w:rPr>
          <w:b/>
          <w:bCs/>
          <w:noProof/>
        </w:rPr>
        <w:t xml:space="preserve">Brief task overview: </w:t>
      </w:r>
    </w:p>
    <w:p w14:paraId="063FEDEE" w14:textId="77777777" w:rsidR="000A7D9D" w:rsidRPr="00A00723" w:rsidRDefault="000A7D9D" w:rsidP="000A7D9D">
      <w:pPr>
        <w:pStyle w:val="BodyText"/>
        <w:widowControl w:val="0"/>
        <w:numPr>
          <w:ilvl w:val="0"/>
          <w:numId w:val="66"/>
        </w:numPr>
        <w:jc w:val="both"/>
        <w:rPr>
          <w:noProof/>
        </w:rPr>
      </w:pPr>
      <w:r w:rsidRPr="00A00723">
        <w:rPr>
          <w:noProof/>
        </w:rPr>
        <w:t xml:space="preserve">Safety assessment of chemicals used as ingredients in cosmetic products underlying the authorisation of colorants, preservatives and UV-filters </w:t>
      </w:r>
    </w:p>
    <w:p w14:paraId="5D97749D" w14:textId="77777777" w:rsidR="000A7D9D" w:rsidRPr="00A00723" w:rsidRDefault="000A7D9D" w:rsidP="000A7D9D">
      <w:pPr>
        <w:pStyle w:val="BodyText"/>
        <w:widowControl w:val="0"/>
        <w:numPr>
          <w:ilvl w:val="0"/>
          <w:numId w:val="66"/>
        </w:numPr>
        <w:jc w:val="both"/>
        <w:rPr>
          <w:noProof/>
        </w:rPr>
      </w:pPr>
      <w:r w:rsidRPr="00A00723">
        <w:rPr>
          <w:noProof/>
        </w:rPr>
        <w:t>Opinion to the Commission underlying the prohibition or restriction of substances where concerns are raised due to potential risk to human health</w:t>
      </w:r>
    </w:p>
    <w:p w14:paraId="16618ADF" w14:textId="77777777" w:rsidR="000A7D9D" w:rsidRPr="00A00723" w:rsidRDefault="000A7D9D" w:rsidP="000A7D9D">
      <w:pPr>
        <w:pStyle w:val="BodyText"/>
        <w:widowControl w:val="0"/>
        <w:numPr>
          <w:ilvl w:val="0"/>
          <w:numId w:val="66"/>
        </w:numPr>
        <w:jc w:val="both"/>
        <w:rPr>
          <w:noProof/>
        </w:rPr>
      </w:pPr>
      <w:r w:rsidRPr="00A00723">
        <w:rPr>
          <w:noProof/>
        </w:rPr>
        <w:t xml:space="preserve">Safety </w:t>
      </w:r>
      <w:r w:rsidRPr="00F31937">
        <w:rPr>
          <w:noProof/>
          <w:color w:val="000000" w:themeColor="text1"/>
        </w:rPr>
        <w:t>assessment</w:t>
      </w:r>
      <w:r w:rsidRPr="00A00723">
        <w:rPr>
          <w:noProof/>
        </w:rPr>
        <w:t xml:space="preserve"> of chemicals, classified as CMR, used as ingredients in cosmetic products, when an application for exemption was introduced,</w:t>
      </w:r>
    </w:p>
    <w:p w14:paraId="37194CB4" w14:textId="77777777" w:rsidR="000A7D9D" w:rsidRPr="00A00723" w:rsidRDefault="000A7D9D" w:rsidP="000A7D9D">
      <w:pPr>
        <w:pStyle w:val="BodyText"/>
        <w:widowControl w:val="0"/>
        <w:numPr>
          <w:ilvl w:val="0"/>
          <w:numId w:val="66"/>
        </w:numPr>
        <w:jc w:val="both"/>
        <w:rPr>
          <w:noProof/>
        </w:rPr>
      </w:pPr>
      <w:r w:rsidRPr="00A00723">
        <w:rPr>
          <w:noProof/>
        </w:rPr>
        <w:t xml:space="preserve">Opinion to the Commission on the safety of nanomaterials  </w:t>
      </w:r>
    </w:p>
    <w:p w14:paraId="60A05800" w14:textId="77777777" w:rsidR="000A7D9D" w:rsidRPr="00A00723" w:rsidRDefault="000A7D9D" w:rsidP="000A7D9D">
      <w:pPr>
        <w:pStyle w:val="BodyText"/>
        <w:widowControl w:val="0"/>
        <w:numPr>
          <w:ilvl w:val="0"/>
          <w:numId w:val="66"/>
        </w:numPr>
        <w:jc w:val="both"/>
        <w:rPr>
          <w:noProof/>
        </w:rPr>
      </w:pPr>
      <w:r w:rsidRPr="00A00723">
        <w:rPr>
          <w:noProof/>
        </w:rPr>
        <w:t xml:space="preserve">Preparation of Notes of </w:t>
      </w:r>
      <w:r>
        <w:rPr>
          <w:noProof/>
        </w:rPr>
        <w:t>G</w:t>
      </w:r>
      <w:r w:rsidRPr="00A00723">
        <w:rPr>
          <w:noProof/>
        </w:rPr>
        <w:t>uidance for the testing of cosmetic ingredients including</w:t>
      </w:r>
      <w:r w:rsidRPr="00297A6B">
        <w:rPr>
          <w:noProof/>
        </w:rPr>
        <w:t xml:space="preserve"> nanomaterials, </w:t>
      </w:r>
      <w:r w:rsidRPr="00A00723">
        <w:rPr>
          <w:noProof/>
        </w:rPr>
        <w:t xml:space="preserve"> non-animal testing methodology, and their safety evaluation</w:t>
      </w:r>
    </w:p>
    <w:p w14:paraId="025CE433" w14:textId="77777777" w:rsidR="000A7D9D" w:rsidRPr="00A00723" w:rsidRDefault="000A7D9D" w:rsidP="000A7D9D">
      <w:pPr>
        <w:pStyle w:val="BodyText"/>
        <w:rPr>
          <w:b/>
          <w:bCs/>
          <w:noProof/>
        </w:rPr>
      </w:pPr>
      <w:r w:rsidRPr="00A00723">
        <w:rPr>
          <w:b/>
          <w:bCs/>
          <w:noProof/>
        </w:rPr>
        <w:t>Detailed process description:</w:t>
      </w:r>
    </w:p>
    <w:p w14:paraId="40AB3718" w14:textId="77777777" w:rsidR="000A7D9D" w:rsidRPr="00A00723" w:rsidRDefault="000A7D9D" w:rsidP="000A7D9D">
      <w:pPr>
        <w:spacing w:before="120" w:after="120"/>
        <w:rPr>
          <w:rFonts w:ascii="Times New Roman" w:hAnsi="Times New Roman" w:cs="Times New Roman"/>
          <w:noProof/>
          <w:sz w:val="24"/>
          <w:szCs w:val="24"/>
          <w:u w:val="single"/>
        </w:rPr>
      </w:pPr>
      <w:r w:rsidRPr="00A00723">
        <w:rPr>
          <w:rFonts w:ascii="Times New Roman" w:hAnsi="Times New Roman" w:cs="Times New Roman"/>
          <w:noProof/>
          <w:sz w:val="24"/>
          <w:szCs w:val="24"/>
          <w:u w:val="single"/>
        </w:rPr>
        <w:t>Current process:</w:t>
      </w:r>
    </w:p>
    <w:p w14:paraId="036D60E7" w14:textId="77777777" w:rsidR="000A7D9D" w:rsidRPr="00F31937" w:rsidRDefault="000A7D9D" w:rsidP="000A7D9D">
      <w:pPr>
        <w:jc w:val="both"/>
        <w:rPr>
          <w:rFonts w:ascii="Times New Roman" w:eastAsiaTheme="minorEastAsia" w:hAnsi="Times New Roman" w:cs="Times New Roman"/>
          <w:noProof/>
          <w:color w:val="000000" w:themeColor="text1"/>
          <w:sz w:val="24"/>
          <w:szCs w:val="24"/>
        </w:rPr>
      </w:pPr>
      <w:r w:rsidRPr="00F31937">
        <w:rPr>
          <w:rFonts w:ascii="Times New Roman" w:eastAsiaTheme="minorEastAsia" w:hAnsi="Times New Roman" w:cs="Times New Roman"/>
          <w:noProof/>
          <w:color w:val="000000" w:themeColor="text1"/>
          <w:sz w:val="24"/>
          <w:szCs w:val="24"/>
        </w:rPr>
        <w:t>The Cosmetic Products Regulation requires that the responsible persons and, under certain circumstances, the distributors of cosmetic products notify electronically their products before placed on the European market through the Cosmetic Products Notification Portal (CPNP). The information to be submitted is specified in Article 13 as follows:</w:t>
      </w:r>
    </w:p>
    <w:p w14:paraId="162B257C" w14:textId="77777777" w:rsidR="000A7D9D" w:rsidRPr="00A00723" w:rsidRDefault="000A7D9D" w:rsidP="000A7D9D">
      <w:pPr>
        <w:pStyle w:val="ListParagraph"/>
        <w:widowControl w:val="0"/>
        <w:numPr>
          <w:ilvl w:val="0"/>
          <w:numId w:val="63"/>
        </w:numPr>
        <w:jc w:val="both"/>
        <w:rPr>
          <w:rFonts w:eastAsiaTheme="minorEastAsia"/>
          <w:noProof/>
        </w:rPr>
      </w:pPr>
      <w:r w:rsidRPr="00A00723">
        <w:rPr>
          <w:rFonts w:eastAsiaTheme="minorEastAsia"/>
          <w:noProof/>
        </w:rPr>
        <w:t xml:space="preserve">the category of cosmetic product and its name or names, enabling its specific identification; </w:t>
      </w:r>
    </w:p>
    <w:p w14:paraId="1049B5EE" w14:textId="77777777" w:rsidR="000A7D9D" w:rsidRPr="00A00723" w:rsidRDefault="000A7D9D" w:rsidP="000A7D9D">
      <w:pPr>
        <w:pStyle w:val="ListParagraph"/>
        <w:widowControl w:val="0"/>
        <w:numPr>
          <w:ilvl w:val="0"/>
          <w:numId w:val="63"/>
        </w:numPr>
        <w:jc w:val="both"/>
        <w:rPr>
          <w:rFonts w:eastAsiaTheme="minorEastAsia"/>
          <w:noProof/>
        </w:rPr>
      </w:pPr>
      <w:r w:rsidRPr="00A00723">
        <w:rPr>
          <w:rFonts w:eastAsiaTheme="minorEastAsia"/>
          <w:noProof/>
        </w:rPr>
        <w:t xml:space="preserve">the name and address of the responsible person where the product information file is made readily accessible; </w:t>
      </w:r>
    </w:p>
    <w:p w14:paraId="76D5218E" w14:textId="77777777" w:rsidR="000A7D9D" w:rsidRPr="00A00723" w:rsidRDefault="000A7D9D" w:rsidP="000A7D9D">
      <w:pPr>
        <w:pStyle w:val="ListParagraph"/>
        <w:widowControl w:val="0"/>
        <w:numPr>
          <w:ilvl w:val="0"/>
          <w:numId w:val="63"/>
        </w:numPr>
        <w:jc w:val="both"/>
        <w:rPr>
          <w:rFonts w:eastAsiaTheme="minorEastAsia"/>
          <w:noProof/>
        </w:rPr>
      </w:pPr>
      <w:r w:rsidRPr="00A00723">
        <w:rPr>
          <w:rFonts w:eastAsiaTheme="minorEastAsia"/>
          <w:noProof/>
        </w:rPr>
        <w:t xml:space="preserve">the country of origin in the case of import; </w:t>
      </w:r>
    </w:p>
    <w:p w14:paraId="69754A55" w14:textId="77777777" w:rsidR="000A7D9D" w:rsidRPr="00A00723" w:rsidRDefault="000A7D9D" w:rsidP="000A7D9D">
      <w:pPr>
        <w:pStyle w:val="ListParagraph"/>
        <w:widowControl w:val="0"/>
        <w:numPr>
          <w:ilvl w:val="0"/>
          <w:numId w:val="63"/>
        </w:numPr>
        <w:jc w:val="both"/>
        <w:rPr>
          <w:rFonts w:eastAsiaTheme="minorEastAsia"/>
          <w:noProof/>
        </w:rPr>
      </w:pPr>
      <w:r w:rsidRPr="00A00723">
        <w:rPr>
          <w:rFonts w:eastAsiaTheme="minorEastAsia"/>
          <w:noProof/>
        </w:rPr>
        <w:t xml:space="preserve">the Member State in which the cosmetic product is to be placed on the market; </w:t>
      </w:r>
    </w:p>
    <w:p w14:paraId="53B1818F" w14:textId="77777777" w:rsidR="000A7D9D" w:rsidRPr="00A00723" w:rsidRDefault="000A7D9D" w:rsidP="000A7D9D">
      <w:pPr>
        <w:pStyle w:val="ListParagraph"/>
        <w:widowControl w:val="0"/>
        <w:numPr>
          <w:ilvl w:val="0"/>
          <w:numId w:val="63"/>
        </w:numPr>
        <w:jc w:val="both"/>
        <w:rPr>
          <w:rFonts w:eastAsiaTheme="minorEastAsia"/>
          <w:noProof/>
        </w:rPr>
      </w:pPr>
      <w:r w:rsidRPr="00A00723">
        <w:rPr>
          <w:rFonts w:eastAsiaTheme="minorEastAsia"/>
          <w:noProof/>
        </w:rPr>
        <w:t>the contact details of a physical person to contact in the case of necessity</w:t>
      </w:r>
    </w:p>
    <w:p w14:paraId="5BC42D41" w14:textId="77777777" w:rsidR="000A7D9D" w:rsidRPr="00A00723" w:rsidRDefault="000A7D9D" w:rsidP="000A7D9D">
      <w:pPr>
        <w:pStyle w:val="ListParagraph"/>
        <w:widowControl w:val="0"/>
        <w:numPr>
          <w:ilvl w:val="0"/>
          <w:numId w:val="63"/>
        </w:numPr>
        <w:jc w:val="both"/>
        <w:rPr>
          <w:rFonts w:eastAsiaTheme="minorEastAsia"/>
          <w:noProof/>
        </w:rPr>
      </w:pPr>
      <w:r w:rsidRPr="00A00723">
        <w:rPr>
          <w:rFonts w:eastAsiaTheme="minorEastAsia"/>
          <w:noProof/>
        </w:rPr>
        <w:t xml:space="preserve">the presence of substances in the form of nanomaterials, and their identification including the chemical name (IUPAC) and other descriptors and the reasonably foreseeable exposure conditions; </w:t>
      </w:r>
    </w:p>
    <w:p w14:paraId="1008FC72" w14:textId="77777777" w:rsidR="000A7D9D" w:rsidRPr="00A00723" w:rsidRDefault="000A7D9D" w:rsidP="000A7D9D">
      <w:pPr>
        <w:pStyle w:val="ListParagraph"/>
        <w:widowControl w:val="0"/>
        <w:numPr>
          <w:ilvl w:val="0"/>
          <w:numId w:val="63"/>
        </w:numPr>
        <w:jc w:val="both"/>
        <w:rPr>
          <w:rFonts w:eastAsiaTheme="minorEastAsia"/>
          <w:noProof/>
        </w:rPr>
      </w:pPr>
      <w:r w:rsidRPr="00A00723">
        <w:rPr>
          <w:rFonts w:eastAsiaTheme="minorEastAsia"/>
          <w:noProof/>
        </w:rPr>
        <w:t xml:space="preserve">the name and the Chemicals Abstracts Service (CAS) or EC number of substances classified as carcinogenic, mutagenic or toxic for reproduction (CMR), of category 1A or 1B, under Part 3 of Annex VI to Regulation (EC) No 1272/2008; </w:t>
      </w:r>
    </w:p>
    <w:p w14:paraId="43C94F1F" w14:textId="77777777" w:rsidR="000A7D9D" w:rsidRPr="00A00723" w:rsidRDefault="000A7D9D" w:rsidP="000A7D9D">
      <w:pPr>
        <w:pStyle w:val="ListParagraph"/>
        <w:widowControl w:val="0"/>
        <w:numPr>
          <w:ilvl w:val="0"/>
          <w:numId w:val="63"/>
        </w:numPr>
        <w:spacing w:after="120"/>
        <w:jc w:val="both"/>
        <w:rPr>
          <w:rFonts w:eastAsiaTheme="minorEastAsia"/>
          <w:noProof/>
        </w:rPr>
      </w:pPr>
      <w:r w:rsidRPr="00A00723">
        <w:rPr>
          <w:rFonts w:eastAsiaTheme="minorEastAsia"/>
          <w:noProof/>
        </w:rPr>
        <w:t>the frame formulation allowing for prompt and appropriate medical treatment in the event of difficulties.</w:t>
      </w:r>
    </w:p>
    <w:p w14:paraId="1D65E471" w14:textId="77777777" w:rsidR="000A7D9D" w:rsidRPr="00F31937" w:rsidRDefault="000A7D9D" w:rsidP="000A7D9D">
      <w:pPr>
        <w:spacing w:after="120"/>
        <w:jc w:val="both"/>
        <w:rPr>
          <w:rFonts w:ascii="Times New Roman" w:eastAsiaTheme="minorEastAsia" w:hAnsi="Times New Roman" w:cs="Times New Roman"/>
          <w:noProof/>
          <w:color w:val="000000" w:themeColor="text1"/>
          <w:sz w:val="24"/>
          <w:szCs w:val="24"/>
        </w:rPr>
      </w:pPr>
      <w:r w:rsidRPr="00F31937">
        <w:rPr>
          <w:rFonts w:ascii="Times New Roman" w:eastAsiaTheme="minorEastAsia" w:hAnsi="Times New Roman" w:cs="Times New Roman"/>
          <w:noProof/>
          <w:color w:val="000000" w:themeColor="text1"/>
          <w:sz w:val="24"/>
          <w:szCs w:val="24"/>
        </w:rPr>
        <w:t>The CPNP is accessible to competent authorities, European poison centres, cosmetic products responsible persons and distributors of cosmetic products.</w:t>
      </w:r>
    </w:p>
    <w:p w14:paraId="68F9916C" w14:textId="77777777" w:rsidR="000A7D9D" w:rsidRPr="00A00723" w:rsidRDefault="000A7D9D" w:rsidP="000A7D9D">
      <w:pPr>
        <w:spacing w:after="120"/>
        <w:jc w:val="both"/>
        <w:rPr>
          <w:rFonts w:ascii="Times New Roman" w:eastAsia="Verdana" w:hAnsi="Times New Roman" w:cs="Times New Roman"/>
          <w:noProof/>
          <w:sz w:val="24"/>
          <w:szCs w:val="24"/>
        </w:rPr>
      </w:pPr>
      <w:r w:rsidRPr="00A00723">
        <w:rPr>
          <w:rFonts w:ascii="Times New Roman" w:eastAsiaTheme="minorEastAsia" w:hAnsi="Times New Roman" w:cs="Times New Roman"/>
          <w:noProof/>
          <w:sz w:val="24"/>
          <w:szCs w:val="24"/>
        </w:rPr>
        <w:t>The Cosmetic Products Regulation requires that a</w:t>
      </w:r>
      <w:r w:rsidRPr="00A00723">
        <w:rPr>
          <w:rFonts w:ascii="Times New Roman" w:eastAsia="Verdana" w:hAnsi="Times New Roman" w:cs="Times New Roman"/>
          <w:noProof/>
          <w:sz w:val="24"/>
          <w:szCs w:val="24"/>
        </w:rPr>
        <w:t xml:space="preserve"> cosmetic product made available on the market shall be safe for human health when used under normal or reasonably foreseeable conditions of use. In order to demonstrate that, the responsible person shall, prior to placing a cosmetic product on the market, ensure that the cosmetic product has undergone a safety assessment on the basis of the relevant information and that a cosmetic product safety report is set up in accordance with Annex I. The Commission shall adopt appropriate guidelines to facilitate, in particular SMEs, to produce the cosmetic product safety report. </w:t>
      </w:r>
    </w:p>
    <w:p w14:paraId="494CDC49" w14:textId="77777777" w:rsidR="000A7D9D" w:rsidRPr="00A00723" w:rsidRDefault="000A7D9D" w:rsidP="000A7D9D">
      <w:pPr>
        <w:spacing w:after="120"/>
        <w:jc w:val="both"/>
        <w:rPr>
          <w:rFonts w:ascii="Times New Roman" w:eastAsia="Calibri" w:hAnsi="Times New Roman" w:cs="Times New Roman"/>
          <w:noProof/>
          <w:sz w:val="24"/>
          <w:szCs w:val="24"/>
        </w:rPr>
      </w:pPr>
      <w:r w:rsidRPr="00A00723">
        <w:rPr>
          <w:rFonts w:ascii="Times New Roman" w:eastAsia="Calibri" w:hAnsi="Times New Roman" w:cs="Times New Roman"/>
          <w:noProof/>
          <w:sz w:val="24"/>
          <w:szCs w:val="24"/>
        </w:rPr>
        <w:t>Taking into consideration the impact of the chemical ingredients on human health, the Cosmetic Products Regulation lays down limitations and requirements for the use of substances in cosmetic products. The rules are listed in Articles 14-17 and the following annexes:</w:t>
      </w:r>
    </w:p>
    <w:p w14:paraId="24ABC69F" w14:textId="77777777" w:rsidR="000A7D9D" w:rsidRPr="00A00723" w:rsidRDefault="000A7D9D" w:rsidP="000A7D9D">
      <w:pPr>
        <w:widowControl w:val="0"/>
        <w:numPr>
          <w:ilvl w:val="0"/>
          <w:numId w:val="107"/>
        </w:numPr>
        <w:spacing w:after="0" w:line="240" w:lineRule="auto"/>
        <w:jc w:val="both"/>
        <w:rPr>
          <w:rFonts w:ascii="Times New Roman" w:hAnsi="Times New Roman" w:cs="Times New Roman"/>
          <w:noProof/>
          <w:sz w:val="24"/>
          <w:szCs w:val="24"/>
          <w:lang w:eastAsia="en-GB"/>
        </w:rPr>
      </w:pPr>
      <w:r w:rsidRPr="00A00723">
        <w:rPr>
          <w:rFonts w:ascii="Times New Roman" w:hAnsi="Times New Roman" w:cs="Times New Roman"/>
          <w:noProof/>
          <w:sz w:val="24"/>
          <w:szCs w:val="24"/>
          <w:lang w:eastAsia="en-GB"/>
        </w:rPr>
        <w:t xml:space="preserve">Annex II </w:t>
      </w:r>
      <w:r w:rsidRPr="00A00723">
        <w:rPr>
          <w:rFonts w:ascii="Times New Roman" w:hAnsi="Times New Roman" w:cs="Times New Roman"/>
          <w:i/>
          <w:iCs/>
          <w:noProof/>
          <w:sz w:val="24"/>
          <w:szCs w:val="24"/>
          <w:lang w:eastAsia="en-GB"/>
        </w:rPr>
        <w:t xml:space="preserve">- </w:t>
      </w:r>
      <w:r w:rsidRPr="00A00723">
        <w:rPr>
          <w:rFonts w:ascii="Times New Roman" w:hAnsi="Times New Roman" w:cs="Times New Roman"/>
          <w:noProof/>
          <w:sz w:val="24"/>
          <w:szCs w:val="24"/>
          <w:lang w:eastAsia="en-GB"/>
        </w:rPr>
        <w:t>List of substances prohibited in cosmetic products</w:t>
      </w:r>
    </w:p>
    <w:p w14:paraId="6CEF7D07" w14:textId="77777777" w:rsidR="000A7D9D" w:rsidRPr="00A00723" w:rsidRDefault="000A7D9D" w:rsidP="000A7D9D">
      <w:pPr>
        <w:widowControl w:val="0"/>
        <w:numPr>
          <w:ilvl w:val="0"/>
          <w:numId w:val="107"/>
        </w:numPr>
        <w:spacing w:after="0" w:line="240" w:lineRule="auto"/>
        <w:jc w:val="both"/>
        <w:rPr>
          <w:rFonts w:ascii="Times New Roman" w:hAnsi="Times New Roman" w:cs="Times New Roman"/>
          <w:noProof/>
          <w:sz w:val="24"/>
          <w:szCs w:val="24"/>
          <w:lang w:eastAsia="en-GB"/>
        </w:rPr>
      </w:pPr>
      <w:r w:rsidRPr="00A00723">
        <w:rPr>
          <w:rFonts w:ascii="Times New Roman" w:hAnsi="Times New Roman" w:cs="Times New Roman"/>
          <w:noProof/>
          <w:sz w:val="24"/>
          <w:szCs w:val="24"/>
          <w:lang w:eastAsia="en-GB"/>
        </w:rPr>
        <w:t>Annex III</w:t>
      </w:r>
      <w:r w:rsidRPr="00A00723">
        <w:rPr>
          <w:rFonts w:ascii="Times New Roman" w:hAnsi="Times New Roman" w:cs="Times New Roman"/>
          <w:i/>
          <w:iCs/>
          <w:noProof/>
          <w:sz w:val="24"/>
          <w:szCs w:val="24"/>
          <w:lang w:eastAsia="en-GB"/>
        </w:rPr>
        <w:t xml:space="preserve"> - </w:t>
      </w:r>
      <w:r w:rsidRPr="00A00723">
        <w:rPr>
          <w:rFonts w:ascii="Times New Roman" w:hAnsi="Times New Roman" w:cs="Times New Roman"/>
          <w:noProof/>
          <w:sz w:val="24"/>
          <w:szCs w:val="24"/>
          <w:lang w:eastAsia="en-GB"/>
        </w:rPr>
        <w:t xml:space="preserve">List of substances restricted in cosmetic products </w:t>
      </w:r>
    </w:p>
    <w:p w14:paraId="3A9C6962" w14:textId="77777777" w:rsidR="000A7D9D" w:rsidRPr="00A00723" w:rsidRDefault="000A7D9D" w:rsidP="000A7D9D">
      <w:pPr>
        <w:widowControl w:val="0"/>
        <w:numPr>
          <w:ilvl w:val="0"/>
          <w:numId w:val="107"/>
        </w:numPr>
        <w:spacing w:after="0" w:line="240" w:lineRule="auto"/>
        <w:jc w:val="both"/>
        <w:rPr>
          <w:rFonts w:ascii="Times New Roman" w:hAnsi="Times New Roman" w:cs="Times New Roman"/>
          <w:noProof/>
          <w:sz w:val="24"/>
          <w:szCs w:val="24"/>
          <w:lang w:eastAsia="en-GB"/>
        </w:rPr>
      </w:pPr>
      <w:r w:rsidRPr="00A00723">
        <w:rPr>
          <w:rFonts w:ascii="Times New Roman" w:hAnsi="Times New Roman" w:cs="Times New Roman"/>
          <w:noProof/>
          <w:sz w:val="24"/>
          <w:szCs w:val="24"/>
          <w:lang w:eastAsia="en-GB"/>
        </w:rPr>
        <w:t>Annex IV - List of colourants allowed in cosmetic products</w:t>
      </w:r>
    </w:p>
    <w:p w14:paraId="1D83A78D" w14:textId="77777777" w:rsidR="000A7D9D" w:rsidRPr="00A00723" w:rsidRDefault="000A7D9D" w:rsidP="000A7D9D">
      <w:pPr>
        <w:widowControl w:val="0"/>
        <w:numPr>
          <w:ilvl w:val="0"/>
          <w:numId w:val="107"/>
        </w:numPr>
        <w:spacing w:after="0" w:line="240" w:lineRule="auto"/>
        <w:jc w:val="both"/>
        <w:rPr>
          <w:rFonts w:ascii="Times New Roman" w:hAnsi="Times New Roman" w:cs="Times New Roman"/>
          <w:noProof/>
          <w:sz w:val="24"/>
          <w:szCs w:val="24"/>
          <w:lang w:eastAsia="en-GB"/>
        </w:rPr>
      </w:pPr>
      <w:r w:rsidRPr="00A00723">
        <w:rPr>
          <w:rFonts w:ascii="Times New Roman" w:hAnsi="Times New Roman" w:cs="Times New Roman"/>
          <w:noProof/>
          <w:sz w:val="24"/>
          <w:szCs w:val="24"/>
          <w:lang w:eastAsia="en-GB"/>
        </w:rPr>
        <w:t>Annex V - List of preservatives allowed in cosmetic products</w:t>
      </w:r>
    </w:p>
    <w:p w14:paraId="5EBF829E" w14:textId="77777777" w:rsidR="000A7D9D" w:rsidRPr="00A00723" w:rsidRDefault="000A7D9D" w:rsidP="000A7D9D">
      <w:pPr>
        <w:widowControl w:val="0"/>
        <w:numPr>
          <w:ilvl w:val="0"/>
          <w:numId w:val="107"/>
        </w:numPr>
        <w:spacing w:after="120" w:line="240" w:lineRule="auto"/>
        <w:jc w:val="both"/>
        <w:rPr>
          <w:rFonts w:ascii="Times New Roman" w:hAnsi="Times New Roman" w:cs="Times New Roman"/>
          <w:noProof/>
          <w:sz w:val="24"/>
          <w:szCs w:val="24"/>
          <w:lang w:eastAsia="en-GB"/>
        </w:rPr>
      </w:pPr>
      <w:r w:rsidRPr="00A00723">
        <w:rPr>
          <w:rFonts w:ascii="Times New Roman" w:hAnsi="Times New Roman" w:cs="Times New Roman"/>
          <w:noProof/>
          <w:sz w:val="24"/>
          <w:szCs w:val="24"/>
          <w:lang w:eastAsia="en-GB"/>
        </w:rPr>
        <w:t>Annex VI - List of UV filters allowed in cosmetic products</w:t>
      </w:r>
    </w:p>
    <w:p w14:paraId="7402E2A7" w14:textId="77777777" w:rsidR="000A7D9D" w:rsidRPr="00A00723" w:rsidRDefault="000A7D9D" w:rsidP="000A7D9D">
      <w:pPr>
        <w:spacing w:after="120"/>
        <w:jc w:val="both"/>
        <w:rPr>
          <w:rFonts w:ascii="Times New Roman" w:hAnsi="Times New Roman" w:cs="Times New Roman"/>
          <w:noProof/>
          <w:sz w:val="24"/>
          <w:szCs w:val="24"/>
        </w:rPr>
      </w:pPr>
      <w:r w:rsidRPr="00A00723">
        <w:rPr>
          <w:rFonts w:ascii="Times New Roman" w:hAnsi="Times New Roman" w:cs="Times New Roman"/>
          <w:noProof/>
          <w:sz w:val="24"/>
          <w:szCs w:val="24"/>
        </w:rPr>
        <w:t xml:space="preserve">Certain groups of substances, i.e. colorants, preservatives and UV-filters must be authorised by the Commission, i.e. placed on the respective annex (IV, V or VI), prior to their use in cosmetic products. Certain subtances are prohibited (Annex II) and cannot be used in cosmetic products and certain substances are restricted (Annex III) and they can be used only when fulfilling the conditions of the restriction. </w:t>
      </w:r>
    </w:p>
    <w:p w14:paraId="2DBE1927" w14:textId="77777777" w:rsidR="000A7D9D" w:rsidRPr="00A00723" w:rsidRDefault="000A7D9D" w:rsidP="000A7D9D">
      <w:pPr>
        <w:spacing w:after="120"/>
        <w:jc w:val="both"/>
        <w:rPr>
          <w:rFonts w:ascii="Times New Roman" w:eastAsia="Calibri" w:hAnsi="Times New Roman" w:cs="Times New Roman"/>
          <w:noProof/>
          <w:sz w:val="24"/>
          <w:szCs w:val="24"/>
        </w:rPr>
      </w:pPr>
      <w:r w:rsidRPr="00A00723">
        <w:rPr>
          <w:rFonts w:ascii="Times New Roman" w:eastAsia="Calibri" w:hAnsi="Times New Roman" w:cs="Times New Roman"/>
          <w:noProof/>
          <w:sz w:val="24"/>
          <w:szCs w:val="24"/>
        </w:rPr>
        <w:t>The safety assessment of the cosmetic ingredients (</w:t>
      </w:r>
      <w:r w:rsidRPr="00A00723">
        <w:rPr>
          <w:rFonts w:ascii="Times New Roman" w:eastAsia="Calibri" w:hAnsi="Times New Roman" w:cs="Times New Roman"/>
          <w:noProof/>
          <w:sz w:val="24"/>
          <w:szCs w:val="24"/>
          <w:u w:val="single"/>
        </w:rPr>
        <w:t>substances</w:t>
      </w:r>
      <w:r w:rsidRPr="00A00723">
        <w:rPr>
          <w:rFonts w:ascii="Times New Roman" w:eastAsia="Calibri" w:hAnsi="Times New Roman" w:cs="Times New Roman"/>
          <w:noProof/>
          <w:sz w:val="24"/>
          <w:szCs w:val="24"/>
        </w:rPr>
        <w:t xml:space="preserve">) in the EU is performed by the Scientific Committee on Consumer Safety (SCCS). It is based on safety dossiers submitted by applicants (individual company/associations or by competent authorities) or by the Commission. Based on its opinions, Commission may decide to amend the relevant </w:t>
      </w:r>
      <w:r>
        <w:rPr>
          <w:rFonts w:ascii="Times New Roman" w:eastAsia="Calibri" w:hAnsi="Times New Roman" w:cs="Times New Roman"/>
          <w:noProof/>
          <w:sz w:val="24"/>
          <w:szCs w:val="24"/>
        </w:rPr>
        <w:t>A</w:t>
      </w:r>
      <w:r w:rsidRPr="00A00723">
        <w:rPr>
          <w:rFonts w:ascii="Times New Roman" w:eastAsia="Calibri" w:hAnsi="Times New Roman" w:cs="Times New Roman"/>
          <w:noProof/>
          <w:sz w:val="24"/>
          <w:szCs w:val="24"/>
        </w:rPr>
        <w:t>nnex</w:t>
      </w:r>
      <w:r>
        <w:rPr>
          <w:rFonts w:ascii="Times New Roman" w:eastAsia="Calibri" w:hAnsi="Times New Roman" w:cs="Times New Roman"/>
          <w:noProof/>
          <w:sz w:val="24"/>
          <w:szCs w:val="24"/>
        </w:rPr>
        <w:t>es</w:t>
      </w:r>
      <w:r w:rsidRPr="00A00723">
        <w:rPr>
          <w:rFonts w:ascii="Times New Roman" w:eastAsia="Calibri" w:hAnsi="Times New Roman" w:cs="Times New Roman"/>
          <w:noProof/>
          <w:sz w:val="24"/>
          <w:szCs w:val="24"/>
        </w:rPr>
        <w:t>. T</w:t>
      </w:r>
      <w:r w:rsidRPr="00A00723">
        <w:rPr>
          <w:rFonts w:ascii="Times New Roman" w:hAnsi="Times New Roman" w:cs="Times New Roman"/>
          <w:noProof/>
          <w:sz w:val="24"/>
          <w:szCs w:val="24"/>
        </w:rPr>
        <w:t xml:space="preserve">he safety of cosmetic </w:t>
      </w:r>
      <w:r w:rsidRPr="00A00723">
        <w:rPr>
          <w:rFonts w:ascii="Times New Roman" w:hAnsi="Times New Roman" w:cs="Times New Roman"/>
          <w:noProof/>
          <w:sz w:val="24"/>
          <w:szCs w:val="24"/>
          <w:u w:val="single"/>
        </w:rPr>
        <w:t>products</w:t>
      </w:r>
      <w:r w:rsidRPr="00A00723">
        <w:rPr>
          <w:rFonts w:ascii="Times New Roman" w:hAnsi="Times New Roman" w:cs="Times New Roman"/>
          <w:noProof/>
          <w:sz w:val="24"/>
          <w:szCs w:val="24"/>
        </w:rPr>
        <w:t xml:space="preserve"> with all their ingredients is evaluated by “a person in possession of a diploma or other evidence of formal qualifications awarded on completion of a university course of theoretical and practical study in pharmacy, toxicology, medicine or a similar discipline” (Article 10(2) of the Cosmetic Products Regulation)  before placing them on the EU market.</w:t>
      </w:r>
    </w:p>
    <w:p w14:paraId="70D7CA00" w14:textId="2E4CC8D5" w:rsidR="000A7D9D" w:rsidRPr="00A00723" w:rsidRDefault="000A7D9D" w:rsidP="000A7D9D">
      <w:pPr>
        <w:spacing w:after="120"/>
        <w:jc w:val="both"/>
        <w:rPr>
          <w:rFonts w:ascii="Times New Roman" w:hAnsi="Times New Roman" w:cs="Times New Roman"/>
          <w:noProof/>
          <w:sz w:val="24"/>
          <w:szCs w:val="24"/>
        </w:rPr>
      </w:pPr>
      <w:r w:rsidRPr="00A00723">
        <w:rPr>
          <w:rFonts w:ascii="Times New Roman" w:hAnsi="Times New Roman" w:cs="Times New Roman"/>
          <w:noProof/>
          <w:sz w:val="24"/>
          <w:szCs w:val="24"/>
        </w:rPr>
        <w:t>Task 1: Process for the authorisation of colorants, preservatives and UV-filters</w:t>
      </w:r>
      <w:r>
        <w:rPr>
          <w:rFonts w:ascii="Times New Roman" w:hAnsi="Times New Roman" w:cs="Times New Roman"/>
          <w:noProof/>
          <w:sz w:val="24"/>
          <w:szCs w:val="24"/>
        </w:rPr>
        <w:t xml:space="preserve"> </w:t>
      </w:r>
      <w:r w:rsidRPr="0059787A">
        <w:rPr>
          <w:rFonts w:ascii="Times New Roman" w:hAnsi="Times New Roman" w:cs="Times New Roman"/>
          <w:noProof/>
          <w:sz w:val="24"/>
          <w:szCs w:val="24"/>
        </w:rPr>
        <w:t>(including in nano forms)</w:t>
      </w:r>
      <w:r>
        <w:rPr>
          <w:rFonts w:ascii="Times New Roman" w:hAnsi="Times New Roman" w:cs="Times New Roman"/>
          <w:noProof/>
          <w:sz w:val="24"/>
          <w:szCs w:val="24"/>
        </w:rPr>
        <w:t xml:space="preserve"> </w:t>
      </w:r>
      <w:r w:rsidRPr="00A00723">
        <w:rPr>
          <w:rFonts w:ascii="Times New Roman" w:hAnsi="Times New Roman" w:cs="Times New Roman"/>
          <w:noProof/>
          <w:sz w:val="24"/>
          <w:szCs w:val="24"/>
        </w:rPr>
        <w:t>is as follows:</w:t>
      </w:r>
    </w:p>
    <w:p w14:paraId="216D643A" w14:textId="77777777" w:rsidR="000A7D9D" w:rsidRPr="00A00723" w:rsidRDefault="000A7D9D" w:rsidP="000A7D9D">
      <w:pPr>
        <w:pStyle w:val="ListParagraph"/>
        <w:widowControl w:val="0"/>
        <w:numPr>
          <w:ilvl w:val="0"/>
          <w:numId w:val="65"/>
        </w:numPr>
        <w:rPr>
          <w:rFonts w:eastAsia="Verdana"/>
          <w:noProof/>
          <w:color w:val="000000" w:themeColor="text1"/>
        </w:rPr>
      </w:pPr>
      <w:r w:rsidRPr="00A00723">
        <w:rPr>
          <w:rFonts w:eastAsia="Verdana"/>
          <w:noProof/>
          <w:color w:val="000000" w:themeColor="text1"/>
        </w:rPr>
        <w:t xml:space="preserve">The amendment of the annexes IV, V or VI of the Cosmetic Products Regulation and associated technical and scientific work is initiated by the submission of a safety dossier by </w:t>
      </w:r>
      <w:r w:rsidRPr="007C1A7C">
        <w:rPr>
          <w:rFonts w:eastAsia="Verdana"/>
          <w:noProof/>
          <w:color w:val="000000" w:themeColor="text1"/>
        </w:rPr>
        <w:t xml:space="preserve">economic operators (applicant) </w:t>
      </w:r>
      <w:r w:rsidRPr="00A00723">
        <w:rPr>
          <w:rFonts w:eastAsia="Verdana"/>
          <w:noProof/>
          <w:color w:val="000000" w:themeColor="text1"/>
        </w:rPr>
        <w:t xml:space="preserve"> to the Commission.</w:t>
      </w:r>
    </w:p>
    <w:p w14:paraId="7CAAD338" w14:textId="77777777" w:rsidR="000A7D9D" w:rsidRPr="00A00723" w:rsidRDefault="000A7D9D" w:rsidP="000A7D9D">
      <w:pPr>
        <w:pStyle w:val="ListParagraph"/>
        <w:widowControl w:val="0"/>
        <w:numPr>
          <w:ilvl w:val="0"/>
          <w:numId w:val="65"/>
        </w:numPr>
        <w:rPr>
          <w:rFonts w:eastAsia="Verdana"/>
          <w:noProof/>
          <w:color w:val="000000" w:themeColor="text1"/>
        </w:rPr>
      </w:pPr>
      <w:r w:rsidRPr="00A00723">
        <w:rPr>
          <w:rFonts w:eastAsia="Verdana"/>
          <w:noProof/>
          <w:color w:val="000000" w:themeColor="text1"/>
        </w:rPr>
        <w:t>Commission evaluates the completeness of the dossier and prepares a mandate to the SCCS.</w:t>
      </w:r>
    </w:p>
    <w:p w14:paraId="4075F67E" w14:textId="77777777" w:rsidR="000A7D9D" w:rsidRPr="00A00723" w:rsidRDefault="000A7D9D" w:rsidP="000A7D9D">
      <w:pPr>
        <w:pStyle w:val="ListParagraph"/>
        <w:widowControl w:val="0"/>
        <w:numPr>
          <w:ilvl w:val="0"/>
          <w:numId w:val="65"/>
        </w:numPr>
        <w:rPr>
          <w:rFonts w:eastAsia="Verdana"/>
          <w:noProof/>
          <w:color w:val="000000" w:themeColor="text1"/>
        </w:rPr>
      </w:pPr>
      <w:r w:rsidRPr="00A00723">
        <w:rPr>
          <w:rFonts w:eastAsia="Verdana"/>
          <w:noProof/>
          <w:color w:val="000000" w:themeColor="text1"/>
        </w:rPr>
        <w:t xml:space="preserve">SCCS performs a risk assessment (9-12 months). The preliminary Opinion is published and open for comments (4-8 weeks) before being finalised. A final opinion is published on the SCCS’ website. </w:t>
      </w:r>
    </w:p>
    <w:p w14:paraId="087E1006" w14:textId="77777777" w:rsidR="000A7D9D" w:rsidRPr="00A00723" w:rsidRDefault="000A7D9D" w:rsidP="000A7D9D">
      <w:pPr>
        <w:pStyle w:val="ListParagraph"/>
        <w:widowControl w:val="0"/>
        <w:numPr>
          <w:ilvl w:val="0"/>
          <w:numId w:val="65"/>
        </w:numPr>
        <w:rPr>
          <w:rFonts w:eastAsia="Verdana"/>
          <w:noProof/>
          <w:color w:val="000000" w:themeColor="text1"/>
        </w:rPr>
      </w:pPr>
      <w:r w:rsidRPr="00A00723">
        <w:rPr>
          <w:rFonts w:eastAsia="Verdana"/>
          <w:noProof/>
          <w:color w:val="000000" w:themeColor="text1"/>
        </w:rPr>
        <w:t>Commission prepares a Working Document based on the final SCCS Opinion and shares it for discussion with the members of the Working Group on Cosmetic Products (participants: MS, Industry, SMEs and civil society organisations).</w:t>
      </w:r>
    </w:p>
    <w:p w14:paraId="67397E42" w14:textId="77777777" w:rsidR="000A7D9D" w:rsidRPr="00A00723" w:rsidRDefault="000A7D9D" w:rsidP="000A7D9D">
      <w:pPr>
        <w:pStyle w:val="ListParagraph"/>
        <w:widowControl w:val="0"/>
        <w:numPr>
          <w:ilvl w:val="0"/>
          <w:numId w:val="65"/>
        </w:numPr>
        <w:rPr>
          <w:rFonts w:eastAsia="Verdana"/>
          <w:noProof/>
          <w:color w:val="000000" w:themeColor="text1"/>
        </w:rPr>
      </w:pPr>
      <w:r w:rsidRPr="00A00723">
        <w:rPr>
          <w:rFonts w:eastAsia="Verdana"/>
          <w:noProof/>
          <w:color w:val="000000" w:themeColor="text1"/>
        </w:rPr>
        <w:t xml:space="preserve">Commission prepares a Draft Regulation. </w:t>
      </w:r>
    </w:p>
    <w:p w14:paraId="23ADA024" w14:textId="77777777" w:rsidR="000A7D9D" w:rsidRPr="00892F41" w:rsidRDefault="000A7D9D" w:rsidP="000A7D9D">
      <w:pPr>
        <w:pStyle w:val="ListParagraph"/>
        <w:numPr>
          <w:ilvl w:val="0"/>
          <w:numId w:val="65"/>
        </w:numPr>
        <w:rPr>
          <w:rFonts w:eastAsia="Verdana"/>
          <w:noProof/>
          <w:color w:val="000000" w:themeColor="text1"/>
        </w:rPr>
      </w:pPr>
      <w:r w:rsidRPr="00377C9B">
        <w:rPr>
          <w:rFonts w:eastAsia="Verdana"/>
          <w:noProof/>
          <w:color w:val="000000" w:themeColor="text1"/>
        </w:rPr>
        <w:t>Draft Commission Regulation is discussed with the Standing Committee on Cosmetic Products, which comprises of MS authorities and the Commission</w:t>
      </w:r>
      <w:r w:rsidRPr="00892F41">
        <w:rPr>
          <w:rFonts w:eastAsia="Verdana"/>
          <w:noProof/>
          <w:color w:val="000000" w:themeColor="text1"/>
        </w:rPr>
        <w:t>.</w:t>
      </w:r>
    </w:p>
    <w:p w14:paraId="56E549B6" w14:textId="77777777" w:rsidR="000A7D9D" w:rsidRPr="00A00723" w:rsidRDefault="000A7D9D" w:rsidP="000A7D9D">
      <w:pPr>
        <w:pStyle w:val="ListParagraph"/>
        <w:widowControl w:val="0"/>
        <w:numPr>
          <w:ilvl w:val="0"/>
          <w:numId w:val="65"/>
        </w:numPr>
        <w:rPr>
          <w:rFonts w:eastAsia="Verdana"/>
          <w:noProof/>
          <w:color w:val="000000" w:themeColor="text1"/>
        </w:rPr>
      </w:pPr>
      <w:r w:rsidRPr="00A00723">
        <w:rPr>
          <w:rFonts w:eastAsia="Verdana"/>
          <w:noProof/>
          <w:color w:val="000000" w:themeColor="text1"/>
        </w:rPr>
        <w:t>TBT notification is launched with a commenting period of 2 months.</w:t>
      </w:r>
    </w:p>
    <w:p w14:paraId="3549B3A5" w14:textId="77777777" w:rsidR="000A7D9D" w:rsidRPr="00A00723" w:rsidRDefault="000A7D9D" w:rsidP="000A7D9D">
      <w:pPr>
        <w:pStyle w:val="ListParagraph"/>
        <w:widowControl w:val="0"/>
        <w:numPr>
          <w:ilvl w:val="0"/>
          <w:numId w:val="65"/>
        </w:numPr>
        <w:rPr>
          <w:rFonts w:eastAsia="Verdana"/>
          <w:noProof/>
          <w:color w:val="000000" w:themeColor="text1"/>
        </w:rPr>
      </w:pPr>
      <w:r w:rsidRPr="00A00723">
        <w:rPr>
          <w:rFonts w:eastAsia="Verdana"/>
          <w:noProof/>
          <w:color w:val="000000" w:themeColor="text1"/>
        </w:rPr>
        <w:t>MS vote in the Standing Committee on Cosmetic Products (comitology) on the draft Commission Implementing Regulation.</w:t>
      </w:r>
    </w:p>
    <w:p w14:paraId="677D8353" w14:textId="77777777" w:rsidR="000A7D9D" w:rsidRDefault="000A7D9D" w:rsidP="000A7D9D">
      <w:pPr>
        <w:pStyle w:val="ListParagraph"/>
        <w:widowControl w:val="0"/>
        <w:numPr>
          <w:ilvl w:val="0"/>
          <w:numId w:val="65"/>
        </w:numPr>
        <w:spacing w:after="120"/>
        <w:rPr>
          <w:rFonts w:eastAsia="Verdana"/>
          <w:noProof/>
          <w:color w:val="000000" w:themeColor="text1"/>
        </w:rPr>
      </w:pPr>
      <w:r w:rsidRPr="00A00723">
        <w:rPr>
          <w:rFonts w:eastAsia="Verdana"/>
          <w:noProof/>
          <w:color w:val="000000" w:themeColor="text1"/>
        </w:rPr>
        <w:t xml:space="preserve">Scrutiny period by the Council and </w:t>
      </w:r>
      <w:r>
        <w:rPr>
          <w:rFonts w:eastAsia="Verdana"/>
          <w:noProof/>
          <w:color w:val="000000" w:themeColor="text1"/>
        </w:rPr>
        <w:t xml:space="preserve">the European Parliament </w:t>
      </w:r>
      <w:r w:rsidRPr="00A00723">
        <w:rPr>
          <w:rFonts w:eastAsia="Verdana"/>
          <w:noProof/>
          <w:color w:val="000000" w:themeColor="text1"/>
        </w:rPr>
        <w:t>of 3 months.</w:t>
      </w:r>
    </w:p>
    <w:p w14:paraId="552404CE" w14:textId="77777777" w:rsidR="000A7D9D" w:rsidRPr="000E323C" w:rsidRDefault="000A7D9D" w:rsidP="000A7D9D">
      <w:pPr>
        <w:pStyle w:val="ListParagraph"/>
        <w:widowControl w:val="0"/>
        <w:numPr>
          <w:ilvl w:val="0"/>
          <w:numId w:val="65"/>
        </w:numPr>
        <w:spacing w:after="120"/>
        <w:rPr>
          <w:rFonts w:eastAsia="Verdana"/>
          <w:noProof/>
          <w:color w:val="000000" w:themeColor="text1"/>
        </w:rPr>
      </w:pPr>
      <w:r w:rsidRPr="000E323C">
        <w:rPr>
          <w:rFonts w:eastAsia="Verdana"/>
          <w:noProof/>
          <w:color w:val="000000" w:themeColor="text1"/>
        </w:rPr>
        <w:t>Adoption of the Regualtion by the Commission and publication in the Official Journal of the EU.</w:t>
      </w:r>
    </w:p>
    <w:p w14:paraId="61D94420" w14:textId="77777777" w:rsidR="000A7D9D" w:rsidRPr="00A00723" w:rsidRDefault="000A7D9D" w:rsidP="000A7D9D">
      <w:pPr>
        <w:spacing w:after="120"/>
        <w:rPr>
          <w:rFonts w:ascii="Times New Roman" w:hAnsi="Times New Roman" w:cs="Times New Roman"/>
          <w:noProof/>
          <w:sz w:val="24"/>
          <w:szCs w:val="24"/>
        </w:rPr>
      </w:pPr>
      <w:r w:rsidRPr="00A00723">
        <w:rPr>
          <w:rFonts w:ascii="Times New Roman" w:hAnsi="Times New Roman" w:cs="Times New Roman"/>
          <w:noProof/>
          <w:sz w:val="24"/>
          <w:szCs w:val="24"/>
        </w:rPr>
        <w:t>Task 2: Process for prohibition or restriction of a substance used in cosmetic products where concerns are raised due to a potential risk to human health is as follows:</w:t>
      </w:r>
    </w:p>
    <w:p w14:paraId="6717720A" w14:textId="77777777" w:rsidR="000A7D9D" w:rsidRPr="00A00723" w:rsidRDefault="000A7D9D" w:rsidP="000A7D9D">
      <w:pPr>
        <w:pStyle w:val="ListParagraph"/>
        <w:widowControl w:val="0"/>
        <w:numPr>
          <w:ilvl w:val="0"/>
          <w:numId w:val="64"/>
        </w:numPr>
        <w:rPr>
          <w:rFonts w:eastAsia="Verdana"/>
          <w:noProof/>
          <w:color w:val="000000" w:themeColor="text1"/>
        </w:rPr>
      </w:pPr>
      <w:r w:rsidRPr="00892F41">
        <w:rPr>
          <w:rFonts w:eastAsia="Verdana"/>
          <w:noProof/>
          <w:color w:val="000000" w:themeColor="text1"/>
        </w:rPr>
        <w:t>The Commission</w:t>
      </w:r>
      <w:r w:rsidRPr="00A00723">
        <w:rPr>
          <w:rFonts w:eastAsia="Verdana"/>
          <w:noProof/>
          <w:color w:val="000000" w:themeColor="text1"/>
        </w:rPr>
        <w:t xml:space="preserve"> may amend the annexes II and </w:t>
      </w:r>
      <w:r>
        <w:rPr>
          <w:rFonts w:eastAsia="Verdana"/>
          <w:noProof/>
          <w:color w:val="000000" w:themeColor="text1"/>
        </w:rPr>
        <w:t xml:space="preserve">VI </w:t>
      </w:r>
      <w:r w:rsidRPr="00A00723">
        <w:rPr>
          <w:rFonts w:eastAsia="Verdana"/>
          <w:noProof/>
          <w:color w:val="000000" w:themeColor="text1"/>
        </w:rPr>
        <w:t>of the Cosmetic Products Regulation</w:t>
      </w:r>
      <w:r>
        <w:rPr>
          <w:rFonts w:eastAsia="Verdana"/>
          <w:noProof/>
          <w:color w:val="000000" w:themeColor="text1"/>
        </w:rPr>
        <w:t xml:space="preserve"> (CPR)</w:t>
      </w:r>
      <w:r w:rsidRPr="00A00723">
        <w:rPr>
          <w:rFonts w:eastAsia="Verdana"/>
          <w:noProof/>
          <w:color w:val="000000" w:themeColor="text1"/>
        </w:rPr>
        <w:t xml:space="preserve">  if concerns for human health due to the use of a substance in cosmetics were raised by e.g. Member States, economic operators (industry, SMEs) or civil society organisations (NGOs). </w:t>
      </w:r>
    </w:p>
    <w:p w14:paraId="097ED17D" w14:textId="77777777" w:rsidR="000A7D9D" w:rsidRPr="00A00723" w:rsidRDefault="000A7D9D" w:rsidP="000A7D9D">
      <w:pPr>
        <w:pStyle w:val="ListParagraph"/>
        <w:widowControl w:val="0"/>
        <w:numPr>
          <w:ilvl w:val="0"/>
          <w:numId w:val="64"/>
        </w:numPr>
        <w:rPr>
          <w:rFonts w:eastAsia="Verdana"/>
          <w:noProof/>
          <w:color w:val="000000" w:themeColor="text1"/>
        </w:rPr>
      </w:pPr>
      <w:r>
        <w:rPr>
          <w:rFonts w:eastAsia="Verdana"/>
          <w:noProof/>
          <w:color w:val="000000" w:themeColor="text1"/>
        </w:rPr>
        <w:t xml:space="preserve">The Commission </w:t>
      </w:r>
      <w:r w:rsidRPr="00A00723">
        <w:rPr>
          <w:rFonts w:eastAsia="Verdana"/>
          <w:noProof/>
          <w:color w:val="000000" w:themeColor="text1"/>
        </w:rPr>
        <w:t>evaluates the information/data gathered and prepares a mandate to the SCCS.</w:t>
      </w:r>
    </w:p>
    <w:p w14:paraId="61375271" w14:textId="77777777" w:rsidR="000A7D9D" w:rsidRPr="00A00723" w:rsidRDefault="000A7D9D" w:rsidP="000A7D9D">
      <w:pPr>
        <w:pStyle w:val="ListParagraph"/>
        <w:widowControl w:val="0"/>
        <w:numPr>
          <w:ilvl w:val="0"/>
          <w:numId w:val="64"/>
        </w:numPr>
        <w:rPr>
          <w:rFonts w:eastAsia="Verdana"/>
          <w:noProof/>
          <w:color w:val="000000" w:themeColor="text1"/>
        </w:rPr>
      </w:pPr>
      <w:r w:rsidRPr="00A00723">
        <w:rPr>
          <w:rFonts w:eastAsia="Verdana"/>
          <w:noProof/>
          <w:color w:val="000000" w:themeColor="text1"/>
        </w:rPr>
        <w:t xml:space="preserve">SCCS performs a risk assessment (9-12 months). The preliminary Opinion is published and open for comments (4-8 weeks) before being finalised. A final opinion is published on the SCCS’ website. </w:t>
      </w:r>
    </w:p>
    <w:p w14:paraId="2262B56F" w14:textId="77777777" w:rsidR="000A7D9D" w:rsidRPr="00A00723" w:rsidRDefault="000A7D9D" w:rsidP="000A7D9D">
      <w:pPr>
        <w:pStyle w:val="ListParagraph"/>
        <w:widowControl w:val="0"/>
        <w:numPr>
          <w:ilvl w:val="0"/>
          <w:numId w:val="64"/>
        </w:numPr>
        <w:rPr>
          <w:rFonts w:eastAsia="Verdana"/>
          <w:noProof/>
          <w:color w:val="000000" w:themeColor="text1"/>
        </w:rPr>
      </w:pPr>
      <w:r>
        <w:rPr>
          <w:rFonts w:eastAsia="Verdana"/>
          <w:noProof/>
          <w:color w:val="000000" w:themeColor="text1"/>
        </w:rPr>
        <w:t xml:space="preserve">The </w:t>
      </w:r>
      <w:r w:rsidRPr="00A00723">
        <w:rPr>
          <w:rFonts w:eastAsia="Verdana"/>
          <w:noProof/>
          <w:color w:val="000000" w:themeColor="text1"/>
        </w:rPr>
        <w:t>Commission may  prepare a Working Document based on the final SCCS Opinion and share it for discussion with the members of the WG on Cosmetic Products (participants: MS, Industry, SMEs and civil society organisations).</w:t>
      </w:r>
    </w:p>
    <w:p w14:paraId="3FD72AE2" w14:textId="77777777" w:rsidR="000A7D9D" w:rsidRPr="00A00723" w:rsidRDefault="000A7D9D" w:rsidP="000A7D9D">
      <w:pPr>
        <w:pStyle w:val="ListParagraph"/>
        <w:widowControl w:val="0"/>
        <w:numPr>
          <w:ilvl w:val="0"/>
          <w:numId w:val="64"/>
        </w:numPr>
        <w:rPr>
          <w:rFonts w:eastAsia="Verdana"/>
          <w:noProof/>
          <w:color w:val="000000" w:themeColor="text1"/>
        </w:rPr>
      </w:pPr>
      <w:r>
        <w:rPr>
          <w:rFonts w:eastAsia="Verdana"/>
          <w:noProof/>
          <w:color w:val="000000" w:themeColor="text1"/>
        </w:rPr>
        <w:t xml:space="preserve">The </w:t>
      </w:r>
      <w:r w:rsidRPr="00A00723">
        <w:rPr>
          <w:rFonts w:eastAsia="Verdana"/>
          <w:noProof/>
          <w:color w:val="000000" w:themeColor="text1"/>
        </w:rPr>
        <w:t xml:space="preserve">Commission prepares a Draft Regulation. </w:t>
      </w:r>
    </w:p>
    <w:p w14:paraId="3C94E57C" w14:textId="77777777" w:rsidR="000A7D9D" w:rsidRPr="00A00723" w:rsidRDefault="000A7D9D" w:rsidP="000A7D9D">
      <w:pPr>
        <w:pStyle w:val="ListParagraph"/>
        <w:widowControl w:val="0"/>
        <w:numPr>
          <w:ilvl w:val="0"/>
          <w:numId w:val="64"/>
        </w:numPr>
        <w:rPr>
          <w:rFonts w:eastAsia="Verdana"/>
          <w:noProof/>
          <w:color w:val="000000" w:themeColor="text1"/>
        </w:rPr>
      </w:pPr>
      <w:r>
        <w:rPr>
          <w:rFonts w:eastAsia="Verdana"/>
          <w:noProof/>
          <w:color w:val="000000" w:themeColor="text1"/>
        </w:rPr>
        <w:t>The d</w:t>
      </w:r>
      <w:r w:rsidRPr="00A00723">
        <w:rPr>
          <w:rFonts w:eastAsia="Verdana"/>
          <w:noProof/>
          <w:color w:val="000000" w:themeColor="text1"/>
        </w:rPr>
        <w:t>raft Commission Implementing Regulation is discussed with the Standing Committee on Cosmetic Products.</w:t>
      </w:r>
    </w:p>
    <w:p w14:paraId="3734A788" w14:textId="77777777" w:rsidR="000A7D9D" w:rsidRPr="00A00723" w:rsidRDefault="000A7D9D" w:rsidP="000A7D9D">
      <w:pPr>
        <w:pStyle w:val="ListParagraph"/>
        <w:widowControl w:val="0"/>
        <w:numPr>
          <w:ilvl w:val="0"/>
          <w:numId w:val="64"/>
        </w:numPr>
        <w:rPr>
          <w:rFonts w:eastAsia="Verdana"/>
          <w:noProof/>
          <w:color w:val="000000" w:themeColor="text1"/>
        </w:rPr>
      </w:pPr>
      <w:r w:rsidRPr="00A00723">
        <w:rPr>
          <w:rFonts w:eastAsia="Verdana"/>
          <w:noProof/>
          <w:color w:val="000000" w:themeColor="text1"/>
        </w:rPr>
        <w:t>TBT notification is launched with a commenting period of 2 months.</w:t>
      </w:r>
    </w:p>
    <w:p w14:paraId="7A0BCBF1" w14:textId="77777777" w:rsidR="000A7D9D" w:rsidRPr="00A00723" w:rsidRDefault="000A7D9D" w:rsidP="000A7D9D">
      <w:pPr>
        <w:pStyle w:val="ListParagraph"/>
        <w:widowControl w:val="0"/>
        <w:numPr>
          <w:ilvl w:val="0"/>
          <w:numId w:val="64"/>
        </w:numPr>
        <w:rPr>
          <w:rFonts w:eastAsia="Verdana"/>
          <w:noProof/>
          <w:color w:val="000000" w:themeColor="text1"/>
        </w:rPr>
      </w:pPr>
      <w:r w:rsidRPr="00A00723">
        <w:rPr>
          <w:rFonts w:eastAsia="Verdana"/>
          <w:noProof/>
          <w:color w:val="000000" w:themeColor="text1"/>
        </w:rPr>
        <w:t>MS vote in the Standing Committee on Cosmetic Products (comitology) on the draft Commission Implementing Regulation.</w:t>
      </w:r>
    </w:p>
    <w:p w14:paraId="319BDDF4" w14:textId="77777777" w:rsidR="000A7D9D" w:rsidRDefault="000A7D9D" w:rsidP="000A7D9D">
      <w:pPr>
        <w:pStyle w:val="ListParagraph"/>
        <w:widowControl w:val="0"/>
        <w:numPr>
          <w:ilvl w:val="0"/>
          <w:numId w:val="64"/>
        </w:numPr>
        <w:spacing w:after="120"/>
        <w:rPr>
          <w:rFonts w:eastAsia="Verdana"/>
          <w:noProof/>
          <w:color w:val="000000" w:themeColor="text1"/>
        </w:rPr>
      </w:pPr>
      <w:r w:rsidRPr="00A00723">
        <w:rPr>
          <w:rFonts w:eastAsia="Verdana"/>
          <w:noProof/>
          <w:color w:val="000000" w:themeColor="text1"/>
        </w:rPr>
        <w:t xml:space="preserve">Scrutiny period by the Council and </w:t>
      </w:r>
      <w:r>
        <w:rPr>
          <w:rFonts w:eastAsia="Verdana"/>
          <w:noProof/>
          <w:color w:val="000000" w:themeColor="text1"/>
        </w:rPr>
        <w:t xml:space="preserve">the European Parliament </w:t>
      </w:r>
      <w:r w:rsidRPr="00A00723">
        <w:rPr>
          <w:rFonts w:eastAsia="Verdana"/>
          <w:noProof/>
          <w:color w:val="000000" w:themeColor="text1"/>
        </w:rPr>
        <w:t>of 3 months.</w:t>
      </w:r>
    </w:p>
    <w:p w14:paraId="439EA7CA" w14:textId="77777777" w:rsidR="000A7D9D" w:rsidRPr="00A00723" w:rsidRDefault="000A7D9D" w:rsidP="000A7D9D">
      <w:pPr>
        <w:pStyle w:val="ListParagraph"/>
        <w:widowControl w:val="0"/>
        <w:numPr>
          <w:ilvl w:val="0"/>
          <w:numId w:val="64"/>
        </w:numPr>
        <w:spacing w:after="120"/>
        <w:rPr>
          <w:rFonts w:eastAsia="Verdana"/>
          <w:noProof/>
          <w:color w:val="000000" w:themeColor="text1"/>
        </w:rPr>
      </w:pPr>
      <w:r w:rsidRPr="120044EF">
        <w:rPr>
          <w:rFonts w:eastAsia="Verdana"/>
          <w:noProof/>
          <w:color w:val="000000" w:themeColor="text1"/>
        </w:rPr>
        <w:t>Adoption of the Regualtion by the Commission and publication in the Official Journal of the EU</w:t>
      </w:r>
    </w:p>
    <w:p w14:paraId="3897DB88" w14:textId="77777777" w:rsidR="000A7D9D" w:rsidRPr="00A00723" w:rsidRDefault="000A7D9D" w:rsidP="000A7D9D">
      <w:pPr>
        <w:spacing w:after="120"/>
        <w:jc w:val="both"/>
        <w:rPr>
          <w:rFonts w:ascii="Times New Roman" w:eastAsia="Verdana" w:hAnsi="Times New Roman" w:cs="Times New Roman"/>
          <w:noProof/>
          <w:color w:val="000000" w:themeColor="text1"/>
          <w:sz w:val="24"/>
          <w:szCs w:val="24"/>
        </w:rPr>
      </w:pPr>
      <w:r w:rsidRPr="00A00723">
        <w:rPr>
          <w:rFonts w:ascii="Times New Roman" w:hAnsi="Times New Roman" w:cs="Times New Roman"/>
          <w:noProof/>
          <w:sz w:val="24"/>
          <w:szCs w:val="24"/>
        </w:rPr>
        <w:t xml:space="preserve">Task 3: The use of CMR substances (category 1A, 1B, or 2 under CLP) is prohibited in cosmetic products, apart from “exceptional” cases. This prohibition is implemented by amending </w:t>
      </w:r>
      <w:r>
        <w:rPr>
          <w:rFonts w:ascii="Times New Roman" w:hAnsi="Times New Roman" w:cs="Times New Roman"/>
          <w:noProof/>
          <w:sz w:val="24"/>
          <w:szCs w:val="24"/>
        </w:rPr>
        <w:t>A</w:t>
      </w:r>
      <w:r w:rsidRPr="00A00723">
        <w:rPr>
          <w:rFonts w:ascii="Times New Roman" w:hAnsi="Times New Roman" w:cs="Times New Roman"/>
          <w:noProof/>
          <w:sz w:val="24"/>
          <w:szCs w:val="24"/>
        </w:rPr>
        <w:t>nnex II</w:t>
      </w:r>
      <w:r>
        <w:rPr>
          <w:rFonts w:ascii="Times New Roman" w:hAnsi="Times New Roman" w:cs="Times New Roman"/>
          <w:noProof/>
          <w:sz w:val="24"/>
          <w:szCs w:val="24"/>
        </w:rPr>
        <w:t>-VI</w:t>
      </w:r>
      <w:r w:rsidRPr="00A00723">
        <w:rPr>
          <w:rFonts w:ascii="Times New Roman" w:hAnsi="Times New Roman" w:cs="Times New Roman"/>
          <w:noProof/>
          <w:sz w:val="24"/>
          <w:szCs w:val="24"/>
        </w:rPr>
        <w:t xml:space="preserve"> of the </w:t>
      </w:r>
      <w:r>
        <w:rPr>
          <w:rFonts w:ascii="Times New Roman" w:hAnsi="Times New Roman" w:cs="Times New Roman"/>
          <w:noProof/>
          <w:sz w:val="24"/>
          <w:szCs w:val="24"/>
        </w:rPr>
        <w:t>R</w:t>
      </w:r>
      <w:r w:rsidRPr="00A00723">
        <w:rPr>
          <w:rFonts w:ascii="Times New Roman" w:hAnsi="Times New Roman" w:cs="Times New Roman"/>
          <w:noProof/>
          <w:sz w:val="24"/>
          <w:szCs w:val="24"/>
        </w:rPr>
        <w:t>egulation. Once a substance receives its harmonised classification as CMRs cat 1A,</w:t>
      </w:r>
      <w:r>
        <w:rPr>
          <w:rFonts w:ascii="Times New Roman" w:hAnsi="Times New Roman" w:cs="Times New Roman"/>
          <w:noProof/>
          <w:sz w:val="24"/>
          <w:szCs w:val="24"/>
        </w:rPr>
        <w:t xml:space="preserve"> </w:t>
      </w:r>
      <w:r w:rsidRPr="00A00723">
        <w:rPr>
          <w:rFonts w:ascii="Times New Roman" w:hAnsi="Times New Roman" w:cs="Times New Roman"/>
          <w:noProof/>
          <w:sz w:val="24"/>
          <w:szCs w:val="24"/>
        </w:rPr>
        <w:t>1B or 2 under CLP</w:t>
      </w:r>
      <w:r>
        <w:rPr>
          <w:rFonts w:ascii="Times New Roman" w:hAnsi="Times New Roman" w:cs="Times New Roman"/>
          <w:noProof/>
          <w:sz w:val="24"/>
          <w:szCs w:val="24"/>
        </w:rPr>
        <w:t xml:space="preserve"> regulation</w:t>
      </w:r>
      <w:r w:rsidRPr="00A00723">
        <w:rPr>
          <w:rFonts w:ascii="Times New Roman" w:hAnsi="Times New Roman" w:cs="Times New Roman"/>
          <w:noProof/>
          <w:sz w:val="24"/>
          <w:szCs w:val="24"/>
        </w:rPr>
        <w:t xml:space="preserve">, the Commission must update the annexes of the </w:t>
      </w:r>
      <w:r>
        <w:rPr>
          <w:rFonts w:ascii="Times New Roman" w:hAnsi="Times New Roman" w:cs="Times New Roman"/>
          <w:noProof/>
          <w:sz w:val="24"/>
          <w:szCs w:val="24"/>
        </w:rPr>
        <w:t>CPR</w:t>
      </w:r>
      <w:r w:rsidRPr="00A00723">
        <w:rPr>
          <w:rFonts w:ascii="Times New Roman" w:hAnsi="Times New Roman" w:cs="Times New Roman"/>
          <w:noProof/>
          <w:sz w:val="24"/>
          <w:szCs w:val="24"/>
        </w:rPr>
        <w:t xml:space="preserve"> within 15 months. There is no involvement of SCCS in this process, as there is no safety assessment performed</w:t>
      </w:r>
      <w:r>
        <w:rPr>
          <w:rFonts w:ascii="Times New Roman" w:hAnsi="Times New Roman" w:cs="Times New Roman"/>
          <w:noProof/>
          <w:sz w:val="24"/>
          <w:szCs w:val="24"/>
        </w:rPr>
        <w:t xml:space="preserve"> </w:t>
      </w:r>
      <w:r w:rsidRPr="002F1B30">
        <w:rPr>
          <w:rFonts w:ascii="Times New Roman" w:hAnsi="Times New Roman" w:cs="Times New Roman"/>
          <w:noProof/>
          <w:sz w:val="24"/>
          <w:szCs w:val="24"/>
        </w:rPr>
        <w:t>except in the case of derogation requests</w:t>
      </w:r>
      <w:r w:rsidRPr="00A00723">
        <w:rPr>
          <w:rFonts w:ascii="Times New Roman" w:hAnsi="Times New Roman" w:cs="Times New Roman"/>
          <w:noProof/>
          <w:sz w:val="24"/>
          <w:szCs w:val="24"/>
        </w:rPr>
        <w:t xml:space="preserve">. </w:t>
      </w:r>
      <w:r w:rsidRPr="00A00723">
        <w:rPr>
          <w:rFonts w:ascii="Times New Roman" w:eastAsia="Verdana" w:hAnsi="Times New Roman" w:cs="Times New Roman"/>
          <w:noProof/>
          <w:color w:val="000000" w:themeColor="text1"/>
          <w:sz w:val="24"/>
          <w:szCs w:val="24"/>
        </w:rPr>
        <w:t>Economic operators can, on a voluntary basis, prepare and submit safety dossiers to defend the use of a substance in cosmetics. In such a case the C</w:t>
      </w:r>
      <w:r>
        <w:rPr>
          <w:rFonts w:ascii="Times New Roman" w:eastAsia="Verdana" w:hAnsi="Times New Roman" w:cs="Times New Roman"/>
          <w:noProof/>
          <w:color w:val="000000" w:themeColor="text1"/>
          <w:sz w:val="24"/>
          <w:szCs w:val="24"/>
        </w:rPr>
        <w:t xml:space="preserve">ommission </w:t>
      </w:r>
      <w:r w:rsidRPr="00A00723">
        <w:rPr>
          <w:rFonts w:ascii="Times New Roman" w:eastAsia="Verdana" w:hAnsi="Times New Roman" w:cs="Times New Roman"/>
          <w:noProof/>
          <w:color w:val="000000" w:themeColor="text1"/>
          <w:sz w:val="24"/>
          <w:szCs w:val="24"/>
        </w:rPr>
        <w:t xml:space="preserve"> can launch ‘calls for data’ in order to acquire as much information as possible for a full risk assessment.</w:t>
      </w:r>
      <w:r w:rsidRPr="00A00723">
        <w:rPr>
          <w:rFonts w:ascii="Times New Roman" w:hAnsi="Times New Roman" w:cs="Times New Roman"/>
          <w:noProof/>
          <w:sz w:val="24"/>
          <w:szCs w:val="24"/>
        </w:rPr>
        <w:t xml:space="preserve"> </w:t>
      </w:r>
    </w:p>
    <w:p w14:paraId="34CDC081" w14:textId="6DC1C94E" w:rsidR="000A7D9D" w:rsidRPr="00A00723" w:rsidRDefault="000A7D9D" w:rsidP="000A7D9D">
      <w:pPr>
        <w:spacing w:after="120"/>
        <w:jc w:val="both"/>
        <w:rPr>
          <w:rFonts w:ascii="Times New Roman" w:hAnsi="Times New Roman" w:cs="Times New Roman"/>
          <w:noProof/>
          <w:sz w:val="24"/>
          <w:szCs w:val="24"/>
        </w:rPr>
      </w:pPr>
      <w:r w:rsidRPr="00A00723">
        <w:rPr>
          <w:rFonts w:ascii="Times New Roman" w:hAnsi="Times New Roman" w:cs="Times New Roman"/>
          <w:noProof/>
          <w:sz w:val="24"/>
          <w:szCs w:val="24"/>
        </w:rPr>
        <w:t xml:space="preserve">If there is a request from industry for derogation, then the Commission </w:t>
      </w:r>
      <w:r>
        <w:rPr>
          <w:rFonts w:ascii="Times New Roman" w:hAnsi="Times New Roman" w:cs="Times New Roman"/>
          <w:noProof/>
          <w:sz w:val="24"/>
          <w:szCs w:val="24"/>
        </w:rPr>
        <w:t xml:space="preserve">mandates the </w:t>
      </w:r>
      <w:r w:rsidRPr="00A00723">
        <w:rPr>
          <w:rFonts w:ascii="Times New Roman" w:hAnsi="Times New Roman" w:cs="Times New Roman"/>
          <w:noProof/>
          <w:sz w:val="24"/>
          <w:szCs w:val="24"/>
        </w:rPr>
        <w:t xml:space="preserve">SCCS </w:t>
      </w:r>
      <w:r w:rsidRPr="00751103">
        <w:rPr>
          <w:rFonts w:ascii="Times New Roman" w:hAnsi="Times New Roman" w:cs="Times New Roman"/>
          <w:noProof/>
          <w:sz w:val="24"/>
          <w:szCs w:val="24"/>
        </w:rPr>
        <w:t xml:space="preserve">to perform a safety assessment </w:t>
      </w:r>
      <w:r w:rsidRPr="00A00723">
        <w:rPr>
          <w:rFonts w:ascii="Times New Roman" w:hAnsi="Times New Roman" w:cs="Times New Roman"/>
          <w:noProof/>
          <w:sz w:val="24"/>
          <w:szCs w:val="24"/>
        </w:rPr>
        <w:t>and</w:t>
      </w:r>
      <w:r w:rsidRPr="000171E1">
        <w:rPr>
          <w:noProof/>
        </w:rPr>
        <w:t xml:space="preserve"> </w:t>
      </w:r>
      <w:r w:rsidRPr="000171E1">
        <w:rPr>
          <w:rFonts w:ascii="Times New Roman" w:hAnsi="Times New Roman" w:cs="Times New Roman"/>
          <w:noProof/>
          <w:sz w:val="24"/>
          <w:szCs w:val="24"/>
        </w:rPr>
        <w:t>following the outcome of the SCCS</w:t>
      </w:r>
      <w:r w:rsidRPr="00A00723">
        <w:rPr>
          <w:rFonts w:ascii="Times New Roman" w:hAnsi="Times New Roman" w:cs="Times New Roman"/>
          <w:noProof/>
          <w:sz w:val="24"/>
          <w:szCs w:val="24"/>
        </w:rPr>
        <w:t xml:space="preserve"> assessment the Commission may</w:t>
      </w:r>
      <w:r>
        <w:rPr>
          <w:rFonts w:ascii="Times New Roman" w:hAnsi="Times New Roman" w:cs="Times New Roman"/>
          <w:noProof/>
          <w:sz w:val="24"/>
          <w:szCs w:val="24"/>
        </w:rPr>
        <w:t xml:space="preserve"> amend </w:t>
      </w:r>
      <w:r w:rsidR="00270F61">
        <w:rPr>
          <w:rFonts w:ascii="Times New Roman" w:hAnsi="Times New Roman" w:cs="Times New Roman"/>
          <w:noProof/>
          <w:sz w:val="24"/>
          <w:szCs w:val="24"/>
        </w:rPr>
        <w:t>Annexes III</w:t>
      </w:r>
      <w:r w:rsidRPr="00A00723">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00723">
        <w:rPr>
          <w:rFonts w:ascii="Times New Roman" w:hAnsi="Times New Roman" w:cs="Times New Roman"/>
          <w:noProof/>
          <w:sz w:val="24"/>
          <w:szCs w:val="24"/>
        </w:rPr>
        <w:t xml:space="preserve"> VI.  </w:t>
      </w:r>
    </w:p>
    <w:p w14:paraId="545EF55F" w14:textId="77777777" w:rsidR="000A7D9D" w:rsidRPr="00A00723" w:rsidRDefault="000A7D9D" w:rsidP="000A7D9D">
      <w:pPr>
        <w:spacing w:after="120"/>
        <w:jc w:val="both"/>
        <w:rPr>
          <w:rFonts w:ascii="Times New Roman" w:eastAsiaTheme="minorEastAsia" w:hAnsi="Times New Roman" w:cs="Times New Roman"/>
          <w:noProof/>
          <w:sz w:val="24"/>
          <w:szCs w:val="24"/>
        </w:rPr>
      </w:pPr>
      <w:r w:rsidRPr="00A00723">
        <w:rPr>
          <w:rFonts w:ascii="Times New Roman" w:hAnsi="Times New Roman" w:cs="Times New Roman"/>
          <w:noProof/>
          <w:sz w:val="24"/>
          <w:szCs w:val="24"/>
        </w:rPr>
        <w:t>Task 4: Cosmetic</w:t>
      </w:r>
      <w:r w:rsidRPr="00A00723">
        <w:rPr>
          <w:rFonts w:ascii="Times New Roman" w:eastAsiaTheme="minorEastAsia" w:hAnsi="Times New Roman" w:cs="Times New Roman"/>
          <w:noProof/>
          <w:sz w:val="24"/>
          <w:szCs w:val="24"/>
        </w:rPr>
        <w:t xml:space="preserve"> products containing nanomaterials </w:t>
      </w:r>
      <w:r w:rsidRPr="00A00723">
        <w:rPr>
          <w:rFonts w:ascii="Times New Roman" w:eastAsiaTheme="minorEastAsia" w:hAnsi="Times New Roman" w:cs="Times New Roman"/>
          <w:i/>
          <w:iCs/>
          <w:noProof/>
          <w:sz w:val="24"/>
          <w:szCs w:val="24"/>
        </w:rPr>
        <w:t>other than</w:t>
      </w:r>
      <w:r w:rsidRPr="00A00723">
        <w:rPr>
          <w:rFonts w:ascii="Times New Roman" w:eastAsiaTheme="minorEastAsia" w:hAnsi="Times New Roman" w:cs="Times New Roman"/>
          <w:noProof/>
          <w:sz w:val="24"/>
          <w:szCs w:val="24"/>
        </w:rPr>
        <w:t xml:space="preserve"> colourants, preservatives and UV-filters require a specific notification on the CPNP 6 months </w:t>
      </w:r>
      <w:r w:rsidRPr="00A00723">
        <w:rPr>
          <w:rFonts w:ascii="Times New Roman" w:eastAsiaTheme="minorEastAsia" w:hAnsi="Times New Roman" w:cs="Times New Roman"/>
          <w:i/>
          <w:iCs/>
          <w:noProof/>
          <w:sz w:val="24"/>
          <w:szCs w:val="24"/>
        </w:rPr>
        <w:t>before</w:t>
      </w:r>
      <w:r w:rsidRPr="00A00723">
        <w:rPr>
          <w:rFonts w:ascii="Times New Roman" w:eastAsiaTheme="minorEastAsia" w:hAnsi="Times New Roman" w:cs="Times New Roman"/>
          <w:noProof/>
          <w:sz w:val="24"/>
          <w:szCs w:val="24"/>
        </w:rPr>
        <w:t xml:space="preserve"> they are placed on the market. If the Commission has concerns regarding the safety of a nanomaterial, it may request the SCCS to perform a risk assessment. The SCCS may also use information gathered from published literature and/or received from other stakeholders as a result of the Commission's call for data. </w:t>
      </w:r>
      <w:r w:rsidRPr="002F1B30">
        <w:rPr>
          <w:rFonts w:ascii="Times New Roman" w:eastAsiaTheme="minorEastAsia" w:hAnsi="Times New Roman" w:cs="Times New Roman"/>
          <w:noProof/>
          <w:sz w:val="24"/>
          <w:szCs w:val="24"/>
        </w:rPr>
        <w:t xml:space="preserve">The SCCS has 6 months to deliver its final opinion. </w:t>
      </w:r>
      <w:r w:rsidRPr="00A00723">
        <w:rPr>
          <w:rFonts w:ascii="Times New Roman" w:eastAsiaTheme="minorEastAsia" w:hAnsi="Times New Roman" w:cs="Times New Roman"/>
          <w:noProof/>
          <w:sz w:val="24"/>
          <w:szCs w:val="24"/>
        </w:rPr>
        <w:t>In cases where further data/clarifications are needed, the 6-months clock starts again once the necessary data/information is provided by the applicant.</w:t>
      </w:r>
    </w:p>
    <w:p w14:paraId="59F8158D" w14:textId="77777777" w:rsidR="000A7D9D" w:rsidRPr="00A00723" w:rsidRDefault="000A7D9D" w:rsidP="000A7D9D">
      <w:pPr>
        <w:spacing w:after="120"/>
        <w:jc w:val="both"/>
        <w:rPr>
          <w:rFonts w:ascii="Times New Roman" w:eastAsiaTheme="minorEastAsia" w:hAnsi="Times New Roman" w:cs="Times New Roman"/>
          <w:noProof/>
          <w:sz w:val="24"/>
          <w:szCs w:val="24"/>
        </w:rPr>
      </w:pPr>
      <w:r w:rsidRPr="00A00723">
        <w:rPr>
          <w:rFonts w:ascii="Times New Roman" w:eastAsiaTheme="minorEastAsia" w:hAnsi="Times New Roman" w:cs="Times New Roman"/>
          <w:noProof/>
          <w:sz w:val="24"/>
          <w:szCs w:val="24"/>
        </w:rPr>
        <w:t xml:space="preserve">Task 5: The SCCS, with involvement of the Commission updates approximately </w:t>
      </w:r>
      <w:r>
        <w:rPr>
          <w:rFonts w:ascii="Times New Roman" w:eastAsiaTheme="minorEastAsia" w:hAnsi="Times New Roman" w:cs="Times New Roman"/>
          <w:noProof/>
          <w:sz w:val="24"/>
          <w:szCs w:val="24"/>
        </w:rPr>
        <w:t>every other</w:t>
      </w:r>
      <w:r w:rsidRPr="00A00723">
        <w:rPr>
          <w:rFonts w:ascii="Times New Roman" w:eastAsiaTheme="minorEastAsia" w:hAnsi="Times New Roman" w:cs="Times New Roman"/>
          <w:noProof/>
          <w:sz w:val="24"/>
          <w:szCs w:val="24"/>
        </w:rPr>
        <w:t xml:space="preserve"> year a technical guidance document concerning </w:t>
      </w:r>
      <w:r w:rsidRPr="00A837A2">
        <w:rPr>
          <w:rFonts w:ascii="Times New Roman" w:eastAsiaTheme="minorEastAsia" w:hAnsi="Times New Roman" w:cs="Times New Roman"/>
          <w:noProof/>
          <w:color w:val="000000" w:themeColor="text1"/>
          <w:sz w:val="24"/>
          <w:szCs w:val="24"/>
        </w:rPr>
        <w:t>different aspects of testing and safety evaluation of cosmetic substances (called SCCS Notes of guidance’). The emphasis of this guidance is on cosmetic ingredients, including nanomaterials although some guidance is also indirectly given for the safety assessment of finished products. It is designed to provide guidance to public authorities and to the economic operators (safety assessors) to improve harmonised compliance with the current cosmetic EU legislation.</w:t>
      </w:r>
      <w:r w:rsidRPr="00A00723">
        <w:rPr>
          <w:rFonts w:ascii="Times New Roman" w:eastAsiaTheme="minorEastAsia" w:hAnsi="Times New Roman" w:cs="Times New Roman"/>
          <w:noProof/>
          <w:sz w:val="24"/>
          <w:szCs w:val="24"/>
        </w:rPr>
        <w:t xml:space="preserve"> </w:t>
      </w:r>
    </w:p>
    <w:p w14:paraId="1D5FAC79" w14:textId="77777777" w:rsidR="000A7D9D" w:rsidRPr="00A00723" w:rsidRDefault="000A7D9D" w:rsidP="000A7D9D">
      <w:pPr>
        <w:spacing w:after="120"/>
        <w:jc w:val="both"/>
        <w:rPr>
          <w:rFonts w:ascii="Times New Roman" w:eastAsiaTheme="minorEastAsia" w:hAnsi="Times New Roman" w:cs="Times New Roman"/>
          <w:b/>
          <w:bCs/>
          <w:noProof/>
          <w:sz w:val="24"/>
          <w:szCs w:val="24"/>
        </w:rPr>
      </w:pPr>
      <w:r w:rsidRPr="00A00723">
        <w:rPr>
          <w:rFonts w:ascii="Times New Roman" w:eastAsiaTheme="minorEastAsia" w:hAnsi="Times New Roman" w:cs="Times New Roman"/>
          <w:b/>
          <w:bCs/>
          <w:noProof/>
          <w:sz w:val="24"/>
          <w:szCs w:val="24"/>
        </w:rPr>
        <w:t>Administrative support for the SCCS</w:t>
      </w:r>
    </w:p>
    <w:p w14:paraId="7A686729" w14:textId="77777777" w:rsidR="000A7D9D" w:rsidRPr="00A00723" w:rsidRDefault="000A7D9D" w:rsidP="000A7D9D">
      <w:pPr>
        <w:spacing w:after="120"/>
        <w:jc w:val="both"/>
        <w:rPr>
          <w:rFonts w:ascii="Times New Roman" w:eastAsia="Verdana" w:hAnsi="Times New Roman" w:cs="Times New Roman"/>
          <w:noProof/>
          <w:sz w:val="24"/>
          <w:szCs w:val="24"/>
        </w:rPr>
      </w:pPr>
      <w:r w:rsidRPr="00A00723">
        <w:rPr>
          <w:rFonts w:ascii="Times New Roman" w:eastAsiaTheme="minorEastAsia" w:hAnsi="Times New Roman" w:cs="Times New Roman"/>
          <w:noProof/>
          <w:sz w:val="24"/>
          <w:szCs w:val="24"/>
        </w:rPr>
        <w:t>The SCCS is currently managed by</w:t>
      </w:r>
      <w:r w:rsidRPr="006519BA">
        <w:rPr>
          <w:noProof/>
        </w:rPr>
        <w:t xml:space="preserve"> </w:t>
      </w:r>
      <w:r w:rsidRPr="006519BA">
        <w:rPr>
          <w:rFonts w:ascii="Times New Roman" w:eastAsiaTheme="minorEastAsia" w:hAnsi="Times New Roman" w:cs="Times New Roman"/>
          <w:noProof/>
          <w:sz w:val="24"/>
          <w:szCs w:val="24"/>
        </w:rPr>
        <w:t>DG SANTE within</w:t>
      </w:r>
      <w:r w:rsidRPr="00A00723">
        <w:rPr>
          <w:rFonts w:ascii="Times New Roman" w:eastAsiaTheme="minorEastAsia" w:hAnsi="Times New Roman" w:cs="Times New Roman"/>
          <w:noProof/>
          <w:sz w:val="24"/>
          <w:szCs w:val="24"/>
        </w:rPr>
        <w:t xml:space="preserve"> the Commission</w:t>
      </w:r>
      <w:r>
        <w:rPr>
          <w:rFonts w:ascii="Times New Roman" w:eastAsiaTheme="minorEastAsia" w:hAnsi="Times New Roman" w:cs="Times New Roman"/>
          <w:noProof/>
          <w:sz w:val="24"/>
          <w:szCs w:val="24"/>
        </w:rPr>
        <w:t>, which</w:t>
      </w:r>
      <w:r w:rsidRPr="00A00723">
        <w:rPr>
          <w:rFonts w:ascii="Times New Roman" w:eastAsiaTheme="minorEastAsia" w:hAnsi="Times New Roman" w:cs="Times New Roman"/>
          <w:noProof/>
          <w:sz w:val="24"/>
          <w:szCs w:val="24"/>
        </w:rPr>
        <w:t xml:space="preserve"> provides secretariat </w:t>
      </w:r>
      <w:r w:rsidRPr="00BA0B16">
        <w:rPr>
          <w:rFonts w:ascii="Times New Roman" w:eastAsiaTheme="minorEastAsia" w:hAnsi="Times New Roman" w:cs="Times New Roman"/>
          <w:noProof/>
          <w:sz w:val="24"/>
          <w:szCs w:val="24"/>
        </w:rPr>
        <w:t>services for</w:t>
      </w:r>
      <w:r w:rsidRPr="00A00723">
        <w:rPr>
          <w:rFonts w:ascii="Times New Roman" w:eastAsiaTheme="minorEastAsia" w:hAnsi="Times New Roman" w:cs="Times New Roman"/>
          <w:noProof/>
          <w:sz w:val="24"/>
          <w:szCs w:val="24"/>
        </w:rPr>
        <w:t xml:space="preserve"> the committee. </w:t>
      </w:r>
      <w:r w:rsidRPr="00A00723">
        <w:rPr>
          <w:rFonts w:ascii="Times New Roman" w:eastAsia="Verdana" w:hAnsi="Times New Roman" w:cs="Times New Roman"/>
          <w:noProof/>
          <w:sz w:val="24"/>
          <w:szCs w:val="24"/>
        </w:rPr>
        <w:t xml:space="preserve">The Secretariat is responsible for providing scientific and administrative support necessary to facilitate the efficient functioning of the Committee, to monitor compliance with the Rules of Procedure, particularly in relation to the requirements for excellence, independence, commitment, confidentiality and transparency, to ensure communication on the Committees' activities, the appropriate stakeholder dialogue, publication of the opinions and other relevant documents. Moreover, the Secretariat provides support to the Committee and organises and applies quality control of the opinions as far as completeness, consistency, clarity, correspondence with requests and with editorial standards are concerned. Further tasks can be found in the rules of </w:t>
      </w:r>
      <w:hyperlink r:id="rId92">
        <w:r w:rsidRPr="00A64066">
          <w:rPr>
            <w:rStyle w:val="Hyperlink"/>
            <w:rFonts w:eastAsia="Verdana"/>
            <w:noProof/>
            <w:sz w:val="24"/>
          </w:rPr>
          <w:t>procedure</w:t>
        </w:r>
      </w:hyperlink>
      <w:r w:rsidRPr="00A00723">
        <w:rPr>
          <w:rFonts w:ascii="Times New Roman" w:eastAsia="Verdana" w:hAnsi="Times New Roman" w:cs="Times New Roman"/>
          <w:noProof/>
          <w:sz w:val="24"/>
          <w:szCs w:val="24"/>
        </w:rPr>
        <w:t>.</w:t>
      </w:r>
    </w:p>
    <w:p w14:paraId="124A7B7F" w14:textId="77777777" w:rsidR="000A7D9D" w:rsidRPr="00A00723" w:rsidRDefault="000A7D9D" w:rsidP="000A7D9D">
      <w:pPr>
        <w:spacing w:after="120"/>
        <w:jc w:val="both"/>
        <w:rPr>
          <w:rFonts w:ascii="Times New Roman" w:eastAsiaTheme="minorEastAsia" w:hAnsi="Times New Roman" w:cs="Times New Roman"/>
          <w:b/>
          <w:bCs/>
          <w:noProof/>
          <w:sz w:val="24"/>
          <w:szCs w:val="24"/>
        </w:rPr>
      </w:pPr>
      <w:r w:rsidRPr="00A00723">
        <w:rPr>
          <w:rFonts w:ascii="Times New Roman" w:hAnsi="Times New Roman" w:cs="Times New Roman"/>
          <w:b/>
          <w:bCs/>
          <w:noProof/>
          <w:sz w:val="24"/>
          <w:szCs w:val="24"/>
          <w:u w:val="single"/>
        </w:rPr>
        <w:t>Changes in the process:</w:t>
      </w:r>
      <w:r w:rsidRPr="00A00723">
        <w:rPr>
          <w:rFonts w:ascii="Times New Roman" w:hAnsi="Times New Roman" w:cs="Times New Roman"/>
          <w:b/>
          <w:bCs/>
          <w:noProof/>
          <w:sz w:val="24"/>
          <w:szCs w:val="24"/>
        </w:rPr>
        <w:t xml:space="preserve"> </w:t>
      </w:r>
    </w:p>
    <w:p w14:paraId="4E706451" w14:textId="58DC0702" w:rsidR="000A7D9D" w:rsidRDefault="000A7D9D" w:rsidP="000A7D9D">
      <w:pPr>
        <w:spacing w:after="120"/>
        <w:jc w:val="both"/>
        <w:rPr>
          <w:rFonts w:ascii="Times New Roman" w:hAnsi="Times New Roman" w:cs="Times New Roman"/>
          <w:noProof/>
          <w:sz w:val="24"/>
          <w:szCs w:val="24"/>
        </w:rPr>
      </w:pPr>
      <w:r w:rsidRPr="00A00723">
        <w:rPr>
          <w:rFonts w:ascii="Times New Roman" w:hAnsi="Times New Roman" w:cs="Times New Roman"/>
          <w:noProof/>
          <w:sz w:val="24"/>
          <w:szCs w:val="24"/>
        </w:rPr>
        <w:t xml:space="preserve">It is envisaged that the SCCS will </w:t>
      </w:r>
      <w:r w:rsidR="00DC0086">
        <w:rPr>
          <w:rFonts w:ascii="Times New Roman" w:hAnsi="Times New Roman" w:cs="Times New Roman"/>
          <w:noProof/>
          <w:sz w:val="24"/>
          <w:szCs w:val="24"/>
        </w:rPr>
        <w:t xml:space="preserve">become part of </w:t>
      </w:r>
      <w:r w:rsidRPr="00A00723">
        <w:rPr>
          <w:rFonts w:ascii="Times New Roman" w:hAnsi="Times New Roman" w:cs="Times New Roman"/>
          <w:noProof/>
          <w:sz w:val="24"/>
          <w:szCs w:val="24"/>
        </w:rPr>
        <w:t xml:space="preserve">ECHA, </w:t>
      </w:r>
      <w:r w:rsidR="00DC0086">
        <w:rPr>
          <w:rFonts w:ascii="Times New Roman" w:hAnsi="Times New Roman" w:cs="Times New Roman"/>
          <w:noProof/>
          <w:sz w:val="24"/>
          <w:szCs w:val="24"/>
        </w:rPr>
        <w:t xml:space="preserve">and therefore </w:t>
      </w:r>
      <w:r w:rsidRPr="00A00723">
        <w:rPr>
          <w:rFonts w:ascii="Times New Roman" w:hAnsi="Times New Roman" w:cs="Times New Roman"/>
          <w:noProof/>
          <w:sz w:val="24"/>
          <w:szCs w:val="24"/>
        </w:rPr>
        <w:t>ECHA will take over the secretarial tasks of the committee.</w:t>
      </w:r>
      <w:r>
        <w:rPr>
          <w:rFonts w:ascii="Times New Roman" w:hAnsi="Times New Roman" w:cs="Times New Roman"/>
          <w:noProof/>
          <w:sz w:val="24"/>
          <w:szCs w:val="24"/>
        </w:rPr>
        <w:t xml:space="preserve"> </w:t>
      </w:r>
      <w:r w:rsidR="00DC0086">
        <w:rPr>
          <w:rFonts w:ascii="Times New Roman" w:hAnsi="Times New Roman" w:cs="Times New Roman"/>
          <w:noProof/>
          <w:sz w:val="24"/>
          <w:szCs w:val="24"/>
        </w:rPr>
        <w:t xml:space="preserve">It is important that the flexible arrangements are put in place to allow the best integration of the SCCS in ECHA and, in particular, in view </w:t>
      </w:r>
      <w:r w:rsidR="003F42EC">
        <w:rPr>
          <w:rFonts w:ascii="Times New Roman" w:hAnsi="Times New Roman" w:cs="Times New Roman"/>
          <w:noProof/>
          <w:sz w:val="24"/>
          <w:szCs w:val="24"/>
        </w:rPr>
        <w:t>o</w:t>
      </w:r>
      <w:r w:rsidR="00DC0086">
        <w:rPr>
          <w:rFonts w:ascii="Times New Roman" w:hAnsi="Times New Roman" w:cs="Times New Roman"/>
          <w:noProof/>
          <w:sz w:val="24"/>
          <w:szCs w:val="24"/>
        </w:rPr>
        <w:t xml:space="preserve">f any future reorganisation of the Agency’s bodies, that would take </w:t>
      </w:r>
      <w:r w:rsidRPr="00DC0086">
        <w:rPr>
          <w:rFonts w:ascii="Times New Roman" w:hAnsi="Times New Roman" w:cs="Times New Roman"/>
          <w:noProof/>
          <w:sz w:val="24"/>
          <w:szCs w:val="24"/>
        </w:rPr>
        <w:t>into account the experience with SCCS work in ECHA and the need to increase the capacity of the existing committees in ECHA as a consequence of number of reattributions.</w:t>
      </w:r>
      <w:r>
        <w:rPr>
          <w:rFonts w:ascii="Times New Roman" w:hAnsi="Times New Roman" w:cs="Times New Roman"/>
          <w:noProof/>
          <w:sz w:val="24"/>
          <w:szCs w:val="24"/>
        </w:rPr>
        <w:t xml:space="preserve"> </w:t>
      </w:r>
    </w:p>
    <w:p w14:paraId="48C56592" w14:textId="77777777" w:rsidR="000A7D9D" w:rsidRPr="00A00723" w:rsidRDefault="000A7D9D" w:rsidP="000A7D9D">
      <w:pPr>
        <w:spacing w:after="120"/>
        <w:jc w:val="both"/>
        <w:rPr>
          <w:rFonts w:ascii="Times New Roman" w:hAnsi="Times New Roman" w:cs="Times New Roman"/>
          <w:noProof/>
          <w:sz w:val="24"/>
          <w:szCs w:val="24"/>
        </w:rPr>
      </w:pPr>
      <w:r w:rsidRPr="00FD176F">
        <w:rPr>
          <w:rFonts w:ascii="Times New Roman" w:hAnsi="Times New Roman" w:cs="Times New Roman"/>
          <w:noProof/>
          <w:sz w:val="24"/>
          <w:szCs w:val="24"/>
        </w:rPr>
        <w:t>In view of the targeted revision of the CPR, apart from CMRs, additional hazard classes will be subject to risk management measures covering substances classified as endocrine disruptors, and the separate process will be established to examine the safety of substances that could affect the respiratory system and chemicals toxic to a specific target organ toxicant (STOT), which will also require the safety assessment by the SCCS. This is expected to result in a significant increase in the workload of the SCCS and the supporting work of the ECHA’s secretariat.</w:t>
      </w:r>
    </w:p>
    <w:p w14:paraId="57D66C54" w14:textId="60ECE964" w:rsidR="000A7D9D" w:rsidRPr="00A00723" w:rsidRDefault="000A7D9D" w:rsidP="000A7D9D">
      <w:pPr>
        <w:spacing w:before="120" w:after="120"/>
        <w:jc w:val="both"/>
        <w:rPr>
          <w:rFonts w:ascii="Times New Roman" w:hAnsi="Times New Roman" w:cs="Times New Roman"/>
          <w:noProof/>
          <w:sz w:val="24"/>
          <w:szCs w:val="24"/>
        </w:rPr>
      </w:pPr>
      <w:r w:rsidRPr="00A00723">
        <w:rPr>
          <w:rFonts w:ascii="Times New Roman" w:hAnsi="Times New Roman" w:cs="Times New Roman"/>
          <w:b/>
          <w:bCs/>
          <w:noProof/>
          <w:sz w:val="24"/>
          <w:szCs w:val="24"/>
        </w:rPr>
        <w:t xml:space="preserve">Proximity to ECHA mandate: </w:t>
      </w:r>
      <w:r w:rsidRPr="00A00723">
        <w:rPr>
          <w:rFonts w:ascii="Times New Roman" w:hAnsi="Times New Roman" w:cs="Times New Roman"/>
          <w:noProof/>
          <w:sz w:val="24"/>
          <w:szCs w:val="24"/>
        </w:rPr>
        <w:t xml:space="preserve">The risk assessment of chemicals including data management and facilitating the work of committees is a core part of the ECHA mandate. The task is therefore closely related to ECHA’s core mandate and ECHA has the needed data, competences and expertise to perform the task. </w:t>
      </w:r>
      <w:r w:rsidR="00034F26" w:rsidRPr="00034F26">
        <w:rPr>
          <w:rFonts w:ascii="Times New Roman" w:hAnsi="Times New Roman" w:cs="Times New Roman"/>
          <w:noProof/>
          <w:sz w:val="24"/>
          <w:szCs w:val="24"/>
        </w:rPr>
        <w:t>S</w:t>
      </w:r>
      <w:r w:rsidRPr="00034F26">
        <w:rPr>
          <w:rFonts w:ascii="Times New Roman" w:hAnsi="Times New Roman" w:cs="Times New Roman"/>
          <w:noProof/>
          <w:sz w:val="24"/>
          <w:szCs w:val="24"/>
        </w:rPr>
        <w:t xml:space="preserve">ynergies could be achieved if the work of the SCCS committee would be </w:t>
      </w:r>
      <w:r w:rsidR="00034F26">
        <w:rPr>
          <w:rFonts w:ascii="Times New Roman" w:hAnsi="Times New Roman" w:cs="Times New Roman"/>
          <w:noProof/>
          <w:sz w:val="24"/>
          <w:szCs w:val="24"/>
        </w:rPr>
        <w:t>translocated</w:t>
      </w:r>
      <w:r w:rsidRPr="00034F26">
        <w:rPr>
          <w:rFonts w:ascii="Times New Roman" w:hAnsi="Times New Roman" w:cs="Times New Roman"/>
          <w:noProof/>
          <w:sz w:val="24"/>
          <w:szCs w:val="24"/>
        </w:rPr>
        <w:t xml:space="preserve"> into ECHA</w:t>
      </w:r>
      <w:r w:rsidR="00034F26" w:rsidRPr="00034F26">
        <w:rPr>
          <w:rFonts w:ascii="Times New Roman" w:hAnsi="Times New Roman" w:cs="Times New Roman"/>
          <w:noProof/>
          <w:sz w:val="24"/>
          <w:szCs w:val="24"/>
        </w:rPr>
        <w:t xml:space="preserve">, </w:t>
      </w:r>
      <w:r w:rsidRPr="00034F26">
        <w:rPr>
          <w:rFonts w:ascii="Times New Roman" w:hAnsi="Times New Roman" w:cs="Times New Roman"/>
          <w:noProof/>
          <w:sz w:val="24"/>
          <w:szCs w:val="24"/>
        </w:rPr>
        <w:t>both in terms of efficiencies, as in terms of coherence of scientific opinions.</w:t>
      </w:r>
      <w:r w:rsidRPr="00A00723">
        <w:rPr>
          <w:rFonts w:ascii="Times New Roman" w:hAnsi="Times New Roman" w:cs="Times New Roman"/>
          <w:noProof/>
          <w:sz w:val="24"/>
          <w:szCs w:val="24"/>
        </w:rPr>
        <w:t xml:space="preserve">   </w:t>
      </w:r>
      <w:bookmarkStart w:id="92" w:name="_Hlk101911051"/>
    </w:p>
    <w:bookmarkEnd w:id="92"/>
    <w:p w14:paraId="5806A7A2" w14:textId="77777777" w:rsidR="000A7D9D" w:rsidRPr="00A00723" w:rsidRDefault="000A7D9D" w:rsidP="000A7D9D">
      <w:pPr>
        <w:pStyle w:val="BodyText"/>
        <w:rPr>
          <w:b/>
          <w:bCs/>
          <w:noProof/>
        </w:rPr>
      </w:pPr>
      <w:r w:rsidRPr="00A00723">
        <w:rPr>
          <w:b/>
          <w:bCs/>
          <w:noProof/>
        </w:rPr>
        <w:t>Projected synergies and added value of reattribution:</w:t>
      </w:r>
    </w:p>
    <w:tbl>
      <w:tblPr>
        <w:tblStyle w:val="TableGrid26"/>
        <w:tblW w:w="0" w:type="auto"/>
        <w:tblLook w:val="04A0" w:firstRow="1" w:lastRow="0" w:firstColumn="1" w:lastColumn="0" w:noHBand="0" w:noVBand="1"/>
      </w:tblPr>
      <w:tblGrid>
        <w:gridCol w:w="1690"/>
        <w:gridCol w:w="1067"/>
        <w:gridCol w:w="6259"/>
      </w:tblGrid>
      <w:tr w:rsidR="000A7D9D" w:rsidRPr="00A00723" w14:paraId="482EF49A" w14:textId="77777777" w:rsidTr="00F31937">
        <w:trPr>
          <w:trHeight w:val="300"/>
        </w:trPr>
        <w:tc>
          <w:tcPr>
            <w:tcW w:w="1729" w:type="dxa"/>
            <w:tcBorders>
              <w:top w:val="single" w:sz="4" w:space="0" w:color="auto"/>
              <w:left w:val="single" w:sz="4" w:space="0" w:color="auto"/>
              <w:bottom w:val="single" w:sz="4" w:space="0" w:color="auto"/>
              <w:right w:val="single" w:sz="4" w:space="0" w:color="auto"/>
            </w:tcBorders>
            <w:hideMark/>
          </w:tcPr>
          <w:p w14:paraId="1259D8E2" w14:textId="77777777" w:rsidR="000A7D9D" w:rsidRPr="00A00723" w:rsidRDefault="000A7D9D" w:rsidP="00F31937">
            <w:pPr>
              <w:spacing w:before="120" w:after="120"/>
              <w:rPr>
                <w:rFonts w:ascii="Times New Roman" w:hAnsi="Times New Roman"/>
                <w:b/>
                <w:bCs/>
                <w:noProof/>
                <w:color w:val="0046AD"/>
                <w:sz w:val="24"/>
                <w:szCs w:val="24"/>
              </w:rPr>
            </w:pPr>
            <w:r w:rsidRPr="00A00723">
              <w:rPr>
                <w:rFonts w:ascii="Times New Roman" w:hAnsi="Times New Roman"/>
                <w:b/>
                <w:bCs/>
                <w:noProof/>
                <w:color w:val="4472C4" w:themeColor="accent1"/>
                <w:sz w:val="24"/>
                <w:szCs w:val="24"/>
              </w:rPr>
              <w:t>Type</w:t>
            </w:r>
          </w:p>
        </w:tc>
        <w:tc>
          <w:tcPr>
            <w:tcW w:w="7900" w:type="dxa"/>
            <w:gridSpan w:val="2"/>
            <w:tcBorders>
              <w:top w:val="single" w:sz="4" w:space="0" w:color="auto"/>
              <w:left w:val="single" w:sz="4" w:space="0" w:color="auto"/>
              <w:bottom w:val="single" w:sz="4" w:space="0" w:color="auto"/>
              <w:right w:val="single" w:sz="4" w:space="0" w:color="auto"/>
            </w:tcBorders>
            <w:hideMark/>
          </w:tcPr>
          <w:p w14:paraId="1BE20037" w14:textId="77777777" w:rsidR="000A7D9D" w:rsidRPr="00A00723" w:rsidRDefault="000A7D9D" w:rsidP="00F31937">
            <w:pPr>
              <w:spacing w:before="120" w:after="120"/>
              <w:rPr>
                <w:rFonts w:ascii="Times New Roman" w:hAnsi="Times New Roman"/>
                <w:b/>
                <w:bCs/>
                <w:noProof/>
                <w:color w:val="0046AD"/>
                <w:sz w:val="24"/>
                <w:szCs w:val="24"/>
              </w:rPr>
            </w:pPr>
            <w:r w:rsidRPr="00A00723">
              <w:rPr>
                <w:rFonts w:ascii="Times New Roman" w:hAnsi="Times New Roman"/>
                <w:b/>
                <w:bCs/>
                <w:noProof/>
                <w:color w:val="4472C4" w:themeColor="accent1"/>
                <w:sz w:val="24"/>
                <w:szCs w:val="24"/>
              </w:rPr>
              <w:t>Synergies</w:t>
            </w:r>
          </w:p>
        </w:tc>
      </w:tr>
      <w:tr w:rsidR="000A7D9D" w:rsidRPr="00A00723" w14:paraId="0E825AB9"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4C6AA1BE"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Reuse of capabilities</w:t>
            </w:r>
          </w:p>
        </w:tc>
        <w:tc>
          <w:tcPr>
            <w:tcW w:w="1116" w:type="dxa"/>
            <w:tcBorders>
              <w:top w:val="single" w:sz="4" w:space="0" w:color="auto"/>
              <w:left w:val="single" w:sz="4" w:space="0" w:color="auto"/>
              <w:bottom w:val="single" w:sz="4" w:space="0" w:color="auto"/>
              <w:right w:val="single" w:sz="4" w:space="0" w:color="auto"/>
            </w:tcBorders>
            <w:hideMark/>
          </w:tcPr>
          <w:p w14:paraId="31CBE225"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75AF8366"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Process and expertise: ECHA already performs similar work on restrictions, derogations and setting of limit values under REACH and other legislation. Several key capacities can be reused/reinforced:</w:t>
            </w:r>
          </w:p>
          <w:p w14:paraId="6950D7B7" w14:textId="77777777" w:rsidR="000A7D9D" w:rsidRPr="00A00723" w:rsidRDefault="000A7D9D" w:rsidP="000A7D9D">
            <w:pPr>
              <w:numPr>
                <w:ilvl w:val="0"/>
                <w:numId w:val="21"/>
              </w:numPr>
              <w:snapToGrid w:val="0"/>
              <w:ind w:left="720"/>
              <w:contextualSpacing/>
              <w:rPr>
                <w:rFonts w:ascii="Times New Roman" w:hAnsi="Times New Roman"/>
                <w:noProof/>
                <w:sz w:val="24"/>
                <w:szCs w:val="24"/>
              </w:rPr>
            </w:pPr>
            <w:r w:rsidRPr="00A00723">
              <w:rPr>
                <w:rFonts w:ascii="Times New Roman" w:hAnsi="Times New Roman"/>
                <w:noProof/>
                <w:sz w:val="24"/>
                <w:szCs w:val="24"/>
              </w:rPr>
              <w:t>Hazard, risk and exposure assessment</w:t>
            </w:r>
          </w:p>
          <w:p w14:paraId="5D706477" w14:textId="77777777" w:rsidR="000A7D9D" w:rsidRPr="00A00723" w:rsidRDefault="000A7D9D" w:rsidP="000A7D9D">
            <w:pPr>
              <w:numPr>
                <w:ilvl w:val="0"/>
                <w:numId w:val="21"/>
              </w:numPr>
              <w:snapToGrid w:val="0"/>
              <w:ind w:left="720"/>
              <w:contextualSpacing/>
              <w:rPr>
                <w:rFonts w:ascii="Times New Roman" w:hAnsi="Times New Roman"/>
                <w:noProof/>
                <w:sz w:val="24"/>
                <w:szCs w:val="24"/>
              </w:rPr>
            </w:pPr>
            <w:r w:rsidRPr="00A00723">
              <w:rPr>
                <w:rFonts w:ascii="Times New Roman" w:hAnsi="Times New Roman"/>
                <w:noProof/>
                <w:sz w:val="24"/>
                <w:szCs w:val="24"/>
              </w:rPr>
              <w:t>Exposure limit value definition</w:t>
            </w:r>
          </w:p>
          <w:p w14:paraId="3BCB1308"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sz w:val="24"/>
                <w:szCs w:val="24"/>
              </w:rPr>
              <w:t>Committee opinion development</w:t>
            </w:r>
          </w:p>
          <w:p w14:paraId="78A5DFA9"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Existing IT capabilities for industry dossier submission, stakeholder consultation and dissemination</w:t>
            </w:r>
          </w:p>
        </w:tc>
      </w:tr>
      <w:tr w:rsidR="000A7D9D" w:rsidRPr="00A00723" w14:paraId="545B764F"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39DF164B"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Re-use of data</w:t>
            </w:r>
          </w:p>
        </w:tc>
        <w:tc>
          <w:tcPr>
            <w:tcW w:w="1116" w:type="dxa"/>
            <w:tcBorders>
              <w:top w:val="single" w:sz="4" w:space="0" w:color="auto"/>
              <w:left w:val="single" w:sz="4" w:space="0" w:color="auto"/>
              <w:bottom w:val="single" w:sz="4" w:space="0" w:color="auto"/>
              <w:right w:val="single" w:sz="4" w:space="0" w:color="auto"/>
            </w:tcBorders>
            <w:hideMark/>
          </w:tcPr>
          <w:p w14:paraId="3E66FFBB"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106D8386"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 xml:space="preserve">Reuse of data collected under other chemical legislation, especially REACH &amp; CLP, with a focus on CMRs </w:t>
            </w:r>
            <w:r>
              <w:rPr>
                <w:rFonts w:ascii="Times New Roman" w:hAnsi="Times New Roman"/>
                <w:noProof/>
                <w:color w:val="000000" w:themeColor="text1"/>
                <w:sz w:val="24"/>
                <w:szCs w:val="24"/>
              </w:rPr>
              <w:t>e</w:t>
            </w:r>
            <w:r w:rsidRPr="00A00723">
              <w:rPr>
                <w:rFonts w:ascii="Times New Roman" w:hAnsi="Times New Roman"/>
                <w:noProof/>
                <w:color w:val="000000" w:themeColor="text1"/>
                <w:sz w:val="24"/>
                <w:szCs w:val="24"/>
              </w:rPr>
              <w:t xml:space="preserve">ndocrine </w:t>
            </w:r>
            <w:r>
              <w:rPr>
                <w:rFonts w:ascii="Times New Roman" w:hAnsi="Times New Roman"/>
                <w:noProof/>
                <w:color w:val="000000" w:themeColor="text1"/>
                <w:sz w:val="24"/>
                <w:szCs w:val="24"/>
              </w:rPr>
              <w:t>d</w:t>
            </w:r>
            <w:r w:rsidRPr="00A00723">
              <w:rPr>
                <w:rFonts w:ascii="Times New Roman" w:hAnsi="Times New Roman"/>
                <w:noProof/>
                <w:color w:val="000000" w:themeColor="text1"/>
                <w:sz w:val="24"/>
                <w:szCs w:val="24"/>
              </w:rPr>
              <w:t>isruptors</w:t>
            </w:r>
            <w:r w:rsidRPr="004D5C2F">
              <w:rPr>
                <w:rFonts w:ascii="Times New Roman" w:eastAsiaTheme="minorHAnsi" w:hAnsi="Times New Roman" w:cstheme="minorBidi"/>
                <w:noProof/>
                <w:color w:val="000000" w:themeColor="text1"/>
                <w:sz w:val="24"/>
                <w:szCs w:val="24"/>
                <w:lang w:eastAsia="en-US"/>
              </w:rPr>
              <w:t xml:space="preserve"> </w:t>
            </w:r>
            <w:r w:rsidRPr="004D5C2F">
              <w:rPr>
                <w:rFonts w:ascii="Times New Roman" w:hAnsi="Times New Roman"/>
                <w:noProof/>
                <w:color w:val="000000" w:themeColor="text1"/>
                <w:sz w:val="24"/>
                <w:szCs w:val="24"/>
              </w:rPr>
              <w:t>or other hazardous chemicals</w:t>
            </w:r>
            <w:r w:rsidRPr="00A00723">
              <w:rPr>
                <w:rFonts w:ascii="Times New Roman" w:hAnsi="Times New Roman"/>
                <w:noProof/>
                <w:color w:val="000000" w:themeColor="text1"/>
                <w:sz w:val="24"/>
                <w:szCs w:val="24"/>
              </w:rPr>
              <w:t>.</w:t>
            </w:r>
          </w:p>
        </w:tc>
      </w:tr>
      <w:tr w:rsidR="000A7D9D" w:rsidRPr="00A00723" w14:paraId="7B5A0B5F"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53D68B3E"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Workload balancing</w:t>
            </w:r>
          </w:p>
        </w:tc>
        <w:tc>
          <w:tcPr>
            <w:tcW w:w="1116" w:type="dxa"/>
            <w:tcBorders>
              <w:top w:val="single" w:sz="4" w:space="0" w:color="auto"/>
              <w:left w:val="single" w:sz="4" w:space="0" w:color="auto"/>
              <w:bottom w:val="single" w:sz="4" w:space="0" w:color="auto"/>
              <w:right w:val="single" w:sz="4" w:space="0" w:color="auto"/>
            </w:tcBorders>
            <w:hideMark/>
          </w:tcPr>
          <w:p w14:paraId="68A89B7E" w14:textId="77777777" w:rsidR="000A7D9D" w:rsidRPr="00A00723" w:rsidRDefault="000A7D9D" w:rsidP="00F31937">
            <w:pPr>
              <w:spacing w:before="120" w:after="120"/>
              <w:rPr>
                <w:rFonts w:ascii="Times New Roman" w:hAnsi="Times New Roman"/>
                <w:noProof/>
                <w:color w:val="000000"/>
                <w:sz w:val="24"/>
                <w:szCs w:val="24"/>
              </w:rPr>
            </w:pPr>
            <w:r>
              <w:rPr>
                <w:rFonts w:ascii="Times New Roman" w:hAnsi="Times New Roman"/>
                <w:noProof/>
                <w:color w:val="000000" w:themeColor="text1"/>
                <w:sz w:val="24"/>
                <w:szCs w:val="24"/>
              </w:rPr>
              <w:t>Low</w:t>
            </w:r>
          </w:p>
        </w:tc>
        <w:tc>
          <w:tcPr>
            <w:tcW w:w="6784" w:type="dxa"/>
            <w:tcBorders>
              <w:top w:val="single" w:sz="4" w:space="0" w:color="auto"/>
              <w:left w:val="single" w:sz="4" w:space="0" w:color="auto"/>
              <w:bottom w:val="single" w:sz="4" w:space="0" w:color="auto"/>
              <w:right w:val="single" w:sz="4" w:space="0" w:color="auto"/>
            </w:tcBorders>
            <w:hideMark/>
          </w:tcPr>
          <w:p w14:paraId="2762260A" w14:textId="4A57BDAA" w:rsidR="000A7D9D" w:rsidRPr="00A00723" w:rsidRDefault="000A7D9D" w:rsidP="003E01AE">
            <w:pPr>
              <w:spacing w:before="120" w:after="120"/>
              <w:rPr>
                <w:rFonts w:ascii="Times New Roman" w:hAnsi="Times New Roman"/>
                <w:noProof/>
                <w:color w:val="000000"/>
                <w:sz w:val="24"/>
                <w:szCs w:val="24"/>
              </w:rPr>
            </w:pPr>
            <w:r w:rsidRPr="003E01AE">
              <w:rPr>
                <w:rFonts w:ascii="Times New Roman" w:hAnsi="Times New Roman"/>
                <w:noProof/>
                <w:color w:val="000000" w:themeColor="text1"/>
                <w:sz w:val="24"/>
                <w:szCs w:val="24"/>
              </w:rPr>
              <w:t xml:space="preserve">With an estimated </w:t>
            </w:r>
            <w:r w:rsidR="00A837A2" w:rsidRPr="003E01AE">
              <w:rPr>
                <w:rFonts w:ascii="Times New Roman" w:hAnsi="Times New Roman"/>
                <w:noProof/>
                <w:color w:val="000000" w:themeColor="text1"/>
                <w:sz w:val="24"/>
                <w:szCs w:val="24"/>
              </w:rPr>
              <w:t xml:space="preserve">workload </w:t>
            </w:r>
            <w:r w:rsidRPr="003E01AE">
              <w:rPr>
                <w:rFonts w:ascii="Times New Roman" w:hAnsi="Times New Roman"/>
                <w:noProof/>
                <w:color w:val="000000" w:themeColor="text1"/>
                <w:sz w:val="24"/>
                <w:szCs w:val="24"/>
              </w:rPr>
              <w:t xml:space="preserve">of </w:t>
            </w:r>
            <w:r w:rsidR="00A837A2" w:rsidRPr="003E01AE">
              <w:rPr>
                <w:rFonts w:ascii="Times New Roman" w:hAnsi="Times New Roman"/>
                <w:noProof/>
                <w:color w:val="000000" w:themeColor="text1"/>
                <w:sz w:val="24"/>
                <w:szCs w:val="24"/>
              </w:rPr>
              <w:t xml:space="preserve">11 </w:t>
            </w:r>
            <w:r w:rsidRPr="003E01AE">
              <w:rPr>
                <w:rFonts w:ascii="Times New Roman" w:hAnsi="Times New Roman"/>
                <w:noProof/>
                <w:color w:val="000000" w:themeColor="text1"/>
                <w:sz w:val="24"/>
                <w:szCs w:val="24"/>
              </w:rPr>
              <w:t>opinions to be worked on in parallel, there is little room for workload balancing</w:t>
            </w:r>
            <w:r w:rsidR="003E01AE">
              <w:rPr>
                <w:rFonts w:ascii="Times New Roman" w:hAnsi="Times New Roman"/>
                <w:noProof/>
                <w:color w:val="000000" w:themeColor="text1"/>
                <w:sz w:val="24"/>
                <w:szCs w:val="24"/>
              </w:rPr>
              <w:t>.</w:t>
            </w:r>
            <w:r w:rsidRPr="00A00723">
              <w:rPr>
                <w:rFonts w:ascii="Times New Roman" w:hAnsi="Times New Roman"/>
                <w:noProof/>
                <w:color w:val="000000" w:themeColor="text1"/>
                <w:sz w:val="24"/>
                <w:szCs w:val="24"/>
              </w:rPr>
              <w:t xml:space="preserve"> </w:t>
            </w:r>
          </w:p>
        </w:tc>
      </w:tr>
      <w:tr w:rsidR="000A7D9D" w:rsidRPr="00A00723" w14:paraId="571B2600"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48732F20"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IT tools: automation and economies of scale</w:t>
            </w:r>
          </w:p>
        </w:tc>
        <w:tc>
          <w:tcPr>
            <w:tcW w:w="1116" w:type="dxa"/>
            <w:tcBorders>
              <w:top w:val="single" w:sz="4" w:space="0" w:color="auto"/>
              <w:left w:val="single" w:sz="4" w:space="0" w:color="auto"/>
              <w:bottom w:val="single" w:sz="4" w:space="0" w:color="auto"/>
              <w:right w:val="single" w:sz="4" w:space="0" w:color="auto"/>
            </w:tcBorders>
            <w:hideMark/>
          </w:tcPr>
          <w:p w14:paraId="05E3C2F5"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0DBAECCD"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Industry actors can submit their derogation requests reusing existing ECHA submission tools, at the same time automating the existing process. In addition, reuse of IT capabilities for case management, public consultation, interaction with Member States, regulatory intentions management and data dissemination.</w:t>
            </w:r>
          </w:p>
        </w:tc>
      </w:tr>
      <w:tr w:rsidR="000A7D9D" w:rsidRPr="00A00723" w14:paraId="3E1CD17E" w14:textId="77777777" w:rsidTr="00F31937">
        <w:tc>
          <w:tcPr>
            <w:tcW w:w="1729" w:type="dxa"/>
            <w:tcBorders>
              <w:top w:val="single" w:sz="4" w:space="0" w:color="auto"/>
              <w:left w:val="single" w:sz="4" w:space="0" w:color="auto"/>
              <w:bottom w:val="single" w:sz="4" w:space="0" w:color="auto"/>
              <w:right w:val="single" w:sz="4" w:space="0" w:color="auto"/>
            </w:tcBorders>
            <w:hideMark/>
          </w:tcPr>
          <w:p w14:paraId="478DAA50"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Support services: economies of scale</w:t>
            </w:r>
          </w:p>
        </w:tc>
        <w:tc>
          <w:tcPr>
            <w:tcW w:w="1116" w:type="dxa"/>
            <w:tcBorders>
              <w:top w:val="single" w:sz="4" w:space="0" w:color="auto"/>
              <w:left w:val="single" w:sz="4" w:space="0" w:color="auto"/>
              <w:bottom w:val="single" w:sz="4" w:space="0" w:color="auto"/>
              <w:right w:val="single" w:sz="4" w:space="0" w:color="auto"/>
            </w:tcBorders>
            <w:hideMark/>
          </w:tcPr>
          <w:p w14:paraId="20CB9083"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84" w:type="dxa"/>
            <w:tcBorders>
              <w:top w:val="single" w:sz="4" w:space="0" w:color="auto"/>
              <w:left w:val="single" w:sz="4" w:space="0" w:color="auto"/>
              <w:bottom w:val="single" w:sz="4" w:space="0" w:color="auto"/>
              <w:right w:val="single" w:sz="4" w:space="0" w:color="auto"/>
            </w:tcBorders>
            <w:hideMark/>
          </w:tcPr>
          <w:p w14:paraId="3C73B613"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Reuse of scientific support services (e.g. committee secretariat, prioritisation and grouping of substances, substance identification, data management and dissemination). Reuse of administrative services.</w:t>
            </w:r>
          </w:p>
        </w:tc>
      </w:tr>
    </w:tbl>
    <w:p w14:paraId="729D9966" w14:textId="77777777" w:rsidR="000A7D9D" w:rsidRPr="00A00723" w:rsidRDefault="000A7D9D" w:rsidP="000A7D9D">
      <w:pPr>
        <w:pStyle w:val="BodyText"/>
        <w:rPr>
          <w:noProof/>
        </w:rPr>
      </w:pPr>
    </w:p>
    <w:tbl>
      <w:tblPr>
        <w:tblStyle w:val="TableGrid27"/>
        <w:tblW w:w="0" w:type="auto"/>
        <w:tblLook w:val="04A0" w:firstRow="1" w:lastRow="0" w:firstColumn="1" w:lastColumn="0" w:noHBand="0" w:noVBand="1"/>
      </w:tblPr>
      <w:tblGrid>
        <w:gridCol w:w="1798"/>
        <w:gridCol w:w="1005"/>
        <w:gridCol w:w="6213"/>
      </w:tblGrid>
      <w:tr w:rsidR="000A7D9D" w:rsidRPr="00A00723" w14:paraId="76E2755F" w14:textId="77777777" w:rsidTr="00F31937">
        <w:trPr>
          <w:trHeight w:val="300"/>
        </w:trPr>
        <w:tc>
          <w:tcPr>
            <w:tcW w:w="1822" w:type="dxa"/>
            <w:tcBorders>
              <w:top w:val="single" w:sz="4" w:space="0" w:color="auto"/>
              <w:left w:val="single" w:sz="4" w:space="0" w:color="auto"/>
              <w:bottom w:val="single" w:sz="4" w:space="0" w:color="auto"/>
              <w:right w:val="single" w:sz="4" w:space="0" w:color="auto"/>
            </w:tcBorders>
            <w:hideMark/>
          </w:tcPr>
          <w:p w14:paraId="2312DAF6" w14:textId="77777777" w:rsidR="000A7D9D" w:rsidRPr="00A00723" w:rsidRDefault="000A7D9D" w:rsidP="00F31937">
            <w:pPr>
              <w:spacing w:before="120" w:after="120"/>
              <w:rPr>
                <w:rFonts w:ascii="Times New Roman" w:hAnsi="Times New Roman"/>
                <w:b/>
                <w:bCs/>
                <w:noProof/>
                <w:color w:val="0046AD"/>
                <w:sz w:val="24"/>
                <w:szCs w:val="24"/>
              </w:rPr>
            </w:pPr>
            <w:r w:rsidRPr="00A00723">
              <w:rPr>
                <w:rFonts w:ascii="Times New Roman" w:hAnsi="Times New Roman"/>
                <w:b/>
                <w:bCs/>
                <w:noProof/>
                <w:color w:val="4472C4" w:themeColor="accent1"/>
                <w:sz w:val="24"/>
                <w:szCs w:val="24"/>
              </w:rPr>
              <w:t>Type</w:t>
            </w:r>
          </w:p>
        </w:tc>
        <w:tc>
          <w:tcPr>
            <w:tcW w:w="7807" w:type="dxa"/>
            <w:gridSpan w:val="2"/>
            <w:tcBorders>
              <w:top w:val="single" w:sz="4" w:space="0" w:color="auto"/>
              <w:left w:val="single" w:sz="4" w:space="0" w:color="auto"/>
              <w:bottom w:val="single" w:sz="4" w:space="0" w:color="auto"/>
              <w:right w:val="single" w:sz="4" w:space="0" w:color="auto"/>
            </w:tcBorders>
            <w:hideMark/>
          </w:tcPr>
          <w:p w14:paraId="2566E16A" w14:textId="77777777" w:rsidR="000A7D9D" w:rsidRPr="00A00723" w:rsidRDefault="000A7D9D" w:rsidP="00F31937">
            <w:pPr>
              <w:spacing w:before="120" w:after="120"/>
              <w:rPr>
                <w:rFonts w:ascii="Times New Roman" w:hAnsi="Times New Roman"/>
                <w:b/>
                <w:bCs/>
                <w:noProof/>
                <w:color w:val="0046AD"/>
                <w:sz w:val="24"/>
                <w:szCs w:val="24"/>
              </w:rPr>
            </w:pPr>
            <w:r w:rsidRPr="00A00723">
              <w:rPr>
                <w:rFonts w:ascii="Times New Roman" w:hAnsi="Times New Roman"/>
                <w:b/>
                <w:bCs/>
                <w:noProof/>
                <w:color w:val="4472C4" w:themeColor="accent1"/>
                <w:sz w:val="24"/>
                <w:szCs w:val="24"/>
              </w:rPr>
              <w:t>Added value</w:t>
            </w:r>
          </w:p>
        </w:tc>
      </w:tr>
      <w:tr w:rsidR="000A7D9D" w:rsidRPr="00A00723" w14:paraId="0CA602B2"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68BDC3DB"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Scientific consistency</w:t>
            </w:r>
          </w:p>
        </w:tc>
        <w:tc>
          <w:tcPr>
            <w:tcW w:w="1057" w:type="dxa"/>
            <w:tcBorders>
              <w:top w:val="single" w:sz="4" w:space="0" w:color="auto"/>
              <w:left w:val="single" w:sz="4" w:space="0" w:color="auto"/>
              <w:bottom w:val="single" w:sz="4" w:space="0" w:color="auto"/>
              <w:right w:val="single" w:sz="4" w:space="0" w:color="auto"/>
            </w:tcBorders>
            <w:hideMark/>
          </w:tcPr>
          <w:p w14:paraId="530F9C9F"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18F86777"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Opportunity to align priority setting, timeline, process and methodology with other related legislation to improve coherence in the scientific advice provided to the Commission. Reuse of data collected under other chemical legislation. Opportunity to promote risk assessment methodologies based on non-animal data beyond cosmetic area.</w:t>
            </w:r>
          </w:p>
        </w:tc>
      </w:tr>
      <w:tr w:rsidR="000A7D9D" w:rsidRPr="00A00723" w14:paraId="2FA65A45"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57C21E8F"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Independence</w:t>
            </w:r>
          </w:p>
        </w:tc>
        <w:tc>
          <w:tcPr>
            <w:tcW w:w="1057" w:type="dxa"/>
            <w:tcBorders>
              <w:top w:val="single" w:sz="4" w:space="0" w:color="auto"/>
              <w:left w:val="single" w:sz="4" w:space="0" w:color="auto"/>
              <w:bottom w:val="single" w:sz="4" w:space="0" w:color="auto"/>
              <w:right w:val="single" w:sz="4" w:space="0" w:color="auto"/>
            </w:tcBorders>
            <w:hideMark/>
          </w:tcPr>
          <w:p w14:paraId="4D1B411F"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299E0EB1"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Moving the SCCS and its tasks to the European Chemicals Agency will continue ensuring the strict separation between science and policy. ECHA and its committees work under strict conflict of interest avoidance rules, improving guarantees of independent scientific advice to the Commission.</w:t>
            </w:r>
          </w:p>
        </w:tc>
      </w:tr>
      <w:tr w:rsidR="000A7D9D" w:rsidRPr="00A00723" w14:paraId="4DF8AD4B" w14:textId="77777777" w:rsidTr="00F31937">
        <w:tc>
          <w:tcPr>
            <w:tcW w:w="1822" w:type="dxa"/>
            <w:tcBorders>
              <w:top w:val="single" w:sz="4" w:space="0" w:color="auto"/>
              <w:left w:val="single" w:sz="4" w:space="0" w:color="auto"/>
              <w:bottom w:val="single" w:sz="4" w:space="0" w:color="auto"/>
              <w:right w:val="single" w:sz="4" w:space="0" w:color="auto"/>
            </w:tcBorders>
            <w:hideMark/>
          </w:tcPr>
          <w:p w14:paraId="1BE1C4DD" w14:textId="77777777" w:rsidR="000A7D9D" w:rsidRPr="00A00723" w:rsidRDefault="000A7D9D" w:rsidP="00F31937">
            <w:pPr>
              <w:spacing w:before="120" w:after="120"/>
              <w:rPr>
                <w:rFonts w:ascii="Times New Roman" w:hAnsi="Times New Roman"/>
                <w:b/>
                <w:bCs/>
                <w:noProof/>
                <w:color w:val="000000"/>
                <w:sz w:val="24"/>
                <w:szCs w:val="24"/>
              </w:rPr>
            </w:pPr>
            <w:r w:rsidRPr="00A00723">
              <w:rPr>
                <w:rFonts w:ascii="Times New Roman" w:hAnsi="Times New Roman"/>
                <w:b/>
                <w:bCs/>
                <w:noProof/>
                <w:color w:val="000000" w:themeColor="text1"/>
                <w:sz w:val="24"/>
                <w:szCs w:val="24"/>
              </w:rPr>
              <w:t>Transparency</w:t>
            </w:r>
          </w:p>
        </w:tc>
        <w:tc>
          <w:tcPr>
            <w:tcW w:w="1057" w:type="dxa"/>
            <w:tcBorders>
              <w:top w:val="single" w:sz="4" w:space="0" w:color="auto"/>
              <w:left w:val="single" w:sz="4" w:space="0" w:color="auto"/>
              <w:bottom w:val="single" w:sz="4" w:space="0" w:color="auto"/>
              <w:right w:val="single" w:sz="4" w:space="0" w:color="auto"/>
            </w:tcBorders>
            <w:hideMark/>
          </w:tcPr>
          <w:p w14:paraId="3F4A03D0"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High</w:t>
            </w:r>
          </w:p>
        </w:tc>
        <w:tc>
          <w:tcPr>
            <w:tcW w:w="6750" w:type="dxa"/>
            <w:tcBorders>
              <w:top w:val="single" w:sz="4" w:space="0" w:color="auto"/>
              <w:left w:val="single" w:sz="4" w:space="0" w:color="auto"/>
              <w:bottom w:val="single" w:sz="4" w:space="0" w:color="auto"/>
              <w:right w:val="single" w:sz="4" w:space="0" w:color="auto"/>
            </w:tcBorders>
            <w:hideMark/>
          </w:tcPr>
          <w:p w14:paraId="15811EE1" w14:textId="77777777" w:rsidR="000A7D9D" w:rsidRPr="00A00723" w:rsidRDefault="000A7D9D" w:rsidP="00F31937">
            <w:pPr>
              <w:spacing w:before="120" w:after="120"/>
              <w:rPr>
                <w:rFonts w:ascii="Times New Roman" w:hAnsi="Times New Roman"/>
                <w:noProof/>
                <w:color w:val="000000"/>
                <w:sz w:val="24"/>
                <w:szCs w:val="24"/>
              </w:rPr>
            </w:pPr>
            <w:r w:rsidRPr="00A00723">
              <w:rPr>
                <w:rFonts w:ascii="Times New Roman" w:hAnsi="Times New Roman"/>
                <w:noProof/>
                <w:color w:val="000000" w:themeColor="text1"/>
                <w:sz w:val="24"/>
                <w:szCs w:val="24"/>
              </w:rPr>
              <w:t>ECHA’s involvement will bring additional transparency to the process:</w:t>
            </w:r>
          </w:p>
          <w:p w14:paraId="158A48D3"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Overall process transparency</w:t>
            </w:r>
          </w:p>
          <w:p w14:paraId="75188B22"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Publication of regulatory intentions of EU authorities improves predictability for industry stakeholders</w:t>
            </w:r>
          </w:p>
          <w:p w14:paraId="499E984E"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Public consultation/call for evidence</w:t>
            </w:r>
          </w:p>
          <w:p w14:paraId="6445B30A"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Stakeholder involvement/observer status</w:t>
            </w:r>
          </w:p>
          <w:p w14:paraId="60F26424" w14:textId="77777777" w:rsidR="000A7D9D" w:rsidRPr="00A00723" w:rsidRDefault="000A7D9D" w:rsidP="000A7D9D">
            <w:pPr>
              <w:numPr>
                <w:ilvl w:val="0"/>
                <w:numId w:val="21"/>
              </w:numPr>
              <w:snapToGrid w:val="0"/>
              <w:spacing w:before="120" w:after="120"/>
              <w:ind w:left="720"/>
              <w:contextualSpacing/>
              <w:rPr>
                <w:rFonts w:ascii="Times New Roman" w:hAnsi="Times New Roman"/>
                <w:noProof/>
                <w:color w:val="000000"/>
                <w:sz w:val="24"/>
                <w:szCs w:val="24"/>
              </w:rPr>
            </w:pPr>
            <w:r w:rsidRPr="00A00723">
              <w:rPr>
                <w:rFonts w:ascii="Times New Roman" w:hAnsi="Times New Roman"/>
                <w:noProof/>
                <w:color w:val="000000" w:themeColor="text1"/>
                <w:sz w:val="24"/>
                <w:szCs w:val="24"/>
              </w:rPr>
              <w:t>Dissemination of scientific data and outcomes</w:t>
            </w:r>
          </w:p>
        </w:tc>
      </w:tr>
    </w:tbl>
    <w:p w14:paraId="581CE585" w14:textId="77777777" w:rsidR="000A7D9D" w:rsidRPr="00A00723" w:rsidRDefault="000A7D9D" w:rsidP="000A7D9D">
      <w:pPr>
        <w:pStyle w:val="BodyText"/>
        <w:spacing w:before="120"/>
        <w:jc w:val="both"/>
        <w:rPr>
          <w:noProof/>
        </w:rPr>
      </w:pPr>
      <w:r w:rsidRPr="00A00723">
        <w:rPr>
          <w:b/>
          <w:bCs/>
          <w:noProof/>
        </w:rPr>
        <w:t xml:space="preserve">Main risks and opportunities: </w:t>
      </w:r>
      <w:r w:rsidRPr="00A00723">
        <w:rPr>
          <w:noProof/>
        </w:rPr>
        <w:t xml:space="preserve">The high impact on the ECHA committee structure needs to be addressed and the existing expertise in the SCCS committee should be retained to the extent possible. There is a need to ensure continuity of the opinion making to ensure undisturbed implementation of the Cosmetic Products Regulation. Working methodologies would need to be </w:t>
      </w:r>
      <w:r>
        <w:rPr>
          <w:noProof/>
        </w:rPr>
        <w:t>adapted</w:t>
      </w:r>
      <w:r w:rsidRPr="00A00723">
        <w:rPr>
          <w:noProof/>
        </w:rPr>
        <w:t xml:space="preserve">. </w:t>
      </w:r>
    </w:p>
    <w:p w14:paraId="679DFFE6" w14:textId="77777777" w:rsidR="000A7D9D" w:rsidRPr="00A00723" w:rsidRDefault="000A7D9D" w:rsidP="000A7D9D">
      <w:pPr>
        <w:pStyle w:val="BodyText"/>
        <w:jc w:val="both"/>
        <w:rPr>
          <w:b/>
          <w:bCs/>
          <w:noProof/>
        </w:rPr>
      </w:pPr>
      <w:r w:rsidRPr="00A00723">
        <w:rPr>
          <w:b/>
          <w:bCs/>
          <w:noProof/>
        </w:rPr>
        <w:t>Projected impact on ECHA:</w:t>
      </w:r>
    </w:p>
    <w:p w14:paraId="336EF991" w14:textId="77777777" w:rsidR="000A7D9D" w:rsidRPr="00A00723" w:rsidRDefault="000A7D9D" w:rsidP="000A7D9D">
      <w:pPr>
        <w:pStyle w:val="BodyText"/>
        <w:widowControl w:val="0"/>
        <w:numPr>
          <w:ilvl w:val="0"/>
          <w:numId w:val="88"/>
        </w:numPr>
        <w:jc w:val="both"/>
        <w:rPr>
          <w:b/>
          <w:bCs/>
          <w:noProof/>
        </w:rPr>
      </w:pPr>
      <w:r w:rsidRPr="00A00723">
        <w:rPr>
          <w:noProof/>
        </w:rPr>
        <w:t xml:space="preserve">ECHA Committees/bodies: </w:t>
      </w:r>
      <w:r w:rsidRPr="00A00723">
        <w:rPr>
          <w:b/>
          <w:bCs/>
          <w:noProof/>
        </w:rPr>
        <w:t>high impact</w:t>
      </w:r>
      <w:r w:rsidRPr="00A00723">
        <w:rPr>
          <w:noProof/>
        </w:rPr>
        <w:t>. The task generates major impact on the setup / organisation / staffing of Committees/bodies due to the additional workload and due to a new committee</w:t>
      </w:r>
    </w:p>
    <w:tbl>
      <w:tblPr>
        <w:tblStyle w:val="TableGrid"/>
        <w:tblW w:w="8505" w:type="dxa"/>
        <w:tblInd w:w="562" w:type="dxa"/>
        <w:tblLook w:val="04A0" w:firstRow="1" w:lastRow="0" w:firstColumn="1" w:lastColumn="0" w:noHBand="0" w:noVBand="1"/>
      </w:tblPr>
      <w:tblGrid>
        <w:gridCol w:w="1696"/>
        <w:gridCol w:w="2273"/>
        <w:gridCol w:w="2127"/>
        <w:gridCol w:w="2409"/>
      </w:tblGrid>
      <w:tr w:rsidR="000A7D9D" w:rsidRPr="00146CE9" w14:paraId="3BC46B0E" w14:textId="77777777" w:rsidTr="00F31937">
        <w:tc>
          <w:tcPr>
            <w:tcW w:w="1696" w:type="dxa"/>
          </w:tcPr>
          <w:p w14:paraId="4368EF71" w14:textId="77777777" w:rsidR="000A7D9D" w:rsidRPr="00A00723" w:rsidRDefault="000A7D9D" w:rsidP="00F31937">
            <w:pPr>
              <w:pStyle w:val="BodyText"/>
              <w:rPr>
                <w:b/>
                <w:bCs/>
                <w:noProof/>
                <w:sz w:val="20"/>
                <w:szCs w:val="20"/>
              </w:rPr>
            </w:pPr>
          </w:p>
        </w:tc>
        <w:tc>
          <w:tcPr>
            <w:tcW w:w="2273" w:type="dxa"/>
          </w:tcPr>
          <w:p w14:paraId="2BB68BA2" w14:textId="77777777" w:rsidR="000A7D9D" w:rsidRPr="00A00723" w:rsidRDefault="000A7D9D" w:rsidP="00F31937">
            <w:pPr>
              <w:pStyle w:val="BodyText"/>
              <w:rPr>
                <w:b/>
                <w:bCs/>
                <w:noProof/>
                <w:sz w:val="20"/>
                <w:szCs w:val="20"/>
              </w:rPr>
            </w:pPr>
            <w:r w:rsidRPr="00A00723">
              <w:rPr>
                <w:b/>
                <w:bCs/>
                <w:noProof/>
                <w:sz w:val="20"/>
                <w:szCs w:val="20"/>
              </w:rPr>
              <w:t>SCCS</w:t>
            </w:r>
          </w:p>
        </w:tc>
        <w:tc>
          <w:tcPr>
            <w:tcW w:w="2127" w:type="dxa"/>
          </w:tcPr>
          <w:p w14:paraId="15178791" w14:textId="77777777" w:rsidR="000A7D9D" w:rsidRPr="00A00723" w:rsidRDefault="000A7D9D" w:rsidP="00F31937">
            <w:pPr>
              <w:pStyle w:val="BodyText"/>
              <w:rPr>
                <w:b/>
                <w:bCs/>
                <w:noProof/>
                <w:sz w:val="20"/>
                <w:szCs w:val="20"/>
              </w:rPr>
            </w:pPr>
          </w:p>
        </w:tc>
        <w:tc>
          <w:tcPr>
            <w:tcW w:w="2409" w:type="dxa"/>
          </w:tcPr>
          <w:p w14:paraId="42B8849E" w14:textId="77777777" w:rsidR="000A7D9D" w:rsidRPr="00A00723" w:rsidRDefault="000A7D9D" w:rsidP="00F31937">
            <w:pPr>
              <w:pStyle w:val="BodyText"/>
              <w:rPr>
                <w:b/>
                <w:bCs/>
                <w:noProof/>
                <w:sz w:val="20"/>
                <w:szCs w:val="20"/>
              </w:rPr>
            </w:pPr>
          </w:p>
        </w:tc>
      </w:tr>
      <w:tr w:rsidR="000A7D9D" w:rsidRPr="00146CE9" w14:paraId="1536CE94" w14:textId="77777777" w:rsidTr="00F31937">
        <w:tc>
          <w:tcPr>
            <w:tcW w:w="1696" w:type="dxa"/>
          </w:tcPr>
          <w:p w14:paraId="794BC0C3" w14:textId="77777777" w:rsidR="000A7D9D" w:rsidRPr="00A00723" w:rsidRDefault="000A7D9D" w:rsidP="00F31937">
            <w:pPr>
              <w:pStyle w:val="BodyText"/>
              <w:rPr>
                <w:b/>
                <w:bCs/>
                <w:noProof/>
                <w:sz w:val="20"/>
                <w:szCs w:val="20"/>
              </w:rPr>
            </w:pPr>
          </w:p>
        </w:tc>
        <w:tc>
          <w:tcPr>
            <w:tcW w:w="2273" w:type="dxa"/>
          </w:tcPr>
          <w:p w14:paraId="6A2F0062" w14:textId="77777777" w:rsidR="000A7D9D" w:rsidRPr="00A00723" w:rsidRDefault="000A7D9D" w:rsidP="00F31937">
            <w:pPr>
              <w:pStyle w:val="BodyText"/>
              <w:rPr>
                <w:b/>
                <w:bCs/>
                <w:noProof/>
                <w:sz w:val="20"/>
                <w:szCs w:val="20"/>
              </w:rPr>
            </w:pPr>
            <w:r w:rsidRPr="00A00723">
              <w:rPr>
                <w:b/>
                <w:bCs/>
                <w:noProof/>
                <w:sz w:val="20"/>
                <w:szCs w:val="20"/>
              </w:rPr>
              <w:t># of opinions per year</w:t>
            </w:r>
          </w:p>
        </w:tc>
        <w:tc>
          <w:tcPr>
            <w:tcW w:w="2127" w:type="dxa"/>
          </w:tcPr>
          <w:p w14:paraId="282EA012" w14:textId="77777777" w:rsidR="000A7D9D" w:rsidRPr="00A00723" w:rsidRDefault="000A7D9D" w:rsidP="00F31937">
            <w:pPr>
              <w:pStyle w:val="BodyText"/>
              <w:rPr>
                <w:b/>
                <w:bCs/>
                <w:noProof/>
                <w:sz w:val="20"/>
                <w:szCs w:val="20"/>
              </w:rPr>
            </w:pPr>
            <w:r w:rsidRPr="00A00723">
              <w:rPr>
                <w:b/>
                <w:bCs/>
                <w:noProof/>
                <w:sz w:val="20"/>
                <w:szCs w:val="20"/>
              </w:rPr>
              <w:t>rapporteur</w:t>
            </w:r>
          </w:p>
        </w:tc>
        <w:tc>
          <w:tcPr>
            <w:tcW w:w="2409" w:type="dxa"/>
          </w:tcPr>
          <w:p w14:paraId="1FBF9EAB" w14:textId="77777777" w:rsidR="000A7D9D" w:rsidRPr="00A00723" w:rsidRDefault="000A7D9D" w:rsidP="00F31937">
            <w:pPr>
              <w:pStyle w:val="BodyText"/>
              <w:rPr>
                <w:b/>
                <w:bCs/>
                <w:noProof/>
                <w:sz w:val="20"/>
                <w:szCs w:val="20"/>
              </w:rPr>
            </w:pPr>
            <w:r w:rsidRPr="00A00723">
              <w:rPr>
                <w:b/>
                <w:bCs/>
                <w:noProof/>
                <w:sz w:val="20"/>
                <w:szCs w:val="20"/>
              </w:rPr>
              <w:t>Type of opinion</w:t>
            </w:r>
          </w:p>
        </w:tc>
      </w:tr>
      <w:tr w:rsidR="000A7D9D" w:rsidRPr="00146CE9" w14:paraId="4E729B37" w14:textId="77777777" w:rsidTr="00F31937">
        <w:tc>
          <w:tcPr>
            <w:tcW w:w="1696" w:type="dxa"/>
          </w:tcPr>
          <w:p w14:paraId="729FD00A" w14:textId="77777777" w:rsidR="000A7D9D" w:rsidRPr="00A00723" w:rsidRDefault="000A7D9D" w:rsidP="00F31937">
            <w:pPr>
              <w:pStyle w:val="BodyText"/>
              <w:rPr>
                <w:noProof/>
                <w:sz w:val="20"/>
                <w:szCs w:val="20"/>
              </w:rPr>
            </w:pPr>
            <w:r w:rsidRPr="00A00723">
              <w:rPr>
                <w:noProof/>
                <w:sz w:val="20"/>
                <w:szCs w:val="20"/>
              </w:rPr>
              <w:t>Opinions</w:t>
            </w:r>
          </w:p>
        </w:tc>
        <w:tc>
          <w:tcPr>
            <w:tcW w:w="2273" w:type="dxa"/>
          </w:tcPr>
          <w:p w14:paraId="77FD0C63" w14:textId="77777777" w:rsidR="000A7D9D" w:rsidRPr="00A00723" w:rsidRDefault="000A7D9D" w:rsidP="00F31937">
            <w:pPr>
              <w:pStyle w:val="BodyText"/>
              <w:rPr>
                <w:noProof/>
                <w:sz w:val="20"/>
                <w:szCs w:val="20"/>
              </w:rPr>
            </w:pPr>
            <w:r w:rsidRPr="00A00723">
              <w:rPr>
                <w:noProof/>
                <w:sz w:val="20"/>
                <w:szCs w:val="20"/>
              </w:rPr>
              <w:t>1</w:t>
            </w:r>
            <w:r>
              <w:rPr>
                <w:noProof/>
                <w:sz w:val="20"/>
                <w:szCs w:val="20"/>
              </w:rPr>
              <w:t>1</w:t>
            </w:r>
          </w:p>
        </w:tc>
        <w:tc>
          <w:tcPr>
            <w:tcW w:w="2127" w:type="dxa"/>
          </w:tcPr>
          <w:p w14:paraId="41D11C70" w14:textId="77777777" w:rsidR="000A7D9D" w:rsidRPr="00A00723" w:rsidRDefault="000A7D9D" w:rsidP="00F31937">
            <w:pPr>
              <w:pStyle w:val="BodyText"/>
              <w:rPr>
                <w:noProof/>
                <w:sz w:val="20"/>
                <w:szCs w:val="20"/>
              </w:rPr>
            </w:pPr>
            <w:r w:rsidRPr="00A00723">
              <w:rPr>
                <w:noProof/>
                <w:sz w:val="20"/>
                <w:szCs w:val="20"/>
              </w:rPr>
              <w:t>SCCS member</w:t>
            </w:r>
          </w:p>
        </w:tc>
        <w:tc>
          <w:tcPr>
            <w:tcW w:w="2409" w:type="dxa"/>
          </w:tcPr>
          <w:p w14:paraId="0E3CD2E0" w14:textId="77777777" w:rsidR="000A7D9D" w:rsidRPr="00A00723" w:rsidRDefault="000A7D9D" w:rsidP="00F31937">
            <w:pPr>
              <w:pStyle w:val="BodyText"/>
              <w:rPr>
                <w:noProof/>
                <w:sz w:val="20"/>
                <w:szCs w:val="20"/>
              </w:rPr>
            </w:pPr>
          </w:p>
        </w:tc>
      </w:tr>
      <w:tr w:rsidR="000A7D9D" w14:paraId="3A6A4C55" w14:textId="77777777" w:rsidTr="00F31937">
        <w:trPr>
          <w:trHeight w:val="300"/>
        </w:trPr>
        <w:tc>
          <w:tcPr>
            <w:tcW w:w="1696" w:type="dxa"/>
          </w:tcPr>
          <w:p w14:paraId="1DB95D88" w14:textId="77777777" w:rsidR="000A7D9D" w:rsidRPr="00A00723" w:rsidRDefault="000A7D9D" w:rsidP="00F31937">
            <w:pPr>
              <w:pStyle w:val="BodyText"/>
              <w:rPr>
                <w:noProof/>
                <w:sz w:val="20"/>
                <w:szCs w:val="20"/>
              </w:rPr>
            </w:pPr>
            <w:r w:rsidRPr="00A00723">
              <w:rPr>
                <w:noProof/>
                <w:sz w:val="20"/>
                <w:szCs w:val="20"/>
              </w:rPr>
              <w:t>Notes of guidance</w:t>
            </w:r>
          </w:p>
        </w:tc>
        <w:tc>
          <w:tcPr>
            <w:tcW w:w="2273" w:type="dxa"/>
          </w:tcPr>
          <w:p w14:paraId="6B45E7FF" w14:textId="77777777" w:rsidR="000A7D9D" w:rsidRPr="00A00723" w:rsidRDefault="000A7D9D" w:rsidP="00F31937">
            <w:pPr>
              <w:pStyle w:val="BodyText"/>
              <w:rPr>
                <w:noProof/>
                <w:sz w:val="20"/>
                <w:szCs w:val="20"/>
              </w:rPr>
            </w:pPr>
            <w:r w:rsidRPr="00A00723">
              <w:rPr>
                <w:noProof/>
                <w:sz w:val="20"/>
                <w:szCs w:val="20"/>
              </w:rPr>
              <w:t>1</w:t>
            </w:r>
          </w:p>
        </w:tc>
        <w:tc>
          <w:tcPr>
            <w:tcW w:w="2127" w:type="dxa"/>
          </w:tcPr>
          <w:p w14:paraId="73E20750" w14:textId="77777777" w:rsidR="000A7D9D" w:rsidRPr="00A00723" w:rsidRDefault="000A7D9D" w:rsidP="00F31937">
            <w:pPr>
              <w:pStyle w:val="BodyText"/>
              <w:rPr>
                <w:noProof/>
                <w:sz w:val="20"/>
                <w:szCs w:val="20"/>
              </w:rPr>
            </w:pPr>
            <w:r w:rsidRPr="00A00723">
              <w:rPr>
                <w:noProof/>
                <w:sz w:val="20"/>
                <w:szCs w:val="20"/>
              </w:rPr>
              <w:t xml:space="preserve">SCCS member </w:t>
            </w:r>
          </w:p>
        </w:tc>
        <w:tc>
          <w:tcPr>
            <w:tcW w:w="2409" w:type="dxa"/>
          </w:tcPr>
          <w:p w14:paraId="413F74A2" w14:textId="77777777" w:rsidR="000A7D9D" w:rsidRPr="00A00723" w:rsidRDefault="000A7D9D" w:rsidP="00F31937">
            <w:pPr>
              <w:pStyle w:val="BodyText"/>
              <w:rPr>
                <w:noProof/>
                <w:sz w:val="20"/>
                <w:szCs w:val="20"/>
              </w:rPr>
            </w:pPr>
          </w:p>
        </w:tc>
      </w:tr>
    </w:tbl>
    <w:p w14:paraId="1AFF3EC9" w14:textId="77777777" w:rsidR="000A7D9D" w:rsidRPr="00A00723" w:rsidRDefault="000A7D9D" w:rsidP="000A7D9D">
      <w:pPr>
        <w:pStyle w:val="BodyText"/>
        <w:widowControl w:val="0"/>
        <w:numPr>
          <w:ilvl w:val="0"/>
          <w:numId w:val="88"/>
        </w:numPr>
        <w:spacing w:before="120"/>
        <w:jc w:val="both"/>
        <w:rPr>
          <w:b/>
          <w:bCs/>
          <w:noProof/>
        </w:rPr>
      </w:pPr>
      <w:r w:rsidRPr="00A00723">
        <w:rPr>
          <w:noProof/>
        </w:rPr>
        <w:t xml:space="preserve">ECHA data model and IT infrastructure: </w:t>
      </w:r>
      <w:r w:rsidRPr="00A00723">
        <w:rPr>
          <w:b/>
          <w:bCs/>
          <w:noProof/>
        </w:rPr>
        <w:t>low impact</w:t>
      </w:r>
      <w:r w:rsidRPr="00A00723">
        <w:rPr>
          <w:noProof/>
        </w:rPr>
        <w:t>. The task can be implemented with adjustments / configuration of existing data structures and IT systems</w:t>
      </w:r>
    </w:p>
    <w:p w14:paraId="4D1859B2" w14:textId="77777777" w:rsidR="000A7D9D" w:rsidRPr="00A00723" w:rsidRDefault="000A7D9D" w:rsidP="000A7D9D">
      <w:pPr>
        <w:pStyle w:val="BodyText"/>
        <w:widowControl w:val="0"/>
        <w:numPr>
          <w:ilvl w:val="0"/>
          <w:numId w:val="88"/>
        </w:numPr>
        <w:jc w:val="both"/>
        <w:rPr>
          <w:b/>
          <w:bCs/>
          <w:noProof/>
        </w:rPr>
      </w:pPr>
      <w:r w:rsidRPr="00A00723">
        <w:rPr>
          <w:noProof/>
        </w:rPr>
        <w:t>ECHA key experts:</w:t>
      </w:r>
      <w:r w:rsidRPr="00A00723">
        <w:rPr>
          <w:b/>
          <w:bCs/>
          <w:noProof/>
        </w:rPr>
        <w:t xml:space="preserve"> high impact</w:t>
      </w:r>
      <w:r w:rsidRPr="00A00723">
        <w:rPr>
          <w:noProof/>
        </w:rPr>
        <w:t>. The task heavily relies on expert competencies, which are limited within ECHA and also critical to REACH/CLP/BPR regulatory tasks</w:t>
      </w:r>
    </w:p>
    <w:p w14:paraId="3A35CFBD" w14:textId="77777777" w:rsidR="000A7D9D" w:rsidRPr="00A00723" w:rsidRDefault="000A7D9D" w:rsidP="000A7D9D">
      <w:pPr>
        <w:pStyle w:val="BodyText"/>
        <w:rPr>
          <w:noProof/>
        </w:rPr>
      </w:pPr>
      <w:r w:rsidRPr="00A00723">
        <w:rPr>
          <w:b/>
          <w:bCs/>
          <w:noProof/>
        </w:rPr>
        <w:t>Projected workload and resource implications:</w:t>
      </w:r>
    </w:p>
    <w:p w14:paraId="3D6F69D7" w14:textId="77777777" w:rsidR="000A7D9D" w:rsidRPr="00A00723" w:rsidRDefault="000A7D9D" w:rsidP="000A7D9D">
      <w:pPr>
        <w:pStyle w:val="BodyText"/>
        <w:rPr>
          <w:noProof/>
          <w:u w:val="single"/>
        </w:rPr>
      </w:pPr>
      <w:r w:rsidRPr="00A00723">
        <w:rPr>
          <w:noProof/>
          <w:u w:val="single"/>
        </w:rPr>
        <w:t>Current workload and resource use:</w:t>
      </w:r>
    </w:p>
    <w:p w14:paraId="763C3152" w14:textId="73A82F8F" w:rsidR="000A7D9D" w:rsidRPr="00A00723" w:rsidRDefault="000A7D9D" w:rsidP="000A7D9D">
      <w:pPr>
        <w:spacing w:before="120" w:after="120"/>
        <w:jc w:val="both"/>
        <w:rPr>
          <w:rFonts w:ascii="Times New Roman" w:hAnsi="Times New Roman" w:cs="Times New Roman"/>
          <w:noProof/>
          <w:color w:val="000000" w:themeColor="text1"/>
          <w:sz w:val="24"/>
          <w:szCs w:val="24"/>
        </w:rPr>
      </w:pPr>
      <w:r w:rsidRPr="00A00723">
        <w:rPr>
          <w:rFonts w:ascii="Times New Roman" w:hAnsi="Times New Roman" w:cs="Times New Roman"/>
          <w:noProof/>
          <w:color w:val="000000" w:themeColor="text1"/>
          <w:sz w:val="24"/>
          <w:szCs w:val="24"/>
        </w:rPr>
        <w:t>SCCS delivers on average 11 final opinions per year (see table below)</w:t>
      </w:r>
      <w:r>
        <w:rPr>
          <w:rFonts w:ascii="Times New Roman" w:hAnsi="Times New Roman" w:cs="Times New Roman"/>
          <w:noProof/>
          <w:color w:val="000000" w:themeColor="text1"/>
          <w:sz w:val="24"/>
          <w:szCs w:val="24"/>
        </w:rPr>
        <w:t>, while it</w:t>
      </w:r>
      <w:r w:rsidRPr="00A00723">
        <w:rPr>
          <w:rFonts w:ascii="Times New Roman" w:hAnsi="Times New Roman" w:cs="Times New Roman"/>
          <w:noProof/>
          <w:color w:val="000000" w:themeColor="text1"/>
          <w:sz w:val="24"/>
          <w:szCs w:val="24"/>
        </w:rPr>
        <w:t xml:space="preserve"> has</w:t>
      </w:r>
      <w:r>
        <w:rPr>
          <w:rFonts w:ascii="Times New Roman" w:hAnsi="Times New Roman" w:cs="Times New Roman"/>
          <w:noProof/>
          <w:color w:val="000000" w:themeColor="text1"/>
          <w:sz w:val="24"/>
          <w:szCs w:val="24"/>
        </w:rPr>
        <w:t xml:space="preserve"> a</w:t>
      </w:r>
      <w:r w:rsidRPr="00A00723">
        <w:rPr>
          <w:rFonts w:ascii="Times New Roman" w:hAnsi="Times New Roman" w:cs="Times New Roman"/>
          <w:noProof/>
          <w:color w:val="000000" w:themeColor="text1"/>
          <w:sz w:val="24"/>
          <w:szCs w:val="24"/>
        </w:rPr>
        <w:t xml:space="preserve"> max</w:t>
      </w:r>
      <w:r>
        <w:rPr>
          <w:rFonts w:ascii="Times New Roman" w:hAnsi="Times New Roman" w:cs="Times New Roman"/>
          <w:noProof/>
          <w:color w:val="000000" w:themeColor="text1"/>
          <w:sz w:val="24"/>
          <w:szCs w:val="24"/>
        </w:rPr>
        <w:t>imum</w:t>
      </w:r>
      <w:r w:rsidRPr="00A00723">
        <w:rPr>
          <w:rFonts w:ascii="Times New Roman" w:hAnsi="Times New Roman" w:cs="Times New Roman"/>
          <w:noProof/>
          <w:color w:val="000000" w:themeColor="text1"/>
          <w:sz w:val="24"/>
          <w:szCs w:val="24"/>
        </w:rPr>
        <w:t xml:space="preserve"> of 20 opinions in the pipeline at any given moment</w:t>
      </w:r>
      <w:r w:rsidR="00A837A2">
        <w:rPr>
          <w:rFonts w:ascii="Times New Roman" w:hAnsi="Times New Roman" w:cs="Times New Roman"/>
          <w:noProof/>
          <w:color w:val="000000" w:themeColor="text1"/>
          <w:sz w:val="24"/>
          <w:szCs w:val="24"/>
        </w:rPr>
        <w:t xml:space="preserve"> based on its current composition and structure</w:t>
      </w:r>
      <w:r w:rsidRPr="00A00723">
        <w:rPr>
          <w:rFonts w:ascii="Times New Roman" w:hAnsi="Times New Roman" w:cs="Times New Roman"/>
          <w:noProof/>
          <w:color w:val="000000" w:themeColor="text1"/>
          <w:sz w:val="24"/>
          <w:szCs w:val="24"/>
        </w:rPr>
        <w:t xml:space="preserve">. The SCCS is used </w:t>
      </w:r>
      <w:r w:rsidR="00A837A2">
        <w:rPr>
          <w:rFonts w:ascii="Times New Roman" w:hAnsi="Times New Roman" w:cs="Times New Roman"/>
          <w:noProof/>
          <w:color w:val="000000" w:themeColor="text1"/>
          <w:sz w:val="24"/>
          <w:szCs w:val="24"/>
        </w:rPr>
        <w:t xml:space="preserve">mainly </w:t>
      </w:r>
      <w:r w:rsidRPr="00A00723">
        <w:rPr>
          <w:rFonts w:ascii="Times New Roman" w:hAnsi="Times New Roman" w:cs="Times New Roman"/>
          <w:noProof/>
          <w:color w:val="000000" w:themeColor="text1"/>
          <w:sz w:val="24"/>
          <w:szCs w:val="24"/>
        </w:rPr>
        <w:t xml:space="preserve">to support the Cosmetic Products Regulation </w:t>
      </w:r>
      <w:r w:rsidRPr="006E61FB">
        <w:rPr>
          <w:rFonts w:ascii="Times New Roman" w:hAnsi="Times New Roman" w:cs="Times New Roman"/>
          <w:noProof/>
          <w:color w:val="000000" w:themeColor="text1"/>
          <w:sz w:val="24"/>
          <w:szCs w:val="24"/>
        </w:rPr>
        <w:t>but has provided scientific advice for other sectors in the past, albeit rarely</w:t>
      </w:r>
      <w:r w:rsidRPr="00A00723">
        <w:rPr>
          <w:rFonts w:ascii="Times New Roman" w:hAnsi="Times New Roman" w:cs="Times New Roman"/>
          <w:noProof/>
          <w:color w:val="000000" w:themeColor="text1"/>
          <w:sz w:val="24"/>
          <w:szCs w:val="24"/>
        </w:rPr>
        <w:t xml:space="preserve">. </w:t>
      </w:r>
    </w:p>
    <w:tbl>
      <w:tblPr>
        <w:tblStyle w:val="TableGrid"/>
        <w:tblW w:w="9067" w:type="dxa"/>
        <w:tblLayout w:type="fixed"/>
        <w:tblLook w:val="06A0" w:firstRow="1" w:lastRow="0" w:firstColumn="1" w:lastColumn="0" w:noHBand="1" w:noVBand="1"/>
      </w:tblPr>
      <w:tblGrid>
        <w:gridCol w:w="1376"/>
        <w:gridCol w:w="1171"/>
        <w:gridCol w:w="1276"/>
        <w:gridCol w:w="1417"/>
        <w:gridCol w:w="1418"/>
        <w:gridCol w:w="1275"/>
        <w:gridCol w:w="1134"/>
      </w:tblGrid>
      <w:tr w:rsidR="000A7D9D" w:rsidRPr="00BA24B0" w14:paraId="5A64BF10" w14:textId="77777777" w:rsidTr="00F31937">
        <w:trPr>
          <w:trHeight w:val="300"/>
        </w:trPr>
        <w:tc>
          <w:tcPr>
            <w:tcW w:w="1376" w:type="dxa"/>
          </w:tcPr>
          <w:p w14:paraId="7E3D1D48" w14:textId="77777777" w:rsidR="000A7D9D" w:rsidRPr="00BA24B0" w:rsidRDefault="000A7D9D" w:rsidP="00F31937">
            <w:pPr>
              <w:rPr>
                <w:noProof/>
                <w:color w:val="000000" w:themeColor="text1"/>
              </w:rPr>
            </w:pPr>
          </w:p>
        </w:tc>
        <w:tc>
          <w:tcPr>
            <w:tcW w:w="7691" w:type="dxa"/>
            <w:gridSpan w:val="6"/>
          </w:tcPr>
          <w:p w14:paraId="09995529" w14:textId="77777777" w:rsidR="000A7D9D" w:rsidRPr="00BA24B0" w:rsidRDefault="000A7D9D" w:rsidP="00F31937">
            <w:pPr>
              <w:rPr>
                <w:b/>
                <w:bCs/>
                <w:noProof/>
                <w:color w:val="000000" w:themeColor="text1"/>
              </w:rPr>
            </w:pPr>
            <w:r w:rsidRPr="00BA24B0">
              <w:rPr>
                <w:b/>
                <w:bCs/>
                <w:noProof/>
                <w:color w:val="000000" w:themeColor="text1"/>
              </w:rPr>
              <w:t xml:space="preserve">Number of SCCS opinions </w:t>
            </w:r>
          </w:p>
        </w:tc>
      </w:tr>
      <w:tr w:rsidR="000A7D9D" w:rsidRPr="00BA24B0" w14:paraId="30D7B63D" w14:textId="77777777" w:rsidTr="00F31937">
        <w:trPr>
          <w:trHeight w:val="300"/>
        </w:trPr>
        <w:tc>
          <w:tcPr>
            <w:tcW w:w="1376" w:type="dxa"/>
          </w:tcPr>
          <w:p w14:paraId="6602B95A" w14:textId="77777777" w:rsidR="000A7D9D" w:rsidRPr="00BA24B0" w:rsidRDefault="000A7D9D" w:rsidP="00F31937">
            <w:pPr>
              <w:rPr>
                <w:noProof/>
                <w:color w:val="000000" w:themeColor="text1"/>
              </w:rPr>
            </w:pPr>
          </w:p>
        </w:tc>
        <w:tc>
          <w:tcPr>
            <w:tcW w:w="1171" w:type="dxa"/>
          </w:tcPr>
          <w:p w14:paraId="118DAB28" w14:textId="77777777" w:rsidR="000A7D9D" w:rsidRPr="00BA24B0" w:rsidRDefault="000A7D9D" w:rsidP="00F31937">
            <w:pPr>
              <w:rPr>
                <w:noProof/>
                <w:color w:val="000000" w:themeColor="text1"/>
              </w:rPr>
            </w:pPr>
            <w:r w:rsidRPr="00BA24B0">
              <w:rPr>
                <w:noProof/>
                <w:color w:val="000000" w:themeColor="text1"/>
              </w:rPr>
              <w:t>2016</w:t>
            </w:r>
          </w:p>
        </w:tc>
        <w:tc>
          <w:tcPr>
            <w:tcW w:w="1276" w:type="dxa"/>
          </w:tcPr>
          <w:p w14:paraId="02EBE1DF" w14:textId="77777777" w:rsidR="000A7D9D" w:rsidRPr="00BA24B0" w:rsidRDefault="000A7D9D" w:rsidP="00F31937">
            <w:pPr>
              <w:rPr>
                <w:noProof/>
                <w:color w:val="000000" w:themeColor="text1"/>
              </w:rPr>
            </w:pPr>
            <w:r w:rsidRPr="00BA24B0">
              <w:rPr>
                <w:noProof/>
                <w:color w:val="000000" w:themeColor="text1"/>
              </w:rPr>
              <w:t>2017</w:t>
            </w:r>
          </w:p>
        </w:tc>
        <w:tc>
          <w:tcPr>
            <w:tcW w:w="1417" w:type="dxa"/>
          </w:tcPr>
          <w:p w14:paraId="2E44CE4D" w14:textId="77777777" w:rsidR="000A7D9D" w:rsidRPr="00BA24B0" w:rsidRDefault="000A7D9D" w:rsidP="00F31937">
            <w:pPr>
              <w:rPr>
                <w:noProof/>
                <w:color w:val="000000" w:themeColor="text1"/>
              </w:rPr>
            </w:pPr>
            <w:r w:rsidRPr="00BA24B0">
              <w:rPr>
                <w:noProof/>
                <w:color w:val="000000" w:themeColor="text1"/>
              </w:rPr>
              <w:t>2018</w:t>
            </w:r>
          </w:p>
        </w:tc>
        <w:tc>
          <w:tcPr>
            <w:tcW w:w="1418" w:type="dxa"/>
          </w:tcPr>
          <w:p w14:paraId="20AB32D9" w14:textId="77777777" w:rsidR="000A7D9D" w:rsidRPr="00BA24B0" w:rsidRDefault="000A7D9D" w:rsidP="00F31937">
            <w:pPr>
              <w:rPr>
                <w:noProof/>
                <w:color w:val="000000" w:themeColor="text1"/>
              </w:rPr>
            </w:pPr>
            <w:r w:rsidRPr="00BA24B0">
              <w:rPr>
                <w:noProof/>
                <w:color w:val="000000" w:themeColor="text1"/>
              </w:rPr>
              <w:t>2019</w:t>
            </w:r>
          </w:p>
        </w:tc>
        <w:tc>
          <w:tcPr>
            <w:tcW w:w="1275" w:type="dxa"/>
          </w:tcPr>
          <w:p w14:paraId="62CA7543" w14:textId="77777777" w:rsidR="000A7D9D" w:rsidRPr="00BA24B0" w:rsidRDefault="000A7D9D" w:rsidP="00F31937">
            <w:pPr>
              <w:rPr>
                <w:noProof/>
                <w:color w:val="000000" w:themeColor="text1"/>
              </w:rPr>
            </w:pPr>
            <w:r w:rsidRPr="00BA24B0">
              <w:rPr>
                <w:noProof/>
                <w:color w:val="000000" w:themeColor="text1"/>
              </w:rPr>
              <w:t>2020</w:t>
            </w:r>
          </w:p>
        </w:tc>
        <w:tc>
          <w:tcPr>
            <w:tcW w:w="1134" w:type="dxa"/>
          </w:tcPr>
          <w:p w14:paraId="0C0181A8" w14:textId="77777777" w:rsidR="000A7D9D" w:rsidRPr="00BA24B0" w:rsidRDefault="000A7D9D" w:rsidP="00F31937">
            <w:pPr>
              <w:rPr>
                <w:noProof/>
                <w:color w:val="000000" w:themeColor="text1"/>
              </w:rPr>
            </w:pPr>
            <w:r w:rsidRPr="00BA24B0">
              <w:rPr>
                <w:noProof/>
                <w:color w:val="000000" w:themeColor="text1"/>
              </w:rPr>
              <w:t>2021</w:t>
            </w:r>
          </w:p>
        </w:tc>
      </w:tr>
      <w:tr w:rsidR="000A7D9D" w:rsidRPr="00BA24B0" w14:paraId="00E3FAB0" w14:textId="77777777" w:rsidTr="00F31937">
        <w:trPr>
          <w:trHeight w:val="300"/>
        </w:trPr>
        <w:tc>
          <w:tcPr>
            <w:tcW w:w="1376" w:type="dxa"/>
          </w:tcPr>
          <w:p w14:paraId="5E772271" w14:textId="77777777" w:rsidR="000A7D9D" w:rsidRPr="00BA24B0" w:rsidRDefault="000A7D9D" w:rsidP="00F31937">
            <w:pPr>
              <w:rPr>
                <w:noProof/>
                <w:color w:val="000000" w:themeColor="text1"/>
              </w:rPr>
            </w:pPr>
            <w:r w:rsidRPr="00BA24B0">
              <w:rPr>
                <w:noProof/>
                <w:color w:val="000000" w:themeColor="text1"/>
              </w:rPr>
              <w:t>Number of opinions</w:t>
            </w:r>
          </w:p>
        </w:tc>
        <w:tc>
          <w:tcPr>
            <w:tcW w:w="1171" w:type="dxa"/>
          </w:tcPr>
          <w:p w14:paraId="1B71328D" w14:textId="77777777" w:rsidR="000A7D9D" w:rsidRPr="00BA24B0" w:rsidRDefault="000A7D9D" w:rsidP="00F31937">
            <w:pPr>
              <w:rPr>
                <w:noProof/>
                <w:color w:val="000000" w:themeColor="text1"/>
              </w:rPr>
            </w:pPr>
            <w:r w:rsidRPr="00BA24B0">
              <w:rPr>
                <w:noProof/>
                <w:color w:val="000000" w:themeColor="text1"/>
              </w:rPr>
              <w:t>7</w:t>
            </w:r>
          </w:p>
        </w:tc>
        <w:tc>
          <w:tcPr>
            <w:tcW w:w="1276" w:type="dxa"/>
          </w:tcPr>
          <w:p w14:paraId="60AD1B78" w14:textId="77777777" w:rsidR="000A7D9D" w:rsidRPr="00BA24B0" w:rsidRDefault="000A7D9D" w:rsidP="00F31937">
            <w:pPr>
              <w:rPr>
                <w:noProof/>
                <w:color w:val="000000" w:themeColor="text1"/>
              </w:rPr>
            </w:pPr>
            <w:r w:rsidRPr="00BA24B0">
              <w:rPr>
                <w:noProof/>
                <w:color w:val="000000" w:themeColor="text1"/>
              </w:rPr>
              <w:t>9</w:t>
            </w:r>
          </w:p>
        </w:tc>
        <w:tc>
          <w:tcPr>
            <w:tcW w:w="1417" w:type="dxa"/>
          </w:tcPr>
          <w:p w14:paraId="6C03B909" w14:textId="77777777" w:rsidR="000A7D9D" w:rsidRPr="00BA24B0" w:rsidRDefault="000A7D9D" w:rsidP="00F31937">
            <w:pPr>
              <w:rPr>
                <w:noProof/>
                <w:color w:val="000000" w:themeColor="text1"/>
              </w:rPr>
            </w:pPr>
            <w:r w:rsidRPr="00BA24B0">
              <w:rPr>
                <w:noProof/>
                <w:color w:val="000000" w:themeColor="text1"/>
              </w:rPr>
              <w:t>13</w:t>
            </w:r>
          </w:p>
        </w:tc>
        <w:tc>
          <w:tcPr>
            <w:tcW w:w="1418" w:type="dxa"/>
          </w:tcPr>
          <w:p w14:paraId="65DE846E" w14:textId="77777777" w:rsidR="000A7D9D" w:rsidRPr="00BA24B0" w:rsidRDefault="000A7D9D" w:rsidP="00F31937">
            <w:pPr>
              <w:rPr>
                <w:noProof/>
                <w:color w:val="000000" w:themeColor="text1"/>
              </w:rPr>
            </w:pPr>
            <w:r w:rsidRPr="00BA24B0">
              <w:rPr>
                <w:noProof/>
                <w:color w:val="000000" w:themeColor="text1"/>
              </w:rPr>
              <w:t>12</w:t>
            </w:r>
          </w:p>
        </w:tc>
        <w:tc>
          <w:tcPr>
            <w:tcW w:w="1275" w:type="dxa"/>
          </w:tcPr>
          <w:p w14:paraId="248B5B09" w14:textId="77777777" w:rsidR="000A7D9D" w:rsidRPr="00BA24B0" w:rsidRDefault="000A7D9D" w:rsidP="00F31937">
            <w:pPr>
              <w:rPr>
                <w:noProof/>
                <w:color w:val="000000" w:themeColor="text1"/>
              </w:rPr>
            </w:pPr>
            <w:r w:rsidRPr="00BA24B0">
              <w:rPr>
                <w:noProof/>
                <w:color w:val="000000" w:themeColor="text1"/>
              </w:rPr>
              <w:t>6</w:t>
            </w:r>
          </w:p>
        </w:tc>
        <w:tc>
          <w:tcPr>
            <w:tcW w:w="1134" w:type="dxa"/>
          </w:tcPr>
          <w:p w14:paraId="11303167" w14:textId="77777777" w:rsidR="000A7D9D" w:rsidRPr="00BA24B0" w:rsidRDefault="000A7D9D" w:rsidP="00F31937">
            <w:pPr>
              <w:rPr>
                <w:noProof/>
                <w:color w:val="000000" w:themeColor="text1"/>
              </w:rPr>
            </w:pPr>
            <w:r w:rsidRPr="00BA24B0">
              <w:rPr>
                <w:noProof/>
                <w:color w:val="000000" w:themeColor="text1"/>
              </w:rPr>
              <w:t>19</w:t>
            </w:r>
          </w:p>
        </w:tc>
      </w:tr>
    </w:tbl>
    <w:p w14:paraId="4D5E88EE" w14:textId="6F0E0590" w:rsidR="000A7D9D" w:rsidRPr="00A00723" w:rsidRDefault="000A7D9D" w:rsidP="000A7D9D">
      <w:pPr>
        <w:spacing w:before="120" w:after="120"/>
        <w:jc w:val="both"/>
        <w:rPr>
          <w:rFonts w:ascii="Times New Roman" w:hAnsi="Times New Roman" w:cs="Times New Roman"/>
          <w:noProof/>
          <w:color w:val="000000" w:themeColor="text1"/>
          <w:sz w:val="24"/>
          <w:szCs w:val="24"/>
        </w:rPr>
      </w:pPr>
      <w:r w:rsidRPr="00A00723">
        <w:rPr>
          <w:rFonts w:ascii="Times New Roman" w:hAnsi="Times New Roman" w:cs="Times New Roman"/>
          <w:noProof/>
          <w:color w:val="000000" w:themeColor="text1"/>
          <w:sz w:val="24"/>
          <w:szCs w:val="24"/>
        </w:rPr>
        <w:t xml:space="preserve">DG GROW staff has one policy officer (1 FTE) dedicated to </w:t>
      </w:r>
      <w:r>
        <w:rPr>
          <w:rFonts w:ascii="Times New Roman" w:hAnsi="Times New Roman" w:cs="Times New Roman"/>
          <w:noProof/>
          <w:color w:val="000000" w:themeColor="text1"/>
          <w:sz w:val="24"/>
          <w:szCs w:val="24"/>
        </w:rPr>
        <w:t xml:space="preserve">the </w:t>
      </w:r>
      <w:r w:rsidRPr="00A00723">
        <w:rPr>
          <w:rFonts w:ascii="Times New Roman" w:hAnsi="Times New Roman" w:cs="Times New Roman"/>
          <w:noProof/>
          <w:color w:val="000000" w:themeColor="text1"/>
          <w:sz w:val="24"/>
          <w:szCs w:val="24"/>
        </w:rPr>
        <w:t xml:space="preserve">work </w:t>
      </w:r>
      <w:r w:rsidRPr="00097EA9">
        <w:rPr>
          <w:rFonts w:ascii="Times New Roman" w:hAnsi="Times New Roman" w:cs="Times New Roman"/>
          <w:noProof/>
          <w:color w:val="000000" w:themeColor="text1"/>
          <w:sz w:val="24"/>
          <w:szCs w:val="24"/>
        </w:rPr>
        <w:t xml:space="preserve">of the SCCS in relation to </w:t>
      </w:r>
      <w:r w:rsidRPr="00A00723">
        <w:rPr>
          <w:rFonts w:ascii="Times New Roman" w:hAnsi="Times New Roman" w:cs="Times New Roman"/>
          <w:noProof/>
          <w:color w:val="000000" w:themeColor="text1"/>
          <w:sz w:val="24"/>
          <w:szCs w:val="24"/>
        </w:rPr>
        <w:t xml:space="preserve">the implementation of the </w:t>
      </w:r>
      <w:r>
        <w:rPr>
          <w:rFonts w:ascii="Times New Roman" w:hAnsi="Times New Roman" w:cs="Times New Roman"/>
          <w:noProof/>
          <w:color w:val="000000" w:themeColor="text1"/>
          <w:sz w:val="24"/>
          <w:szCs w:val="24"/>
        </w:rPr>
        <w:t>CPR</w:t>
      </w:r>
      <w:r w:rsidRPr="00A00723">
        <w:rPr>
          <w:rFonts w:ascii="Times New Roman" w:hAnsi="Times New Roman" w:cs="Times New Roman"/>
          <w:noProof/>
          <w:color w:val="000000" w:themeColor="text1"/>
          <w:sz w:val="24"/>
          <w:szCs w:val="24"/>
        </w:rPr>
        <w:t xml:space="preserve">. The </w:t>
      </w:r>
      <w:r>
        <w:rPr>
          <w:rFonts w:ascii="Times New Roman" w:hAnsi="Times New Roman" w:cs="Times New Roman"/>
          <w:noProof/>
          <w:color w:val="000000" w:themeColor="text1"/>
          <w:sz w:val="24"/>
          <w:szCs w:val="24"/>
        </w:rPr>
        <w:t xml:space="preserve">proposed reorganisation </w:t>
      </w:r>
      <w:r w:rsidRPr="00A00723">
        <w:rPr>
          <w:rFonts w:ascii="Times New Roman" w:hAnsi="Times New Roman" w:cs="Times New Roman"/>
          <w:noProof/>
          <w:color w:val="000000" w:themeColor="text1"/>
          <w:sz w:val="24"/>
          <w:szCs w:val="24"/>
        </w:rPr>
        <w:t>will not change the need for the</w:t>
      </w:r>
      <w:r>
        <w:rPr>
          <w:rFonts w:ascii="Times New Roman" w:hAnsi="Times New Roman" w:cs="Times New Roman"/>
          <w:noProof/>
          <w:color w:val="000000" w:themeColor="text1"/>
          <w:sz w:val="24"/>
          <w:szCs w:val="24"/>
        </w:rPr>
        <w:t xml:space="preserve"> </w:t>
      </w:r>
      <w:r w:rsidRPr="00097EA9">
        <w:rPr>
          <w:rFonts w:ascii="Times New Roman" w:hAnsi="Times New Roman" w:cs="Times New Roman"/>
          <w:noProof/>
          <w:color w:val="000000" w:themeColor="text1"/>
          <w:sz w:val="24"/>
          <w:szCs w:val="24"/>
        </w:rPr>
        <w:t>FTEs from the side of DG</w:t>
      </w:r>
      <w:r>
        <w:rPr>
          <w:rFonts w:ascii="Times New Roman" w:hAnsi="Times New Roman" w:cs="Times New Roman"/>
          <w:noProof/>
          <w:color w:val="000000" w:themeColor="text1"/>
          <w:sz w:val="24"/>
          <w:szCs w:val="24"/>
        </w:rPr>
        <w:t xml:space="preserve"> as it is</w:t>
      </w:r>
      <w:r w:rsidRPr="00A00723">
        <w:rPr>
          <w:rFonts w:ascii="Times New Roman" w:hAnsi="Times New Roman" w:cs="Times New Roman"/>
          <w:noProof/>
          <w:color w:val="000000" w:themeColor="text1"/>
          <w:sz w:val="24"/>
          <w:szCs w:val="24"/>
        </w:rPr>
        <w:t xml:space="preserve"> not involved in the </w:t>
      </w:r>
      <w:r>
        <w:rPr>
          <w:rFonts w:ascii="Times New Roman" w:hAnsi="Times New Roman" w:cs="Times New Roman"/>
          <w:noProof/>
          <w:color w:val="000000" w:themeColor="text1"/>
          <w:sz w:val="24"/>
          <w:szCs w:val="24"/>
        </w:rPr>
        <w:t xml:space="preserve">safety </w:t>
      </w:r>
      <w:r w:rsidRPr="00A00723">
        <w:rPr>
          <w:rFonts w:ascii="Times New Roman" w:hAnsi="Times New Roman" w:cs="Times New Roman"/>
          <w:noProof/>
          <w:color w:val="000000" w:themeColor="text1"/>
          <w:sz w:val="24"/>
          <w:szCs w:val="24"/>
        </w:rPr>
        <w:t xml:space="preserve">assessment </w:t>
      </w:r>
      <w:r>
        <w:rPr>
          <w:rFonts w:ascii="Times New Roman" w:hAnsi="Times New Roman" w:cs="Times New Roman"/>
          <w:noProof/>
          <w:color w:val="000000" w:themeColor="text1"/>
          <w:sz w:val="24"/>
          <w:szCs w:val="24"/>
        </w:rPr>
        <w:t>as such</w:t>
      </w:r>
      <w:r w:rsidRPr="00A00723">
        <w:rPr>
          <w:rFonts w:ascii="Times New Roman" w:hAnsi="Times New Roman" w:cs="Times New Roman"/>
          <w:noProof/>
          <w:color w:val="000000" w:themeColor="text1"/>
          <w:sz w:val="24"/>
          <w:szCs w:val="24"/>
        </w:rPr>
        <w:t xml:space="preserve">. </w:t>
      </w:r>
    </w:p>
    <w:p w14:paraId="3EB7FBBC" w14:textId="3C4810CD" w:rsidR="000A7D9D" w:rsidRPr="00A00723" w:rsidRDefault="000A7D9D" w:rsidP="000A7D9D">
      <w:pPr>
        <w:spacing w:before="120" w:after="120"/>
        <w:jc w:val="both"/>
        <w:rPr>
          <w:rFonts w:ascii="Times New Roman" w:hAnsi="Times New Roman" w:cs="Times New Roman"/>
          <w:noProof/>
          <w:color w:val="000000" w:themeColor="text1"/>
          <w:sz w:val="24"/>
          <w:szCs w:val="24"/>
        </w:rPr>
      </w:pPr>
      <w:r w:rsidRPr="00A00723">
        <w:rPr>
          <w:rFonts w:ascii="Times New Roman" w:hAnsi="Times New Roman" w:cs="Times New Roman"/>
          <w:noProof/>
          <w:color w:val="000000" w:themeColor="text1"/>
          <w:sz w:val="24"/>
          <w:szCs w:val="24"/>
        </w:rPr>
        <w:t>The secretariat of the scientific committees hosted by DG SANTE employs 4 FTE of DG SANTE and 2 additional FTEs of external interim staff (for technical and administrative support like literature search, editing and proofreading of opinions, website mastering, assistance for the Health-EU newsletter, dissemination activities).</w:t>
      </w:r>
      <w:r>
        <w:rPr>
          <w:rFonts w:ascii="Times New Roman" w:hAnsi="Times New Roman" w:cs="Times New Roman"/>
          <w:noProof/>
          <w:color w:val="000000" w:themeColor="text1"/>
          <w:sz w:val="24"/>
          <w:szCs w:val="24"/>
        </w:rPr>
        <w:t xml:space="preserve"> The staff of 6 </w:t>
      </w:r>
      <w:r w:rsidRPr="00A00723">
        <w:rPr>
          <w:rFonts w:ascii="Times New Roman" w:hAnsi="Times New Roman" w:cs="Times New Roman"/>
          <w:noProof/>
          <w:color w:val="000000" w:themeColor="text1"/>
          <w:sz w:val="24"/>
          <w:szCs w:val="24"/>
        </w:rPr>
        <w:t xml:space="preserve">FTEs </w:t>
      </w:r>
      <w:r>
        <w:rPr>
          <w:rFonts w:ascii="Times New Roman" w:hAnsi="Times New Roman" w:cs="Times New Roman"/>
          <w:noProof/>
          <w:color w:val="000000" w:themeColor="text1"/>
          <w:sz w:val="24"/>
          <w:szCs w:val="24"/>
        </w:rPr>
        <w:t xml:space="preserve">is </w:t>
      </w:r>
      <w:r w:rsidRPr="00A00723">
        <w:rPr>
          <w:rFonts w:ascii="Times New Roman" w:hAnsi="Times New Roman" w:cs="Times New Roman"/>
          <w:noProof/>
          <w:color w:val="000000" w:themeColor="text1"/>
          <w:sz w:val="24"/>
          <w:szCs w:val="24"/>
        </w:rPr>
        <w:t>equally split over two committees</w:t>
      </w:r>
      <w:r w:rsidR="00A837A2">
        <w:rPr>
          <w:rFonts w:ascii="Times New Roman" w:hAnsi="Times New Roman" w:cs="Times New Roman"/>
          <w:noProof/>
          <w:color w:val="000000" w:themeColor="text1"/>
          <w:sz w:val="24"/>
          <w:szCs w:val="24"/>
        </w:rPr>
        <w:t xml:space="preserve"> </w:t>
      </w:r>
      <w:r w:rsidRPr="00023968">
        <w:rPr>
          <w:rFonts w:ascii="Times New Roman" w:hAnsi="Times New Roman" w:cs="Times New Roman"/>
          <w:noProof/>
          <w:color w:val="000000" w:themeColor="text1"/>
          <w:sz w:val="24"/>
          <w:szCs w:val="24"/>
        </w:rPr>
        <w:t xml:space="preserve">(i.e., SCCS and SCHEER), </w:t>
      </w:r>
      <w:r w:rsidRPr="00A00723">
        <w:rPr>
          <w:rFonts w:ascii="Times New Roman" w:hAnsi="Times New Roman" w:cs="Times New Roman"/>
          <w:noProof/>
          <w:color w:val="000000" w:themeColor="text1"/>
          <w:sz w:val="24"/>
          <w:szCs w:val="24"/>
        </w:rPr>
        <w:t xml:space="preserve">which means that 3 FTEs are used to support work of SCCS. The SCCS is structured into 3 working groups that deal with several opinions at the same time (sometimes up to </w:t>
      </w:r>
      <w:r>
        <w:rPr>
          <w:rFonts w:ascii="Times New Roman" w:hAnsi="Times New Roman" w:cs="Times New Roman"/>
          <w:noProof/>
          <w:color w:val="000000" w:themeColor="text1"/>
          <w:sz w:val="24"/>
          <w:szCs w:val="24"/>
        </w:rPr>
        <w:t>20</w:t>
      </w:r>
      <w:r w:rsidRPr="00A00723">
        <w:rPr>
          <w:rFonts w:ascii="Times New Roman" w:hAnsi="Times New Roman" w:cs="Times New Roman"/>
          <w:noProof/>
          <w:color w:val="000000" w:themeColor="text1"/>
          <w:sz w:val="24"/>
          <w:szCs w:val="24"/>
        </w:rPr>
        <w:t>). Usually, each SCCS member is a rapporteur for 1 opinion at a time,</w:t>
      </w:r>
      <w:r w:rsidRPr="007A3245">
        <w:rPr>
          <w:noProof/>
        </w:rPr>
        <w:t xml:space="preserve"> </w:t>
      </w:r>
      <w:r w:rsidRPr="007A3245">
        <w:rPr>
          <w:rFonts w:ascii="Times New Roman" w:hAnsi="Times New Roman" w:cs="Times New Roman"/>
          <w:noProof/>
          <w:color w:val="000000" w:themeColor="text1"/>
          <w:sz w:val="24"/>
          <w:szCs w:val="24"/>
        </w:rPr>
        <w:t>however, quite often and in view of their expertise some members are rapporteurs for multiple opinions in parallel</w:t>
      </w:r>
      <w:r w:rsidRPr="00A00723">
        <w:rPr>
          <w:rFonts w:ascii="Times New Roman" w:hAnsi="Times New Roman" w:cs="Times New Roman"/>
          <w:noProof/>
          <w:color w:val="000000" w:themeColor="text1"/>
          <w:sz w:val="24"/>
          <w:szCs w:val="24"/>
        </w:rPr>
        <w:t>. External experts sometimes can also be nominated as rapporteurs.</w:t>
      </w:r>
    </w:p>
    <w:p w14:paraId="33413D01" w14:textId="77777777" w:rsidR="000A7D9D" w:rsidRDefault="000A7D9D" w:rsidP="000A7D9D">
      <w:pPr>
        <w:spacing w:after="120"/>
        <w:jc w:val="both"/>
        <w:rPr>
          <w:rFonts w:ascii="Times New Roman" w:hAnsi="Times New Roman" w:cs="Times New Roman"/>
          <w:noProof/>
          <w:sz w:val="24"/>
          <w:szCs w:val="24"/>
          <w:lang w:val="en-US"/>
        </w:rPr>
      </w:pPr>
      <w:r w:rsidRPr="00A00723">
        <w:rPr>
          <w:rFonts w:ascii="Times New Roman" w:hAnsi="Times New Roman" w:cs="Times New Roman"/>
          <w:noProof/>
          <w:sz w:val="24"/>
          <w:szCs w:val="24"/>
          <w:lang w:val="en-US"/>
        </w:rPr>
        <w:t xml:space="preserve">The operational costs for </w:t>
      </w:r>
      <w:r>
        <w:rPr>
          <w:rFonts w:ascii="Times New Roman" w:hAnsi="Times New Roman" w:cs="Times New Roman"/>
          <w:noProof/>
          <w:sz w:val="24"/>
          <w:szCs w:val="24"/>
          <w:lang w:val="en-US"/>
        </w:rPr>
        <w:t xml:space="preserve">SCCS and SCHEER </w:t>
      </w:r>
      <w:r w:rsidRPr="00A00723">
        <w:rPr>
          <w:rFonts w:ascii="Times New Roman" w:hAnsi="Times New Roman" w:cs="Times New Roman"/>
          <w:noProof/>
          <w:sz w:val="24"/>
          <w:szCs w:val="24"/>
          <w:lang w:val="en-US"/>
        </w:rPr>
        <w:t xml:space="preserve">(that includes special indemnities, accommodation, daily allowances, travel costs, reimbursement for rapporteurship, etc) operated by the Commission were </w:t>
      </w:r>
      <w:r>
        <w:rPr>
          <w:rFonts w:ascii="Times New Roman" w:hAnsi="Times New Roman" w:cs="Times New Roman"/>
          <w:noProof/>
          <w:sz w:val="24"/>
          <w:szCs w:val="24"/>
          <w:lang w:val="en-US"/>
        </w:rPr>
        <w:t xml:space="preserve">EUR </w:t>
      </w:r>
      <w:r w:rsidRPr="00A00723">
        <w:rPr>
          <w:rFonts w:ascii="Times New Roman" w:hAnsi="Times New Roman" w:cs="Times New Roman"/>
          <w:noProof/>
          <w:sz w:val="24"/>
          <w:szCs w:val="24"/>
          <w:lang w:val="en-US"/>
        </w:rPr>
        <w:t>2</w:t>
      </w:r>
      <w:r>
        <w:rPr>
          <w:rFonts w:ascii="Times New Roman" w:hAnsi="Times New Roman" w:cs="Times New Roman"/>
          <w:noProof/>
          <w:sz w:val="24"/>
          <w:szCs w:val="24"/>
          <w:lang w:val="en-US"/>
        </w:rPr>
        <w:t xml:space="preserve"> </w:t>
      </w:r>
      <w:r w:rsidRPr="00A00723">
        <w:rPr>
          <w:rFonts w:ascii="Times New Roman" w:hAnsi="Times New Roman" w:cs="Times New Roman"/>
          <w:noProof/>
          <w:sz w:val="24"/>
          <w:szCs w:val="24"/>
          <w:lang w:val="en-US"/>
        </w:rPr>
        <w:t>883</w:t>
      </w:r>
      <w:r>
        <w:rPr>
          <w:rFonts w:ascii="Times New Roman" w:hAnsi="Times New Roman" w:cs="Times New Roman"/>
          <w:noProof/>
          <w:sz w:val="24"/>
          <w:szCs w:val="24"/>
          <w:lang w:val="en-US"/>
        </w:rPr>
        <w:t xml:space="preserve"> </w:t>
      </w:r>
      <w:r w:rsidRPr="00A00723">
        <w:rPr>
          <w:rFonts w:ascii="Times New Roman" w:hAnsi="Times New Roman" w:cs="Times New Roman"/>
          <w:noProof/>
          <w:sz w:val="24"/>
          <w:szCs w:val="24"/>
          <w:lang w:val="en-US"/>
        </w:rPr>
        <w:t xml:space="preserve">030 for 6 years (2016-2021), which makes it approximately </w:t>
      </w:r>
      <w:r>
        <w:rPr>
          <w:rFonts w:ascii="Times New Roman" w:hAnsi="Times New Roman" w:cs="Times New Roman"/>
          <w:noProof/>
          <w:sz w:val="24"/>
          <w:szCs w:val="24"/>
          <w:lang w:val="en-US"/>
        </w:rPr>
        <w:t xml:space="preserve">EUR </w:t>
      </w:r>
      <w:r w:rsidRPr="00A00723">
        <w:rPr>
          <w:rFonts w:ascii="Times New Roman" w:hAnsi="Times New Roman" w:cs="Times New Roman"/>
          <w:noProof/>
          <w:sz w:val="24"/>
          <w:szCs w:val="24"/>
          <w:lang w:val="en-US"/>
        </w:rPr>
        <w:t>240</w:t>
      </w:r>
      <w:r>
        <w:rPr>
          <w:rFonts w:ascii="Times New Roman" w:hAnsi="Times New Roman" w:cs="Times New Roman"/>
          <w:noProof/>
          <w:sz w:val="24"/>
          <w:szCs w:val="24"/>
          <w:lang w:val="en-US"/>
        </w:rPr>
        <w:t xml:space="preserve"> </w:t>
      </w:r>
      <w:r w:rsidRPr="00A00723">
        <w:rPr>
          <w:rFonts w:ascii="Times New Roman" w:hAnsi="Times New Roman" w:cs="Times New Roman"/>
          <w:noProof/>
          <w:sz w:val="24"/>
          <w:szCs w:val="24"/>
          <w:lang w:val="en-US"/>
        </w:rPr>
        <w:t xml:space="preserve">000 per year per committee. It must be noted that the operational costs </w:t>
      </w:r>
      <w:r>
        <w:rPr>
          <w:rFonts w:ascii="Times New Roman" w:hAnsi="Times New Roman" w:cs="Times New Roman"/>
          <w:noProof/>
          <w:sz w:val="24"/>
          <w:szCs w:val="24"/>
          <w:lang w:val="en-US"/>
        </w:rPr>
        <w:t xml:space="preserve">varies per year. For example, </w:t>
      </w:r>
      <w:r w:rsidRPr="00A00723">
        <w:rPr>
          <w:rFonts w:ascii="Times New Roman" w:hAnsi="Times New Roman" w:cs="Times New Roman"/>
          <w:noProof/>
          <w:sz w:val="24"/>
          <w:szCs w:val="24"/>
          <w:lang w:val="en-US"/>
        </w:rPr>
        <w:t xml:space="preserve">in 2019 </w:t>
      </w:r>
      <w:r>
        <w:rPr>
          <w:rFonts w:ascii="Times New Roman" w:hAnsi="Times New Roman" w:cs="Times New Roman"/>
          <w:noProof/>
          <w:sz w:val="24"/>
          <w:szCs w:val="24"/>
          <w:lang w:val="en-US"/>
        </w:rPr>
        <w:t xml:space="preserve">the operational costs </w:t>
      </w:r>
      <w:r w:rsidRPr="00A00723">
        <w:rPr>
          <w:rFonts w:ascii="Times New Roman" w:hAnsi="Times New Roman" w:cs="Times New Roman"/>
          <w:noProof/>
          <w:sz w:val="24"/>
          <w:szCs w:val="24"/>
          <w:lang w:val="en-US"/>
        </w:rPr>
        <w:t xml:space="preserve">were </w:t>
      </w:r>
      <w:r>
        <w:rPr>
          <w:rFonts w:ascii="Times New Roman" w:hAnsi="Times New Roman" w:cs="Times New Roman"/>
          <w:noProof/>
          <w:sz w:val="24"/>
          <w:szCs w:val="24"/>
          <w:lang w:val="en-US"/>
        </w:rPr>
        <w:t xml:space="preserve">EUR </w:t>
      </w:r>
      <w:r w:rsidRPr="00A00723">
        <w:rPr>
          <w:rFonts w:ascii="Times New Roman" w:hAnsi="Times New Roman" w:cs="Times New Roman"/>
          <w:noProof/>
          <w:sz w:val="24"/>
          <w:szCs w:val="24"/>
          <w:lang w:val="en-US"/>
        </w:rPr>
        <w:t>370</w:t>
      </w:r>
      <w:r>
        <w:rPr>
          <w:rFonts w:ascii="Times New Roman" w:hAnsi="Times New Roman" w:cs="Times New Roman"/>
          <w:noProof/>
          <w:sz w:val="24"/>
          <w:szCs w:val="24"/>
          <w:lang w:val="en-US"/>
        </w:rPr>
        <w:t xml:space="preserve"> </w:t>
      </w:r>
      <w:r w:rsidRPr="00A00723">
        <w:rPr>
          <w:rFonts w:ascii="Times New Roman" w:hAnsi="Times New Roman" w:cs="Times New Roman"/>
          <w:noProof/>
          <w:sz w:val="24"/>
          <w:szCs w:val="24"/>
          <w:lang w:val="en-US"/>
        </w:rPr>
        <w:t xml:space="preserve">000, which then went down because of pandemic measures. </w:t>
      </w:r>
    </w:p>
    <w:p w14:paraId="68CE23CE" w14:textId="77777777" w:rsidR="000A7D9D" w:rsidRPr="00A00723" w:rsidRDefault="000A7D9D" w:rsidP="00BA24B0">
      <w:pPr>
        <w:snapToGrid w:val="0"/>
        <w:spacing w:after="120"/>
        <w:jc w:val="both"/>
        <w:rPr>
          <w:rFonts w:ascii="Times New Roman" w:hAnsi="Times New Roman" w:cs="Times New Roman"/>
          <w:noProof/>
          <w:sz w:val="24"/>
          <w:szCs w:val="24"/>
          <w:lang w:val="en-US"/>
        </w:rPr>
      </w:pPr>
      <w:r w:rsidRPr="00A00723">
        <w:rPr>
          <w:rFonts w:ascii="Times New Roman" w:hAnsi="Times New Roman" w:cs="Times New Roman"/>
          <w:noProof/>
          <w:sz w:val="24"/>
          <w:szCs w:val="24"/>
          <w:lang w:val="en-US"/>
        </w:rPr>
        <w:t xml:space="preserve">The resource use can be summarized as follow: </w:t>
      </w:r>
    </w:p>
    <w:tbl>
      <w:tblPr>
        <w:tblStyle w:val="TableGrid8"/>
        <w:tblW w:w="0" w:type="auto"/>
        <w:tblLook w:val="04A0" w:firstRow="1" w:lastRow="0" w:firstColumn="1" w:lastColumn="0" w:noHBand="0" w:noVBand="1"/>
      </w:tblPr>
      <w:tblGrid>
        <w:gridCol w:w="2405"/>
        <w:gridCol w:w="6611"/>
      </w:tblGrid>
      <w:tr w:rsidR="000A7D9D" w:rsidRPr="00BA24B0" w14:paraId="6ACA1B04" w14:textId="77777777" w:rsidTr="00BA24B0">
        <w:trPr>
          <w:trHeight w:val="300"/>
        </w:trPr>
        <w:tc>
          <w:tcPr>
            <w:tcW w:w="2405" w:type="dxa"/>
          </w:tcPr>
          <w:p w14:paraId="47408AE0" w14:textId="77777777" w:rsidR="000A7D9D" w:rsidRPr="00BA24B0" w:rsidRDefault="000A7D9D" w:rsidP="00F31937">
            <w:pPr>
              <w:spacing w:after="240"/>
              <w:rPr>
                <w:rFonts w:ascii="Times New Roman" w:hAnsi="Times New Roman"/>
                <w:noProof/>
              </w:rPr>
            </w:pPr>
            <w:r w:rsidRPr="00BA24B0">
              <w:rPr>
                <w:rFonts w:ascii="Times New Roman" w:hAnsi="Times New Roman"/>
                <w:noProof/>
              </w:rPr>
              <w:t>DG SANTE secretariat</w:t>
            </w:r>
          </w:p>
        </w:tc>
        <w:tc>
          <w:tcPr>
            <w:tcW w:w="6611" w:type="dxa"/>
          </w:tcPr>
          <w:p w14:paraId="121C8294" w14:textId="77777777" w:rsidR="000A7D9D" w:rsidRPr="00BA24B0" w:rsidRDefault="000A7D9D" w:rsidP="00F31937">
            <w:pPr>
              <w:rPr>
                <w:rFonts w:ascii="Times New Roman" w:hAnsi="Times New Roman"/>
                <w:noProof/>
              </w:rPr>
            </w:pPr>
            <w:r w:rsidRPr="00BA24B0">
              <w:rPr>
                <w:rFonts w:ascii="Times New Roman" w:hAnsi="Times New Roman"/>
                <w:noProof/>
              </w:rPr>
              <w:t xml:space="preserve">3 FTEs (2 internal + 1 external) </w:t>
            </w:r>
          </w:p>
        </w:tc>
      </w:tr>
      <w:tr w:rsidR="000A7D9D" w:rsidRPr="00BA24B0" w14:paraId="516E6219" w14:textId="77777777" w:rsidTr="00BA24B0">
        <w:tc>
          <w:tcPr>
            <w:tcW w:w="2405" w:type="dxa"/>
          </w:tcPr>
          <w:p w14:paraId="667B4B95" w14:textId="77777777" w:rsidR="000A7D9D" w:rsidRPr="00BA24B0" w:rsidRDefault="000A7D9D" w:rsidP="00F31937">
            <w:pPr>
              <w:spacing w:after="240"/>
              <w:rPr>
                <w:rFonts w:ascii="Times New Roman" w:hAnsi="Times New Roman"/>
                <w:noProof/>
              </w:rPr>
            </w:pPr>
            <w:r w:rsidRPr="00BA24B0">
              <w:rPr>
                <w:rFonts w:ascii="Times New Roman" w:hAnsi="Times New Roman"/>
                <w:noProof/>
              </w:rPr>
              <w:t>SCCS committee</w:t>
            </w:r>
          </w:p>
        </w:tc>
        <w:tc>
          <w:tcPr>
            <w:tcW w:w="6611" w:type="dxa"/>
          </w:tcPr>
          <w:p w14:paraId="230F78F5" w14:textId="77777777" w:rsidR="000A7D9D" w:rsidRPr="00BA24B0" w:rsidRDefault="000A7D9D" w:rsidP="00F31937">
            <w:pPr>
              <w:spacing w:after="240"/>
              <w:rPr>
                <w:rFonts w:ascii="Times New Roman" w:hAnsi="Times New Roman"/>
                <w:noProof/>
              </w:rPr>
            </w:pPr>
            <w:r w:rsidRPr="00BA24B0">
              <w:rPr>
                <w:rFonts w:ascii="Times New Roman" w:hAnsi="Times New Roman"/>
                <w:noProof/>
              </w:rPr>
              <w:t>100% of membership capacity (14 members + 4 external experts)</w:t>
            </w:r>
          </w:p>
          <w:p w14:paraId="23A02313" w14:textId="77777777" w:rsidR="000A7D9D" w:rsidRPr="00BA24B0" w:rsidRDefault="000A7D9D" w:rsidP="00F31937">
            <w:pPr>
              <w:spacing w:after="240"/>
              <w:rPr>
                <w:rFonts w:ascii="Times New Roman" w:hAnsi="Times New Roman"/>
                <w:noProof/>
              </w:rPr>
            </w:pPr>
            <w:r w:rsidRPr="00BA24B0">
              <w:rPr>
                <w:rFonts w:ascii="Times New Roman" w:hAnsi="Times New Roman"/>
                <w:noProof/>
              </w:rPr>
              <w:t xml:space="preserve">Yearly operational budget for members of the committee was on 6 year average (2016-2021) EUR 240 000 per year </w:t>
            </w:r>
          </w:p>
        </w:tc>
      </w:tr>
      <w:tr w:rsidR="000A7D9D" w:rsidRPr="00BA24B0" w14:paraId="6F23C7A0" w14:textId="77777777" w:rsidTr="00BA24B0">
        <w:tc>
          <w:tcPr>
            <w:tcW w:w="2405" w:type="dxa"/>
          </w:tcPr>
          <w:p w14:paraId="12B63CE4" w14:textId="77777777" w:rsidR="000A7D9D" w:rsidRPr="00BA24B0" w:rsidRDefault="000A7D9D" w:rsidP="00F31937">
            <w:pPr>
              <w:spacing w:after="240"/>
              <w:rPr>
                <w:rFonts w:ascii="Times New Roman" w:hAnsi="Times New Roman"/>
                <w:b/>
                <w:bCs/>
                <w:noProof/>
              </w:rPr>
            </w:pPr>
            <w:r w:rsidRPr="00BA24B0">
              <w:rPr>
                <w:rFonts w:ascii="Times New Roman" w:hAnsi="Times New Roman"/>
                <w:b/>
                <w:bCs/>
                <w:noProof/>
              </w:rPr>
              <w:t>Total</w:t>
            </w:r>
          </w:p>
        </w:tc>
        <w:tc>
          <w:tcPr>
            <w:tcW w:w="6611" w:type="dxa"/>
          </w:tcPr>
          <w:p w14:paraId="744AA834" w14:textId="77777777" w:rsidR="000A7D9D" w:rsidRPr="00BA24B0" w:rsidRDefault="000A7D9D" w:rsidP="00F31937">
            <w:pPr>
              <w:spacing w:after="240"/>
              <w:rPr>
                <w:rFonts w:ascii="Times New Roman" w:hAnsi="Times New Roman"/>
                <w:b/>
                <w:bCs/>
                <w:noProof/>
              </w:rPr>
            </w:pPr>
            <w:r w:rsidRPr="00BA24B0">
              <w:rPr>
                <w:rFonts w:ascii="Times New Roman" w:hAnsi="Times New Roman"/>
                <w:b/>
                <w:bCs/>
                <w:noProof/>
              </w:rPr>
              <w:t>Ca. 3 FTEs</w:t>
            </w:r>
          </w:p>
        </w:tc>
      </w:tr>
    </w:tbl>
    <w:p w14:paraId="4AAE4554" w14:textId="77777777" w:rsidR="000A7D9D" w:rsidRPr="00A00723" w:rsidRDefault="000A7D9D" w:rsidP="000A7D9D">
      <w:pPr>
        <w:spacing w:before="120" w:after="120"/>
        <w:rPr>
          <w:rFonts w:ascii="Times New Roman" w:hAnsi="Times New Roman" w:cs="Times New Roman"/>
          <w:bCs/>
          <w:i/>
          <w:iCs/>
          <w:noProof/>
          <w:color w:val="000000"/>
          <w:sz w:val="24"/>
          <w:szCs w:val="24"/>
        </w:rPr>
      </w:pPr>
      <w:r w:rsidRPr="00A00723">
        <w:rPr>
          <w:rFonts w:ascii="Times New Roman" w:hAnsi="Times New Roman" w:cs="Times New Roman"/>
          <w:bCs/>
          <w:i/>
          <w:iCs/>
          <w:noProof/>
          <w:color w:val="000000"/>
          <w:sz w:val="24"/>
          <w:szCs w:val="24"/>
        </w:rPr>
        <w:t xml:space="preserve">(to convert the cost of consultants into FTEs, the cost of 1 FTE consultant is estimated at ca. </w:t>
      </w:r>
      <w:r>
        <w:rPr>
          <w:rFonts w:ascii="Times New Roman" w:hAnsi="Times New Roman" w:cs="Times New Roman"/>
          <w:bCs/>
          <w:i/>
          <w:iCs/>
          <w:noProof/>
          <w:color w:val="000000"/>
          <w:sz w:val="24"/>
          <w:szCs w:val="24"/>
        </w:rPr>
        <w:t xml:space="preserve">EUR </w:t>
      </w:r>
      <w:r w:rsidRPr="00A00723">
        <w:rPr>
          <w:rFonts w:ascii="Times New Roman" w:hAnsi="Times New Roman" w:cs="Times New Roman"/>
          <w:bCs/>
          <w:i/>
          <w:iCs/>
          <w:noProof/>
          <w:color w:val="000000"/>
          <w:sz w:val="24"/>
          <w:szCs w:val="24"/>
        </w:rPr>
        <w:t>66</w:t>
      </w:r>
      <w:r>
        <w:rPr>
          <w:rFonts w:ascii="Times New Roman" w:hAnsi="Times New Roman" w:cs="Times New Roman"/>
          <w:bCs/>
          <w:i/>
          <w:iCs/>
          <w:noProof/>
          <w:color w:val="000000"/>
          <w:sz w:val="24"/>
          <w:szCs w:val="24"/>
        </w:rPr>
        <w:t xml:space="preserve"> </w:t>
      </w:r>
      <w:r w:rsidRPr="00A00723">
        <w:rPr>
          <w:rFonts w:ascii="Times New Roman" w:hAnsi="Times New Roman" w:cs="Times New Roman"/>
          <w:bCs/>
          <w:i/>
          <w:iCs/>
          <w:noProof/>
          <w:color w:val="000000"/>
          <w:sz w:val="24"/>
          <w:szCs w:val="24"/>
        </w:rPr>
        <w:t>000 annually)</w:t>
      </w:r>
    </w:p>
    <w:p w14:paraId="1AA67944" w14:textId="77777777" w:rsidR="000A7D9D" w:rsidRPr="00A00723" w:rsidRDefault="000A7D9D" w:rsidP="000A7D9D">
      <w:pPr>
        <w:spacing w:before="120" w:after="120"/>
        <w:rPr>
          <w:rFonts w:ascii="Times New Roman" w:hAnsi="Times New Roman" w:cs="Times New Roman"/>
          <w:noProof/>
          <w:color w:val="000000"/>
          <w:sz w:val="24"/>
          <w:szCs w:val="24"/>
        </w:rPr>
      </w:pPr>
      <w:r w:rsidRPr="00A00723">
        <w:rPr>
          <w:rFonts w:ascii="Times New Roman" w:hAnsi="Times New Roman" w:cs="Times New Roman"/>
          <w:noProof/>
          <w:color w:val="000000" w:themeColor="text1"/>
          <w:sz w:val="24"/>
          <w:szCs w:val="24"/>
        </w:rPr>
        <w:t>Such Commission resources do not include contributions to the administrative overhead of the Commission (HR, Finance, IT tools, etc.).</w:t>
      </w:r>
    </w:p>
    <w:p w14:paraId="7F86DFB2" w14:textId="77777777" w:rsidR="000A7D9D" w:rsidRPr="00A00723" w:rsidRDefault="000A7D9D" w:rsidP="000A7D9D">
      <w:pPr>
        <w:spacing w:before="120" w:after="120"/>
        <w:rPr>
          <w:rFonts w:ascii="Times New Roman" w:hAnsi="Times New Roman" w:cs="Times New Roman"/>
          <w:noProof/>
          <w:color w:val="000000" w:themeColor="text1"/>
          <w:sz w:val="24"/>
          <w:szCs w:val="24"/>
        </w:rPr>
      </w:pPr>
      <w:r w:rsidRPr="00A00723">
        <w:rPr>
          <w:rFonts w:ascii="Times New Roman" w:hAnsi="Times New Roman" w:cs="Times New Roman"/>
          <w:noProof/>
          <w:color w:val="000000" w:themeColor="text1"/>
          <w:sz w:val="24"/>
          <w:szCs w:val="24"/>
          <w:u w:val="single"/>
        </w:rPr>
        <w:t>Current budget line:</w:t>
      </w:r>
      <w:r w:rsidRPr="00A00723">
        <w:rPr>
          <w:rFonts w:ascii="Times New Roman" w:hAnsi="Times New Roman" w:cs="Times New Roman"/>
          <w:noProof/>
          <w:color w:val="000000" w:themeColor="text1"/>
          <w:sz w:val="24"/>
          <w:szCs w:val="24"/>
        </w:rPr>
        <w:t xml:space="preserve"> DG SANTE + DG GROW</w:t>
      </w:r>
    </w:p>
    <w:p w14:paraId="7440A021" w14:textId="77777777" w:rsidR="000A7D9D" w:rsidRPr="00A00723" w:rsidRDefault="000A7D9D" w:rsidP="000A7D9D">
      <w:pPr>
        <w:spacing w:before="120" w:after="120"/>
        <w:rPr>
          <w:rFonts w:ascii="Times New Roman" w:hAnsi="Times New Roman" w:cs="Times New Roman"/>
          <w:noProof/>
          <w:color w:val="000000" w:themeColor="text1"/>
          <w:sz w:val="24"/>
          <w:szCs w:val="24"/>
        </w:rPr>
      </w:pPr>
      <w:r w:rsidRPr="00A00723">
        <w:rPr>
          <w:rFonts w:ascii="Times New Roman" w:hAnsi="Times New Roman" w:cs="Times New Roman"/>
          <w:noProof/>
          <w:color w:val="000000" w:themeColor="text1"/>
          <w:sz w:val="24"/>
          <w:szCs w:val="24"/>
          <w:u w:val="single"/>
        </w:rPr>
        <w:t>Future workload and resource needs:</w:t>
      </w:r>
    </w:p>
    <w:p w14:paraId="6E4C048D" w14:textId="77777777" w:rsidR="000A7D9D" w:rsidRPr="00A00723" w:rsidRDefault="000A7D9D" w:rsidP="000A7D9D">
      <w:pPr>
        <w:spacing w:before="120" w:after="120"/>
        <w:jc w:val="both"/>
        <w:rPr>
          <w:rFonts w:ascii="Times New Roman" w:hAnsi="Times New Roman" w:cs="Times New Roman"/>
          <w:noProof/>
          <w:color w:val="000000"/>
          <w:sz w:val="24"/>
          <w:szCs w:val="24"/>
        </w:rPr>
      </w:pPr>
      <w:r w:rsidRPr="00A00723">
        <w:rPr>
          <w:rFonts w:ascii="Times New Roman" w:hAnsi="Times New Roman" w:cs="Times New Roman"/>
          <w:noProof/>
          <w:color w:val="000000" w:themeColor="text1"/>
          <w:sz w:val="24"/>
          <w:szCs w:val="24"/>
        </w:rPr>
        <w:t xml:space="preserve">Because of the planned introduction of </w:t>
      </w:r>
      <w:r>
        <w:rPr>
          <w:rFonts w:ascii="Times New Roman" w:hAnsi="Times New Roman" w:cs="Times New Roman"/>
          <w:noProof/>
          <w:color w:val="000000" w:themeColor="text1"/>
          <w:sz w:val="24"/>
          <w:szCs w:val="24"/>
        </w:rPr>
        <w:t xml:space="preserve">new </w:t>
      </w:r>
      <w:r w:rsidRPr="00AF2790">
        <w:rPr>
          <w:rFonts w:ascii="Times New Roman" w:hAnsi="Times New Roman" w:cs="Times New Roman"/>
          <w:noProof/>
          <w:color w:val="000000" w:themeColor="text1"/>
          <w:sz w:val="24"/>
          <w:szCs w:val="24"/>
        </w:rPr>
        <w:t>risk management measures to cover substances classified as endocrine disruptors, and the process for examining the safety of substances that could affect the respiratory system and chemicals toxic to a specific target organ toxicant (STOT)</w:t>
      </w:r>
      <w:r>
        <w:rPr>
          <w:rFonts w:ascii="Times New Roman" w:hAnsi="Times New Roman" w:cs="Times New Roman"/>
          <w:noProof/>
          <w:color w:val="000000" w:themeColor="text1"/>
          <w:sz w:val="24"/>
          <w:szCs w:val="24"/>
        </w:rPr>
        <w:t>,</w:t>
      </w:r>
      <w:r w:rsidRPr="00AF2790">
        <w:rPr>
          <w:rFonts w:ascii="Times New Roman" w:hAnsi="Times New Roman" w:cs="Times New Roman"/>
          <w:noProof/>
          <w:color w:val="000000" w:themeColor="text1"/>
          <w:sz w:val="24"/>
          <w:szCs w:val="24"/>
        </w:rPr>
        <w:t xml:space="preserve"> </w:t>
      </w:r>
      <w:r w:rsidRPr="00A00723">
        <w:rPr>
          <w:rFonts w:ascii="Times New Roman" w:hAnsi="Times New Roman" w:cs="Times New Roman"/>
          <w:noProof/>
          <w:color w:val="000000" w:themeColor="text1"/>
          <w:sz w:val="24"/>
          <w:szCs w:val="24"/>
        </w:rPr>
        <w:t xml:space="preserve">it is expected that the number of exemption requests might grow significantly </w:t>
      </w:r>
      <w:r w:rsidRPr="00AF2790">
        <w:rPr>
          <w:rFonts w:ascii="Times New Roman" w:hAnsi="Times New Roman" w:cs="Times New Roman"/>
          <w:noProof/>
          <w:color w:val="000000" w:themeColor="text1"/>
          <w:sz w:val="24"/>
          <w:szCs w:val="24"/>
        </w:rPr>
        <w:t>and that there will be a need for more than the current average of 11 opinions per year, with more than up to 20 opinions in the pipeline at any given moment.</w:t>
      </w:r>
      <w:r>
        <w:rPr>
          <w:rFonts w:ascii="Times New Roman" w:hAnsi="Times New Roman" w:cs="Times New Roman"/>
          <w:noProof/>
          <w:color w:val="000000" w:themeColor="text1"/>
          <w:sz w:val="24"/>
          <w:szCs w:val="24"/>
        </w:rPr>
        <w:t xml:space="preserve"> </w:t>
      </w:r>
      <w:r w:rsidRPr="00AF2790">
        <w:rPr>
          <w:rFonts w:ascii="Times New Roman" w:hAnsi="Times New Roman" w:cs="Times New Roman"/>
          <w:noProof/>
          <w:color w:val="000000" w:themeColor="text1"/>
          <w:sz w:val="24"/>
          <w:szCs w:val="24"/>
        </w:rPr>
        <w:t xml:space="preserve">However, in view of the maximum capacity of the SCCS based on its current composition </w:t>
      </w:r>
      <w:r w:rsidRPr="00A00723">
        <w:rPr>
          <w:rFonts w:ascii="Times New Roman" w:hAnsi="Times New Roman" w:cs="Times New Roman"/>
          <w:noProof/>
          <w:color w:val="000000" w:themeColor="text1"/>
          <w:sz w:val="24"/>
          <w:szCs w:val="24"/>
        </w:rPr>
        <w:t>the overall number of assessments per year</w:t>
      </w:r>
      <w:r w:rsidRPr="00194225">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may not change dramatically</w:t>
      </w:r>
      <w:r w:rsidRPr="00A00723">
        <w:rPr>
          <w:rFonts w:ascii="Times New Roman" w:hAnsi="Times New Roman" w:cs="Times New Roman"/>
          <w:noProof/>
          <w:color w:val="000000" w:themeColor="text1"/>
          <w:sz w:val="24"/>
          <w:szCs w:val="24"/>
        </w:rPr>
        <w:t xml:space="preserve">. </w:t>
      </w:r>
    </w:p>
    <w:p w14:paraId="75578B15" w14:textId="3C194DF7" w:rsidR="000A7D9D" w:rsidRPr="00A73B52" w:rsidRDefault="000A7D9D" w:rsidP="00A73B52">
      <w:pPr>
        <w:pStyle w:val="BodyText"/>
        <w:spacing w:line="259" w:lineRule="auto"/>
        <w:jc w:val="both"/>
        <w:rPr>
          <w:rFonts w:eastAsiaTheme="minorHAnsi"/>
          <w:noProof/>
          <w:color w:val="000000" w:themeColor="text1"/>
        </w:rPr>
      </w:pPr>
      <w:r w:rsidRPr="00BA2AC8">
        <w:rPr>
          <w:rFonts w:eastAsiaTheme="minorHAnsi"/>
          <w:noProof/>
          <w:color w:val="000000" w:themeColor="text1"/>
        </w:rPr>
        <w:t>If the current ECHA estimation of resources is applied to the complexity of dossier reviewed by the SCCS, we can extrapolate the following future allocation of FTEs: 0.35 FTE for low complexity dossier (4 dossiers out of 11 which would require 1.4 FTE), 0.5 FTE for average complexity (4 dossiers out of 11 would require 2 FTE) and 0.65 FTE for complex dossier (3 dossiers out of 11 which would require 1.95 FTE).</w:t>
      </w:r>
      <w:r w:rsidRPr="00A73B52">
        <w:rPr>
          <w:rFonts w:eastAsiaTheme="minorHAnsi"/>
          <w:noProof/>
          <w:color w:val="000000" w:themeColor="text1"/>
        </w:rPr>
        <w:t xml:space="preserve">  For 11 opinions per year this makes 5.4 FTEs. Overhead of 15% is required to contribution for common component of IT tool development (data submission, processing, output), and overhead of 15 % is required to contribution for horizontal support (governance, enablers, administrative overhead), which is additional 1.6 FTE. In total, it makes 7</w:t>
      </w:r>
      <w:r w:rsidR="00DC0086">
        <w:rPr>
          <w:rFonts w:eastAsiaTheme="minorHAnsi"/>
          <w:noProof/>
          <w:color w:val="000000" w:themeColor="text1"/>
        </w:rPr>
        <w:t xml:space="preserve"> </w:t>
      </w:r>
      <w:r w:rsidRPr="00A73B52">
        <w:rPr>
          <w:rFonts w:eastAsiaTheme="minorHAnsi"/>
          <w:noProof/>
          <w:color w:val="000000" w:themeColor="text1"/>
        </w:rPr>
        <w:t xml:space="preserve">FTEs. In addition, there is a need to cover travelling, accommodation, contingency costs related to members of the SCCS, in total some EUR 300 000/year.  </w:t>
      </w:r>
    </w:p>
    <w:p w14:paraId="3A7F9A31" w14:textId="77777777" w:rsidR="000A7D9D" w:rsidRPr="00A00723" w:rsidRDefault="000A7D9D" w:rsidP="000A7D9D">
      <w:pPr>
        <w:spacing w:before="120" w:after="120"/>
        <w:rPr>
          <w:rFonts w:ascii="Times New Roman" w:hAnsi="Times New Roman" w:cs="Times New Roman"/>
          <w:noProof/>
          <w:color w:val="000000" w:themeColor="text1"/>
          <w:sz w:val="24"/>
          <w:szCs w:val="24"/>
        </w:rPr>
      </w:pPr>
      <w:r w:rsidRPr="00A00723">
        <w:rPr>
          <w:rFonts w:ascii="Times New Roman" w:hAnsi="Times New Roman" w:cs="Times New Roman"/>
          <w:noProof/>
          <w:sz w:val="24"/>
          <w:szCs w:val="24"/>
        </w:rPr>
        <w:t>Summary of resource needs for cosmetic product regulation:</w:t>
      </w:r>
    </w:p>
    <w:tbl>
      <w:tblPr>
        <w:tblStyle w:val="TableGrid"/>
        <w:tblW w:w="9629" w:type="dxa"/>
        <w:tblLook w:val="04A0" w:firstRow="1" w:lastRow="0" w:firstColumn="1" w:lastColumn="0" w:noHBand="0" w:noVBand="1"/>
      </w:tblPr>
      <w:tblGrid>
        <w:gridCol w:w="1185"/>
        <w:gridCol w:w="3630"/>
        <w:gridCol w:w="2040"/>
        <w:gridCol w:w="2774"/>
      </w:tblGrid>
      <w:tr w:rsidR="000A7D9D" w:rsidRPr="00C90355" w14:paraId="3E4494B9" w14:textId="77777777" w:rsidTr="00F31937">
        <w:trPr>
          <w:trHeight w:val="300"/>
        </w:trPr>
        <w:tc>
          <w:tcPr>
            <w:tcW w:w="1185" w:type="dxa"/>
            <w:shd w:val="clear" w:color="auto" w:fill="D9D9D9" w:themeFill="background1" w:themeFillShade="D9"/>
          </w:tcPr>
          <w:p w14:paraId="4C4B237D" w14:textId="77777777" w:rsidR="000A7D9D" w:rsidRPr="00C90355" w:rsidRDefault="000A7D9D" w:rsidP="00F31937">
            <w:pPr>
              <w:pStyle w:val="BodyText"/>
              <w:spacing w:line="259" w:lineRule="auto"/>
              <w:rPr>
                <w:b/>
                <w:bCs/>
                <w:noProof/>
                <w:sz w:val="20"/>
                <w:szCs w:val="20"/>
              </w:rPr>
            </w:pPr>
            <w:r w:rsidRPr="00C90355">
              <w:rPr>
                <w:b/>
                <w:bCs/>
                <w:noProof/>
                <w:sz w:val="20"/>
                <w:szCs w:val="20"/>
              </w:rPr>
              <w:t>Agency</w:t>
            </w:r>
          </w:p>
        </w:tc>
        <w:tc>
          <w:tcPr>
            <w:tcW w:w="3630" w:type="dxa"/>
            <w:shd w:val="clear" w:color="auto" w:fill="D9D9D9" w:themeFill="background1" w:themeFillShade="D9"/>
          </w:tcPr>
          <w:p w14:paraId="799D5C81" w14:textId="77777777" w:rsidR="000A7D9D" w:rsidRPr="00C90355" w:rsidRDefault="000A7D9D" w:rsidP="00F31937">
            <w:pPr>
              <w:pStyle w:val="BodyText"/>
              <w:rPr>
                <w:b/>
                <w:bCs/>
                <w:noProof/>
                <w:sz w:val="20"/>
                <w:szCs w:val="20"/>
              </w:rPr>
            </w:pPr>
            <w:r w:rsidRPr="00C90355">
              <w:rPr>
                <w:b/>
                <w:bCs/>
                <w:noProof/>
                <w:sz w:val="20"/>
                <w:szCs w:val="20"/>
              </w:rPr>
              <w:t>Summary of tasks</w:t>
            </w:r>
          </w:p>
        </w:tc>
        <w:tc>
          <w:tcPr>
            <w:tcW w:w="2040" w:type="dxa"/>
            <w:shd w:val="clear" w:color="auto" w:fill="D9D9D9" w:themeFill="background1" w:themeFillShade="D9"/>
          </w:tcPr>
          <w:p w14:paraId="24F2C8DC" w14:textId="77777777" w:rsidR="000A7D9D" w:rsidRPr="00C90355" w:rsidRDefault="000A7D9D" w:rsidP="00F31937">
            <w:pPr>
              <w:pStyle w:val="BodyText"/>
              <w:tabs>
                <w:tab w:val="left" w:pos="4170"/>
              </w:tabs>
              <w:rPr>
                <w:noProof/>
                <w:sz w:val="20"/>
                <w:szCs w:val="20"/>
              </w:rPr>
            </w:pPr>
          </w:p>
        </w:tc>
        <w:tc>
          <w:tcPr>
            <w:tcW w:w="2774" w:type="dxa"/>
            <w:shd w:val="clear" w:color="auto" w:fill="D9D9D9" w:themeFill="background1" w:themeFillShade="D9"/>
          </w:tcPr>
          <w:p w14:paraId="11106D7A" w14:textId="77777777" w:rsidR="000A7D9D" w:rsidRPr="00C90355" w:rsidRDefault="000A7D9D" w:rsidP="00F31937">
            <w:pPr>
              <w:pStyle w:val="BodyText"/>
              <w:tabs>
                <w:tab w:val="left" w:pos="4170"/>
              </w:tabs>
              <w:spacing w:after="0"/>
              <w:rPr>
                <w:noProof/>
                <w:sz w:val="20"/>
                <w:szCs w:val="20"/>
              </w:rPr>
            </w:pPr>
          </w:p>
        </w:tc>
      </w:tr>
      <w:tr w:rsidR="000A7D9D" w:rsidRPr="00187DBF" w14:paraId="48A3ACE8" w14:textId="77777777" w:rsidTr="00F31937">
        <w:trPr>
          <w:trHeight w:val="300"/>
        </w:trPr>
        <w:tc>
          <w:tcPr>
            <w:tcW w:w="1185" w:type="dxa"/>
            <w:vMerge w:val="restart"/>
            <w:shd w:val="clear" w:color="auto" w:fill="D9D9D9" w:themeFill="background1" w:themeFillShade="D9"/>
          </w:tcPr>
          <w:p w14:paraId="680A47E9" w14:textId="77777777" w:rsidR="000A7D9D" w:rsidRPr="00C90355" w:rsidRDefault="000A7D9D" w:rsidP="00F31937">
            <w:pPr>
              <w:pStyle w:val="BodyText"/>
              <w:spacing w:line="259" w:lineRule="auto"/>
              <w:rPr>
                <w:noProof/>
                <w:sz w:val="20"/>
                <w:szCs w:val="20"/>
              </w:rPr>
            </w:pPr>
            <w:r w:rsidRPr="00C90355">
              <w:rPr>
                <w:noProof/>
                <w:sz w:val="20"/>
                <w:szCs w:val="20"/>
              </w:rPr>
              <w:t>ECHA</w:t>
            </w:r>
          </w:p>
        </w:tc>
        <w:tc>
          <w:tcPr>
            <w:tcW w:w="3630" w:type="dxa"/>
            <w:vMerge w:val="restart"/>
            <w:shd w:val="clear" w:color="auto" w:fill="D9D9D9" w:themeFill="background1" w:themeFillShade="D9"/>
          </w:tcPr>
          <w:p w14:paraId="6D759327" w14:textId="77777777" w:rsidR="000A7D9D" w:rsidRPr="00C90355" w:rsidRDefault="000A7D9D" w:rsidP="00F31937">
            <w:pPr>
              <w:rPr>
                <w:noProof/>
              </w:rPr>
            </w:pPr>
            <w:r w:rsidRPr="00C90355">
              <w:rPr>
                <w:noProof/>
              </w:rPr>
              <w:t xml:space="preserve">Assessment for Restriction/prohibition of substances </w:t>
            </w:r>
          </w:p>
          <w:p w14:paraId="529B3362" w14:textId="77777777" w:rsidR="000A7D9D" w:rsidRPr="00C90355" w:rsidRDefault="000A7D9D" w:rsidP="00F31937">
            <w:pPr>
              <w:rPr>
                <w:noProof/>
              </w:rPr>
            </w:pPr>
          </w:p>
          <w:p w14:paraId="270F05F4" w14:textId="77777777" w:rsidR="000A7D9D" w:rsidRPr="00C90355" w:rsidRDefault="000A7D9D" w:rsidP="00F31937">
            <w:pPr>
              <w:rPr>
                <w:noProof/>
              </w:rPr>
            </w:pPr>
            <w:r w:rsidRPr="00C90355">
              <w:rPr>
                <w:noProof/>
              </w:rPr>
              <w:t>Assessments for authorisation of substances and exemption requests</w:t>
            </w:r>
          </w:p>
          <w:p w14:paraId="066422D5" w14:textId="77777777" w:rsidR="000A7D9D" w:rsidRPr="00C90355" w:rsidRDefault="000A7D9D" w:rsidP="00F31937">
            <w:pPr>
              <w:rPr>
                <w:noProof/>
              </w:rPr>
            </w:pPr>
          </w:p>
          <w:p w14:paraId="4A98F9E7" w14:textId="77777777" w:rsidR="000A7D9D" w:rsidRPr="00C90355" w:rsidRDefault="000A7D9D" w:rsidP="00F31937">
            <w:pPr>
              <w:rPr>
                <w:noProof/>
              </w:rPr>
            </w:pPr>
            <w:r w:rsidRPr="00C90355">
              <w:rPr>
                <w:noProof/>
              </w:rPr>
              <w:t xml:space="preserve">Update of the Guidance document </w:t>
            </w:r>
          </w:p>
        </w:tc>
        <w:tc>
          <w:tcPr>
            <w:tcW w:w="2040" w:type="dxa"/>
            <w:shd w:val="clear" w:color="auto" w:fill="D9D9D9" w:themeFill="background1" w:themeFillShade="D9"/>
          </w:tcPr>
          <w:p w14:paraId="69B7F96B" w14:textId="77777777" w:rsidR="000A7D9D" w:rsidRPr="00C90355" w:rsidRDefault="000A7D9D" w:rsidP="00F31937">
            <w:pPr>
              <w:pStyle w:val="BodyText"/>
              <w:tabs>
                <w:tab w:val="left" w:pos="4170"/>
              </w:tabs>
              <w:rPr>
                <w:noProof/>
                <w:sz w:val="20"/>
                <w:szCs w:val="20"/>
              </w:rPr>
            </w:pPr>
            <w:r w:rsidRPr="00C90355">
              <w:rPr>
                <w:noProof/>
                <w:sz w:val="20"/>
                <w:szCs w:val="20"/>
              </w:rPr>
              <w:t>Financial resource needs:</w:t>
            </w:r>
          </w:p>
        </w:tc>
        <w:tc>
          <w:tcPr>
            <w:tcW w:w="2774" w:type="dxa"/>
            <w:shd w:val="clear" w:color="auto" w:fill="D9D9D9" w:themeFill="background1" w:themeFillShade="D9"/>
          </w:tcPr>
          <w:p w14:paraId="51E86A4B" w14:textId="77777777" w:rsidR="000A7D9D" w:rsidRPr="00C90355" w:rsidRDefault="000A7D9D" w:rsidP="00F31937">
            <w:pPr>
              <w:pStyle w:val="BodyText"/>
              <w:tabs>
                <w:tab w:val="left" w:pos="4170"/>
              </w:tabs>
              <w:spacing w:after="0"/>
              <w:rPr>
                <w:noProof/>
                <w:sz w:val="20"/>
                <w:szCs w:val="20"/>
                <w:lang w:val="fr-BE"/>
              </w:rPr>
            </w:pPr>
            <w:r w:rsidRPr="00C90355">
              <w:rPr>
                <w:noProof/>
                <w:sz w:val="20"/>
                <w:szCs w:val="20"/>
                <w:lang w:val="fr-BE"/>
              </w:rPr>
              <w:t xml:space="preserve">2024: </w:t>
            </w:r>
            <w:r w:rsidRPr="00C90355">
              <w:rPr>
                <w:b/>
                <w:bCs/>
                <w:noProof/>
                <w:sz w:val="20"/>
                <w:szCs w:val="20"/>
                <w:lang w:val="fr-BE"/>
              </w:rPr>
              <w:t>EUR0</w:t>
            </w:r>
            <w:r w:rsidRPr="00C90355">
              <w:rPr>
                <w:noProof/>
                <w:sz w:val="20"/>
                <w:szCs w:val="20"/>
                <w:lang w:val="fr-BE"/>
              </w:rPr>
              <w:t xml:space="preserve"> </w:t>
            </w:r>
          </w:p>
          <w:p w14:paraId="5C4292B7" w14:textId="77777777" w:rsidR="000A7D9D" w:rsidRPr="00C90355" w:rsidRDefault="000A7D9D" w:rsidP="00F31937">
            <w:pPr>
              <w:pStyle w:val="BodyText"/>
              <w:tabs>
                <w:tab w:val="left" w:pos="4170"/>
              </w:tabs>
              <w:spacing w:after="0"/>
              <w:rPr>
                <w:noProof/>
                <w:sz w:val="20"/>
                <w:szCs w:val="20"/>
                <w:lang w:val="fr-BE"/>
              </w:rPr>
            </w:pPr>
            <w:r w:rsidRPr="00C90355">
              <w:rPr>
                <w:noProof/>
                <w:sz w:val="20"/>
                <w:szCs w:val="20"/>
                <w:lang w:val="fr-BE"/>
              </w:rPr>
              <w:t xml:space="preserve">2025: </w:t>
            </w:r>
            <w:r w:rsidRPr="00C90355">
              <w:rPr>
                <w:b/>
                <w:bCs/>
                <w:noProof/>
                <w:sz w:val="20"/>
                <w:szCs w:val="20"/>
                <w:lang w:val="fr-BE"/>
              </w:rPr>
              <w:t>EUR 0</w:t>
            </w:r>
          </w:p>
          <w:p w14:paraId="01035DA9" w14:textId="77777777" w:rsidR="000A7D9D" w:rsidRPr="00C90355" w:rsidRDefault="000A7D9D" w:rsidP="00F31937">
            <w:pPr>
              <w:pStyle w:val="BodyText"/>
              <w:tabs>
                <w:tab w:val="left" w:pos="4170"/>
              </w:tabs>
              <w:spacing w:after="0"/>
              <w:rPr>
                <w:noProof/>
                <w:sz w:val="20"/>
                <w:szCs w:val="20"/>
                <w:lang w:val="fr-BE"/>
              </w:rPr>
            </w:pPr>
            <w:r w:rsidRPr="00C90355">
              <w:rPr>
                <w:noProof/>
                <w:sz w:val="20"/>
                <w:szCs w:val="20"/>
                <w:lang w:val="fr-BE"/>
              </w:rPr>
              <w:t xml:space="preserve">2026: </w:t>
            </w:r>
            <w:r w:rsidRPr="00C90355">
              <w:rPr>
                <w:b/>
                <w:noProof/>
                <w:sz w:val="20"/>
                <w:szCs w:val="20"/>
                <w:lang w:val="fr-BE"/>
              </w:rPr>
              <w:t>EUR</w:t>
            </w:r>
            <w:r w:rsidRPr="00C90355">
              <w:rPr>
                <w:noProof/>
                <w:sz w:val="20"/>
                <w:szCs w:val="20"/>
                <w:lang w:val="fr-BE"/>
              </w:rPr>
              <w:t xml:space="preserve"> </w:t>
            </w:r>
            <w:r w:rsidRPr="00C90355">
              <w:rPr>
                <w:b/>
                <w:bCs/>
                <w:noProof/>
                <w:sz w:val="20"/>
                <w:szCs w:val="20"/>
                <w:lang w:val="fr-BE"/>
              </w:rPr>
              <w:t>300 000</w:t>
            </w:r>
          </w:p>
          <w:p w14:paraId="792CD470" w14:textId="77777777" w:rsidR="000A7D9D" w:rsidRPr="00C90355" w:rsidRDefault="000A7D9D" w:rsidP="00F31937">
            <w:pPr>
              <w:pStyle w:val="BodyText"/>
              <w:tabs>
                <w:tab w:val="left" w:pos="4170"/>
              </w:tabs>
              <w:spacing w:after="0"/>
              <w:rPr>
                <w:noProof/>
                <w:sz w:val="20"/>
                <w:szCs w:val="20"/>
                <w:lang w:val="fr-BE"/>
              </w:rPr>
            </w:pPr>
            <w:r w:rsidRPr="00C90355">
              <w:rPr>
                <w:noProof/>
                <w:sz w:val="20"/>
                <w:szCs w:val="20"/>
                <w:lang w:val="fr-BE"/>
              </w:rPr>
              <w:t xml:space="preserve">2027: </w:t>
            </w:r>
            <w:r w:rsidRPr="00C90355">
              <w:rPr>
                <w:b/>
                <w:noProof/>
                <w:sz w:val="20"/>
                <w:szCs w:val="20"/>
                <w:lang w:val="fr-BE"/>
              </w:rPr>
              <w:t>EUR</w:t>
            </w:r>
            <w:r w:rsidRPr="00C90355">
              <w:rPr>
                <w:noProof/>
                <w:sz w:val="20"/>
                <w:szCs w:val="20"/>
                <w:lang w:val="fr-BE"/>
              </w:rPr>
              <w:t xml:space="preserve"> </w:t>
            </w:r>
            <w:r w:rsidRPr="00C90355">
              <w:rPr>
                <w:b/>
                <w:bCs/>
                <w:noProof/>
                <w:sz w:val="20"/>
                <w:szCs w:val="20"/>
                <w:lang w:val="fr-BE"/>
              </w:rPr>
              <w:t>300 000</w:t>
            </w:r>
          </w:p>
          <w:p w14:paraId="47DEC7CC" w14:textId="77777777" w:rsidR="000A7D9D" w:rsidRPr="00C90355" w:rsidRDefault="000A7D9D" w:rsidP="00F31937">
            <w:pPr>
              <w:pStyle w:val="BodyText"/>
              <w:tabs>
                <w:tab w:val="left" w:pos="4170"/>
              </w:tabs>
              <w:spacing w:after="0"/>
              <w:rPr>
                <w:noProof/>
                <w:sz w:val="20"/>
                <w:szCs w:val="20"/>
                <w:lang w:val="fr-BE"/>
              </w:rPr>
            </w:pPr>
            <w:r w:rsidRPr="00C90355">
              <w:rPr>
                <w:noProof/>
                <w:sz w:val="20"/>
                <w:szCs w:val="20"/>
                <w:lang w:val="fr-BE"/>
              </w:rPr>
              <w:t xml:space="preserve">2028: </w:t>
            </w:r>
            <w:r w:rsidRPr="00C90355">
              <w:rPr>
                <w:b/>
                <w:noProof/>
                <w:sz w:val="20"/>
                <w:szCs w:val="20"/>
                <w:lang w:val="fr-BE"/>
              </w:rPr>
              <w:t>EUR</w:t>
            </w:r>
            <w:r w:rsidRPr="00C90355">
              <w:rPr>
                <w:noProof/>
                <w:sz w:val="20"/>
                <w:szCs w:val="20"/>
                <w:lang w:val="fr-BE"/>
              </w:rPr>
              <w:t xml:space="preserve"> </w:t>
            </w:r>
            <w:r w:rsidRPr="00C90355">
              <w:rPr>
                <w:b/>
                <w:bCs/>
                <w:noProof/>
                <w:sz w:val="20"/>
                <w:szCs w:val="20"/>
                <w:lang w:val="fr-BE"/>
              </w:rPr>
              <w:t>300 000</w:t>
            </w:r>
          </w:p>
        </w:tc>
      </w:tr>
      <w:tr w:rsidR="000A7D9D" w:rsidRPr="00C90355" w14:paraId="319953AA" w14:textId="77777777" w:rsidTr="00F31937">
        <w:trPr>
          <w:trHeight w:val="300"/>
        </w:trPr>
        <w:tc>
          <w:tcPr>
            <w:tcW w:w="1185" w:type="dxa"/>
            <w:vMerge/>
            <w:shd w:val="clear" w:color="auto" w:fill="D9D9D9" w:themeFill="background1" w:themeFillShade="D9"/>
          </w:tcPr>
          <w:p w14:paraId="4A2D2B47" w14:textId="77777777" w:rsidR="000A7D9D" w:rsidRPr="00C90355" w:rsidRDefault="000A7D9D" w:rsidP="00F31937">
            <w:pPr>
              <w:pStyle w:val="BodyText"/>
              <w:rPr>
                <w:noProof/>
                <w:sz w:val="20"/>
                <w:szCs w:val="20"/>
                <w:lang w:val="fr-BE"/>
              </w:rPr>
            </w:pPr>
          </w:p>
        </w:tc>
        <w:tc>
          <w:tcPr>
            <w:tcW w:w="3630" w:type="dxa"/>
            <w:vMerge/>
            <w:shd w:val="clear" w:color="auto" w:fill="D9D9D9" w:themeFill="background1" w:themeFillShade="D9"/>
          </w:tcPr>
          <w:p w14:paraId="41E22B51" w14:textId="77777777" w:rsidR="000A7D9D" w:rsidRPr="00C90355" w:rsidRDefault="000A7D9D" w:rsidP="00F31937">
            <w:pPr>
              <w:pStyle w:val="BodyText"/>
              <w:rPr>
                <w:noProof/>
                <w:sz w:val="20"/>
                <w:szCs w:val="20"/>
                <w:lang w:val="fr-BE"/>
              </w:rPr>
            </w:pPr>
          </w:p>
        </w:tc>
        <w:tc>
          <w:tcPr>
            <w:tcW w:w="2040" w:type="dxa"/>
            <w:shd w:val="clear" w:color="auto" w:fill="D9D9D9" w:themeFill="background1" w:themeFillShade="D9"/>
          </w:tcPr>
          <w:p w14:paraId="1CA4AB2E" w14:textId="77777777" w:rsidR="000A7D9D" w:rsidRPr="00C90355" w:rsidRDefault="000A7D9D" w:rsidP="00F31937">
            <w:pPr>
              <w:pStyle w:val="BodyText"/>
              <w:tabs>
                <w:tab w:val="left" w:pos="4170"/>
              </w:tabs>
              <w:rPr>
                <w:noProof/>
                <w:sz w:val="20"/>
                <w:szCs w:val="20"/>
              </w:rPr>
            </w:pPr>
            <w:r w:rsidRPr="00C90355">
              <w:rPr>
                <w:noProof/>
                <w:sz w:val="20"/>
                <w:szCs w:val="20"/>
              </w:rPr>
              <w:t>Human resource needs:</w:t>
            </w:r>
          </w:p>
        </w:tc>
        <w:tc>
          <w:tcPr>
            <w:tcW w:w="2774" w:type="dxa"/>
            <w:shd w:val="clear" w:color="auto" w:fill="D9D9D9" w:themeFill="background1" w:themeFillShade="D9"/>
          </w:tcPr>
          <w:p w14:paraId="7447B4A3" w14:textId="77777777" w:rsidR="000A7D9D" w:rsidRPr="00C90355" w:rsidRDefault="000A7D9D" w:rsidP="00F31937">
            <w:pPr>
              <w:pStyle w:val="BodyText"/>
              <w:tabs>
                <w:tab w:val="left" w:pos="4170"/>
              </w:tabs>
              <w:spacing w:after="0"/>
              <w:rPr>
                <w:b/>
                <w:noProof/>
                <w:sz w:val="20"/>
                <w:szCs w:val="20"/>
                <w:lang w:val="fr-BE"/>
              </w:rPr>
            </w:pPr>
            <w:r w:rsidRPr="00C90355">
              <w:rPr>
                <w:noProof/>
                <w:sz w:val="20"/>
                <w:szCs w:val="20"/>
                <w:lang w:val="fr-BE"/>
              </w:rPr>
              <w:t xml:space="preserve">2024:  </w:t>
            </w:r>
            <w:r w:rsidRPr="00C90355">
              <w:rPr>
                <w:b/>
                <w:bCs/>
                <w:noProof/>
                <w:sz w:val="20"/>
                <w:szCs w:val="20"/>
                <w:lang w:val="fr-BE"/>
              </w:rPr>
              <w:t>0 TAs</w:t>
            </w:r>
            <w:r w:rsidRPr="00C90355">
              <w:rPr>
                <w:b/>
                <w:noProof/>
                <w:sz w:val="20"/>
                <w:szCs w:val="20"/>
                <w:lang w:val="fr-BE"/>
              </w:rPr>
              <w:t>, 0 CAs</w:t>
            </w:r>
          </w:p>
          <w:p w14:paraId="7DE9C281" w14:textId="77777777" w:rsidR="000A7D9D" w:rsidRPr="00C90355" w:rsidRDefault="000A7D9D" w:rsidP="00F31937">
            <w:pPr>
              <w:pStyle w:val="BodyText"/>
              <w:tabs>
                <w:tab w:val="left" w:pos="4170"/>
              </w:tabs>
              <w:spacing w:after="0"/>
              <w:rPr>
                <w:noProof/>
                <w:sz w:val="20"/>
                <w:szCs w:val="20"/>
                <w:lang w:val="fr-BE"/>
              </w:rPr>
            </w:pPr>
            <w:r w:rsidRPr="00C90355">
              <w:rPr>
                <w:noProof/>
                <w:sz w:val="20"/>
                <w:szCs w:val="20"/>
                <w:lang w:val="fr-BE"/>
              </w:rPr>
              <w:t xml:space="preserve">2025: </w:t>
            </w:r>
            <w:r w:rsidRPr="00C90355">
              <w:rPr>
                <w:b/>
                <w:bCs/>
                <w:noProof/>
                <w:sz w:val="20"/>
                <w:szCs w:val="20"/>
                <w:lang w:val="fr-BE"/>
              </w:rPr>
              <w:t xml:space="preserve"> 7 TAs</w:t>
            </w:r>
            <w:r w:rsidRPr="00C90355">
              <w:rPr>
                <w:b/>
                <w:noProof/>
                <w:sz w:val="20"/>
                <w:szCs w:val="20"/>
                <w:lang w:val="fr-BE"/>
              </w:rPr>
              <w:t>, 0 CAs</w:t>
            </w:r>
          </w:p>
          <w:p w14:paraId="0BD7C148" w14:textId="77777777" w:rsidR="000A7D9D" w:rsidRPr="00C90355" w:rsidRDefault="000A7D9D" w:rsidP="00F31937">
            <w:pPr>
              <w:pStyle w:val="BodyText"/>
              <w:tabs>
                <w:tab w:val="left" w:pos="4170"/>
              </w:tabs>
              <w:spacing w:after="0"/>
              <w:rPr>
                <w:noProof/>
                <w:sz w:val="20"/>
                <w:szCs w:val="20"/>
                <w:lang w:val="fr-BE"/>
              </w:rPr>
            </w:pPr>
            <w:r w:rsidRPr="00C90355">
              <w:rPr>
                <w:noProof/>
                <w:sz w:val="20"/>
                <w:szCs w:val="20"/>
                <w:lang w:val="fr-BE"/>
              </w:rPr>
              <w:t xml:space="preserve">2026: </w:t>
            </w:r>
            <w:r w:rsidRPr="00C90355">
              <w:rPr>
                <w:b/>
                <w:bCs/>
                <w:noProof/>
                <w:sz w:val="20"/>
                <w:szCs w:val="20"/>
                <w:lang w:val="fr-BE"/>
              </w:rPr>
              <w:t xml:space="preserve"> 7 TAs</w:t>
            </w:r>
            <w:r w:rsidRPr="00C90355">
              <w:rPr>
                <w:b/>
                <w:noProof/>
                <w:sz w:val="20"/>
                <w:szCs w:val="20"/>
                <w:lang w:val="fr-BE"/>
              </w:rPr>
              <w:t>, 0 CAs</w:t>
            </w:r>
          </w:p>
          <w:p w14:paraId="6F1EA8B7" w14:textId="77777777" w:rsidR="000A7D9D" w:rsidRPr="00C90355" w:rsidRDefault="000A7D9D" w:rsidP="00F31937">
            <w:pPr>
              <w:pStyle w:val="BodyText"/>
              <w:tabs>
                <w:tab w:val="left" w:pos="4170"/>
              </w:tabs>
              <w:spacing w:after="0"/>
              <w:rPr>
                <w:noProof/>
                <w:sz w:val="20"/>
                <w:szCs w:val="20"/>
              </w:rPr>
            </w:pPr>
            <w:r w:rsidRPr="00C90355">
              <w:rPr>
                <w:noProof/>
                <w:sz w:val="20"/>
                <w:szCs w:val="20"/>
              </w:rPr>
              <w:t xml:space="preserve">2027:  </w:t>
            </w:r>
            <w:r w:rsidRPr="00C90355">
              <w:rPr>
                <w:b/>
                <w:bCs/>
                <w:noProof/>
                <w:sz w:val="20"/>
                <w:szCs w:val="20"/>
              </w:rPr>
              <w:t>7 TAs</w:t>
            </w:r>
            <w:r w:rsidRPr="00C90355">
              <w:rPr>
                <w:b/>
                <w:noProof/>
                <w:sz w:val="20"/>
                <w:szCs w:val="20"/>
              </w:rPr>
              <w:t>, 0 CAs</w:t>
            </w:r>
          </w:p>
          <w:p w14:paraId="063B7237" w14:textId="77777777" w:rsidR="000A7D9D" w:rsidRPr="00C90355" w:rsidRDefault="000A7D9D" w:rsidP="00F31937">
            <w:pPr>
              <w:pStyle w:val="BodyText"/>
              <w:tabs>
                <w:tab w:val="left" w:pos="4170"/>
              </w:tabs>
              <w:spacing w:after="0"/>
              <w:rPr>
                <w:noProof/>
                <w:sz w:val="20"/>
                <w:szCs w:val="20"/>
              </w:rPr>
            </w:pPr>
            <w:r w:rsidRPr="00C90355">
              <w:rPr>
                <w:noProof/>
                <w:sz w:val="20"/>
                <w:szCs w:val="20"/>
              </w:rPr>
              <w:t xml:space="preserve">2028:  </w:t>
            </w:r>
            <w:r w:rsidRPr="00C90355">
              <w:rPr>
                <w:b/>
                <w:bCs/>
                <w:noProof/>
                <w:sz w:val="20"/>
                <w:szCs w:val="20"/>
              </w:rPr>
              <w:t>7 TAs</w:t>
            </w:r>
            <w:r w:rsidRPr="00C90355">
              <w:rPr>
                <w:b/>
                <w:noProof/>
                <w:sz w:val="20"/>
                <w:szCs w:val="20"/>
              </w:rPr>
              <w:t>, 0 CAs</w:t>
            </w:r>
          </w:p>
        </w:tc>
      </w:tr>
    </w:tbl>
    <w:p w14:paraId="622B76A0" w14:textId="77777777" w:rsidR="000A7D9D" w:rsidRPr="00A00723" w:rsidRDefault="000A7D9D" w:rsidP="000A7D9D">
      <w:pPr>
        <w:pStyle w:val="BodyText"/>
        <w:spacing w:before="120"/>
        <w:rPr>
          <w:noProof/>
        </w:rPr>
      </w:pPr>
      <w:r w:rsidRPr="00A00723">
        <w:rPr>
          <w:noProof/>
          <w:u w:val="single"/>
        </w:rPr>
        <w:t>Future budget line:</w:t>
      </w:r>
      <w:r w:rsidRPr="00A00723">
        <w:rPr>
          <w:noProof/>
        </w:rPr>
        <w:t xml:space="preserve"> DG GROW</w:t>
      </w:r>
    </w:p>
    <w:p w14:paraId="3872B81C" w14:textId="77777777" w:rsidR="000A7D9D" w:rsidRPr="00A00723" w:rsidRDefault="000A7D9D" w:rsidP="000A7D9D">
      <w:pPr>
        <w:pStyle w:val="BodyText"/>
        <w:rPr>
          <w:noProof/>
        </w:rPr>
      </w:pPr>
      <w:r w:rsidRPr="00A00723">
        <w:rPr>
          <w:noProof/>
          <w:u w:val="single"/>
        </w:rPr>
        <w:t>Candidate for fees:</w:t>
      </w:r>
      <w:r w:rsidRPr="00A00723">
        <w:rPr>
          <w:noProof/>
        </w:rPr>
        <w:t xml:space="preserve">  No</w:t>
      </w:r>
    </w:p>
    <w:p w14:paraId="240DD7CD" w14:textId="77777777" w:rsidR="000A7D9D" w:rsidRDefault="000A7D9D" w:rsidP="000A7D9D">
      <w:pPr>
        <w:pStyle w:val="BodyText"/>
        <w:spacing w:line="259" w:lineRule="auto"/>
        <w:rPr>
          <w:noProof/>
        </w:rPr>
      </w:pPr>
    </w:p>
    <w:p w14:paraId="421C8DD8"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93" w:name="_Toc150499952"/>
      <w:r w:rsidRPr="00291F95">
        <w:rPr>
          <w:rFonts w:ascii="Times New Roman" w:hAnsi="Times New Roman"/>
          <w:smallCaps/>
          <w:noProof/>
          <w:color w:val="auto"/>
          <w:sz w:val="24"/>
          <w:szCs w:val="20"/>
          <w:lang w:eastAsia="en-US"/>
        </w:rPr>
        <w:t>Scientific Committees and their secretariat (SCCS/SCHEER)</w:t>
      </w:r>
      <w:bookmarkEnd w:id="93"/>
    </w:p>
    <w:p w14:paraId="5C7A5E0D" w14:textId="77777777" w:rsidR="000A7D9D" w:rsidRPr="00A00723" w:rsidRDefault="000A7D9D" w:rsidP="000A7D9D">
      <w:pPr>
        <w:spacing w:after="120"/>
        <w:rPr>
          <w:rFonts w:ascii="Times New Roman" w:hAnsi="Times New Roman" w:cs="Times New Roman"/>
          <w:b/>
          <w:bCs/>
          <w:noProof/>
          <w:sz w:val="24"/>
          <w:szCs w:val="24"/>
        </w:rPr>
      </w:pPr>
      <w:r w:rsidRPr="00A00723">
        <w:rPr>
          <w:rFonts w:ascii="Times New Roman" w:hAnsi="Times New Roman" w:cs="Times New Roman"/>
          <w:b/>
          <w:bCs/>
          <w:noProof/>
          <w:sz w:val="24"/>
          <w:szCs w:val="24"/>
        </w:rPr>
        <w:t>Responsible body:</w:t>
      </w:r>
    </w:p>
    <w:p w14:paraId="5D76F69B" w14:textId="77777777" w:rsidR="000A7D9D" w:rsidRPr="00A00723" w:rsidRDefault="000A7D9D" w:rsidP="000A7D9D">
      <w:pPr>
        <w:spacing w:after="120"/>
        <w:jc w:val="both"/>
        <w:rPr>
          <w:rFonts w:ascii="Times New Roman" w:hAnsi="Times New Roman" w:cs="Times New Roman"/>
          <w:noProof/>
          <w:sz w:val="24"/>
          <w:szCs w:val="24"/>
        </w:rPr>
      </w:pPr>
      <w:r w:rsidRPr="00A00723">
        <w:rPr>
          <w:rFonts w:ascii="Times New Roman" w:hAnsi="Times New Roman" w:cs="Times New Roman"/>
          <w:noProof/>
          <w:sz w:val="24"/>
          <w:szCs w:val="24"/>
          <w:u w:val="single"/>
        </w:rPr>
        <w:t>Currently:</w:t>
      </w:r>
      <w:r w:rsidRPr="00A00723">
        <w:rPr>
          <w:rFonts w:ascii="Times New Roman" w:hAnsi="Times New Roman" w:cs="Times New Roman"/>
          <w:noProof/>
          <w:sz w:val="24"/>
          <w:szCs w:val="24"/>
        </w:rPr>
        <w:t xml:space="preserve"> Commission (DG SANTE) providing the secretariat and operating the two committees</w:t>
      </w:r>
    </w:p>
    <w:p w14:paraId="37DF8900" w14:textId="77777777" w:rsidR="000A7D9D" w:rsidRPr="00A00723" w:rsidRDefault="000A7D9D" w:rsidP="000A7D9D">
      <w:pPr>
        <w:spacing w:after="120"/>
        <w:jc w:val="both"/>
        <w:rPr>
          <w:rFonts w:ascii="Times New Roman" w:hAnsi="Times New Roman" w:cs="Times New Roman"/>
          <w:noProof/>
          <w:sz w:val="24"/>
          <w:szCs w:val="24"/>
        </w:rPr>
      </w:pPr>
      <w:r w:rsidRPr="00A00723">
        <w:rPr>
          <w:rFonts w:ascii="Times New Roman" w:hAnsi="Times New Roman" w:cs="Times New Roman"/>
          <w:noProof/>
          <w:sz w:val="24"/>
          <w:szCs w:val="24"/>
          <w:u w:val="single"/>
        </w:rPr>
        <w:t>(Re-)attribution planned to:</w:t>
      </w:r>
      <w:r w:rsidRPr="00A00723">
        <w:rPr>
          <w:rFonts w:ascii="Times New Roman" w:hAnsi="Times New Roman" w:cs="Times New Roman"/>
          <w:noProof/>
          <w:sz w:val="24"/>
          <w:szCs w:val="24"/>
        </w:rPr>
        <w:t xml:space="preserve"> chemical work of both Committees to ECHA and partly also to EFSA and EEA; non-chemical work to the Scientific Advisory Mechanism (SAM), under DG RTD.</w:t>
      </w:r>
    </w:p>
    <w:p w14:paraId="1597A609" w14:textId="77777777" w:rsidR="000A7D9D" w:rsidRPr="00A00723" w:rsidRDefault="000A7D9D" w:rsidP="000A7D9D">
      <w:pPr>
        <w:pStyle w:val="BodyText"/>
        <w:rPr>
          <w:noProof/>
        </w:rPr>
      </w:pPr>
      <w:r w:rsidRPr="00A00723">
        <w:rPr>
          <w:b/>
          <w:bCs/>
          <w:noProof/>
        </w:rPr>
        <w:t xml:space="preserve">Legal basis for reattribution: </w:t>
      </w:r>
      <w:r w:rsidRPr="00A00723">
        <w:rPr>
          <w:noProof/>
        </w:rPr>
        <w:t>Revisions, omnibus regulation + Commission Decision</w:t>
      </w:r>
    </w:p>
    <w:p w14:paraId="75C9635C" w14:textId="77777777" w:rsidR="000A7D9D" w:rsidRPr="00A00723" w:rsidRDefault="000A7D9D" w:rsidP="000A7D9D">
      <w:pPr>
        <w:pStyle w:val="BodyText"/>
        <w:rPr>
          <w:b/>
          <w:bCs/>
          <w:noProof/>
        </w:rPr>
      </w:pPr>
      <w:r w:rsidRPr="00A00723">
        <w:rPr>
          <w:b/>
          <w:bCs/>
          <w:noProof/>
        </w:rPr>
        <w:t xml:space="preserve">Type of task: </w:t>
      </w:r>
      <w:r w:rsidRPr="00A00723">
        <w:rPr>
          <w:noProof/>
        </w:rPr>
        <w:t>existing</w:t>
      </w:r>
    </w:p>
    <w:p w14:paraId="49F5B430" w14:textId="77777777" w:rsidR="000A7D9D" w:rsidRPr="00A00723" w:rsidRDefault="000A7D9D" w:rsidP="000A7D9D">
      <w:pPr>
        <w:pStyle w:val="BodyText"/>
        <w:jc w:val="both"/>
        <w:rPr>
          <w:noProof/>
        </w:rPr>
      </w:pPr>
      <w:r w:rsidRPr="00A00723">
        <w:rPr>
          <w:b/>
          <w:bCs/>
          <w:noProof/>
        </w:rPr>
        <w:t xml:space="preserve">Brief task overview: </w:t>
      </w:r>
      <w:r w:rsidRPr="00A00723">
        <w:rPr>
          <w:noProof/>
        </w:rPr>
        <w:t xml:space="preserve">Providing secretariat for the Scientific Committee on Consumer Safety (SCCS) and on Health, Environmental and Emerging Risks (SCHEER) and providing opinions on variety of chemical and non-chemical related subjects. </w:t>
      </w:r>
    </w:p>
    <w:p w14:paraId="720E6156" w14:textId="77777777" w:rsidR="000A7D9D" w:rsidRPr="00A00723" w:rsidRDefault="000A7D9D" w:rsidP="000A7D9D">
      <w:pPr>
        <w:pStyle w:val="BodyText"/>
        <w:rPr>
          <w:b/>
          <w:bCs/>
          <w:noProof/>
        </w:rPr>
      </w:pPr>
      <w:r w:rsidRPr="00A00723">
        <w:rPr>
          <w:b/>
          <w:bCs/>
          <w:noProof/>
        </w:rPr>
        <w:t>Detailed process description:</w:t>
      </w:r>
    </w:p>
    <w:p w14:paraId="2CB92085" w14:textId="77777777" w:rsidR="000A7D9D" w:rsidRPr="00A00723" w:rsidRDefault="000A7D9D" w:rsidP="000A7D9D">
      <w:pPr>
        <w:spacing w:after="120" w:line="257" w:lineRule="auto"/>
        <w:jc w:val="both"/>
        <w:rPr>
          <w:rFonts w:ascii="Times New Roman" w:eastAsiaTheme="majorEastAsia" w:hAnsi="Times New Roman" w:cs="Times New Roman"/>
          <w:noProof/>
          <w:sz w:val="24"/>
          <w:szCs w:val="24"/>
        </w:rPr>
      </w:pPr>
      <w:r w:rsidRPr="00A00723">
        <w:rPr>
          <w:rFonts w:ascii="Times New Roman" w:eastAsiaTheme="majorEastAsia" w:hAnsi="Times New Roman" w:cs="Times New Roman"/>
          <w:noProof/>
          <w:sz w:val="24"/>
          <w:szCs w:val="24"/>
          <w:u w:val="single"/>
        </w:rPr>
        <w:t>Current process</w:t>
      </w:r>
      <w:r w:rsidRPr="00A00723">
        <w:rPr>
          <w:rFonts w:ascii="Times New Roman" w:eastAsiaTheme="majorEastAsia" w:hAnsi="Times New Roman" w:cs="Times New Roman"/>
          <w:noProof/>
          <w:sz w:val="24"/>
          <w:szCs w:val="24"/>
        </w:rPr>
        <w:t>:</w:t>
      </w:r>
    </w:p>
    <w:p w14:paraId="552166F5" w14:textId="77777777" w:rsidR="000A7D9D" w:rsidRPr="00A00723" w:rsidRDefault="000A7D9D" w:rsidP="000A7D9D">
      <w:pPr>
        <w:spacing w:after="120" w:line="257" w:lineRule="auto"/>
        <w:jc w:val="both"/>
        <w:rPr>
          <w:rFonts w:ascii="Times New Roman" w:eastAsiaTheme="majorEastAsia" w:hAnsi="Times New Roman" w:cs="Times New Roman"/>
          <w:noProof/>
          <w:sz w:val="24"/>
          <w:szCs w:val="24"/>
        </w:rPr>
      </w:pPr>
      <w:r w:rsidRPr="00A00723">
        <w:rPr>
          <w:rFonts w:ascii="Times New Roman" w:eastAsiaTheme="majorEastAsia" w:hAnsi="Times New Roman" w:cs="Times New Roman"/>
          <w:noProof/>
          <w:sz w:val="24"/>
          <w:szCs w:val="24"/>
        </w:rPr>
        <w:t xml:space="preserve">When preparing policy or proposals related to consumer safety, health and the environment, the Commission relies on two independent Scientific Committees to provide it with sound scientific advice and draw its attention to new and emerging problems. </w:t>
      </w:r>
    </w:p>
    <w:p w14:paraId="7D779A45" w14:textId="77777777" w:rsidR="000A7D9D" w:rsidRPr="00A00723" w:rsidRDefault="000A7D9D" w:rsidP="00343069">
      <w:pPr>
        <w:spacing w:after="0" w:line="257" w:lineRule="auto"/>
        <w:jc w:val="both"/>
        <w:rPr>
          <w:rFonts w:ascii="Times New Roman" w:eastAsiaTheme="minorEastAsia" w:hAnsi="Times New Roman" w:cs="Times New Roman"/>
          <w:noProof/>
          <w:sz w:val="24"/>
          <w:szCs w:val="24"/>
        </w:rPr>
      </w:pPr>
      <w:r w:rsidRPr="00A00723">
        <w:rPr>
          <w:rFonts w:ascii="Times New Roman" w:eastAsiaTheme="minorEastAsia" w:hAnsi="Times New Roman" w:cs="Times New Roman"/>
          <w:noProof/>
          <w:sz w:val="24"/>
          <w:szCs w:val="24"/>
        </w:rPr>
        <w:t>For this purpose, the Commission Decision C(2015)5383</w:t>
      </w:r>
      <w:hyperlink r:id="rId93" w:anchor="_ftn1" w:history="1">
        <w:r w:rsidRPr="00A00723">
          <w:rPr>
            <w:rStyle w:val="Hyperlink"/>
            <w:rFonts w:eastAsia="Arial"/>
            <w:noProof/>
            <w:sz w:val="24"/>
            <w:vertAlign w:val="superscript"/>
          </w:rPr>
          <w:t>[1]</w:t>
        </w:r>
      </w:hyperlink>
      <w:r w:rsidRPr="00A00723">
        <w:rPr>
          <w:rFonts w:ascii="Times New Roman" w:eastAsiaTheme="minorEastAsia" w:hAnsi="Times New Roman" w:cs="Times New Roman"/>
          <w:noProof/>
          <w:sz w:val="24"/>
          <w:szCs w:val="24"/>
        </w:rPr>
        <w:t xml:space="preserve"> established the following scientific committees: </w:t>
      </w:r>
    </w:p>
    <w:p w14:paraId="70663E07" w14:textId="77777777" w:rsidR="000A7D9D" w:rsidRPr="00A00723" w:rsidRDefault="000A7D9D" w:rsidP="000A7D9D">
      <w:pPr>
        <w:pStyle w:val="ListParagraph"/>
        <w:widowControl w:val="0"/>
        <w:numPr>
          <w:ilvl w:val="0"/>
          <w:numId w:val="83"/>
        </w:numPr>
        <w:rPr>
          <w:rFonts w:eastAsia="Verdana"/>
          <w:noProof/>
        </w:rPr>
      </w:pPr>
      <w:r w:rsidRPr="00A00723">
        <w:rPr>
          <w:noProof/>
        </w:rPr>
        <w:t>Scientific Committee on Consumer Safety (</w:t>
      </w:r>
      <w:r w:rsidRPr="00A00723">
        <w:rPr>
          <w:b/>
          <w:bCs/>
          <w:noProof/>
        </w:rPr>
        <w:t>SCCS</w:t>
      </w:r>
      <w:r w:rsidRPr="00A00723">
        <w:rPr>
          <w:noProof/>
        </w:rPr>
        <w:t xml:space="preserve">), and </w:t>
      </w:r>
    </w:p>
    <w:p w14:paraId="1D668137" w14:textId="77777777" w:rsidR="000A7D9D" w:rsidRPr="00A00723" w:rsidRDefault="000A7D9D" w:rsidP="000A7D9D">
      <w:pPr>
        <w:pStyle w:val="ListParagraph"/>
        <w:widowControl w:val="0"/>
        <w:numPr>
          <w:ilvl w:val="0"/>
          <w:numId w:val="83"/>
        </w:numPr>
        <w:spacing w:after="120"/>
        <w:rPr>
          <w:rFonts w:eastAsia="Verdana"/>
          <w:noProof/>
        </w:rPr>
      </w:pPr>
      <w:r w:rsidRPr="00A00723">
        <w:rPr>
          <w:noProof/>
        </w:rPr>
        <w:t>Scientific Committee on Health, Environmental and Emerging Risks (</w:t>
      </w:r>
      <w:r w:rsidRPr="00A00723">
        <w:rPr>
          <w:b/>
          <w:bCs/>
          <w:noProof/>
        </w:rPr>
        <w:t>SCHEER</w:t>
      </w:r>
      <w:r w:rsidRPr="00A00723">
        <w:rPr>
          <w:noProof/>
        </w:rPr>
        <w:t>).</w:t>
      </w:r>
    </w:p>
    <w:p w14:paraId="0077D966" w14:textId="77777777" w:rsidR="000A7D9D" w:rsidRPr="00A00723" w:rsidRDefault="000A7D9D" w:rsidP="000A7D9D">
      <w:pPr>
        <w:spacing w:line="257" w:lineRule="auto"/>
        <w:jc w:val="both"/>
        <w:rPr>
          <w:rFonts w:ascii="Times New Roman" w:eastAsiaTheme="minorEastAsia" w:hAnsi="Times New Roman" w:cs="Times New Roman"/>
          <w:i/>
          <w:iCs/>
          <w:noProof/>
          <w:sz w:val="24"/>
          <w:szCs w:val="24"/>
        </w:rPr>
      </w:pPr>
      <w:r w:rsidRPr="00A00723">
        <w:rPr>
          <w:rFonts w:ascii="Times New Roman" w:eastAsiaTheme="minorEastAsia" w:hAnsi="Times New Roman" w:cs="Times New Roman"/>
          <w:i/>
          <w:iCs/>
          <w:noProof/>
          <w:sz w:val="24"/>
          <w:szCs w:val="24"/>
        </w:rPr>
        <w:t>Formal mandate</w:t>
      </w:r>
    </w:p>
    <w:p w14:paraId="10DBDD4C" w14:textId="77777777" w:rsidR="000A7D9D" w:rsidRPr="00A00723" w:rsidRDefault="000A7D9D" w:rsidP="000A7D9D">
      <w:pPr>
        <w:spacing w:line="257" w:lineRule="auto"/>
        <w:jc w:val="both"/>
        <w:rPr>
          <w:rFonts w:ascii="Times New Roman" w:eastAsiaTheme="minorEastAsia" w:hAnsi="Times New Roman" w:cs="Times New Roman"/>
          <w:noProof/>
          <w:sz w:val="24"/>
          <w:szCs w:val="24"/>
        </w:rPr>
      </w:pPr>
      <w:r w:rsidRPr="00A00723">
        <w:rPr>
          <w:rFonts w:ascii="Times New Roman" w:eastAsiaTheme="minorEastAsia" w:hAnsi="Times New Roman" w:cs="Times New Roman"/>
          <w:noProof/>
          <w:sz w:val="24"/>
          <w:szCs w:val="24"/>
        </w:rPr>
        <w:t xml:space="preserve">The </w:t>
      </w:r>
      <w:r w:rsidRPr="00A00723">
        <w:rPr>
          <w:rFonts w:ascii="Times New Roman" w:eastAsiaTheme="minorEastAsia" w:hAnsi="Times New Roman" w:cs="Times New Roman"/>
          <w:b/>
          <w:bCs/>
          <w:noProof/>
          <w:sz w:val="24"/>
          <w:szCs w:val="24"/>
        </w:rPr>
        <w:t>SCCS</w:t>
      </w:r>
      <w:r w:rsidRPr="00A00723">
        <w:rPr>
          <w:rFonts w:ascii="Times New Roman" w:eastAsiaTheme="minorEastAsia" w:hAnsi="Times New Roman" w:cs="Times New Roman"/>
          <w:noProof/>
          <w:sz w:val="24"/>
          <w:szCs w:val="24"/>
        </w:rPr>
        <w:t xml:space="preserve"> on request of Commission services shall provide opinions on questions concerning health and safety risks, notably chemical, biological, mechanical and other physical risks, of: </w:t>
      </w:r>
    </w:p>
    <w:p w14:paraId="5DC56BC6" w14:textId="77777777" w:rsidR="000A7D9D" w:rsidRPr="00A00723" w:rsidRDefault="000A7D9D" w:rsidP="000A7D9D">
      <w:pPr>
        <w:pStyle w:val="ListParagraph"/>
        <w:widowControl w:val="0"/>
        <w:numPr>
          <w:ilvl w:val="0"/>
          <w:numId w:val="82"/>
        </w:numPr>
        <w:jc w:val="both"/>
        <w:rPr>
          <w:rFonts w:eastAsiaTheme="minorEastAsia"/>
          <w:noProof/>
        </w:rPr>
      </w:pPr>
      <w:r w:rsidRPr="00A00723">
        <w:rPr>
          <w:rFonts w:eastAsiaTheme="minorEastAsia"/>
          <w:noProof/>
        </w:rPr>
        <w:t xml:space="preserve">non-food consumer products such as </w:t>
      </w:r>
    </w:p>
    <w:p w14:paraId="79C474FD" w14:textId="77777777" w:rsidR="000A7D9D" w:rsidRPr="00A00723" w:rsidRDefault="000A7D9D" w:rsidP="00DA2CFE">
      <w:pPr>
        <w:pStyle w:val="ListParagraph"/>
        <w:widowControl w:val="0"/>
        <w:numPr>
          <w:ilvl w:val="0"/>
          <w:numId w:val="81"/>
        </w:numPr>
        <w:ind w:left="1276"/>
        <w:jc w:val="both"/>
        <w:rPr>
          <w:rFonts w:eastAsiaTheme="minorEastAsia"/>
          <w:noProof/>
        </w:rPr>
      </w:pPr>
      <w:r w:rsidRPr="00A00723">
        <w:rPr>
          <w:rFonts w:eastAsiaTheme="minorEastAsia"/>
          <w:noProof/>
        </w:rPr>
        <w:t>cosmetic products and their ingredients, including nanomaterials, hair dyes, fragrance ingredients, UV filters</w:t>
      </w:r>
      <w:r>
        <w:rPr>
          <w:rFonts w:eastAsiaTheme="minorEastAsia"/>
          <w:noProof/>
        </w:rPr>
        <w:t xml:space="preserve">, </w:t>
      </w:r>
      <w:r w:rsidRPr="004118B6">
        <w:rPr>
          <w:rFonts w:eastAsiaTheme="minorEastAsia"/>
          <w:noProof/>
        </w:rPr>
        <w:t>preservatives, colorants, etc.</w:t>
      </w:r>
      <w:r w:rsidRPr="00A00723">
        <w:rPr>
          <w:rFonts w:eastAsiaTheme="minorEastAsia"/>
          <w:noProof/>
        </w:rPr>
        <w:t xml:space="preserve">; </w:t>
      </w:r>
    </w:p>
    <w:p w14:paraId="00C8FF35" w14:textId="77777777" w:rsidR="000A7D9D" w:rsidRPr="00A00723" w:rsidRDefault="000A7D9D" w:rsidP="00DA2CFE">
      <w:pPr>
        <w:pStyle w:val="ListParagraph"/>
        <w:widowControl w:val="0"/>
        <w:numPr>
          <w:ilvl w:val="0"/>
          <w:numId w:val="81"/>
        </w:numPr>
        <w:ind w:left="1276"/>
        <w:jc w:val="both"/>
        <w:rPr>
          <w:rFonts w:eastAsiaTheme="minorEastAsia"/>
          <w:noProof/>
        </w:rPr>
      </w:pPr>
      <w:r w:rsidRPr="00A00723">
        <w:rPr>
          <w:rFonts w:eastAsiaTheme="minorEastAsia"/>
          <w:noProof/>
        </w:rPr>
        <w:t xml:space="preserve">personal care and household products such as detergents; toys, textiles, clothing, etc. </w:t>
      </w:r>
    </w:p>
    <w:p w14:paraId="39F339F2" w14:textId="77777777" w:rsidR="000A7D9D" w:rsidRPr="00A00723" w:rsidRDefault="000A7D9D" w:rsidP="00343069">
      <w:pPr>
        <w:pStyle w:val="ListParagraph"/>
        <w:widowControl w:val="0"/>
        <w:numPr>
          <w:ilvl w:val="0"/>
          <w:numId w:val="82"/>
        </w:numPr>
        <w:spacing w:after="120"/>
        <w:ind w:left="714" w:hanging="357"/>
        <w:contextualSpacing w:val="0"/>
        <w:jc w:val="both"/>
        <w:rPr>
          <w:rFonts w:eastAsiaTheme="minorEastAsia"/>
          <w:noProof/>
        </w:rPr>
      </w:pPr>
      <w:r w:rsidRPr="00A00723">
        <w:rPr>
          <w:rFonts w:eastAsiaTheme="minorEastAsia"/>
          <w:noProof/>
        </w:rPr>
        <w:t>services such as tattooing, artificial sun tanning, etc.</w:t>
      </w:r>
    </w:p>
    <w:p w14:paraId="4302BA67" w14:textId="77777777" w:rsidR="000A7D9D" w:rsidRPr="00A00723" w:rsidRDefault="000A7D9D" w:rsidP="000A7D9D">
      <w:pPr>
        <w:spacing w:line="257" w:lineRule="auto"/>
        <w:jc w:val="both"/>
        <w:rPr>
          <w:rFonts w:ascii="Times New Roman" w:eastAsiaTheme="minorEastAsia" w:hAnsi="Times New Roman" w:cs="Times New Roman"/>
          <w:noProof/>
          <w:sz w:val="24"/>
          <w:szCs w:val="24"/>
        </w:rPr>
      </w:pPr>
      <w:r w:rsidRPr="00A00723">
        <w:rPr>
          <w:rFonts w:ascii="Times New Roman" w:eastAsiaTheme="minorEastAsia" w:hAnsi="Times New Roman" w:cs="Times New Roman"/>
          <w:noProof/>
          <w:sz w:val="24"/>
          <w:szCs w:val="24"/>
        </w:rPr>
        <w:t xml:space="preserve">The </w:t>
      </w:r>
      <w:r w:rsidRPr="00A00723">
        <w:rPr>
          <w:rFonts w:ascii="Times New Roman" w:eastAsiaTheme="minorEastAsia" w:hAnsi="Times New Roman" w:cs="Times New Roman"/>
          <w:b/>
          <w:bCs/>
          <w:noProof/>
          <w:sz w:val="24"/>
          <w:szCs w:val="24"/>
        </w:rPr>
        <w:t>SCHEER</w:t>
      </w:r>
      <w:r w:rsidRPr="00A00723">
        <w:rPr>
          <w:rFonts w:ascii="Times New Roman" w:eastAsiaTheme="minorEastAsia" w:hAnsi="Times New Roman" w:cs="Times New Roman"/>
          <w:noProof/>
          <w:sz w:val="24"/>
          <w:szCs w:val="24"/>
        </w:rPr>
        <w:t xml:space="preserve"> on request of Commission services shall provide opinions on questions concerning health, environmental and emerging risks. </w:t>
      </w:r>
    </w:p>
    <w:p w14:paraId="5AB5DD47" w14:textId="77777777" w:rsidR="000A7D9D" w:rsidRPr="00A00723" w:rsidRDefault="000A7D9D" w:rsidP="00343069">
      <w:pPr>
        <w:pStyle w:val="ListParagraph"/>
        <w:widowControl w:val="0"/>
        <w:numPr>
          <w:ilvl w:val="0"/>
          <w:numId w:val="80"/>
        </w:numPr>
        <w:spacing w:line="259" w:lineRule="auto"/>
        <w:ind w:left="714" w:hanging="357"/>
        <w:jc w:val="both"/>
        <w:rPr>
          <w:rFonts w:eastAsia="Verdana"/>
          <w:noProof/>
        </w:rPr>
      </w:pPr>
      <w:r w:rsidRPr="00A00723">
        <w:rPr>
          <w:rFonts w:eastAsiaTheme="minorEastAsia"/>
          <w:noProof/>
        </w:rPr>
        <w:t>In particular, the Committee shall provide opinions on questions concerning emerging or newly identified health and environmental risks and on broad, complex or multidisciplinary issues requiring a comprehensive assessment of risks to consumer safety or public health and related issu</w:t>
      </w:r>
      <w:r w:rsidRPr="00A00723">
        <w:rPr>
          <w:noProof/>
        </w:rPr>
        <w:t xml:space="preserve">es not covered by other Union risk assessment bodies. Examples of areas of activity include potential risks associated with antimicrobial resistance, new technologies such as nanotechnologies, medical devices including those incorporating substances of animal and/or human origin, tissue engineering, blood products, fertility reduction, physical hazards such as noise and electromagnetic fields, interaction of risk factors, synergic effects, cumulative effects, and methodologies for assessing new risks. It may also be invited to address risks related to public health determinants and nontransmissible diseases. </w:t>
      </w:r>
    </w:p>
    <w:p w14:paraId="0DF6E129" w14:textId="77777777" w:rsidR="000A7D9D" w:rsidRPr="00A00723" w:rsidRDefault="000A7D9D" w:rsidP="00343069">
      <w:pPr>
        <w:pStyle w:val="ListParagraph"/>
        <w:widowControl w:val="0"/>
        <w:numPr>
          <w:ilvl w:val="0"/>
          <w:numId w:val="80"/>
        </w:numPr>
        <w:spacing w:line="259" w:lineRule="auto"/>
        <w:ind w:left="714" w:hanging="357"/>
        <w:jc w:val="both"/>
        <w:rPr>
          <w:rFonts w:eastAsia="Verdana"/>
          <w:noProof/>
        </w:rPr>
      </w:pPr>
      <w:r w:rsidRPr="00A00723">
        <w:rPr>
          <w:noProof/>
        </w:rPr>
        <w:t xml:space="preserve">The SCHEER Committee shall also provide opinions on risks related to pollutants in the environmental media and other biological and physical factors or changing physical conditions which may have a negative impact on health and the environment, for example in relation to air quality, waters, waste and soils, as well as on life cycle environmental assessment. </w:t>
      </w:r>
    </w:p>
    <w:p w14:paraId="532898BE" w14:textId="77777777" w:rsidR="000A7D9D" w:rsidRPr="00A00723" w:rsidRDefault="000A7D9D" w:rsidP="00343069">
      <w:pPr>
        <w:pStyle w:val="ListParagraph"/>
        <w:widowControl w:val="0"/>
        <w:numPr>
          <w:ilvl w:val="0"/>
          <w:numId w:val="80"/>
        </w:numPr>
        <w:spacing w:line="259" w:lineRule="auto"/>
        <w:ind w:left="714" w:hanging="357"/>
        <w:jc w:val="both"/>
        <w:rPr>
          <w:rFonts w:eastAsia="Verdana"/>
          <w:noProof/>
        </w:rPr>
      </w:pPr>
      <w:r w:rsidRPr="00A00723">
        <w:rPr>
          <w:noProof/>
        </w:rPr>
        <w:t>Without prejudice to the competences conferred on the European Chemical Agency (ECHA) and other Union bodies undertaking risk assessment, it may also be invited to address questions relating to examination of the toxicity and eco-toxicity of chemical, biochemical and biological compounds whose use may have adverse effects for human health and the environment, including biocides.</w:t>
      </w:r>
    </w:p>
    <w:p w14:paraId="5778895D" w14:textId="77777777" w:rsidR="000A7D9D" w:rsidRPr="00A00723" w:rsidRDefault="000A7D9D" w:rsidP="00343069">
      <w:pPr>
        <w:pStyle w:val="ListParagraph"/>
        <w:widowControl w:val="0"/>
        <w:numPr>
          <w:ilvl w:val="0"/>
          <w:numId w:val="80"/>
        </w:numPr>
        <w:spacing w:after="120" w:line="259" w:lineRule="auto"/>
        <w:ind w:left="714" w:hanging="357"/>
        <w:jc w:val="both"/>
        <w:rPr>
          <w:rFonts w:eastAsia="Verdana"/>
          <w:noProof/>
        </w:rPr>
      </w:pPr>
      <w:r w:rsidRPr="00A00723">
        <w:rPr>
          <w:noProof/>
        </w:rPr>
        <w:t>In addition, the Committee will address questions relating to methodological aspect of the assessment of health and environmental risks of chemicals, including mixtures of chemicals, as necessary for providing sound and consistent advice in its own areas of competence as well as in order to contribute to the relevant issues in close cooperation with other European agencies.</w:t>
      </w:r>
    </w:p>
    <w:p w14:paraId="463A948B" w14:textId="77777777" w:rsidR="000A7D9D" w:rsidRPr="00A00723" w:rsidRDefault="000A7D9D" w:rsidP="000A7D9D">
      <w:pPr>
        <w:spacing w:line="257" w:lineRule="auto"/>
        <w:jc w:val="both"/>
        <w:rPr>
          <w:rFonts w:ascii="Times New Roman" w:eastAsiaTheme="majorEastAsia" w:hAnsi="Times New Roman" w:cs="Times New Roman"/>
          <w:i/>
          <w:iCs/>
          <w:noProof/>
          <w:sz w:val="24"/>
          <w:szCs w:val="24"/>
          <w:lang w:val="en-US"/>
        </w:rPr>
      </w:pPr>
      <w:r w:rsidRPr="00A00723">
        <w:rPr>
          <w:rFonts w:ascii="Times New Roman" w:eastAsiaTheme="majorEastAsia" w:hAnsi="Times New Roman" w:cs="Times New Roman"/>
          <w:i/>
          <w:iCs/>
          <w:noProof/>
          <w:sz w:val="24"/>
          <w:szCs w:val="24"/>
          <w:lang w:val="en-US"/>
        </w:rPr>
        <w:t>Work of Committees in practice</w:t>
      </w:r>
    </w:p>
    <w:p w14:paraId="50617794" w14:textId="77777777" w:rsidR="000A7D9D" w:rsidRPr="00A00723" w:rsidRDefault="000A7D9D" w:rsidP="000A7D9D">
      <w:pPr>
        <w:spacing w:after="120" w:line="257" w:lineRule="auto"/>
        <w:jc w:val="both"/>
        <w:rPr>
          <w:rFonts w:ascii="Times New Roman" w:eastAsiaTheme="majorEastAsia" w:hAnsi="Times New Roman" w:cs="Times New Roman"/>
          <w:noProof/>
          <w:sz w:val="24"/>
          <w:szCs w:val="24"/>
        </w:rPr>
      </w:pPr>
      <w:r w:rsidRPr="00A00723">
        <w:rPr>
          <w:rFonts w:ascii="Times New Roman" w:eastAsiaTheme="majorEastAsia" w:hAnsi="Times New Roman" w:cs="Times New Roman"/>
          <w:noProof/>
          <w:sz w:val="24"/>
          <w:szCs w:val="24"/>
          <w:lang w:val="en-US"/>
        </w:rPr>
        <w:t xml:space="preserve">The </w:t>
      </w:r>
      <w:r w:rsidRPr="00A00723">
        <w:rPr>
          <w:rFonts w:ascii="Times New Roman" w:eastAsiaTheme="majorEastAsia" w:hAnsi="Times New Roman" w:cs="Times New Roman"/>
          <w:b/>
          <w:bCs/>
          <w:noProof/>
          <w:sz w:val="24"/>
          <w:szCs w:val="24"/>
          <w:lang w:val="en-US"/>
        </w:rPr>
        <w:t>SCCS</w:t>
      </w:r>
      <w:r w:rsidRPr="00A00723">
        <w:rPr>
          <w:rFonts w:ascii="Times New Roman" w:eastAsiaTheme="majorEastAsia" w:hAnsi="Times New Roman" w:cs="Times New Roman"/>
          <w:noProof/>
          <w:sz w:val="24"/>
          <w:szCs w:val="24"/>
          <w:lang w:val="en-US"/>
        </w:rPr>
        <w:t xml:space="preserve"> concentrates mostly on the risk assessment of cosmetic ingredients. </w:t>
      </w:r>
      <w:r w:rsidRPr="00A00723">
        <w:rPr>
          <w:rFonts w:ascii="Times New Roman" w:eastAsiaTheme="majorEastAsia" w:hAnsi="Times New Roman" w:cs="Times New Roman"/>
          <w:noProof/>
          <w:sz w:val="24"/>
          <w:szCs w:val="24"/>
        </w:rPr>
        <w:t>Opinions delivered by SCCS</w:t>
      </w:r>
      <w:hyperlink r:id="rId94" w:anchor="_ftn2">
        <w:r w:rsidRPr="00A00723">
          <w:rPr>
            <w:rStyle w:val="Hyperlink"/>
            <w:rFonts w:eastAsia="Calibri"/>
            <w:noProof/>
            <w:sz w:val="24"/>
            <w:vertAlign w:val="superscript"/>
          </w:rPr>
          <w:t>[2]</w:t>
        </w:r>
      </w:hyperlink>
      <w:r w:rsidRPr="00A00723">
        <w:rPr>
          <w:rFonts w:ascii="Times New Roman" w:eastAsiaTheme="majorEastAsia" w:hAnsi="Times New Roman" w:cs="Times New Roman"/>
          <w:noProof/>
          <w:sz w:val="24"/>
          <w:szCs w:val="24"/>
        </w:rPr>
        <w:t xml:space="preserve"> from 2013 till today were exclusively on the safety of chemicals in cosmetics (nanomaterials, fragrances, hair dyes, preservatives, UV filters) or methodologies used for risk assessment of chemicals.</w:t>
      </w:r>
    </w:p>
    <w:p w14:paraId="463555DC" w14:textId="77777777" w:rsidR="000A7D9D" w:rsidRPr="00A00723" w:rsidRDefault="000A7D9D" w:rsidP="000A7D9D">
      <w:pPr>
        <w:spacing w:after="120" w:line="257" w:lineRule="auto"/>
        <w:jc w:val="both"/>
        <w:rPr>
          <w:rFonts w:ascii="Times New Roman" w:eastAsiaTheme="majorEastAsia" w:hAnsi="Times New Roman" w:cs="Times New Roman"/>
          <w:noProof/>
          <w:sz w:val="24"/>
          <w:szCs w:val="24"/>
        </w:rPr>
      </w:pPr>
      <w:r w:rsidRPr="00A00723">
        <w:rPr>
          <w:rFonts w:ascii="Times New Roman" w:eastAsiaTheme="majorEastAsia" w:hAnsi="Times New Roman" w:cs="Times New Roman"/>
          <w:noProof/>
          <w:sz w:val="24"/>
          <w:szCs w:val="24"/>
        </w:rPr>
        <w:t xml:space="preserve">The </w:t>
      </w:r>
      <w:r w:rsidRPr="00A00723">
        <w:rPr>
          <w:rFonts w:ascii="Times New Roman" w:eastAsiaTheme="majorEastAsia" w:hAnsi="Times New Roman" w:cs="Times New Roman"/>
          <w:b/>
          <w:bCs/>
          <w:noProof/>
          <w:sz w:val="24"/>
          <w:szCs w:val="24"/>
        </w:rPr>
        <w:t>SCHEER</w:t>
      </w:r>
      <w:r w:rsidRPr="00A00723">
        <w:rPr>
          <w:rFonts w:ascii="Times New Roman" w:eastAsiaTheme="majorEastAsia" w:hAnsi="Times New Roman" w:cs="Times New Roman"/>
          <w:noProof/>
          <w:sz w:val="24"/>
          <w:szCs w:val="24"/>
        </w:rPr>
        <w:t xml:space="preserve">’s </w:t>
      </w:r>
      <w:r w:rsidRPr="00A00723">
        <w:rPr>
          <w:rFonts w:ascii="Times New Roman" w:eastAsiaTheme="majorEastAsia" w:hAnsi="Times New Roman" w:cs="Times New Roman"/>
          <w:noProof/>
          <w:sz w:val="24"/>
          <w:szCs w:val="24"/>
          <w:lang w:val="en-US"/>
        </w:rPr>
        <w:t xml:space="preserve">work covers rather large and diverse areas. </w:t>
      </w:r>
      <w:r w:rsidRPr="00A00723">
        <w:rPr>
          <w:rFonts w:ascii="Times New Roman" w:eastAsiaTheme="majorEastAsia" w:hAnsi="Times New Roman" w:cs="Times New Roman"/>
          <w:noProof/>
          <w:color w:val="000000" w:themeColor="text1"/>
          <w:sz w:val="24"/>
          <w:szCs w:val="24"/>
        </w:rPr>
        <w:t>Opinions delivered by SCHEER between 2014 and today (see table below) were related to areas of environmental risk assessment, medical devices, use of animals in laboratory testing, physical risks, public health (mainly tobacco), toys and rapid risk assessment.</w:t>
      </w:r>
      <w:r w:rsidRPr="00A00723">
        <w:rPr>
          <w:rFonts w:ascii="Times New Roman" w:eastAsiaTheme="majorEastAsia" w:hAnsi="Times New Roman" w:cs="Times New Roman"/>
          <w:noProof/>
          <w:sz w:val="24"/>
          <w:szCs w:val="24"/>
        </w:rPr>
        <w:t xml:space="preserve"> </w:t>
      </w:r>
    </w:p>
    <w:p w14:paraId="072BC4BF" w14:textId="77777777" w:rsidR="000A7D9D" w:rsidRPr="00A00723" w:rsidRDefault="000A7D9D" w:rsidP="000A7D9D">
      <w:pPr>
        <w:spacing w:after="120" w:line="257" w:lineRule="auto"/>
        <w:jc w:val="both"/>
        <w:rPr>
          <w:rFonts w:ascii="Times New Roman" w:eastAsiaTheme="minorEastAsia" w:hAnsi="Times New Roman" w:cs="Times New Roman"/>
          <w:noProof/>
          <w:color w:val="000000" w:themeColor="text1"/>
          <w:sz w:val="24"/>
          <w:szCs w:val="24"/>
        </w:rPr>
      </w:pPr>
      <w:r w:rsidRPr="00A00723">
        <w:rPr>
          <w:rFonts w:ascii="Times New Roman" w:eastAsiaTheme="minorEastAsia" w:hAnsi="Times New Roman" w:cs="Times New Roman"/>
          <w:noProof/>
          <w:color w:val="000000" w:themeColor="text1"/>
          <w:sz w:val="24"/>
          <w:szCs w:val="24"/>
        </w:rPr>
        <w:t>Table: List of delivered opinions by SCHEER since 2014, with those not about safety assessment of chemicals highlighted in green:</w:t>
      </w:r>
    </w:p>
    <w:tbl>
      <w:tblPr>
        <w:tblStyle w:val="TableGrid"/>
        <w:tblW w:w="0" w:type="auto"/>
        <w:tblInd w:w="105" w:type="dxa"/>
        <w:tblLayout w:type="fixed"/>
        <w:tblLook w:val="04A0" w:firstRow="1" w:lastRow="0" w:firstColumn="1" w:lastColumn="0" w:noHBand="0" w:noVBand="1"/>
      </w:tblPr>
      <w:tblGrid>
        <w:gridCol w:w="7800"/>
        <w:gridCol w:w="1841"/>
      </w:tblGrid>
      <w:tr w:rsidR="000A7D9D" w14:paraId="2FF44213" w14:textId="77777777" w:rsidTr="00F31937">
        <w:tc>
          <w:tcPr>
            <w:tcW w:w="7800" w:type="dxa"/>
            <w:tcBorders>
              <w:top w:val="single" w:sz="8" w:space="0" w:color="auto"/>
              <w:left w:val="single" w:sz="8" w:space="0" w:color="auto"/>
              <w:bottom w:val="single" w:sz="8" w:space="0" w:color="auto"/>
              <w:right w:val="single" w:sz="8" w:space="0" w:color="auto"/>
            </w:tcBorders>
            <w:shd w:val="clear" w:color="auto" w:fill="CCCCCC"/>
          </w:tcPr>
          <w:p w14:paraId="35279579" w14:textId="77777777" w:rsidR="000A7D9D" w:rsidRPr="00A00723" w:rsidRDefault="000A7D9D" w:rsidP="00F31937">
            <w:pPr>
              <w:jc w:val="both"/>
              <w:rPr>
                <w:rFonts w:eastAsiaTheme="minorEastAsia"/>
                <w:b/>
                <w:bCs/>
                <w:noProof/>
              </w:rPr>
            </w:pPr>
            <w:r w:rsidRPr="00A00723">
              <w:rPr>
                <w:rFonts w:eastAsiaTheme="minorEastAsia"/>
                <w:b/>
                <w:bCs/>
                <w:noProof/>
              </w:rPr>
              <w:t xml:space="preserve">Environmental risk assessment </w:t>
            </w:r>
          </w:p>
        </w:tc>
        <w:tc>
          <w:tcPr>
            <w:tcW w:w="1841" w:type="dxa"/>
            <w:tcBorders>
              <w:top w:val="single" w:sz="8" w:space="0" w:color="auto"/>
              <w:left w:val="single" w:sz="8" w:space="0" w:color="auto"/>
              <w:bottom w:val="single" w:sz="8" w:space="0" w:color="auto"/>
              <w:right w:val="single" w:sz="8" w:space="0" w:color="auto"/>
            </w:tcBorders>
            <w:shd w:val="clear" w:color="auto" w:fill="CCCCCC"/>
          </w:tcPr>
          <w:p w14:paraId="4A9E24BD" w14:textId="77777777" w:rsidR="000A7D9D" w:rsidRPr="00A00723" w:rsidRDefault="000A7D9D" w:rsidP="00F31937">
            <w:pPr>
              <w:jc w:val="both"/>
              <w:rPr>
                <w:rFonts w:eastAsiaTheme="minorEastAsia"/>
                <w:b/>
                <w:bCs/>
                <w:noProof/>
              </w:rPr>
            </w:pPr>
            <w:r w:rsidRPr="00A00723">
              <w:rPr>
                <w:rFonts w:eastAsiaTheme="minorEastAsia"/>
                <w:b/>
                <w:bCs/>
                <w:noProof/>
              </w:rPr>
              <w:t xml:space="preserve"> </w:t>
            </w:r>
          </w:p>
        </w:tc>
      </w:tr>
      <w:tr w:rsidR="000A7D9D" w14:paraId="0719125D" w14:textId="77777777" w:rsidTr="00F31937">
        <w:tc>
          <w:tcPr>
            <w:tcW w:w="7800" w:type="dxa"/>
            <w:tcBorders>
              <w:top w:val="single" w:sz="8" w:space="0" w:color="auto"/>
              <w:left w:val="single" w:sz="8" w:space="0" w:color="auto"/>
              <w:bottom w:val="single" w:sz="8" w:space="0" w:color="auto"/>
              <w:right w:val="single" w:sz="8" w:space="0" w:color="auto"/>
            </w:tcBorders>
          </w:tcPr>
          <w:p w14:paraId="48979D75"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5-6 rings polyaromatic hydrocarbons (PAH)</w:t>
            </w:r>
          </w:p>
        </w:tc>
        <w:tc>
          <w:tcPr>
            <w:tcW w:w="1841" w:type="dxa"/>
            <w:tcBorders>
              <w:top w:val="single" w:sz="8" w:space="0" w:color="auto"/>
              <w:left w:val="single" w:sz="8" w:space="0" w:color="auto"/>
              <w:bottom w:val="single" w:sz="8" w:space="0" w:color="auto"/>
              <w:right w:val="single" w:sz="8" w:space="0" w:color="auto"/>
            </w:tcBorders>
          </w:tcPr>
          <w:p w14:paraId="7B806113" w14:textId="77777777" w:rsidR="000A7D9D" w:rsidRPr="00A00723" w:rsidRDefault="000A7D9D" w:rsidP="00F31937">
            <w:pPr>
              <w:spacing w:line="259" w:lineRule="auto"/>
              <w:jc w:val="both"/>
              <w:rPr>
                <w:noProof/>
              </w:rPr>
            </w:pPr>
            <w:r w:rsidRPr="00A00723">
              <w:rPr>
                <w:rFonts w:eastAsiaTheme="minorEastAsia"/>
                <w:noProof/>
              </w:rPr>
              <w:t>March 2023</w:t>
            </w:r>
          </w:p>
        </w:tc>
      </w:tr>
      <w:tr w:rsidR="000A7D9D" w14:paraId="588F81E1"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67E22205"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Tributyltin compounds</w:t>
            </w:r>
          </w:p>
        </w:tc>
        <w:tc>
          <w:tcPr>
            <w:tcW w:w="1841" w:type="dxa"/>
            <w:tcBorders>
              <w:top w:val="single" w:sz="8" w:space="0" w:color="auto"/>
              <w:left w:val="single" w:sz="8" w:space="0" w:color="auto"/>
              <w:bottom w:val="single" w:sz="8" w:space="0" w:color="auto"/>
              <w:right w:val="single" w:sz="8" w:space="0" w:color="auto"/>
            </w:tcBorders>
          </w:tcPr>
          <w:p w14:paraId="69400869" w14:textId="77777777" w:rsidR="000A7D9D" w:rsidRPr="00A00723" w:rsidRDefault="000A7D9D" w:rsidP="00F31937">
            <w:pPr>
              <w:jc w:val="both"/>
              <w:rPr>
                <w:rFonts w:eastAsiaTheme="minorEastAsia"/>
                <w:noProof/>
              </w:rPr>
            </w:pPr>
            <w:r w:rsidRPr="00A00723">
              <w:rPr>
                <w:rFonts w:eastAsiaTheme="minorEastAsia"/>
                <w:noProof/>
              </w:rPr>
              <w:t>March 2023</w:t>
            </w:r>
          </w:p>
        </w:tc>
      </w:tr>
      <w:tr w:rsidR="000A7D9D" w14:paraId="7D9BDC10"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1476777F"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Dicofol</w:t>
            </w:r>
          </w:p>
        </w:tc>
        <w:tc>
          <w:tcPr>
            <w:tcW w:w="1841" w:type="dxa"/>
            <w:tcBorders>
              <w:top w:val="single" w:sz="8" w:space="0" w:color="auto"/>
              <w:left w:val="single" w:sz="8" w:space="0" w:color="auto"/>
              <w:bottom w:val="single" w:sz="8" w:space="0" w:color="auto"/>
              <w:right w:val="single" w:sz="8" w:space="0" w:color="auto"/>
            </w:tcBorders>
          </w:tcPr>
          <w:p w14:paraId="1FD3060D" w14:textId="77777777" w:rsidR="000A7D9D" w:rsidRPr="00A00723" w:rsidRDefault="000A7D9D" w:rsidP="00F31937">
            <w:pPr>
              <w:jc w:val="both"/>
              <w:rPr>
                <w:rFonts w:eastAsiaTheme="minorEastAsia"/>
                <w:noProof/>
              </w:rPr>
            </w:pPr>
            <w:r w:rsidRPr="00A00723">
              <w:rPr>
                <w:rFonts w:eastAsiaTheme="minorEastAsia"/>
                <w:noProof/>
              </w:rPr>
              <w:t>January 2023</w:t>
            </w:r>
          </w:p>
        </w:tc>
      </w:tr>
      <w:tr w:rsidR="000A7D9D" w14:paraId="2C58FDC2"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5F564C9E"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PBDEs</w:t>
            </w:r>
          </w:p>
        </w:tc>
        <w:tc>
          <w:tcPr>
            <w:tcW w:w="1841" w:type="dxa"/>
            <w:tcBorders>
              <w:top w:val="single" w:sz="8" w:space="0" w:color="auto"/>
              <w:left w:val="single" w:sz="8" w:space="0" w:color="auto"/>
              <w:bottom w:val="single" w:sz="8" w:space="0" w:color="auto"/>
              <w:right w:val="single" w:sz="8" w:space="0" w:color="auto"/>
            </w:tcBorders>
          </w:tcPr>
          <w:p w14:paraId="0CC63E84" w14:textId="77777777" w:rsidR="000A7D9D" w:rsidRPr="00A00723" w:rsidRDefault="000A7D9D" w:rsidP="00F31937">
            <w:pPr>
              <w:jc w:val="both"/>
              <w:rPr>
                <w:rFonts w:eastAsiaTheme="minorEastAsia"/>
                <w:noProof/>
              </w:rPr>
            </w:pPr>
            <w:r w:rsidRPr="00A00723">
              <w:rPr>
                <w:rFonts w:eastAsiaTheme="minorEastAsia"/>
                <w:noProof/>
              </w:rPr>
              <w:t>January 2023</w:t>
            </w:r>
          </w:p>
        </w:tc>
      </w:tr>
      <w:tr w:rsidR="000A7D9D" w14:paraId="7116D8CF"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6D0BD0F8"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dioxins, furans and dioxin-like PCBs</w:t>
            </w:r>
          </w:p>
        </w:tc>
        <w:tc>
          <w:tcPr>
            <w:tcW w:w="1841" w:type="dxa"/>
            <w:tcBorders>
              <w:top w:val="single" w:sz="8" w:space="0" w:color="auto"/>
              <w:left w:val="single" w:sz="8" w:space="0" w:color="auto"/>
              <w:bottom w:val="single" w:sz="8" w:space="0" w:color="auto"/>
              <w:right w:val="single" w:sz="8" w:space="0" w:color="auto"/>
            </w:tcBorders>
          </w:tcPr>
          <w:p w14:paraId="795C9D98" w14:textId="77777777" w:rsidR="000A7D9D" w:rsidRPr="00A00723" w:rsidRDefault="000A7D9D" w:rsidP="00F31937">
            <w:pPr>
              <w:jc w:val="both"/>
              <w:rPr>
                <w:rFonts w:eastAsiaTheme="minorEastAsia"/>
                <w:noProof/>
              </w:rPr>
            </w:pPr>
            <w:r w:rsidRPr="00A00723">
              <w:rPr>
                <w:rFonts w:eastAsiaTheme="minorEastAsia"/>
                <w:noProof/>
              </w:rPr>
              <w:t>January 2023</w:t>
            </w:r>
          </w:p>
        </w:tc>
      </w:tr>
      <w:tr w:rsidR="000A7D9D" w14:paraId="17240E2F"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14888280"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HBCD</w:t>
            </w:r>
          </w:p>
        </w:tc>
        <w:tc>
          <w:tcPr>
            <w:tcW w:w="1841" w:type="dxa"/>
            <w:tcBorders>
              <w:top w:val="single" w:sz="8" w:space="0" w:color="auto"/>
              <w:left w:val="single" w:sz="8" w:space="0" w:color="auto"/>
              <w:bottom w:val="single" w:sz="8" w:space="0" w:color="auto"/>
              <w:right w:val="single" w:sz="8" w:space="0" w:color="auto"/>
            </w:tcBorders>
          </w:tcPr>
          <w:p w14:paraId="5403215F" w14:textId="77777777" w:rsidR="000A7D9D" w:rsidRPr="00A00723" w:rsidRDefault="000A7D9D" w:rsidP="00F31937">
            <w:pPr>
              <w:jc w:val="both"/>
              <w:rPr>
                <w:rFonts w:eastAsiaTheme="minorEastAsia"/>
                <w:noProof/>
              </w:rPr>
            </w:pPr>
            <w:r w:rsidRPr="00A00723">
              <w:rPr>
                <w:rFonts w:eastAsiaTheme="minorEastAsia"/>
                <w:noProof/>
              </w:rPr>
              <w:t>January 2023</w:t>
            </w:r>
          </w:p>
        </w:tc>
      </w:tr>
      <w:tr w:rsidR="000A7D9D" w14:paraId="409C4E5E"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5D40DE4A"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Triclosan</w:t>
            </w:r>
          </w:p>
        </w:tc>
        <w:tc>
          <w:tcPr>
            <w:tcW w:w="1841" w:type="dxa"/>
            <w:tcBorders>
              <w:top w:val="single" w:sz="8" w:space="0" w:color="auto"/>
              <w:left w:val="single" w:sz="8" w:space="0" w:color="auto"/>
              <w:bottom w:val="single" w:sz="8" w:space="0" w:color="auto"/>
              <w:right w:val="single" w:sz="8" w:space="0" w:color="auto"/>
            </w:tcBorders>
          </w:tcPr>
          <w:p w14:paraId="1C9CA616" w14:textId="77777777" w:rsidR="000A7D9D" w:rsidRPr="00A00723" w:rsidRDefault="000A7D9D" w:rsidP="00F31937">
            <w:pPr>
              <w:jc w:val="both"/>
              <w:rPr>
                <w:rFonts w:eastAsiaTheme="minorEastAsia"/>
                <w:noProof/>
              </w:rPr>
            </w:pPr>
            <w:r w:rsidRPr="00A00723">
              <w:rPr>
                <w:rFonts w:eastAsiaTheme="minorEastAsia"/>
                <w:noProof/>
              </w:rPr>
              <w:t>January 2023</w:t>
            </w:r>
          </w:p>
        </w:tc>
      </w:tr>
      <w:tr w:rsidR="000A7D9D" w14:paraId="573C4160"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477744B7"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Mercury and its compounds</w:t>
            </w:r>
          </w:p>
        </w:tc>
        <w:tc>
          <w:tcPr>
            <w:tcW w:w="1841" w:type="dxa"/>
            <w:tcBorders>
              <w:top w:val="single" w:sz="8" w:space="0" w:color="auto"/>
              <w:left w:val="single" w:sz="8" w:space="0" w:color="auto"/>
              <w:bottom w:val="single" w:sz="8" w:space="0" w:color="auto"/>
              <w:right w:val="single" w:sz="8" w:space="0" w:color="auto"/>
            </w:tcBorders>
          </w:tcPr>
          <w:p w14:paraId="4593EEC8" w14:textId="77777777" w:rsidR="000A7D9D" w:rsidRPr="00A00723" w:rsidRDefault="000A7D9D" w:rsidP="00F31937">
            <w:pPr>
              <w:jc w:val="both"/>
              <w:rPr>
                <w:rFonts w:eastAsiaTheme="minorEastAsia"/>
                <w:noProof/>
              </w:rPr>
            </w:pPr>
            <w:r w:rsidRPr="00A00723">
              <w:rPr>
                <w:rFonts w:eastAsiaTheme="minorEastAsia"/>
                <w:noProof/>
              </w:rPr>
              <w:t>December 2022</w:t>
            </w:r>
          </w:p>
        </w:tc>
      </w:tr>
      <w:tr w:rsidR="000A7D9D" w14:paraId="1E591AD2"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3DA4EE18"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Heptachlor including heptachlor epoxide</w:t>
            </w:r>
          </w:p>
        </w:tc>
        <w:tc>
          <w:tcPr>
            <w:tcW w:w="1841" w:type="dxa"/>
            <w:tcBorders>
              <w:top w:val="single" w:sz="8" w:space="0" w:color="auto"/>
              <w:left w:val="single" w:sz="8" w:space="0" w:color="auto"/>
              <w:bottom w:val="single" w:sz="8" w:space="0" w:color="auto"/>
              <w:right w:val="single" w:sz="8" w:space="0" w:color="auto"/>
            </w:tcBorders>
          </w:tcPr>
          <w:p w14:paraId="7B4EEFF9" w14:textId="77777777" w:rsidR="000A7D9D" w:rsidRPr="00A00723" w:rsidRDefault="000A7D9D" w:rsidP="00F31937">
            <w:pPr>
              <w:jc w:val="both"/>
              <w:rPr>
                <w:rFonts w:eastAsiaTheme="minorEastAsia"/>
                <w:noProof/>
              </w:rPr>
            </w:pPr>
            <w:r w:rsidRPr="00A00723">
              <w:rPr>
                <w:rFonts w:eastAsiaTheme="minorEastAsia"/>
                <w:noProof/>
              </w:rPr>
              <w:t>December 2022</w:t>
            </w:r>
          </w:p>
        </w:tc>
      </w:tr>
      <w:tr w:rsidR="000A7D9D" w14:paraId="4B2B67DD"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5B66AB67" w14:textId="77777777" w:rsidR="000A7D9D" w:rsidRPr="00A00723" w:rsidRDefault="000A7D9D" w:rsidP="00F31937">
            <w:pPr>
              <w:spacing w:line="259" w:lineRule="auto"/>
              <w:jc w:val="both"/>
              <w:rPr>
                <w:rFonts w:eastAsiaTheme="minorEastAsia"/>
                <w:noProof/>
              </w:rPr>
            </w:pPr>
            <w:r w:rsidRPr="00A00723">
              <w:rPr>
                <w:rFonts w:eastAsiaTheme="minorEastAsia"/>
                <w:noProof/>
              </w:rPr>
              <w:t>Opinion on Draft Environmental Quality Standards for priority substances under the Water Framework Directive – Nickel and its compounds</w:t>
            </w:r>
          </w:p>
        </w:tc>
        <w:tc>
          <w:tcPr>
            <w:tcW w:w="1841" w:type="dxa"/>
            <w:tcBorders>
              <w:top w:val="single" w:sz="8" w:space="0" w:color="auto"/>
              <w:left w:val="single" w:sz="8" w:space="0" w:color="auto"/>
              <w:bottom w:val="single" w:sz="8" w:space="0" w:color="auto"/>
              <w:right w:val="single" w:sz="8" w:space="0" w:color="auto"/>
            </w:tcBorders>
          </w:tcPr>
          <w:p w14:paraId="0CCA6257" w14:textId="77777777" w:rsidR="000A7D9D" w:rsidRPr="00A00723" w:rsidRDefault="000A7D9D" w:rsidP="00F31937">
            <w:pPr>
              <w:jc w:val="both"/>
              <w:rPr>
                <w:rFonts w:eastAsiaTheme="minorEastAsia"/>
                <w:noProof/>
              </w:rPr>
            </w:pPr>
            <w:r w:rsidRPr="00A00723">
              <w:rPr>
                <w:rFonts w:eastAsiaTheme="minorEastAsia"/>
                <w:noProof/>
              </w:rPr>
              <w:t>December 2022</w:t>
            </w:r>
          </w:p>
        </w:tc>
      </w:tr>
      <w:tr w:rsidR="000A7D9D" w14:paraId="4F23846E"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5B3C7555" w14:textId="77777777" w:rsidR="000A7D9D" w:rsidRPr="00A00723" w:rsidRDefault="000A7D9D" w:rsidP="00F31937">
            <w:pPr>
              <w:spacing w:line="259" w:lineRule="auto"/>
              <w:jc w:val="both"/>
              <w:rPr>
                <w:rFonts w:eastAsiaTheme="minorEastAsia"/>
                <w:noProof/>
              </w:rPr>
            </w:pPr>
            <w:r w:rsidRPr="00A00723">
              <w:rPr>
                <w:rFonts w:eastAsiaTheme="minorEastAsia"/>
                <w:noProof/>
              </w:rPr>
              <w:t>Opinion on Draft Environmental Quality Standards for priority substances under the Water Framework Directive – Glyphosate</w:t>
            </w:r>
          </w:p>
        </w:tc>
        <w:tc>
          <w:tcPr>
            <w:tcW w:w="1841" w:type="dxa"/>
            <w:tcBorders>
              <w:top w:val="single" w:sz="8" w:space="0" w:color="auto"/>
              <w:left w:val="single" w:sz="8" w:space="0" w:color="auto"/>
              <w:bottom w:val="single" w:sz="8" w:space="0" w:color="auto"/>
              <w:right w:val="single" w:sz="8" w:space="0" w:color="auto"/>
            </w:tcBorders>
          </w:tcPr>
          <w:p w14:paraId="396E14DF" w14:textId="77777777" w:rsidR="000A7D9D" w:rsidRPr="00A00723" w:rsidRDefault="000A7D9D" w:rsidP="00F31937">
            <w:pPr>
              <w:jc w:val="both"/>
              <w:rPr>
                <w:rFonts w:eastAsiaTheme="minorEastAsia"/>
                <w:noProof/>
              </w:rPr>
            </w:pPr>
            <w:r w:rsidRPr="00A00723">
              <w:rPr>
                <w:rFonts w:eastAsiaTheme="minorEastAsia"/>
                <w:noProof/>
              </w:rPr>
              <w:t>December 2022</w:t>
            </w:r>
          </w:p>
        </w:tc>
      </w:tr>
      <w:tr w:rsidR="000A7D9D" w14:paraId="65E0BBE5"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209C4C80"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Hexachlorobutadiene</w:t>
            </w:r>
          </w:p>
        </w:tc>
        <w:tc>
          <w:tcPr>
            <w:tcW w:w="1841" w:type="dxa"/>
            <w:tcBorders>
              <w:top w:val="single" w:sz="8" w:space="0" w:color="auto"/>
              <w:left w:val="single" w:sz="8" w:space="0" w:color="auto"/>
              <w:bottom w:val="single" w:sz="8" w:space="0" w:color="auto"/>
              <w:right w:val="single" w:sz="8" w:space="0" w:color="auto"/>
            </w:tcBorders>
          </w:tcPr>
          <w:p w14:paraId="272F8A7E" w14:textId="77777777" w:rsidR="000A7D9D" w:rsidRPr="00A00723" w:rsidRDefault="000A7D9D" w:rsidP="00F31937">
            <w:pPr>
              <w:jc w:val="both"/>
              <w:rPr>
                <w:rFonts w:eastAsiaTheme="minorEastAsia"/>
                <w:noProof/>
              </w:rPr>
            </w:pPr>
            <w:r w:rsidRPr="00A00723">
              <w:rPr>
                <w:rFonts w:eastAsiaTheme="minorEastAsia"/>
                <w:noProof/>
              </w:rPr>
              <w:t>December 2022</w:t>
            </w:r>
          </w:p>
        </w:tc>
      </w:tr>
      <w:tr w:rsidR="000A7D9D" w14:paraId="38F63C7F"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79951BE7"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Ibuprofen</w:t>
            </w:r>
          </w:p>
        </w:tc>
        <w:tc>
          <w:tcPr>
            <w:tcW w:w="1841" w:type="dxa"/>
            <w:tcBorders>
              <w:top w:val="single" w:sz="8" w:space="0" w:color="auto"/>
              <w:left w:val="single" w:sz="8" w:space="0" w:color="auto"/>
              <w:bottom w:val="single" w:sz="8" w:space="0" w:color="auto"/>
              <w:right w:val="single" w:sz="8" w:space="0" w:color="auto"/>
            </w:tcBorders>
          </w:tcPr>
          <w:p w14:paraId="685C5358" w14:textId="77777777" w:rsidR="000A7D9D" w:rsidRPr="00A00723" w:rsidRDefault="000A7D9D" w:rsidP="00F31937">
            <w:pPr>
              <w:jc w:val="both"/>
              <w:rPr>
                <w:rFonts w:eastAsiaTheme="minorEastAsia"/>
                <w:noProof/>
              </w:rPr>
            </w:pPr>
            <w:r w:rsidRPr="00A00723">
              <w:rPr>
                <w:rFonts w:eastAsiaTheme="minorEastAsia"/>
                <w:noProof/>
              </w:rPr>
              <w:t>December 2022</w:t>
            </w:r>
          </w:p>
        </w:tc>
      </w:tr>
      <w:tr w:rsidR="000A7D9D" w14:paraId="3A3BC746"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597BB2B2"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Fluoranthene</w:t>
            </w:r>
          </w:p>
        </w:tc>
        <w:tc>
          <w:tcPr>
            <w:tcW w:w="1841" w:type="dxa"/>
            <w:tcBorders>
              <w:top w:val="single" w:sz="8" w:space="0" w:color="auto"/>
              <w:left w:val="single" w:sz="8" w:space="0" w:color="auto"/>
              <w:bottom w:val="single" w:sz="8" w:space="0" w:color="auto"/>
              <w:right w:val="single" w:sz="8" w:space="0" w:color="auto"/>
            </w:tcBorders>
          </w:tcPr>
          <w:p w14:paraId="79833957" w14:textId="77777777" w:rsidR="000A7D9D" w:rsidRPr="00A00723" w:rsidRDefault="000A7D9D" w:rsidP="00F31937">
            <w:pPr>
              <w:jc w:val="both"/>
              <w:rPr>
                <w:rFonts w:eastAsiaTheme="minorEastAsia"/>
                <w:noProof/>
              </w:rPr>
            </w:pPr>
            <w:r w:rsidRPr="00A00723">
              <w:rPr>
                <w:rFonts w:eastAsiaTheme="minorEastAsia"/>
                <w:noProof/>
              </w:rPr>
              <w:t>November 2022</w:t>
            </w:r>
          </w:p>
        </w:tc>
      </w:tr>
      <w:tr w:rsidR="000A7D9D" w14:paraId="13B6148F"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2258AE42"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Nonylphenol</w:t>
            </w:r>
          </w:p>
        </w:tc>
        <w:tc>
          <w:tcPr>
            <w:tcW w:w="1841" w:type="dxa"/>
            <w:tcBorders>
              <w:top w:val="single" w:sz="8" w:space="0" w:color="auto"/>
              <w:left w:val="single" w:sz="8" w:space="0" w:color="auto"/>
              <w:bottom w:val="single" w:sz="8" w:space="0" w:color="auto"/>
              <w:right w:val="single" w:sz="8" w:space="0" w:color="auto"/>
            </w:tcBorders>
          </w:tcPr>
          <w:p w14:paraId="3F21EE0C" w14:textId="77777777" w:rsidR="000A7D9D" w:rsidRPr="00A00723" w:rsidRDefault="000A7D9D" w:rsidP="00F31937">
            <w:pPr>
              <w:jc w:val="both"/>
              <w:rPr>
                <w:rFonts w:eastAsiaTheme="minorEastAsia"/>
                <w:noProof/>
              </w:rPr>
            </w:pPr>
            <w:r w:rsidRPr="00A00723">
              <w:rPr>
                <w:rFonts w:eastAsiaTheme="minorEastAsia"/>
                <w:noProof/>
              </w:rPr>
              <w:t>November 2022</w:t>
            </w:r>
          </w:p>
        </w:tc>
      </w:tr>
      <w:tr w:rsidR="000A7D9D" w14:paraId="5064ABEA"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4B3F6F64"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Diuron</w:t>
            </w:r>
          </w:p>
        </w:tc>
        <w:tc>
          <w:tcPr>
            <w:tcW w:w="1841" w:type="dxa"/>
            <w:tcBorders>
              <w:top w:val="single" w:sz="8" w:space="0" w:color="auto"/>
              <w:left w:val="single" w:sz="8" w:space="0" w:color="auto"/>
              <w:bottom w:val="single" w:sz="8" w:space="0" w:color="auto"/>
              <w:right w:val="single" w:sz="8" w:space="0" w:color="auto"/>
            </w:tcBorders>
          </w:tcPr>
          <w:p w14:paraId="5BA12711" w14:textId="77777777" w:rsidR="000A7D9D" w:rsidRPr="00A00723" w:rsidRDefault="000A7D9D" w:rsidP="00F31937">
            <w:pPr>
              <w:jc w:val="both"/>
              <w:rPr>
                <w:rFonts w:eastAsiaTheme="minorEastAsia"/>
                <w:noProof/>
              </w:rPr>
            </w:pPr>
            <w:r w:rsidRPr="00A00723">
              <w:rPr>
                <w:rFonts w:eastAsiaTheme="minorEastAsia"/>
                <w:noProof/>
              </w:rPr>
              <w:t>October 2022</w:t>
            </w:r>
          </w:p>
        </w:tc>
      </w:tr>
      <w:tr w:rsidR="000A7D9D" w14:paraId="4FBFA979"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412409B2"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Bisphenol A</w:t>
            </w:r>
          </w:p>
        </w:tc>
        <w:tc>
          <w:tcPr>
            <w:tcW w:w="1841" w:type="dxa"/>
            <w:tcBorders>
              <w:top w:val="single" w:sz="8" w:space="0" w:color="auto"/>
              <w:left w:val="single" w:sz="8" w:space="0" w:color="auto"/>
              <w:bottom w:val="single" w:sz="8" w:space="0" w:color="auto"/>
              <w:right w:val="single" w:sz="8" w:space="0" w:color="auto"/>
            </w:tcBorders>
          </w:tcPr>
          <w:p w14:paraId="1E94DBC4" w14:textId="77777777" w:rsidR="000A7D9D" w:rsidRPr="00A00723" w:rsidRDefault="000A7D9D" w:rsidP="00F31937">
            <w:pPr>
              <w:jc w:val="both"/>
              <w:rPr>
                <w:rFonts w:eastAsiaTheme="minorEastAsia"/>
                <w:noProof/>
              </w:rPr>
            </w:pPr>
            <w:r w:rsidRPr="00A00723">
              <w:rPr>
                <w:rFonts w:eastAsiaTheme="minorEastAsia"/>
                <w:noProof/>
              </w:rPr>
              <w:t>October 2022</w:t>
            </w:r>
          </w:p>
        </w:tc>
      </w:tr>
      <w:tr w:rsidR="000A7D9D" w14:paraId="5CA5E916"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06D55470"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Hexachlorobenzene</w:t>
            </w:r>
          </w:p>
        </w:tc>
        <w:tc>
          <w:tcPr>
            <w:tcW w:w="1841" w:type="dxa"/>
            <w:tcBorders>
              <w:top w:val="single" w:sz="8" w:space="0" w:color="auto"/>
              <w:left w:val="single" w:sz="8" w:space="0" w:color="auto"/>
              <w:bottom w:val="single" w:sz="8" w:space="0" w:color="auto"/>
              <w:right w:val="single" w:sz="8" w:space="0" w:color="auto"/>
            </w:tcBorders>
          </w:tcPr>
          <w:p w14:paraId="4114F91F" w14:textId="77777777" w:rsidR="000A7D9D" w:rsidRPr="00A00723" w:rsidRDefault="000A7D9D" w:rsidP="00F31937">
            <w:pPr>
              <w:jc w:val="both"/>
              <w:rPr>
                <w:rFonts w:eastAsiaTheme="minorEastAsia"/>
                <w:noProof/>
              </w:rPr>
            </w:pPr>
            <w:r w:rsidRPr="00A00723">
              <w:rPr>
                <w:rFonts w:eastAsiaTheme="minorEastAsia"/>
                <w:noProof/>
              </w:rPr>
              <w:t>October 2022</w:t>
            </w:r>
          </w:p>
        </w:tc>
      </w:tr>
      <w:tr w:rsidR="000A7D9D" w14:paraId="50BB424D"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63EBCE20"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PFAS</w:t>
            </w:r>
          </w:p>
        </w:tc>
        <w:tc>
          <w:tcPr>
            <w:tcW w:w="1841" w:type="dxa"/>
            <w:tcBorders>
              <w:top w:val="single" w:sz="8" w:space="0" w:color="auto"/>
              <w:left w:val="single" w:sz="8" w:space="0" w:color="auto"/>
              <w:bottom w:val="single" w:sz="8" w:space="0" w:color="auto"/>
              <w:right w:val="single" w:sz="8" w:space="0" w:color="auto"/>
            </w:tcBorders>
          </w:tcPr>
          <w:p w14:paraId="684F995C" w14:textId="77777777" w:rsidR="000A7D9D" w:rsidRPr="00A00723" w:rsidRDefault="000A7D9D" w:rsidP="00F31937">
            <w:pPr>
              <w:jc w:val="both"/>
              <w:rPr>
                <w:rFonts w:eastAsiaTheme="minorEastAsia"/>
                <w:noProof/>
              </w:rPr>
            </w:pPr>
            <w:r w:rsidRPr="00A00723">
              <w:rPr>
                <w:rFonts w:eastAsiaTheme="minorEastAsia"/>
                <w:noProof/>
              </w:rPr>
              <w:t>August 2022</w:t>
            </w:r>
          </w:p>
        </w:tc>
      </w:tr>
      <w:tr w:rsidR="000A7D9D" w14:paraId="6AF4A814"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3AEB62AF"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Cypermethrin</w:t>
            </w:r>
          </w:p>
        </w:tc>
        <w:tc>
          <w:tcPr>
            <w:tcW w:w="1841" w:type="dxa"/>
            <w:tcBorders>
              <w:top w:val="single" w:sz="8" w:space="0" w:color="auto"/>
              <w:left w:val="single" w:sz="8" w:space="0" w:color="auto"/>
              <w:bottom w:val="single" w:sz="8" w:space="0" w:color="auto"/>
              <w:right w:val="single" w:sz="8" w:space="0" w:color="auto"/>
            </w:tcBorders>
          </w:tcPr>
          <w:p w14:paraId="73359DD3" w14:textId="77777777" w:rsidR="000A7D9D" w:rsidRPr="00A00723" w:rsidRDefault="000A7D9D" w:rsidP="00F31937">
            <w:pPr>
              <w:jc w:val="both"/>
              <w:rPr>
                <w:rFonts w:eastAsiaTheme="minorEastAsia"/>
                <w:noProof/>
              </w:rPr>
            </w:pPr>
            <w:r w:rsidRPr="00A00723">
              <w:rPr>
                <w:rFonts w:eastAsiaTheme="minorEastAsia"/>
                <w:noProof/>
              </w:rPr>
              <w:t>August 2022</w:t>
            </w:r>
          </w:p>
        </w:tc>
      </w:tr>
      <w:tr w:rsidR="000A7D9D" w14:paraId="140D3F24"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46E0EDFE" w14:textId="77777777" w:rsidR="000A7D9D" w:rsidRPr="00A00723" w:rsidRDefault="000A7D9D" w:rsidP="00F31937">
            <w:pPr>
              <w:jc w:val="both"/>
              <w:rPr>
                <w:rFonts w:eastAsiaTheme="minorEastAsia"/>
                <w:noProof/>
              </w:rPr>
            </w:pPr>
            <w:r w:rsidRPr="00A00723">
              <w:rPr>
                <w:rFonts w:eastAsiaTheme="minorEastAsia"/>
                <w:noProof/>
              </w:rPr>
              <w:t>Opinion on Draft Environmental Quality Standards for priority substances under the Water Framework Directive – Diclofenac</w:t>
            </w:r>
          </w:p>
        </w:tc>
        <w:tc>
          <w:tcPr>
            <w:tcW w:w="1841" w:type="dxa"/>
            <w:tcBorders>
              <w:top w:val="single" w:sz="8" w:space="0" w:color="auto"/>
              <w:left w:val="single" w:sz="8" w:space="0" w:color="auto"/>
              <w:bottom w:val="single" w:sz="8" w:space="0" w:color="auto"/>
              <w:right w:val="single" w:sz="8" w:space="0" w:color="auto"/>
            </w:tcBorders>
          </w:tcPr>
          <w:p w14:paraId="3E170450" w14:textId="77777777" w:rsidR="000A7D9D" w:rsidRPr="00A00723" w:rsidRDefault="000A7D9D" w:rsidP="00F31937">
            <w:pPr>
              <w:jc w:val="both"/>
              <w:rPr>
                <w:rFonts w:eastAsiaTheme="minorEastAsia"/>
                <w:noProof/>
              </w:rPr>
            </w:pPr>
            <w:r w:rsidRPr="00A00723">
              <w:rPr>
                <w:rFonts w:eastAsiaTheme="minorEastAsia"/>
                <w:noProof/>
              </w:rPr>
              <w:t>August 2022</w:t>
            </w:r>
          </w:p>
        </w:tc>
      </w:tr>
      <w:tr w:rsidR="000A7D9D" w14:paraId="278BFA48"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5B3C05E5" w14:textId="77777777" w:rsidR="000A7D9D" w:rsidRPr="00A00723" w:rsidRDefault="00187DBF" w:rsidP="00F31937">
            <w:pPr>
              <w:jc w:val="both"/>
              <w:rPr>
                <w:rFonts w:eastAsia="Verdana"/>
                <w:noProof/>
              </w:rPr>
            </w:pPr>
            <w:hyperlink r:id="rId95">
              <w:r w:rsidR="000A7D9D" w:rsidRPr="00A00723">
                <w:rPr>
                  <w:rStyle w:val="Hyperlink"/>
                  <w:rFonts w:eastAsia="Arial"/>
                  <w:noProof/>
                </w:rPr>
                <w:t>Scientific Opinion on Groundwater quality standards for proposed additional pollutants in the annexes to the Groundwater Directive (2006/118/EC)</w:t>
              </w:r>
            </w:hyperlink>
          </w:p>
        </w:tc>
        <w:tc>
          <w:tcPr>
            <w:tcW w:w="1841" w:type="dxa"/>
            <w:tcBorders>
              <w:top w:val="single" w:sz="8" w:space="0" w:color="auto"/>
              <w:left w:val="single" w:sz="8" w:space="0" w:color="auto"/>
              <w:bottom w:val="single" w:sz="8" w:space="0" w:color="auto"/>
              <w:right w:val="single" w:sz="8" w:space="0" w:color="auto"/>
            </w:tcBorders>
          </w:tcPr>
          <w:p w14:paraId="28BAF66A" w14:textId="77777777" w:rsidR="000A7D9D" w:rsidRPr="00A00723" w:rsidRDefault="000A7D9D" w:rsidP="00F31937">
            <w:pPr>
              <w:jc w:val="both"/>
              <w:rPr>
                <w:rFonts w:eastAsiaTheme="minorEastAsia"/>
                <w:noProof/>
              </w:rPr>
            </w:pPr>
            <w:r w:rsidRPr="00A00723">
              <w:rPr>
                <w:rFonts w:eastAsiaTheme="minorEastAsia"/>
                <w:noProof/>
              </w:rPr>
              <w:t>July 2022</w:t>
            </w:r>
          </w:p>
        </w:tc>
      </w:tr>
      <w:tr w:rsidR="000A7D9D" w14:paraId="7044308D"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400D515B" w14:textId="77777777" w:rsidR="000A7D9D" w:rsidRPr="00A00723" w:rsidRDefault="00187DBF" w:rsidP="00F31937">
            <w:pPr>
              <w:jc w:val="both"/>
              <w:rPr>
                <w:rFonts w:eastAsia="Verdana"/>
                <w:noProof/>
              </w:rPr>
            </w:pPr>
            <w:hyperlink r:id="rId96">
              <w:r w:rsidR="000A7D9D" w:rsidRPr="00A00723">
                <w:rPr>
                  <w:rStyle w:val="Hyperlink"/>
                  <w:rFonts w:eastAsia="Arial"/>
                  <w:noProof/>
                </w:rPr>
                <w:t>Scientific Opinion on "Draft Environmental Quality Standards for Priority Substances under the Water Framework Directive" - Chlorpyrifos</w:t>
              </w:r>
            </w:hyperlink>
          </w:p>
        </w:tc>
        <w:tc>
          <w:tcPr>
            <w:tcW w:w="1841" w:type="dxa"/>
            <w:tcBorders>
              <w:top w:val="single" w:sz="8" w:space="0" w:color="auto"/>
              <w:left w:val="single" w:sz="8" w:space="0" w:color="auto"/>
              <w:bottom w:val="single" w:sz="8" w:space="0" w:color="auto"/>
              <w:right w:val="single" w:sz="8" w:space="0" w:color="auto"/>
            </w:tcBorders>
          </w:tcPr>
          <w:p w14:paraId="59F6E88C" w14:textId="77777777" w:rsidR="000A7D9D" w:rsidRPr="00A00723" w:rsidRDefault="000A7D9D" w:rsidP="00F31937">
            <w:pPr>
              <w:jc w:val="both"/>
              <w:rPr>
                <w:rFonts w:eastAsiaTheme="minorEastAsia"/>
                <w:noProof/>
              </w:rPr>
            </w:pPr>
            <w:r w:rsidRPr="00A00723">
              <w:rPr>
                <w:rFonts w:eastAsiaTheme="minorEastAsia"/>
                <w:noProof/>
              </w:rPr>
              <w:t>June 2022</w:t>
            </w:r>
          </w:p>
        </w:tc>
      </w:tr>
      <w:tr w:rsidR="000A7D9D" w14:paraId="337888B4"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03078E6F" w14:textId="77777777" w:rsidR="000A7D9D" w:rsidRPr="00A00723" w:rsidRDefault="00187DBF" w:rsidP="00F31937">
            <w:pPr>
              <w:jc w:val="both"/>
              <w:rPr>
                <w:rFonts w:eastAsia="Verdana"/>
                <w:noProof/>
              </w:rPr>
            </w:pPr>
            <w:hyperlink r:id="rId97">
              <w:r w:rsidR="000A7D9D" w:rsidRPr="00A00723">
                <w:rPr>
                  <w:rStyle w:val="Hyperlink"/>
                  <w:rFonts w:eastAsia="Arial"/>
                  <w:noProof/>
                </w:rPr>
                <w:t>Scientific Opinion on "Draft Environmental Quality Standards for Priority Substances under the Water Framework Directive" - Carbamazepine</w:t>
              </w:r>
            </w:hyperlink>
          </w:p>
        </w:tc>
        <w:tc>
          <w:tcPr>
            <w:tcW w:w="1841" w:type="dxa"/>
            <w:tcBorders>
              <w:top w:val="single" w:sz="8" w:space="0" w:color="auto"/>
              <w:left w:val="single" w:sz="8" w:space="0" w:color="auto"/>
              <w:bottom w:val="single" w:sz="8" w:space="0" w:color="auto"/>
              <w:right w:val="single" w:sz="8" w:space="0" w:color="auto"/>
            </w:tcBorders>
          </w:tcPr>
          <w:p w14:paraId="53EFD984" w14:textId="77777777" w:rsidR="000A7D9D" w:rsidRPr="00A00723" w:rsidRDefault="000A7D9D" w:rsidP="00F31937">
            <w:pPr>
              <w:jc w:val="both"/>
              <w:rPr>
                <w:rFonts w:eastAsiaTheme="minorEastAsia"/>
                <w:noProof/>
              </w:rPr>
            </w:pPr>
            <w:r w:rsidRPr="00A00723">
              <w:rPr>
                <w:rFonts w:eastAsiaTheme="minorEastAsia"/>
                <w:noProof/>
              </w:rPr>
              <w:t>May 2022</w:t>
            </w:r>
          </w:p>
        </w:tc>
      </w:tr>
      <w:tr w:rsidR="000A7D9D" w14:paraId="34570276"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32213383" w14:textId="77777777" w:rsidR="000A7D9D" w:rsidRPr="00A00723" w:rsidRDefault="00187DBF" w:rsidP="00F31937">
            <w:pPr>
              <w:jc w:val="both"/>
              <w:rPr>
                <w:rFonts w:eastAsia="Verdana"/>
                <w:noProof/>
              </w:rPr>
            </w:pPr>
            <w:hyperlink r:id="rId98">
              <w:r w:rsidR="000A7D9D" w:rsidRPr="00A00723">
                <w:rPr>
                  <w:rStyle w:val="Hyperlink"/>
                  <w:rFonts w:eastAsia="Arial"/>
                  <w:noProof/>
                </w:rPr>
                <w:t>Scientific Opinion on "Draft Environmental Quality Standards for Priority Substances under the Water Framework Directive" - Bifenthrin</w:t>
              </w:r>
            </w:hyperlink>
          </w:p>
        </w:tc>
        <w:tc>
          <w:tcPr>
            <w:tcW w:w="1841" w:type="dxa"/>
            <w:tcBorders>
              <w:top w:val="single" w:sz="8" w:space="0" w:color="auto"/>
              <w:left w:val="single" w:sz="8" w:space="0" w:color="auto"/>
              <w:bottom w:val="single" w:sz="8" w:space="0" w:color="auto"/>
              <w:right w:val="single" w:sz="8" w:space="0" w:color="auto"/>
            </w:tcBorders>
          </w:tcPr>
          <w:p w14:paraId="3EC2056D" w14:textId="77777777" w:rsidR="000A7D9D" w:rsidRPr="00A00723" w:rsidRDefault="000A7D9D" w:rsidP="00F31937">
            <w:pPr>
              <w:jc w:val="both"/>
              <w:rPr>
                <w:rFonts w:eastAsiaTheme="minorEastAsia"/>
                <w:noProof/>
              </w:rPr>
            </w:pPr>
            <w:r w:rsidRPr="00A00723">
              <w:rPr>
                <w:rFonts w:eastAsiaTheme="minorEastAsia"/>
                <w:noProof/>
              </w:rPr>
              <w:t>May 2022</w:t>
            </w:r>
          </w:p>
        </w:tc>
      </w:tr>
      <w:tr w:rsidR="000A7D9D" w14:paraId="49943343"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090636DF" w14:textId="77777777" w:rsidR="000A7D9D" w:rsidRPr="00A00723" w:rsidRDefault="00187DBF" w:rsidP="00F31937">
            <w:pPr>
              <w:jc w:val="both"/>
              <w:rPr>
                <w:rFonts w:eastAsia="Verdana"/>
                <w:noProof/>
              </w:rPr>
            </w:pPr>
            <w:hyperlink r:id="rId99">
              <w:r w:rsidR="000A7D9D" w:rsidRPr="00A00723">
                <w:rPr>
                  <w:rStyle w:val="Hyperlink"/>
                  <w:rFonts w:eastAsia="Arial"/>
                  <w:noProof/>
                </w:rPr>
                <w:t>Scientific Opinion on "Draft Environmental Quality Standards for Priority Substances under the Water Framework Directive" - Azithromycin</w:t>
              </w:r>
            </w:hyperlink>
          </w:p>
        </w:tc>
        <w:tc>
          <w:tcPr>
            <w:tcW w:w="1841" w:type="dxa"/>
            <w:tcBorders>
              <w:top w:val="single" w:sz="8" w:space="0" w:color="auto"/>
              <w:left w:val="single" w:sz="8" w:space="0" w:color="auto"/>
              <w:bottom w:val="single" w:sz="8" w:space="0" w:color="auto"/>
              <w:right w:val="single" w:sz="8" w:space="0" w:color="auto"/>
            </w:tcBorders>
          </w:tcPr>
          <w:p w14:paraId="4E73BFDC" w14:textId="77777777" w:rsidR="000A7D9D" w:rsidRPr="00A00723" w:rsidRDefault="000A7D9D" w:rsidP="00F31937">
            <w:pPr>
              <w:jc w:val="both"/>
              <w:rPr>
                <w:rFonts w:eastAsiaTheme="minorEastAsia"/>
                <w:noProof/>
              </w:rPr>
            </w:pPr>
            <w:r w:rsidRPr="00A00723">
              <w:rPr>
                <w:rFonts w:eastAsiaTheme="minorEastAsia"/>
                <w:noProof/>
              </w:rPr>
              <w:t>May 2022</w:t>
            </w:r>
          </w:p>
        </w:tc>
      </w:tr>
      <w:tr w:rsidR="000A7D9D" w14:paraId="6E0D575A"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557F7119" w14:textId="77777777" w:rsidR="000A7D9D" w:rsidRPr="00A00723" w:rsidRDefault="00187DBF" w:rsidP="00F31937">
            <w:pPr>
              <w:jc w:val="both"/>
              <w:rPr>
                <w:rFonts w:eastAsia="Verdana"/>
                <w:noProof/>
              </w:rPr>
            </w:pPr>
            <w:hyperlink r:id="rId100">
              <w:r w:rsidR="000A7D9D" w:rsidRPr="00A00723">
                <w:rPr>
                  <w:rStyle w:val="Hyperlink"/>
                  <w:rFonts w:eastAsia="Arial"/>
                  <w:noProof/>
                </w:rPr>
                <w:t>Scientific Opinion on "Draft Environmental Quality Standards for Priority Substances under the Water Framework Directive" - Clarithromycin</w:t>
              </w:r>
            </w:hyperlink>
          </w:p>
        </w:tc>
        <w:tc>
          <w:tcPr>
            <w:tcW w:w="1841" w:type="dxa"/>
            <w:tcBorders>
              <w:top w:val="single" w:sz="8" w:space="0" w:color="auto"/>
              <w:left w:val="single" w:sz="8" w:space="0" w:color="auto"/>
              <w:bottom w:val="single" w:sz="8" w:space="0" w:color="auto"/>
              <w:right w:val="single" w:sz="8" w:space="0" w:color="auto"/>
            </w:tcBorders>
          </w:tcPr>
          <w:p w14:paraId="1522AB2B" w14:textId="77777777" w:rsidR="000A7D9D" w:rsidRPr="00A00723" w:rsidRDefault="000A7D9D" w:rsidP="00F31937">
            <w:pPr>
              <w:jc w:val="both"/>
              <w:rPr>
                <w:rFonts w:eastAsiaTheme="minorEastAsia"/>
                <w:noProof/>
              </w:rPr>
            </w:pPr>
            <w:r w:rsidRPr="00A00723">
              <w:rPr>
                <w:rFonts w:eastAsiaTheme="minorEastAsia"/>
                <w:noProof/>
              </w:rPr>
              <w:t>May 2022</w:t>
            </w:r>
          </w:p>
        </w:tc>
      </w:tr>
      <w:tr w:rsidR="000A7D9D" w14:paraId="75DD7C11"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10DD0385" w14:textId="77777777" w:rsidR="000A7D9D" w:rsidRPr="00A00723" w:rsidRDefault="00187DBF" w:rsidP="00F31937">
            <w:pPr>
              <w:jc w:val="both"/>
              <w:rPr>
                <w:rFonts w:eastAsia="Verdana"/>
                <w:noProof/>
              </w:rPr>
            </w:pPr>
            <w:hyperlink r:id="rId101">
              <w:r w:rsidR="000A7D9D" w:rsidRPr="00A00723">
                <w:rPr>
                  <w:rStyle w:val="Hyperlink"/>
                  <w:rFonts w:eastAsia="Arial"/>
                  <w:noProof/>
                </w:rPr>
                <w:t>Scientific Opinion on "Draft Environmental Quality Standards for Priority Substances under the Water Framework Directive" - Esfenvalerate</w:t>
              </w:r>
            </w:hyperlink>
          </w:p>
        </w:tc>
        <w:tc>
          <w:tcPr>
            <w:tcW w:w="1841" w:type="dxa"/>
            <w:tcBorders>
              <w:top w:val="single" w:sz="8" w:space="0" w:color="auto"/>
              <w:left w:val="single" w:sz="8" w:space="0" w:color="auto"/>
              <w:bottom w:val="single" w:sz="8" w:space="0" w:color="auto"/>
              <w:right w:val="single" w:sz="8" w:space="0" w:color="auto"/>
            </w:tcBorders>
          </w:tcPr>
          <w:p w14:paraId="09DCC77B" w14:textId="77777777" w:rsidR="000A7D9D" w:rsidRPr="00A00723" w:rsidRDefault="000A7D9D" w:rsidP="00F31937">
            <w:pPr>
              <w:jc w:val="both"/>
              <w:rPr>
                <w:rFonts w:eastAsiaTheme="minorEastAsia"/>
                <w:noProof/>
              </w:rPr>
            </w:pPr>
            <w:r w:rsidRPr="00A00723">
              <w:rPr>
                <w:rFonts w:eastAsiaTheme="minorEastAsia"/>
                <w:noProof/>
              </w:rPr>
              <w:t>March 2022</w:t>
            </w:r>
          </w:p>
        </w:tc>
      </w:tr>
      <w:tr w:rsidR="000A7D9D" w14:paraId="15E89DA0"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4CED95D4" w14:textId="77777777" w:rsidR="000A7D9D" w:rsidRPr="00A00723" w:rsidRDefault="00187DBF" w:rsidP="00F31937">
            <w:pPr>
              <w:jc w:val="both"/>
              <w:rPr>
                <w:rFonts w:eastAsia="Verdana"/>
                <w:noProof/>
              </w:rPr>
            </w:pPr>
            <w:hyperlink r:id="rId102">
              <w:r w:rsidR="000A7D9D" w:rsidRPr="00A00723">
                <w:rPr>
                  <w:rStyle w:val="Hyperlink"/>
                  <w:rFonts w:eastAsia="Arial"/>
                  <w:noProof/>
                </w:rPr>
                <w:t>Scientific Opinion on "Draft Environmental Quality Standards for Priority Substances under the Water Framework Directive" - Permethrin</w:t>
              </w:r>
            </w:hyperlink>
          </w:p>
        </w:tc>
        <w:tc>
          <w:tcPr>
            <w:tcW w:w="1841" w:type="dxa"/>
            <w:tcBorders>
              <w:top w:val="single" w:sz="8" w:space="0" w:color="auto"/>
              <w:left w:val="single" w:sz="8" w:space="0" w:color="auto"/>
              <w:bottom w:val="single" w:sz="8" w:space="0" w:color="auto"/>
              <w:right w:val="single" w:sz="8" w:space="0" w:color="auto"/>
            </w:tcBorders>
          </w:tcPr>
          <w:p w14:paraId="5199D762" w14:textId="77777777" w:rsidR="000A7D9D" w:rsidRPr="00A00723" w:rsidRDefault="000A7D9D" w:rsidP="00F31937">
            <w:pPr>
              <w:jc w:val="both"/>
              <w:rPr>
                <w:rFonts w:eastAsiaTheme="minorEastAsia"/>
                <w:noProof/>
              </w:rPr>
            </w:pPr>
            <w:r w:rsidRPr="00A00723">
              <w:rPr>
                <w:rFonts w:eastAsiaTheme="minorEastAsia"/>
                <w:noProof/>
              </w:rPr>
              <w:t>March 2022</w:t>
            </w:r>
          </w:p>
        </w:tc>
      </w:tr>
      <w:tr w:rsidR="000A7D9D" w14:paraId="2D33375B"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17F3C07E" w14:textId="77777777" w:rsidR="000A7D9D" w:rsidRPr="00A00723" w:rsidRDefault="00187DBF" w:rsidP="00F31937">
            <w:pPr>
              <w:jc w:val="both"/>
              <w:rPr>
                <w:rFonts w:eastAsia="Verdana"/>
                <w:noProof/>
              </w:rPr>
            </w:pPr>
            <w:hyperlink r:id="rId103">
              <w:r w:rsidR="000A7D9D" w:rsidRPr="00A00723">
                <w:rPr>
                  <w:rStyle w:val="Hyperlink"/>
                  <w:rFonts w:eastAsia="Arial"/>
                  <w:noProof/>
                </w:rPr>
                <w:t>Scientific Opinion on "Draft Environmental Quality Standards for Priority Substances under the Water Framework Directive" - Deltamethrin</w:t>
              </w:r>
            </w:hyperlink>
          </w:p>
        </w:tc>
        <w:tc>
          <w:tcPr>
            <w:tcW w:w="1841" w:type="dxa"/>
            <w:tcBorders>
              <w:top w:val="single" w:sz="8" w:space="0" w:color="auto"/>
              <w:left w:val="single" w:sz="8" w:space="0" w:color="auto"/>
              <w:bottom w:val="single" w:sz="8" w:space="0" w:color="auto"/>
              <w:right w:val="single" w:sz="8" w:space="0" w:color="auto"/>
            </w:tcBorders>
          </w:tcPr>
          <w:p w14:paraId="7D2C728B" w14:textId="77777777" w:rsidR="000A7D9D" w:rsidRPr="00A00723" w:rsidRDefault="000A7D9D" w:rsidP="00F31937">
            <w:pPr>
              <w:jc w:val="both"/>
              <w:rPr>
                <w:rFonts w:eastAsiaTheme="minorEastAsia"/>
                <w:noProof/>
              </w:rPr>
            </w:pPr>
            <w:r w:rsidRPr="00A00723">
              <w:rPr>
                <w:rFonts w:eastAsiaTheme="minorEastAsia"/>
                <w:noProof/>
              </w:rPr>
              <w:t>March 2022</w:t>
            </w:r>
          </w:p>
        </w:tc>
      </w:tr>
      <w:tr w:rsidR="000A7D9D" w14:paraId="7DC2031D"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20DF7773" w14:textId="77777777" w:rsidR="000A7D9D" w:rsidRPr="00A00723" w:rsidRDefault="00187DBF" w:rsidP="00F31937">
            <w:pPr>
              <w:jc w:val="both"/>
              <w:rPr>
                <w:rFonts w:eastAsia="Verdana"/>
                <w:noProof/>
              </w:rPr>
            </w:pPr>
            <w:hyperlink r:id="rId104">
              <w:r w:rsidR="000A7D9D" w:rsidRPr="00A00723">
                <w:rPr>
                  <w:rStyle w:val="Hyperlink"/>
                  <w:rFonts w:eastAsia="Arial"/>
                  <w:noProof/>
                </w:rPr>
                <w:t>Scientific Opinion on "Draft Environmental Quality Standards for Priority Substances under the Water Framework Directive" - Thiamethoxam</w:t>
              </w:r>
            </w:hyperlink>
          </w:p>
        </w:tc>
        <w:tc>
          <w:tcPr>
            <w:tcW w:w="1841" w:type="dxa"/>
            <w:tcBorders>
              <w:top w:val="single" w:sz="8" w:space="0" w:color="auto"/>
              <w:left w:val="single" w:sz="8" w:space="0" w:color="auto"/>
              <w:bottom w:val="single" w:sz="8" w:space="0" w:color="auto"/>
              <w:right w:val="single" w:sz="8" w:space="0" w:color="auto"/>
            </w:tcBorders>
          </w:tcPr>
          <w:p w14:paraId="37F64501" w14:textId="77777777" w:rsidR="000A7D9D" w:rsidRPr="00A00723" w:rsidRDefault="000A7D9D" w:rsidP="00F31937">
            <w:pPr>
              <w:jc w:val="both"/>
              <w:rPr>
                <w:rFonts w:eastAsiaTheme="minorEastAsia"/>
                <w:noProof/>
              </w:rPr>
            </w:pPr>
            <w:r w:rsidRPr="00A00723">
              <w:rPr>
                <w:rFonts w:eastAsiaTheme="minorEastAsia"/>
                <w:noProof/>
              </w:rPr>
              <w:t>March 2022</w:t>
            </w:r>
          </w:p>
        </w:tc>
      </w:tr>
      <w:tr w:rsidR="000A7D9D" w14:paraId="1A3F0B3D"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16FE61E1" w14:textId="77777777" w:rsidR="000A7D9D" w:rsidRPr="00A00723" w:rsidRDefault="00187DBF" w:rsidP="00F31937">
            <w:pPr>
              <w:jc w:val="both"/>
              <w:rPr>
                <w:rFonts w:eastAsia="Verdana"/>
                <w:noProof/>
              </w:rPr>
            </w:pPr>
            <w:hyperlink r:id="rId105">
              <w:r w:rsidR="000A7D9D" w:rsidRPr="00A00723">
                <w:rPr>
                  <w:rStyle w:val="Hyperlink"/>
                  <w:rFonts w:eastAsia="Arial"/>
                  <w:noProof/>
                </w:rPr>
                <w:t>Scientific Opinion on "Draft Environmental Quality Standards for Priority Substances under the Water Framework Directive" - Thiacloprid</w:t>
              </w:r>
            </w:hyperlink>
          </w:p>
        </w:tc>
        <w:tc>
          <w:tcPr>
            <w:tcW w:w="1841" w:type="dxa"/>
            <w:tcBorders>
              <w:top w:val="single" w:sz="8" w:space="0" w:color="auto"/>
              <w:left w:val="single" w:sz="8" w:space="0" w:color="auto"/>
              <w:bottom w:val="single" w:sz="8" w:space="0" w:color="auto"/>
              <w:right w:val="single" w:sz="8" w:space="0" w:color="auto"/>
            </w:tcBorders>
          </w:tcPr>
          <w:p w14:paraId="37FDAF68" w14:textId="77777777" w:rsidR="000A7D9D" w:rsidRPr="00A00723" w:rsidRDefault="000A7D9D" w:rsidP="00F31937">
            <w:pPr>
              <w:jc w:val="both"/>
              <w:rPr>
                <w:rFonts w:eastAsiaTheme="minorEastAsia"/>
                <w:noProof/>
              </w:rPr>
            </w:pPr>
            <w:r w:rsidRPr="00A00723">
              <w:rPr>
                <w:rFonts w:eastAsiaTheme="minorEastAsia"/>
                <w:noProof/>
              </w:rPr>
              <w:t>March 2022</w:t>
            </w:r>
          </w:p>
        </w:tc>
      </w:tr>
      <w:tr w:rsidR="000A7D9D" w14:paraId="2BC98806"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7F9EF08F" w14:textId="77777777" w:rsidR="000A7D9D" w:rsidRPr="00A00723" w:rsidRDefault="00187DBF" w:rsidP="00F31937">
            <w:pPr>
              <w:spacing w:line="259" w:lineRule="auto"/>
              <w:jc w:val="both"/>
              <w:rPr>
                <w:rFonts w:eastAsia="Verdana"/>
                <w:noProof/>
              </w:rPr>
            </w:pPr>
            <w:hyperlink r:id="rId106">
              <w:r w:rsidR="000A7D9D" w:rsidRPr="00A00723">
                <w:rPr>
                  <w:rStyle w:val="Hyperlink"/>
                  <w:rFonts w:eastAsia="Arial"/>
                  <w:noProof/>
                </w:rPr>
                <w:t>Scientific Opinion on "Draft Environmental Quality Standards for Priority Substances under the Water Framework Directive" - Clothianidin</w:t>
              </w:r>
            </w:hyperlink>
          </w:p>
        </w:tc>
        <w:tc>
          <w:tcPr>
            <w:tcW w:w="1841" w:type="dxa"/>
            <w:tcBorders>
              <w:top w:val="single" w:sz="8" w:space="0" w:color="auto"/>
              <w:left w:val="single" w:sz="8" w:space="0" w:color="auto"/>
              <w:bottom w:val="single" w:sz="8" w:space="0" w:color="auto"/>
              <w:right w:val="single" w:sz="8" w:space="0" w:color="auto"/>
            </w:tcBorders>
          </w:tcPr>
          <w:p w14:paraId="0F7F9025" w14:textId="77777777" w:rsidR="000A7D9D" w:rsidRPr="00A00723" w:rsidRDefault="000A7D9D" w:rsidP="00F31937">
            <w:pPr>
              <w:jc w:val="both"/>
              <w:rPr>
                <w:rFonts w:eastAsiaTheme="minorEastAsia"/>
                <w:noProof/>
              </w:rPr>
            </w:pPr>
            <w:r w:rsidRPr="00A00723">
              <w:rPr>
                <w:rFonts w:eastAsiaTheme="minorEastAsia"/>
                <w:noProof/>
              </w:rPr>
              <w:t>March 2022</w:t>
            </w:r>
          </w:p>
        </w:tc>
      </w:tr>
      <w:tr w:rsidR="000A7D9D" w14:paraId="4908CB9C"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6D742AF0" w14:textId="77777777" w:rsidR="000A7D9D" w:rsidRPr="00A00723" w:rsidRDefault="00187DBF" w:rsidP="00F31937">
            <w:pPr>
              <w:spacing w:line="259" w:lineRule="auto"/>
              <w:jc w:val="both"/>
              <w:rPr>
                <w:rFonts w:eastAsia="Verdana"/>
                <w:noProof/>
              </w:rPr>
            </w:pPr>
            <w:hyperlink r:id="rId107">
              <w:r w:rsidR="000A7D9D" w:rsidRPr="00A00723">
                <w:rPr>
                  <w:rStyle w:val="Hyperlink"/>
                  <w:rFonts w:eastAsia="Arial"/>
                  <w:noProof/>
                </w:rPr>
                <w:t>Scientific Opinion on "Draft Environmental Quality Standards for Priority Substances under the Water Framework Directive" - Acetamiprid</w:t>
              </w:r>
            </w:hyperlink>
          </w:p>
        </w:tc>
        <w:tc>
          <w:tcPr>
            <w:tcW w:w="1841" w:type="dxa"/>
            <w:tcBorders>
              <w:top w:val="single" w:sz="8" w:space="0" w:color="auto"/>
              <w:left w:val="single" w:sz="8" w:space="0" w:color="auto"/>
              <w:bottom w:val="single" w:sz="8" w:space="0" w:color="auto"/>
              <w:right w:val="single" w:sz="8" w:space="0" w:color="auto"/>
            </w:tcBorders>
          </w:tcPr>
          <w:p w14:paraId="1CA03472" w14:textId="77777777" w:rsidR="000A7D9D" w:rsidRPr="00A00723" w:rsidRDefault="000A7D9D" w:rsidP="00F31937">
            <w:pPr>
              <w:jc w:val="both"/>
              <w:rPr>
                <w:rFonts w:eastAsiaTheme="minorEastAsia"/>
                <w:noProof/>
              </w:rPr>
            </w:pPr>
            <w:r w:rsidRPr="00A00723">
              <w:rPr>
                <w:rFonts w:eastAsiaTheme="minorEastAsia"/>
                <w:noProof/>
              </w:rPr>
              <w:t>March 2022</w:t>
            </w:r>
          </w:p>
        </w:tc>
      </w:tr>
      <w:tr w:rsidR="000A7D9D" w14:paraId="028F2F44"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71780379" w14:textId="77777777" w:rsidR="000A7D9D" w:rsidRPr="00A00723" w:rsidRDefault="00187DBF" w:rsidP="00F31937">
            <w:pPr>
              <w:spacing w:line="259" w:lineRule="auto"/>
              <w:jc w:val="both"/>
              <w:rPr>
                <w:rFonts w:eastAsia="Verdana"/>
                <w:noProof/>
              </w:rPr>
            </w:pPr>
            <w:hyperlink r:id="rId108">
              <w:r w:rsidR="000A7D9D" w:rsidRPr="00A00723">
                <w:rPr>
                  <w:rStyle w:val="Hyperlink"/>
                  <w:rFonts w:eastAsia="Arial"/>
                  <w:noProof/>
                </w:rPr>
                <w:t>Scientific Opinion on "Draft Environmental Quality Standards for Priority Substances under the Water Framework Directive" - 17-Alpha-Ethinylestradiol (EE2), Beta-Estradiol (E2) and Estrone (E1</w:t>
              </w:r>
            </w:hyperlink>
          </w:p>
        </w:tc>
        <w:tc>
          <w:tcPr>
            <w:tcW w:w="1841" w:type="dxa"/>
            <w:tcBorders>
              <w:top w:val="single" w:sz="8" w:space="0" w:color="auto"/>
              <w:left w:val="single" w:sz="8" w:space="0" w:color="auto"/>
              <w:bottom w:val="single" w:sz="8" w:space="0" w:color="auto"/>
              <w:right w:val="single" w:sz="8" w:space="0" w:color="auto"/>
            </w:tcBorders>
          </w:tcPr>
          <w:p w14:paraId="242A3710" w14:textId="77777777" w:rsidR="000A7D9D" w:rsidRPr="00A00723" w:rsidRDefault="000A7D9D" w:rsidP="00F31937">
            <w:pPr>
              <w:jc w:val="both"/>
              <w:rPr>
                <w:rFonts w:eastAsiaTheme="minorEastAsia"/>
                <w:noProof/>
              </w:rPr>
            </w:pPr>
            <w:r w:rsidRPr="00A00723">
              <w:rPr>
                <w:rFonts w:eastAsiaTheme="minorEastAsia"/>
                <w:noProof/>
              </w:rPr>
              <w:t>March 2022</w:t>
            </w:r>
          </w:p>
        </w:tc>
      </w:tr>
      <w:tr w:rsidR="000A7D9D" w14:paraId="7F21510A"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4A14FDFF" w14:textId="77777777" w:rsidR="000A7D9D" w:rsidRPr="00A00723" w:rsidRDefault="00187DBF" w:rsidP="00F31937">
            <w:pPr>
              <w:spacing w:line="259" w:lineRule="auto"/>
              <w:jc w:val="both"/>
              <w:rPr>
                <w:rFonts w:eastAsia="Verdana"/>
                <w:noProof/>
              </w:rPr>
            </w:pPr>
            <w:hyperlink r:id="rId109">
              <w:r w:rsidR="000A7D9D" w:rsidRPr="00A00723">
                <w:rPr>
                  <w:rStyle w:val="Hyperlink"/>
                  <w:rFonts w:eastAsia="Arial"/>
                  <w:noProof/>
                </w:rPr>
                <w:t>Scientific Opinion on "Draft Environmental Quality Standards for Priority Substances under the Water Framework Directive" - Erythromycin</w:t>
              </w:r>
            </w:hyperlink>
          </w:p>
        </w:tc>
        <w:tc>
          <w:tcPr>
            <w:tcW w:w="1841" w:type="dxa"/>
            <w:tcBorders>
              <w:top w:val="single" w:sz="8" w:space="0" w:color="auto"/>
              <w:left w:val="single" w:sz="8" w:space="0" w:color="auto"/>
              <w:bottom w:val="single" w:sz="8" w:space="0" w:color="auto"/>
              <w:right w:val="single" w:sz="8" w:space="0" w:color="auto"/>
            </w:tcBorders>
          </w:tcPr>
          <w:p w14:paraId="2261059E" w14:textId="77777777" w:rsidR="000A7D9D" w:rsidRPr="00A00723" w:rsidRDefault="000A7D9D" w:rsidP="00F31937">
            <w:pPr>
              <w:jc w:val="both"/>
              <w:rPr>
                <w:rFonts w:eastAsiaTheme="minorEastAsia"/>
                <w:noProof/>
              </w:rPr>
            </w:pPr>
            <w:r w:rsidRPr="00A00723">
              <w:rPr>
                <w:rFonts w:eastAsiaTheme="minorEastAsia"/>
                <w:noProof/>
              </w:rPr>
              <w:t>February 2022</w:t>
            </w:r>
          </w:p>
        </w:tc>
      </w:tr>
      <w:tr w:rsidR="000A7D9D" w14:paraId="38724911"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3C2EFA3F" w14:textId="77777777" w:rsidR="000A7D9D" w:rsidRPr="00A00723" w:rsidRDefault="00187DBF" w:rsidP="00F31937">
            <w:pPr>
              <w:spacing w:line="259" w:lineRule="auto"/>
              <w:jc w:val="both"/>
              <w:rPr>
                <w:rFonts w:eastAsia="Arial"/>
                <w:noProof/>
              </w:rPr>
            </w:pPr>
            <w:hyperlink r:id="rId110">
              <w:r w:rsidR="000A7D9D" w:rsidRPr="00A00723">
                <w:rPr>
                  <w:rStyle w:val="Hyperlink"/>
                  <w:rFonts w:eastAsia="Arial"/>
                  <w:noProof/>
                </w:rPr>
                <w:t>Statement II on emerging health and environmental issues (2022)</w:t>
              </w:r>
            </w:hyperlink>
          </w:p>
        </w:tc>
        <w:tc>
          <w:tcPr>
            <w:tcW w:w="1841" w:type="dxa"/>
            <w:tcBorders>
              <w:top w:val="single" w:sz="8" w:space="0" w:color="auto"/>
              <w:left w:val="single" w:sz="8" w:space="0" w:color="auto"/>
              <w:bottom w:val="single" w:sz="8" w:space="0" w:color="auto"/>
              <w:right w:val="single" w:sz="8" w:space="0" w:color="auto"/>
            </w:tcBorders>
          </w:tcPr>
          <w:p w14:paraId="71432869" w14:textId="77777777" w:rsidR="000A7D9D" w:rsidRPr="00A00723" w:rsidRDefault="000A7D9D" w:rsidP="00F31937">
            <w:pPr>
              <w:jc w:val="both"/>
              <w:rPr>
                <w:rFonts w:eastAsiaTheme="minorEastAsia"/>
                <w:noProof/>
              </w:rPr>
            </w:pPr>
            <w:r w:rsidRPr="00A00723">
              <w:rPr>
                <w:rFonts w:eastAsiaTheme="minorEastAsia"/>
                <w:noProof/>
              </w:rPr>
              <w:t>January 2022</w:t>
            </w:r>
          </w:p>
        </w:tc>
      </w:tr>
      <w:tr w:rsidR="000A7D9D" w14:paraId="637DA9E4"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1369F402" w14:textId="77777777" w:rsidR="000A7D9D" w:rsidRPr="00A00723" w:rsidRDefault="00187DBF" w:rsidP="00F31937">
            <w:pPr>
              <w:spacing w:line="259" w:lineRule="auto"/>
              <w:jc w:val="both"/>
              <w:rPr>
                <w:rFonts w:eastAsia="Arial"/>
                <w:noProof/>
              </w:rPr>
            </w:pPr>
            <w:hyperlink r:id="rId111">
              <w:r w:rsidR="000A7D9D" w:rsidRPr="00A00723">
                <w:rPr>
                  <w:rStyle w:val="Hyperlink"/>
                  <w:rFonts w:eastAsia="Arial"/>
                  <w:noProof/>
                </w:rPr>
                <w:t>Scientific Opinion on "Draft Environmental Quality Standards for Priority Substances under the Water Framework Directive" - Nicosulfuron</w:t>
              </w:r>
            </w:hyperlink>
          </w:p>
        </w:tc>
        <w:tc>
          <w:tcPr>
            <w:tcW w:w="1841" w:type="dxa"/>
            <w:tcBorders>
              <w:top w:val="single" w:sz="8" w:space="0" w:color="auto"/>
              <w:left w:val="single" w:sz="8" w:space="0" w:color="auto"/>
              <w:bottom w:val="single" w:sz="8" w:space="0" w:color="auto"/>
              <w:right w:val="single" w:sz="8" w:space="0" w:color="auto"/>
            </w:tcBorders>
          </w:tcPr>
          <w:p w14:paraId="62C2BA9B" w14:textId="77777777" w:rsidR="000A7D9D" w:rsidRPr="00A00723" w:rsidRDefault="000A7D9D" w:rsidP="00F31937">
            <w:pPr>
              <w:jc w:val="both"/>
              <w:rPr>
                <w:rFonts w:eastAsiaTheme="minorEastAsia"/>
                <w:noProof/>
              </w:rPr>
            </w:pPr>
            <w:r w:rsidRPr="00A00723">
              <w:rPr>
                <w:rFonts w:eastAsiaTheme="minorEastAsia"/>
                <w:noProof/>
              </w:rPr>
              <w:t>October 2021</w:t>
            </w:r>
          </w:p>
        </w:tc>
      </w:tr>
      <w:tr w:rsidR="000A7D9D" w14:paraId="4FA8D47B"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66EB8B02" w14:textId="77777777" w:rsidR="000A7D9D" w:rsidRPr="00A00723" w:rsidRDefault="00187DBF" w:rsidP="00F31937">
            <w:pPr>
              <w:spacing w:line="259" w:lineRule="auto"/>
              <w:jc w:val="both"/>
              <w:rPr>
                <w:rFonts w:eastAsia="Arial"/>
                <w:noProof/>
              </w:rPr>
            </w:pPr>
            <w:hyperlink r:id="rId112">
              <w:r w:rsidR="000A7D9D" w:rsidRPr="00A00723">
                <w:rPr>
                  <w:rStyle w:val="Hyperlink"/>
                  <w:rFonts w:eastAsia="Arial"/>
                  <w:noProof/>
                </w:rPr>
                <w:t>Scientific Opinion on "Draft Environmental Quality Standards for Priority Substances under the Water Framework Directive" - Silver and its compounds</w:t>
              </w:r>
            </w:hyperlink>
          </w:p>
        </w:tc>
        <w:tc>
          <w:tcPr>
            <w:tcW w:w="1841" w:type="dxa"/>
            <w:tcBorders>
              <w:top w:val="single" w:sz="8" w:space="0" w:color="auto"/>
              <w:left w:val="single" w:sz="8" w:space="0" w:color="auto"/>
              <w:bottom w:val="single" w:sz="8" w:space="0" w:color="auto"/>
              <w:right w:val="single" w:sz="8" w:space="0" w:color="auto"/>
            </w:tcBorders>
          </w:tcPr>
          <w:p w14:paraId="7540BD3D" w14:textId="77777777" w:rsidR="000A7D9D" w:rsidRPr="00A00723" w:rsidRDefault="000A7D9D" w:rsidP="00F31937">
            <w:pPr>
              <w:jc w:val="both"/>
              <w:rPr>
                <w:rFonts w:eastAsiaTheme="minorEastAsia"/>
                <w:noProof/>
              </w:rPr>
            </w:pPr>
            <w:r w:rsidRPr="00A00723">
              <w:rPr>
                <w:rFonts w:eastAsiaTheme="minorEastAsia"/>
                <w:noProof/>
              </w:rPr>
              <w:t>October 2021</w:t>
            </w:r>
          </w:p>
        </w:tc>
      </w:tr>
      <w:tr w:rsidR="000A7D9D" w14:paraId="7A6F7D75"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1AEC4E53" w14:textId="77777777" w:rsidR="000A7D9D" w:rsidRPr="00A00723" w:rsidRDefault="00187DBF" w:rsidP="00F31937">
            <w:pPr>
              <w:spacing w:line="259" w:lineRule="auto"/>
              <w:jc w:val="both"/>
              <w:rPr>
                <w:rFonts w:eastAsia="Arial"/>
                <w:noProof/>
              </w:rPr>
            </w:pPr>
            <w:hyperlink r:id="rId113">
              <w:r w:rsidR="000A7D9D" w:rsidRPr="00A00723">
                <w:rPr>
                  <w:rStyle w:val="Hyperlink"/>
                  <w:rFonts w:eastAsia="Arial"/>
                  <w:noProof/>
                </w:rPr>
                <w:t>Scientific Opinion on "Draft Environmental Quality Standards for Priority Substances under the Water Framework Directive" - Imidacloprid</w:t>
              </w:r>
            </w:hyperlink>
          </w:p>
        </w:tc>
        <w:tc>
          <w:tcPr>
            <w:tcW w:w="1841" w:type="dxa"/>
            <w:tcBorders>
              <w:top w:val="single" w:sz="8" w:space="0" w:color="auto"/>
              <w:left w:val="single" w:sz="8" w:space="0" w:color="auto"/>
              <w:bottom w:val="single" w:sz="8" w:space="0" w:color="auto"/>
              <w:right w:val="single" w:sz="8" w:space="0" w:color="auto"/>
            </w:tcBorders>
          </w:tcPr>
          <w:p w14:paraId="76857F3F" w14:textId="77777777" w:rsidR="000A7D9D" w:rsidRPr="00A00723" w:rsidRDefault="000A7D9D" w:rsidP="00F31937">
            <w:pPr>
              <w:jc w:val="both"/>
              <w:rPr>
                <w:rFonts w:eastAsiaTheme="minorEastAsia"/>
                <w:noProof/>
              </w:rPr>
            </w:pPr>
            <w:r w:rsidRPr="00A00723">
              <w:rPr>
                <w:rFonts w:eastAsiaTheme="minorEastAsia"/>
                <w:noProof/>
              </w:rPr>
              <w:t>October 2021</w:t>
            </w:r>
          </w:p>
        </w:tc>
      </w:tr>
      <w:tr w:rsidR="000A7D9D" w14:paraId="1344C494" w14:textId="77777777" w:rsidTr="00F31937">
        <w:tc>
          <w:tcPr>
            <w:tcW w:w="7800" w:type="dxa"/>
            <w:tcBorders>
              <w:top w:val="single" w:sz="8" w:space="0" w:color="auto"/>
              <w:left w:val="single" w:sz="8" w:space="0" w:color="auto"/>
              <w:bottom w:val="single" w:sz="8" w:space="0" w:color="auto"/>
              <w:right w:val="single" w:sz="8" w:space="0" w:color="auto"/>
            </w:tcBorders>
          </w:tcPr>
          <w:p w14:paraId="222CEF29" w14:textId="77777777" w:rsidR="000A7D9D" w:rsidRPr="00A00723" w:rsidRDefault="00187DBF" w:rsidP="00F31937">
            <w:pPr>
              <w:jc w:val="both"/>
              <w:rPr>
                <w:rFonts w:eastAsia="Verdana"/>
                <w:noProof/>
              </w:rPr>
            </w:pPr>
            <w:hyperlink r:id="rId114">
              <w:r w:rsidR="000A7D9D" w:rsidRPr="00A00723">
                <w:rPr>
                  <w:rStyle w:val="Hyperlink"/>
                  <w:rFonts w:eastAsia="Arial"/>
                  <w:noProof/>
                </w:rPr>
                <w:t>Potential for anaerobic biodegradability in marine and freshwater of Linear Alkylbenzene Sulphonates (LAS)</w:t>
              </w:r>
            </w:hyperlink>
          </w:p>
        </w:tc>
        <w:tc>
          <w:tcPr>
            <w:tcW w:w="1841" w:type="dxa"/>
            <w:tcBorders>
              <w:top w:val="single" w:sz="8" w:space="0" w:color="auto"/>
              <w:left w:val="single" w:sz="8" w:space="0" w:color="auto"/>
              <w:bottom w:val="single" w:sz="8" w:space="0" w:color="auto"/>
              <w:right w:val="single" w:sz="8" w:space="0" w:color="auto"/>
            </w:tcBorders>
          </w:tcPr>
          <w:p w14:paraId="30DFC2E6" w14:textId="77777777" w:rsidR="000A7D9D" w:rsidRPr="00A00723" w:rsidRDefault="000A7D9D" w:rsidP="00F31937">
            <w:pPr>
              <w:jc w:val="both"/>
              <w:rPr>
                <w:rFonts w:eastAsiaTheme="minorEastAsia"/>
                <w:noProof/>
              </w:rPr>
            </w:pPr>
            <w:r w:rsidRPr="00A00723">
              <w:rPr>
                <w:rFonts w:eastAsiaTheme="minorEastAsia"/>
                <w:noProof/>
              </w:rPr>
              <w:t>June 2020</w:t>
            </w:r>
          </w:p>
        </w:tc>
      </w:tr>
      <w:tr w:rsidR="000A7D9D" w14:paraId="298A9A1F" w14:textId="77777777" w:rsidTr="00F31937">
        <w:tc>
          <w:tcPr>
            <w:tcW w:w="7800" w:type="dxa"/>
            <w:tcBorders>
              <w:top w:val="single" w:sz="8" w:space="0" w:color="auto"/>
              <w:left w:val="single" w:sz="8" w:space="0" w:color="auto"/>
              <w:bottom w:val="single" w:sz="8" w:space="0" w:color="auto"/>
              <w:right w:val="single" w:sz="8" w:space="0" w:color="auto"/>
            </w:tcBorders>
          </w:tcPr>
          <w:p w14:paraId="50361F22" w14:textId="77777777" w:rsidR="000A7D9D" w:rsidRPr="00A00723" w:rsidRDefault="00187DBF" w:rsidP="00F31937">
            <w:pPr>
              <w:jc w:val="both"/>
              <w:rPr>
                <w:rStyle w:val="Hyperlink"/>
                <w:rFonts w:eastAsiaTheme="minorEastAsia"/>
                <w:noProof/>
              </w:rPr>
            </w:pPr>
            <w:hyperlink r:id="rId115" w:history="1">
              <w:r w:rsidR="000A7D9D" w:rsidRPr="00A00723">
                <w:rPr>
                  <w:rStyle w:val="Hyperlink"/>
                  <w:rFonts w:eastAsia="Calibri"/>
                  <w:noProof/>
                </w:rPr>
                <w:t>Scientific advice on Guidance Document n°27: Technical Guidance for Deriving Environmental Quality Standards</w:t>
              </w:r>
            </w:hyperlink>
          </w:p>
        </w:tc>
        <w:tc>
          <w:tcPr>
            <w:tcW w:w="1841" w:type="dxa"/>
            <w:tcBorders>
              <w:top w:val="single" w:sz="8" w:space="0" w:color="auto"/>
              <w:left w:val="single" w:sz="8" w:space="0" w:color="auto"/>
              <w:bottom w:val="single" w:sz="8" w:space="0" w:color="auto"/>
              <w:right w:val="single" w:sz="8" w:space="0" w:color="auto"/>
            </w:tcBorders>
          </w:tcPr>
          <w:p w14:paraId="47552C20" w14:textId="77777777" w:rsidR="000A7D9D" w:rsidRPr="00A00723" w:rsidRDefault="000A7D9D" w:rsidP="00F31937">
            <w:pPr>
              <w:jc w:val="both"/>
              <w:rPr>
                <w:rFonts w:eastAsiaTheme="minorEastAsia"/>
                <w:noProof/>
              </w:rPr>
            </w:pPr>
            <w:r w:rsidRPr="00A00723">
              <w:rPr>
                <w:rFonts w:eastAsiaTheme="minorEastAsia"/>
                <w:noProof/>
              </w:rPr>
              <w:t>Sept 2017</w:t>
            </w:r>
          </w:p>
        </w:tc>
      </w:tr>
      <w:tr w:rsidR="000A7D9D" w14:paraId="59E5A70D" w14:textId="77777777" w:rsidTr="00F31937">
        <w:tc>
          <w:tcPr>
            <w:tcW w:w="7800" w:type="dxa"/>
            <w:tcBorders>
              <w:top w:val="single" w:sz="8" w:space="0" w:color="auto"/>
              <w:left w:val="single" w:sz="8" w:space="0" w:color="auto"/>
              <w:bottom w:val="single" w:sz="8" w:space="0" w:color="auto"/>
              <w:right w:val="single" w:sz="8" w:space="0" w:color="auto"/>
            </w:tcBorders>
          </w:tcPr>
          <w:p w14:paraId="45477094" w14:textId="77777777" w:rsidR="000A7D9D" w:rsidRPr="00A00723" w:rsidRDefault="00187DBF" w:rsidP="00F31937">
            <w:pPr>
              <w:jc w:val="both"/>
              <w:rPr>
                <w:rStyle w:val="Hyperlink"/>
                <w:rFonts w:eastAsiaTheme="minorEastAsia"/>
                <w:noProof/>
              </w:rPr>
            </w:pPr>
            <w:hyperlink r:id="rId116" w:history="1">
              <w:r w:rsidR="000A7D9D" w:rsidRPr="00A00723">
                <w:rPr>
                  <w:rStyle w:val="Hyperlink"/>
                  <w:rFonts w:eastAsia="Calibri"/>
                  <w:noProof/>
                </w:rPr>
                <w:t>Scientific advice on Proposed EU minimum quality requirements for water reuse in agricultural irrigation and aquifer recharge</w:t>
              </w:r>
            </w:hyperlink>
          </w:p>
        </w:tc>
        <w:tc>
          <w:tcPr>
            <w:tcW w:w="1841" w:type="dxa"/>
            <w:tcBorders>
              <w:top w:val="single" w:sz="8" w:space="0" w:color="auto"/>
              <w:left w:val="single" w:sz="8" w:space="0" w:color="auto"/>
              <w:bottom w:val="single" w:sz="8" w:space="0" w:color="auto"/>
              <w:right w:val="single" w:sz="8" w:space="0" w:color="auto"/>
            </w:tcBorders>
          </w:tcPr>
          <w:p w14:paraId="60B6A505" w14:textId="77777777" w:rsidR="000A7D9D" w:rsidRPr="00A00723" w:rsidRDefault="000A7D9D" w:rsidP="00F31937">
            <w:pPr>
              <w:jc w:val="both"/>
              <w:rPr>
                <w:rFonts w:eastAsiaTheme="minorEastAsia"/>
                <w:noProof/>
              </w:rPr>
            </w:pPr>
            <w:r w:rsidRPr="00A00723">
              <w:rPr>
                <w:rFonts w:eastAsiaTheme="minorEastAsia"/>
                <w:noProof/>
              </w:rPr>
              <w:t>June 2017</w:t>
            </w:r>
          </w:p>
        </w:tc>
      </w:tr>
      <w:tr w:rsidR="000A7D9D" w14:paraId="766EEDBA" w14:textId="77777777" w:rsidTr="00F31937">
        <w:tc>
          <w:tcPr>
            <w:tcW w:w="7800" w:type="dxa"/>
            <w:tcBorders>
              <w:top w:val="single" w:sz="8" w:space="0" w:color="auto"/>
              <w:left w:val="single" w:sz="8" w:space="0" w:color="auto"/>
              <w:bottom w:val="single" w:sz="8" w:space="0" w:color="auto"/>
              <w:right w:val="single" w:sz="8" w:space="0" w:color="auto"/>
            </w:tcBorders>
          </w:tcPr>
          <w:p w14:paraId="5A468FB0" w14:textId="77777777" w:rsidR="000A7D9D" w:rsidRPr="00A00723" w:rsidRDefault="00187DBF" w:rsidP="00F31937">
            <w:pPr>
              <w:jc w:val="both"/>
              <w:rPr>
                <w:rStyle w:val="Hyperlink"/>
                <w:rFonts w:eastAsiaTheme="minorEastAsia"/>
                <w:noProof/>
              </w:rPr>
            </w:pPr>
            <w:hyperlink r:id="rId117" w:history="1">
              <w:r w:rsidR="000A7D9D" w:rsidRPr="00A00723">
                <w:rPr>
                  <w:rStyle w:val="Hyperlink"/>
                  <w:rFonts w:eastAsia="Calibri"/>
                  <w:noProof/>
                </w:rPr>
                <w:t>Potential risks to human health and the environment from the use of calcium cyanamide as fertiliser</w:t>
              </w:r>
            </w:hyperlink>
          </w:p>
        </w:tc>
        <w:tc>
          <w:tcPr>
            <w:tcW w:w="1841" w:type="dxa"/>
            <w:tcBorders>
              <w:top w:val="single" w:sz="8" w:space="0" w:color="auto"/>
              <w:left w:val="single" w:sz="8" w:space="0" w:color="auto"/>
              <w:bottom w:val="single" w:sz="8" w:space="0" w:color="auto"/>
              <w:right w:val="single" w:sz="8" w:space="0" w:color="auto"/>
            </w:tcBorders>
          </w:tcPr>
          <w:p w14:paraId="60033757" w14:textId="77777777" w:rsidR="000A7D9D" w:rsidRPr="00A00723" w:rsidRDefault="000A7D9D" w:rsidP="00F31937">
            <w:pPr>
              <w:jc w:val="both"/>
              <w:rPr>
                <w:rFonts w:eastAsiaTheme="minorEastAsia"/>
                <w:noProof/>
              </w:rPr>
            </w:pPr>
            <w:r w:rsidRPr="00A00723">
              <w:rPr>
                <w:rFonts w:eastAsiaTheme="minorEastAsia"/>
                <w:noProof/>
              </w:rPr>
              <w:t>March 2016</w:t>
            </w:r>
          </w:p>
        </w:tc>
      </w:tr>
      <w:tr w:rsidR="000A7D9D" w14:paraId="14EC4CEF" w14:textId="77777777" w:rsidTr="00F31937">
        <w:tc>
          <w:tcPr>
            <w:tcW w:w="7800" w:type="dxa"/>
            <w:tcBorders>
              <w:top w:val="single" w:sz="8" w:space="0" w:color="auto"/>
              <w:left w:val="single" w:sz="8" w:space="0" w:color="auto"/>
              <w:bottom w:val="single" w:sz="8" w:space="0" w:color="auto"/>
              <w:right w:val="single" w:sz="8" w:space="0" w:color="auto"/>
            </w:tcBorders>
          </w:tcPr>
          <w:p w14:paraId="18A2F2B5" w14:textId="77777777" w:rsidR="000A7D9D" w:rsidRPr="00A00723" w:rsidRDefault="00187DBF" w:rsidP="00F31937">
            <w:pPr>
              <w:jc w:val="both"/>
              <w:rPr>
                <w:rStyle w:val="Hyperlink"/>
                <w:rFonts w:eastAsiaTheme="minorEastAsia"/>
                <w:noProof/>
              </w:rPr>
            </w:pPr>
            <w:hyperlink r:id="rId118" w:history="1">
              <w:r w:rsidR="000A7D9D" w:rsidRPr="00A00723">
                <w:rPr>
                  <w:rStyle w:val="Hyperlink"/>
                  <w:rFonts w:eastAsia="Calibri"/>
                  <w:noProof/>
                </w:rPr>
                <w:t>New conclusions regarding future trends of cadmium accumulation in EU arable soils</w:t>
              </w:r>
            </w:hyperlink>
          </w:p>
        </w:tc>
        <w:tc>
          <w:tcPr>
            <w:tcW w:w="1841" w:type="dxa"/>
            <w:tcBorders>
              <w:top w:val="single" w:sz="8" w:space="0" w:color="auto"/>
              <w:left w:val="single" w:sz="8" w:space="0" w:color="auto"/>
              <w:bottom w:val="single" w:sz="8" w:space="0" w:color="auto"/>
              <w:right w:val="single" w:sz="8" w:space="0" w:color="auto"/>
            </w:tcBorders>
          </w:tcPr>
          <w:p w14:paraId="3E45C03A" w14:textId="77777777" w:rsidR="000A7D9D" w:rsidRPr="00A00723" w:rsidRDefault="000A7D9D" w:rsidP="00F31937">
            <w:pPr>
              <w:jc w:val="both"/>
              <w:rPr>
                <w:rFonts w:eastAsiaTheme="minorEastAsia"/>
                <w:noProof/>
              </w:rPr>
            </w:pPr>
            <w:r w:rsidRPr="00A00723">
              <w:rPr>
                <w:rFonts w:eastAsiaTheme="minorEastAsia"/>
                <w:noProof/>
              </w:rPr>
              <w:t>Nov 2015</w:t>
            </w:r>
          </w:p>
        </w:tc>
      </w:tr>
      <w:tr w:rsidR="000A7D9D" w14:paraId="5C682FA0" w14:textId="77777777" w:rsidTr="00F31937">
        <w:tc>
          <w:tcPr>
            <w:tcW w:w="7800" w:type="dxa"/>
            <w:tcBorders>
              <w:top w:val="single" w:sz="8" w:space="0" w:color="auto"/>
              <w:left w:val="single" w:sz="8" w:space="0" w:color="auto"/>
              <w:bottom w:val="single" w:sz="8" w:space="0" w:color="auto"/>
              <w:right w:val="single" w:sz="8" w:space="0" w:color="auto"/>
            </w:tcBorders>
          </w:tcPr>
          <w:p w14:paraId="48503AD3" w14:textId="77777777" w:rsidR="000A7D9D" w:rsidRPr="00A00723" w:rsidRDefault="00187DBF" w:rsidP="00F31937">
            <w:pPr>
              <w:jc w:val="both"/>
              <w:rPr>
                <w:rStyle w:val="Hyperlink"/>
                <w:rFonts w:eastAsiaTheme="minorEastAsia"/>
                <w:noProof/>
              </w:rPr>
            </w:pPr>
            <w:hyperlink r:id="rId119" w:history="1">
              <w:r w:rsidR="000A7D9D" w:rsidRPr="00A00723">
                <w:rPr>
                  <w:rStyle w:val="Hyperlink"/>
                  <w:rFonts w:eastAsia="Calibri"/>
                  <w:noProof/>
                </w:rPr>
                <w:t>Opinion on Synthetic Biology I, II and III - Risks to the environment and biodiversity related to synthetic biology and research priorities in the field of synthetic biology</w:t>
              </w:r>
            </w:hyperlink>
          </w:p>
        </w:tc>
        <w:tc>
          <w:tcPr>
            <w:tcW w:w="1841" w:type="dxa"/>
            <w:tcBorders>
              <w:top w:val="single" w:sz="8" w:space="0" w:color="auto"/>
              <w:left w:val="single" w:sz="8" w:space="0" w:color="auto"/>
              <w:bottom w:val="single" w:sz="8" w:space="0" w:color="auto"/>
              <w:right w:val="single" w:sz="8" w:space="0" w:color="auto"/>
            </w:tcBorders>
          </w:tcPr>
          <w:p w14:paraId="48ED8DDD" w14:textId="77777777" w:rsidR="000A7D9D" w:rsidRPr="00A00723" w:rsidRDefault="000A7D9D" w:rsidP="00F31937">
            <w:pPr>
              <w:jc w:val="both"/>
              <w:rPr>
                <w:rFonts w:eastAsiaTheme="minorEastAsia"/>
                <w:noProof/>
              </w:rPr>
            </w:pPr>
            <w:r w:rsidRPr="00A00723">
              <w:rPr>
                <w:rFonts w:eastAsiaTheme="minorEastAsia"/>
                <w:noProof/>
              </w:rPr>
              <w:t>Sept 2014; May 2015; Nov 2015</w:t>
            </w:r>
          </w:p>
        </w:tc>
      </w:tr>
      <w:tr w:rsidR="000A7D9D" w14:paraId="4600ED2B" w14:textId="77777777" w:rsidTr="00F31937">
        <w:tc>
          <w:tcPr>
            <w:tcW w:w="7800" w:type="dxa"/>
            <w:tcBorders>
              <w:top w:val="single" w:sz="8" w:space="0" w:color="auto"/>
              <w:left w:val="single" w:sz="8" w:space="0" w:color="auto"/>
              <w:bottom w:val="single" w:sz="8" w:space="0" w:color="auto"/>
              <w:right w:val="single" w:sz="8" w:space="0" w:color="auto"/>
            </w:tcBorders>
          </w:tcPr>
          <w:p w14:paraId="23F7ECE3" w14:textId="77777777" w:rsidR="000A7D9D" w:rsidRPr="00A00723" w:rsidRDefault="00187DBF" w:rsidP="00F31937">
            <w:pPr>
              <w:jc w:val="both"/>
              <w:rPr>
                <w:rStyle w:val="Hyperlink"/>
                <w:rFonts w:eastAsiaTheme="minorEastAsia"/>
                <w:noProof/>
              </w:rPr>
            </w:pPr>
            <w:hyperlink r:id="rId120" w:history="1">
              <w:r w:rsidR="000A7D9D" w:rsidRPr="00A00723">
                <w:rPr>
                  <w:rStyle w:val="Hyperlink"/>
                  <w:rFonts w:eastAsia="Calibri"/>
                  <w:noProof/>
                </w:rPr>
                <w:t>Opinion on Environmental risks and indirect health effects of mercury from dental amalgam (update 2014)</w:t>
              </w:r>
            </w:hyperlink>
          </w:p>
        </w:tc>
        <w:tc>
          <w:tcPr>
            <w:tcW w:w="1841" w:type="dxa"/>
            <w:tcBorders>
              <w:top w:val="single" w:sz="8" w:space="0" w:color="auto"/>
              <w:left w:val="single" w:sz="8" w:space="0" w:color="auto"/>
              <w:bottom w:val="single" w:sz="8" w:space="0" w:color="auto"/>
              <w:right w:val="single" w:sz="8" w:space="0" w:color="auto"/>
            </w:tcBorders>
          </w:tcPr>
          <w:p w14:paraId="7947792F" w14:textId="77777777" w:rsidR="000A7D9D" w:rsidRPr="00A00723" w:rsidRDefault="000A7D9D" w:rsidP="00F31937">
            <w:pPr>
              <w:jc w:val="both"/>
              <w:rPr>
                <w:rFonts w:eastAsiaTheme="minorEastAsia"/>
                <w:noProof/>
              </w:rPr>
            </w:pPr>
            <w:r w:rsidRPr="00A00723">
              <w:rPr>
                <w:rFonts w:eastAsiaTheme="minorEastAsia"/>
                <w:noProof/>
              </w:rPr>
              <w:t>March 2014</w:t>
            </w:r>
          </w:p>
        </w:tc>
      </w:tr>
      <w:tr w:rsidR="000A7D9D" w14:paraId="41EAD148" w14:textId="77777777" w:rsidTr="00F31937">
        <w:tc>
          <w:tcPr>
            <w:tcW w:w="7800" w:type="dxa"/>
            <w:tcBorders>
              <w:top w:val="single" w:sz="8" w:space="0" w:color="auto"/>
              <w:left w:val="single" w:sz="8" w:space="0" w:color="auto"/>
              <w:bottom w:val="single" w:sz="8" w:space="0" w:color="auto"/>
              <w:right w:val="single" w:sz="8" w:space="0" w:color="auto"/>
            </w:tcBorders>
            <w:shd w:val="clear" w:color="auto" w:fill="CCCCCC"/>
          </w:tcPr>
          <w:p w14:paraId="2C977672" w14:textId="77777777" w:rsidR="000A7D9D" w:rsidRPr="00A00723" w:rsidRDefault="000A7D9D" w:rsidP="00F31937">
            <w:pPr>
              <w:jc w:val="both"/>
              <w:rPr>
                <w:rFonts w:eastAsiaTheme="minorEastAsia"/>
                <w:b/>
                <w:bCs/>
                <w:noProof/>
              </w:rPr>
            </w:pPr>
            <w:r w:rsidRPr="00A00723">
              <w:rPr>
                <w:rFonts w:eastAsiaTheme="minorEastAsia"/>
                <w:b/>
                <w:bCs/>
                <w:noProof/>
              </w:rPr>
              <w:t xml:space="preserve">Medical Devices </w:t>
            </w:r>
          </w:p>
        </w:tc>
        <w:tc>
          <w:tcPr>
            <w:tcW w:w="1841" w:type="dxa"/>
            <w:tcBorders>
              <w:top w:val="single" w:sz="8" w:space="0" w:color="auto"/>
              <w:left w:val="single" w:sz="8" w:space="0" w:color="auto"/>
              <w:bottom w:val="single" w:sz="8" w:space="0" w:color="auto"/>
              <w:right w:val="single" w:sz="8" w:space="0" w:color="auto"/>
            </w:tcBorders>
            <w:shd w:val="clear" w:color="auto" w:fill="CCCCCC"/>
          </w:tcPr>
          <w:p w14:paraId="49A7B580" w14:textId="77777777" w:rsidR="000A7D9D" w:rsidRPr="00A00723" w:rsidRDefault="000A7D9D" w:rsidP="00F31937">
            <w:pPr>
              <w:jc w:val="both"/>
              <w:rPr>
                <w:rFonts w:eastAsiaTheme="minorEastAsia"/>
                <w:b/>
                <w:bCs/>
                <w:noProof/>
              </w:rPr>
            </w:pPr>
            <w:r w:rsidRPr="00A00723">
              <w:rPr>
                <w:rFonts w:eastAsiaTheme="minorEastAsia"/>
                <w:b/>
                <w:bCs/>
                <w:noProof/>
              </w:rPr>
              <w:t xml:space="preserve"> </w:t>
            </w:r>
          </w:p>
        </w:tc>
      </w:tr>
      <w:tr w:rsidR="000A7D9D" w14:paraId="715D57CA" w14:textId="77777777" w:rsidTr="00F31937">
        <w:tc>
          <w:tcPr>
            <w:tcW w:w="7800" w:type="dxa"/>
            <w:tcBorders>
              <w:top w:val="single" w:sz="8" w:space="0" w:color="auto"/>
              <w:left w:val="single" w:sz="8" w:space="0" w:color="auto"/>
              <w:bottom w:val="single" w:sz="8" w:space="0" w:color="auto"/>
              <w:right w:val="single" w:sz="8" w:space="0" w:color="auto"/>
            </w:tcBorders>
          </w:tcPr>
          <w:p w14:paraId="686B9291" w14:textId="77777777" w:rsidR="000A7D9D" w:rsidRPr="00A00723" w:rsidRDefault="000A7D9D" w:rsidP="00F31937">
            <w:pPr>
              <w:jc w:val="both"/>
              <w:rPr>
                <w:rFonts w:eastAsiaTheme="minorEastAsia"/>
                <w:noProof/>
                <w:color w:val="70AD47"/>
              </w:rPr>
            </w:pPr>
            <w:r w:rsidRPr="00A00723">
              <w:rPr>
                <w:rFonts w:eastAsiaTheme="minorEastAsia"/>
                <w:noProof/>
                <w:color w:val="70AD47"/>
              </w:rPr>
              <w:t>Opinion on the safety of breast implants in relation to anaplastic large cell lymphoma</w:t>
            </w:r>
          </w:p>
        </w:tc>
        <w:tc>
          <w:tcPr>
            <w:tcW w:w="1841" w:type="dxa"/>
            <w:tcBorders>
              <w:top w:val="single" w:sz="8" w:space="0" w:color="auto"/>
              <w:left w:val="single" w:sz="8" w:space="0" w:color="auto"/>
              <w:bottom w:val="single" w:sz="8" w:space="0" w:color="auto"/>
              <w:right w:val="single" w:sz="8" w:space="0" w:color="auto"/>
            </w:tcBorders>
          </w:tcPr>
          <w:p w14:paraId="01E2B599" w14:textId="77777777" w:rsidR="000A7D9D" w:rsidRPr="00A00723" w:rsidRDefault="000A7D9D" w:rsidP="00F31937">
            <w:pPr>
              <w:jc w:val="both"/>
              <w:rPr>
                <w:rFonts w:eastAsiaTheme="minorEastAsia"/>
                <w:noProof/>
              </w:rPr>
            </w:pPr>
            <w:r w:rsidRPr="00A00723">
              <w:rPr>
                <w:rFonts w:eastAsiaTheme="minorEastAsia"/>
                <w:noProof/>
              </w:rPr>
              <w:t>March 2021</w:t>
            </w:r>
          </w:p>
        </w:tc>
      </w:tr>
      <w:tr w:rsidR="000A7D9D" w14:paraId="47946A69" w14:textId="77777777" w:rsidTr="00F31937">
        <w:tc>
          <w:tcPr>
            <w:tcW w:w="7800" w:type="dxa"/>
            <w:tcBorders>
              <w:top w:val="single" w:sz="8" w:space="0" w:color="auto"/>
              <w:left w:val="single" w:sz="8" w:space="0" w:color="auto"/>
              <w:bottom w:val="single" w:sz="8" w:space="0" w:color="auto"/>
              <w:right w:val="single" w:sz="8" w:space="0" w:color="auto"/>
            </w:tcBorders>
          </w:tcPr>
          <w:p w14:paraId="24FDDCD8" w14:textId="77777777" w:rsidR="000A7D9D" w:rsidRPr="00A00723" w:rsidRDefault="00187DBF" w:rsidP="00F31937">
            <w:pPr>
              <w:jc w:val="both"/>
              <w:rPr>
                <w:rStyle w:val="Hyperlink"/>
                <w:rFonts w:eastAsiaTheme="minorEastAsia"/>
                <w:noProof/>
              </w:rPr>
            </w:pPr>
            <w:hyperlink r:id="rId121" w:history="1">
              <w:r w:rsidR="000A7D9D" w:rsidRPr="00A00723">
                <w:rPr>
                  <w:rStyle w:val="Hyperlink"/>
                  <w:rFonts w:eastAsia="Calibri"/>
                  <w:noProof/>
                </w:rPr>
                <w:t>Guidelines on the benefit-risk assessment of the presence of phthalates in certain medical devices covering phthalates which are carcinogenic, mutagenic, toxic to reproduction (CMR) or have endocrine-disrupting (ED) properties</w:t>
              </w:r>
            </w:hyperlink>
          </w:p>
        </w:tc>
        <w:tc>
          <w:tcPr>
            <w:tcW w:w="1841" w:type="dxa"/>
            <w:tcBorders>
              <w:top w:val="single" w:sz="8" w:space="0" w:color="auto"/>
              <w:left w:val="single" w:sz="8" w:space="0" w:color="auto"/>
              <w:bottom w:val="single" w:sz="8" w:space="0" w:color="auto"/>
              <w:right w:val="single" w:sz="8" w:space="0" w:color="auto"/>
            </w:tcBorders>
          </w:tcPr>
          <w:p w14:paraId="3A0E09A2" w14:textId="77777777" w:rsidR="000A7D9D" w:rsidRPr="00A00723" w:rsidRDefault="000A7D9D" w:rsidP="00F31937">
            <w:pPr>
              <w:jc w:val="both"/>
              <w:rPr>
                <w:rFonts w:eastAsiaTheme="minorEastAsia"/>
                <w:noProof/>
              </w:rPr>
            </w:pPr>
            <w:r w:rsidRPr="00A00723">
              <w:rPr>
                <w:rFonts w:eastAsiaTheme="minorEastAsia"/>
                <w:noProof/>
              </w:rPr>
              <w:t>June 2019</w:t>
            </w:r>
          </w:p>
        </w:tc>
      </w:tr>
      <w:tr w:rsidR="000A7D9D" w14:paraId="18303CD6" w14:textId="77777777" w:rsidTr="00F31937">
        <w:tc>
          <w:tcPr>
            <w:tcW w:w="7800" w:type="dxa"/>
            <w:tcBorders>
              <w:top w:val="single" w:sz="8" w:space="0" w:color="auto"/>
              <w:left w:val="single" w:sz="8" w:space="0" w:color="auto"/>
              <w:bottom w:val="single" w:sz="8" w:space="0" w:color="auto"/>
              <w:right w:val="single" w:sz="8" w:space="0" w:color="auto"/>
            </w:tcBorders>
          </w:tcPr>
          <w:p w14:paraId="23C320D4" w14:textId="77777777" w:rsidR="000A7D9D" w:rsidRPr="00A00723" w:rsidRDefault="000A7D9D" w:rsidP="00F31937">
            <w:pPr>
              <w:jc w:val="both"/>
              <w:rPr>
                <w:rFonts w:eastAsiaTheme="minorEastAsia"/>
                <w:noProof/>
                <w:color w:val="70AD47"/>
              </w:rPr>
            </w:pPr>
            <w:r w:rsidRPr="00A00723">
              <w:rPr>
                <w:rFonts w:eastAsiaTheme="minorEastAsia"/>
                <w:noProof/>
                <w:color w:val="70AD47"/>
              </w:rPr>
              <w:t xml:space="preserve">Scientific Advice on Evaluation of the availability of new scientific information on the safety of Poly Implant Prothèse (PIP) breast implants </w:t>
            </w:r>
          </w:p>
        </w:tc>
        <w:tc>
          <w:tcPr>
            <w:tcW w:w="1841" w:type="dxa"/>
            <w:tcBorders>
              <w:top w:val="single" w:sz="8" w:space="0" w:color="auto"/>
              <w:left w:val="single" w:sz="8" w:space="0" w:color="auto"/>
              <w:bottom w:val="single" w:sz="8" w:space="0" w:color="auto"/>
              <w:right w:val="single" w:sz="8" w:space="0" w:color="auto"/>
            </w:tcBorders>
          </w:tcPr>
          <w:p w14:paraId="0FCF20F6" w14:textId="77777777" w:rsidR="000A7D9D" w:rsidRPr="00A00723" w:rsidRDefault="000A7D9D" w:rsidP="00F31937">
            <w:pPr>
              <w:jc w:val="both"/>
              <w:rPr>
                <w:rFonts w:eastAsiaTheme="minorEastAsia"/>
                <w:noProof/>
              </w:rPr>
            </w:pPr>
            <w:r w:rsidRPr="00A00723">
              <w:rPr>
                <w:rFonts w:eastAsiaTheme="minorEastAsia"/>
                <w:noProof/>
              </w:rPr>
              <w:t>Sept 2017</w:t>
            </w:r>
          </w:p>
        </w:tc>
      </w:tr>
      <w:tr w:rsidR="000A7D9D" w14:paraId="67011042" w14:textId="77777777" w:rsidTr="00F31937">
        <w:tc>
          <w:tcPr>
            <w:tcW w:w="7800" w:type="dxa"/>
            <w:tcBorders>
              <w:top w:val="single" w:sz="8" w:space="0" w:color="auto"/>
              <w:left w:val="single" w:sz="8" w:space="0" w:color="auto"/>
              <w:bottom w:val="single" w:sz="8" w:space="0" w:color="auto"/>
              <w:right w:val="single" w:sz="8" w:space="0" w:color="auto"/>
            </w:tcBorders>
          </w:tcPr>
          <w:p w14:paraId="0D9A8B74" w14:textId="77777777" w:rsidR="000A7D9D" w:rsidRPr="00A00723" w:rsidRDefault="00187DBF" w:rsidP="00F31937">
            <w:pPr>
              <w:jc w:val="both"/>
              <w:rPr>
                <w:rStyle w:val="Hyperlink"/>
                <w:rFonts w:eastAsiaTheme="minorEastAsia"/>
                <w:noProof/>
              </w:rPr>
            </w:pPr>
            <w:hyperlink r:id="rId122" w:history="1">
              <w:r w:rsidR="000A7D9D" w:rsidRPr="00A00723">
                <w:rPr>
                  <w:rStyle w:val="Hyperlink"/>
                  <w:rFonts w:eastAsia="Calibri"/>
                  <w:noProof/>
                </w:rPr>
                <w:t>Scientific advice on the state of scientific knowledge regarding a possible connection between breast implants and anaplastic large cell lymphoma</w:t>
              </w:r>
            </w:hyperlink>
          </w:p>
        </w:tc>
        <w:tc>
          <w:tcPr>
            <w:tcW w:w="1841" w:type="dxa"/>
            <w:tcBorders>
              <w:top w:val="single" w:sz="8" w:space="0" w:color="auto"/>
              <w:left w:val="single" w:sz="8" w:space="0" w:color="auto"/>
              <w:bottom w:val="single" w:sz="8" w:space="0" w:color="auto"/>
              <w:right w:val="single" w:sz="8" w:space="0" w:color="auto"/>
            </w:tcBorders>
          </w:tcPr>
          <w:p w14:paraId="7CE48CF8" w14:textId="77777777" w:rsidR="000A7D9D" w:rsidRPr="00A00723" w:rsidRDefault="000A7D9D" w:rsidP="00F31937">
            <w:pPr>
              <w:jc w:val="both"/>
              <w:rPr>
                <w:rFonts w:eastAsiaTheme="minorEastAsia"/>
                <w:noProof/>
              </w:rPr>
            </w:pPr>
            <w:r w:rsidRPr="00A00723">
              <w:rPr>
                <w:rFonts w:eastAsiaTheme="minorEastAsia"/>
                <w:noProof/>
              </w:rPr>
              <w:t>Oct 2017</w:t>
            </w:r>
          </w:p>
        </w:tc>
      </w:tr>
      <w:tr w:rsidR="000A7D9D" w14:paraId="1D67660E" w14:textId="77777777" w:rsidTr="00F31937">
        <w:tc>
          <w:tcPr>
            <w:tcW w:w="7800" w:type="dxa"/>
            <w:tcBorders>
              <w:top w:val="single" w:sz="8" w:space="0" w:color="auto"/>
              <w:left w:val="single" w:sz="8" w:space="0" w:color="auto"/>
              <w:bottom w:val="single" w:sz="8" w:space="0" w:color="auto"/>
              <w:right w:val="single" w:sz="8" w:space="0" w:color="auto"/>
            </w:tcBorders>
          </w:tcPr>
          <w:p w14:paraId="2ED9B215" w14:textId="77777777" w:rsidR="000A7D9D" w:rsidRPr="00A00723" w:rsidRDefault="000A7D9D" w:rsidP="00F31937">
            <w:pPr>
              <w:jc w:val="both"/>
              <w:rPr>
                <w:rFonts w:eastAsiaTheme="minorEastAsia"/>
                <w:noProof/>
                <w:color w:val="000000" w:themeColor="text1"/>
              </w:rPr>
            </w:pPr>
            <w:r w:rsidRPr="00A00723">
              <w:rPr>
                <w:rFonts w:eastAsiaTheme="minorEastAsia"/>
                <w:noProof/>
                <w:color w:val="000000" w:themeColor="text1"/>
              </w:rPr>
              <w:t>Opinion on the safety of medical devices containing DEHP-plasticized PVC or other plasticizers on neonates and other groups possibly at risk</w:t>
            </w:r>
          </w:p>
        </w:tc>
        <w:tc>
          <w:tcPr>
            <w:tcW w:w="1841" w:type="dxa"/>
            <w:tcBorders>
              <w:top w:val="single" w:sz="8" w:space="0" w:color="auto"/>
              <w:left w:val="single" w:sz="8" w:space="0" w:color="auto"/>
              <w:bottom w:val="single" w:sz="8" w:space="0" w:color="auto"/>
              <w:right w:val="single" w:sz="8" w:space="0" w:color="auto"/>
            </w:tcBorders>
          </w:tcPr>
          <w:p w14:paraId="70919E00" w14:textId="77777777" w:rsidR="000A7D9D" w:rsidRPr="00A00723" w:rsidRDefault="000A7D9D" w:rsidP="00F31937">
            <w:pPr>
              <w:jc w:val="both"/>
              <w:rPr>
                <w:rFonts w:eastAsiaTheme="minorEastAsia"/>
                <w:noProof/>
              </w:rPr>
            </w:pPr>
            <w:r w:rsidRPr="00A00723">
              <w:rPr>
                <w:rFonts w:eastAsiaTheme="minorEastAsia"/>
                <w:noProof/>
              </w:rPr>
              <w:t>Feb 2016</w:t>
            </w:r>
          </w:p>
        </w:tc>
      </w:tr>
      <w:tr w:rsidR="000A7D9D" w14:paraId="4594A41A" w14:textId="77777777" w:rsidTr="00F31937">
        <w:tc>
          <w:tcPr>
            <w:tcW w:w="7800" w:type="dxa"/>
            <w:tcBorders>
              <w:top w:val="single" w:sz="8" w:space="0" w:color="auto"/>
              <w:left w:val="single" w:sz="8" w:space="0" w:color="auto"/>
              <w:bottom w:val="single" w:sz="8" w:space="0" w:color="auto"/>
              <w:right w:val="single" w:sz="8" w:space="0" w:color="auto"/>
            </w:tcBorders>
          </w:tcPr>
          <w:p w14:paraId="22C2EAE6" w14:textId="77777777" w:rsidR="000A7D9D" w:rsidRPr="00A00723" w:rsidRDefault="000A7D9D" w:rsidP="00F31937">
            <w:pPr>
              <w:jc w:val="both"/>
              <w:rPr>
                <w:rFonts w:eastAsiaTheme="minorEastAsia"/>
                <w:noProof/>
                <w:color w:val="70AD47"/>
              </w:rPr>
            </w:pPr>
            <w:r w:rsidRPr="00A00723">
              <w:rPr>
                <w:rFonts w:eastAsiaTheme="minorEastAsia"/>
                <w:noProof/>
                <w:color w:val="70AD47"/>
              </w:rPr>
              <w:t>Opinion on the safety of surgical meshes used in urogynaecological surgery</w:t>
            </w:r>
          </w:p>
        </w:tc>
        <w:tc>
          <w:tcPr>
            <w:tcW w:w="1841" w:type="dxa"/>
            <w:tcBorders>
              <w:top w:val="single" w:sz="8" w:space="0" w:color="auto"/>
              <w:left w:val="single" w:sz="8" w:space="0" w:color="auto"/>
              <w:bottom w:val="single" w:sz="8" w:space="0" w:color="auto"/>
              <w:right w:val="single" w:sz="8" w:space="0" w:color="auto"/>
            </w:tcBorders>
          </w:tcPr>
          <w:p w14:paraId="2ABA3BCB" w14:textId="77777777" w:rsidR="000A7D9D" w:rsidRPr="00A00723" w:rsidRDefault="000A7D9D" w:rsidP="00F31937">
            <w:pPr>
              <w:jc w:val="both"/>
              <w:rPr>
                <w:rFonts w:eastAsiaTheme="minorEastAsia"/>
                <w:noProof/>
              </w:rPr>
            </w:pPr>
            <w:r w:rsidRPr="00A00723">
              <w:rPr>
                <w:rFonts w:eastAsiaTheme="minorEastAsia"/>
                <w:noProof/>
              </w:rPr>
              <w:t>Dec 2015</w:t>
            </w:r>
          </w:p>
        </w:tc>
      </w:tr>
      <w:tr w:rsidR="000A7D9D" w14:paraId="693705FE" w14:textId="77777777" w:rsidTr="00F31937">
        <w:tc>
          <w:tcPr>
            <w:tcW w:w="7800" w:type="dxa"/>
            <w:tcBorders>
              <w:top w:val="single" w:sz="8" w:space="0" w:color="auto"/>
              <w:left w:val="single" w:sz="8" w:space="0" w:color="auto"/>
              <w:bottom w:val="single" w:sz="8" w:space="0" w:color="auto"/>
              <w:right w:val="single" w:sz="8" w:space="0" w:color="auto"/>
            </w:tcBorders>
          </w:tcPr>
          <w:p w14:paraId="72684C9D" w14:textId="77777777" w:rsidR="000A7D9D" w:rsidRPr="00A00723" w:rsidRDefault="000A7D9D" w:rsidP="00F31937">
            <w:pPr>
              <w:jc w:val="both"/>
              <w:rPr>
                <w:rFonts w:eastAsiaTheme="minorEastAsia"/>
                <w:noProof/>
                <w:color w:val="000000" w:themeColor="text1"/>
              </w:rPr>
            </w:pPr>
            <w:r w:rsidRPr="00A00723">
              <w:rPr>
                <w:rFonts w:eastAsiaTheme="minorEastAsia"/>
                <w:noProof/>
                <w:color w:val="000000" w:themeColor="text1"/>
              </w:rPr>
              <w:t>Opinion on the safety of dental amalgam and alternative dental restoration materials for patients and users</w:t>
            </w:r>
          </w:p>
        </w:tc>
        <w:tc>
          <w:tcPr>
            <w:tcW w:w="1841" w:type="dxa"/>
            <w:tcBorders>
              <w:top w:val="single" w:sz="8" w:space="0" w:color="auto"/>
              <w:left w:val="single" w:sz="8" w:space="0" w:color="auto"/>
              <w:bottom w:val="single" w:sz="8" w:space="0" w:color="auto"/>
              <w:right w:val="single" w:sz="8" w:space="0" w:color="auto"/>
            </w:tcBorders>
          </w:tcPr>
          <w:p w14:paraId="265014B4" w14:textId="77777777" w:rsidR="000A7D9D" w:rsidRPr="00A00723" w:rsidRDefault="000A7D9D" w:rsidP="00F31937">
            <w:pPr>
              <w:jc w:val="both"/>
              <w:rPr>
                <w:rFonts w:eastAsiaTheme="minorEastAsia"/>
                <w:noProof/>
              </w:rPr>
            </w:pPr>
            <w:r w:rsidRPr="00A00723">
              <w:rPr>
                <w:rFonts w:eastAsiaTheme="minorEastAsia"/>
                <w:noProof/>
              </w:rPr>
              <w:t>Apr 2015</w:t>
            </w:r>
          </w:p>
        </w:tc>
      </w:tr>
      <w:tr w:rsidR="000A7D9D" w14:paraId="6177B930" w14:textId="77777777" w:rsidTr="00F31937">
        <w:tc>
          <w:tcPr>
            <w:tcW w:w="7800" w:type="dxa"/>
            <w:tcBorders>
              <w:top w:val="single" w:sz="8" w:space="0" w:color="auto"/>
              <w:left w:val="single" w:sz="8" w:space="0" w:color="auto"/>
              <w:bottom w:val="single" w:sz="8" w:space="0" w:color="auto"/>
              <w:right w:val="single" w:sz="8" w:space="0" w:color="auto"/>
            </w:tcBorders>
          </w:tcPr>
          <w:p w14:paraId="7EEDE1D9" w14:textId="77777777" w:rsidR="000A7D9D" w:rsidRPr="00A00723" w:rsidRDefault="000A7D9D" w:rsidP="00F31937">
            <w:pPr>
              <w:jc w:val="both"/>
              <w:rPr>
                <w:rFonts w:eastAsiaTheme="minorEastAsia"/>
                <w:noProof/>
                <w:color w:val="000000" w:themeColor="text1"/>
              </w:rPr>
            </w:pPr>
            <w:r w:rsidRPr="00A00723">
              <w:rPr>
                <w:rFonts w:eastAsiaTheme="minorEastAsia"/>
                <w:noProof/>
                <w:color w:val="000000" w:themeColor="text1"/>
              </w:rPr>
              <w:t>Opinion on the safety of the use of bisphenol A in medical devices</w:t>
            </w:r>
          </w:p>
        </w:tc>
        <w:tc>
          <w:tcPr>
            <w:tcW w:w="1841" w:type="dxa"/>
            <w:tcBorders>
              <w:top w:val="single" w:sz="8" w:space="0" w:color="auto"/>
              <w:left w:val="single" w:sz="8" w:space="0" w:color="auto"/>
              <w:bottom w:val="single" w:sz="8" w:space="0" w:color="auto"/>
              <w:right w:val="single" w:sz="8" w:space="0" w:color="auto"/>
            </w:tcBorders>
          </w:tcPr>
          <w:p w14:paraId="06FE3659" w14:textId="77777777" w:rsidR="000A7D9D" w:rsidRPr="00A00723" w:rsidRDefault="000A7D9D" w:rsidP="00F31937">
            <w:pPr>
              <w:jc w:val="both"/>
              <w:rPr>
                <w:rFonts w:eastAsiaTheme="minorEastAsia"/>
                <w:noProof/>
              </w:rPr>
            </w:pPr>
            <w:r w:rsidRPr="00A00723">
              <w:rPr>
                <w:rFonts w:eastAsiaTheme="minorEastAsia"/>
                <w:noProof/>
              </w:rPr>
              <w:t>Feb 2015</w:t>
            </w:r>
          </w:p>
        </w:tc>
      </w:tr>
      <w:tr w:rsidR="000A7D9D" w14:paraId="3962E9B0" w14:textId="77777777" w:rsidTr="00F31937">
        <w:tc>
          <w:tcPr>
            <w:tcW w:w="7800" w:type="dxa"/>
            <w:tcBorders>
              <w:top w:val="single" w:sz="8" w:space="0" w:color="auto"/>
              <w:left w:val="single" w:sz="8" w:space="0" w:color="auto"/>
              <w:bottom w:val="single" w:sz="8" w:space="0" w:color="auto"/>
              <w:right w:val="single" w:sz="8" w:space="0" w:color="auto"/>
            </w:tcBorders>
          </w:tcPr>
          <w:p w14:paraId="490863DE" w14:textId="77777777" w:rsidR="000A7D9D" w:rsidRPr="00A00723" w:rsidRDefault="000A7D9D" w:rsidP="00F31937">
            <w:pPr>
              <w:jc w:val="both"/>
              <w:rPr>
                <w:rFonts w:eastAsiaTheme="minorEastAsia"/>
                <w:noProof/>
                <w:color w:val="70AD47"/>
              </w:rPr>
            </w:pPr>
            <w:r w:rsidRPr="00A00723">
              <w:rPr>
                <w:rFonts w:eastAsiaTheme="minorEastAsia"/>
                <w:noProof/>
                <w:color w:val="70AD47"/>
              </w:rPr>
              <w:t>Opinion on the safety of Metal-on-Metal joint replacements with a particular focus on hip implants</w:t>
            </w:r>
          </w:p>
        </w:tc>
        <w:tc>
          <w:tcPr>
            <w:tcW w:w="1841" w:type="dxa"/>
            <w:tcBorders>
              <w:top w:val="single" w:sz="8" w:space="0" w:color="auto"/>
              <w:left w:val="single" w:sz="8" w:space="0" w:color="auto"/>
              <w:bottom w:val="single" w:sz="8" w:space="0" w:color="auto"/>
              <w:right w:val="single" w:sz="8" w:space="0" w:color="auto"/>
            </w:tcBorders>
          </w:tcPr>
          <w:p w14:paraId="61EC1809" w14:textId="77777777" w:rsidR="000A7D9D" w:rsidRPr="00A00723" w:rsidRDefault="000A7D9D" w:rsidP="00F31937">
            <w:pPr>
              <w:jc w:val="both"/>
              <w:rPr>
                <w:rFonts w:eastAsiaTheme="minorEastAsia"/>
                <w:noProof/>
              </w:rPr>
            </w:pPr>
            <w:r w:rsidRPr="00A00723">
              <w:rPr>
                <w:rFonts w:eastAsiaTheme="minorEastAsia"/>
                <w:noProof/>
              </w:rPr>
              <w:t>Sept 2014</w:t>
            </w:r>
          </w:p>
        </w:tc>
      </w:tr>
      <w:tr w:rsidR="000A7D9D" w14:paraId="1633BF4C" w14:textId="77777777" w:rsidTr="00F31937">
        <w:tc>
          <w:tcPr>
            <w:tcW w:w="7800" w:type="dxa"/>
            <w:tcBorders>
              <w:top w:val="single" w:sz="8" w:space="0" w:color="auto"/>
              <w:left w:val="single" w:sz="8" w:space="0" w:color="auto"/>
              <w:bottom w:val="single" w:sz="8" w:space="0" w:color="auto"/>
              <w:right w:val="single" w:sz="8" w:space="0" w:color="auto"/>
            </w:tcBorders>
          </w:tcPr>
          <w:p w14:paraId="22ABC54E" w14:textId="77777777" w:rsidR="000A7D9D" w:rsidRPr="00A00723" w:rsidRDefault="000A7D9D" w:rsidP="00F31937">
            <w:pPr>
              <w:jc w:val="both"/>
              <w:rPr>
                <w:rFonts w:eastAsiaTheme="minorEastAsia"/>
                <w:noProof/>
                <w:color w:val="70AD47"/>
              </w:rPr>
            </w:pPr>
            <w:r w:rsidRPr="00A00723">
              <w:rPr>
                <w:rFonts w:eastAsiaTheme="minorEastAsia"/>
                <w:noProof/>
                <w:color w:val="70AD47"/>
              </w:rPr>
              <w:t>Opinion on the safety of Poly Implant Prothèse (PIP) Silicone Breast Implants</w:t>
            </w:r>
          </w:p>
        </w:tc>
        <w:tc>
          <w:tcPr>
            <w:tcW w:w="1841" w:type="dxa"/>
            <w:tcBorders>
              <w:top w:val="single" w:sz="8" w:space="0" w:color="auto"/>
              <w:left w:val="single" w:sz="8" w:space="0" w:color="auto"/>
              <w:bottom w:val="single" w:sz="8" w:space="0" w:color="auto"/>
              <w:right w:val="single" w:sz="8" w:space="0" w:color="auto"/>
            </w:tcBorders>
          </w:tcPr>
          <w:p w14:paraId="32BCF5F0" w14:textId="77777777" w:rsidR="000A7D9D" w:rsidRPr="00A00723" w:rsidRDefault="000A7D9D" w:rsidP="00F31937">
            <w:pPr>
              <w:jc w:val="both"/>
              <w:rPr>
                <w:rFonts w:eastAsiaTheme="minorEastAsia"/>
                <w:noProof/>
              </w:rPr>
            </w:pPr>
            <w:r w:rsidRPr="00A00723">
              <w:rPr>
                <w:rFonts w:eastAsiaTheme="minorEastAsia"/>
                <w:noProof/>
              </w:rPr>
              <w:t>May 2014</w:t>
            </w:r>
          </w:p>
        </w:tc>
      </w:tr>
      <w:tr w:rsidR="000A7D9D" w14:paraId="78847B0B" w14:textId="77777777" w:rsidTr="00F31937">
        <w:tc>
          <w:tcPr>
            <w:tcW w:w="7800" w:type="dxa"/>
            <w:tcBorders>
              <w:top w:val="single" w:sz="8" w:space="0" w:color="auto"/>
              <w:left w:val="single" w:sz="8" w:space="0" w:color="auto"/>
              <w:bottom w:val="single" w:sz="8" w:space="0" w:color="auto"/>
              <w:right w:val="single" w:sz="8" w:space="0" w:color="auto"/>
            </w:tcBorders>
            <w:shd w:val="clear" w:color="auto" w:fill="CCCCCC"/>
          </w:tcPr>
          <w:p w14:paraId="5A3E888C" w14:textId="77777777" w:rsidR="000A7D9D" w:rsidRPr="00A00723" w:rsidRDefault="000A7D9D" w:rsidP="00F31937">
            <w:pPr>
              <w:jc w:val="both"/>
              <w:rPr>
                <w:rFonts w:eastAsiaTheme="minorEastAsia"/>
                <w:b/>
                <w:bCs/>
                <w:noProof/>
              </w:rPr>
            </w:pPr>
            <w:r w:rsidRPr="00A00723">
              <w:rPr>
                <w:rFonts w:eastAsiaTheme="minorEastAsia"/>
                <w:b/>
                <w:bCs/>
                <w:noProof/>
              </w:rPr>
              <w:t xml:space="preserve">Non animal testing </w:t>
            </w:r>
          </w:p>
        </w:tc>
        <w:tc>
          <w:tcPr>
            <w:tcW w:w="1841" w:type="dxa"/>
            <w:tcBorders>
              <w:top w:val="single" w:sz="8" w:space="0" w:color="auto"/>
              <w:left w:val="single" w:sz="8" w:space="0" w:color="auto"/>
              <w:bottom w:val="single" w:sz="8" w:space="0" w:color="auto"/>
              <w:right w:val="single" w:sz="8" w:space="0" w:color="auto"/>
            </w:tcBorders>
            <w:shd w:val="clear" w:color="auto" w:fill="CCCCCC"/>
          </w:tcPr>
          <w:p w14:paraId="2C0936B5" w14:textId="77777777" w:rsidR="000A7D9D" w:rsidRPr="00A00723" w:rsidRDefault="000A7D9D" w:rsidP="00F31937">
            <w:pPr>
              <w:jc w:val="both"/>
              <w:rPr>
                <w:rFonts w:eastAsiaTheme="minorEastAsia"/>
                <w:b/>
                <w:bCs/>
                <w:noProof/>
              </w:rPr>
            </w:pPr>
            <w:r w:rsidRPr="00A00723">
              <w:rPr>
                <w:rFonts w:eastAsiaTheme="minorEastAsia"/>
                <w:b/>
                <w:bCs/>
                <w:noProof/>
              </w:rPr>
              <w:t xml:space="preserve"> </w:t>
            </w:r>
          </w:p>
        </w:tc>
      </w:tr>
      <w:tr w:rsidR="000A7D9D" w14:paraId="70EA742F" w14:textId="77777777" w:rsidTr="00F31937">
        <w:tc>
          <w:tcPr>
            <w:tcW w:w="7800" w:type="dxa"/>
            <w:tcBorders>
              <w:top w:val="single" w:sz="8" w:space="0" w:color="auto"/>
              <w:left w:val="single" w:sz="8" w:space="0" w:color="auto"/>
              <w:bottom w:val="single" w:sz="8" w:space="0" w:color="auto"/>
              <w:right w:val="single" w:sz="8" w:space="0" w:color="auto"/>
            </w:tcBorders>
          </w:tcPr>
          <w:p w14:paraId="0D71452B" w14:textId="77777777" w:rsidR="000A7D9D" w:rsidRPr="00A00723" w:rsidRDefault="00187DBF" w:rsidP="00F31937">
            <w:pPr>
              <w:jc w:val="both"/>
              <w:rPr>
                <w:rStyle w:val="Hyperlink"/>
                <w:rFonts w:eastAsiaTheme="minorEastAsia"/>
                <w:noProof/>
              </w:rPr>
            </w:pPr>
            <w:hyperlink r:id="rId123" w:history="1">
              <w:r w:rsidR="000A7D9D" w:rsidRPr="00A00723">
                <w:rPr>
                  <w:rStyle w:val="Hyperlink"/>
                  <w:rFonts w:eastAsia="Calibri"/>
                  <w:noProof/>
                </w:rPr>
                <w:t>Opinion on the need for non-human primates in biomedical research, production and testing of products and devices (update 2017)</w:t>
              </w:r>
            </w:hyperlink>
          </w:p>
        </w:tc>
        <w:tc>
          <w:tcPr>
            <w:tcW w:w="1841" w:type="dxa"/>
            <w:tcBorders>
              <w:top w:val="single" w:sz="8" w:space="0" w:color="auto"/>
              <w:left w:val="single" w:sz="8" w:space="0" w:color="auto"/>
              <w:bottom w:val="single" w:sz="8" w:space="0" w:color="auto"/>
              <w:right w:val="single" w:sz="8" w:space="0" w:color="auto"/>
            </w:tcBorders>
          </w:tcPr>
          <w:p w14:paraId="4D7732F3" w14:textId="77777777" w:rsidR="000A7D9D" w:rsidRPr="00A00723" w:rsidRDefault="000A7D9D" w:rsidP="00F31937">
            <w:pPr>
              <w:jc w:val="both"/>
              <w:rPr>
                <w:rFonts w:eastAsiaTheme="minorEastAsia"/>
                <w:noProof/>
              </w:rPr>
            </w:pPr>
            <w:r w:rsidRPr="00A00723">
              <w:rPr>
                <w:rFonts w:eastAsiaTheme="minorEastAsia"/>
                <w:noProof/>
              </w:rPr>
              <w:t>May 2017</w:t>
            </w:r>
          </w:p>
        </w:tc>
      </w:tr>
      <w:tr w:rsidR="000A7D9D" w14:paraId="66AB128E" w14:textId="77777777" w:rsidTr="00F31937">
        <w:tc>
          <w:tcPr>
            <w:tcW w:w="7800" w:type="dxa"/>
            <w:tcBorders>
              <w:top w:val="single" w:sz="8" w:space="0" w:color="auto"/>
              <w:left w:val="single" w:sz="8" w:space="0" w:color="auto"/>
              <w:bottom w:val="single" w:sz="8" w:space="0" w:color="auto"/>
              <w:right w:val="single" w:sz="8" w:space="0" w:color="auto"/>
            </w:tcBorders>
            <w:shd w:val="clear" w:color="auto" w:fill="CCCCCC"/>
          </w:tcPr>
          <w:p w14:paraId="6D781C18" w14:textId="77777777" w:rsidR="000A7D9D" w:rsidRPr="00A00723" w:rsidRDefault="000A7D9D" w:rsidP="00F31937">
            <w:pPr>
              <w:jc w:val="both"/>
              <w:rPr>
                <w:rFonts w:eastAsiaTheme="minorEastAsia"/>
                <w:b/>
                <w:bCs/>
                <w:noProof/>
              </w:rPr>
            </w:pPr>
            <w:r w:rsidRPr="00A00723">
              <w:rPr>
                <w:rFonts w:eastAsiaTheme="minorEastAsia"/>
                <w:b/>
                <w:bCs/>
                <w:noProof/>
              </w:rPr>
              <w:t>Physical risks</w:t>
            </w:r>
          </w:p>
        </w:tc>
        <w:tc>
          <w:tcPr>
            <w:tcW w:w="1841" w:type="dxa"/>
            <w:tcBorders>
              <w:top w:val="single" w:sz="8" w:space="0" w:color="auto"/>
              <w:left w:val="single" w:sz="8" w:space="0" w:color="auto"/>
              <w:bottom w:val="single" w:sz="8" w:space="0" w:color="auto"/>
              <w:right w:val="single" w:sz="8" w:space="0" w:color="auto"/>
            </w:tcBorders>
            <w:shd w:val="clear" w:color="auto" w:fill="CCCCCC"/>
          </w:tcPr>
          <w:p w14:paraId="33DAA9A6" w14:textId="77777777" w:rsidR="000A7D9D" w:rsidRPr="00A00723" w:rsidRDefault="000A7D9D" w:rsidP="00F31937">
            <w:pPr>
              <w:jc w:val="both"/>
              <w:rPr>
                <w:rFonts w:eastAsiaTheme="minorEastAsia"/>
                <w:b/>
                <w:bCs/>
                <w:noProof/>
              </w:rPr>
            </w:pPr>
            <w:r w:rsidRPr="00A00723">
              <w:rPr>
                <w:rFonts w:eastAsiaTheme="minorEastAsia"/>
                <w:b/>
                <w:bCs/>
                <w:noProof/>
              </w:rPr>
              <w:t xml:space="preserve"> </w:t>
            </w:r>
          </w:p>
        </w:tc>
      </w:tr>
      <w:tr w:rsidR="000A7D9D" w14:paraId="45441D42" w14:textId="77777777" w:rsidTr="00F31937">
        <w:tc>
          <w:tcPr>
            <w:tcW w:w="7800" w:type="dxa"/>
            <w:tcBorders>
              <w:top w:val="single" w:sz="8" w:space="0" w:color="auto"/>
              <w:left w:val="single" w:sz="8" w:space="0" w:color="auto"/>
              <w:bottom w:val="single" w:sz="8" w:space="0" w:color="auto"/>
              <w:right w:val="single" w:sz="8" w:space="0" w:color="auto"/>
            </w:tcBorders>
          </w:tcPr>
          <w:p w14:paraId="4BF3B5D7" w14:textId="77777777" w:rsidR="000A7D9D" w:rsidRPr="00A00723" w:rsidRDefault="00187DBF" w:rsidP="00F31937">
            <w:pPr>
              <w:jc w:val="both"/>
              <w:rPr>
                <w:rStyle w:val="Hyperlink"/>
                <w:rFonts w:eastAsiaTheme="minorEastAsia"/>
                <w:noProof/>
              </w:rPr>
            </w:pPr>
            <w:hyperlink r:id="rId124" w:history="1">
              <w:r w:rsidR="000A7D9D" w:rsidRPr="00A00723">
                <w:rPr>
                  <w:rStyle w:val="Hyperlink"/>
                  <w:rFonts w:eastAsia="Calibri"/>
                  <w:noProof/>
                </w:rPr>
                <w:t>Opinion on the potential risks to human health of Light Emitting Diodes (LEDs)</w:t>
              </w:r>
            </w:hyperlink>
          </w:p>
        </w:tc>
        <w:tc>
          <w:tcPr>
            <w:tcW w:w="1841" w:type="dxa"/>
            <w:tcBorders>
              <w:top w:val="single" w:sz="8" w:space="0" w:color="auto"/>
              <w:left w:val="single" w:sz="8" w:space="0" w:color="auto"/>
              <w:bottom w:val="single" w:sz="8" w:space="0" w:color="auto"/>
              <w:right w:val="single" w:sz="8" w:space="0" w:color="auto"/>
            </w:tcBorders>
          </w:tcPr>
          <w:p w14:paraId="5F93D44B" w14:textId="77777777" w:rsidR="000A7D9D" w:rsidRPr="00A00723" w:rsidRDefault="000A7D9D" w:rsidP="00F31937">
            <w:pPr>
              <w:jc w:val="both"/>
              <w:rPr>
                <w:rFonts w:eastAsiaTheme="minorEastAsia"/>
                <w:noProof/>
              </w:rPr>
            </w:pPr>
            <w:r w:rsidRPr="00A00723">
              <w:rPr>
                <w:rFonts w:eastAsiaTheme="minorEastAsia"/>
                <w:noProof/>
              </w:rPr>
              <w:t>June 2018</w:t>
            </w:r>
          </w:p>
        </w:tc>
      </w:tr>
      <w:tr w:rsidR="000A7D9D" w14:paraId="207208EA" w14:textId="77777777" w:rsidTr="00F31937">
        <w:tc>
          <w:tcPr>
            <w:tcW w:w="7800" w:type="dxa"/>
            <w:tcBorders>
              <w:top w:val="single" w:sz="8" w:space="0" w:color="auto"/>
              <w:left w:val="single" w:sz="8" w:space="0" w:color="auto"/>
              <w:bottom w:val="single" w:sz="8" w:space="0" w:color="auto"/>
              <w:right w:val="single" w:sz="8" w:space="0" w:color="auto"/>
            </w:tcBorders>
          </w:tcPr>
          <w:p w14:paraId="612348E9" w14:textId="77777777" w:rsidR="000A7D9D" w:rsidRPr="00A00723" w:rsidRDefault="00187DBF" w:rsidP="00F31937">
            <w:pPr>
              <w:jc w:val="both"/>
              <w:rPr>
                <w:rStyle w:val="Hyperlink"/>
                <w:rFonts w:eastAsiaTheme="minorEastAsia"/>
                <w:noProof/>
              </w:rPr>
            </w:pPr>
            <w:hyperlink r:id="rId125" w:history="1">
              <w:r w:rsidR="000A7D9D" w:rsidRPr="00A00723">
                <w:rPr>
                  <w:rStyle w:val="Hyperlink"/>
                  <w:rFonts w:eastAsia="Calibri"/>
                  <w:noProof/>
                </w:rPr>
                <w:t>Opinion on Biological effects of UV-C radiation relevant to health with particular reference to UV-C lamps</w:t>
              </w:r>
            </w:hyperlink>
          </w:p>
        </w:tc>
        <w:tc>
          <w:tcPr>
            <w:tcW w:w="1841" w:type="dxa"/>
            <w:tcBorders>
              <w:top w:val="single" w:sz="8" w:space="0" w:color="auto"/>
              <w:left w:val="single" w:sz="8" w:space="0" w:color="auto"/>
              <w:bottom w:val="single" w:sz="8" w:space="0" w:color="auto"/>
              <w:right w:val="single" w:sz="8" w:space="0" w:color="auto"/>
            </w:tcBorders>
          </w:tcPr>
          <w:p w14:paraId="21B10DFB" w14:textId="77777777" w:rsidR="000A7D9D" w:rsidRPr="00A00723" w:rsidRDefault="000A7D9D" w:rsidP="00F31937">
            <w:pPr>
              <w:jc w:val="both"/>
              <w:rPr>
                <w:rFonts w:eastAsiaTheme="minorEastAsia"/>
                <w:noProof/>
              </w:rPr>
            </w:pPr>
            <w:r w:rsidRPr="00A00723">
              <w:rPr>
                <w:rFonts w:eastAsiaTheme="minorEastAsia"/>
                <w:noProof/>
              </w:rPr>
              <w:t>Feb 2017</w:t>
            </w:r>
          </w:p>
        </w:tc>
      </w:tr>
      <w:tr w:rsidR="000A7D9D" w14:paraId="514351DF" w14:textId="77777777" w:rsidTr="00F31937">
        <w:tc>
          <w:tcPr>
            <w:tcW w:w="7800" w:type="dxa"/>
            <w:tcBorders>
              <w:top w:val="single" w:sz="8" w:space="0" w:color="auto"/>
              <w:left w:val="single" w:sz="8" w:space="0" w:color="auto"/>
              <w:bottom w:val="single" w:sz="8" w:space="0" w:color="auto"/>
              <w:right w:val="single" w:sz="8" w:space="0" w:color="auto"/>
            </w:tcBorders>
          </w:tcPr>
          <w:p w14:paraId="51CCAB5C" w14:textId="77777777" w:rsidR="000A7D9D" w:rsidRPr="00A00723" w:rsidRDefault="00187DBF" w:rsidP="00F31937">
            <w:pPr>
              <w:jc w:val="both"/>
              <w:rPr>
                <w:rStyle w:val="Hyperlink"/>
                <w:rFonts w:eastAsiaTheme="minorEastAsia"/>
                <w:noProof/>
              </w:rPr>
            </w:pPr>
            <w:hyperlink r:id="rId126" w:history="1">
              <w:r w:rsidR="000A7D9D" w:rsidRPr="00A00723">
                <w:rPr>
                  <w:rStyle w:val="Hyperlink"/>
                  <w:rFonts w:eastAsia="Calibri"/>
                  <w:noProof/>
                </w:rPr>
                <w:t>Opinion on Biological effects of ultraviolet radiation relevant to health with particular reference to sunbeds for cosmetic purposes</w:t>
              </w:r>
            </w:hyperlink>
          </w:p>
        </w:tc>
        <w:tc>
          <w:tcPr>
            <w:tcW w:w="1841" w:type="dxa"/>
            <w:tcBorders>
              <w:top w:val="single" w:sz="8" w:space="0" w:color="auto"/>
              <w:left w:val="single" w:sz="8" w:space="0" w:color="auto"/>
              <w:bottom w:val="single" w:sz="8" w:space="0" w:color="auto"/>
              <w:right w:val="single" w:sz="8" w:space="0" w:color="auto"/>
            </w:tcBorders>
          </w:tcPr>
          <w:p w14:paraId="33D6C4A9" w14:textId="77777777" w:rsidR="000A7D9D" w:rsidRPr="00A00723" w:rsidRDefault="000A7D9D" w:rsidP="00F31937">
            <w:pPr>
              <w:jc w:val="both"/>
              <w:rPr>
                <w:rFonts w:eastAsiaTheme="minorEastAsia"/>
                <w:noProof/>
              </w:rPr>
            </w:pPr>
            <w:r w:rsidRPr="00A00723">
              <w:rPr>
                <w:rFonts w:eastAsiaTheme="minorEastAsia"/>
                <w:noProof/>
              </w:rPr>
              <w:t>Nov 2016</w:t>
            </w:r>
          </w:p>
        </w:tc>
      </w:tr>
      <w:tr w:rsidR="000A7D9D" w14:paraId="60CCC834" w14:textId="77777777" w:rsidTr="00F31937">
        <w:tc>
          <w:tcPr>
            <w:tcW w:w="7800" w:type="dxa"/>
            <w:tcBorders>
              <w:top w:val="single" w:sz="8" w:space="0" w:color="auto"/>
              <w:left w:val="single" w:sz="8" w:space="0" w:color="auto"/>
              <w:bottom w:val="single" w:sz="8" w:space="0" w:color="auto"/>
              <w:right w:val="single" w:sz="8" w:space="0" w:color="auto"/>
            </w:tcBorders>
          </w:tcPr>
          <w:p w14:paraId="1EA8C6FC" w14:textId="77777777" w:rsidR="000A7D9D" w:rsidRPr="00A00723" w:rsidRDefault="00187DBF" w:rsidP="00F31937">
            <w:pPr>
              <w:jc w:val="both"/>
              <w:rPr>
                <w:rStyle w:val="Hyperlink"/>
                <w:rFonts w:eastAsiaTheme="minorEastAsia"/>
                <w:noProof/>
              </w:rPr>
            </w:pPr>
            <w:hyperlink r:id="rId127" w:history="1">
              <w:r w:rsidR="000A7D9D" w:rsidRPr="00A00723">
                <w:rPr>
                  <w:rStyle w:val="Hyperlink"/>
                  <w:rFonts w:eastAsia="Calibri"/>
                  <w:noProof/>
                </w:rPr>
                <w:t>Final opinion on potential health effects of exposure to electromagnetic fields (EMF)</w:t>
              </w:r>
            </w:hyperlink>
          </w:p>
        </w:tc>
        <w:tc>
          <w:tcPr>
            <w:tcW w:w="1841" w:type="dxa"/>
            <w:tcBorders>
              <w:top w:val="single" w:sz="8" w:space="0" w:color="auto"/>
              <w:left w:val="single" w:sz="8" w:space="0" w:color="auto"/>
              <w:bottom w:val="single" w:sz="8" w:space="0" w:color="auto"/>
              <w:right w:val="single" w:sz="8" w:space="0" w:color="auto"/>
            </w:tcBorders>
          </w:tcPr>
          <w:p w14:paraId="4BE66566" w14:textId="77777777" w:rsidR="000A7D9D" w:rsidRPr="00A00723" w:rsidRDefault="000A7D9D" w:rsidP="00F31937">
            <w:pPr>
              <w:jc w:val="both"/>
              <w:rPr>
                <w:rFonts w:eastAsiaTheme="minorEastAsia"/>
                <w:noProof/>
              </w:rPr>
            </w:pPr>
            <w:r w:rsidRPr="00A00723">
              <w:rPr>
                <w:rFonts w:eastAsiaTheme="minorEastAsia"/>
                <w:noProof/>
              </w:rPr>
              <w:t>Jan 2015</w:t>
            </w:r>
          </w:p>
        </w:tc>
      </w:tr>
      <w:tr w:rsidR="000A7D9D" w14:paraId="1EF66772" w14:textId="77777777" w:rsidTr="00F31937">
        <w:tc>
          <w:tcPr>
            <w:tcW w:w="7800" w:type="dxa"/>
            <w:tcBorders>
              <w:top w:val="single" w:sz="8" w:space="0" w:color="auto"/>
              <w:left w:val="single" w:sz="8" w:space="0" w:color="auto"/>
              <w:bottom w:val="single" w:sz="8" w:space="0" w:color="auto"/>
              <w:right w:val="single" w:sz="8" w:space="0" w:color="auto"/>
            </w:tcBorders>
            <w:shd w:val="clear" w:color="auto" w:fill="CCCCCC"/>
          </w:tcPr>
          <w:p w14:paraId="2B295E0A" w14:textId="77777777" w:rsidR="000A7D9D" w:rsidRPr="00A00723" w:rsidRDefault="000A7D9D" w:rsidP="00F31937">
            <w:pPr>
              <w:jc w:val="both"/>
              <w:rPr>
                <w:rFonts w:eastAsiaTheme="minorEastAsia"/>
                <w:b/>
                <w:bCs/>
                <w:noProof/>
              </w:rPr>
            </w:pPr>
            <w:r w:rsidRPr="00A00723">
              <w:rPr>
                <w:rFonts w:eastAsiaTheme="minorEastAsia"/>
                <w:b/>
                <w:bCs/>
                <w:noProof/>
              </w:rPr>
              <w:t xml:space="preserve">Public health </w:t>
            </w:r>
          </w:p>
        </w:tc>
        <w:tc>
          <w:tcPr>
            <w:tcW w:w="1841" w:type="dxa"/>
            <w:tcBorders>
              <w:top w:val="single" w:sz="8" w:space="0" w:color="auto"/>
              <w:left w:val="single" w:sz="8" w:space="0" w:color="auto"/>
              <w:bottom w:val="single" w:sz="8" w:space="0" w:color="auto"/>
              <w:right w:val="single" w:sz="8" w:space="0" w:color="auto"/>
            </w:tcBorders>
            <w:shd w:val="clear" w:color="auto" w:fill="CCCCCC"/>
          </w:tcPr>
          <w:p w14:paraId="6D0975BB" w14:textId="77777777" w:rsidR="000A7D9D" w:rsidRPr="00A00723" w:rsidRDefault="000A7D9D" w:rsidP="00F31937">
            <w:pPr>
              <w:jc w:val="both"/>
              <w:rPr>
                <w:rFonts w:eastAsiaTheme="minorEastAsia"/>
                <w:b/>
                <w:bCs/>
                <w:noProof/>
              </w:rPr>
            </w:pPr>
            <w:r w:rsidRPr="00A00723">
              <w:rPr>
                <w:rFonts w:eastAsiaTheme="minorEastAsia"/>
                <w:b/>
                <w:bCs/>
                <w:noProof/>
              </w:rPr>
              <w:t xml:space="preserve"> </w:t>
            </w:r>
          </w:p>
        </w:tc>
      </w:tr>
      <w:tr w:rsidR="000A7D9D" w14:paraId="1D51B1AA" w14:textId="77777777" w:rsidTr="00F31937">
        <w:tc>
          <w:tcPr>
            <w:tcW w:w="7800" w:type="dxa"/>
            <w:tcBorders>
              <w:top w:val="single" w:sz="8" w:space="0" w:color="auto"/>
              <w:left w:val="single" w:sz="8" w:space="0" w:color="auto"/>
              <w:bottom w:val="single" w:sz="8" w:space="0" w:color="auto"/>
              <w:right w:val="single" w:sz="8" w:space="0" w:color="auto"/>
            </w:tcBorders>
          </w:tcPr>
          <w:p w14:paraId="6DEB3217" w14:textId="77777777" w:rsidR="000A7D9D" w:rsidRPr="00A00723" w:rsidRDefault="00187DBF" w:rsidP="00F31937">
            <w:pPr>
              <w:jc w:val="both"/>
              <w:rPr>
                <w:rStyle w:val="Hyperlink"/>
                <w:rFonts w:eastAsiaTheme="minorEastAsia"/>
                <w:noProof/>
              </w:rPr>
            </w:pPr>
            <w:hyperlink r:id="rId128" w:history="1">
              <w:r w:rsidR="000A7D9D" w:rsidRPr="00A00723">
                <w:rPr>
                  <w:rStyle w:val="Hyperlink"/>
                  <w:rFonts w:eastAsia="Calibri"/>
                  <w:noProof/>
                </w:rPr>
                <w:t>Opinion on Electronic cigarettes</w:t>
              </w:r>
            </w:hyperlink>
          </w:p>
        </w:tc>
        <w:tc>
          <w:tcPr>
            <w:tcW w:w="1841" w:type="dxa"/>
            <w:tcBorders>
              <w:top w:val="single" w:sz="8" w:space="0" w:color="auto"/>
              <w:left w:val="single" w:sz="8" w:space="0" w:color="auto"/>
              <w:bottom w:val="single" w:sz="8" w:space="0" w:color="auto"/>
              <w:right w:val="single" w:sz="8" w:space="0" w:color="auto"/>
            </w:tcBorders>
          </w:tcPr>
          <w:p w14:paraId="72ED869A" w14:textId="77777777" w:rsidR="000A7D9D" w:rsidRPr="00A00723" w:rsidRDefault="000A7D9D" w:rsidP="00F31937">
            <w:pPr>
              <w:jc w:val="both"/>
              <w:rPr>
                <w:rFonts w:eastAsiaTheme="minorEastAsia"/>
                <w:noProof/>
              </w:rPr>
            </w:pPr>
            <w:r w:rsidRPr="00A00723">
              <w:rPr>
                <w:rFonts w:eastAsiaTheme="minorEastAsia"/>
                <w:noProof/>
              </w:rPr>
              <w:t>April 2021</w:t>
            </w:r>
          </w:p>
        </w:tc>
      </w:tr>
      <w:tr w:rsidR="000A7D9D" w14:paraId="2E7733A0" w14:textId="77777777" w:rsidTr="00F31937">
        <w:tc>
          <w:tcPr>
            <w:tcW w:w="7800" w:type="dxa"/>
            <w:tcBorders>
              <w:top w:val="single" w:sz="8" w:space="0" w:color="auto"/>
              <w:left w:val="single" w:sz="8" w:space="0" w:color="auto"/>
              <w:bottom w:val="single" w:sz="8" w:space="0" w:color="auto"/>
              <w:right w:val="single" w:sz="8" w:space="0" w:color="auto"/>
            </w:tcBorders>
          </w:tcPr>
          <w:p w14:paraId="62199A00" w14:textId="77777777" w:rsidR="000A7D9D" w:rsidRPr="00A00723" w:rsidRDefault="00187DBF" w:rsidP="00F31937">
            <w:pPr>
              <w:jc w:val="both"/>
              <w:rPr>
                <w:rStyle w:val="Hyperlink"/>
                <w:rFonts w:eastAsiaTheme="minorEastAsia"/>
                <w:noProof/>
              </w:rPr>
            </w:pPr>
            <w:hyperlink r:id="rId129" w:history="1">
              <w:r w:rsidR="000A7D9D" w:rsidRPr="00A00723">
                <w:rPr>
                  <w:rStyle w:val="Hyperlink"/>
                  <w:rFonts w:eastAsia="Calibri"/>
                  <w:noProof/>
                </w:rPr>
                <w:t>Opinion on the public health impacts and risks resulting from onshore oil and gas exploration and exploitation in the EU</w:t>
              </w:r>
            </w:hyperlink>
          </w:p>
        </w:tc>
        <w:tc>
          <w:tcPr>
            <w:tcW w:w="1841" w:type="dxa"/>
            <w:tcBorders>
              <w:top w:val="single" w:sz="8" w:space="0" w:color="auto"/>
              <w:left w:val="single" w:sz="8" w:space="0" w:color="auto"/>
              <w:bottom w:val="single" w:sz="8" w:space="0" w:color="auto"/>
              <w:right w:val="single" w:sz="8" w:space="0" w:color="auto"/>
            </w:tcBorders>
          </w:tcPr>
          <w:p w14:paraId="0B35EAA3" w14:textId="77777777" w:rsidR="000A7D9D" w:rsidRPr="00A00723" w:rsidRDefault="000A7D9D" w:rsidP="00F31937">
            <w:pPr>
              <w:jc w:val="both"/>
              <w:rPr>
                <w:rFonts w:eastAsiaTheme="minorEastAsia"/>
                <w:noProof/>
              </w:rPr>
            </w:pPr>
            <w:r w:rsidRPr="00A00723">
              <w:rPr>
                <w:rFonts w:eastAsiaTheme="minorEastAsia"/>
                <w:noProof/>
              </w:rPr>
              <w:t>Nov 2018</w:t>
            </w:r>
          </w:p>
        </w:tc>
      </w:tr>
      <w:tr w:rsidR="000A7D9D" w14:paraId="1EDCFEE2" w14:textId="77777777" w:rsidTr="00F31937">
        <w:tc>
          <w:tcPr>
            <w:tcW w:w="7800" w:type="dxa"/>
            <w:tcBorders>
              <w:top w:val="single" w:sz="8" w:space="0" w:color="auto"/>
              <w:left w:val="single" w:sz="8" w:space="0" w:color="auto"/>
              <w:bottom w:val="single" w:sz="8" w:space="0" w:color="auto"/>
              <w:right w:val="single" w:sz="8" w:space="0" w:color="auto"/>
            </w:tcBorders>
          </w:tcPr>
          <w:p w14:paraId="2E0454BF" w14:textId="77777777" w:rsidR="000A7D9D" w:rsidRPr="00A00723" w:rsidRDefault="00187DBF" w:rsidP="00F31937">
            <w:pPr>
              <w:jc w:val="both"/>
              <w:rPr>
                <w:rStyle w:val="Hyperlink"/>
                <w:rFonts w:eastAsiaTheme="minorEastAsia"/>
                <w:noProof/>
              </w:rPr>
            </w:pPr>
            <w:hyperlink r:id="rId130" w:history="1">
              <w:r w:rsidR="000A7D9D" w:rsidRPr="00A00723">
                <w:rPr>
                  <w:rStyle w:val="Hyperlink"/>
                  <w:rFonts w:eastAsia="Calibri"/>
                  <w:noProof/>
                </w:rPr>
                <w:t>Final Opinion on Additives used in tobacco products (Tobacco Additives II)</w:t>
              </w:r>
            </w:hyperlink>
          </w:p>
        </w:tc>
        <w:tc>
          <w:tcPr>
            <w:tcW w:w="1841" w:type="dxa"/>
            <w:tcBorders>
              <w:top w:val="single" w:sz="8" w:space="0" w:color="auto"/>
              <w:left w:val="single" w:sz="8" w:space="0" w:color="auto"/>
              <w:bottom w:val="single" w:sz="8" w:space="0" w:color="auto"/>
              <w:right w:val="single" w:sz="8" w:space="0" w:color="auto"/>
            </w:tcBorders>
          </w:tcPr>
          <w:p w14:paraId="7733F222" w14:textId="77777777" w:rsidR="000A7D9D" w:rsidRPr="00A00723" w:rsidRDefault="000A7D9D" w:rsidP="00F31937">
            <w:pPr>
              <w:jc w:val="both"/>
              <w:rPr>
                <w:rFonts w:eastAsiaTheme="minorEastAsia"/>
                <w:noProof/>
              </w:rPr>
            </w:pPr>
            <w:r w:rsidRPr="00A00723">
              <w:rPr>
                <w:rFonts w:eastAsiaTheme="minorEastAsia"/>
                <w:noProof/>
              </w:rPr>
              <w:t>Dec 2016</w:t>
            </w:r>
          </w:p>
        </w:tc>
      </w:tr>
      <w:tr w:rsidR="000A7D9D" w14:paraId="1878B239" w14:textId="77777777" w:rsidTr="00F31937">
        <w:tc>
          <w:tcPr>
            <w:tcW w:w="7800" w:type="dxa"/>
            <w:tcBorders>
              <w:top w:val="single" w:sz="8" w:space="0" w:color="auto"/>
              <w:left w:val="single" w:sz="8" w:space="0" w:color="auto"/>
              <w:bottom w:val="single" w:sz="8" w:space="0" w:color="auto"/>
              <w:right w:val="single" w:sz="8" w:space="0" w:color="auto"/>
            </w:tcBorders>
            <w:shd w:val="clear" w:color="auto" w:fill="CCCCCC"/>
          </w:tcPr>
          <w:p w14:paraId="1F2AF9BF" w14:textId="77777777" w:rsidR="000A7D9D" w:rsidRPr="00A00723" w:rsidRDefault="000A7D9D" w:rsidP="00F31937">
            <w:pPr>
              <w:jc w:val="both"/>
              <w:rPr>
                <w:rFonts w:eastAsiaTheme="minorEastAsia"/>
                <w:b/>
                <w:bCs/>
                <w:noProof/>
              </w:rPr>
            </w:pPr>
            <w:r w:rsidRPr="00A00723">
              <w:rPr>
                <w:rFonts w:eastAsiaTheme="minorEastAsia"/>
                <w:b/>
                <w:bCs/>
                <w:noProof/>
              </w:rPr>
              <w:t>Rapid risk assessment</w:t>
            </w:r>
          </w:p>
        </w:tc>
        <w:tc>
          <w:tcPr>
            <w:tcW w:w="1841" w:type="dxa"/>
            <w:tcBorders>
              <w:top w:val="single" w:sz="8" w:space="0" w:color="auto"/>
              <w:left w:val="single" w:sz="8" w:space="0" w:color="auto"/>
              <w:bottom w:val="single" w:sz="8" w:space="0" w:color="auto"/>
              <w:right w:val="single" w:sz="8" w:space="0" w:color="auto"/>
            </w:tcBorders>
            <w:shd w:val="clear" w:color="auto" w:fill="CCCCCC"/>
          </w:tcPr>
          <w:p w14:paraId="4EBBDF77" w14:textId="77777777" w:rsidR="000A7D9D" w:rsidRPr="00A00723" w:rsidRDefault="000A7D9D" w:rsidP="00F31937">
            <w:pPr>
              <w:jc w:val="both"/>
              <w:rPr>
                <w:rFonts w:eastAsiaTheme="minorEastAsia"/>
                <w:b/>
                <w:bCs/>
                <w:noProof/>
              </w:rPr>
            </w:pPr>
            <w:r w:rsidRPr="00A00723">
              <w:rPr>
                <w:rFonts w:eastAsiaTheme="minorEastAsia"/>
                <w:b/>
                <w:bCs/>
                <w:noProof/>
              </w:rPr>
              <w:t xml:space="preserve"> </w:t>
            </w:r>
          </w:p>
        </w:tc>
      </w:tr>
      <w:tr w:rsidR="000A7D9D" w14:paraId="3F15665C" w14:textId="77777777" w:rsidTr="00F31937">
        <w:tc>
          <w:tcPr>
            <w:tcW w:w="7800" w:type="dxa"/>
            <w:tcBorders>
              <w:top w:val="single" w:sz="8" w:space="0" w:color="auto"/>
              <w:left w:val="single" w:sz="8" w:space="0" w:color="auto"/>
              <w:bottom w:val="single" w:sz="8" w:space="0" w:color="auto"/>
              <w:right w:val="single" w:sz="8" w:space="0" w:color="auto"/>
            </w:tcBorders>
          </w:tcPr>
          <w:p w14:paraId="6959EDF3" w14:textId="77777777" w:rsidR="000A7D9D" w:rsidRPr="00A00723" w:rsidRDefault="00187DBF" w:rsidP="00F31937">
            <w:pPr>
              <w:jc w:val="both"/>
              <w:rPr>
                <w:rStyle w:val="Hyperlink"/>
                <w:rFonts w:eastAsiaTheme="minorEastAsia"/>
                <w:noProof/>
              </w:rPr>
            </w:pPr>
            <w:hyperlink r:id="rId131" w:history="1">
              <w:r w:rsidR="000A7D9D" w:rsidRPr="00A00723">
                <w:rPr>
                  <w:rFonts w:eastAsia="Calibri"/>
                  <w:noProof/>
                </w:rPr>
                <w:t xml:space="preserve">Guidance on </w:t>
              </w:r>
              <w:r w:rsidR="000A7D9D" w:rsidRPr="00A00723">
                <w:rPr>
                  <w:rFonts w:eastAsia="Calibri"/>
                  <w:i/>
                  <w:iCs/>
                  <w:noProof/>
                </w:rPr>
                <w:t>ad hoc</w:t>
              </w:r>
              <w:r w:rsidR="000A7D9D" w:rsidRPr="00A00723">
                <w:rPr>
                  <w:rStyle w:val="Hyperlink"/>
                  <w:rFonts w:eastAsia="Calibri"/>
                  <w:noProof/>
                </w:rPr>
                <w:t xml:space="preserve"> rapid risk assessment of serious cross-border chemical health threats performed by the SCHEER</w:t>
              </w:r>
            </w:hyperlink>
          </w:p>
        </w:tc>
        <w:tc>
          <w:tcPr>
            <w:tcW w:w="1841" w:type="dxa"/>
            <w:tcBorders>
              <w:top w:val="single" w:sz="8" w:space="0" w:color="auto"/>
              <w:left w:val="single" w:sz="8" w:space="0" w:color="auto"/>
              <w:bottom w:val="single" w:sz="8" w:space="0" w:color="auto"/>
              <w:right w:val="single" w:sz="8" w:space="0" w:color="auto"/>
            </w:tcBorders>
          </w:tcPr>
          <w:p w14:paraId="3A0A7ACA" w14:textId="77777777" w:rsidR="000A7D9D" w:rsidRPr="00A00723" w:rsidRDefault="000A7D9D" w:rsidP="00F31937">
            <w:pPr>
              <w:jc w:val="both"/>
              <w:rPr>
                <w:rFonts w:eastAsiaTheme="minorEastAsia"/>
                <w:noProof/>
              </w:rPr>
            </w:pPr>
            <w:r w:rsidRPr="00A00723">
              <w:rPr>
                <w:rFonts w:eastAsiaTheme="minorEastAsia"/>
                <w:noProof/>
              </w:rPr>
              <w:t>Feb 2017</w:t>
            </w:r>
          </w:p>
        </w:tc>
      </w:tr>
      <w:tr w:rsidR="000A7D9D" w14:paraId="71CE8C4F" w14:textId="77777777" w:rsidTr="00F31937">
        <w:tc>
          <w:tcPr>
            <w:tcW w:w="7800" w:type="dxa"/>
            <w:tcBorders>
              <w:top w:val="single" w:sz="8" w:space="0" w:color="auto"/>
              <w:left w:val="single" w:sz="8" w:space="0" w:color="auto"/>
              <w:bottom w:val="single" w:sz="8" w:space="0" w:color="auto"/>
              <w:right w:val="single" w:sz="8" w:space="0" w:color="auto"/>
            </w:tcBorders>
            <w:shd w:val="clear" w:color="auto" w:fill="CCCCCC"/>
          </w:tcPr>
          <w:p w14:paraId="33049C22" w14:textId="77777777" w:rsidR="000A7D9D" w:rsidRPr="00A00723" w:rsidRDefault="000A7D9D" w:rsidP="00F31937">
            <w:pPr>
              <w:jc w:val="both"/>
              <w:rPr>
                <w:rFonts w:eastAsiaTheme="minorEastAsia"/>
                <w:b/>
                <w:bCs/>
                <w:noProof/>
              </w:rPr>
            </w:pPr>
            <w:r w:rsidRPr="00A00723">
              <w:rPr>
                <w:rFonts w:eastAsiaTheme="minorEastAsia"/>
                <w:b/>
                <w:bCs/>
                <w:noProof/>
              </w:rPr>
              <w:t>Toys</w:t>
            </w:r>
          </w:p>
        </w:tc>
        <w:tc>
          <w:tcPr>
            <w:tcW w:w="1841" w:type="dxa"/>
            <w:tcBorders>
              <w:top w:val="single" w:sz="8" w:space="0" w:color="auto"/>
              <w:left w:val="single" w:sz="8" w:space="0" w:color="auto"/>
              <w:bottom w:val="single" w:sz="8" w:space="0" w:color="auto"/>
              <w:right w:val="single" w:sz="8" w:space="0" w:color="auto"/>
            </w:tcBorders>
            <w:shd w:val="clear" w:color="auto" w:fill="CCCCCC"/>
          </w:tcPr>
          <w:p w14:paraId="52E68D7B" w14:textId="77777777" w:rsidR="000A7D9D" w:rsidRPr="00A00723" w:rsidRDefault="000A7D9D" w:rsidP="00F31937">
            <w:pPr>
              <w:jc w:val="both"/>
              <w:rPr>
                <w:rFonts w:eastAsiaTheme="minorEastAsia"/>
                <w:noProof/>
              </w:rPr>
            </w:pPr>
            <w:r w:rsidRPr="00A00723">
              <w:rPr>
                <w:rFonts w:eastAsiaTheme="minorEastAsia"/>
                <w:noProof/>
              </w:rPr>
              <w:t xml:space="preserve"> </w:t>
            </w:r>
          </w:p>
        </w:tc>
      </w:tr>
      <w:tr w:rsidR="000A7D9D" w14:paraId="48CB5028" w14:textId="77777777" w:rsidTr="00F31937">
        <w:tc>
          <w:tcPr>
            <w:tcW w:w="7800" w:type="dxa"/>
            <w:tcBorders>
              <w:top w:val="single" w:sz="8" w:space="0" w:color="auto"/>
              <w:left w:val="single" w:sz="8" w:space="0" w:color="auto"/>
              <w:bottom w:val="single" w:sz="8" w:space="0" w:color="auto"/>
              <w:right w:val="single" w:sz="8" w:space="0" w:color="auto"/>
            </w:tcBorders>
          </w:tcPr>
          <w:p w14:paraId="1BE9B0BB" w14:textId="77777777" w:rsidR="000A7D9D" w:rsidRPr="00A00723" w:rsidRDefault="00187DBF" w:rsidP="00F31937">
            <w:pPr>
              <w:jc w:val="both"/>
              <w:rPr>
                <w:rStyle w:val="Hyperlink"/>
                <w:rFonts w:eastAsiaTheme="minorEastAsia"/>
                <w:noProof/>
              </w:rPr>
            </w:pPr>
            <w:hyperlink r:id="rId132" w:history="1">
              <w:r w:rsidR="000A7D9D" w:rsidRPr="00A00723">
                <w:rPr>
                  <w:rStyle w:val="Hyperlink"/>
                  <w:rFonts w:eastAsia="Calibri"/>
                  <w:noProof/>
                </w:rPr>
                <w:t>Final Opinion on Toxicological reference values for certain organic chemicals emitted from squishy toys with regard to adopting limit values under the Toy Safety Directive 2009/48/EC ‘Chemicals in squishy toys’</w:t>
              </w:r>
            </w:hyperlink>
          </w:p>
        </w:tc>
        <w:tc>
          <w:tcPr>
            <w:tcW w:w="1841" w:type="dxa"/>
            <w:tcBorders>
              <w:top w:val="single" w:sz="8" w:space="0" w:color="auto"/>
              <w:left w:val="single" w:sz="8" w:space="0" w:color="auto"/>
              <w:bottom w:val="single" w:sz="8" w:space="0" w:color="auto"/>
              <w:right w:val="single" w:sz="8" w:space="0" w:color="auto"/>
            </w:tcBorders>
          </w:tcPr>
          <w:p w14:paraId="6F2DBD7D" w14:textId="77777777" w:rsidR="000A7D9D" w:rsidRPr="00A00723" w:rsidRDefault="000A7D9D" w:rsidP="00F31937">
            <w:pPr>
              <w:jc w:val="both"/>
              <w:rPr>
                <w:rFonts w:eastAsiaTheme="minorEastAsia"/>
                <w:noProof/>
              </w:rPr>
            </w:pPr>
            <w:r w:rsidRPr="00A00723">
              <w:rPr>
                <w:rFonts w:eastAsiaTheme="minorEastAsia"/>
                <w:noProof/>
              </w:rPr>
              <w:t>June 2021</w:t>
            </w:r>
          </w:p>
        </w:tc>
      </w:tr>
      <w:tr w:rsidR="000A7D9D" w14:paraId="4A532718" w14:textId="77777777" w:rsidTr="00F31937">
        <w:tc>
          <w:tcPr>
            <w:tcW w:w="7800" w:type="dxa"/>
            <w:tcBorders>
              <w:top w:val="single" w:sz="8" w:space="0" w:color="auto"/>
              <w:left w:val="single" w:sz="8" w:space="0" w:color="auto"/>
              <w:bottom w:val="single" w:sz="8" w:space="0" w:color="auto"/>
              <w:right w:val="single" w:sz="8" w:space="0" w:color="auto"/>
            </w:tcBorders>
          </w:tcPr>
          <w:p w14:paraId="3ACEF02A" w14:textId="77777777" w:rsidR="000A7D9D" w:rsidRPr="00A00723" w:rsidRDefault="00187DBF" w:rsidP="00F31937">
            <w:pPr>
              <w:spacing w:line="276" w:lineRule="auto"/>
              <w:jc w:val="both"/>
              <w:rPr>
                <w:rStyle w:val="Hyperlink"/>
                <w:rFonts w:eastAsiaTheme="minorEastAsia"/>
                <w:noProof/>
              </w:rPr>
            </w:pPr>
            <w:hyperlink r:id="rId133" w:history="1">
              <w:r w:rsidR="000A7D9D" w:rsidRPr="00A00723">
                <w:rPr>
                  <w:rStyle w:val="Hyperlink"/>
                  <w:rFonts w:eastAsia="Calibri"/>
                  <w:noProof/>
                </w:rPr>
                <w:t>Final Opinion on Tolerable intake of aluminium with regards to adapting the migration limits for aluminium in toys</w:t>
              </w:r>
            </w:hyperlink>
          </w:p>
        </w:tc>
        <w:tc>
          <w:tcPr>
            <w:tcW w:w="1841" w:type="dxa"/>
            <w:tcBorders>
              <w:top w:val="single" w:sz="8" w:space="0" w:color="auto"/>
              <w:left w:val="single" w:sz="8" w:space="0" w:color="auto"/>
              <w:bottom w:val="single" w:sz="8" w:space="0" w:color="auto"/>
              <w:right w:val="single" w:sz="8" w:space="0" w:color="auto"/>
            </w:tcBorders>
          </w:tcPr>
          <w:p w14:paraId="2FE048BC" w14:textId="77777777" w:rsidR="000A7D9D" w:rsidRPr="00A00723" w:rsidRDefault="000A7D9D" w:rsidP="00F31937">
            <w:pPr>
              <w:jc w:val="both"/>
              <w:rPr>
                <w:rFonts w:eastAsiaTheme="minorEastAsia"/>
                <w:noProof/>
              </w:rPr>
            </w:pPr>
            <w:r w:rsidRPr="00A00723">
              <w:rPr>
                <w:rFonts w:eastAsiaTheme="minorEastAsia"/>
                <w:noProof/>
              </w:rPr>
              <w:t>Sept 2017</w:t>
            </w:r>
          </w:p>
        </w:tc>
      </w:tr>
      <w:tr w:rsidR="000A7D9D" w14:paraId="3AAC074D" w14:textId="77777777" w:rsidTr="00F31937">
        <w:tc>
          <w:tcPr>
            <w:tcW w:w="7800" w:type="dxa"/>
            <w:tcBorders>
              <w:top w:val="single" w:sz="8" w:space="0" w:color="auto"/>
              <w:left w:val="single" w:sz="8" w:space="0" w:color="auto"/>
              <w:bottom w:val="single" w:sz="8" w:space="0" w:color="auto"/>
              <w:right w:val="single" w:sz="8" w:space="0" w:color="auto"/>
            </w:tcBorders>
          </w:tcPr>
          <w:p w14:paraId="730F928A" w14:textId="77777777" w:rsidR="000A7D9D" w:rsidRPr="00A00723" w:rsidRDefault="00187DBF" w:rsidP="00F31937">
            <w:pPr>
              <w:jc w:val="both"/>
              <w:rPr>
                <w:rStyle w:val="Hyperlink"/>
                <w:rFonts w:eastAsiaTheme="minorEastAsia"/>
                <w:noProof/>
              </w:rPr>
            </w:pPr>
            <w:hyperlink r:id="rId134" w:history="1">
              <w:r w:rsidR="000A7D9D" w:rsidRPr="00A00723">
                <w:rPr>
                  <w:rStyle w:val="Hyperlink"/>
                  <w:rFonts w:eastAsia="Calibri"/>
                  <w:noProof/>
                </w:rPr>
                <w:t>Opinion on Estimates of the amount of toy materials ingested by children</w:t>
              </w:r>
            </w:hyperlink>
          </w:p>
        </w:tc>
        <w:tc>
          <w:tcPr>
            <w:tcW w:w="1841" w:type="dxa"/>
            <w:tcBorders>
              <w:top w:val="single" w:sz="8" w:space="0" w:color="auto"/>
              <w:left w:val="single" w:sz="8" w:space="0" w:color="auto"/>
              <w:bottom w:val="single" w:sz="8" w:space="0" w:color="auto"/>
              <w:right w:val="single" w:sz="8" w:space="0" w:color="auto"/>
            </w:tcBorders>
          </w:tcPr>
          <w:p w14:paraId="3775BBA2" w14:textId="77777777" w:rsidR="000A7D9D" w:rsidRPr="00A00723" w:rsidRDefault="000A7D9D" w:rsidP="00F31937">
            <w:pPr>
              <w:jc w:val="both"/>
              <w:rPr>
                <w:rFonts w:eastAsiaTheme="minorEastAsia"/>
                <w:noProof/>
              </w:rPr>
            </w:pPr>
            <w:r w:rsidRPr="00A00723">
              <w:rPr>
                <w:rFonts w:eastAsiaTheme="minorEastAsia"/>
                <w:noProof/>
              </w:rPr>
              <w:t>April 2016</w:t>
            </w:r>
          </w:p>
        </w:tc>
      </w:tr>
      <w:tr w:rsidR="000A7D9D" w14:paraId="314BBB6C" w14:textId="77777777" w:rsidTr="00F31937">
        <w:tc>
          <w:tcPr>
            <w:tcW w:w="7800" w:type="dxa"/>
            <w:tcBorders>
              <w:top w:val="single" w:sz="8" w:space="0" w:color="auto"/>
              <w:left w:val="single" w:sz="8" w:space="0" w:color="auto"/>
              <w:bottom w:val="single" w:sz="8" w:space="0" w:color="auto"/>
              <w:right w:val="single" w:sz="8" w:space="0" w:color="auto"/>
            </w:tcBorders>
          </w:tcPr>
          <w:p w14:paraId="74A0D974" w14:textId="77777777" w:rsidR="000A7D9D" w:rsidRPr="00A00723" w:rsidRDefault="00187DBF" w:rsidP="00F31937">
            <w:pPr>
              <w:jc w:val="both"/>
              <w:rPr>
                <w:rStyle w:val="Hyperlink"/>
                <w:rFonts w:eastAsiaTheme="minorEastAsia"/>
                <w:noProof/>
              </w:rPr>
            </w:pPr>
            <w:hyperlink r:id="rId135" w:history="1">
              <w:r w:rsidR="000A7D9D" w:rsidRPr="00A00723">
                <w:rPr>
                  <w:rStyle w:val="Hyperlink"/>
                  <w:rFonts w:eastAsia="Calibri"/>
                  <w:noProof/>
                </w:rPr>
                <w:t>Opinion on Chromium VI in toys</w:t>
              </w:r>
            </w:hyperlink>
          </w:p>
        </w:tc>
        <w:tc>
          <w:tcPr>
            <w:tcW w:w="1841" w:type="dxa"/>
            <w:tcBorders>
              <w:top w:val="single" w:sz="8" w:space="0" w:color="auto"/>
              <w:left w:val="single" w:sz="8" w:space="0" w:color="auto"/>
              <w:bottom w:val="single" w:sz="8" w:space="0" w:color="auto"/>
              <w:right w:val="single" w:sz="8" w:space="0" w:color="auto"/>
            </w:tcBorders>
          </w:tcPr>
          <w:p w14:paraId="59C33817" w14:textId="77777777" w:rsidR="000A7D9D" w:rsidRPr="00A00723" w:rsidRDefault="000A7D9D" w:rsidP="00F31937">
            <w:pPr>
              <w:jc w:val="both"/>
              <w:rPr>
                <w:rFonts w:eastAsiaTheme="minorEastAsia"/>
                <w:noProof/>
              </w:rPr>
            </w:pPr>
            <w:r w:rsidRPr="00A00723">
              <w:rPr>
                <w:rFonts w:eastAsiaTheme="minorEastAsia"/>
                <w:noProof/>
              </w:rPr>
              <w:t>Jan 2015</w:t>
            </w:r>
          </w:p>
        </w:tc>
      </w:tr>
      <w:tr w:rsidR="000A7D9D" w14:paraId="108D9F70" w14:textId="77777777" w:rsidTr="00F31937">
        <w:tc>
          <w:tcPr>
            <w:tcW w:w="7800" w:type="dxa"/>
            <w:tcBorders>
              <w:top w:val="single" w:sz="8" w:space="0" w:color="auto"/>
              <w:left w:val="single" w:sz="8" w:space="0" w:color="auto"/>
              <w:bottom w:val="single" w:sz="8" w:space="0" w:color="auto"/>
              <w:right w:val="single" w:sz="8" w:space="0" w:color="auto"/>
            </w:tcBorders>
            <w:shd w:val="clear" w:color="auto" w:fill="CCCCCC"/>
          </w:tcPr>
          <w:p w14:paraId="4161FBBF" w14:textId="77777777" w:rsidR="000A7D9D" w:rsidRPr="00A00723" w:rsidRDefault="000A7D9D" w:rsidP="00F31937">
            <w:pPr>
              <w:jc w:val="both"/>
              <w:rPr>
                <w:rFonts w:eastAsiaTheme="minorEastAsia"/>
                <w:b/>
                <w:bCs/>
                <w:noProof/>
              </w:rPr>
            </w:pPr>
            <w:r w:rsidRPr="00A00723">
              <w:rPr>
                <w:rFonts w:eastAsiaTheme="minorEastAsia"/>
                <w:b/>
                <w:bCs/>
                <w:noProof/>
              </w:rPr>
              <w:t>Statements</w:t>
            </w:r>
          </w:p>
        </w:tc>
        <w:tc>
          <w:tcPr>
            <w:tcW w:w="1841" w:type="dxa"/>
            <w:tcBorders>
              <w:top w:val="single" w:sz="8" w:space="0" w:color="auto"/>
              <w:left w:val="single" w:sz="8" w:space="0" w:color="auto"/>
              <w:bottom w:val="single" w:sz="8" w:space="0" w:color="auto"/>
              <w:right w:val="single" w:sz="8" w:space="0" w:color="auto"/>
            </w:tcBorders>
            <w:shd w:val="clear" w:color="auto" w:fill="CCCCCC"/>
          </w:tcPr>
          <w:p w14:paraId="67039C3C" w14:textId="77777777" w:rsidR="000A7D9D" w:rsidRPr="00A00723" w:rsidRDefault="000A7D9D" w:rsidP="00F31937">
            <w:pPr>
              <w:jc w:val="both"/>
              <w:rPr>
                <w:rFonts w:eastAsiaTheme="minorEastAsia"/>
                <w:noProof/>
              </w:rPr>
            </w:pPr>
            <w:r w:rsidRPr="00A00723">
              <w:rPr>
                <w:rFonts w:eastAsiaTheme="minorEastAsia"/>
                <w:noProof/>
              </w:rPr>
              <w:t xml:space="preserve"> </w:t>
            </w:r>
          </w:p>
        </w:tc>
      </w:tr>
      <w:tr w:rsidR="000A7D9D" w14:paraId="22B96103" w14:textId="77777777" w:rsidTr="00F31937">
        <w:tc>
          <w:tcPr>
            <w:tcW w:w="7800" w:type="dxa"/>
            <w:tcBorders>
              <w:top w:val="single" w:sz="8" w:space="0" w:color="auto"/>
              <w:left w:val="single" w:sz="8" w:space="0" w:color="auto"/>
              <w:bottom w:val="single" w:sz="8" w:space="0" w:color="auto"/>
              <w:right w:val="single" w:sz="8" w:space="0" w:color="auto"/>
            </w:tcBorders>
          </w:tcPr>
          <w:p w14:paraId="242A45E9" w14:textId="77777777" w:rsidR="000A7D9D" w:rsidRPr="00A00723" w:rsidRDefault="00187DBF" w:rsidP="00F31937">
            <w:pPr>
              <w:jc w:val="both"/>
              <w:rPr>
                <w:rStyle w:val="Hyperlink"/>
                <w:rFonts w:eastAsiaTheme="minorEastAsia"/>
                <w:noProof/>
              </w:rPr>
            </w:pPr>
            <w:hyperlink r:id="rId136">
              <w:r w:rsidR="000A7D9D" w:rsidRPr="00A00723">
                <w:rPr>
                  <w:rStyle w:val="Hyperlink"/>
                  <w:rFonts w:eastAsia="Calibri"/>
                  <w:noProof/>
                </w:rPr>
                <w:t>Statement I and II on emerging health and environmental issues (2018; 2022)</w:t>
              </w:r>
            </w:hyperlink>
          </w:p>
        </w:tc>
        <w:tc>
          <w:tcPr>
            <w:tcW w:w="1841" w:type="dxa"/>
            <w:tcBorders>
              <w:top w:val="single" w:sz="8" w:space="0" w:color="auto"/>
              <w:left w:val="single" w:sz="8" w:space="0" w:color="auto"/>
              <w:bottom w:val="single" w:sz="8" w:space="0" w:color="auto"/>
              <w:right w:val="single" w:sz="8" w:space="0" w:color="auto"/>
            </w:tcBorders>
          </w:tcPr>
          <w:p w14:paraId="04C8B44B" w14:textId="77777777" w:rsidR="000A7D9D" w:rsidRPr="00A00723" w:rsidRDefault="000A7D9D" w:rsidP="00F31937">
            <w:pPr>
              <w:jc w:val="both"/>
              <w:rPr>
                <w:rFonts w:eastAsiaTheme="minorEastAsia"/>
                <w:noProof/>
              </w:rPr>
            </w:pPr>
            <w:r w:rsidRPr="00A00723">
              <w:rPr>
                <w:rFonts w:eastAsiaTheme="minorEastAsia"/>
                <w:noProof/>
              </w:rPr>
              <w:t>Jan 2022</w:t>
            </w:r>
          </w:p>
        </w:tc>
      </w:tr>
      <w:tr w:rsidR="000A7D9D" w14:paraId="6B5ACC77"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3CCB79AC" w14:textId="77777777" w:rsidR="000A7D9D" w:rsidRPr="00A00723" w:rsidRDefault="00187DBF" w:rsidP="00F31937">
            <w:pPr>
              <w:jc w:val="both"/>
              <w:rPr>
                <w:rFonts w:eastAsia="Calibri"/>
                <w:noProof/>
              </w:rPr>
            </w:pPr>
            <w:hyperlink r:id="rId137">
              <w:r w:rsidR="000A7D9D" w:rsidRPr="00A00723">
                <w:rPr>
                  <w:rStyle w:val="Hyperlink"/>
                  <w:rFonts w:eastAsia="Arial"/>
                  <w:noProof/>
                </w:rPr>
                <w:t>SCHEER Statement on emerging health and environmental issues (2018)</w:t>
              </w:r>
            </w:hyperlink>
          </w:p>
        </w:tc>
        <w:tc>
          <w:tcPr>
            <w:tcW w:w="1841" w:type="dxa"/>
            <w:tcBorders>
              <w:top w:val="single" w:sz="8" w:space="0" w:color="auto"/>
              <w:left w:val="single" w:sz="8" w:space="0" w:color="auto"/>
              <w:bottom w:val="single" w:sz="8" w:space="0" w:color="auto"/>
              <w:right w:val="single" w:sz="8" w:space="0" w:color="auto"/>
            </w:tcBorders>
          </w:tcPr>
          <w:p w14:paraId="65077D32" w14:textId="77777777" w:rsidR="000A7D9D" w:rsidRPr="00A00723" w:rsidRDefault="000A7D9D" w:rsidP="00F31937">
            <w:pPr>
              <w:jc w:val="both"/>
              <w:rPr>
                <w:rFonts w:eastAsiaTheme="minorEastAsia"/>
                <w:noProof/>
              </w:rPr>
            </w:pPr>
            <w:r w:rsidRPr="00A00723">
              <w:rPr>
                <w:rFonts w:eastAsiaTheme="minorEastAsia"/>
                <w:noProof/>
              </w:rPr>
              <w:t>December 2018</w:t>
            </w:r>
          </w:p>
        </w:tc>
      </w:tr>
      <w:tr w:rsidR="000A7D9D" w14:paraId="6E2D9783"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1562E140" w14:textId="77777777" w:rsidR="000A7D9D" w:rsidRPr="00A00723" w:rsidRDefault="00187DBF" w:rsidP="00F31937">
            <w:pPr>
              <w:jc w:val="both"/>
              <w:rPr>
                <w:rFonts w:eastAsia="Arial"/>
                <w:noProof/>
              </w:rPr>
            </w:pPr>
            <w:hyperlink r:id="rId138">
              <w:r w:rsidR="000A7D9D" w:rsidRPr="00A00723">
                <w:rPr>
                  <w:rStyle w:val="Hyperlink"/>
                  <w:rFonts w:eastAsia="Arial"/>
                  <w:noProof/>
                </w:rPr>
                <w:t>SCHEER Position Paper on Emerging Issues and the Role of the SCHEER (2018)</w:t>
              </w:r>
            </w:hyperlink>
          </w:p>
        </w:tc>
        <w:tc>
          <w:tcPr>
            <w:tcW w:w="1841" w:type="dxa"/>
            <w:tcBorders>
              <w:top w:val="single" w:sz="8" w:space="0" w:color="auto"/>
              <w:left w:val="single" w:sz="8" w:space="0" w:color="auto"/>
              <w:bottom w:val="single" w:sz="8" w:space="0" w:color="auto"/>
              <w:right w:val="single" w:sz="8" w:space="0" w:color="auto"/>
            </w:tcBorders>
          </w:tcPr>
          <w:p w14:paraId="0D681D02" w14:textId="77777777" w:rsidR="000A7D9D" w:rsidRPr="00A00723" w:rsidRDefault="000A7D9D" w:rsidP="00F31937">
            <w:pPr>
              <w:jc w:val="both"/>
              <w:rPr>
                <w:rFonts w:eastAsiaTheme="minorEastAsia"/>
                <w:noProof/>
              </w:rPr>
            </w:pPr>
            <w:r w:rsidRPr="00A00723">
              <w:rPr>
                <w:rFonts w:eastAsiaTheme="minorEastAsia"/>
                <w:noProof/>
              </w:rPr>
              <w:t>June 2018</w:t>
            </w:r>
          </w:p>
        </w:tc>
      </w:tr>
      <w:tr w:rsidR="000A7D9D" w14:paraId="0C104038"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661A68DC" w14:textId="77777777" w:rsidR="000A7D9D" w:rsidRPr="00A00723" w:rsidRDefault="00187DBF" w:rsidP="00F31937">
            <w:pPr>
              <w:jc w:val="both"/>
              <w:rPr>
                <w:rFonts w:eastAsia="Arial"/>
                <w:noProof/>
              </w:rPr>
            </w:pPr>
            <w:hyperlink r:id="rId139">
              <w:r w:rsidR="000A7D9D" w:rsidRPr="00A00723">
                <w:rPr>
                  <w:rStyle w:val="Hyperlink"/>
                  <w:rFonts w:eastAsia="Arial"/>
                  <w:noProof/>
                </w:rPr>
                <w:t>Memorandum on weight of evidence and uncertainties - Revision 2018</w:t>
              </w:r>
            </w:hyperlink>
          </w:p>
        </w:tc>
        <w:tc>
          <w:tcPr>
            <w:tcW w:w="1841" w:type="dxa"/>
            <w:tcBorders>
              <w:top w:val="single" w:sz="8" w:space="0" w:color="auto"/>
              <w:left w:val="single" w:sz="8" w:space="0" w:color="auto"/>
              <w:bottom w:val="single" w:sz="8" w:space="0" w:color="auto"/>
              <w:right w:val="single" w:sz="8" w:space="0" w:color="auto"/>
            </w:tcBorders>
          </w:tcPr>
          <w:p w14:paraId="1E35ABE5" w14:textId="77777777" w:rsidR="000A7D9D" w:rsidRPr="00A00723" w:rsidRDefault="000A7D9D" w:rsidP="00F31937">
            <w:pPr>
              <w:jc w:val="both"/>
              <w:rPr>
                <w:rFonts w:eastAsiaTheme="minorEastAsia"/>
                <w:noProof/>
              </w:rPr>
            </w:pPr>
            <w:r w:rsidRPr="00A00723">
              <w:rPr>
                <w:rFonts w:eastAsiaTheme="minorEastAsia"/>
                <w:noProof/>
              </w:rPr>
              <w:t>June 2018</w:t>
            </w:r>
          </w:p>
        </w:tc>
      </w:tr>
      <w:tr w:rsidR="000A7D9D" w14:paraId="00DFE333" w14:textId="77777777" w:rsidTr="00F31937">
        <w:trPr>
          <w:trHeight w:val="300"/>
        </w:trPr>
        <w:tc>
          <w:tcPr>
            <w:tcW w:w="7800" w:type="dxa"/>
            <w:tcBorders>
              <w:top w:val="single" w:sz="8" w:space="0" w:color="auto"/>
              <w:left w:val="single" w:sz="8" w:space="0" w:color="auto"/>
              <w:bottom w:val="single" w:sz="8" w:space="0" w:color="auto"/>
              <w:right w:val="single" w:sz="8" w:space="0" w:color="auto"/>
            </w:tcBorders>
          </w:tcPr>
          <w:p w14:paraId="667C5785" w14:textId="77777777" w:rsidR="000A7D9D" w:rsidRPr="00A00723" w:rsidRDefault="00187DBF" w:rsidP="00F31937">
            <w:pPr>
              <w:jc w:val="both"/>
              <w:rPr>
                <w:rFonts w:eastAsia="Arial"/>
                <w:noProof/>
              </w:rPr>
            </w:pPr>
            <w:hyperlink r:id="rId140">
              <w:r w:rsidR="000A7D9D" w:rsidRPr="00A00723">
                <w:rPr>
                  <w:rStyle w:val="Hyperlink"/>
                  <w:rFonts w:eastAsia="Arial"/>
                  <w:noProof/>
                </w:rPr>
                <w:t>Position Statement on emerging and newly identified health risks be drawn to the attention of the European Commission</w:t>
              </w:r>
            </w:hyperlink>
          </w:p>
        </w:tc>
        <w:tc>
          <w:tcPr>
            <w:tcW w:w="1841" w:type="dxa"/>
            <w:tcBorders>
              <w:top w:val="single" w:sz="8" w:space="0" w:color="auto"/>
              <w:left w:val="single" w:sz="8" w:space="0" w:color="auto"/>
              <w:bottom w:val="single" w:sz="8" w:space="0" w:color="auto"/>
              <w:right w:val="single" w:sz="8" w:space="0" w:color="auto"/>
            </w:tcBorders>
          </w:tcPr>
          <w:p w14:paraId="4B36657A" w14:textId="77777777" w:rsidR="000A7D9D" w:rsidRPr="00A00723" w:rsidRDefault="000A7D9D" w:rsidP="00F31937">
            <w:pPr>
              <w:jc w:val="both"/>
              <w:rPr>
                <w:rFonts w:eastAsiaTheme="minorEastAsia"/>
                <w:noProof/>
              </w:rPr>
            </w:pPr>
            <w:r w:rsidRPr="00A00723">
              <w:rPr>
                <w:rFonts w:eastAsiaTheme="minorEastAsia"/>
                <w:noProof/>
              </w:rPr>
              <w:t>November 2014</w:t>
            </w:r>
          </w:p>
        </w:tc>
      </w:tr>
      <w:tr w:rsidR="000A7D9D" w14:paraId="701A7A4B" w14:textId="77777777" w:rsidTr="00F31937">
        <w:tc>
          <w:tcPr>
            <w:tcW w:w="7800" w:type="dxa"/>
            <w:tcBorders>
              <w:top w:val="single" w:sz="8" w:space="0" w:color="auto"/>
              <w:left w:val="single" w:sz="8" w:space="0" w:color="auto"/>
              <w:bottom w:val="single" w:sz="8" w:space="0" w:color="auto"/>
              <w:right w:val="single" w:sz="8" w:space="0" w:color="auto"/>
            </w:tcBorders>
            <w:shd w:val="clear" w:color="auto" w:fill="D0CECE"/>
          </w:tcPr>
          <w:p w14:paraId="281BC1E4" w14:textId="77777777" w:rsidR="000A7D9D" w:rsidRPr="00A00723" w:rsidRDefault="000A7D9D" w:rsidP="00F31937">
            <w:pPr>
              <w:jc w:val="both"/>
              <w:rPr>
                <w:rFonts w:eastAsiaTheme="minorEastAsia"/>
                <w:b/>
                <w:bCs/>
                <w:noProof/>
              </w:rPr>
            </w:pPr>
            <w:r w:rsidRPr="00A00723">
              <w:rPr>
                <w:rFonts w:eastAsiaTheme="minorEastAsia"/>
                <w:b/>
                <w:bCs/>
                <w:noProof/>
              </w:rPr>
              <w:t>Nanotechnologies</w:t>
            </w:r>
          </w:p>
        </w:tc>
        <w:tc>
          <w:tcPr>
            <w:tcW w:w="1841" w:type="dxa"/>
            <w:tcBorders>
              <w:top w:val="single" w:sz="8" w:space="0" w:color="auto"/>
              <w:left w:val="single" w:sz="8" w:space="0" w:color="auto"/>
              <w:bottom w:val="single" w:sz="8" w:space="0" w:color="auto"/>
              <w:right w:val="single" w:sz="8" w:space="0" w:color="auto"/>
            </w:tcBorders>
            <w:shd w:val="clear" w:color="auto" w:fill="D0CECE"/>
          </w:tcPr>
          <w:p w14:paraId="4BEA21AB" w14:textId="77777777" w:rsidR="000A7D9D" w:rsidRPr="00A00723" w:rsidRDefault="000A7D9D" w:rsidP="00F31937">
            <w:pPr>
              <w:jc w:val="both"/>
              <w:rPr>
                <w:rFonts w:eastAsiaTheme="minorEastAsia"/>
                <w:b/>
                <w:bCs/>
                <w:noProof/>
              </w:rPr>
            </w:pPr>
            <w:r w:rsidRPr="00A00723">
              <w:rPr>
                <w:rFonts w:eastAsiaTheme="minorEastAsia"/>
                <w:b/>
                <w:bCs/>
                <w:noProof/>
              </w:rPr>
              <w:t xml:space="preserve"> </w:t>
            </w:r>
          </w:p>
        </w:tc>
      </w:tr>
      <w:tr w:rsidR="000A7D9D" w14:paraId="64047A7B" w14:textId="77777777" w:rsidTr="00F31937">
        <w:tc>
          <w:tcPr>
            <w:tcW w:w="7800" w:type="dxa"/>
            <w:tcBorders>
              <w:top w:val="single" w:sz="8" w:space="0" w:color="auto"/>
              <w:left w:val="single" w:sz="8" w:space="0" w:color="auto"/>
              <w:bottom w:val="single" w:sz="8" w:space="0" w:color="auto"/>
              <w:right w:val="single" w:sz="8" w:space="0" w:color="auto"/>
            </w:tcBorders>
          </w:tcPr>
          <w:p w14:paraId="42D2773F" w14:textId="77777777" w:rsidR="000A7D9D" w:rsidRPr="00A00723" w:rsidRDefault="000A7D9D" w:rsidP="00F31937">
            <w:pPr>
              <w:jc w:val="both"/>
              <w:rPr>
                <w:rFonts w:eastAsiaTheme="minorEastAsia"/>
                <w:noProof/>
                <w:color w:val="000000" w:themeColor="text1"/>
              </w:rPr>
            </w:pPr>
            <w:r w:rsidRPr="00A00723">
              <w:rPr>
                <w:rFonts w:eastAsiaTheme="minorEastAsia"/>
                <w:noProof/>
                <w:color w:val="000000" w:themeColor="text1"/>
              </w:rPr>
              <w:t>Final opinion on Guidance on the Determination of Potential Health Effects of Nanomaterials Used in Medical Devices</w:t>
            </w:r>
          </w:p>
        </w:tc>
        <w:tc>
          <w:tcPr>
            <w:tcW w:w="1841" w:type="dxa"/>
            <w:tcBorders>
              <w:top w:val="single" w:sz="8" w:space="0" w:color="auto"/>
              <w:left w:val="single" w:sz="8" w:space="0" w:color="auto"/>
              <w:bottom w:val="single" w:sz="8" w:space="0" w:color="auto"/>
              <w:right w:val="single" w:sz="8" w:space="0" w:color="auto"/>
            </w:tcBorders>
          </w:tcPr>
          <w:p w14:paraId="1F358A39" w14:textId="77777777" w:rsidR="000A7D9D" w:rsidRPr="00A00723" w:rsidRDefault="000A7D9D" w:rsidP="00F31937">
            <w:pPr>
              <w:jc w:val="both"/>
              <w:rPr>
                <w:rFonts w:eastAsiaTheme="minorEastAsia"/>
                <w:noProof/>
              </w:rPr>
            </w:pPr>
            <w:r w:rsidRPr="00A00723">
              <w:rPr>
                <w:rFonts w:eastAsiaTheme="minorEastAsia"/>
                <w:noProof/>
              </w:rPr>
              <w:t>Jan 2015</w:t>
            </w:r>
          </w:p>
        </w:tc>
      </w:tr>
      <w:tr w:rsidR="000A7D9D" w14:paraId="35C6CBB1" w14:textId="77777777" w:rsidTr="00F31937">
        <w:tc>
          <w:tcPr>
            <w:tcW w:w="7800" w:type="dxa"/>
            <w:tcBorders>
              <w:top w:val="single" w:sz="8" w:space="0" w:color="auto"/>
              <w:left w:val="single" w:sz="8" w:space="0" w:color="auto"/>
              <w:bottom w:val="single" w:sz="8" w:space="0" w:color="auto"/>
              <w:right w:val="single" w:sz="8" w:space="0" w:color="auto"/>
            </w:tcBorders>
          </w:tcPr>
          <w:p w14:paraId="1ADBAF5B" w14:textId="77777777" w:rsidR="000A7D9D" w:rsidRPr="00A00723" w:rsidRDefault="000A7D9D" w:rsidP="00F31937">
            <w:pPr>
              <w:jc w:val="both"/>
              <w:rPr>
                <w:rFonts w:eastAsiaTheme="minorEastAsia"/>
                <w:noProof/>
                <w:color w:val="70AD47"/>
              </w:rPr>
            </w:pPr>
            <w:r w:rsidRPr="00A00723">
              <w:rPr>
                <w:rFonts w:eastAsiaTheme="minorEastAsia"/>
                <w:noProof/>
                <w:color w:val="70AD47"/>
              </w:rPr>
              <w:t>Final opinion on Nanosilver: safety, health and environmental effects and role in antimicrobial resistance</w:t>
            </w:r>
          </w:p>
        </w:tc>
        <w:tc>
          <w:tcPr>
            <w:tcW w:w="1841" w:type="dxa"/>
            <w:tcBorders>
              <w:top w:val="single" w:sz="8" w:space="0" w:color="auto"/>
              <w:left w:val="single" w:sz="8" w:space="0" w:color="auto"/>
              <w:bottom w:val="single" w:sz="8" w:space="0" w:color="auto"/>
              <w:right w:val="single" w:sz="8" w:space="0" w:color="auto"/>
            </w:tcBorders>
          </w:tcPr>
          <w:p w14:paraId="78E2F465" w14:textId="77777777" w:rsidR="000A7D9D" w:rsidRPr="00A00723" w:rsidRDefault="000A7D9D" w:rsidP="00F31937">
            <w:pPr>
              <w:jc w:val="both"/>
              <w:rPr>
                <w:rFonts w:eastAsiaTheme="minorEastAsia"/>
                <w:noProof/>
              </w:rPr>
            </w:pPr>
            <w:r w:rsidRPr="00A00723">
              <w:rPr>
                <w:rFonts w:eastAsiaTheme="minorEastAsia"/>
                <w:noProof/>
              </w:rPr>
              <w:t>June 2014</w:t>
            </w:r>
          </w:p>
        </w:tc>
      </w:tr>
    </w:tbl>
    <w:p w14:paraId="268108AA" w14:textId="77777777" w:rsidR="000A7D9D" w:rsidRDefault="000A7D9D" w:rsidP="000A7D9D">
      <w:pPr>
        <w:spacing w:line="257" w:lineRule="auto"/>
        <w:jc w:val="both"/>
        <w:rPr>
          <w:rFonts w:ascii="Calibri" w:eastAsia="Calibri" w:hAnsi="Calibri" w:cs="Calibri"/>
          <w:noProof/>
          <w:sz w:val="24"/>
          <w:szCs w:val="24"/>
          <w:lang w:val="en-US"/>
        </w:rPr>
      </w:pPr>
    </w:p>
    <w:p w14:paraId="3F36208C" w14:textId="77777777" w:rsidR="000A7D9D" w:rsidRPr="00DA2CFE" w:rsidRDefault="000A7D9D" w:rsidP="000A7D9D">
      <w:pPr>
        <w:jc w:val="both"/>
        <w:rPr>
          <w:rFonts w:ascii="Times New Roman" w:eastAsiaTheme="minorEastAsia" w:hAnsi="Times New Roman" w:cs="Times New Roman"/>
          <w:noProof/>
          <w:color w:val="000000" w:themeColor="text1"/>
          <w:sz w:val="24"/>
          <w:szCs w:val="24"/>
          <w:lang w:val="en-US"/>
        </w:rPr>
      </w:pPr>
      <w:r w:rsidRPr="00DA2CFE">
        <w:rPr>
          <w:rStyle w:val="eop"/>
          <w:rFonts w:ascii="Times New Roman" w:eastAsiaTheme="minorEastAsia" w:hAnsi="Times New Roman" w:cs="Times New Roman"/>
          <w:noProof/>
          <w:color w:val="000000" w:themeColor="text1"/>
          <w:sz w:val="24"/>
          <w:szCs w:val="24"/>
        </w:rPr>
        <w:t xml:space="preserve">The Rules of Procedure of the Committees are fully described here: </w:t>
      </w:r>
    </w:p>
    <w:p w14:paraId="1A8B7CF1" w14:textId="77777777" w:rsidR="000A7D9D" w:rsidRPr="00A00723" w:rsidRDefault="00187DBF" w:rsidP="000A7D9D">
      <w:pPr>
        <w:jc w:val="both"/>
        <w:rPr>
          <w:rFonts w:ascii="Times New Roman" w:eastAsiaTheme="minorEastAsia" w:hAnsi="Times New Roman" w:cs="Times New Roman"/>
          <w:noProof/>
          <w:color w:val="000000" w:themeColor="text1"/>
          <w:sz w:val="24"/>
          <w:szCs w:val="24"/>
          <w:lang w:val="en-US"/>
        </w:rPr>
      </w:pPr>
      <w:hyperlink r:id="rId141" w:history="1">
        <w:r w:rsidR="000A7D9D" w:rsidRPr="00A00723">
          <w:rPr>
            <w:rStyle w:val="Hyperlink"/>
            <w:noProof/>
            <w:sz w:val="24"/>
          </w:rPr>
          <w:t>https://ec.europa.eu/health/sites/health/files/scientific_committees/docs/rules_procedure_2016_en.pdf</w:t>
        </w:r>
      </w:hyperlink>
      <w:r w:rsidR="000A7D9D" w:rsidRPr="00A00723">
        <w:rPr>
          <w:rStyle w:val="eop"/>
          <w:rFonts w:eastAsiaTheme="minorEastAsia"/>
          <w:noProof/>
          <w:color w:val="000000" w:themeColor="text1"/>
        </w:rPr>
        <w:t xml:space="preserve">. </w:t>
      </w:r>
    </w:p>
    <w:p w14:paraId="7444FA78" w14:textId="77777777" w:rsidR="000A7D9D" w:rsidRPr="00DA2CFE" w:rsidRDefault="000A7D9D" w:rsidP="000A7D9D">
      <w:pPr>
        <w:spacing w:after="120"/>
        <w:jc w:val="both"/>
        <w:rPr>
          <w:rFonts w:ascii="Times New Roman" w:eastAsiaTheme="minorEastAsia" w:hAnsi="Times New Roman" w:cs="Times New Roman"/>
          <w:noProof/>
          <w:color w:val="000000" w:themeColor="text1"/>
          <w:sz w:val="24"/>
          <w:szCs w:val="24"/>
          <w:lang w:val="en-US"/>
        </w:rPr>
      </w:pPr>
      <w:r w:rsidRPr="00DA2CFE">
        <w:rPr>
          <w:rStyle w:val="eop"/>
          <w:rFonts w:ascii="Times New Roman" w:eastAsiaTheme="minorEastAsia" w:hAnsi="Times New Roman" w:cs="Times New Roman"/>
          <w:noProof/>
          <w:color w:val="000000" w:themeColor="text1"/>
          <w:sz w:val="24"/>
          <w:szCs w:val="24"/>
        </w:rPr>
        <w:t xml:space="preserve">In order to ensure the effective functioning of the Scientific Committees, these Rules of Procedure regulate the functioning of the Scientific Committees, their working groups, the role and responsibilities of members and experts, other activities related to the functioning of the Scientific Committees, as well as the role and responsibilities of their secretariat. </w:t>
      </w:r>
    </w:p>
    <w:p w14:paraId="1549D465" w14:textId="77777777" w:rsidR="000A7D9D" w:rsidRPr="00DA2CFE" w:rsidRDefault="000A7D9D" w:rsidP="000A7D9D">
      <w:pPr>
        <w:spacing w:after="120" w:line="257" w:lineRule="auto"/>
        <w:jc w:val="both"/>
        <w:rPr>
          <w:rStyle w:val="eop"/>
          <w:rFonts w:ascii="Times New Roman" w:eastAsiaTheme="minorEastAsia" w:hAnsi="Times New Roman" w:cs="Times New Roman"/>
          <w:noProof/>
          <w:color w:val="000000" w:themeColor="text1"/>
          <w:sz w:val="24"/>
          <w:szCs w:val="24"/>
        </w:rPr>
      </w:pPr>
      <w:r w:rsidRPr="00DA2CFE">
        <w:rPr>
          <w:rStyle w:val="eop"/>
          <w:rFonts w:ascii="Times New Roman" w:eastAsiaTheme="minorEastAsia" w:hAnsi="Times New Roman" w:cs="Times New Roman"/>
          <w:noProof/>
          <w:color w:val="000000" w:themeColor="text1"/>
          <w:sz w:val="24"/>
          <w:szCs w:val="24"/>
        </w:rPr>
        <w:t>The members of the SCCS and SCHEER are independent experts in various fields, selected after a public Call for Experts and appointed for a five-year term (current one until the end of 2026).</w:t>
      </w:r>
    </w:p>
    <w:p w14:paraId="4C65D17A" w14:textId="77777777" w:rsidR="000A7D9D" w:rsidRPr="00A00723" w:rsidRDefault="000A7D9D" w:rsidP="000A7D9D">
      <w:pPr>
        <w:spacing w:after="120" w:line="257" w:lineRule="auto"/>
        <w:jc w:val="both"/>
        <w:rPr>
          <w:rFonts w:ascii="Times New Roman" w:eastAsiaTheme="minorEastAsia" w:hAnsi="Times New Roman" w:cs="Times New Roman"/>
          <w:noProof/>
          <w:color w:val="000000" w:themeColor="text1"/>
          <w:sz w:val="24"/>
          <w:szCs w:val="24"/>
          <w:u w:val="single"/>
        </w:rPr>
      </w:pPr>
      <w:r w:rsidRPr="00A00723">
        <w:rPr>
          <w:rFonts w:ascii="Times New Roman" w:eastAsiaTheme="minorEastAsia" w:hAnsi="Times New Roman" w:cs="Times New Roman"/>
          <w:noProof/>
          <w:color w:val="000000" w:themeColor="text1"/>
          <w:sz w:val="24"/>
          <w:szCs w:val="24"/>
          <w:u w:val="single"/>
        </w:rPr>
        <w:t>Changes in the process:</w:t>
      </w:r>
    </w:p>
    <w:p w14:paraId="7922044B" w14:textId="77777777" w:rsidR="000A7D9D" w:rsidRPr="00A00723" w:rsidRDefault="000A7D9D" w:rsidP="000A7D9D">
      <w:pPr>
        <w:spacing w:after="120" w:line="257" w:lineRule="auto"/>
        <w:jc w:val="both"/>
        <w:rPr>
          <w:rFonts w:ascii="Times New Roman" w:eastAsiaTheme="minorEastAsia" w:hAnsi="Times New Roman" w:cs="Times New Roman"/>
          <w:noProof/>
          <w:sz w:val="24"/>
          <w:szCs w:val="24"/>
        </w:rPr>
      </w:pPr>
      <w:r w:rsidRPr="00A00723">
        <w:rPr>
          <w:rFonts w:ascii="Times New Roman" w:eastAsiaTheme="minorEastAsia" w:hAnsi="Times New Roman" w:cs="Times New Roman"/>
          <w:noProof/>
          <w:sz w:val="24"/>
          <w:szCs w:val="24"/>
        </w:rPr>
        <w:t xml:space="preserve">The </w:t>
      </w:r>
      <w:r w:rsidRPr="00A00723">
        <w:rPr>
          <w:rFonts w:ascii="Times New Roman" w:eastAsiaTheme="minorEastAsia" w:hAnsi="Times New Roman" w:cs="Times New Roman"/>
          <w:b/>
          <w:bCs/>
          <w:noProof/>
          <w:sz w:val="24"/>
          <w:szCs w:val="24"/>
        </w:rPr>
        <w:t>SCCS</w:t>
      </w:r>
      <w:r w:rsidRPr="00A00723">
        <w:rPr>
          <w:rFonts w:ascii="Times New Roman" w:eastAsiaTheme="minorEastAsia" w:hAnsi="Times New Roman" w:cs="Times New Roman"/>
          <w:noProof/>
          <w:sz w:val="24"/>
          <w:szCs w:val="24"/>
        </w:rPr>
        <w:t xml:space="preserve"> is embedded in the Cosmetics regulation as a risk assessment body providing opinions to ensure safety of cosmetics products. In practice, SCCS serves exclusively to the implementation of the Cosmetic Products Regulation. The impact assessment accompanying the Commission Proposal for the revision of the Cosmetic Products Regulation contains analysis of options for reattribution of SCCS’s tasks to ECHA. After the reattribution of work for cosmetics regulation to ECHA, there will be no need for DG SANTE operating the SCC</w:t>
      </w:r>
      <w:r>
        <w:rPr>
          <w:rFonts w:ascii="Times New Roman" w:eastAsiaTheme="minorEastAsia" w:hAnsi="Times New Roman" w:cs="Times New Roman"/>
          <w:noProof/>
          <w:sz w:val="24"/>
          <w:szCs w:val="24"/>
        </w:rPr>
        <w:t>S</w:t>
      </w:r>
      <w:r w:rsidRPr="00A00723">
        <w:rPr>
          <w:rFonts w:ascii="Times New Roman" w:eastAsiaTheme="minorEastAsia" w:hAnsi="Times New Roman" w:cs="Times New Roman"/>
          <w:noProof/>
          <w:sz w:val="24"/>
          <w:szCs w:val="24"/>
        </w:rPr>
        <w:t>.</w:t>
      </w:r>
    </w:p>
    <w:p w14:paraId="290B9C52" w14:textId="77777777" w:rsidR="000A7D9D" w:rsidRPr="00A00723" w:rsidRDefault="000A7D9D" w:rsidP="000A7D9D">
      <w:pPr>
        <w:spacing w:after="120" w:line="257" w:lineRule="auto"/>
        <w:jc w:val="both"/>
        <w:rPr>
          <w:rFonts w:ascii="Times New Roman" w:eastAsiaTheme="minorEastAsia" w:hAnsi="Times New Roman" w:cs="Times New Roman"/>
          <w:noProof/>
          <w:sz w:val="24"/>
          <w:szCs w:val="24"/>
          <w:lang w:val="en-US"/>
        </w:rPr>
      </w:pPr>
      <w:r w:rsidRPr="00A00723">
        <w:rPr>
          <w:rFonts w:ascii="Times New Roman" w:eastAsiaTheme="minorEastAsia" w:hAnsi="Times New Roman" w:cs="Times New Roman"/>
          <w:noProof/>
          <w:sz w:val="24"/>
          <w:szCs w:val="24"/>
          <w:lang w:val="en-US"/>
        </w:rPr>
        <w:t xml:space="preserve">The </w:t>
      </w:r>
      <w:r w:rsidRPr="00A00723">
        <w:rPr>
          <w:rFonts w:ascii="Times New Roman" w:eastAsiaTheme="minorEastAsia" w:hAnsi="Times New Roman" w:cs="Times New Roman"/>
          <w:b/>
          <w:bCs/>
          <w:noProof/>
          <w:sz w:val="24"/>
          <w:szCs w:val="24"/>
          <w:lang w:val="en-US"/>
        </w:rPr>
        <w:t>SCHEER</w:t>
      </w:r>
      <w:r w:rsidRPr="00A00723">
        <w:rPr>
          <w:rFonts w:ascii="Times New Roman" w:eastAsiaTheme="minorEastAsia" w:hAnsi="Times New Roman" w:cs="Times New Roman"/>
          <w:noProof/>
          <w:sz w:val="24"/>
          <w:szCs w:val="24"/>
          <w:lang w:val="en-US"/>
        </w:rPr>
        <w:t xml:space="preserve">‘s work is diverse. One part of the SCHEER’s work relates to chemicals, namely under the Water Framework Directive/Environmental Quality Standard Directive, Toys Directive, Medical Devices Directive, Cross-Border Health Threats Regulation and Tobacco Directive. This can be re-attributed to the EU Agencies. </w:t>
      </w:r>
    </w:p>
    <w:p w14:paraId="3D78BEFF" w14:textId="77777777" w:rsidR="000A7D9D" w:rsidRPr="00A00723" w:rsidRDefault="000A7D9D" w:rsidP="000A7D9D">
      <w:pPr>
        <w:spacing w:after="120" w:line="257" w:lineRule="auto"/>
        <w:jc w:val="both"/>
        <w:rPr>
          <w:rFonts w:ascii="Times New Roman" w:eastAsiaTheme="minorEastAsia" w:hAnsi="Times New Roman" w:cs="Times New Roman"/>
          <w:noProof/>
          <w:sz w:val="24"/>
          <w:szCs w:val="24"/>
          <w:lang w:val="en-US"/>
        </w:rPr>
      </w:pPr>
      <w:r w:rsidRPr="00A00723">
        <w:rPr>
          <w:rFonts w:ascii="Times New Roman" w:eastAsiaTheme="minorEastAsia" w:hAnsi="Times New Roman" w:cs="Times New Roman"/>
          <w:noProof/>
          <w:sz w:val="24"/>
          <w:szCs w:val="24"/>
          <w:lang w:val="en-US"/>
        </w:rPr>
        <w:t xml:space="preserve">Other part of work of the SCHEER covers diverse issues like electromagnetic fields, emerging issues in health and environment, medical devices (like hip or breast implants), safety of LED lights, UVC lamps and sunbeds, use of animals in laboratories, etc. This clearly does not fall under the area of chemicals and it does not really fit to any of the EU Agencies. Such work will be transferred to Scientific Advisory Mechanism – SAM, under DG RTD. </w:t>
      </w:r>
    </w:p>
    <w:p w14:paraId="5C4401DE" w14:textId="77777777" w:rsidR="000A7D9D" w:rsidRPr="00A00723" w:rsidRDefault="000A7D9D" w:rsidP="000A7D9D">
      <w:pPr>
        <w:spacing w:after="120" w:line="257" w:lineRule="auto"/>
        <w:jc w:val="both"/>
        <w:rPr>
          <w:rFonts w:ascii="Times New Roman" w:eastAsiaTheme="minorEastAsia" w:hAnsi="Times New Roman" w:cs="Times New Roman"/>
          <w:noProof/>
          <w:sz w:val="24"/>
          <w:szCs w:val="24"/>
          <w:lang w:val="en-US"/>
        </w:rPr>
      </w:pPr>
      <w:r w:rsidRPr="00A00723">
        <w:rPr>
          <w:rFonts w:ascii="Times New Roman" w:eastAsiaTheme="minorEastAsia" w:hAnsi="Times New Roman" w:cs="Times New Roman"/>
          <w:noProof/>
          <w:color w:val="000000" w:themeColor="text1"/>
          <w:sz w:val="24"/>
          <w:szCs w:val="24"/>
          <w:lang w:val="en-US"/>
        </w:rPr>
        <w:t xml:space="preserve">The </w:t>
      </w:r>
      <w:r w:rsidRPr="00A00723">
        <w:rPr>
          <w:rFonts w:ascii="Times New Roman" w:eastAsiaTheme="minorEastAsia" w:hAnsi="Times New Roman" w:cs="Times New Roman"/>
          <w:noProof/>
          <w:sz w:val="24"/>
          <w:szCs w:val="24"/>
          <w:lang w:val="en-US"/>
        </w:rPr>
        <w:t xml:space="preserve">SAM consists of the Group of Chief Scientific Advisors (in total seven), the Science Advice for Policy by European Academics (SAPEA) consortium and the SAM secretariat. </w:t>
      </w:r>
      <w:r w:rsidRPr="00A00723">
        <w:rPr>
          <w:rFonts w:ascii="Times New Roman" w:eastAsiaTheme="minorEastAsia" w:hAnsi="Times New Roman" w:cs="Times New Roman"/>
          <w:noProof/>
          <w:color w:val="000000" w:themeColor="text1"/>
          <w:sz w:val="24"/>
          <w:szCs w:val="24"/>
          <w:lang w:val="en-US"/>
        </w:rPr>
        <w:t xml:space="preserve">The SAM functions differently than the SCHEER. The basic difference is that the SCHEER directly gets mandates from the mandating Directorates General, i.e. policy Unit dealing with legislative proposals. SAM gives scientific advice to the College and Commissioners on broader issues </w:t>
      </w:r>
      <w:r w:rsidRPr="00A00723">
        <w:rPr>
          <w:rFonts w:ascii="Times New Roman" w:eastAsiaTheme="minorEastAsia" w:hAnsi="Times New Roman" w:cs="Times New Roman"/>
          <w:noProof/>
          <w:sz w:val="24"/>
          <w:szCs w:val="24"/>
          <w:lang w:val="en-US"/>
        </w:rPr>
        <w:t>through a request to the Commissioner for Research, Science and Innovation</w:t>
      </w:r>
      <w:r w:rsidRPr="00A00723">
        <w:rPr>
          <w:rFonts w:ascii="Times New Roman" w:eastAsiaTheme="minorEastAsia" w:hAnsi="Times New Roman" w:cs="Times New Roman"/>
          <w:noProof/>
          <w:color w:val="000000" w:themeColor="text1"/>
          <w:sz w:val="24"/>
          <w:szCs w:val="24"/>
          <w:lang w:val="en-US"/>
        </w:rPr>
        <w:t>.</w:t>
      </w:r>
      <w:r w:rsidRPr="00A00723">
        <w:rPr>
          <w:rFonts w:ascii="Times New Roman" w:eastAsiaTheme="minorEastAsia" w:hAnsi="Times New Roman" w:cs="Times New Roman"/>
          <w:noProof/>
          <w:sz w:val="24"/>
          <w:szCs w:val="24"/>
          <w:lang w:val="en-US"/>
        </w:rPr>
        <w:t xml:space="preserve"> The full SAM procedure is as follows: </w:t>
      </w:r>
    </w:p>
    <w:p w14:paraId="38089B8F" w14:textId="77777777" w:rsidR="000A7D9D" w:rsidRPr="00A00723" w:rsidRDefault="000A7D9D" w:rsidP="000A7D9D">
      <w:pPr>
        <w:pStyle w:val="ListParagraph"/>
        <w:widowControl w:val="0"/>
        <w:numPr>
          <w:ilvl w:val="0"/>
          <w:numId w:val="60"/>
        </w:numPr>
        <w:spacing w:after="120"/>
        <w:jc w:val="both"/>
        <w:rPr>
          <w:rFonts w:eastAsiaTheme="minorEastAsia"/>
          <w:noProof/>
          <w:lang w:val="en-US"/>
        </w:rPr>
      </w:pPr>
      <w:r w:rsidRPr="00A00723">
        <w:rPr>
          <w:rFonts w:eastAsiaTheme="minorEastAsia"/>
          <w:noProof/>
          <w:lang w:val="en-US"/>
        </w:rPr>
        <w:t xml:space="preserve">The request for advice is initiated by members of the Commission through a request to the Commissioner for Research, Science and Innovation. </w:t>
      </w:r>
    </w:p>
    <w:p w14:paraId="3D4484BB" w14:textId="77777777" w:rsidR="000A7D9D" w:rsidRPr="00A00723" w:rsidRDefault="000A7D9D" w:rsidP="000A7D9D">
      <w:pPr>
        <w:pStyle w:val="ListParagraph"/>
        <w:widowControl w:val="0"/>
        <w:numPr>
          <w:ilvl w:val="0"/>
          <w:numId w:val="60"/>
        </w:numPr>
        <w:spacing w:after="120"/>
        <w:jc w:val="both"/>
        <w:rPr>
          <w:rFonts w:eastAsiaTheme="minorEastAsia"/>
          <w:noProof/>
          <w:lang w:val="en-US"/>
        </w:rPr>
      </w:pPr>
      <w:r w:rsidRPr="00A00723">
        <w:rPr>
          <w:rFonts w:eastAsiaTheme="minorEastAsia"/>
          <w:noProof/>
          <w:lang w:val="en-US"/>
        </w:rPr>
        <w:t>The Commissioner for Research, Science and Innovation is responsible for formulation of the request. The SAM secretariat in cooperation with the requesting service prepares a scoping paper. The Cabinet of the Commissioner for Research, Innovation and Science consults the relevant Cabinets of the Members of the Commission on the final draft scoping paper. If agreed, the Advisors are notified by the SAM Secretariat. The final decision to adopt a scoping paper lies with the Commissioner for Research, Science and Innovation in cooperation with the Advisors.</w:t>
      </w:r>
    </w:p>
    <w:p w14:paraId="08A4D43A" w14:textId="77777777" w:rsidR="000A7D9D" w:rsidRPr="00A00723" w:rsidRDefault="000A7D9D" w:rsidP="000A7D9D">
      <w:pPr>
        <w:pStyle w:val="ListParagraph"/>
        <w:widowControl w:val="0"/>
        <w:numPr>
          <w:ilvl w:val="0"/>
          <w:numId w:val="60"/>
        </w:numPr>
        <w:spacing w:after="120"/>
        <w:jc w:val="both"/>
        <w:rPr>
          <w:rFonts w:eastAsiaTheme="minorEastAsia"/>
          <w:noProof/>
          <w:lang w:val="en-US"/>
        </w:rPr>
      </w:pPr>
      <w:r w:rsidRPr="00A00723">
        <w:rPr>
          <w:rFonts w:eastAsiaTheme="minorEastAsia"/>
          <w:noProof/>
          <w:lang w:val="en-US"/>
        </w:rPr>
        <w:t>Once the scoping paper with the related deadline has been adopted, the advisors appoint a lead member who asks SAM secretariat to request SAPEA to gather the evidence. SAPE collects and review the evidence and produces Evidence Review Reports (ERR). Expert workshops which are part of the evidence review process are by default organised by SAPEA.</w:t>
      </w:r>
    </w:p>
    <w:p w14:paraId="366E63D4" w14:textId="77777777" w:rsidR="000A7D9D" w:rsidRPr="00A00723" w:rsidRDefault="000A7D9D" w:rsidP="000A7D9D">
      <w:pPr>
        <w:pStyle w:val="ListParagraph"/>
        <w:widowControl w:val="0"/>
        <w:numPr>
          <w:ilvl w:val="0"/>
          <w:numId w:val="60"/>
        </w:numPr>
        <w:spacing w:after="120"/>
        <w:jc w:val="both"/>
        <w:rPr>
          <w:rFonts w:eastAsiaTheme="minorEastAsia"/>
          <w:noProof/>
          <w:lang w:val="en-US"/>
        </w:rPr>
      </w:pPr>
      <w:r w:rsidRPr="00A00723">
        <w:rPr>
          <w:rFonts w:eastAsiaTheme="minorEastAsia"/>
          <w:noProof/>
          <w:lang w:val="en-US"/>
        </w:rPr>
        <w:t>In view of the evidence, the lead member/coordination group will draft the Advisors’ advice, also explaining existing uncertainties as well as minority views in science, if considered relevant. The SAM Secretariat will assist the preparation, proof-reading, editing and formatting of the advice.</w:t>
      </w:r>
    </w:p>
    <w:p w14:paraId="43F87CAE" w14:textId="77777777" w:rsidR="000A7D9D" w:rsidRPr="00A00723" w:rsidRDefault="000A7D9D" w:rsidP="000A7D9D">
      <w:pPr>
        <w:pStyle w:val="ListParagraph"/>
        <w:widowControl w:val="0"/>
        <w:numPr>
          <w:ilvl w:val="0"/>
          <w:numId w:val="60"/>
        </w:numPr>
        <w:spacing w:after="120"/>
        <w:jc w:val="both"/>
        <w:rPr>
          <w:rFonts w:eastAsiaTheme="minorEastAsia"/>
          <w:noProof/>
          <w:lang w:val="en-US"/>
        </w:rPr>
      </w:pPr>
      <w:r w:rsidRPr="00A00723">
        <w:rPr>
          <w:rFonts w:eastAsiaTheme="minorEastAsia"/>
          <w:noProof/>
          <w:lang w:val="en-US"/>
        </w:rPr>
        <w:t>The Advisors will aim for adoption by consensus of its advice. A dissenting opinion by any member(s) of the Group of Chief Scientific Advisors will be noted. Once adopted, the Chair of the Advisors will send the advice to the Commissioner for Research, Science and Innovation who will transmit it to the other Members of the Commission, including to the President. The Director-General for Research and Innovation will inform the relevant services.</w:t>
      </w:r>
    </w:p>
    <w:p w14:paraId="2ED3EFAF" w14:textId="77777777" w:rsidR="000A7D9D" w:rsidRPr="00A00723" w:rsidRDefault="000A7D9D" w:rsidP="000A7D9D">
      <w:pPr>
        <w:spacing w:after="120" w:line="257" w:lineRule="auto"/>
        <w:jc w:val="both"/>
        <w:rPr>
          <w:rFonts w:ascii="Times New Roman" w:eastAsiaTheme="minorEastAsia" w:hAnsi="Times New Roman" w:cs="Times New Roman"/>
          <w:noProof/>
          <w:sz w:val="24"/>
          <w:szCs w:val="24"/>
          <w:lang w:val="en-US"/>
        </w:rPr>
      </w:pPr>
      <w:r w:rsidRPr="00A00723">
        <w:rPr>
          <w:rFonts w:ascii="Times New Roman" w:eastAsiaTheme="minorEastAsia" w:hAnsi="Times New Roman" w:cs="Times New Roman"/>
          <w:noProof/>
          <w:sz w:val="24"/>
          <w:szCs w:val="24"/>
          <w:lang w:val="en-US"/>
        </w:rPr>
        <w:t>The way of working might differ, but the non-chemical topics of the SCHEER could fit well under the remit of the SAM, although targeted for a specific piece of legislation:</w:t>
      </w:r>
    </w:p>
    <w:p w14:paraId="139EE990" w14:textId="77777777" w:rsidR="000A7D9D" w:rsidRPr="00A00723" w:rsidRDefault="000A7D9D" w:rsidP="000A7D9D">
      <w:pPr>
        <w:pStyle w:val="ListParagraph"/>
        <w:widowControl w:val="0"/>
        <w:numPr>
          <w:ilvl w:val="0"/>
          <w:numId w:val="59"/>
        </w:numPr>
        <w:spacing w:after="120"/>
        <w:jc w:val="both"/>
        <w:rPr>
          <w:rFonts w:eastAsiaTheme="minorEastAsia"/>
          <w:noProof/>
          <w:lang w:val="en-US"/>
        </w:rPr>
      </w:pPr>
      <w:r w:rsidRPr="00A00723">
        <w:rPr>
          <w:rFonts w:eastAsiaTheme="minorEastAsia"/>
          <w:noProof/>
          <w:lang w:val="en-US"/>
        </w:rPr>
        <w:t>Potential risks to human health of Light Emitting Diodes (LEDs)</w:t>
      </w:r>
    </w:p>
    <w:p w14:paraId="5272FCBF" w14:textId="77777777" w:rsidR="000A7D9D" w:rsidRPr="00A00723" w:rsidRDefault="000A7D9D" w:rsidP="000A7D9D">
      <w:pPr>
        <w:pStyle w:val="ListParagraph"/>
        <w:widowControl w:val="0"/>
        <w:numPr>
          <w:ilvl w:val="0"/>
          <w:numId w:val="59"/>
        </w:numPr>
        <w:spacing w:after="120"/>
        <w:jc w:val="both"/>
        <w:rPr>
          <w:rFonts w:eastAsiaTheme="minorEastAsia"/>
          <w:noProof/>
          <w:lang w:val="en-US"/>
        </w:rPr>
      </w:pPr>
      <w:r w:rsidRPr="00A00723">
        <w:rPr>
          <w:rFonts w:eastAsiaTheme="minorEastAsia"/>
          <w:noProof/>
          <w:lang w:val="en-US"/>
        </w:rPr>
        <w:t>Biological effects of UV-C radiation relevant to health with particular reference to UV-C lamps</w:t>
      </w:r>
    </w:p>
    <w:p w14:paraId="20571783" w14:textId="77777777" w:rsidR="000A7D9D" w:rsidRPr="00A00723" w:rsidRDefault="000A7D9D" w:rsidP="000A7D9D">
      <w:pPr>
        <w:pStyle w:val="ListParagraph"/>
        <w:widowControl w:val="0"/>
        <w:numPr>
          <w:ilvl w:val="0"/>
          <w:numId w:val="59"/>
        </w:numPr>
        <w:spacing w:after="120"/>
        <w:jc w:val="both"/>
        <w:rPr>
          <w:rFonts w:eastAsiaTheme="minorEastAsia"/>
          <w:noProof/>
          <w:lang w:val="en-US"/>
        </w:rPr>
      </w:pPr>
      <w:r w:rsidRPr="00A00723">
        <w:rPr>
          <w:rFonts w:eastAsiaTheme="minorEastAsia"/>
          <w:noProof/>
          <w:lang w:val="en-US"/>
        </w:rPr>
        <w:t>Biological effects of ultraviolet radiation relevant to health with particular reference to sunbeds for cosmetic purposes</w:t>
      </w:r>
    </w:p>
    <w:p w14:paraId="482DB430" w14:textId="77777777" w:rsidR="000A7D9D" w:rsidRPr="00A00723" w:rsidRDefault="000A7D9D" w:rsidP="000A7D9D">
      <w:pPr>
        <w:pStyle w:val="ListParagraph"/>
        <w:widowControl w:val="0"/>
        <w:numPr>
          <w:ilvl w:val="0"/>
          <w:numId w:val="59"/>
        </w:numPr>
        <w:spacing w:after="120"/>
        <w:jc w:val="both"/>
        <w:rPr>
          <w:rFonts w:eastAsiaTheme="minorEastAsia"/>
          <w:noProof/>
          <w:lang w:val="en-US"/>
        </w:rPr>
      </w:pPr>
      <w:r w:rsidRPr="00A00723">
        <w:rPr>
          <w:rFonts w:eastAsiaTheme="minorEastAsia"/>
          <w:noProof/>
          <w:lang w:val="en-US"/>
        </w:rPr>
        <w:t>Electronic cigarettes/tobacco additives</w:t>
      </w:r>
    </w:p>
    <w:p w14:paraId="1C6666BD" w14:textId="77777777" w:rsidR="000A7D9D" w:rsidRPr="00A00723" w:rsidRDefault="000A7D9D" w:rsidP="000A7D9D">
      <w:pPr>
        <w:pStyle w:val="ListParagraph"/>
        <w:widowControl w:val="0"/>
        <w:numPr>
          <w:ilvl w:val="0"/>
          <w:numId w:val="59"/>
        </w:numPr>
        <w:spacing w:after="120"/>
        <w:jc w:val="both"/>
        <w:rPr>
          <w:rFonts w:eastAsiaTheme="minorEastAsia"/>
          <w:noProof/>
          <w:lang w:val="en-US"/>
        </w:rPr>
      </w:pPr>
      <w:r w:rsidRPr="00A00723">
        <w:rPr>
          <w:rFonts w:eastAsiaTheme="minorEastAsia"/>
          <w:noProof/>
          <w:lang w:val="en-US"/>
        </w:rPr>
        <w:t>Potential health effects of exposure to electromagnetic fields (EMF)</w:t>
      </w:r>
    </w:p>
    <w:p w14:paraId="1F801736" w14:textId="77777777" w:rsidR="000A7D9D" w:rsidRPr="00A00723" w:rsidRDefault="000A7D9D" w:rsidP="000A7D9D">
      <w:pPr>
        <w:pStyle w:val="ListParagraph"/>
        <w:widowControl w:val="0"/>
        <w:numPr>
          <w:ilvl w:val="0"/>
          <w:numId w:val="59"/>
        </w:numPr>
        <w:spacing w:after="120"/>
        <w:jc w:val="both"/>
        <w:rPr>
          <w:rFonts w:eastAsiaTheme="minorEastAsia"/>
          <w:noProof/>
          <w:lang w:val="en-US"/>
        </w:rPr>
      </w:pPr>
      <w:r w:rsidRPr="00A00723">
        <w:rPr>
          <w:rFonts w:eastAsiaTheme="minorEastAsia"/>
          <w:noProof/>
          <w:lang w:val="en-US"/>
        </w:rPr>
        <w:t>Position Statement on emerging and newly identified health risks to be drawn to the attention of the European Commission</w:t>
      </w:r>
    </w:p>
    <w:p w14:paraId="10072F16" w14:textId="77777777" w:rsidR="000A7D9D" w:rsidRPr="00A00723" w:rsidRDefault="000A7D9D" w:rsidP="000A7D9D">
      <w:pPr>
        <w:pStyle w:val="ListParagraph"/>
        <w:widowControl w:val="0"/>
        <w:numPr>
          <w:ilvl w:val="0"/>
          <w:numId w:val="59"/>
        </w:numPr>
        <w:spacing w:after="120"/>
        <w:jc w:val="both"/>
        <w:rPr>
          <w:rFonts w:eastAsiaTheme="minorEastAsia"/>
          <w:noProof/>
          <w:lang w:val="en-US"/>
        </w:rPr>
      </w:pPr>
      <w:r w:rsidRPr="00A00723">
        <w:rPr>
          <w:rFonts w:eastAsiaTheme="minorEastAsia"/>
          <w:noProof/>
          <w:lang w:val="en-US"/>
        </w:rPr>
        <w:t>Estimates of the amount of toy materials ingested by children</w:t>
      </w:r>
    </w:p>
    <w:p w14:paraId="7EA628DE" w14:textId="77777777" w:rsidR="000A7D9D" w:rsidRPr="00A00723" w:rsidRDefault="000A7D9D" w:rsidP="000A7D9D">
      <w:pPr>
        <w:pStyle w:val="ListParagraph"/>
        <w:widowControl w:val="0"/>
        <w:numPr>
          <w:ilvl w:val="0"/>
          <w:numId w:val="59"/>
        </w:numPr>
        <w:spacing w:after="120"/>
        <w:jc w:val="both"/>
        <w:rPr>
          <w:rFonts w:eastAsiaTheme="minorEastAsia"/>
          <w:noProof/>
          <w:color w:val="000000" w:themeColor="text1"/>
          <w:lang w:val="en-US"/>
        </w:rPr>
      </w:pPr>
      <w:r w:rsidRPr="00A00723">
        <w:rPr>
          <w:rFonts w:eastAsiaTheme="minorEastAsia"/>
          <w:noProof/>
          <w:color w:val="000000" w:themeColor="text1"/>
          <w:lang w:val="en-US"/>
        </w:rPr>
        <w:t xml:space="preserve">Use of animals in laboratory testing </w:t>
      </w:r>
    </w:p>
    <w:p w14:paraId="477AD099" w14:textId="77777777" w:rsidR="000A7D9D" w:rsidRPr="00A00723" w:rsidRDefault="000A7D9D" w:rsidP="000A7D9D">
      <w:pPr>
        <w:pStyle w:val="ListParagraph"/>
        <w:widowControl w:val="0"/>
        <w:numPr>
          <w:ilvl w:val="0"/>
          <w:numId w:val="59"/>
        </w:numPr>
        <w:spacing w:after="120"/>
        <w:jc w:val="both"/>
        <w:rPr>
          <w:rFonts w:eastAsiaTheme="minorEastAsia"/>
          <w:noProof/>
          <w:color w:val="000000" w:themeColor="text1"/>
          <w:lang w:val="en-US"/>
        </w:rPr>
      </w:pPr>
      <w:r w:rsidRPr="00A00723">
        <w:rPr>
          <w:rFonts w:eastAsiaTheme="minorEastAsia"/>
          <w:noProof/>
          <w:color w:val="000000" w:themeColor="text1"/>
          <w:lang w:val="en-US"/>
        </w:rPr>
        <w:t>Synthetic biology</w:t>
      </w:r>
    </w:p>
    <w:p w14:paraId="4DA1527A" w14:textId="77777777" w:rsidR="000A7D9D" w:rsidRPr="00A00723" w:rsidRDefault="000A7D9D" w:rsidP="000A7D9D">
      <w:pPr>
        <w:pStyle w:val="BodyText"/>
        <w:rPr>
          <w:b/>
          <w:bCs/>
          <w:noProof/>
        </w:rPr>
      </w:pPr>
      <w:r w:rsidRPr="00A00723">
        <w:rPr>
          <w:b/>
          <w:bCs/>
          <w:noProof/>
        </w:rPr>
        <w:t xml:space="preserve">Proximity to Agencies’ mandate: </w:t>
      </w:r>
    </w:p>
    <w:p w14:paraId="40E5E471" w14:textId="77777777" w:rsidR="000A7D9D" w:rsidRPr="00A00723" w:rsidRDefault="000A7D9D" w:rsidP="002E2B89">
      <w:pPr>
        <w:pStyle w:val="BodyText"/>
        <w:spacing w:line="259" w:lineRule="auto"/>
        <w:jc w:val="both"/>
        <w:rPr>
          <w:rFonts w:eastAsiaTheme="minorEastAsia"/>
          <w:noProof/>
          <w:lang w:val="en-US"/>
        </w:rPr>
      </w:pPr>
      <w:r w:rsidRPr="00A00723">
        <w:rPr>
          <w:rFonts w:eastAsiaTheme="minorEastAsia"/>
          <w:noProof/>
        </w:rPr>
        <w:t>For chemical work, see the proximity analysis under the Cosmetic Products Regulation, t</w:t>
      </w:r>
      <w:r w:rsidRPr="00A00723">
        <w:rPr>
          <w:rFonts w:eastAsiaTheme="minorEastAsia"/>
          <w:noProof/>
          <w:lang w:val="en-US"/>
        </w:rPr>
        <w:t>he Water Framework Directive/Environmental Quality Standard Directive/Ground water directive, Toys Directive, Medical Devices Directive, Cross-Border Health Threats Regulation and Tobacco Directive.</w:t>
      </w:r>
    </w:p>
    <w:p w14:paraId="4E799FE3" w14:textId="77777777" w:rsidR="000A7D9D" w:rsidRPr="00A00723" w:rsidRDefault="000A7D9D" w:rsidP="002E2B89">
      <w:pPr>
        <w:pStyle w:val="BodyText"/>
        <w:spacing w:line="259" w:lineRule="auto"/>
        <w:jc w:val="both"/>
        <w:rPr>
          <w:rFonts w:eastAsiaTheme="minorEastAsia"/>
          <w:noProof/>
          <w:lang w:val="en-US"/>
        </w:rPr>
      </w:pPr>
      <w:r w:rsidRPr="00A00723">
        <w:rPr>
          <w:rFonts w:eastAsiaTheme="minorEastAsia"/>
          <w:noProof/>
          <w:lang w:val="en-US"/>
        </w:rPr>
        <w:t xml:space="preserve">For non-chemical work, Scientific Advice Mechanism (SAM) of the DG RTD could be the best solution as they already provide scientific advice to the College. The SAM will undergo a reorganization along with the revamping of the scientific advice of the new Commission (2024-2029) with help of SG. </w:t>
      </w:r>
    </w:p>
    <w:p w14:paraId="2AF7A354" w14:textId="77777777" w:rsidR="000A7D9D" w:rsidRPr="00A00723" w:rsidRDefault="000A7D9D" w:rsidP="002E2B89">
      <w:pPr>
        <w:pStyle w:val="BodyText"/>
        <w:spacing w:line="259" w:lineRule="auto"/>
        <w:rPr>
          <w:b/>
          <w:bCs/>
          <w:noProof/>
        </w:rPr>
      </w:pPr>
      <w:r w:rsidRPr="00A00723">
        <w:rPr>
          <w:b/>
          <w:bCs/>
          <w:noProof/>
        </w:rPr>
        <w:t>Projected impact on Agencies:</w:t>
      </w:r>
    </w:p>
    <w:p w14:paraId="79419B83" w14:textId="77777777" w:rsidR="000A7D9D" w:rsidRPr="00A00723" w:rsidRDefault="000A7D9D" w:rsidP="002E2B89">
      <w:pPr>
        <w:pStyle w:val="BodyText"/>
        <w:spacing w:line="259" w:lineRule="auto"/>
        <w:jc w:val="both"/>
        <w:rPr>
          <w:rFonts w:eastAsiaTheme="minorEastAsia"/>
          <w:noProof/>
          <w:lang w:val="en-US"/>
        </w:rPr>
      </w:pPr>
      <w:r w:rsidRPr="00A00723">
        <w:rPr>
          <w:rFonts w:eastAsiaTheme="minorEastAsia"/>
          <w:noProof/>
        </w:rPr>
        <w:t>For chemical work, see the analysis of projected impact on Agencies under the Cosmetic Products Regulation, t</w:t>
      </w:r>
      <w:r w:rsidRPr="00A00723">
        <w:rPr>
          <w:rFonts w:eastAsiaTheme="minorEastAsia"/>
          <w:noProof/>
          <w:lang w:val="en-US"/>
        </w:rPr>
        <w:t>he Water Framework Directive/Environmental Quality Standard Directive/Ground water directive, Toys Directive, Medical Devices Directive, Cross-Border Health Threats Regulation and Tobacco Directive.</w:t>
      </w:r>
    </w:p>
    <w:p w14:paraId="64F7F429" w14:textId="77777777" w:rsidR="000A7D9D" w:rsidRPr="00A00723" w:rsidRDefault="000A7D9D" w:rsidP="000A7D9D">
      <w:pPr>
        <w:pStyle w:val="BodyText"/>
        <w:rPr>
          <w:rFonts w:eastAsiaTheme="minorEastAsia"/>
          <w:noProof/>
        </w:rPr>
      </w:pPr>
      <w:r w:rsidRPr="00A00723">
        <w:rPr>
          <w:rFonts w:eastAsiaTheme="minorEastAsia"/>
          <w:noProof/>
        </w:rPr>
        <w:t xml:space="preserve">For non-chemical work, the projected impact on SAM is: </w:t>
      </w:r>
    </w:p>
    <w:p w14:paraId="175EC79A" w14:textId="77777777" w:rsidR="000A7D9D" w:rsidRPr="00A00723" w:rsidRDefault="000A7D9D" w:rsidP="000A7D9D">
      <w:pPr>
        <w:pStyle w:val="BodyText"/>
        <w:widowControl w:val="0"/>
        <w:numPr>
          <w:ilvl w:val="0"/>
          <w:numId w:val="88"/>
        </w:numPr>
        <w:rPr>
          <w:b/>
          <w:bCs/>
          <w:noProof/>
        </w:rPr>
      </w:pPr>
      <w:r w:rsidRPr="00A00723">
        <w:rPr>
          <w:rFonts w:eastAsiaTheme="minorEastAsia"/>
          <w:noProof/>
        </w:rPr>
        <w:t xml:space="preserve">SAM Committee/bodies: </w:t>
      </w:r>
      <w:r w:rsidRPr="00A00723">
        <w:rPr>
          <w:rFonts w:eastAsiaTheme="minorEastAsia"/>
          <w:b/>
          <w:bCs/>
          <w:noProof/>
        </w:rPr>
        <w:t>high impact</w:t>
      </w:r>
      <w:r w:rsidRPr="00A00723">
        <w:rPr>
          <w:rFonts w:eastAsiaTheme="minorEastAsia"/>
          <w:noProof/>
        </w:rPr>
        <w:t xml:space="preserve">. </w:t>
      </w:r>
      <w:r w:rsidRPr="00A00723">
        <w:rPr>
          <w:noProof/>
        </w:rPr>
        <w:t>The task generates major impact on the setup / organisation / staffing of Committees/bodies due to the additional workload</w:t>
      </w:r>
    </w:p>
    <w:tbl>
      <w:tblPr>
        <w:tblStyle w:val="TableGrid"/>
        <w:tblW w:w="0" w:type="auto"/>
        <w:tblInd w:w="562" w:type="dxa"/>
        <w:tblLook w:val="04A0" w:firstRow="1" w:lastRow="0" w:firstColumn="1" w:lastColumn="0" w:noHBand="0" w:noVBand="1"/>
      </w:tblPr>
      <w:tblGrid>
        <w:gridCol w:w="2091"/>
        <w:gridCol w:w="2242"/>
        <w:gridCol w:w="1774"/>
        <w:gridCol w:w="2347"/>
      </w:tblGrid>
      <w:tr w:rsidR="000A7D9D" w:rsidRPr="00A00723" w14:paraId="7BCB4305" w14:textId="77777777" w:rsidTr="00F31937">
        <w:trPr>
          <w:trHeight w:val="495"/>
        </w:trPr>
        <w:tc>
          <w:tcPr>
            <w:tcW w:w="2220" w:type="dxa"/>
          </w:tcPr>
          <w:p w14:paraId="2A1C1858" w14:textId="77777777" w:rsidR="000A7D9D" w:rsidRPr="00A00723" w:rsidRDefault="000A7D9D" w:rsidP="00F31937">
            <w:pPr>
              <w:pStyle w:val="BodyText"/>
              <w:rPr>
                <w:b/>
                <w:bCs/>
                <w:noProof/>
              </w:rPr>
            </w:pPr>
          </w:p>
        </w:tc>
        <w:tc>
          <w:tcPr>
            <w:tcW w:w="2400" w:type="dxa"/>
          </w:tcPr>
          <w:p w14:paraId="12DEA0B1" w14:textId="77777777" w:rsidR="000A7D9D" w:rsidRPr="00A00723" w:rsidRDefault="000A7D9D" w:rsidP="00F31937">
            <w:pPr>
              <w:pStyle w:val="BodyText"/>
              <w:spacing w:line="259" w:lineRule="auto"/>
              <w:rPr>
                <w:noProof/>
              </w:rPr>
            </w:pPr>
            <w:r w:rsidRPr="00A00723">
              <w:rPr>
                <w:b/>
                <w:bCs/>
                <w:noProof/>
              </w:rPr>
              <w:t>SAM</w:t>
            </w:r>
          </w:p>
        </w:tc>
        <w:tc>
          <w:tcPr>
            <w:tcW w:w="1830" w:type="dxa"/>
          </w:tcPr>
          <w:p w14:paraId="01C76D0A" w14:textId="77777777" w:rsidR="000A7D9D" w:rsidRPr="00A00723" w:rsidRDefault="000A7D9D" w:rsidP="00F31937">
            <w:pPr>
              <w:pStyle w:val="BodyText"/>
              <w:rPr>
                <w:b/>
                <w:bCs/>
                <w:noProof/>
              </w:rPr>
            </w:pPr>
          </w:p>
        </w:tc>
        <w:tc>
          <w:tcPr>
            <w:tcW w:w="2532" w:type="dxa"/>
          </w:tcPr>
          <w:p w14:paraId="5AAEB7BA" w14:textId="77777777" w:rsidR="000A7D9D" w:rsidRPr="00A00723" w:rsidRDefault="000A7D9D" w:rsidP="00F31937">
            <w:pPr>
              <w:pStyle w:val="BodyText"/>
              <w:rPr>
                <w:b/>
                <w:bCs/>
                <w:noProof/>
              </w:rPr>
            </w:pPr>
          </w:p>
        </w:tc>
      </w:tr>
      <w:tr w:rsidR="000A7D9D" w:rsidRPr="00A00723" w14:paraId="141DD341" w14:textId="77777777" w:rsidTr="00F31937">
        <w:trPr>
          <w:trHeight w:val="300"/>
        </w:trPr>
        <w:tc>
          <w:tcPr>
            <w:tcW w:w="2220" w:type="dxa"/>
          </w:tcPr>
          <w:p w14:paraId="3FD70F9A" w14:textId="77777777" w:rsidR="000A7D9D" w:rsidRPr="00A00723" w:rsidRDefault="000A7D9D" w:rsidP="00F31937">
            <w:pPr>
              <w:pStyle w:val="BodyText"/>
              <w:rPr>
                <w:b/>
                <w:bCs/>
                <w:noProof/>
              </w:rPr>
            </w:pPr>
          </w:p>
        </w:tc>
        <w:tc>
          <w:tcPr>
            <w:tcW w:w="2400" w:type="dxa"/>
          </w:tcPr>
          <w:p w14:paraId="387E594B" w14:textId="77777777" w:rsidR="000A7D9D" w:rsidRPr="00A00723" w:rsidRDefault="000A7D9D" w:rsidP="00F31937">
            <w:pPr>
              <w:pStyle w:val="BodyText"/>
              <w:rPr>
                <w:b/>
                <w:bCs/>
                <w:noProof/>
              </w:rPr>
            </w:pPr>
            <w:r w:rsidRPr="00A00723">
              <w:rPr>
                <w:b/>
                <w:bCs/>
                <w:noProof/>
              </w:rPr>
              <w:t># of opinions per year</w:t>
            </w:r>
          </w:p>
        </w:tc>
        <w:tc>
          <w:tcPr>
            <w:tcW w:w="1830" w:type="dxa"/>
          </w:tcPr>
          <w:p w14:paraId="62345D9F" w14:textId="77777777" w:rsidR="000A7D9D" w:rsidRPr="00A00723" w:rsidRDefault="000A7D9D" w:rsidP="00F31937">
            <w:pPr>
              <w:pStyle w:val="BodyText"/>
              <w:rPr>
                <w:b/>
                <w:bCs/>
                <w:noProof/>
              </w:rPr>
            </w:pPr>
            <w:r w:rsidRPr="00A00723">
              <w:rPr>
                <w:b/>
                <w:bCs/>
                <w:noProof/>
              </w:rPr>
              <w:t>rapporteur</w:t>
            </w:r>
          </w:p>
        </w:tc>
        <w:tc>
          <w:tcPr>
            <w:tcW w:w="2532" w:type="dxa"/>
          </w:tcPr>
          <w:p w14:paraId="0DF892A1" w14:textId="77777777" w:rsidR="000A7D9D" w:rsidRPr="00A00723" w:rsidRDefault="000A7D9D" w:rsidP="00F31937">
            <w:pPr>
              <w:pStyle w:val="BodyText"/>
              <w:rPr>
                <w:b/>
                <w:bCs/>
                <w:noProof/>
              </w:rPr>
            </w:pPr>
            <w:r w:rsidRPr="00A00723">
              <w:rPr>
                <w:b/>
                <w:bCs/>
                <w:noProof/>
              </w:rPr>
              <w:t>Type of opinion</w:t>
            </w:r>
          </w:p>
        </w:tc>
      </w:tr>
      <w:tr w:rsidR="000A7D9D" w:rsidRPr="00A00723" w14:paraId="0FC68E0F" w14:textId="77777777" w:rsidTr="00F31937">
        <w:trPr>
          <w:trHeight w:val="300"/>
        </w:trPr>
        <w:tc>
          <w:tcPr>
            <w:tcW w:w="2220" w:type="dxa"/>
          </w:tcPr>
          <w:p w14:paraId="573E10E5" w14:textId="77777777" w:rsidR="000A7D9D" w:rsidRPr="00A00723" w:rsidRDefault="000A7D9D" w:rsidP="00F31937">
            <w:pPr>
              <w:pStyle w:val="BodyText"/>
              <w:spacing w:line="259" w:lineRule="auto"/>
              <w:rPr>
                <w:noProof/>
              </w:rPr>
            </w:pPr>
            <w:r w:rsidRPr="00A00723">
              <w:rPr>
                <w:noProof/>
              </w:rPr>
              <w:t>Opinions on non-chemical topics of SCHEER</w:t>
            </w:r>
          </w:p>
        </w:tc>
        <w:tc>
          <w:tcPr>
            <w:tcW w:w="2400" w:type="dxa"/>
          </w:tcPr>
          <w:p w14:paraId="031B0872" w14:textId="77777777" w:rsidR="000A7D9D" w:rsidRPr="00A00723" w:rsidRDefault="000A7D9D" w:rsidP="00F31937">
            <w:pPr>
              <w:pStyle w:val="BodyText"/>
              <w:spacing w:line="259" w:lineRule="auto"/>
              <w:rPr>
                <w:noProof/>
              </w:rPr>
            </w:pPr>
            <w:r w:rsidRPr="00A00723">
              <w:rPr>
                <w:noProof/>
              </w:rPr>
              <w:t>1</w:t>
            </w:r>
          </w:p>
        </w:tc>
        <w:tc>
          <w:tcPr>
            <w:tcW w:w="1830" w:type="dxa"/>
          </w:tcPr>
          <w:p w14:paraId="3F1FBC6E" w14:textId="77777777" w:rsidR="000A7D9D" w:rsidRPr="00A00723" w:rsidRDefault="000A7D9D" w:rsidP="00F31937">
            <w:pPr>
              <w:pStyle w:val="BodyText"/>
              <w:rPr>
                <w:noProof/>
              </w:rPr>
            </w:pPr>
            <w:r w:rsidRPr="00A00723">
              <w:rPr>
                <w:noProof/>
              </w:rPr>
              <w:t>SAM Secretariat</w:t>
            </w:r>
          </w:p>
        </w:tc>
        <w:tc>
          <w:tcPr>
            <w:tcW w:w="2532" w:type="dxa"/>
          </w:tcPr>
          <w:p w14:paraId="3F8C9896" w14:textId="77777777" w:rsidR="000A7D9D" w:rsidRPr="00A00723" w:rsidRDefault="000A7D9D" w:rsidP="00F31937">
            <w:pPr>
              <w:pStyle w:val="BodyText"/>
              <w:rPr>
                <w:noProof/>
              </w:rPr>
            </w:pPr>
          </w:p>
        </w:tc>
      </w:tr>
    </w:tbl>
    <w:p w14:paraId="4F448793" w14:textId="77777777" w:rsidR="000A7D9D" w:rsidRPr="00A00723" w:rsidRDefault="000A7D9D" w:rsidP="000A7D9D">
      <w:pPr>
        <w:pStyle w:val="BodyText"/>
        <w:widowControl w:val="0"/>
        <w:numPr>
          <w:ilvl w:val="0"/>
          <w:numId w:val="88"/>
        </w:numPr>
        <w:spacing w:before="120"/>
        <w:rPr>
          <w:b/>
          <w:bCs/>
          <w:noProof/>
        </w:rPr>
      </w:pPr>
      <w:r w:rsidRPr="00A00723">
        <w:rPr>
          <w:noProof/>
        </w:rPr>
        <w:t>SAM data model and IT infrastructure:</w:t>
      </w:r>
      <w:r w:rsidRPr="00A00723">
        <w:rPr>
          <w:b/>
          <w:bCs/>
          <w:noProof/>
        </w:rPr>
        <w:t xml:space="preserve"> low impact</w:t>
      </w:r>
      <w:r w:rsidRPr="00A00723">
        <w:rPr>
          <w:noProof/>
        </w:rPr>
        <w:t>. The task can be implemented with adjustments / configuration of existing data structures and IT systems</w:t>
      </w:r>
    </w:p>
    <w:p w14:paraId="1312001A" w14:textId="77777777" w:rsidR="000A7D9D" w:rsidRPr="00A00723" w:rsidRDefault="000A7D9D" w:rsidP="000A7D9D">
      <w:pPr>
        <w:pStyle w:val="BodyText"/>
        <w:widowControl w:val="0"/>
        <w:numPr>
          <w:ilvl w:val="0"/>
          <w:numId w:val="88"/>
        </w:numPr>
        <w:rPr>
          <w:noProof/>
        </w:rPr>
      </w:pPr>
      <w:r w:rsidRPr="00A00723">
        <w:rPr>
          <w:noProof/>
        </w:rPr>
        <w:t>SAM key experts:</w:t>
      </w:r>
      <w:r w:rsidRPr="00A00723">
        <w:rPr>
          <w:b/>
          <w:bCs/>
          <w:noProof/>
        </w:rPr>
        <w:t xml:space="preserve"> low impact</w:t>
      </w:r>
      <w:r w:rsidRPr="00A00723">
        <w:rPr>
          <w:noProof/>
        </w:rPr>
        <w:t xml:space="preserve">. The task can be accommodated with existing expertise in SAM </w:t>
      </w:r>
    </w:p>
    <w:p w14:paraId="349A95ED" w14:textId="77777777" w:rsidR="000A7D9D" w:rsidRPr="00A00723" w:rsidRDefault="000A7D9D" w:rsidP="000A7D9D">
      <w:pPr>
        <w:pStyle w:val="BodyText"/>
        <w:rPr>
          <w:b/>
          <w:bCs/>
          <w:noProof/>
          <w:u w:val="single"/>
        </w:rPr>
      </w:pPr>
      <w:r w:rsidRPr="00A00723">
        <w:rPr>
          <w:b/>
          <w:bCs/>
          <w:noProof/>
        </w:rPr>
        <w:t>Workload and resource implications:</w:t>
      </w:r>
    </w:p>
    <w:p w14:paraId="29766C95" w14:textId="77777777" w:rsidR="000A7D9D" w:rsidRPr="00A00723" w:rsidRDefault="000A7D9D" w:rsidP="000A7D9D">
      <w:pPr>
        <w:pStyle w:val="BodyText"/>
        <w:rPr>
          <w:noProof/>
          <w:u w:val="single"/>
        </w:rPr>
      </w:pPr>
      <w:r w:rsidRPr="00A00723">
        <w:rPr>
          <w:noProof/>
          <w:u w:val="single"/>
        </w:rPr>
        <w:t>Current workload and resource use:</w:t>
      </w:r>
    </w:p>
    <w:p w14:paraId="3F304E8B" w14:textId="77777777" w:rsidR="000A7D9D" w:rsidRPr="00DA2CFE" w:rsidRDefault="000A7D9D" w:rsidP="000A7D9D">
      <w:pPr>
        <w:spacing w:after="120"/>
        <w:jc w:val="both"/>
        <w:rPr>
          <w:rFonts w:ascii="Times New Roman" w:eastAsiaTheme="minorEastAsia" w:hAnsi="Times New Roman" w:cs="Times New Roman"/>
          <w:noProof/>
          <w:color w:val="000000" w:themeColor="text1"/>
          <w:sz w:val="24"/>
          <w:szCs w:val="24"/>
        </w:rPr>
      </w:pPr>
      <w:r w:rsidRPr="00DA2CFE">
        <w:rPr>
          <w:rStyle w:val="eop"/>
          <w:rFonts w:ascii="Times New Roman" w:eastAsiaTheme="minorEastAsia" w:hAnsi="Times New Roman" w:cs="Times New Roman"/>
          <w:noProof/>
          <w:color w:val="000000" w:themeColor="text1"/>
          <w:sz w:val="24"/>
          <w:szCs w:val="24"/>
        </w:rPr>
        <w:t xml:space="preserve">In the past, the Secretariat was part of a whole Unit in DG SANTE Brussels and had up to 20 FTEs. After the Secretariat of the Committees moved from Brussels to Luxembourg, the number of staff working for both Scientific Committees started to decline every year. Until October 2022, the Secretariat of both SCCS and SCHEER had worked with its minimum capacity: 3 ADs officials, 1 CA and 2 external person/contractor. As of October 2022, in anticipation of the reattribution of tasks, the secretariat was reduced further, to 2 ADs officials and ½ CA. The current Secretariat estimates that minimum number would be 3 FTE per Committee (2 AD level and one secretary plus one external (contractor)). Maximum production capacity for both Committees together is production of up to 25 Opinions per year. </w:t>
      </w:r>
    </w:p>
    <w:p w14:paraId="3B421019" w14:textId="77777777" w:rsidR="000A7D9D" w:rsidRPr="00A00723" w:rsidRDefault="000A7D9D" w:rsidP="000A7D9D">
      <w:pPr>
        <w:jc w:val="both"/>
        <w:rPr>
          <w:rFonts w:ascii="Times New Roman" w:eastAsia="Verdana" w:hAnsi="Times New Roman" w:cs="Times New Roman"/>
          <w:b/>
          <w:bCs/>
          <w:noProof/>
          <w:sz w:val="24"/>
          <w:szCs w:val="24"/>
        </w:rPr>
      </w:pPr>
      <w:r w:rsidRPr="00A00723">
        <w:rPr>
          <w:rFonts w:ascii="Times New Roman" w:eastAsia="Verdana" w:hAnsi="Times New Roman" w:cs="Times New Roman"/>
          <w:b/>
          <w:bCs/>
          <w:noProof/>
          <w:sz w:val="24"/>
          <w:szCs w:val="24"/>
        </w:rPr>
        <w:t xml:space="preserve">Key figures of the Scientific Committees’ activity in term 2016-2021 are:  </w:t>
      </w:r>
    </w:p>
    <w:tbl>
      <w:tblPr>
        <w:tblW w:w="9057" w:type="dxa"/>
        <w:tblLayout w:type="fixed"/>
        <w:tblLook w:val="0600" w:firstRow="0" w:lastRow="0" w:firstColumn="0" w:lastColumn="0" w:noHBand="1" w:noVBand="1"/>
      </w:tblPr>
      <w:tblGrid>
        <w:gridCol w:w="2679"/>
        <w:gridCol w:w="3543"/>
        <w:gridCol w:w="2835"/>
      </w:tblGrid>
      <w:tr w:rsidR="000A7D9D" w:rsidRPr="00E21EA5" w14:paraId="67624795" w14:textId="77777777" w:rsidTr="00DA2CFE">
        <w:trPr>
          <w:trHeight w:val="480"/>
        </w:trPr>
        <w:tc>
          <w:tcPr>
            <w:tcW w:w="2679" w:type="dxa"/>
            <w:tcBorders>
              <w:top w:val="single" w:sz="12" w:space="0" w:color="auto"/>
              <w:left w:val="single" w:sz="12" w:space="0" w:color="auto"/>
              <w:bottom w:val="single" w:sz="12" w:space="0" w:color="auto"/>
              <w:right w:val="single" w:sz="12" w:space="0" w:color="auto"/>
            </w:tcBorders>
          </w:tcPr>
          <w:p w14:paraId="7070749B"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SCs</w:t>
            </w:r>
          </w:p>
        </w:tc>
        <w:tc>
          <w:tcPr>
            <w:tcW w:w="3543" w:type="dxa"/>
            <w:tcBorders>
              <w:top w:val="single" w:sz="12" w:space="0" w:color="auto"/>
              <w:left w:val="single" w:sz="12" w:space="0" w:color="auto"/>
              <w:bottom w:val="single" w:sz="12" w:space="0" w:color="auto"/>
              <w:right w:val="single" w:sz="12" w:space="0" w:color="auto"/>
            </w:tcBorders>
          </w:tcPr>
          <w:p w14:paraId="2536633C"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No. of adopted final documents</w:t>
            </w:r>
          </w:p>
        </w:tc>
        <w:tc>
          <w:tcPr>
            <w:tcW w:w="2835" w:type="dxa"/>
            <w:tcBorders>
              <w:top w:val="single" w:sz="12" w:space="0" w:color="auto"/>
              <w:left w:val="single" w:sz="12" w:space="0" w:color="auto"/>
              <w:bottom w:val="single" w:sz="12" w:space="0" w:color="auto"/>
              <w:right w:val="single" w:sz="12" w:space="0" w:color="auto"/>
            </w:tcBorders>
          </w:tcPr>
          <w:p w14:paraId="3289B144"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No. of meeting days*</w:t>
            </w:r>
          </w:p>
        </w:tc>
      </w:tr>
      <w:tr w:rsidR="000A7D9D" w:rsidRPr="00E21EA5" w14:paraId="53E38295" w14:textId="77777777" w:rsidTr="00DA2CFE">
        <w:trPr>
          <w:trHeight w:val="480"/>
        </w:trPr>
        <w:tc>
          <w:tcPr>
            <w:tcW w:w="2679" w:type="dxa"/>
            <w:tcBorders>
              <w:top w:val="single" w:sz="12" w:space="0" w:color="auto"/>
              <w:left w:val="single" w:sz="8" w:space="0" w:color="auto"/>
              <w:bottom w:val="single" w:sz="8" w:space="0" w:color="auto"/>
              <w:right w:val="single" w:sz="8" w:space="0" w:color="auto"/>
            </w:tcBorders>
          </w:tcPr>
          <w:p w14:paraId="4060FCB7"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SCCS</w:t>
            </w:r>
          </w:p>
        </w:tc>
        <w:tc>
          <w:tcPr>
            <w:tcW w:w="3543" w:type="dxa"/>
            <w:tcBorders>
              <w:top w:val="single" w:sz="12" w:space="0" w:color="auto"/>
              <w:left w:val="single" w:sz="8" w:space="0" w:color="auto"/>
              <w:bottom w:val="single" w:sz="8" w:space="0" w:color="auto"/>
              <w:right w:val="single" w:sz="8" w:space="0" w:color="auto"/>
            </w:tcBorders>
          </w:tcPr>
          <w:p w14:paraId="63CBCD4C"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66</w:t>
            </w:r>
          </w:p>
        </w:tc>
        <w:tc>
          <w:tcPr>
            <w:tcW w:w="2835" w:type="dxa"/>
            <w:tcBorders>
              <w:top w:val="single" w:sz="12" w:space="0" w:color="auto"/>
              <w:left w:val="single" w:sz="8" w:space="0" w:color="auto"/>
              <w:bottom w:val="single" w:sz="8" w:space="0" w:color="auto"/>
              <w:right w:val="single" w:sz="8" w:space="0" w:color="auto"/>
            </w:tcBorders>
          </w:tcPr>
          <w:p w14:paraId="1C8FCE21"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234</w:t>
            </w:r>
          </w:p>
        </w:tc>
      </w:tr>
      <w:tr w:rsidR="000A7D9D" w:rsidRPr="00E21EA5" w14:paraId="6BC8E7E8" w14:textId="77777777" w:rsidTr="00DA2CFE">
        <w:trPr>
          <w:trHeight w:val="480"/>
        </w:trPr>
        <w:tc>
          <w:tcPr>
            <w:tcW w:w="2679" w:type="dxa"/>
            <w:tcBorders>
              <w:top w:val="single" w:sz="8" w:space="0" w:color="auto"/>
              <w:left w:val="single" w:sz="8" w:space="0" w:color="auto"/>
              <w:bottom w:val="single" w:sz="8" w:space="0" w:color="auto"/>
              <w:right w:val="single" w:sz="8" w:space="0" w:color="auto"/>
            </w:tcBorders>
          </w:tcPr>
          <w:p w14:paraId="5A15699D"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SCHEER</w:t>
            </w:r>
          </w:p>
        </w:tc>
        <w:tc>
          <w:tcPr>
            <w:tcW w:w="3543" w:type="dxa"/>
            <w:tcBorders>
              <w:top w:val="single" w:sz="8" w:space="0" w:color="auto"/>
              <w:left w:val="single" w:sz="8" w:space="0" w:color="auto"/>
              <w:bottom w:val="single" w:sz="8" w:space="0" w:color="auto"/>
              <w:right w:val="single" w:sz="8" w:space="0" w:color="auto"/>
            </w:tcBorders>
          </w:tcPr>
          <w:p w14:paraId="0281A3ED"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29</w:t>
            </w:r>
          </w:p>
        </w:tc>
        <w:tc>
          <w:tcPr>
            <w:tcW w:w="2835" w:type="dxa"/>
            <w:tcBorders>
              <w:top w:val="single" w:sz="8" w:space="0" w:color="auto"/>
              <w:left w:val="single" w:sz="8" w:space="0" w:color="auto"/>
              <w:bottom w:val="single" w:sz="8" w:space="0" w:color="auto"/>
              <w:right w:val="single" w:sz="8" w:space="0" w:color="auto"/>
            </w:tcBorders>
          </w:tcPr>
          <w:p w14:paraId="427A6030"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268</w:t>
            </w:r>
          </w:p>
        </w:tc>
      </w:tr>
      <w:tr w:rsidR="000A7D9D" w:rsidRPr="00E21EA5" w14:paraId="74A4474E" w14:textId="77777777" w:rsidTr="00DA2CFE">
        <w:trPr>
          <w:trHeight w:val="480"/>
        </w:trPr>
        <w:tc>
          <w:tcPr>
            <w:tcW w:w="2679" w:type="dxa"/>
            <w:tcBorders>
              <w:top w:val="single" w:sz="8" w:space="0" w:color="auto"/>
              <w:left w:val="single" w:sz="8" w:space="0" w:color="auto"/>
              <w:bottom w:val="single" w:sz="8" w:space="0" w:color="auto"/>
              <w:right w:val="single" w:sz="8" w:space="0" w:color="auto"/>
            </w:tcBorders>
          </w:tcPr>
          <w:p w14:paraId="1575914A"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ICCG</w:t>
            </w:r>
          </w:p>
        </w:tc>
        <w:tc>
          <w:tcPr>
            <w:tcW w:w="3543" w:type="dxa"/>
            <w:tcBorders>
              <w:top w:val="single" w:sz="8" w:space="0" w:color="auto"/>
              <w:left w:val="single" w:sz="8" w:space="0" w:color="auto"/>
              <w:bottom w:val="single" w:sz="8" w:space="0" w:color="auto"/>
              <w:right w:val="single" w:sz="8" w:space="0" w:color="auto"/>
            </w:tcBorders>
          </w:tcPr>
          <w:p w14:paraId="5A538DD6"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0</w:t>
            </w:r>
          </w:p>
        </w:tc>
        <w:tc>
          <w:tcPr>
            <w:tcW w:w="2835" w:type="dxa"/>
            <w:tcBorders>
              <w:top w:val="single" w:sz="8" w:space="0" w:color="auto"/>
              <w:left w:val="single" w:sz="8" w:space="0" w:color="auto"/>
              <w:bottom w:val="single" w:sz="8" w:space="0" w:color="auto"/>
              <w:right w:val="single" w:sz="8" w:space="0" w:color="auto"/>
            </w:tcBorders>
          </w:tcPr>
          <w:p w14:paraId="52752F4C"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5.5</w:t>
            </w:r>
          </w:p>
        </w:tc>
      </w:tr>
      <w:tr w:rsidR="000A7D9D" w:rsidRPr="00E21EA5" w14:paraId="5E119EB7" w14:textId="77777777" w:rsidTr="00DA2CFE">
        <w:trPr>
          <w:trHeight w:val="480"/>
        </w:trPr>
        <w:tc>
          <w:tcPr>
            <w:tcW w:w="2679" w:type="dxa"/>
            <w:tcBorders>
              <w:top w:val="single" w:sz="8" w:space="0" w:color="auto"/>
              <w:left w:val="single" w:sz="8" w:space="0" w:color="auto"/>
              <w:bottom w:val="single" w:sz="8" w:space="0" w:color="auto"/>
              <w:right w:val="single" w:sz="8" w:space="0" w:color="auto"/>
            </w:tcBorders>
          </w:tcPr>
          <w:p w14:paraId="5D506D3A"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Total</w:t>
            </w:r>
          </w:p>
        </w:tc>
        <w:tc>
          <w:tcPr>
            <w:tcW w:w="3543" w:type="dxa"/>
            <w:tcBorders>
              <w:top w:val="single" w:sz="8" w:space="0" w:color="auto"/>
              <w:left w:val="single" w:sz="8" w:space="0" w:color="auto"/>
              <w:bottom w:val="single" w:sz="8" w:space="0" w:color="auto"/>
              <w:right w:val="single" w:sz="8" w:space="0" w:color="auto"/>
            </w:tcBorders>
          </w:tcPr>
          <w:p w14:paraId="717B2781"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95</w:t>
            </w:r>
          </w:p>
        </w:tc>
        <w:tc>
          <w:tcPr>
            <w:tcW w:w="2835" w:type="dxa"/>
            <w:tcBorders>
              <w:top w:val="single" w:sz="8" w:space="0" w:color="auto"/>
              <w:left w:val="single" w:sz="8" w:space="0" w:color="auto"/>
              <w:bottom w:val="single" w:sz="8" w:space="0" w:color="auto"/>
              <w:right w:val="single" w:sz="8" w:space="0" w:color="auto"/>
            </w:tcBorders>
          </w:tcPr>
          <w:p w14:paraId="1CA76D1C"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507.5</w:t>
            </w:r>
          </w:p>
        </w:tc>
      </w:tr>
    </w:tbl>
    <w:p w14:paraId="6502C0A0" w14:textId="77777777" w:rsidR="000A7D9D" w:rsidRPr="00A00723" w:rsidRDefault="000A7D9D" w:rsidP="000A7D9D">
      <w:pPr>
        <w:spacing w:before="120"/>
        <w:jc w:val="both"/>
        <w:rPr>
          <w:rFonts w:ascii="Times New Roman" w:eastAsia="Verdana" w:hAnsi="Times New Roman" w:cs="Times New Roman"/>
          <w:b/>
          <w:bCs/>
          <w:noProof/>
          <w:sz w:val="24"/>
          <w:szCs w:val="24"/>
        </w:rPr>
      </w:pPr>
      <w:r w:rsidRPr="00A00723">
        <w:rPr>
          <w:rFonts w:ascii="Times New Roman" w:eastAsia="Verdana" w:hAnsi="Times New Roman" w:cs="Times New Roman"/>
          <w:b/>
          <w:bCs/>
          <w:noProof/>
          <w:sz w:val="24"/>
          <w:szCs w:val="24"/>
        </w:rPr>
        <w:t xml:space="preserve">Number of opinions per Committee per year in term 2016-2021 are: </w:t>
      </w:r>
    </w:p>
    <w:tbl>
      <w:tblPr>
        <w:tblW w:w="0" w:type="auto"/>
        <w:tblLayout w:type="fixed"/>
        <w:tblLook w:val="04A0" w:firstRow="1" w:lastRow="0" w:firstColumn="1" w:lastColumn="0" w:noHBand="0" w:noVBand="1"/>
      </w:tblPr>
      <w:tblGrid>
        <w:gridCol w:w="1935"/>
        <w:gridCol w:w="1845"/>
        <w:gridCol w:w="1905"/>
      </w:tblGrid>
      <w:tr w:rsidR="000A7D9D" w:rsidRPr="00E21EA5" w14:paraId="125BF8A5" w14:textId="77777777" w:rsidTr="00F31937">
        <w:tc>
          <w:tcPr>
            <w:tcW w:w="1935" w:type="dxa"/>
            <w:tcBorders>
              <w:top w:val="single" w:sz="8" w:space="0" w:color="auto"/>
              <w:left w:val="single" w:sz="8" w:space="0" w:color="auto"/>
              <w:bottom w:val="single" w:sz="8" w:space="0" w:color="auto"/>
              <w:right w:val="single" w:sz="8" w:space="0" w:color="auto"/>
            </w:tcBorders>
          </w:tcPr>
          <w:p w14:paraId="35A4946A"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YEAR</w:t>
            </w:r>
          </w:p>
        </w:tc>
        <w:tc>
          <w:tcPr>
            <w:tcW w:w="1845" w:type="dxa"/>
            <w:tcBorders>
              <w:top w:val="single" w:sz="8" w:space="0" w:color="auto"/>
              <w:left w:val="single" w:sz="8" w:space="0" w:color="auto"/>
              <w:bottom w:val="single" w:sz="8" w:space="0" w:color="auto"/>
              <w:right w:val="single" w:sz="8" w:space="0" w:color="auto"/>
            </w:tcBorders>
          </w:tcPr>
          <w:p w14:paraId="05DE7BA1"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SCCS</w:t>
            </w:r>
          </w:p>
        </w:tc>
        <w:tc>
          <w:tcPr>
            <w:tcW w:w="1905" w:type="dxa"/>
            <w:tcBorders>
              <w:top w:val="single" w:sz="8" w:space="0" w:color="auto"/>
              <w:left w:val="single" w:sz="8" w:space="0" w:color="auto"/>
              <w:bottom w:val="single" w:sz="8" w:space="0" w:color="auto"/>
              <w:right w:val="single" w:sz="8" w:space="0" w:color="auto"/>
            </w:tcBorders>
          </w:tcPr>
          <w:p w14:paraId="43399027"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SCHEER</w:t>
            </w:r>
          </w:p>
        </w:tc>
      </w:tr>
      <w:tr w:rsidR="000A7D9D" w:rsidRPr="00E21EA5" w14:paraId="56F79735" w14:textId="77777777" w:rsidTr="00F31937">
        <w:tc>
          <w:tcPr>
            <w:tcW w:w="1935" w:type="dxa"/>
            <w:tcBorders>
              <w:top w:val="single" w:sz="8" w:space="0" w:color="auto"/>
              <w:left w:val="single" w:sz="8" w:space="0" w:color="auto"/>
              <w:bottom w:val="single" w:sz="8" w:space="0" w:color="auto"/>
              <w:right w:val="single" w:sz="8" w:space="0" w:color="auto"/>
            </w:tcBorders>
          </w:tcPr>
          <w:p w14:paraId="6D5E8890"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4-12/2016</w:t>
            </w:r>
          </w:p>
        </w:tc>
        <w:tc>
          <w:tcPr>
            <w:tcW w:w="1845" w:type="dxa"/>
            <w:tcBorders>
              <w:top w:val="single" w:sz="8" w:space="0" w:color="auto"/>
              <w:left w:val="single" w:sz="8" w:space="0" w:color="auto"/>
              <w:bottom w:val="single" w:sz="8" w:space="0" w:color="auto"/>
              <w:right w:val="single" w:sz="8" w:space="0" w:color="auto"/>
            </w:tcBorders>
          </w:tcPr>
          <w:p w14:paraId="5EA9E61C"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7*</w:t>
            </w:r>
          </w:p>
        </w:tc>
        <w:tc>
          <w:tcPr>
            <w:tcW w:w="1905" w:type="dxa"/>
            <w:tcBorders>
              <w:top w:val="single" w:sz="8" w:space="0" w:color="auto"/>
              <w:left w:val="single" w:sz="8" w:space="0" w:color="auto"/>
              <w:bottom w:val="single" w:sz="8" w:space="0" w:color="auto"/>
              <w:right w:val="single" w:sz="8" w:space="0" w:color="auto"/>
            </w:tcBorders>
          </w:tcPr>
          <w:p w14:paraId="36EDAC4B"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2</w:t>
            </w:r>
          </w:p>
        </w:tc>
      </w:tr>
      <w:tr w:rsidR="000A7D9D" w:rsidRPr="00E21EA5" w14:paraId="26EF82F5" w14:textId="77777777" w:rsidTr="00F31937">
        <w:tc>
          <w:tcPr>
            <w:tcW w:w="1935" w:type="dxa"/>
            <w:tcBorders>
              <w:top w:val="single" w:sz="8" w:space="0" w:color="auto"/>
              <w:left w:val="single" w:sz="8" w:space="0" w:color="auto"/>
              <w:bottom w:val="single" w:sz="8" w:space="0" w:color="auto"/>
              <w:right w:val="single" w:sz="8" w:space="0" w:color="auto"/>
            </w:tcBorders>
          </w:tcPr>
          <w:p w14:paraId="73709D8C"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2017</w:t>
            </w:r>
          </w:p>
        </w:tc>
        <w:tc>
          <w:tcPr>
            <w:tcW w:w="1845" w:type="dxa"/>
            <w:tcBorders>
              <w:top w:val="single" w:sz="8" w:space="0" w:color="auto"/>
              <w:left w:val="single" w:sz="8" w:space="0" w:color="auto"/>
              <w:bottom w:val="single" w:sz="8" w:space="0" w:color="auto"/>
              <w:right w:val="single" w:sz="8" w:space="0" w:color="auto"/>
            </w:tcBorders>
          </w:tcPr>
          <w:p w14:paraId="42590722"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9</w:t>
            </w:r>
          </w:p>
        </w:tc>
        <w:tc>
          <w:tcPr>
            <w:tcW w:w="1905" w:type="dxa"/>
            <w:tcBorders>
              <w:top w:val="single" w:sz="8" w:space="0" w:color="auto"/>
              <w:left w:val="single" w:sz="8" w:space="0" w:color="auto"/>
              <w:bottom w:val="single" w:sz="8" w:space="0" w:color="auto"/>
              <w:right w:val="single" w:sz="8" w:space="0" w:color="auto"/>
            </w:tcBorders>
          </w:tcPr>
          <w:p w14:paraId="6C73862E"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9</w:t>
            </w:r>
          </w:p>
        </w:tc>
      </w:tr>
      <w:tr w:rsidR="000A7D9D" w:rsidRPr="00E21EA5" w14:paraId="130CD48D" w14:textId="77777777" w:rsidTr="00F31937">
        <w:tc>
          <w:tcPr>
            <w:tcW w:w="1935" w:type="dxa"/>
            <w:tcBorders>
              <w:top w:val="single" w:sz="8" w:space="0" w:color="auto"/>
              <w:left w:val="single" w:sz="8" w:space="0" w:color="auto"/>
              <w:bottom w:val="single" w:sz="8" w:space="0" w:color="auto"/>
              <w:right w:val="single" w:sz="8" w:space="0" w:color="auto"/>
            </w:tcBorders>
          </w:tcPr>
          <w:p w14:paraId="4D7FA860"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2018</w:t>
            </w:r>
          </w:p>
        </w:tc>
        <w:tc>
          <w:tcPr>
            <w:tcW w:w="1845" w:type="dxa"/>
            <w:tcBorders>
              <w:top w:val="single" w:sz="8" w:space="0" w:color="auto"/>
              <w:left w:val="single" w:sz="8" w:space="0" w:color="auto"/>
              <w:bottom w:val="single" w:sz="8" w:space="0" w:color="auto"/>
              <w:right w:val="single" w:sz="8" w:space="0" w:color="auto"/>
            </w:tcBorders>
          </w:tcPr>
          <w:p w14:paraId="356B4DA2"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13</w:t>
            </w:r>
          </w:p>
        </w:tc>
        <w:tc>
          <w:tcPr>
            <w:tcW w:w="1905" w:type="dxa"/>
            <w:tcBorders>
              <w:top w:val="single" w:sz="8" w:space="0" w:color="auto"/>
              <w:left w:val="single" w:sz="8" w:space="0" w:color="auto"/>
              <w:bottom w:val="single" w:sz="8" w:space="0" w:color="auto"/>
              <w:right w:val="single" w:sz="8" w:space="0" w:color="auto"/>
            </w:tcBorders>
          </w:tcPr>
          <w:p w14:paraId="708E02C3"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6</w:t>
            </w:r>
          </w:p>
        </w:tc>
      </w:tr>
      <w:tr w:rsidR="000A7D9D" w:rsidRPr="00E21EA5" w14:paraId="48DF803D" w14:textId="77777777" w:rsidTr="00F31937">
        <w:tc>
          <w:tcPr>
            <w:tcW w:w="1935" w:type="dxa"/>
            <w:tcBorders>
              <w:top w:val="single" w:sz="8" w:space="0" w:color="auto"/>
              <w:left w:val="single" w:sz="8" w:space="0" w:color="auto"/>
              <w:bottom w:val="single" w:sz="8" w:space="0" w:color="auto"/>
              <w:right w:val="single" w:sz="8" w:space="0" w:color="auto"/>
            </w:tcBorders>
          </w:tcPr>
          <w:p w14:paraId="6E42D34D"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2019</w:t>
            </w:r>
          </w:p>
        </w:tc>
        <w:tc>
          <w:tcPr>
            <w:tcW w:w="1845" w:type="dxa"/>
            <w:tcBorders>
              <w:top w:val="single" w:sz="8" w:space="0" w:color="auto"/>
              <w:left w:val="single" w:sz="8" w:space="0" w:color="auto"/>
              <w:bottom w:val="single" w:sz="8" w:space="0" w:color="auto"/>
              <w:right w:val="single" w:sz="8" w:space="0" w:color="auto"/>
            </w:tcBorders>
          </w:tcPr>
          <w:p w14:paraId="14B12603"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12</w:t>
            </w:r>
          </w:p>
        </w:tc>
        <w:tc>
          <w:tcPr>
            <w:tcW w:w="1905" w:type="dxa"/>
            <w:tcBorders>
              <w:top w:val="single" w:sz="8" w:space="0" w:color="auto"/>
              <w:left w:val="single" w:sz="8" w:space="0" w:color="auto"/>
              <w:bottom w:val="single" w:sz="8" w:space="0" w:color="auto"/>
              <w:right w:val="single" w:sz="8" w:space="0" w:color="auto"/>
            </w:tcBorders>
          </w:tcPr>
          <w:p w14:paraId="6B0C1070"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3</w:t>
            </w:r>
          </w:p>
        </w:tc>
      </w:tr>
      <w:tr w:rsidR="000A7D9D" w:rsidRPr="00E21EA5" w14:paraId="05C7B4EC" w14:textId="77777777" w:rsidTr="00F31937">
        <w:tc>
          <w:tcPr>
            <w:tcW w:w="1935" w:type="dxa"/>
            <w:tcBorders>
              <w:top w:val="single" w:sz="8" w:space="0" w:color="auto"/>
              <w:left w:val="single" w:sz="8" w:space="0" w:color="auto"/>
              <w:bottom w:val="single" w:sz="8" w:space="0" w:color="auto"/>
              <w:right w:val="single" w:sz="8" w:space="0" w:color="auto"/>
            </w:tcBorders>
          </w:tcPr>
          <w:p w14:paraId="41477F33"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2020</w:t>
            </w:r>
          </w:p>
        </w:tc>
        <w:tc>
          <w:tcPr>
            <w:tcW w:w="1845" w:type="dxa"/>
            <w:tcBorders>
              <w:top w:val="single" w:sz="8" w:space="0" w:color="auto"/>
              <w:left w:val="single" w:sz="8" w:space="0" w:color="auto"/>
              <w:bottom w:val="single" w:sz="8" w:space="0" w:color="auto"/>
              <w:right w:val="single" w:sz="8" w:space="0" w:color="auto"/>
            </w:tcBorders>
          </w:tcPr>
          <w:p w14:paraId="6EE7959A"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6</w:t>
            </w:r>
          </w:p>
        </w:tc>
        <w:tc>
          <w:tcPr>
            <w:tcW w:w="1905" w:type="dxa"/>
            <w:tcBorders>
              <w:top w:val="single" w:sz="8" w:space="0" w:color="auto"/>
              <w:left w:val="single" w:sz="8" w:space="0" w:color="auto"/>
              <w:bottom w:val="single" w:sz="8" w:space="0" w:color="auto"/>
              <w:right w:val="single" w:sz="8" w:space="0" w:color="auto"/>
            </w:tcBorders>
          </w:tcPr>
          <w:p w14:paraId="45631920"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1</w:t>
            </w:r>
          </w:p>
        </w:tc>
      </w:tr>
      <w:tr w:rsidR="000A7D9D" w:rsidRPr="00E21EA5" w14:paraId="7C4B298B" w14:textId="77777777" w:rsidTr="00F31937">
        <w:tc>
          <w:tcPr>
            <w:tcW w:w="1935" w:type="dxa"/>
            <w:tcBorders>
              <w:top w:val="single" w:sz="8" w:space="0" w:color="auto"/>
              <w:left w:val="single" w:sz="8" w:space="0" w:color="auto"/>
              <w:bottom w:val="single" w:sz="8" w:space="0" w:color="auto"/>
              <w:right w:val="single" w:sz="8" w:space="0" w:color="auto"/>
            </w:tcBorders>
          </w:tcPr>
          <w:p w14:paraId="59748279"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2021</w:t>
            </w:r>
          </w:p>
        </w:tc>
        <w:tc>
          <w:tcPr>
            <w:tcW w:w="1845" w:type="dxa"/>
            <w:tcBorders>
              <w:top w:val="single" w:sz="8" w:space="0" w:color="auto"/>
              <w:left w:val="single" w:sz="8" w:space="0" w:color="auto"/>
              <w:bottom w:val="single" w:sz="8" w:space="0" w:color="auto"/>
              <w:right w:val="single" w:sz="8" w:space="0" w:color="auto"/>
            </w:tcBorders>
          </w:tcPr>
          <w:p w14:paraId="65BE3365"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19</w:t>
            </w:r>
          </w:p>
        </w:tc>
        <w:tc>
          <w:tcPr>
            <w:tcW w:w="1905" w:type="dxa"/>
            <w:tcBorders>
              <w:top w:val="single" w:sz="8" w:space="0" w:color="auto"/>
              <w:left w:val="single" w:sz="8" w:space="0" w:color="auto"/>
              <w:bottom w:val="single" w:sz="8" w:space="0" w:color="auto"/>
              <w:right w:val="single" w:sz="8" w:space="0" w:color="auto"/>
            </w:tcBorders>
          </w:tcPr>
          <w:p w14:paraId="4CC6A8EB" w14:textId="77777777" w:rsidR="000A7D9D" w:rsidRPr="00E21EA5" w:rsidRDefault="000A7D9D" w:rsidP="00F31937">
            <w:pPr>
              <w:jc w:val="center"/>
              <w:rPr>
                <w:rFonts w:ascii="Times New Roman" w:eastAsia="Verdana" w:hAnsi="Times New Roman" w:cs="Times New Roman"/>
                <w:noProof/>
                <w:sz w:val="20"/>
                <w:szCs w:val="20"/>
              </w:rPr>
            </w:pPr>
            <w:r w:rsidRPr="00E21EA5">
              <w:rPr>
                <w:rFonts w:ascii="Times New Roman" w:eastAsia="Verdana" w:hAnsi="Times New Roman" w:cs="Times New Roman"/>
                <w:noProof/>
                <w:sz w:val="20"/>
                <w:szCs w:val="20"/>
              </w:rPr>
              <w:t>8</w:t>
            </w:r>
          </w:p>
        </w:tc>
      </w:tr>
      <w:tr w:rsidR="000A7D9D" w:rsidRPr="00E21EA5" w14:paraId="4780043A" w14:textId="77777777" w:rsidTr="00F31937">
        <w:tc>
          <w:tcPr>
            <w:tcW w:w="1935" w:type="dxa"/>
            <w:tcBorders>
              <w:top w:val="single" w:sz="8" w:space="0" w:color="auto"/>
              <w:left w:val="single" w:sz="8" w:space="0" w:color="auto"/>
              <w:bottom w:val="single" w:sz="8" w:space="0" w:color="auto"/>
              <w:right w:val="single" w:sz="8" w:space="0" w:color="auto"/>
            </w:tcBorders>
          </w:tcPr>
          <w:p w14:paraId="6A85A218"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TOTAL</w:t>
            </w:r>
          </w:p>
        </w:tc>
        <w:tc>
          <w:tcPr>
            <w:tcW w:w="1845" w:type="dxa"/>
            <w:tcBorders>
              <w:top w:val="single" w:sz="8" w:space="0" w:color="auto"/>
              <w:left w:val="single" w:sz="8" w:space="0" w:color="auto"/>
              <w:bottom w:val="single" w:sz="8" w:space="0" w:color="auto"/>
              <w:right w:val="single" w:sz="8" w:space="0" w:color="auto"/>
            </w:tcBorders>
          </w:tcPr>
          <w:p w14:paraId="23A86270"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66</w:t>
            </w:r>
          </w:p>
        </w:tc>
        <w:tc>
          <w:tcPr>
            <w:tcW w:w="1905" w:type="dxa"/>
            <w:tcBorders>
              <w:top w:val="single" w:sz="8" w:space="0" w:color="auto"/>
              <w:left w:val="single" w:sz="8" w:space="0" w:color="auto"/>
              <w:bottom w:val="single" w:sz="8" w:space="0" w:color="auto"/>
              <w:right w:val="single" w:sz="8" w:space="0" w:color="auto"/>
            </w:tcBorders>
          </w:tcPr>
          <w:p w14:paraId="0DD535DC" w14:textId="77777777" w:rsidR="000A7D9D" w:rsidRPr="00E21EA5" w:rsidRDefault="000A7D9D" w:rsidP="00F31937">
            <w:pPr>
              <w:jc w:val="center"/>
              <w:rPr>
                <w:rFonts w:ascii="Times New Roman" w:eastAsia="Verdana" w:hAnsi="Times New Roman" w:cs="Times New Roman"/>
                <w:b/>
                <w:bCs/>
                <w:noProof/>
                <w:sz w:val="20"/>
                <w:szCs w:val="20"/>
              </w:rPr>
            </w:pPr>
            <w:r w:rsidRPr="00E21EA5">
              <w:rPr>
                <w:rFonts w:ascii="Times New Roman" w:eastAsia="Verdana" w:hAnsi="Times New Roman" w:cs="Times New Roman"/>
                <w:b/>
                <w:bCs/>
                <w:noProof/>
                <w:sz w:val="20"/>
                <w:szCs w:val="20"/>
              </w:rPr>
              <w:t>29</w:t>
            </w:r>
          </w:p>
        </w:tc>
      </w:tr>
    </w:tbl>
    <w:p w14:paraId="152EED9B" w14:textId="77777777" w:rsidR="000A7D9D" w:rsidRPr="00A00723" w:rsidRDefault="000A7D9D" w:rsidP="000A7D9D">
      <w:pPr>
        <w:spacing w:before="120"/>
        <w:jc w:val="both"/>
        <w:rPr>
          <w:rFonts w:ascii="Times New Roman" w:eastAsia="Verdana" w:hAnsi="Times New Roman" w:cs="Times New Roman"/>
          <w:b/>
          <w:bCs/>
          <w:noProof/>
          <w:sz w:val="24"/>
          <w:szCs w:val="24"/>
        </w:rPr>
      </w:pPr>
      <w:r w:rsidRPr="00A00723">
        <w:rPr>
          <w:rFonts w:ascii="Times New Roman" w:eastAsia="Verdana" w:hAnsi="Times New Roman" w:cs="Times New Roman"/>
          <w:noProof/>
          <w:sz w:val="24"/>
          <w:szCs w:val="24"/>
        </w:rPr>
        <w:t xml:space="preserve">The total budget spent for all the activities was </w:t>
      </w:r>
      <w:r w:rsidRPr="00DA2CFE">
        <w:rPr>
          <w:rFonts w:ascii="Times New Roman" w:eastAsia="Verdana" w:hAnsi="Times New Roman" w:cs="Times New Roman"/>
          <w:b/>
          <w:noProof/>
          <w:sz w:val="24"/>
          <w:szCs w:val="24"/>
        </w:rPr>
        <w:t>EUR</w:t>
      </w:r>
      <w:r>
        <w:rPr>
          <w:rFonts w:ascii="Times New Roman" w:eastAsia="Verdana" w:hAnsi="Times New Roman" w:cs="Times New Roman"/>
          <w:noProof/>
          <w:sz w:val="24"/>
          <w:szCs w:val="24"/>
        </w:rPr>
        <w:t xml:space="preserve"> </w:t>
      </w:r>
      <w:r w:rsidRPr="00A00723">
        <w:rPr>
          <w:rFonts w:ascii="Times New Roman" w:eastAsia="Verdana" w:hAnsi="Times New Roman" w:cs="Times New Roman"/>
          <w:b/>
          <w:bCs/>
          <w:noProof/>
          <w:sz w:val="24"/>
          <w:szCs w:val="24"/>
        </w:rPr>
        <w:t>3</w:t>
      </w:r>
      <w:r>
        <w:rPr>
          <w:rFonts w:ascii="Times New Roman" w:eastAsia="Verdana" w:hAnsi="Times New Roman" w:cs="Times New Roman"/>
          <w:b/>
          <w:bCs/>
          <w:noProof/>
          <w:sz w:val="24"/>
          <w:szCs w:val="24"/>
        </w:rPr>
        <w:t xml:space="preserve"> </w:t>
      </w:r>
      <w:r w:rsidRPr="00A00723">
        <w:rPr>
          <w:rFonts w:ascii="Times New Roman" w:eastAsia="Verdana" w:hAnsi="Times New Roman" w:cs="Times New Roman"/>
          <w:b/>
          <w:bCs/>
          <w:noProof/>
          <w:sz w:val="24"/>
          <w:szCs w:val="24"/>
        </w:rPr>
        <w:t>964</w:t>
      </w:r>
      <w:r>
        <w:rPr>
          <w:rFonts w:ascii="Times New Roman" w:eastAsia="Verdana" w:hAnsi="Times New Roman" w:cs="Times New Roman"/>
          <w:b/>
          <w:bCs/>
          <w:noProof/>
          <w:sz w:val="24"/>
          <w:szCs w:val="24"/>
        </w:rPr>
        <w:t xml:space="preserve"> </w:t>
      </w:r>
      <w:r w:rsidRPr="00A00723">
        <w:rPr>
          <w:rFonts w:ascii="Times New Roman" w:eastAsia="Verdana" w:hAnsi="Times New Roman" w:cs="Times New Roman"/>
          <w:b/>
          <w:bCs/>
          <w:noProof/>
          <w:sz w:val="24"/>
          <w:szCs w:val="24"/>
        </w:rPr>
        <w:t>190,89</w:t>
      </w:r>
      <w:r w:rsidRPr="00A00723">
        <w:rPr>
          <w:rFonts w:ascii="Times New Roman" w:eastAsia="Verdana" w:hAnsi="Times New Roman" w:cs="Times New Roman"/>
          <w:noProof/>
          <w:sz w:val="24"/>
          <w:szCs w:val="24"/>
        </w:rPr>
        <w:t xml:space="preserve"> for term April 2016 to December 2021: </w:t>
      </w:r>
      <w:r w:rsidRPr="00A00723">
        <w:rPr>
          <w:rFonts w:ascii="Times New Roman" w:eastAsia="Verdana" w:hAnsi="Times New Roman" w:cs="Times New Roman"/>
          <w:b/>
          <w:bCs/>
          <w:noProof/>
          <w:sz w:val="24"/>
          <w:szCs w:val="24"/>
        </w:rPr>
        <w:t xml:space="preserve"> </w:t>
      </w:r>
    </w:p>
    <w:p w14:paraId="554BBD6D" w14:textId="77777777" w:rsidR="00DA2CFE" w:rsidRDefault="000A7D9D" w:rsidP="00DA2CFE">
      <w:pPr>
        <w:pStyle w:val="ListParagraph"/>
        <w:widowControl w:val="0"/>
        <w:numPr>
          <w:ilvl w:val="0"/>
          <w:numId w:val="79"/>
        </w:numPr>
        <w:rPr>
          <w:rStyle w:val="eop"/>
          <w:rFonts w:eastAsiaTheme="minorEastAsia"/>
          <w:noProof/>
          <w:color w:val="000000" w:themeColor="text1"/>
        </w:rPr>
      </w:pPr>
      <w:r>
        <w:rPr>
          <w:rFonts w:eastAsia="Verdana"/>
          <w:b/>
          <w:bCs/>
          <w:noProof/>
        </w:rPr>
        <w:t xml:space="preserve">EUR </w:t>
      </w:r>
      <w:r w:rsidRPr="00A00723">
        <w:rPr>
          <w:rFonts w:eastAsia="Verdana"/>
          <w:b/>
          <w:bCs/>
          <w:noProof/>
        </w:rPr>
        <w:t>2</w:t>
      </w:r>
      <w:r>
        <w:rPr>
          <w:rFonts w:eastAsia="Verdana"/>
          <w:b/>
          <w:bCs/>
          <w:noProof/>
        </w:rPr>
        <w:t xml:space="preserve"> </w:t>
      </w:r>
      <w:r w:rsidRPr="00A00723">
        <w:rPr>
          <w:rFonts w:eastAsia="Verdana"/>
          <w:b/>
          <w:bCs/>
          <w:noProof/>
        </w:rPr>
        <w:t>883</w:t>
      </w:r>
      <w:r>
        <w:rPr>
          <w:rFonts w:eastAsia="Verdana"/>
          <w:b/>
          <w:bCs/>
          <w:noProof/>
        </w:rPr>
        <w:t xml:space="preserve"> </w:t>
      </w:r>
      <w:r w:rsidRPr="00A00723">
        <w:rPr>
          <w:rFonts w:eastAsia="Verdana"/>
          <w:b/>
          <w:bCs/>
          <w:noProof/>
        </w:rPr>
        <w:t>030,89</w:t>
      </w:r>
      <w:r w:rsidRPr="00A00723">
        <w:rPr>
          <w:rFonts w:eastAsia="Verdana"/>
          <w:noProof/>
        </w:rPr>
        <w:t xml:space="preserve"> were spent for meeting costs - r</w:t>
      </w:r>
      <w:r w:rsidRPr="00A00723">
        <w:rPr>
          <w:rStyle w:val="eop"/>
          <w:rFonts w:eastAsiaTheme="minorEastAsia"/>
          <w:noProof/>
          <w:color w:val="000000" w:themeColor="text1"/>
        </w:rPr>
        <w:t>eimbursements of Chairs and Rapporteurs, special allowance, etc…</w:t>
      </w:r>
    </w:p>
    <w:p w14:paraId="036CDF51" w14:textId="74900CE6" w:rsidR="000A7D9D" w:rsidRPr="00DA2CFE" w:rsidRDefault="000A7D9D" w:rsidP="00DA2CFE">
      <w:pPr>
        <w:pStyle w:val="ListParagraph"/>
        <w:widowControl w:val="0"/>
        <w:numPr>
          <w:ilvl w:val="0"/>
          <w:numId w:val="79"/>
        </w:numPr>
        <w:spacing w:after="120"/>
        <w:ind w:left="714" w:hanging="357"/>
        <w:contextualSpacing w:val="0"/>
        <w:rPr>
          <w:rFonts w:eastAsiaTheme="minorEastAsia"/>
          <w:noProof/>
          <w:color w:val="000000" w:themeColor="text1"/>
        </w:rPr>
      </w:pPr>
      <w:r w:rsidRPr="00DA2CFE">
        <w:rPr>
          <w:rFonts w:eastAsia="Verdana"/>
          <w:b/>
          <w:bCs/>
          <w:noProof/>
        </w:rPr>
        <w:t>EUR 1 081 160,00</w:t>
      </w:r>
      <w:r w:rsidRPr="00DA2CFE">
        <w:rPr>
          <w:rFonts w:eastAsia="Verdana"/>
          <w:noProof/>
        </w:rPr>
        <w:t xml:space="preserve"> were spent for technical assistance (literature search, editing of opinions, website mastering and dissemination activities).</w:t>
      </w:r>
    </w:p>
    <w:p w14:paraId="02BFD3B0" w14:textId="77777777" w:rsidR="000A7D9D" w:rsidRPr="00DA2CFE" w:rsidRDefault="000A7D9D" w:rsidP="000A7D9D">
      <w:pPr>
        <w:spacing w:after="120"/>
        <w:jc w:val="both"/>
        <w:rPr>
          <w:rFonts w:ascii="Times New Roman" w:eastAsiaTheme="minorEastAsia" w:hAnsi="Times New Roman" w:cs="Times New Roman"/>
          <w:noProof/>
          <w:color w:val="BFBFBF" w:themeColor="background1" w:themeShade="BF"/>
          <w:sz w:val="24"/>
          <w:szCs w:val="24"/>
        </w:rPr>
      </w:pPr>
      <w:r w:rsidRPr="00DA2CFE">
        <w:rPr>
          <w:rStyle w:val="eop"/>
          <w:rFonts w:ascii="Times New Roman" w:eastAsiaTheme="minorEastAsia" w:hAnsi="Times New Roman" w:cs="Times New Roman"/>
          <w:noProof/>
          <w:color w:val="000000" w:themeColor="text1"/>
          <w:sz w:val="24"/>
          <w:szCs w:val="24"/>
        </w:rPr>
        <w:t>More details can be found in their Activity Report: see</w:t>
      </w:r>
      <w:r w:rsidRPr="00DA2CFE">
        <w:rPr>
          <w:rFonts w:ascii="Times New Roman" w:eastAsiaTheme="minorEastAsia" w:hAnsi="Times New Roman" w:cs="Times New Roman"/>
          <w:noProof/>
          <w:color w:val="BFBFBF" w:themeColor="background1" w:themeShade="BF"/>
          <w:sz w:val="24"/>
          <w:szCs w:val="24"/>
          <w:lang w:val="en-US"/>
        </w:rPr>
        <w:t xml:space="preserve"> </w:t>
      </w:r>
      <w:hyperlink r:id="rId142">
        <w:r w:rsidRPr="00DA2CFE">
          <w:rPr>
            <w:rStyle w:val="Hyperlink"/>
            <w:noProof/>
            <w:sz w:val="24"/>
            <w:szCs w:val="24"/>
          </w:rPr>
          <w:t>activity_report_sc_20132016_en.pdf (europa.eu)</w:t>
        </w:r>
      </w:hyperlink>
    </w:p>
    <w:p w14:paraId="1428AF54" w14:textId="77777777" w:rsidR="000A7D9D" w:rsidRPr="00A00723" w:rsidRDefault="000A7D9D" w:rsidP="000A7D9D">
      <w:pPr>
        <w:spacing w:after="120"/>
        <w:rPr>
          <w:rFonts w:ascii="Times New Roman" w:eastAsiaTheme="minorEastAsia" w:hAnsi="Times New Roman" w:cs="Times New Roman"/>
          <w:noProof/>
          <w:sz w:val="24"/>
          <w:szCs w:val="24"/>
          <w:u w:val="single"/>
        </w:rPr>
      </w:pPr>
      <w:r w:rsidRPr="00A00723">
        <w:rPr>
          <w:rFonts w:ascii="Times New Roman" w:eastAsiaTheme="minorEastAsia" w:hAnsi="Times New Roman" w:cs="Times New Roman"/>
          <w:noProof/>
          <w:sz w:val="24"/>
          <w:szCs w:val="24"/>
          <w:u w:val="single"/>
        </w:rPr>
        <w:t>Current budget line:</w:t>
      </w:r>
    </w:p>
    <w:p w14:paraId="77DAD952" w14:textId="77777777" w:rsidR="000A7D9D" w:rsidRPr="00A00723" w:rsidRDefault="000A7D9D" w:rsidP="000A7D9D">
      <w:pPr>
        <w:spacing w:after="120"/>
        <w:jc w:val="both"/>
        <w:rPr>
          <w:rFonts w:ascii="Times New Roman" w:eastAsiaTheme="minorEastAsia" w:hAnsi="Times New Roman" w:cs="Times New Roman"/>
          <w:noProof/>
          <w:sz w:val="24"/>
          <w:szCs w:val="24"/>
        </w:rPr>
      </w:pPr>
      <w:r w:rsidRPr="00A00723">
        <w:rPr>
          <w:rStyle w:val="normaltextrun"/>
          <w:rFonts w:ascii="Times New Roman" w:eastAsiaTheme="minorEastAsia" w:hAnsi="Times New Roman" w:cs="Times New Roman"/>
          <w:noProof/>
          <w:color w:val="000000" w:themeColor="text1"/>
          <w:sz w:val="24"/>
          <w:szCs w:val="24"/>
        </w:rPr>
        <w:t>For both Committees, as of 2021, the funding comes from the EU budget (EU4Health). In the past it was via Consumer (DG JUST) - mainly for the SCCS - and via Health (SANTE) Programmes.</w:t>
      </w:r>
    </w:p>
    <w:p w14:paraId="21D00B4A" w14:textId="77777777" w:rsidR="000A7D9D" w:rsidRPr="00A00723" w:rsidRDefault="000A7D9D" w:rsidP="000A7D9D">
      <w:pPr>
        <w:spacing w:after="120"/>
        <w:rPr>
          <w:rFonts w:ascii="Times New Roman" w:eastAsiaTheme="minorEastAsia" w:hAnsi="Times New Roman" w:cs="Times New Roman"/>
          <w:noProof/>
          <w:sz w:val="24"/>
          <w:szCs w:val="24"/>
        </w:rPr>
      </w:pPr>
      <w:r w:rsidRPr="00A00723">
        <w:rPr>
          <w:rFonts w:ascii="Times New Roman" w:eastAsiaTheme="minorEastAsia" w:hAnsi="Times New Roman" w:cs="Times New Roman"/>
          <w:noProof/>
          <w:sz w:val="24"/>
          <w:szCs w:val="24"/>
          <w:u w:val="single"/>
        </w:rPr>
        <w:t>Future workload and resource needs:</w:t>
      </w:r>
      <w:r w:rsidRPr="00A00723">
        <w:rPr>
          <w:rFonts w:ascii="Times New Roman" w:eastAsiaTheme="minorEastAsia" w:hAnsi="Times New Roman" w:cs="Times New Roman"/>
          <w:noProof/>
          <w:sz w:val="24"/>
          <w:szCs w:val="24"/>
        </w:rPr>
        <w:t xml:space="preserve"> </w:t>
      </w:r>
    </w:p>
    <w:p w14:paraId="454DC9F5" w14:textId="77777777" w:rsidR="000A7D9D" w:rsidRPr="00A00723" w:rsidRDefault="000A7D9D" w:rsidP="000A7D9D">
      <w:pPr>
        <w:spacing w:after="120"/>
        <w:jc w:val="both"/>
        <w:rPr>
          <w:rFonts w:ascii="Times New Roman" w:eastAsiaTheme="minorEastAsia" w:hAnsi="Times New Roman" w:cs="Times New Roman"/>
          <w:noProof/>
          <w:sz w:val="24"/>
          <w:szCs w:val="24"/>
          <w:lang w:val="en-US"/>
        </w:rPr>
      </w:pPr>
      <w:r w:rsidRPr="00A00723">
        <w:rPr>
          <w:rFonts w:ascii="Times New Roman" w:eastAsiaTheme="minorEastAsia" w:hAnsi="Times New Roman" w:cs="Times New Roman"/>
          <w:noProof/>
          <w:sz w:val="24"/>
          <w:szCs w:val="24"/>
        </w:rPr>
        <w:t>For chemical work, the future workload and resource needs are estimated under the Cosmetics Product Regulation, t</w:t>
      </w:r>
      <w:r w:rsidRPr="00A00723">
        <w:rPr>
          <w:rFonts w:ascii="Times New Roman" w:eastAsiaTheme="minorEastAsia" w:hAnsi="Times New Roman" w:cs="Times New Roman"/>
          <w:noProof/>
          <w:sz w:val="24"/>
          <w:szCs w:val="24"/>
          <w:lang w:val="en-US"/>
        </w:rPr>
        <w:t xml:space="preserve">he Water Framework Directive/Environmental Quality Standard Directive/Ground water directive, Toys Directive, Medical Devices Directive, Cross-Border Health Threats Regulation and Tobacco Directive for their respective parts. </w:t>
      </w:r>
    </w:p>
    <w:p w14:paraId="54499F0F" w14:textId="77777777" w:rsidR="000A7D9D" w:rsidRPr="00A00723" w:rsidRDefault="000A7D9D" w:rsidP="000A7D9D">
      <w:pPr>
        <w:spacing w:after="120"/>
        <w:jc w:val="both"/>
        <w:rPr>
          <w:rFonts w:ascii="Times New Roman" w:eastAsiaTheme="minorEastAsia" w:hAnsi="Times New Roman" w:cs="Times New Roman"/>
          <w:noProof/>
          <w:sz w:val="24"/>
          <w:szCs w:val="24"/>
        </w:rPr>
      </w:pPr>
      <w:r w:rsidRPr="00A00723">
        <w:rPr>
          <w:rFonts w:ascii="Times New Roman" w:eastAsiaTheme="minorEastAsia" w:hAnsi="Times New Roman" w:cs="Times New Roman"/>
          <w:noProof/>
          <w:color w:val="000000" w:themeColor="text1"/>
          <w:sz w:val="24"/>
          <w:szCs w:val="24"/>
        </w:rPr>
        <w:t xml:space="preserve">For non-chemical work, the experience over the last 10 years shows that the number of opinions on non-chemical issues is low and amounts to approximately 1 opinion per year. Majority of opinions on non-chemical topics are </w:t>
      </w:r>
      <w:r w:rsidRPr="00A00723">
        <w:rPr>
          <w:rFonts w:ascii="Times New Roman" w:eastAsiaTheme="minorEastAsia" w:hAnsi="Times New Roman" w:cs="Times New Roman"/>
          <w:i/>
          <w:iCs/>
          <w:noProof/>
          <w:color w:val="000000" w:themeColor="text1"/>
          <w:sz w:val="24"/>
          <w:szCs w:val="24"/>
        </w:rPr>
        <w:t>ad-hoc</w:t>
      </w:r>
      <w:r w:rsidRPr="00A00723">
        <w:rPr>
          <w:rFonts w:ascii="Times New Roman" w:eastAsiaTheme="minorEastAsia" w:hAnsi="Times New Roman" w:cs="Times New Roman"/>
          <w:noProof/>
          <w:color w:val="000000" w:themeColor="text1"/>
          <w:sz w:val="24"/>
          <w:szCs w:val="24"/>
        </w:rPr>
        <w:t>. There are few examples of opinions that are recurrent, like the once on electromagnetic fields (EMF) and on the use of animals in laboratory testing (one opinion approximately every 5 years).</w:t>
      </w:r>
      <w:r w:rsidRPr="00A00723">
        <w:rPr>
          <w:rFonts w:ascii="Times New Roman" w:eastAsiaTheme="minorEastAsia" w:hAnsi="Times New Roman" w:cs="Times New Roman"/>
          <w:noProof/>
          <w:sz w:val="24"/>
          <w:szCs w:val="24"/>
        </w:rPr>
        <w:t xml:space="preserve"> Currently the SAM delivers around 3-4 opinions per year. The additional 1 opinion will therefore represent a significant impact. It is estimated that addition 1 FTE for SAM secretariat will be necessary. </w:t>
      </w:r>
    </w:p>
    <w:p w14:paraId="2767E13C" w14:textId="77777777" w:rsidR="000A7D9D" w:rsidRPr="00A00723" w:rsidRDefault="000A7D9D" w:rsidP="000A7D9D">
      <w:pPr>
        <w:spacing w:before="120" w:after="120"/>
        <w:rPr>
          <w:rFonts w:ascii="Times New Roman" w:hAnsi="Times New Roman" w:cs="Times New Roman"/>
          <w:noProof/>
          <w:color w:val="000000" w:themeColor="text1"/>
          <w:sz w:val="24"/>
          <w:szCs w:val="24"/>
        </w:rPr>
      </w:pPr>
      <w:r w:rsidRPr="00A00723">
        <w:rPr>
          <w:rFonts w:ascii="Times New Roman" w:hAnsi="Times New Roman" w:cs="Times New Roman"/>
          <w:noProof/>
          <w:sz w:val="24"/>
          <w:szCs w:val="24"/>
        </w:rPr>
        <w:t>Summary of resource needs for non-chemical topics of SCHEER:</w:t>
      </w:r>
    </w:p>
    <w:tbl>
      <w:tblPr>
        <w:tblStyle w:val="TableGrid"/>
        <w:tblW w:w="0" w:type="auto"/>
        <w:tblLook w:val="04A0" w:firstRow="1" w:lastRow="0" w:firstColumn="1" w:lastColumn="0" w:noHBand="0" w:noVBand="1"/>
      </w:tblPr>
      <w:tblGrid>
        <w:gridCol w:w="1563"/>
        <w:gridCol w:w="2980"/>
        <w:gridCol w:w="1932"/>
        <w:gridCol w:w="2541"/>
      </w:tblGrid>
      <w:tr w:rsidR="000A7D9D" w:rsidRPr="00740C12" w14:paraId="4CF27D56" w14:textId="77777777" w:rsidTr="00F31937">
        <w:trPr>
          <w:trHeight w:val="300"/>
        </w:trPr>
        <w:tc>
          <w:tcPr>
            <w:tcW w:w="1563" w:type="dxa"/>
            <w:shd w:val="clear" w:color="auto" w:fill="D9D9D9" w:themeFill="background1" w:themeFillShade="D9"/>
          </w:tcPr>
          <w:p w14:paraId="57388C05" w14:textId="77777777" w:rsidR="000A7D9D" w:rsidRPr="00740C12" w:rsidRDefault="000A7D9D" w:rsidP="00F31937">
            <w:pPr>
              <w:pStyle w:val="BodyText"/>
              <w:spacing w:line="259" w:lineRule="auto"/>
              <w:rPr>
                <w:b/>
                <w:bCs/>
                <w:noProof/>
                <w:sz w:val="20"/>
                <w:szCs w:val="20"/>
              </w:rPr>
            </w:pPr>
            <w:r w:rsidRPr="00740C12">
              <w:rPr>
                <w:b/>
                <w:bCs/>
                <w:noProof/>
                <w:sz w:val="20"/>
                <w:szCs w:val="20"/>
              </w:rPr>
              <w:t>Agency</w:t>
            </w:r>
          </w:p>
        </w:tc>
        <w:tc>
          <w:tcPr>
            <w:tcW w:w="2980" w:type="dxa"/>
            <w:shd w:val="clear" w:color="auto" w:fill="D9D9D9" w:themeFill="background1" w:themeFillShade="D9"/>
          </w:tcPr>
          <w:p w14:paraId="2F6071C3" w14:textId="77777777" w:rsidR="000A7D9D" w:rsidRPr="00740C12" w:rsidRDefault="000A7D9D" w:rsidP="00F31937">
            <w:pPr>
              <w:pStyle w:val="BodyText"/>
              <w:rPr>
                <w:b/>
                <w:bCs/>
                <w:noProof/>
                <w:sz w:val="20"/>
                <w:szCs w:val="20"/>
              </w:rPr>
            </w:pPr>
            <w:r w:rsidRPr="00740C12">
              <w:rPr>
                <w:b/>
                <w:bCs/>
                <w:noProof/>
                <w:sz w:val="20"/>
                <w:szCs w:val="20"/>
              </w:rPr>
              <w:t>Summary of tasks</w:t>
            </w:r>
          </w:p>
        </w:tc>
        <w:tc>
          <w:tcPr>
            <w:tcW w:w="1932" w:type="dxa"/>
            <w:shd w:val="clear" w:color="auto" w:fill="D9D9D9" w:themeFill="background1" w:themeFillShade="D9"/>
          </w:tcPr>
          <w:p w14:paraId="21F9066E" w14:textId="77777777" w:rsidR="000A7D9D" w:rsidRPr="00740C12" w:rsidRDefault="000A7D9D" w:rsidP="00F31937">
            <w:pPr>
              <w:pStyle w:val="BodyText"/>
              <w:tabs>
                <w:tab w:val="left" w:pos="4170"/>
              </w:tabs>
              <w:rPr>
                <w:noProof/>
                <w:sz w:val="20"/>
                <w:szCs w:val="20"/>
              </w:rPr>
            </w:pPr>
          </w:p>
        </w:tc>
        <w:tc>
          <w:tcPr>
            <w:tcW w:w="2541" w:type="dxa"/>
            <w:shd w:val="clear" w:color="auto" w:fill="D9D9D9" w:themeFill="background1" w:themeFillShade="D9"/>
          </w:tcPr>
          <w:p w14:paraId="69787377" w14:textId="77777777" w:rsidR="000A7D9D" w:rsidRPr="00740C12" w:rsidRDefault="000A7D9D" w:rsidP="00F31937">
            <w:pPr>
              <w:pStyle w:val="BodyText"/>
              <w:tabs>
                <w:tab w:val="left" w:pos="4170"/>
              </w:tabs>
              <w:spacing w:after="0"/>
              <w:rPr>
                <w:noProof/>
                <w:sz w:val="20"/>
                <w:szCs w:val="20"/>
              </w:rPr>
            </w:pPr>
          </w:p>
        </w:tc>
      </w:tr>
      <w:tr w:rsidR="000A7D9D" w:rsidRPr="00187DBF" w14:paraId="3CEF1BC0" w14:textId="77777777" w:rsidTr="00F31937">
        <w:trPr>
          <w:trHeight w:val="300"/>
        </w:trPr>
        <w:tc>
          <w:tcPr>
            <w:tcW w:w="1563" w:type="dxa"/>
            <w:vMerge w:val="restart"/>
            <w:shd w:val="clear" w:color="auto" w:fill="D9D9D9" w:themeFill="background1" w:themeFillShade="D9"/>
          </w:tcPr>
          <w:p w14:paraId="0DBF35AB" w14:textId="77777777" w:rsidR="000A7D9D" w:rsidRPr="00740C12" w:rsidRDefault="000A7D9D" w:rsidP="00F31937">
            <w:pPr>
              <w:pStyle w:val="BodyText"/>
              <w:spacing w:line="259" w:lineRule="auto"/>
              <w:rPr>
                <w:noProof/>
                <w:sz w:val="20"/>
                <w:szCs w:val="20"/>
              </w:rPr>
            </w:pPr>
            <w:r w:rsidRPr="00740C12">
              <w:rPr>
                <w:noProof/>
                <w:sz w:val="20"/>
                <w:szCs w:val="20"/>
              </w:rPr>
              <w:t>SAM Secretariat</w:t>
            </w:r>
          </w:p>
          <w:p w14:paraId="7B7AAA66" w14:textId="77777777" w:rsidR="000A7D9D" w:rsidRPr="00740C12" w:rsidRDefault="000A7D9D" w:rsidP="00F31937">
            <w:pPr>
              <w:pStyle w:val="BodyText"/>
              <w:spacing w:line="259" w:lineRule="auto"/>
              <w:rPr>
                <w:noProof/>
                <w:sz w:val="20"/>
                <w:szCs w:val="20"/>
              </w:rPr>
            </w:pPr>
            <w:r w:rsidRPr="00740C12">
              <w:rPr>
                <w:noProof/>
                <w:sz w:val="20"/>
                <w:szCs w:val="20"/>
              </w:rPr>
              <w:t>(DG RTD)</w:t>
            </w:r>
          </w:p>
        </w:tc>
        <w:tc>
          <w:tcPr>
            <w:tcW w:w="2980" w:type="dxa"/>
            <w:vMerge w:val="restart"/>
            <w:shd w:val="clear" w:color="auto" w:fill="D9D9D9" w:themeFill="background1" w:themeFillShade="D9"/>
          </w:tcPr>
          <w:p w14:paraId="2BE7FD9F" w14:textId="77777777" w:rsidR="000A7D9D" w:rsidRPr="00740C12" w:rsidRDefault="000A7D9D" w:rsidP="00F31937">
            <w:pPr>
              <w:pStyle w:val="BodyText"/>
              <w:spacing w:line="259" w:lineRule="auto"/>
              <w:jc w:val="both"/>
              <w:rPr>
                <w:noProof/>
                <w:sz w:val="20"/>
                <w:szCs w:val="20"/>
              </w:rPr>
            </w:pPr>
            <w:r w:rsidRPr="00740C12">
              <w:rPr>
                <w:noProof/>
                <w:sz w:val="20"/>
                <w:szCs w:val="20"/>
              </w:rPr>
              <w:t>Opinions on non-chemical topics of SCHEER</w:t>
            </w:r>
          </w:p>
        </w:tc>
        <w:tc>
          <w:tcPr>
            <w:tcW w:w="1932" w:type="dxa"/>
            <w:shd w:val="clear" w:color="auto" w:fill="D9D9D9" w:themeFill="background1" w:themeFillShade="D9"/>
          </w:tcPr>
          <w:p w14:paraId="7DF98C42" w14:textId="77777777" w:rsidR="000A7D9D" w:rsidRPr="00740C12" w:rsidRDefault="000A7D9D" w:rsidP="00F31937">
            <w:pPr>
              <w:pStyle w:val="BodyText"/>
              <w:tabs>
                <w:tab w:val="left" w:pos="4170"/>
              </w:tabs>
              <w:rPr>
                <w:noProof/>
                <w:sz w:val="20"/>
                <w:szCs w:val="20"/>
              </w:rPr>
            </w:pPr>
            <w:r w:rsidRPr="00740C12">
              <w:rPr>
                <w:noProof/>
                <w:sz w:val="20"/>
                <w:szCs w:val="20"/>
              </w:rPr>
              <w:t>Financial resource needs:</w:t>
            </w:r>
          </w:p>
        </w:tc>
        <w:tc>
          <w:tcPr>
            <w:tcW w:w="2541" w:type="dxa"/>
            <w:shd w:val="clear" w:color="auto" w:fill="D9D9D9" w:themeFill="background1" w:themeFillShade="D9"/>
          </w:tcPr>
          <w:p w14:paraId="6986B576"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2024: </w:t>
            </w:r>
            <w:r w:rsidRPr="00740C12">
              <w:rPr>
                <w:b/>
                <w:noProof/>
                <w:sz w:val="20"/>
                <w:szCs w:val="20"/>
                <w:lang w:val="fr-BE"/>
              </w:rPr>
              <w:t>EUR 0</w:t>
            </w:r>
            <w:r w:rsidRPr="00740C12">
              <w:rPr>
                <w:noProof/>
                <w:sz w:val="20"/>
                <w:szCs w:val="20"/>
                <w:lang w:val="fr-BE"/>
              </w:rPr>
              <w:t xml:space="preserve"> </w:t>
            </w:r>
          </w:p>
          <w:p w14:paraId="6FEC68E0"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2025: </w:t>
            </w:r>
            <w:r w:rsidRPr="00740C12">
              <w:rPr>
                <w:b/>
                <w:noProof/>
                <w:sz w:val="20"/>
                <w:szCs w:val="20"/>
                <w:lang w:val="fr-BE"/>
              </w:rPr>
              <w:t>EUR 0</w:t>
            </w:r>
          </w:p>
          <w:p w14:paraId="5B8040A0"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2026: </w:t>
            </w:r>
            <w:r w:rsidRPr="00740C12">
              <w:rPr>
                <w:b/>
                <w:noProof/>
                <w:sz w:val="20"/>
                <w:szCs w:val="20"/>
                <w:lang w:val="fr-BE"/>
              </w:rPr>
              <w:t>EUR 0</w:t>
            </w:r>
          </w:p>
          <w:p w14:paraId="623C1FA7"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2027: </w:t>
            </w:r>
            <w:r w:rsidRPr="00740C12">
              <w:rPr>
                <w:b/>
                <w:noProof/>
                <w:sz w:val="20"/>
                <w:szCs w:val="20"/>
                <w:lang w:val="fr-BE"/>
              </w:rPr>
              <w:t>EUR 0</w:t>
            </w:r>
          </w:p>
          <w:p w14:paraId="3797283A"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2028: </w:t>
            </w:r>
            <w:r w:rsidRPr="00740C12">
              <w:rPr>
                <w:b/>
                <w:noProof/>
                <w:sz w:val="20"/>
                <w:szCs w:val="20"/>
                <w:lang w:val="fr-BE"/>
              </w:rPr>
              <w:t>EUR 0</w:t>
            </w:r>
          </w:p>
        </w:tc>
      </w:tr>
      <w:tr w:rsidR="000A7D9D" w:rsidRPr="00740C12" w14:paraId="4928289E" w14:textId="77777777" w:rsidTr="00F31937">
        <w:trPr>
          <w:trHeight w:val="300"/>
        </w:trPr>
        <w:tc>
          <w:tcPr>
            <w:tcW w:w="1563" w:type="dxa"/>
            <w:vMerge/>
            <w:shd w:val="clear" w:color="auto" w:fill="D9D9D9" w:themeFill="background1" w:themeFillShade="D9"/>
          </w:tcPr>
          <w:p w14:paraId="3C08770E" w14:textId="77777777" w:rsidR="000A7D9D" w:rsidRPr="00740C12" w:rsidRDefault="000A7D9D" w:rsidP="00F31937">
            <w:pPr>
              <w:pStyle w:val="BodyText"/>
              <w:rPr>
                <w:noProof/>
                <w:sz w:val="20"/>
                <w:szCs w:val="20"/>
                <w:lang w:val="fr-BE"/>
              </w:rPr>
            </w:pPr>
          </w:p>
        </w:tc>
        <w:tc>
          <w:tcPr>
            <w:tcW w:w="2980" w:type="dxa"/>
            <w:vMerge/>
            <w:shd w:val="clear" w:color="auto" w:fill="D9D9D9" w:themeFill="background1" w:themeFillShade="D9"/>
          </w:tcPr>
          <w:p w14:paraId="2BCC39EA" w14:textId="77777777" w:rsidR="000A7D9D" w:rsidRPr="00740C12" w:rsidRDefault="000A7D9D" w:rsidP="00F31937">
            <w:pPr>
              <w:pStyle w:val="BodyText"/>
              <w:rPr>
                <w:noProof/>
                <w:sz w:val="20"/>
                <w:szCs w:val="20"/>
                <w:lang w:val="fr-BE"/>
              </w:rPr>
            </w:pPr>
          </w:p>
        </w:tc>
        <w:tc>
          <w:tcPr>
            <w:tcW w:w="1932" w:type="dxa"/>
            <w:shd w:val="clear" w:color="auto" w:fill="D9D9D9" w:themeFill="background1" w:themeFillShade="D9"/>
          </w:tcPr>
          <w:p w14:paraId="54D69A14" w14:textId="77777777" w:rsidR="000A7D9D" w:rsidRPr="00740C12" w:rsidRDefault="000A7D9D" w:rsidP="00F31937">
            <w:pPr>
              <w:pStyle w:val="BodyText"/>
              <w:tabs>
                <w:tab w:val="left" w:pos="4170"/>
              </w:tabs>
              <w:rPr>
                <w:noProof/>
                <w:sz w:val="20"/>
                <w:szCs w:val="20"/>
              </w:rPr>
            </w:pPr>
            <w:r w:rsidRPr="00740C12">
              <w:rPr>
                <w:noProof/>
                <w:sz w:val="20"/>
                <w:szCs w:val="20"/>
              </w:rPr>
              <w:t>Human resource needs:</w:t>
            </w:r>
          </w:p>
        </w:tc>
        <w:tc>
          <w:tcPr>
            <w:tcW w:w="2541" w:type="dxa"/>
            <w:shd w:val="clear" w:color="auto" w:fill="D9D9D9" w:themeFill="background1" w:themeFillShade="D9"/>
          </w:tcPr>
          <w:p w14:paraId="47E1C376"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2024:  </w:t>
            </w:r>
            <w:r w:rsidRPr="00740C12">
              <w:rPr>
                <w:b/>
                <w:bCs/>
                <w:noProof/>
                <w:sz w:val="20"/>
                <w:szCs w:val="20"/>
                <w:lang w:val="fr-BE"/>
              </w:rPr>
              <w:t>0 TAs</w:t>
            </w:r>
            <w:r w:rsidRPr="00740C12">
              <w:rPr>
                <w:b/>
                <w:noProof/>
                <w:sz w:val="20"/>
                <w:szCs w:val="20"/>
                <w:lang w:val="fr-BE"/>
              </w:rPr>
              <w:t>, 0 CAs</w:t>
            </w:r>
          </w:p>
          <w:p w14:paraId="3B1469AC"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2025: </w:t>
            </w:r>
            <w:r w:rsidRPr="00740C12">
              <w:rPr>
                <w:b/>
                <w:bCs/>
                <w:noProof/>
                <w:sz w:val="20"/>
                <w:szCs w:val="20"/>
                <w:lang w:val="fr-BE"/>
              </w:rPr>
              <w:t xml:space="preserve"> 1 TAs</w:t>
            </w:r>
            <w:r w:rsidRPr="00740C12">
              <w:rPr>
                <w:b/>
                <w:noProof/>
                <w:sz w:val="20"/>
                <w:szCs w:val="20"/>
                <w:lang w:val="fr-BE"/>
              </w:rPr>
              <w:t>, 0 CAs</w:t>
            </w:r>
          </w:p>
          <w:p w14:paraId="1926C33A" w14:textId="77777777" w:rsidR="000A7D9D" w:rsidRPr="00740C12" w:rsidRDefault="000A7D9D" w:rsidP="00F31937">
            <w:pPr>
              <w:pStyle w:val="BodyText"/>
              <w:tabs>
                <w:tab w:val="left" w:pos="4170"/>
              </w:tabs>
              <w:spacing w:after="0"/>
              <w:rPr>
                <w:noProof/>
                <w:sz w:val="20"/>
                <w:szCs w:val="20"/>
                <w:lang w:val="fr-BE"/>
              </w:rPr>
            </w:pPr>
            <w:r w:rsidRPr="00740C12">
              <w:rPr>
                <w:noProof/>
                <w:sz w:val="20"/>
                <w:szCs w:val="20"/>
                <w:lang w:val="fr-BE"/>
              </w:rPr>
              <w:t xml:space="preserve">2026: </w:t>
            </w:r>
            <w:r w:rsidRPr="00740C12">
              <w:rPr>
                <w:b/>
                <w:bCs/>
                <w:noProof/>
                <w:sz w:val="20"/>
                <w:szCs w:val="20"/>
                <w:lang w:val="fr-BE"/>
              </w:rPr>
              <w:t xml:space="preserve"> 1 TAs</w:t>
            </w:r>
            <w:r w:rsidRPr="00740C12">
              <w:rPr>
                <w:b/>
                <w:noProof/>
                <w:sz w:val="20"/>
                <w:szCs w:val="20"/>
                <w:lang w:val="fr-BE"/>
              </w:rPr>
              <w:t>, 0 CAs</w:t>
            </w:r>
          </w:p>
          <w:p w14:paraId="7F1C5671" w14:textId="77777777" w:rsidR="000A7D9D" w:rsidRPr="00740C12" w:rsidRDefault="000A7D9D" w:rsidP="00F31937">
            <w:pPr>
              <w:pStyle w:val="BodyText"/>
              <w:tabs>
                <w:tab w:val="left" w:pos="4170"/>
              </w:tabs>
              <w:spacing w:after="0"/>
              <w:rPr>
                <w:noProof/>
                <w:sz w:val="20"/>
                <w:szCs w:val="20"/>
              </w:rPr>
            </w:pPr>
            <w:r w:rsidRPr="00740C12">
              <w:rPr>
                <w:noProof/>
                <w:sz w:val="20"/>
                <w:szCs w:val="20"/>
              </w:rPr>
              <w:t xml:space="preserve">2027:  </w:t>
            </w:r>
            <w:r w:rsidRPr="00740C12">
              <w:rPr>
                <w:b/>
                <w:bCs/>
                <w:noProof/>
                <w:sz w:val="20"/>
                <w:szCs w:val="20"/>
              </w:rPr>
              <w:t>1 TAs</w:t>
            </w:r>
            <w:r w:rsidRPr="00740C12">
              <w:rPr>
                <w:b/>
                <w:noProof/>
                <w:sz w:val="20"/>
                <w:szCs w:val="20"/>
              </w:rPr>
              <w:t>, 0 CAs</w:t>
            </w:r>
          </w:p>
          <w:p w14:paraId="7D2D2D1A" w14:textId="77777777" w:rsidR="000A7D9D" w:rsidRPr="00740C12" w:rsidRDefault="000A7D9D" w:rsidP="00F31937">
            <w:pPr>
              <w:pStyle w:val="BodyText"/>
              <w:tabs>
                <w:tab w:val="left" w:pos="4170"/>
              </w:tabs>
              <w:spacing w:after="0"/>
              <w:rPr>
                <w:noProof/>
                <w:sz w:val="20"/>
                <w:szCs w:val="20"/>
              </w:rPr>
            </w:pPr>
            <w:r w:rsidRPr="00740C12">
              <w:rPr>
                <w:noProof/>
                <w:sz w:val="20"/>
                <w:szCs w:val="20"/>
              </w:rPr>
              <w:t xml:space="preserve">2028:  </w:t>
            </w:r>
            <w:r w:rsidRPr="00740C12">
              <w:rPr>
                <w:b/>
                <w:bCs/>
                <w:noProof/>
                <w:sz w:val="20"/>
                <w:szCs w:val="20"/>
              </w:rPr>
              <w:t>1 TAs</w:t>
            </w:r>
            <w:r w:rsidRPr="00740C12">
              <w:rPr>
                <w:b/>
                <w:noProof/>
                <w:sz w:val="20"/>
                <w:szCs w:val="20"/>
              </w:rPr>
              <w:t>, 0 CAs</w:t>
            </w:r>
          </w:p>
        </w:tc>
      </w:tr>
    </w:tbl>
    <w:p w14:paraId="24AB1E13" w14:textId="77777777" w:rsidR="000A7D9D" w:rsidRPr="00A00723" w:rsidRDefault="000A7D9D" w:rsidP="000A7D9D">
      <w:pPr>
        <w:pStyle w:val="BodyText"/>
        <w:spacing w:before="120"/>
        <w:rPr>
          <w:noProof/>
        </w:rPr>
      </w:pPr>
      <w:r w:rsidRPr="00A00723">
        <w:rPr>
          <w:noProof/>
          <w:u w:val="single"/>
        </w:rPr>
        <w:t>Future budget line:</w:t>
      </w:r>
      <w:r w:rsidRPr="00A00723">
        <w:rPr>
          <w:noProof/>
        </w:rPr>
        <w:t xml:space="preserve"> DG RTD</w:t>
      </w:r>
    </w:p>
    <w:p w14:paraId="53AD8F39" w14:textId="77777777" w:rsidR="000A7D9D" w:rsidRPr="00A00723" w:rsidRDefault="000A7D9D" w:rsidP="000A7D9D">
      <w:pPr>
        <w:pStyle w:val="BodyText"/>
        <w:spacing w:line="259" w:lineRule="auto"/>
        <w:rPr>
          <w:noProof/>
        </w:rPr>
      </w:pPr>
      <w:r w:rsidRPr="00A00723">
        <w:rPr>
          <w:noProof/>
          <w:u w:val="single"/>
        </w:rPr>
        <w:t>Candidate for fees:</w:t>
      </w:r>
      <w:r w:rsidRPr="00A00723">
        <w:rPr>
          <w:noProof/>
        </w:rPr>
        <w:t xml:space="preserve"> No</w:t>
      </w:r>
    </w:p>
    <w:p w14:paraId="445C731F" w14:textId="77777777" w:rsidR="000A7D9D" w:rsidRPr="00A00723" w:rsidRDefault="000A7D9D" w:rsidP="000A7D9D">
      <w:pPr>
        <w:rPr>
          <w:rFonts w:ascii="Times New Roman" w:hAnsi="Times New Roman" w:cs="Times New Roman"/>
          <w:noProof/>
          <w:sz w:val="24"/>
          <w:szCs w:val="24"/>
        </w:rPr>
      </w:pPr>
    </w:p>
    <w:p w14:paraId="29B937F1"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94" w:name="_Toc150499953"/>
      <w:r w:rsidRPr="00291F95">
        <w:rPr>
          <w:rFonts w:ascii="Times New Roman" w:hAnsi="Times New Roman"/>
          <w:smallCaps/>
          <w:noProof/>
          <w:color w:val="auto"/>
          <w:sz w:val="24"/>
          <w:szCs w:val="20"/>
          <w:lang w:eastAsia="en-US"/>
        </w:rPr>
        <w:t>Ecodesign for Sustainable Products Regulation</w:t>
      </w:r>
      <w:bookmarkEnd w:id="94"/>
    </w:p>
    <w:p w14:paraId="41A3DD8F" w14:textId="77777777" w:rsidR="000A7D9D" w:rsidRPr="00A00723" w:rsidRDefault="000A7D9D" w:rsidP="000A7D9D">
      <w:pPr>
        <w:spacing w:after="240"/>
        <w:rPr>
          <w:rFonts w:ascii="Times New Roman" w:hAnsi="Times New Roman" w:cs="Times New Roman"/>
          <w:b/>
          <w:bCs/>
          <w:noProof/>
          <w:sz w:val="24"/>
          <w:szCs w:val="24"/>
        </w:rPr>
      </w:pPr>
      <w:r w:rsidRPr="00A00723">
        <w:rPr>
          <w:rFonts w:ascii="Times New Roman" w:hAnsi="Times New Roman" w:cs="Times New Roman"/>
          <w:b/>
          <w:bCs/>
          <w:noProof/>
          <w:sz w:val="24"/>
          <w:szCs w:val="24"/>
        </w:rPr>
        <w:t>Responsible body:</w:t>
      </w:r>
    </w:p>
    <w:p w14:paraId="46779BF4" w14:textId="77777777" w:rsidR="000A7D9D" w:rsidRPr="00A00723" w:rsidRDefault="000A7D9D" w:rsidP="000A7D9D">
      <w:pPr>
        <w:spacing w:after="240"/>
        <w:rPr>
          <w:rFonts w:ascii="Times New Roman" w:hAnsi="Times New Roman" w:cs="Times New Roman"/>
          <w:noProof/>
          <w:sz w:val="24"/>
          <w:szCs w:val="24"/>
        </w:rPr>
      </w:pPr>
      <w:r w:rsidRPr="00965044">
        <w:rPr>
          <w:rFonts w:ascii="Times New Roman" w:hAnsi="Times New Roman" w:cs="Times New Roman"/>
          <w:noProof/>
          <w:sz w:val="24"/>
          <w:szCs w:val="24"/>
          <w:u w:val="single"/>
        </w:rPr>
        <w:t>Currently:</w:t>
      </w:r>
      <w:r w:rsidRPr="00A00723">
        <w:rPr>
          <w:rFonts w:ascii="Times New Roman" w:hAnsi="Times New Roman" w:cs="Times New Roman"/>
          <w:noProof/>
          <w:sz w:val="24"/>
          <w:szCs w:val="24"/>
        </w:rPr>
        <w:t xml:space="preserve"> N/A, no current process</w:t>
      </w:r>
    </w:p>
    <w:p w14:paraId="75A6B3C8" w14:textId="77777777" w:rsidR="000A7D9D" w:rsidRPr="00A00723" w:rsidRDefault="000A7D9D" w:rsidP="000A7D9D">
      <w:pPr>
        <w:spacing w:after="240"/>
        <w:rPr>
          <w:rFonts w:ascii="Times New Roman" w:hAnsi="Times New Roman" w:cs="Times New Roman"/>
          <w:noProof/>
          <w:sz w:val="24"/>
          <w:szCs w:val="24"/>
        </w:rPr>
      </w:pPr>
      <w:r w:rsidRPr="00965044">
        <w:rPr>
          <w:rFonts w:ascii="Times New Roman" w:hAnsi="Times New Roman" w:cs="Times New Roman"/>
          <w:noProof/>
          <w:sz w:val="24"/>
          <w:szCs w:val="24"/>
          <w:u w:val="single"/>
        </w:rPr>
        <w:t>Reattribution planned to:</w:t>
      </w:r>
      <w:r w:rsidRPr="00A00723">
        <w:rPr>
          <w:rFonts w:ascii="Times New Roman" w:hAnsi="Times New Roman" w:cs="Times New Roman"/>
          <w:noProof/>
          <w:sz w:val="24"/>
          <w:szCs w:val="24"/>
        </w:rPr>
        <w:t xml:space="preserve"> TBC</w:t>
      </w:r>
    </w:p>
    <w:p w14:paraId="174BFF30" w14:textId="77777777" w:rsidR="000A7D9D" w:rsidRPr="00A00723" w:rsidRDefault="000A7D9D" w:rsidP="00DA2CFE">
      <w:pPr>
        <w:pStyle w:val="BodyText"/>
        <w:spacing w:line="259" w:lineRule="auto"/>
        <w:rPr>
          <w:b/>
          <w:bCs/>
          <w:noProof/>
        </w:rPr>
      </w:pPr>
      <w:r w:rsidRPr="00A00723">
        <w:rPr>
          <w:b/>
          <w:bCs/>
          <w:noProof/>
        </w:rPr>
        <w:t xml:space="preserve">Legal basis for reattribution: </w:t>
      </w:r>
      <w:r w:rsidRPr="00A00723">
        <w:rPr>
          <w:noProof/>
        </w:rPr>
        <w:t>proposal for Ecodesign for Sustainable Products Regulation.</w:t>
      </w:r>
    </w:p>
    <w:p w14:paraId="59898DE8" w14:textId="77777777" w:rsidR="000A7D9D" w:rsidRPr="00A00723" w:rsidRDefault="000A7D9D" w:rsidP="00DA2CFE">
      <w:pPr>
        <w:pStyle w:val="BodyText"/>
        <w:spacing w:line="259" w:lineRule="auto"/>
        <w:jc w:val="both"/>
        <w:rPr>
          <w:b/>
          <w:bCs/>
          <w:noProof/>
        </w:rPr>
      </w:pPr>
      <w:r w:rsidRPr="00A00723">
        <w:rPr>
          <w:b/>
          <w:bCs/>
          <w:noProof/>
        </w:rPr>
        <w:t xml:space="preserve">Type of task: </w:t>
      </w:r>
      <w:r w:rsidRPr="00A00723">
        <w:rPr>
          <w:noProof/>
        </w:rPr>
        <w:t>new</w:t>
      </w:r>
    </w:p>
    <w:p w14:paraId="0D15E356" w14:textId="77777777" w:rsidR="000A7D9D" w:rsidRPr="00343BB3" w:rsidRDefault="000A7D9D" w:rsidP="00DA2CFE">
      <w:pPr>
        <w:pStyle w:val="BodyText"/>
        <w:spacing w:line="259" w:lineRule="auto"/>
        <w:jc w:val="both"/>
        <w:rPr>
          <w:noProof/>
        </w:rPr>
      </w:pPr>
      <w:r w:rsidRPr="00A00723">
        <w:rPr>
          <w:b/>
          <w:bCs/>
          <w:noProof/>
        </w:rPr>
        <w:t xml:space="preserve">Brief task overview: </w:t>
      </w:r>
      <w:r w:rsidRPr="00343BB3">
        <w:rPr>
          <w:bCs/>
          <w:noProof/>
        </w:rPr>
        <w:t>The draft</w:t>
      </w:r>
      <w:r>
        <w:rPr>
          <w:b/>
          <w:bCs/>
          <w:noProof/>
        </w:rPr>
        <w:t xml:space="preserve"> </w:t>
      </w:r>
      <w:r>
        <w:rPr>
          <w:noProof/>
        </w:rPr>
        <w:t xml:space="preserve">regulation sets a framework provisions and the details of implementation </w:t>
      </w:r>
      <w:r w:rsidRPr="00A00723">
        <w:rPr>
          <w:noProof/>
        </w:rPr>
        <w:t>(</w:t>
      </w:r>
      <w:r>
        <w:rPr>
          <w:noProof/>
        </w:rPr>
        <w:t xml:space="preserve">such as </w:t>
      </w:r>
      <w:r w:rsidRPr="00A00723">
        <w:rPr>
          <w:noProof/>
        </w:rPr>
        <w:t>scope, IT formats, etc.)</w:t>
      </w:r>
      <w:r>
        <w:rPr>
          <w:noProof/>
        </w:rPr>
        <w:t xml:space="preserve"> will be set at the later stage via the delegated or implementing acts. The framework provisions do not set any direct obligations on the Agencies. However, it is expected that as part of the delegated acts Agencies will be required to s</w:t>
      </w:r>
      <w:r w:rsidRPr="00A00723">
        <w:rPr>
          <w:noProof/>
        </w:rPr>
        <w:t>upport several technical tasks and operate IT systems</w:t>
      </w:r>
      <w:r>
        <w:rPr>
          <w:noProof/>
        </w:rPr>
        <w:t>. T</w:t>
      </w:r>
      <w:r w:rsidRPr="00A00723">
        <w:rPr>
          <w:noProof/>
        </w:rPr>
        <w:t xml:space="preserve">he topic of interest </w:t>
      </w:r>
      <w:r>
        <w:rPr>
          <w:noProof/>
        </w:rPr>
        <w:t xml:space="preserve">from the chemical perspective </w:t>
      </w:r>
      <w:r w:rsidRPr="00A00723">
        <w:rPr>
          <w:noProof/>
        </w:rPr>
        <w:t xml:space="preserve">is the digital product passport, where ECHA may be expected to provide information on the presence of substances of concern in products (link with </w:t>
      </w:r>
      <w:r>
        <w:rPr>
          <w:noProof/>
        </w:rPr>
        <w:t xml:space="preserve">the existing </w:t>
      </w:r>
      <w:r w:rsidRPr="00A00723">
        <w:rPr>
          <w:noProof/>
        </w:rPr>
        <w:t>SCIP</w:t>
      </w:r>
      <w:r>
        <w:rPr>
          <w:noProof/>
        </w:rPr>
        <w:t xml:space="preserve"> database</w:t>
      </w:r>
      <w:r w:rsidRPr="00A00723">
        <w:rPr>
          <w:noProof/>
        </w:rPr>
        <w:t>, but expectations would be broader than the current scope of SCIP). ECHA may be expected to build a bridge between</w:t>
      </w:r>
      <w:r>
        <w:rPr>
          <w:noProof/>
        </w:rPr>
        <w:t xml:space="preserve"> SCIP and the product passports, but the details of the work are not known yet.</w:t>
      </w:r>
    </w:p>
    <w:p w14:paraId="1BBF1CDB" w14:textId="77777777" w:rsidR="000A7D9D" w:rsidRPr="00A00723" w:rsidRDefault="000A7D9D" w:rsidP="00DA2CFE">
      <w:pPr>
        <w:pStyle w:val="BodyText"/>
        <w:spacing w:line="259" w:lineRule="auto"/>
        <w:jc w:val="both"/>
        <w:rPr>
          <w:noProof/>
        </w:rPr>
      </w:pPr>
      <w:r w:rsidRPr="00A00723">
        <w:rPr>
          <w:noProof/>
        </w:rPr>
        <w:t xml:space="preserve">The draft Regulation also includes a provision for the Commission to request ad-hoc advice from the Agencies when assessing the self-regulation measures; it is </w:t>
      </w:r>
      <w:r>
        <w:rPr>
          <w:noProof/>
        </w:rPr>
        <w:t xml:space="preserve">yet </w:t>
      </w:r>
      <w:r w:rsidRPr="00A00723">
        <w:rPr>
          <w:noProof/>
        </w:rPr>
        <w:t xml:space="preserve">unclear whether </w:t>
      </w:r>
      <w:r>
        <w:rPr>
          <w:noProof/>
        </w:rPr>
        <w:t xml:space="preserve">and which Agencies’ </w:t>
      </w:r>
      <w:r w:rsidRPr="00A00723">
        <w:rPr>
          <w:noProof/>
        </w:rPr>
        <w:t>expertise would be required as part of this process and the related workload.</w:t>
      </w:r>
    </w:p>
    <w:p w14:paraId="0DC2C365" w14:textId="77777777" w:rsidR="000A7D9D" w:rsidRPr="00A00723" w:rsidRDefault="000A7D9D" w:rsidP="00DA2CFE">
      <w:pPr>
        <w:pStyle w:val="BodyText"/>
        <w:spacing w:line="259" w:lineRule="auto"/>
        <w:jc w:val="both"/>
        <w:rPr>
          <w:b/>
          <w:bCs/>
          <w:noProof/>
        </w:rPr>
      </w:pPr>
      <w:r w:rsidRPr="00A00723">
        <w:rPr>
          <w:b/>
          <w:bCs/>
          <w:noProof/>
        </w:rPr>
        <w:t xml:space="preserve">Proximity to </w:t>
      </w:r>
      <w:r>
        <w:rPr>
          <w:b/>
          <w:bCs/>
          <w:noProof/>
        </w:rPr>
        <w:t>Agencies</w:t>
      </w:r>
      <w:r w:rsidRPr="00A00723">
        <w:rPr>
          <w:b/>
          <w:bCs/>
          <w:noProof/>
        </w:rPr>
        <w:t xml:space="preserve"> mandate: </w:t>
      </w:r>
      <w:r w:rsidRPr="00A00723">
        <w:rPr>
          <w:noProof/>
        </w:rPr>
        <w:t xml:space="preserve">ECHA’s core mandate is related to the safety assessment of chemicals. The provision of information on the presence of SoC in products could be seen as an extension of the mandate from chemicals to products and from risk assessment to providing information. </w:t>
      </w:r>
    </w:p>
    <w:p w14:paraId="03CEB843" w14:textId="77777777" w:rsidR="000A7D9D" w:rsidRPr="00A00723" w:rsidRDefault="000A7D9D" w:rsidP="00DA2CFE">
      <w:pPr>
        <w:pStyle w:val="BodyText"/>
        <w:spacing w:line="259" w:lineRule="auto"/>
        <w:jc w:val="both"/>
        <w:rPr>
          <w:noProof/>
        </w:rPr>
      </w:pPr>
      <w:r w:rsidRPr="00A00723">
        <w:rPr>
          <w:b/>
          <w:bCs/>
          <w:noProof/>
        </w:rPr>
        <w:t xml:space="preserve">Main risks and opportunities: </w:t>
      </w:r>
      <w:r w:rsidRPr="00A00723">
        <w:rPr>
          <w:noProof/>
        </w:rPr>
        <w:t xml:space="preserve">Risk </w:t>
      </w:r>
      <w:r>
        <w:rPr>
          <w:noProof/>
        </w:rPr>
        <w:t xml:space="preserve">of deviating </w:t>
      </w:r>
      <w:r w:rsidRPr="00A00723">
        <w:rPr>
          <w:noProof/>
        </w:rPr>
        <w:t xml:space="preserve">from ECHA core mandate of safety assessment of chemicals. The scope of information on chemicals in the Digital Product Passports (DPP) is </w:t>
      </w:r>
      <w:r>
        <w:rPr>
          <w:noProof/>
        </w:rPr>
        <w:t xml:space="preserve">expected </w:t>
      </w:r>
      <w:r w:rsidRPr="00A00723">
        <w:rPr>
          <w:noProof/>
        </w:rPr>
        <w:t xml:space="preserve">not </w:t>
      </w:r>
      <w:r>
        <w:rPr>
          <w:noProof/>
        </w:rPr>
        <w:t xml:space="preserve">to be </w:t>
      </w:r>
      <w:r w:rsidRPr="00A00723">
        <w:rPr>
          <w:noProof/>
        </w:rPr>
        <w:t xml:space="preserve">the same as in SCIP: </w:t>
      </w:r>
      <w:r>
        <w:rPr>
          <w:noProof/>
        </w:rPr>
        <w:t xml:space="preserve">Product passport </w:t>
      </w:r>
      <w:r w:rsidRPr="00A00723">
        <w:rPr>
          <w:noProof/>
        </w:rPr>
        <w:t xml:space="preserve">are to report on all substances of concern, while SCIP only reports on the presence of Candidate List substances (SVHCs), which is at least a 100-fold increase in scope. Currently, with ca. 200 SVHCs in scope ECHA has received already 21 million SCIP notifications. If the scope is 100-fold bigger, the number of notifications may become </w:t>
      </w:r>
      <w:r>
        <w:rPr>
          <w:noProof/>
        </w:rPr>
        <w:t>excessive</w:t>
      </w:r>
      <w:r w:rsidRPr="00A00723">
        <w:rPr>
          <w:noProof/>
        </w:rPr>
        <w:t xml:space="preserve">. </w:t>
      </w:r>
      <w:r>
        <w:rPr>
          <w:noProof/>
        </w:rPr>
        <w:t xml:space="preserve">If the product passport is to be a system among the companies, it remains to be seen how ECHA can contribute to such system and what role it would play. </w:t>
      </w:r>
    </w:p>
    <w:p w14:paraId="2C7F8927" w14:textId="77777777" w:rsidR="000A7D9D" w:rsidRPr="00A00723" w:rsidRDefault="000A7D9D" w:rsidP="000A7D9D">
      <w:pPr>
        <w:pStyle w:val="BodyText"/>
        <w:rPr>
          <w:b/>
          <w:bCs/>
          <w:noProof/>
        </w:rPr>
      </w:pPr>
      <w:r w:rsidRPr="00A00723">
        <w:rPr>
          <w:b/>
          <w:bCs/>
          <w:noProof/>
        </w:rPr>
        <w:t>Projected impact on ECHA</w:t>
      </w:r>
    </w:p>
    <w:p w14:paraId="33BD7A74" w14:textId="77777777" w:rsidR="000A7D9D" w:rsidRPr="00A00723" w:rsidRDefault="000A7D9D" w:rsidP="00E21EA5">
      <w:pPr>
        <w:pStyle w:val="BodyText"/>
        <w:widowControl w:val="0"/>
        <w:numPr>
          <w:ilvl w:val="0"/>
          <w:numId w:val="88"/>
        </w:numPr>
        <w:spacing w:after="0"/>
        <w:ind w:left="714" w:hanging="357"/>
        <w:rPr>
          <w:b/>
          <w:bCs/>
          <w:i/>
          <w:iCs/>
          <w:noProof/>
        </w:rPr>
      </w:pPr>
      <w:r w:rsidRPr="00A00723">
        <w:rPr>
          <w:i/>
          <w:iCs/>
          <w:noProof/>
        </w:rPr>
        <w:t xml:space="preserve">ECHA Committees/bodies: </w:t>
      </w:r>
      <w:r w:rsidRPr="00A00723">
        <w:rPr>
          <w:b/>
          <w:bCs/>
          <w:i/>
          <w:iCs/>
          <w:noProof/>
        </w:rPr>
        <w:t>no impact</w:t>
      </w:r>
      <w:r w:rsidRPr="00A00723">
        <w:rPr>
          <w:i/>
          <w:iCs/>
          <w:noProof/>
        </w:rPr>
        <w:t>. The task does not require involvement of ECHA Committees/bodies</w:t>
      </w:r>
    </w:p>
    <w:p w14:paraId="070F9374" w14:textId="77777777" w:rsidR="000A7D9D" w:rsidRPr="00A00723" w:rsidRDefault="000A7D9D" w:rsidP="00E21EA5">
      <w:pPr>
        <w:pStyle w:val="BodyText"/>
        <w:widowControl w:val="0"/>
        <w:numPr>
          <w:ilvl w:val="0"/>
          <w:numId w:val="88"/>
        </w:numPr>
        <w:spacing w:after="0"/>
        <w:ind w:left="714" w:hanging="357"/>
        <w:rPr>
          <w:b/>
          <w:bCs/>
          <w:i/>
          <w:iCs/>
          <w:noProof/>
        </w:rPr>
      </w:pPr>
      <w:r w:rsidRPr="00A00723">
        <w:rPr>
          <w:i/>
          <w:iCs/>
          <w:noProof/>
        </w:rPr>
        <w:t xml:space="preserve">ECHA data model and IT infrastructure: </w:t>
      </w:r>
      <w:r w:rsidRPr="00A00723">
        <w:rPr>
          <w:b/>
          <w:bCs/>
          <w:i/>
          <w:iCs/>
          <w:noProof/>
        </w:rPr>
        <w:t>high impact</w:t>
      </w:r>
      <w:r w:rsidRPr="00A00723">
        <w:rPr>
          <w:i/>
          <w:iCs/>
          <w:noProof/>
        </w:rPr>
        <w:t>. The task requires investment in entirely new data structures and IT systems/capabilities</w:t>
      </w:r>
    </w:p>
    <w:p w14:paraId="7B987E69" w14:textId="77777777" w:rsidR="000A7D9D" w:rsidRPr="00A00723" w:rsidRDefault="000A7D9D" w:rsidP="000A7D9D">
      <w:pPr>
        <w:pStyle w:val="BodyText"/>
        <w:widowControl w:val="0"/>
        <w:numPr>
          <w:ilvl w:val="0"/>
          <w:numId w:val="88"/>
        </w:numPr>
        <w:spacing w:after="240"/>
        <w:rPr>
          <w:b/>
          <w:bCs/>
          <w:noProof/>
        </w:rPr>
      </w:pPr>
      <w:r w:rsidRPr="00A00723">
        <w:rPr>
          <w:i/>
          <w:iCs/>
          <w:noProof/>
        </w:rPr>
        <w:t>ECHA key experts:</w:t>
      </w:r>
      <w:r w:rsidRPr="00A00723">
        <w:rPr>
          <w:b/>
          <w:bCs/>
          <w:noProof/>
        </w:rPr>
        <w:t xml:space="preserve"> </w:t>
      </w:r>
      <w:r w:rsidRPr="00A00723">
        <w:rPr>
          <w:b/>
          <w:bCs/>
          <w:i/>
          <w:iCs/>
          <w:noProof/>
        </w:rPr>
        <w:t>high impact</w:t>
      </w:r>
      <w:r w:rsidRPr="00A00723">
        <w:rPr>
          <w:i/>
          <w:iCs/>
          <w:noProof/>
        </w:rPr>
        <w:t>. The task heavily relies on expert competencies, which are limited within ECHA and also critical to REACH/CLP/BPR regulatory tasks</w:t>
      </w:r>
    </w:p>
    <w:p w14:paraId="243687F8" w14:textId="77777777" w:rsidR="000A7D9D" w:rsidRPr="00A00723" w:rsidRDefault="000A7D9D" w:rsidP="000A7D9D">
      <w:pPr>
        <w:pStyle w:val="BodyText"/>
        <w:rPr>
          <w:noProof/>
        </w:rPr>
      </w:pPr>
      <w:r w:rsidRPr="00A00723">
        <w:rPr>
          <w:b/>
          <w:bCs/>
          <w:noProof/>
        </w:rPr>
        <w:t>Projected workload and resource implications</w:t>
      </w:r>
      <w:r w:rsidRPr="00A00723">
        <w:rPr>
          <w:noProof/>
        </w:rPr>
        <w:t xml:space="preserve"> </w:t>
      </w:r>
    </w:p>
    <w:p w14:paraId="5B0AF874" w14:textId="77777777" w:rsidR="000A7D9D" w:rsidRPr="00A00723" w:rsidRDefault="000A7D9D" w:rsidP="000A7D9D">
      <w:pPr>
        <w:spacing w:after="240"/>
        <w:rPr>
          <w:rFonts w:ascii="Times New Roman" w:hAnsi="Times New Roman" w:cs="Times New Roman"/>
          <w:noProof/>
          <w:sz w:val="24"/>
          <w:szCs w:val="24"/>
          <w:u w:val="single"/>
        </w:rPr>
      </w:pPr>
      <w:r w:rsidRPr="00A00723">
        <w:rPr>
          <w:rFonts w:ascii="Times New Roman" w:hAnsi="Times New Roman" w:cs="Times New Roman"/>
          <w:noProof/>
          <w:sz w:val="24"/>
          <w:szCs w:val="24"/>
          <w:u w:val="single"/>
        </w:rPr>
        <w:t>Current workload and resource</w:t>
      </w:r>
      <w:r>
        <w:rPr>
          <w:rFonts w:ascii="Times New Roman" w:hAnsi="Times New Roman" w:cs="Times New Roman"/>
          <w:noProof/>
          <w:sz w:val="24"/>
          <w:szCs w:val="24"/>
          <w:u w:val="single"/>
        </w:rPr>
        <w:t xml:space="preserve"> use:</w:t>
      </w:r>
    </w:p>
    <w:p w14:paraId="4EEA5F4B" w14:textId="77777777" w:rsidR="000A7D9D" w:rsidRPr="00A00723" w:rsidRDefault="000A7D9D" w:rsidP="000A7D9D">
      <w:pPr>
        <w:spacing w:after="240"/>
        <w:jc w:val="both"/>
        <w:rPr>
          <w:rFonts w:ascii="Times New Roman" w:hAnsi="Times New Roman" w:cs="Times New Roman"/>
          <w:noProof/>
          <w:sz w:val="24"/>
          <w:szCs w:val="24"/>
        </w:rPr>
      </w:pPr>
      <w:r w:rsidRPr="00A00723">
        <w:rPr>
          <w:rFonts w:ascii="Times New Roman" w:hAnsi="Times New Roman" w:cs="Times New Roman"/>
          <w:noProof/>
          <w:sz w:val="24"/>
          <w:szCs w:val="24"/>
        </w:rPr>
        <w:t xml:space="preserve">Not yet analysed, as </w:t>
      </w:r>
      <w:r>
        <w:rPr>
          <w:rFonts w:ascii="Times New Roman" w:hAnsi="Times New Roman" w:cs="Times New Roman"/>
          <w:noProof/>
          <w:sz w:val="24"/>
          <w:szCs w:val="24"/>
        </w:rPr>
        <w:t>the obligations are not yet clear</w:t>
      </w:r>
      <w:r w:rsidRPr="00A00723">
        <w:rPr>
          <w:rFonts w:ascii="Times New Roman" w:hAnsi="Times New Roman" w:cs="Times New Roman"/>
          <w:noProof/>
          <w:sz w:val="24"/>
          <w:szCs w:val="24"/>
        </w:rPr>
        <w:t>.</w:t>
      </w:r>
      <w:r>
        <w:rPr>
          <w:rFonts w:ascii="Times New Roman" w:hAnsi="Times New Roman" w:cs="Times New Roman"/>
          <w:noProof/>
          <w:sz w:val="24"/>
          <w:szCs w:val="24"/>
        </w:rPr>
        <w:t xml:space="preserve"> This will be done as part of the delegated acts once the main act is adopted.</w:t>
      </w:r>
    </w:p>
    <w:p w14:paraId="1056A255" w14:textId="77777777" w:rsidR="000A7D9D" w:rsidRPr="00A00723" w:rsidRDefault="000A7D9D" w:rsidP="000A7D9D">
      <w:pPr>
        <w:spacing w:after="240"/>
        <w:rPr>
          <w:rFonts w:ascii="Times New Roman" w:hAnsi="Times New Roman" w:cs="Times New Roman"/>
          <w:noProof/>
          <w:sz w:val="24"/>
          <w:szCs w:val="24"/>
          <w:u w:val="single"/>
        </w:rPr>
      </w:pPr>
      <w:r w:rsidRPr="00A00723">
        <w:rPr>
          <w:rFonts w:ascii="Times New Roman" w:hAnsi="Times New Roman" w:cs="Times New Roman"/>
          <w:noProof/>
          <w:sz w:val="24"/>
          <w:szCs w:val="24"/>
          <w:u w:val="single"/>
        </w:rPr>
        <w:t xml:space="preserve">Future </w:t>
      </w:r>
      <w:r>
        <w:rPr>
          <w:rFonts w:ascii="Times New Roman" w:hAnsi="Times New Roman" w:cs="Times New Roman"/>
          <w:noProof/>
          <w:sz w:val="24"/>
          <w:szCs w:val="24"/>
          <w:u w:val="single"/>
        </w:rPr>
        <w:t xml:space="preserve">workload and </w:t>
      </w:r>
      <w:r w:rsidRPr="00A00723">
        <w:rPr>
          <w:rFonts w:ascii="Times New Roman" w:hAnsi="Times New Roman" w:cs="Times New Roman"/>
          <w:noProof/>
          <w:sz w:val="24"/>
          <w:szCs w:val="24"/>
          <w:u w:val="single"/>
        </w:rPr>
        <w:t>resource needs</w:t>
      </w:r>
    </w:p>
    <w:p w14:paraId="669E4170" w14:textId="77777777" w:rsidR="000A7D9D" w:rsidRDefault="000A7D9D" w:rsidP="000A7D9D">
      <w:pPr>
        <w:pStyle w:val="BodyText"/>
        <w:rPr>
          <w:b/>
          <w:bCs/>
          <w:noProof/>
        </w:rPr>
      </w:pPr>
      <w:r w:rsidRPr="00A00723">
        <w:rPr>
          <w:noProof/>
        </w:rPr>
        <w:t xml:space="preserve">Not yet analysed, as </w:t>
      </w:r>
      <w:r>
        <w:rPr>
          <w:noProof/>
        </w:rPr>
        <w:t>the obligations are not yet clear</w:t>
      </w:r>
      <w:r w:rsidRPr="00A00723">
        <w:rPr>
          <w:b/>
          <w:bCs/>
          <w:noProof/>
        </w:rPr>
        <w:t xml:space="preserve"> </w:t>
      </w:r>
    </w:p>
    <w:p w14:paraId="6041461E" w14:textId="77777777" w:rsidR="000A7D9D" w:rsidRDefault="000A7D9D" w:rsidP="000A7D9D">
      <w:pPr>
        <w:pStyle w:val="BodyText"/>
        <w:rPr>
          <w:b/>
          <w:bCs/>
          <w:noProof/>
        </w:rPr>
      </w:pPr>
    </w:p>
    <w:p w14:paraId="432BE456"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95" w:name="_Toc150499954"/>
      <w:r w:rsidRPr="00291F95">
        <w:rPr>
          <w:rFonts w:ascii="Times New Roman" w:hAnsi="Times New Roman"/>
          <w:smallCaps/>
          <w:noProof/>
          <w:color w:val="auto"/>
          <w:sz w:val="24"/>
          <w:szCs w:val="20"/>
          <w:lang w:eastAsia="en-US"/>
        </w:rPr>
        <w:t xml:space="preserve">Tobacco </w:t>
      </w:r>
      <w:r>
        <w:rPr>
          <w:rFonts w:ascii="Times New Roman" w:hAnsi="Times New Roman"/>
          <w:smallCaps/>
          <w:noProof/>
          <w:color w:val="auto"/>
          <w:sz w:val="24"/>
          <w:szCs w:val="20"/>
          <w:lang w:eastAsia="en-US"/>
        </w:rPr>
        <w:t xml:space="preserve">products </w:t>
      </w:r>
      <w:r w:rsidRPr="00291F95">
        <w:rPr>
          <w:rFonts w:ascii="Times New Roman" w:hAnsi="Times New Roman"/>
          <w:smallCaps/>
          <w:noProof/>
          <w:color w:val="auto"/>
          <w:sz w:val="24"/>
          <w:szCs w:val="20"/>
          <w:lang w:eastAsia="en-US"/>
        </w:rPr>
        <w:t>directive</w:t>
      </w:r>
      <w:bookmarkEnd w:id="95"/>
    </w:p>
    <w:p w14:paraId="05E37F41" w14:textId="77777777" w:rsidR="000A7D9D" w:rsidRPr="00A00723" w:rsidRDefault="000A7D9D" w:rsidP="000A7D9D">
      <w:pPr>
        <w:spacing w:after="240"/>
        <w:rPr>
          <w:rFonts w:ascii="Times New Roman" w:hAnsi="Times New Roman" w:cs="Times New Roman"/>
          <w:b/>
          <w:bCs/>
          <w:noProof/>
          <w:sz w:val="24"/>
          <w:szCs w:val="24"/>
        </w:rPr>
      </w:pPr>
      <w:r w:rsidRPr="00A00723">
        <w:rPr>
          <w:rFonts w:ascii="Times New Roman" w:hAnsi="Times New Roman" w:cs="Times New Roman"/>
          <w:b/>
          <w:bCs/>
          <w:noProof/>
          <w:sz w:val="24"/>
          <w:szCs w:val="24"/>
        </w:rPr>
        <w:t>Responsible body</w:t>
      </w:r>
      <w:r>
        <w:rPr>
          <w:rFonts w:ascii="Times New Roman" w:hAnsi="Times New Roman" w:cs="Times New Roman"/>
          <w:b/>
          <w:bCs/>
          <w:noProof/>
          <w:sz w:val="24"/>
          <w:szCs w:val="24"/>
        </w:rPr>
        <w:t>:</w:t>
      </w:r>
    </w:p>
    <w:p w14:paraId="03958316" w14:textId="77777777" w:rsidR="000A7D9D" w:rsidRPr="00A00723" w:rsidRDefault="000A7D9D" w:rsidP="000A7D9D">
      <w:pPr>
        <w:spacing w:after="240"/>
        <w:rPr>
          <w:rFonts w:ascii="Times New Roman" w:hAnsi="Times New Roman" w:cs="Times New Roman"/>
          <w:noProof/>
          <w:sz w:val="24"/>
          <w:szCs w:val="24"/>
        </w:rPr>
      </w:pPr>
      <w:r w:rsidRPr="00965044">
        <w:rPr>
          <w:rFonts w:ascii="Times New Roman" w:hAnsi="Times New Roman" w:cs="Times New Roman"/>
          <w:noProof/>
          <w:sz w:val="24"/>
          <w:szCs w:val="24"/>
          <w:u w:val="single"/>
        </w:rPr>
        <w:t>Currently:</w:t>
      </w:r>
      <w:r w:rsidRPr="00A00723">
        <w:rPr>
          <w:rFonts w:ascii="Times New Roman" w:hAnsi="Times New Roman" w:cs="Times New Roman"/>
          <w:noProof/>
          <w:sz w:val="24"/>
          <w:szCs w:val="24"/>
        </w:rPr>
        <w:t xml:space="preserve"> Commission with the support of the SCHEER Committee</w:t>
      </w:r>
    </w:p>
    <w:p w14:paraId="19D28563" w14:textId="77777777" w:rsidR="000A7D9D" w:rsidRPr="00A00723" w:rsidRDefault="000A7D9D" w:rsidP="000A7D9D">
      <w:pPr>
        <w:spacing w:after="240"/>
        <w:rPr>
          <w:rFonts w:ascii="Times New Roman" w:hAnsi="Times New Roman" w:cs="Times New Roman"/>
          <w:noProof/>
          <w:sz w:val="24"/>
          <w:szCs w:val="24"/>
        </w:rPr>
      </w:pPr>
      <w:r w:rsidRPr="00965044">
        <w:rPr>
          <w:rFonts w:ascii="Times New Roman" w:hAnsi="Times New Roman" w:cs="Times New Roman"/>
          <w:noProof/>
          <w:sz w:val="24"/>
          <w:szCs w:val="24"/>
          <w:u w:val="single"/>
        </w:rPr>
        <w:t>Reattribution planned to:</w:t>
      </w:r>
      <w:r w:rsidRPr="00A00723">
        <w:rPr>
          <w:rFonts w:ascii="Times New Roman" w:hAnsi="Times New Roman" w:cs="Times New Roman"/>
          <w:noProof/>
          <w:sz w:val="24"/>
          <w:szCs w:val="24"/>
        </w:rPr>
        <w:t xml:space="preserve"> TBC</w:t>
      </w:r>
    </w:p>
    <w:p w14:paraId="3C53E8C1" w14:textId="77777777" w:rsidR="000A7D9D" w:rsidRPr="00A00723" w:rsidRDefault="000A7D9D" w:rsidP="000A7D9D">
      <w:pPr>
        <w:pStyle w:val="BodyText"/>
        <w:rPr>
          <w:b/>
          <w:bCs/>
          <w:noProof/>
        </w:rPr>
      </w:pPr>
      <w:r w:rsidRPr="00A00723">
        <w:rPr>
          <w:b/>
          <w:bCs/>
          <w:noProof/>
        </w:rPr>
        <w:t>Legal basis for reattribution:</w:t>
      </w:r>
      <w:r w:rsidRPr="00A00723">
        <w:rPr>
          <w:noProof/>
        </w:rPr>
        <w:t xml:space="preserve"> revision </w:t>
      </w:r>
      <w:r>
        <w:rPr>
          <w:noProof/>
        </w:rPr>
        <w:t xml:space="preserve">of the </w:t>
      </w:r>
      <w:r w:rsidRPr="00A00723">
        <w:rPr>
          <w:noProof/>
        </w:rPr>
        <w:t>Tobacco directive (2014/40/EU)</w:t>
      </w:r>
    </w:p>
    <w:p w14:paraId="7A14FA05" w14:textId="77777777" w:rsidR="000A7D9D" w:rsidRPr="00A00723" w:rsidRDefault="000A7D9D" w:rsidP="000A7D9D">
      <w:pPr>
        <w:pStyle w:val="BodyText"/>
        <w:rPr>
          <w:b/>
          <w:bCs/>
          <w:noProof/>
        </w:rPr>
      </w:pPr>
      <w:r w:rsidRPr="00A00723">
        <w:rPr>
          <w:b/>
          <w:bCs/>
          <w:noProof/>
        </w:rPr>
        <w:t xml:space="preserve">Type of task: </w:t>
      </w:r>
      <w:r w:rsidRPr="00A00723">
        <w:rPr>
          <w:noProof/>
        </w:rPr>
        <w:t>new</w:t>
      </w:r>
    </w:p>
    <w:p w14:paraId="11C87DB7" w14:textId="77777777" w:rsidR="000A7D9D" w:rsidRPr="00A00723" w:rsidRDefault="000A7D9D" w:rsidP="00DA2CFE">
      <w:pPr>
        <w:pStyle w:val="BodyText"/>
        <w:spacing w:line="259" w:lineRule="auto"/>
        <w:jc w:val="both"/>
        <w:rPr>
          <w:noProof/>
        </w:rPr>
      </w:pPr>
      <w:r w:rsidRPr="00A00723">
        <w:rPr>
          <w:b/>
          <w:bCs/>
          <w:noProof/>
        </w:rPr>
        <w:t xml:space="preserve">Brief task overview: </w:t>
      </w:r>
      <w:r w:rsidRPr="00965044">
        <w:rPr>
          <w:noProof/>
        </w:rPr>
        <w:t xml:space="preserve">The tobacco directive is undergoing an evaluation and a revision of the directive is being envisaged. As part of the revision, a new scientific and technical work is being envisaged that could be potentially attributed to EU Agencies. </w:t>
      </w:r>
      <w:r>
        <w:rPr>
          <w:noProof/>
        </w:rPr>
        <w:t xml:space="preserve">Currently, </w:t>
      </w:r>
      <w:r w:rsidRPr="00A00723">
        <w:rPr>
          <w:noProof/>
        </w:rPr>
        <w:t>Under Article 6(1), the Commission adopted a decision, establishing a priority list of 15 additives for which enhanced reporting obligations are in place, selected on the basis of a SCHEER scientific opinion. It is being considered whether in future in addition, a positive list of ingredients and a database would need to be established. In addition, the work may include:</w:t>
      </w:r>
    </w:p>
    <w:p w14:paraId="538B9E89" w14:textId="77777777" w:rsidR="000A7D9D" w:rsidRPr="00A00723" w:rsidRDefault="000A7D9D" w:rsidP="00DA2CFE">
      <w:pPr>
        <w:pStyle w:val="BodyText"/>
        <w:widowControl w:val="0"/>
        <w:numPr>
          <w:ilvl w:val="0"/>
          <w:numId w:val="25"/>
        </w:numPr>
        <w:spacing w:after="0" w:line="259" w:lineRule="auto"/>
        <w:ind w:left="714" w:hanging="357"/>
        <w:jc w:val="both"/>
        <w:rPr>
          <w:noProof/>
        </w:rPr>
      </w:pPr>
      <w:r w:rsidRPr="00A00723">
        <w:rPr>
          <w:noProof/>
        </w:rPr>
        <w:t>Managing the laboratory network on tobacco control</w:t>
      </w:r>
      <w:r>
        <w:rPr>
          <w:noProof/>
        </w:rPr>
        <w:t>;</w:t>
      </w:r>
    </w:p>
    <w:p w14:paraId="2E4DCB6E" w14:textId="77777777" w:rsidR="000A7D9D" w:rsidRPr="00A00723" w:rsidRDefault="000A7D9D" w:rsidP="00DA2CFE">
      <w:pPr>
        <w:pStyle w:val="BodyText"/>
        <w:widowControl w:val="0"/>
        <w:numPr>
          <w:ilvl w:val="0"/>
          <w:numId w:val="25"/>
        </w:numPr>
        <w:spacing w:after="0" w:line="259" w:lineRule="auto"/>
        <w:ind w:left="714" w:hanging="357"/>
        <w:jc w:val="both"/>
        <w:rPr>
          <w:noProof/>
        </w:rPr>
      </w:pPr>
      <w:r w:rsidRPr="00A00723">
        <w:rPr>
          <w:noProof/>
        </w:rPr>
        <w:t>Checking compliance with product presentation provisions</w:t>
      </w:r>
      <w:r>
        <w:rPr>
          <w:noProof/>
        </w:rPr>
        <w:t>;</w:t>
      </w:r>
      <w:r w:rsidRPr="00A00723">
        <w:rPr>
          <w:noProof/>
        </w:rPr>
        <w:t xml:space="preserve"> </w:t>
      </w:r>
    </w:p>
    <w:p w14:paraId="798216BF" w14:textId="77777777" w:rsidR="000A7D9D" w:rsidRPr="00A00723" w:rsidRDefault="000A7D9D" w:rsidP="00DA2CFE">
      <w:pPr>
        <w:pStyle w:val="BodyText"/>
        <w:widowControl w:val="0"/>
        <w:numPr>
          <w:ilvl w:val="0"/>
          <w:numId w:val="25"/>
        </w:numPr>
        <w:spacing w:after="0" w:line="259" w:lineRule="auto"/>
        <w:ind w:left="714" w:hanging="357"/>
        <w:jc w:val="both"/>
        <w:rPr>
          <w:noProof/>
        </w:rPr>
      </w:pPr>
      <w:r w:rsidRPr="00A00723">
        <w:rPr>
          <w:noProof/>
        </w:rPr>
        <w:t>Running the procedure determining characterizing flavour</w:t>
      </w:r>
      <w:r>
        <w:rPr>
          <w:noProof/>
        </w:rPr>
        <w:t>;</w:t>
      </w:r>
    </w:p>
    <w:p w14:paraId="0EAF8AC9" w14:textId="77777777" w:rsidR="000A7D9D" w:rsidRPr="00A00723" w:rsidRDefault="000A7D9D" w:rsidP="00DA2CFE">
      <w:pPr>
        <w:pStyle w:val="BodyText"/>
        <w:widowControl w:val="0"/>
        <w:numPr>
          <w:ilvl w:val="0"/>
          <w:numId w:val="25"/>
        </w:numPr>
        <w:spacing w:after="0" w:line="259" w:lineRule="auto"/>
        <w:ind w:left="714" w:hanging="357"/>
        <w:jc w:val="both"/>
        <w:rPr>
          <w:noProof/>
        </w:rPr>
      </w:pPr>
      <w:r w:rsidRPr="00A00723">
        <w:rPr>
          <w:noProof/>
        </w:rPr>
        <w:t>Updating negative/positive lists of additives</w:t>
      </w:r>
      <w:r>
        <w:rPr>
          <w:noProof/>
        </w:rPr>
        <w:t>;</w:t>
      </w:r>
    </w:p>
    <w:p w14:paraId="7F6BFBFC" w14:textId="77777777" w:rsidR="000A7D9D" w:rsidRPr="00A00723" w:rsidRDefault="000A7D9D" w:rsidP="00DA2CFE">
      <w:pPr>
        <w:pStyle w:val="BodyText"/>
        <w:widowControl w:val="0"/>
        <w:numPr>
          <w:ilvl w:val="0"/>
          <w:numId w:val="25"/>
        </w:numPr>
        <w:spacing w:after="0" w:line="259" w:lineRule="auto"/>
        <w:ind w:left="714" w:hanging="357"/>
        <w:jc w:val="both"/>
        <w:rPr>
          <w:noProof/>
        </w:rPr>
      </w:pPr>
      <w:r w:rsidRPr="00A00723">
        <w:rPr>
          <w:noProof/>
        </w:rPr>
        <w:t>Hosting product database and making publicly available the product information</w:t>
      </w:r>
      <w:r>
        <w:rPr>
          <w:noProof/>
        </w:rPr>
        <w:t>;</w:t>
      </w:r>
      <w:r w:rsidRPr="00A00723">
        <w:rPr>
          <w:noProof/>
        </w:rPr>
        <w:t xml:space="preserve"> </w:t>
      </w:r>
    </w:p>
    <w:p w14:paraId="6CAEF0E0" w14:textId="77777777" w:rsidR="000A7D9D" w:rsidRPr="00A00723" w:rsidRDefault="000A7D9D" w:rsidP="00DA2CFE">
      <w:pPr>
        <w:pStyle w:val="BodyText"/>
        <w:widowControl w:val="0"/>
        <w:numPr>
          <w:ilvl w:val="0"/>
          <w:numId w:val="25"/>
        </w:numPr>
        <w:spacing w:after="0" w:line="259" w:lineRule="auto"/>
        <w:ind w:left="714" w:hanging="357"/>
        <w:jc w:val="both"/>
        <w:rPr>
          <w:noProof/>
        </w:rPr>
      </w:pPr>
      <w:r w:rsidRPr="00A00723">
        <w:rPr>
          <w:noProof/>
        </w:rPr>
        <w:t>Monitoring of data in product notifications</w:t>
      </w:r>
      <w:r>
        <w:rPr>
          <w:noProof/>
        </w:rPr>
        <w:t>;</w:t>
      </w:r>
    </w:p>
    <w:p w14:paraId="0E5BA4CF" w14:textId="77777777" w:rsidR="000A7D9D" w:rsidRPr="00A00723" w:rsidRDefault="000A7D9D" w:rsidP="00DA2CFE">
      <w:pPr>
        <w:pStyle w:val="BodyText"/>
        <w:widowControl w:val="0"/>
        <w:numPr>
          <w:ilvl w:val="0"/>
          <w:numId w:val="25"/>
        </w:numPr>
        <w:spacing w:line="259" w:lineRule="auto"/>
        <w:ind w:left="714" w:hanging="357"/>
        <w:jc w:val="both"/>
        <w:rPr>
          <w:noProof/>
        </w:rPr>
      </w:pPr>
      <w:r w:rsidRPr="00A00723">
        <w:rPr>
          <w:noProof/>
        </w:rPr>
        <w:t>Assessing information on leaflets</w:t>
      </w:r>
      <w:r>
        <w:rPr>
          <w:noProof/>
        </w:rPr>
        <w:t>.</w:t>
      </w:r>
    </w:p>
    <w:p w14:paraId="6CCE4E2C" w14:textId="77777777" w:rsidR="000A7D9D" w:rsidRPr="00965044" w:rsidRDefault="000A7D9D" w:rsidP="00DA2CFE">
      <w:pPr>
        <w:pStyle w:val="BodyText"/>
        <w:spacing w:line="259" w:lineRule="auto"/>
        <w:jc w:val="both"/>
        <w:rPr>
          <w:noProof/>
        </w:rPr>
      </w:pPr>
      <w:r w:rsidRPr="00A00723">
        <w:rPr>
          <w:b/>
          <w:bCs/>
          <w:noProof/>
        </w:rPr>
        <w:t xml:space="preserve">Proximity to </w:t>
      </w:r>
      <w:r>
        <w:rPr>
          <w:b/>
          <w:bCs/>
          <w:noProof/>
        </w:rPr>
        <w:t>Agencies’</w:t>
      </w:r>
      <w:r w:rsidRPr="00A00723">
        <w:rPr>
          <w:b/>
          <w:bCs/>
          <w:noProof/>
        </w:rPr>
        <w:t xml:space="preserve"> mandate: </w:t>
      </w:r>
      <w:r w:rsidRPr="00965044">
        <w:rPr>
          <w:noProof/>
        </w:rPr>
        <w:t>The tasks are not yet clear but those that are being considered do not naturally fit to the agencies considered in this initiative.</w:t>
      </w:r>
    </w:p>
    <w:p w14:paraId="4199D7EF" w14:textId="77777777" w:rsidR="000A7D9D" w:rsidRPr="00A00723" w:rsidRDefault="000A7D9D" w:rsidP="00DA2CFE">
      <w:pPr>
        <w:pStyle w:val="BodyText"/>
        <w:spacing w:line="259" w:lineRule="auto"/>
        <w:jc w:val="both"/>
        <w:rPr>
          <w:b/>
          <w:bCs/>
          <w:noProof/>
        </w:rPr>
      </w:pPr>
      <w:r w:rsidRPr="00A00723">
        <w:rPr>
          <w:b/>
          <w:bCs/>
          <w:noProof/>
        </w:rPr>
        <w:t xml:space="preserve">Main risks and opportunities: </w:t>
      </w:r>
      <w:r>
        <w:rPr>
          <w:noProof/>
        </w:rPr>
        <w:t>ECHA’s, EFSA’s and EMA</w:t>
      </w:r>
      <w:r w:rsidRPr="00A00723">
        <w:rPr>
          <w:noProof/>
        </w:rPr>
        <w:t xml:space="preserve">’s core mandate relates to the safety assessment of chemicals to protect human health and the environment. The proposed tasks are not related to that core mandate. </w:t>
      </w:r>
    </w:p>
    <w:p w14:paraId="45FDBFAB" w14:textId="77777777" w:rsidR="000A7D9D" w:rsidRPr="00A00723" w:rsidRDefault="000A7D9D" w:rsidP="00DA2CFE">
      <w:pPr>
        <w:pStyle w:val="BodyText"/>
        <w:spacing w:line="259" w:lineRule="auto"/>
        <w:rPr>
          <w:noProof/>
        </w:rPr>
      </w:pPr>
      <w:r w:rsidRPr="00A00723">
        <w:rPr>
          <w:b/>
          <w:bCs/>
          <w:noProof/>
        </w:rPr>
        <w:t>Projected workload and resource implications</w:t>
      </w:r>
      <w:r w:rsidRPr="00A00723">
        <w:rPr>
          <w:noProof/>
        </w:rPr>
        <w:t xml:space="preserve"> </w:t>
      </w:r>
    </w:p>
    <w:p w14:paraId="32AEE6C7" w14:textId="77777777" w:rsidR="000A7D9D" w:rsidRPr="00A00723" w:rsidRDefault="000A7D9D" w:rsidP="00DA2CFE">
      <w:pPr>
        <w:spacing w:before="120" w:after="120"/>
        <w:rPr>
          <w:rFonts w:ascii="Times New Roman" w:hAnsi="Times New Roman" w:cs="Times New Roman"/>
          <w:bCs/>
          <w:noProof/>
          <w:sz w:val="24"/>
          <w:szCs w:val="24"/>
          <w:u w:val="single"/>
        </w:rPr>
      </w:pPr>
      <w:r w:rsidRPr="00A00723">
        <w:rPr>
          <w:rFonts w:ascii="Times New Roman" w:hAnsi="Times New Roman" w:cs="Times New Roman"/>
          <w:bCs/>
          <w:noProof/>
          <w:sz w:val="24"/>
          <w:szCs w:val="24"/>
          <w:u w:val="single"/>
        </w:rPr>
        <w:t xml:space="preserve">Future </w:t>
      </w:r>
      <w:r>
        <w:rPr>
          <w:rFonts w:ascii="Times New Roman" w:hAnsi="Times New Roman" w:cs="Times New Roman"/>
          <w:bCs/>
          <w:noProof/>
          <w:sz w:val="24"/>
          <w:szCs w:val="24"/>
          <w:u w:val="single"/>
        </w:rPr>
        <w:t xml:space="preserve">workload and </w:t>
      </w:r>
      <w:r w:rsidRPr="00A00723">
        <w:rPr>
          <w:rFonts w:ascii="Times New Roman" w:hAnsi="Times New Roman" w:cs="Times New Roman"/>
          <w:bCs/>
          <w:noProof/>
          <w:sz w:val="24"/>
          <w:szCs w:val="24"/>
          <w:u w:val="single"/>
        </w:rPr>
        <w:t>resource needs</w:t>
      </w:r>
      <w:r>
        <w:rPr>
          <w:rFonts w:ascii="Times New Roman" w:hAnsi="Times New Roman" w:cs="Times New Roman"/>
          <w:bCs/>
          <w:noProof/>
          <w:sz w:val="24"/>
          <w:szCs w:val="24"/>
          <w:u w:val="single"/>
        </w:rPr>
        <w:t>:</w:t>
      </w:r>
    </w:p>
    <w:p w14:paraId="7AD82A18" w14:textId="77777777" w:rsidR="000A7D9D" w:rsidRPr="00A00723" w:rsidRDefault="000A7D9D" w:rsidP="00DA2CFE">
      <w:pPr>
        <w:pStyle w:val="BodyText"/>
        <w:spacing w:line="259" w:lineRule="auto"/>
        <w:rPr>
          <w:b/>
          <w:bCs/>
          <w:noProof/>
        </w:rPr>
      </w:pPr>
      <w:r w:rsidRPr="00A00723">
        <w:rPr>
          <w:noProof/>
        </w:rPr>
        <w:t xml:space="preserve">Not yet analysed, as </w:t>
      </w:r>
      <w:r>
        <w:rPr>
          <w:noProof/>
        </w:rPr>
        <w:t>the obligations are not yet clear</w:t>
      </w:r>
      <w:r w:rsidRPr="00A00723">
        <w:rPr>
          <w:noProof/>
        </w:rPr>
        <w:t>.</w:t>
      </w:r>
      <w:r>
        <w:rPr>
          <w:noProof/>
        </w:rPr>
        <w:t xml:space="preserve"> </w:t>
      </w:r>
    </w:p>
    <w:p w14:paraId="51D3D7B3" w14:textId="77777777" w:rsidR="000A7D9D" w:rsidRPr="00A00723" w:rsidRDefault="000A7D9D" w:rsidP="000A7D9D">
      <w:pPr>
        <w:pStyle w:val="BodyText"/>
        <w:rPr>
          <w:noProof/>
        </w:rPr>
      </w:pPr>
    </w:p>
    <w:p w14:paraId="4706C6F8" w14:textId="77777777" w:rsidR="000A7D9D" w:rsidRPr="00291F95" w:rsidRDefault="000A7D9D" w:rsidP="000A7D9D">
      <w:pPr>
        <w:pStyle w:val="Heading1"/>
        <w:keepLines w:val="0"/>
        <w:widowControl/>
        <w:numPr>
          <w:ilvl w:val="0"/>
          <w:numId w:val="144"/>
        </w:numPr>
        <w:tabs>
          <w:tab w:val="num" w:pos="480"/>
        </w:tabs>
        <w:snapToGrid/>
        <w:spacing w:before="240"/>
        <w:ind w:left="480" w:hanging="480"/>
        <w:jc w:val="both"/>
        <w:rPr>
          <w:rFonts w:ascii="Times New Roman" w:hAnsi="Times New Roman"/>
          <w:smallCaps/>
          <w:noProof/>
          <w:color w:val="auto"/>
          <w:sz w:val="24"/>
          <w:szCs w:val="20"/>
          <w:lang w:eastAsia="en-US"/>
        </w:rPr>
      </w:pPr>
      <w:bookmarkStart w:id="96" w:name="_Toc150499955"/>
      <w:r w:rsidRPr="00291F95">
        <w:rPr>
          <w:rFonts w:ascii="Times New Roman" w:hAnsi="Times New Roman"/>
          <w:smallCaps/>
          <w:noProof/>
          <w:color w:val="auto"/>
          <w:sz w:val="24"/>
          <w:szCs w:val="20"/>
          <w:lang w:eastAsia="en-US"/>
        </w:rPr>
        <w:t>Regulation</w:t>
      </w:r>
      <w:r>
        <w:rPr>
          <w:rFonts w:ascii="Times New Roman" w:hAnsi="Times New Roman"/>
          <w:smallCaps/>
          <w:noProof/>
          <w:color w:val="auto"/>
          <w:sz w:val="24"/>
          <w:szCs w:val="20"/>
          <w:lang w:eastAsia="en-US"/>
        </w:rPr>
        <w:t xml:space="preserve"> on fluorinated greenhouse gases and Regulation on ozone depleting substances</w:t>
      </w:r>
      <w:bookmarkEnd w:id="96"/>
      <w:r>
        <w:rPr>
          <w:rFonts w:ascii="Times New Roman" w:hAnsi="Times New Roman"/>
          <w:smallCaps/>
          <w:noProof/>
          <w:color w:val="auto"/>
          <w:sz w:val="24"/>
          <w:szCs w:val="20"/>
          <w:lang w:eastAsia="en-US"/>
        </w:rPr>
        <w:t xml:space="preserve"> </w:t>
      </w:r>
    </w:p>
    <w:p w14:paraId="6A0BE2DF" w14:textId="77777777" w:rsidR="000A7D9D" w:rsidRPr="00A00723" w:rsidRDefault="000A7D9D" w:rsidP="000A7D9D">
      <w:pPr>
        <w:spacing w:after="240"/>
        <w:rPr>
          <w:rFonts w:ascii="Times New Roman" w:hAnsi="Times New Roman" w:cs="Times New Roman"/>
          <w:b/>
          <w:bCs/>
          <w:noProof/>
          <w:sz w:val="24"/>
          <w:szCs w:val="24"/>
        </w:rPr>
      </w:pPr>
      <w:r w:rsidRPr="00A00723">
        <w:rPr>
          <w:rFonts w:ascii="Times New Roman" w:hAnsi="Times New Roman" w:cs="Times New Roman"/>
          <w:b/>
          <w:bCs/>
          <w:noProof/>
          <w:sz w:val="24"/>
          <w:szCs w:val="24"/>
        </w:rPr>
        <w:t>Responsible body</w:t>
      </w:r>
      <w:r>
        <w:rPr>
          <w:rFonts w:ascii="Times New Roman" w:hAnsi="Times New Roman" w:cs="Times New Roman"/>
          <w:b/>
          <w:bCs/>
          <w:noProof/>
          <w:sz w:val="24"/>
          <w:szCs w:val="24"/>
        </w:rPr>
        <w:t>:</w:t>
      </w:r>
    </w:p>
    <w:p w14:paraId="650B697D" w14:textId="77777777" w:rsidR="000A7D9D" w:rsidRPr="00A00723" w:rsidRDefault="000A7D9D" w:rsidP="000A7D9D">
      <w:pPr>
        <w:spacing w:after="240"/>
        <w:rPr>
          <w:rFonts w:ascii="Times New Roman" w:hAnsi="Times New Roman" w:cs="Times New Roman"/>
          <w:noProof/>
          <w:sz w:val="24"/>
          <w:szCs w:val="24"/>
        </w:rPr>
      </w:pPr>
      <w:r w:rsidRPr="00431BC6">
        <w:rPr>
          <w:rFonts w:ascii="Times New Roman" w:hAnsi="Times New Roman" w:cs="Times New Roman"/>
          <w:noProof/>
          <w:sz w:val="24"/>
          <w:szCs w:val="24"/>
          <w:u w:val="single"/>
        </w:rPr>
        <w:t>Currently:</w:t>
      </w:r>
      <w:r w:rsidRPr="00A00723">
        <w:rPr>
          <w:rFonts w:ascii="Times New Roman" w:hAnsi="Times New Roman" w:cs="Times New Roman"/>
          <w:noProof/>
          <w:sz w:val="24"/>
          <w:szCs w:val="24"/>
        </w:rPr>
        <w:t xml:space="preserve"> Commission and EEA</w:t>
      </w:r>
    </w:p>
    <w:p w14:paraId="01DAD082" w14:textId="77777777" w:rsidR="000A7D9D" w:rsidRPr="00A00723" w:rsidRDefault="000A7D9D" w:rsidP="000A7D9D">
      <w:pPr>
        <w:spacing w:after="240"/>
        <w:rPr>
          <w:rFonts w:ascii="Times New Roman" w:hAnsi="Times New Roman" w:cs="Times New Roman"/>
          <w:noProof/>
          <w:sz w:val="24"/>
          <w:szCs w:val="24"/>
        </w:rPr>
      </w:pPr>
      <w:r w:rsidRPr="00431BC6">
        <w:rPr>
          <w:rFonts w:ascii="Times New Roman" w:hAnsi="Times New Roman" w:cs="Times New Roman"/>
          <w:noProof/>
          <w:sz w:val="24"/>
          <w:szCs w:val="24"/>
          <w:u w:val="single"/>
        </w:rPr>
        <w:t>Reattribution planned to:</w:t>
      </w:r>
      <w:r w:rsidRPr="00A00723">
        <w:rPr>
          <w:rFonts w:ascii="Times New Roman" w:hAnsi="Times New Roman" w:cs="Times New Roman"/>
          <w:noProof/>
          <w:sz w:val="24"/>
          <w:szCs w:val="24"/>
        </w:rPr>
        <w:t xml:space="preserve"> TBD</w:t>
      </w:r>
    </w:p>
    <w:p w14:paraId="427DB483" w14:textId="77777777" w:rsidR="000A7D9D" w:rsidRPr="00A00723" w:rsidRDefault="000A7D9D" w:rsidP="00DA2CFE">
      <w:pPr>
        <w:pStyle w:val="BodyText"/>
        <w:spacing w:line="259" w:lineRule="auto"/>
        <w:rPr>
          <w:noProof/>
        </w:rPr>
      </w:pPr>
      <w:r w:rsidRPr="00A00723">
        <w:rPr>
          <w:b/>
          <w:bCs/>
          <w:noProof/>
        </w:rPr>
        <w:t>Legal basis for reattribution:</w:t>
      </w:r>
      <w:r w:rsidRPr="00A00723">
        <w:rPr>
          <w:noProof/>
          <w:lang w:val="en-US" w:eastAsia="en-GB"/>
        </w:rPr>
        <w:t xml:space="preserve"> </w:t>
      </w:r>
      <w:r w:rsidRPr="00A00723">
        <w:rPr>
          <w:noProof/>
          <w:lang w:val="en-US"/>
        </w:rPr>
        <w:t xml:space="preserve">revision </w:t>
      </w:r>
      <w:r>
        <w:rPr>
          <w:noProof/>
          <w:lang w:val="en-US"/>
        </w:rPr>
        <w:t>of regulation on f</w:t>
      </w:r>
      <w:r w:rsidRPr="00A00723">
        <w:rPr>
          <w:noProof/>
          <w:lang w:val="en-US"/>
        </w:rPr>
        <w:t>luorinated greenhouse gases (517/2014)</w:t>
      </w:r>
      <w:r>
        <w:rPr>
          <w:noProof/>
          <w:lang w:val="en-US"/>
        </w:rPr>
        <w:t xml:space="preserve"> </w:t>
      </w:r>
      <w:r w:rsidRPr="0001492A">
        <w:rPr>
          <w:noProof/>
          <w:lang w:val="en-US"/>
        </w:rPr>
        <w:t xml:space="preserve">and revision </w:t>
      </w:r>
      <w:r>
        <w:rPr>
          <w:noProof/>
          <w:lang w:val="en-US"/>
        </w:rPr>
        <w:t>of r</w:t>
      </w:r>
      <w:r w:rsidRPr="0001492A">
        <w:rPr>
          <w:noProof/>
          <w:lang w:val="en-US"/>
        </w:rPr>
        <w:t xml:space="preserve">egulation on ozone depleting substances </w:t>
      </w:r>
      <w:r>
        <w:rPr>
          <w:noProof/>
          <w:lang w:val="en-US"/>
        </w:rPr>
        <w:t>(1</w:t>
      </w:r>
      <w:r w:rsidRPr="0001492A">
        <w:rPr>
          <w:noProof/>
          <w:lang w:val="en-US"/>
        </w:rPr>
        <w:t>005/2009</w:t>
      </w:r>
      <w:r>
        <w:rPr>
          <w:noProof/>
          <w:lang w:val="en-US"/>
        </w:rPr>
        <w:t>)</w:t>
      </w:r>
    </w:p>
    <w:p w14:paraId="6B82E2A7" w14:textId="77777777" w:rsidR="000A7D9D" w:rsidRPr="00A00723" w:rsidRDefault="000A7D9D" w:rsidP="00DA2CFE">
      <w:pPr>
        <w:pStyle w:val="BodyText"/>
        <w:spacing w:line="259" w:lineRule="auto"/>
        <w:rPr>
          <w:b/>
          <w:bCs/>
          <w:noProof/>
        </w:rPr>
      </w:pPr>
      <w:r w:rsidRPr="00A00723">
        <w:rPr>
          <w:b/>
          <w:bCs/>
          <w:noProof/>
        </w:rPr>
        <w:t xml:space="preserve">Type of task: </w:t>
      </w:r>
      <w:r w:rsidRPr="00A00723">
        <w:rPr>
          <w:noProof/>
        </w:rPr>
        <w:t>new</w:t>
      </w:r>
    </w:p>
    <w:p w14:paraId="173E0214" w14:textId="77777777" w:rsidR="000A7D9D" w:rsidRDefault="000A7D9D" w:rsidP="00DA2CFE">
      <w:pPr>
        <w:pStyle w:val="BodyText"/>
        <w:spacing w:line="259" w:lineRule="auto"/>
        <w:jc w:val="both"/>
        <w:rPr>
          <w:b/>
          <w:bCs/>
          <w:noProof/>
        </w:rPr>
      </w:pPr>
      <w:r>
        <w:rPr>
          <w:b/>
          <w:bCs/>
          <w:noProof/>
        </w:rPr>
        <w:t xml:space="preserve">Detailed </w:t>
      </w:r>
      <w:r w:rsidRPr="00A00723">
        <w:rPr>
          <w:b/>
          <w:bCs/>
          <w:noProof/>
        </w:rPr>
        <w:t xml:space="preserve">task overview: </w:t>
      </w:r>
    </w:p>
    <w:p w14:paraId="40E271D6" w14:textId="77777777" w:rsidR="000A7D9D" w:rsidRPr="000E2F6C" w:rsidRDefault="000A7D9D" w:rsidP="00DA2CFE">
      <w:pPr>
        <w:pStyle w:val="BodyText"/>
        <w:spacing w:line="259" w:lineRule="auto"/>
        <w:jc w:val="both"/>
        <w:rPr>
          <w:noProof/>
          <w:u w:val="single"/>
        </w:rPr>
      </w:pPr>
      <w:r w:rsidRPr="000E2F6C">
        <w:rPr>
          <w:noProof/>
          <w:u w:val="single"/>
        </w:rPr>
        <w:t xml:space="preserve">Current: </w:t>
      </w:r>
    </w:p>
    <w:p w14:paraId="4A35FDE7" w14:textId="77777777" w:rsidR="000A7D9D" w:rsidRDefault="000A7D9D" w:rsidP="00DA2CFE">
      <w:pPr>
        <w:pStyle w:val="BodyText"/>
        <w:spacing w:line="259" w:lineRule="auto"/>
        <w:jc w:val="both"/>
        <w:rPr>
          <w:noProof/>
        </w:rPr>
      </w:pPr>
      <w:r w:rsidRPr="00E360D2">
        <w:rPr>
          <w:noProof/>
        </w:rPr>
        <w:t xml:space="preserve">The Commission is implementing a quota and licencing system for hydrofluorocarbons </w:t>
      </w:r>
      <w:r>
        <w:rPr>
          <w:noProof/>
        </w:rPr>
        <w:t xml:space="preserve">as well as a similar system for </w:t>
      </w:r>
      <w:r w:rsidRPr="00E360D2">
        <w:rPr>
          <w:noProof/>
        </w:rPr>
        <w:t xml:space="preserve">ozone depleting substances </w:t>
      </w:r>
      <w:r>
        <w:rPr>
          <w:noProof/>
        </w:rPr>
        <w:t xml:space="preserve">(ODS) </w:t>
      </w:r>
      <w:r w:rsidRPr="00E360D2">
        <w:rPr>
          <w:noProof/>
        </w:rPr>
        <w:t xml:space="preserve">that </w:t>
      </w:r>
      <w:r>
        <w:rPr>
          <w:noProof/>
        </w:rPr>
        <w:t xml:space="preserve">both </w:t>
      </w:r>
      <w:r w:rsidRPr="00E360D2">
        <w:rPr>
          <w:noProof/>
        </w:rPr>
        <w:t>require registration of importers and producers of these chemicals, determination and allocation of company quota and issuing of penalties for non-compliance with the quota system.</w:t>
      </w:r>
      <w:r>
        <w:rPr>
          <w:noProof/>
        </w:rPr>
        <w:t xml:space="preserve"> Annual company reporting data is collected and aggregated by the European Environment Agency each year. The agency prepares a report on ODS and F-gas related activities for Member State representatives and the Commission (DG CLIMA), which includes </w:t>
      </w:r>
      <w:r w:rsidRPr="000019E1">
        <w:rPr>
          <w:noProof/>
        </w:rPr>
        <w:t>for instance for F-gases</w:t>
      </w:r>
      <w:r>
        <w:rPr>
          <w:noProof/>
        </w:rPr>
        <w:t xml:space="preserve"> data on imports, exports, production, destruction, and reclamation relevant to bulk F-gases and equipment containing such gases</w:t>
      </w:r>
    </w:p>
    <w:p w14:paraId="145A549F" w14:textId="77777777" w:rsidR="000A7D9D" w:rsidRPr="00555971" w:rsidRDefault="000A7D9D" w:rsidP="00DA2CFE">
      <w:pPr>
        <w:pStyle w:val="BodyText"/>
        <w:spacing w:line="259" w:lineRule="auto"/>
        <w:jc w:val="both"/>
        <w:rPr>
          <w:noProof/>
          <w:u w:val="single"/>
        </w:rPr>
      </w:pPr>
      <w:r w:rsidRPr="00555971">
        <w:rPr>
          <w:noProof/>
          <w:u w:val="single"/>
        </w:rPr>
        <w:t>Changes:</w:t>
      </w:r>
    </w:p>
    <w:p w14:paraId="686D1919" w14:textId="6E219E76" w:rsidR="000A7D9D" w:rsidRDefault="000A7D9D" w:rsidP="00DA2CFE">
      <w:pPr>
        <w:pStyle w:val="BodyText"/>
        <w:spacing w:line="259" w:lineRule="auto"/>
        <w:jc w:val="both"/>
        <w:rPr>
          <w:noProof/>
        </w:rPr>
      </w:pPr>
      <w:r w:rsidRPr="00431BC6">
        <w:rPr>
          <w:noProof/>
        </w:rPr>
        <w:t>On 5 April 2022, the Commission presented a proposal for a regulation on fluorinated greenhouse gases</w:t>
      </w:r>
      <w:r>
        <w:rPr>
          <w:noProof/>
        </w:rPr>
        <w:t xml:space="preserve"> </w:t>
      </w:r>
      <w:r w:rsidRPr="00A6032B">
        <w:rPr>
          <w:noProof/>
        </w:rPr>
        <w:t>(F-gases)</w:t>
      </w:r>
      <w:r w:rsidRPr="00431BC6">
        <w:rPr>
          <w:noProof/>
        </w:rPr>
        <w:t xml:space="preserve"> that would repeal Regulation (EU) No 517/2014</w:t>
      </w:r>
      <w:r w:rsidRPr="001B56EF">
        <w:rPr>
          <w:noProof/>
        </w:rPr>
        <w:t xml:space="preserve"> </w:t>
      </w:r>
      <w:r w:rsidRPr="00FB15B2">
        <w:rPr>
          <w:noProof/>
        </w:rPr>
        <w:t>and a proposal repealing Regulation on ozone depleting substance (EC) No 1005/2009</w:t>
      </w:r>
      <w:r w:rsidRPr="00431BC6">
        <w:rPr>
          <w:noProof/>
        </w:rPr>
        <w:t xml:space="preserve">. The proposal aims to further reduce emissions of </w:t>
      </w:r>
      <w:r>
        <w:rPr>
          <w:noProof/>
        </w:rPr>
        <w:t>these chemicals</w:t>
      </w:r>
      <w:r w:rsidRPr="00431BC6">
        <w:rPr>
          <w:noProof/>
        </w:rPr>
        <w:t xml:space="preserve">. </w:t>
      </w:r>
      <w:r w:rsidRPr="002A0124">
        <w:rPr>
          <w:noProof/>
        </w:rPr>
        <w:t>The F-gas proposal</w:t>
      </w:r>
      <w:r w:rsidRPr="00431BC6">
        <w:rPr>
          <w:noProof/>
        </w:rPr>
        <w:t xml:space="preserve"> would change the existing quota system, gradually reducing the supply of hydrofluorocarbons (HFC) to the EU market to </w:t>
      </w:r>
      <w:r>
        <w:rPr>
          <w:noProof/>
        </w:rPr>
        <w:t>approximatively</w:t>
      </w:r>
      <w:r w:rsidRPr="00431BC6">
        <w:rPr>
          <w:noProof/>
        </w:rPr>
        <w:t xml:space="preserve"> 2.4 % of 2015 levels by 2048</w:t>
      </w:r>
      <w:r w:rsidR="00DA2CFE">
        <w:rPr>
          <w:noProof/>
        </w:rPr>
        <w:t xml:space="preserve"> </w:t>
      </w:r>
      <w:r>
        <w:rPr>
          <w:noProof/>
        </w:rPr>
        <w:t xml:space="preserve">and requiring a quota allocation price which needs to be collected. The quota revenue can partly be used for the implementation of the quota and licensing system. </w:t>
      </w:r>
      <w:r w:rsidRPr="00D5796E">
        <w:rPr>
          <w:noProof/>
        </w:rPr>
        <w:t>For ozone depleting substances the quota system will be abolished and the licencing system simplified. Both</w:t>
      </w:r>
      <w:r>
        <w:rPr>
          <w:noProof/>
        </w:rPr>
        <w:t xml:space="preserve"> </w:t>
      </w:r>
      <w:r w:rsidRPr="00431BC6">
        <w:rPr>
          <w:noProof/>
        </w:rPr>
        <w:t>licensing system</w:t>
      </w:r>
      <w:r>
        <w:rPr>
          <w:noProof/>
        </w:rPr>
        <w:t>s</w:t>
      </w:r>
      <w:r w:rsidRPr="00431BC6">
        <w:rPr>
          <w:noProof/>
        </w:rPr>
        <w:t xml:space="preserve"> and labelling obligations w</w:t>
      </w:r>
      <w:r>
        <w:rPr>
          <w:noProof/>
        </w:rPr>
        <w:t>ill</w:t>
      </w:r>
      <w:r w:rsidRPr="00431BC6">
        <w:rPr>
          <w:noProof/>
        </w:rPr>
        <w:t xml:space="preserve"> be strengthened to improve enforcement of trade </w:t>
      </w:r>
      <w:r w:rsidRPr="0094545C">
        <w:rPr>
          <w:noProof/>
        </w:rPr>
        <w:t xml:space="preserve">and hydrofluorocarbon (HFC) quota </w:t>
      </w:r>
      <w:r w:rsidRPr="00431BC6">
        <w:rPr>
          <w:noProof/>
        </w:rPr>
        <w:t>restrictions. Finally, the proposal</w:t>
      </w:r>
      <w:r>
        <w:rPr>
          <w:noProof/>
        </w:rPr>
        <w:t>s</w:t>
      </w:r>
      <w:r w:rsidRPr="00431BC6">
        <w:rPr>
          <w:noProof/>
        </w:rPr>
        <w:t xml:space="preserve"> would align EU legislation with the requirements of the Montreal Protocol</w:t>
      </w:r>
      <w:r>
        <w:rPr>
          <w:noProof/>
        </w:rPr>
        <w:t>.</w:t>
      </w:r>
      <w:r w:rsidRPr="00431BC6">
        <w:rPr>
          <w:noProof/>
        </w:rPr>
        <w:t xml:space="preserve"> </w:t>
      </w:r>
    </w:p>
    <w:p w14:paraId="3C68BCE8" w14:textId="77777777" w:rsidR="000A7D9D" w:rsidRDefault="000A7D9D" w:rsidP="00DA2CFE">
      <w:pPr>
        <w:pStyle w:val="BodyText"/>
        <w:spacing w:line="259" w:lineRule="auto"/>
        <w:jc w:val="both"/>
        <w:rPr>
          <w:noProof/>
        </w:rPr>
      </w:pPr>
      <w:r>
        <w:rPr>
          <w:noProof/>
        </w:rPr>
        <w:t>The European Environmental Agency (EEA) will have to slightly adapt their reporting tool for undertakings reporting on F-gases</w:t>
      </w:r>
      <w:r w:rsidRPr="00AD057C">
        <w:rPr>
          <w:noProof/>
        </w:rPr>
        <w:t xml:space="preserve"> </w:t>
      </w:r>
      <w:r>
        <w:rPr>
          <w:noProof/>
        </w:rPr>
        <w:t>and ozone depleting substances, due to changes in the reporting requirements.</w:t>
      </w:r>
    </w:p>
    <w:p w14:paraId="1923EE8B" w14:textId="77777777" w:rsidR="000A7D9D" w:rsidRPr="00431BC6" w:rsidRDefault="000A7D9D" w:rsidP="00DA2CFE">
      <w:pPr>
        <w:pStyle w:val="BodyText"/>
        <w:spacing w:line="259" w:lineRule="auto"/>
        <w:jc w:val="both"/>
        <w:rPr>
          <w:noProof/>
        </w:rPr>
      </w:pPr>
      <w:r w:rsidRPr="00EC1412">
        <w:rPr>
          <w:noProof/>
        </w:rPr>
        <w:t xml:space="preserve">The proposal </w:t>
      </w:r>
      <w:r>
        <w:rPr>
          <w:noProof/>
        </w:rPr>
        <w:t xml:space="preserve">retains the </w:t>
      </w:r>
      <w:r w:rsidRPr="00EC1412">
        <w:rPr>
          <w:noProof/>
        </w:rPr>
        <w:t>obligation on the Commission to set up and operate an electronic system for the management of the quota system</w:t>
      </w:r>
      <w:r>
        <w:rPr>
          <w:noProof/>
        </w:rPr>
        <w:t xml:space="preserve"> for HFCs as well as the </w:t>
      </w:r>
      <w:r w:rsidRPr="00EC1412">
        <w:rPr>
          <w:noProof/>
        </w:rPr>
        <w:t>licensing of imports and exports and reporting</w:t>
      </w:r>
      <w:r>
        <w:rPr>
          <w:noProof/>
        </w:rPr>
        <w:t xml:space="preserve"> for F-gases and for ozone depleting substances</w:t>
      </w:r>
      <w:r w:rsidRPr="00EC1412">
        <w:rPr>
          <w:noProof/>
        </w:rPr>
        <w:t xml:space="preserve">. </w:t>
      </w:r>
      <w:r>
        <w:rPr>
          <w:noProof/>
        </w:rPr>
        <w:t>I</w:t>
      </w:r>
      <w:r w:rsidRPr="00F17166">
        <w:rPr>
          <w:noProof/>
        </w:rPr>
        <w:t>t is not yet clear how the tasks can be implemented most effectively</w:t>
      </w:r>
      <w:r>
        <w:rPr>
          <w:noProof/>
        </w:rPr>
        <w:t xml:space="preserve">, but it is envisaged that an agency could take some of the tasks in case </w:t>
      </w:r>
      <w:r w:rsidRPr="00F17166">
        <w:rPr>
          <w:noProof/>
        </w:rPr>
        <w:t>that would be deemed to be the best option at a later stage</w:t>
      </w:r>
      <w:r>
        <w:rPr>
          <w:noProof/>
        </w:rPr>
        <w:t xml:space="preserve">. </w:t>
      </w:r>
    </w:p>
    <w:p w14:paraId="1283114E" w14:textId="77777777" w:rsidR="000A7D9D" w:rsidRDefault="000A7D9D" w:rsidP="00DA2CFE">
      <w:pPr>
        <w:pStyle w:val="BodyText"/>
        <w:spacing w:line="259" w:lineRule="auto"/>
        <w:jc w:val="both"/>
        <w:rPr>
          <w:noProof/>
        </w:rPr>
      </w:pPr>
      <w:r w:rsidRPr="00A00723">
        <w:rPr>
          <w:b/>
          <w:bCs/>
          <w:noProof/>
        </w:rPr>
        <w:t xml:space="preserve">Proximity to </w:t>
      </w:r>
      <w:r>
        <w:rPr>
          <w:b/>
          <w:bCs/>
          <w:noProof/>
        </w:rPr>
        <w:t>Agencies’</w:t>
      </w:r>
      <w:r w:rsidRPr="00A00723">
        <w:rPr>
          <w:b/>
          <w:bCs/>
          <w:noProof/>
        </w:rPr>
        <w:t xml:space="preserve"> mandate:</w:t>
      </w:r>
      <w:r w:rsidRPr="00A00723">
        <w:rPr>
          <w:noProof/>
        </w:rPr>
        <w:t xml:space="preserve"> </w:t>
      </w:r>
      <w:r>
        <w:rPr>
          <w:noProof/>
        </w:rPr>
        <w:t xml:space="preserve">The Regulations are still under review and </w:t>
      </w:r>
      <w:r w:rsidRPr="00EC1412">
        <w:rPr>
          <w:noProof/>
        </w:rPr>
        <w:t xml:space="preserve">tasks </w:t>
      </w:r>
      <w:r>
        <w:rPr>
          <w:noProof/>
        </w:rPr>
        <w:t xml:space="preserve">related to setting-up and operating of the electronic system are not yet fully clear. It thus remains unclear if any of the agencies would be suitable for such tasks. </w:t>
      </w:r>
    </w:p>
    <w:p w14:paraId="493BA9C3" w14:textId="77777777" w:rsidR="000A7D9D" w:rsidRPr="00A00723" w:rsidRDefault="000A7D9D" w:rsidP="00DA2CFE">
      <w:pPr>
        <w:pStyle w:val="BodyText"/>
        <w:spacing w:line="259" w:lineRule="auto"/>
        <w:rPr>
          <w:noProof/>
        </w:rPr>
      </w:pPr>
      <w:r w:rsidRPr="00A00723">
        <w:rPr>
          <w:b/>
          <w:bCs/>
          <w:noProof/>
        </w:rPr>
        <w:t>Projected workload and resource implications</w:t>
      </w:r>
      <w:r w:rsidRPr="00A00723">
        <w:rPr>
          <w:noProof/>
        </w:rPr>
        <w:t xml:space="preserve"> </w:t>
      </w:r>
    </w:p>
    <w:p w14:paraId="10EC822C" w14:textId="77777777" w:rsidR="000A7D9D" w:rsidRPr="00A00723" w:rsidRDefault="000A7D9D" w:rsidP="00DA2CFE">
      <w:pPr>
        <w:spacing w:before="120" w:after="120"/>
        <w:rPr>
          <w:rFonts w:ascii="Times New Roman" w:hAnsi="Times New Roman" w:cs="Times New Roman"/>
          <w:bCs/>
          <w:noProof/>
          <w:sz w:val="24"/>
          <w:szCs w:val="24"/>
          <w:u w:val="single"/>
        </w:rPr>
      </w:pPr>
      <w:r w:rsidRPr="00A00723">
        <w:rPr>
          <w:rFonts w:ascii="Times New Roman" w:hAnsi="Times New Roman" w:cs="Times New Roman"/>
          <w:bCs/>
          <w:noProof/>
          <w:sz w:val="24"/>
          <w:szCs w:val="24"/>
          <w:u w:val="single"/>
        </w:rPr>
        <w:t xml:space="preserve">Future </w:t>
      </w:r>
      <w:r>
        <w:rPr>
          <w:rFonts w:ascii="Times New Roman" w:hAnsi="Times New Roman" w:cs="Times New Roman"/>
          <w:bCs/>
          <w:noProof/>
          <w:sz w:val="24"/>
          <w:szCs w:val="24"/>
          <w:u w:val="single"/>
        </w:rPr>
        <w:t xml:space="preserve">workload and </w:t>
      </w:r>
      <w:r w:rsidRPr="00A00723">
        <w:rPr>
          <w:rFonts w:ascii="Times New Roman" w:hAnsi="Times New Roman" w:cs="Times New Roman"/>
          <w:bCs/>
          <w:noProof/>
          <w:sz w:val="24"/>
          <w:szCs w:val="24"/>
          <w:u w:val="single"/>
        </w:rPr>
        <w:t>resource needs</w:t>
      </w:r>
    </w:p>
    <w:p w14:paraId="02715E64" w14:textId="32D69647" w:rsidR="000A7D9D" w:rsidRDefault="000A7D9D" w:rsidP="00E264E5">
      <w:pPr>
        <w:pStyle w:val="BodyText"/>
        <w:spacing w:line="259" w:lineRule="auto"/>
        <w:rPr>
          <w:noProof/>
        </w:rPr>
      </w:pPr>
      <w:r w:rsidRPr="00A00723">
        <w:rPr>
          <w:noProof/>
        </w:rPr>
        <w:t xml:space="preserve">Not yet analysed, as </w:t>
      </w:r>
      <w:r w:rsidR="00E264E5">
        <w:rPr>
          <w:noProof/>
        </w:rPr>
        <w:t>the tasks are not yet defined</w:t>
      </w:r>
    </w:p>
    <w:p w14:paraId="6D4FF0B1" w14:textId="5C88CFE4" w:rsidR="0005055B" w:rsidRDefault="0005055B" w:rsidP="00E264E5">
      <w:pPr>
        <w:pStyle w:val="BodyText"/>
        <w:spacing w:line="259" w:lineRule="auto"/>
        <w:rPr>
          <w:noProof/>
        </w:rPr>
      </w:pPr>
    </w:p>
    <w:p w14:paraId="1242BAC0" w14:textId="0BBF0F28" w:rsidR="0005055B" w:rsidRPr="00E264E5" w:rsidRDefault="0005055B" w:rsidP="00E264E5">
      <w:pPr>
        <w:pStyle w:val="BodyText"/>
        <w:spacing w:line="259" w:lineRule="auto"/>
        <w:rPr>
          <w:noProof/>
        </w:rPr>
        <w:sectPr w:rsidR="0005055B" w:rsidRPr="00E264E5" w:rsidSect="00F31937">
          <w:headerReference w:type="even" r:id="rId143"/>
          <w:headerReference w:type="default" r:id="rId144"/>
          <w:footerReference w:type="even" r:id="rId145"/>
          <w:footerReference w:type="default" r:id="rId146"/>
          <w:headerReference w:type="first" r:id="rId147"/>
          <w:footerReference w:type="first" r:id="rId148"/>
          <w:pgSz w:w="11906" w:h="16838"/>
          <w:pgMar w:top="1440" w:right="1440" w:bottom="1440" w:left="1440" w:header="708" w:footer="708" w:gutter="0"/>
          <w:cols w:space="720"/>
          <w:docGrid w:linePitch="360"/>
        </w:sectPr>
      </w:pPr>
    </w:p>
    <w:p w14:paraId="102AF27C" w14:textId="74B6E801" w:rsidR="007B6118" w:rsidRDefault="007B6118" w:rsidP="00E264E5">
      <w:pPr>
        <w:rPr>
          <w:noProof/>
        </w:rPr>
      </w:pPr>
    </w:p>
    <w:sectPr w:rsidR="007B6118" w:rsidSect="00E264E5">
      <w:headerReference w:type="even" r:id="rId149"/>
      <w:headerReference w:type="default" r:id="rId150"/>
      <w:footerReference w:type="even" r:id="rId151"/>
      <w:footerReference w:type="default" r:id="rId152"/>
      <w:headerReference w:type="first" r:id="rId153"/>
      <w:footerReference w:type="first" r:id="rId154"/>
      <w:pgSz w:w="16840" w:h="11907" w:orient="landscape" w:code="9"/>
      <w:pgMar w:top="1134" w:right="851" w:bottom="1134" w:left="567" w:header="856"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8EABE" w14:textId="77777777" w:rsidR="00F31937" w:rsidRDefault="00F31937" w:rsidP="00D10CBA">
      <w:pPr>
        <w:spacing w:after="0" w:line="240" w:lineRule="auto"/>
      </w:pPr>
      <w:r>
        <w:separator/>
      </w:r>
    </w:p>
  </w:endnote>
  <w:endnote w:type="continuationSeparator" w:id="0">
    <w:p w14:paraId="3F575B7A" w14:textId="77777777" w:rsidR="00F31937" w:rsidRDefault="00F31937" w:rsidP="00D10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quot;calibri&quot;,sans-serif">
    <w:altName w:val="Ebrim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quot;Times&quot;,serif">
    <w:altName w:val="Cambria"/>
    <w:panose1 w:val="00000000000000000000"/>
    <w:charset w:val="00"/>
    <w:family w:val="roman"/>
    <w:notTrueType/>
    <w:pitch w:val="default"/>
  </w:font>
  <w:font w:name="&quot;Verdana&quot;,sans-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6BA3" w14:textId="41E12B1C" w:rsidR="00187DBF" w:rsidRPr="00187DBF" w:rsidRDefault="00187DBF" w:rsidP="00187DBF">
    <w:pPr>
      <w:pStyle w:val="FooterCoverPage"/>
      <w:rPr>
        <w:rFonts w:ascii="Arial" w:hAnsi="Arial" w:cs="Arial"/>
        <w:b/>
        <w:sz w:val="48"/>
      </w:rPr>
    </w:pPr>
    <w:r w:rsidRPr="00187DBF">
      <w:rPr>
        <w:rFonts w:ascii="Arial" w:hAnsi="Arial" w:cs="Arial"/>
        <w:b/>
        <w:sz w:val="48"/>
      </w:rPr>
      <w:t>EN</w:t>
    </w:r>
    <w:r w:rsidRPr="00187DBF">
      <w:rPr>
        <w:rFonts w:ascii="Arial" w:hAnsi="Arial" w:cs="Arial"/>
        <w:b/>
        <w:sz w:val="48"/>
      </w:rPr>
      <w:tab/>
    </w:r>
    <w:r w:rsidRPr="00187DBF">
      <w:rPr>
        <w:rFonts w:ascii="Arial" w:hAnsi="Arial" w:cs="Arial"/>
        <w:b/>
        <w:sz w:val="48"/>
      </w:rPr>
      <w:tab/>
    </w:r>
    <w:r w:rsidRPr="00187DBF">
      <w:tab/>
    </w:r>
    <w:proofErr w:type="spellStart"/>
    <w:r w:rsidRPr="00187DBF">
      <w:rPr>
        <w:rFonts w:ascii="Arial" w:hAnsi="Arial" w:cs="Arial"/>
        <w:b/>
        <w:sz w:val="48"/>
      </w:rPr>
      <w:t>EN</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5912" w14:textId="77777777" w:rsidR="00F31937" w:rsidRDefault="00F3193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502546"/>
      <w:docPartObj>
        <w:docPartGallery w:val="Page Numbers (Bottom of Page)"/>
        <w:docPartUnique/>
      </w:docPartObj>
    </w:sdtPr>
    <w:sdtEndPr>
      <w:rPr>
        <w:noProof/>
      </w:rPr>
    </w:sdtEndPr>
    <w:sdtContent>
      <w:p w14:paraId="798852D3" w14:textId="77777777" w:rsidR="00F31937" w:rsidRDefault="00F31937">
        <w:pPr>
          <w:pStyle w:val="Footer"/>
          <w:jc w:val="center"/>
        </w:pPr>
      </w:p>
      <w:p w14:paraId="7DDE55E5" w14:textId="77777777" w:rsidR="00F31937" w:rsidRDefault="00F31937">
        <w:pPr>
          <w:pStyle w:val="Footer"/>
          <w:jc w:val="center"/>
        </w:pPr>
      </w:p>
      <w:p w14:paraId="55922C19" w14:textId="37126A8D" w:rsidR="00F31937" w:rsidRDefault="00F31937">
        <w:pPr>
          <w:pStyle w:val="Footer"/>
          <w:jc w:val="center"/>
        </w:pPr>
        <w:r>
          <w:fldChar w:fldCharType="begin"/>
        </w:r>
        <w:r>
          <w:instrText xml:space="preserve"> PAGE   \* MERGEFORMAT </w:instrText>
        </w:r>
        <w:r>
          <w:fldChar w:fldCharType="separate"/>
        </w:r>
        <w:r w:rsidR="00E21EA5">
          <w:rPr>
            <w:noProof/>
          </w:rPr>
          <w:t>216</w:t>
        </w:r>
        <w:r>
          <w:rPr>
            <w:noProof/>
          </w:rPr>
          <w:fldChar w:fldCharType="end"/>
        </w:r>
      </w:p>
    </w:sdtContent>
  </w:sdt>
  <w:p w14:paraId="63B2A94D" w14:textId="77777777" w:rsidR="00F31937" w:rsidRDefault="00F31937" w:rsidP="00F31937">
    <w:pPr>
      <w:pStyle w:val="Footer"/>
      <w:rPr>
        <w:bCs/>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ABB0" w14:textId="77777777" w:rsidR="00F31937" w:rsidRPr="00B95CD1" w:rsidRDefault="00F31937" w:rsidP="00F31937">
    <w:pPr>
      <w:pStyle w:val="Footer"/>
      <w:jc w:val="center"/>
    </w:pPr>
    <w:r w:rsidRPr="00604005">
      <w:rPr>
        <w:lang w:val="fi-FI"/>
      </w:rPr>
      <w:br/>
    </w:r>
    <w:r w:rsidRPr="00604005">
      <w:rPr>
        <w:lang w:val="fi-FI"/>
      </w:rPr>
      <w:br/>
    </w:r>
    <w:r w:rsidRPr="00604005">
      <w:rPr>
        <w:lang w:val="fi-FI"/>
      </w:rPr>
      <w:br/>
      <w:t xml:space="preserve">Annankatu 18, P.O. Box 400, FI-00121 Helsinki, Finland | Tel. </w:t>
    </w:r>
    <w:r w:rsidRPr="00B95CD1">
      <w:t>+358 9 686180 | Fax +358 9 68618210 | echa.europa.eu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BDEF" w14:textId="4AC04C85" w:rsidR="00187DBF" w:rsidRPr="00187DBF" w:rsidRDefault="00187DBF" w:rsidP="00187DBF">
    <w:pPr>
      <w:pStyle w:val="FooterCoverPage"/>
      <w:rPr>
        <w:rFonts w:ascii="Arial" w:hAnsi="Arial" w:cs="Arial"/>
        <w:b/>
        <w:sz w:val="48"/>
      </w:rPr>
    </w:pPr>
    <w:r w:rsidRPr="00187DBF">
      <w:rPr>
        <w:rFonts w:ascii="Arial" w:hAnsi="Arial" w:cs="Arial"/>
        <w:b/>
        <w:sz w:val="48"/>
      </w:rPr>
      <w:t>EN</w:t>
    </w:r>
    <w:r w:rsidRPr="00187DBF">
      <w:rPr>
        <w:rFonts w:ascii="Arial" w:hAnsi="Arial" w:cs="Arial"/>
        <w:b/>
        <w:sz w:val="48"/>
      </w:rPr>
      <w:tab/>
    </w:r>
    <w:r w:rsidRPr="00187DBF">
      <w:rPr>
        <w:rFonts w:ascii="Arial" w:hAnsi="Arial" w:cs="Arial"/>
        <w:b/>
        <w:sz w:val="48"/>
      </w:rPr>
      <w:tab/>
    </w:r>
    <w:r w:rsidRPr="00187DBF">
      <w:tab/>
    </w:r>
    <w:proofErr w:type="spellStart"/>
    <w:r w:rsidRPr="00187DBF">
      <w:rPr>
        <w:rFonts w:ascii="Arial" w:hAnsi="Arial" w:cs="Arial"/>
        <w:b/>
        <w:sz w:val="48"/>
      </w:rPr>
      <w:t>EN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03B5" w14:textId="77777777" w:rsidR="00187DBF" w:rsidRPr="00187DBF" w:rsidRDefault="00187DBF" w:rsidP="00187DBF">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B18D8" w14:textId="77777777" w:rsidR="00F31937" w:rsidRDefault="00F319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23E6" w14:textId="1B4F483F" w:rsidR="00F31937" w:rsidRDefault="00F31937" w:rsidP="00F31937">
    <w:pPr>
      <w:pStyle w:val="Footer"/>
      <w:jc w:val="right"/>
    </w:pPr>
    <w:r>
      <w:fldChar w:fldCharType="begin"/>
    </w:r>
    <w:r>
      <w:instrText>PAGE</w:instrText>
    </w:r>
    <w:r>
      <w:fldChar w:fldCharType="separate"/>
    </w:r>
    <w:r w:rsidR="000A01C3">
      <w:rPr>
        <w:noProof/>
      </w:rPr>
      <w:t>1</w:t>
    </w:r>
    <w:r>
      <w:fldChar w:fldCharType="end"/>
    </w:r>
  </w:p>
  <w:p w14:paraId="4ACEFDC1" w14:textId="77777777" w:rsidR="00F31937" w:rsidRDefault="00F31937" w:rsidP="00F31937">
    <w:pPr>
      <w:pStyle w:val="Footer"/>
      <w:rPr>
        <w:bCs/>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5907" w14:textId="77777777" w:rsidR="00F31937" w:rsidRPr="00B95CD1" w:rsidRDefault="00F31937" w:rsidP="00F31937">
    <w:pPr>
      <w:pStyle w:val="Footer"/>
      <w:jc w:val="center"/>
    </w:pPr>
    <w:r w:rsidRPr="00604005">
      <w:rPr>
        <w:lang w:val="fi-FI"/>
      </w:rPr>
      <w:br/>
    </w:r>
    <w:r w:rsidRPr="00604005">
      <w:rPr>
        <w:lang w:val="fi-FI"/>
      </w:rPr>
      <w:br/>
    </w:r>
    <w:r w:rsidRPr="00604005">
      <w:rPr>
        <w:lang w:val="fi-FI"/>
      </w:rPr>
      <w:br/>
      <w:t xml:space="preserve">Annankatu 18, P.O. Box 400, FI-00121 Helsinki, Finland | Tel. </w:t>
    </w:r>
    <w:r w:rsidRPr="00B95CD1">
      <w:t>+358 9 686180 | Fax +358 9 68618210 | echa.europa.eu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A224" w14:textId="77777777" w:rsidR="00F31937" w:rsidRDefault="00F319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649105"/>
      <w:docPartObj>
        <w:docPartGallery w:val="Page Numbers (Bottom of Page)"/>
        <w:docPartUnique/>
      </w:docPartObj>
    </w:sdtPr>
    <w:sdtEndPr>
      <w:rPr>
        <w:noProof/>
      </w:rPr>
    </w:sdtEndPr>
    <w:sdtContent>
      <w:p w14:paraId="61CFDE20" w14:textId="34D864FE" w:rsidR="00F31937" w:rsidRDefault="00F31937">
        <w:pPr>
          <w:pStyle w:val="Footer"/>
          <w:jc w:val="center"/>
        </w:pPr>
        <w:r>
          <w:fldChar w:fldCharType="begin"/>
        </w:r>
        <w:r>
          <w:instrText xml:space="preserve"> PAGE   \* MERGEFORMAT </w:instrText>
        </w:r>
        <w:r>
          <w:fldChar w:fldCharType="separate"/>
        </w:r>
        <w:r w:rsidR="00343069">
          <w:rPr>
            <w:noProof/>
          </w:rPr>
          <w:t>214</w:t>
        </w:r>
        <w:r>
          <w:rPr>
            <w:noProof/>
          </w:rPr>
          <w:fldChar w:fldCharType="end"/>
        </w:r>
      </w:p>
    </w:sdtContent>
  </w:sdt>
  <w:p w14:paraId="7E894ADC" w14:textId="77777777" w:rsidR="00F31937" w:rsidRDefault="00F3193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C48D" w14:textId="77777777" w:rsidR="00F31937" w:rsidRDefault="00F319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D2220" w14:textId="77777777" w:rsidR="00F31937" w:rsidRDefault="00F31937" w:rsidP="00D10CBA">
      <w:pPr>
        <w:spacing w:after="0" w:line="240" w:lineRule="auto"/>
      </w:pPr>
      <w:r>
        <w:separator/>
      </w:r>
    </w:p>
  </w:footnote>
  <w:footnote w:type="continuationSeparator" w:id="0">
    <w:p w14:paraId="4BE6961A" w14:textId="77777777" w:rsidR="00F31937" w:rsidRDefault="00F31937" w:rsidP="00D10CBA">
      <w:pPr>
        <w:spacing w:after="0" w:line="240" w:lineRule="auto"/>
      </w:pPr>
      <w:r>
        <w:continuationSeparator/>
      </w:r>
    </w:p>
  </w:footnote>
  <w:footnote w:id="1">
    <w:p w14:paraId="3580FDE3" w14:textId="77777777" w:rsidR="00F31937" w:rsidRPr="00A15479" w:rsidRDefault="00F31937" w:rsidP="000A7D9D">
      <w:pPr>
        <w:pStyle w:val="FootnoteText"/>
        <w:rPr>
          <w:sz w:val="18"/>
          <w:szCs w:val="18"/>
          <w:lang w:val="en-GB"/>
        </w:rPr>
      </w:pPr>
      <w:r w:rsidRPr="00F22F95">
        <w:rPr>
          <w:rStyle w:val="FootnoteReference"/>
          <w:sz w:val="18"/>
          <w:szCs w:val="18"/>
        </w:rPr>
        <w:footnoteRef/>
      </w:r>
      <w:r w:rsidRPr="00A15479">
        <w:rPr>
          <w:sz w:val="18"/>
          <w:szCs w:val="18"/>
          <w:lang w:val="en-GB"/>
        </w:rPr>
        <w:t xml:space="preserve"> Within the EU, two thirds of these sales are generated in four Member States: Germany (32.1%), France (13.5%), Italy (10.7%) and the Netherlands (8.9%) </w:t>
      </w:r>
      <w:sdt>
        <w:sdtPr>
          <w:rPr>
            <w:sz w:val="18"/>
            <w:szCs w:val="18"/>
          </w:rPr>
          <w:id w:val="-1156372347"/>
          <w:citation/>
        </w:sdtPr>
        <w:sdtEndPr/>
        <w:sdtContent>
          <w:r w:rsidRPr="00F22F95">
            <w:rPr>
              <w:sz w:val="18"/>
              <w:szCs w:val="18"/>
            </w:rPr>
            <w:fldChar w:fldCharType="begin"/>
          </w:r>
          <w:r w:rsidRPr="00F22F95">
            <w:rPr>
              <w:sz w:val="18"/>
              <w:szCs w:val="18"/>
              <w:lang w:val="en-IE"/>
            </w:rPr>
            <w:instrText xml:space="preserve"> CITATION CEFIC \l 6153 </w:instrText>
          </w:r>
          <w:r w:rsidRPr="00F22F95">
            <w:rPr>
              <w:sz w:val="18"/>
              <w:szCs w:val="18"/>
            </w:rPr>
            <w:fldChar w:fldCharType="separate"/>
          </w:r>
          <w:r w:rsidRPr="00F22F95">
            <w:rPr>
              <w:noProof/>
              <w:sz w:val="18"/>
              <w:szCs w:val="18"/>
              <w:lang w:val="en-IE"/>
            </w:rPr>
            <w:t>(CEFIC, 2022)</w:t>
          </w:r>
          <w:r w:rsidRPr="00F22F95">
            <w:rPr>
              <w:sz w:val="18"/>
              <w:szCs w:val="18"/>
            </w:rPr>
            <w:fldChar w:fldCharType="end"/>
          </w:r>
        </w:sdtContent>
      </w:sdt>
      <w:r w:rsidRPr="00A15479">
        <w:rPr>
          <w:sz w:val="18"/>
          <w:szCs w:val="18"/>
          <w:lang w:val="en-GB"/>
        </w:rPr>
        <w:t>. See Annex 18 for more information on the chemical sector in the EU.</w:t>
      </w:r>
    </w:p>
  </w:footnote>
  <w:footnote w:id="2">
    <w:p w14:paraId="3098B3AD" w14:textId="77777777" w:rsidR="00F31937" w:rsidRPr="008121A5" w:rsidRDefault="00F31937" w:rsidP="000A7D9D">
      <w:pPr>
        <w:pStyle w:val="FootnoteText"/>
        <w:rPr>
          <w:lang w:val="en-IE"/>
        </w:rPr>
      </w:pPr>
      <w:r>
        <w:rPr>
          <w:rStyle w:val="FootnoteReference"/>
        </w:rPr>
        <w:footnoteRef/>
      </w:r>
      <w:r w:rsidRPr="008121A5">
        <w:rPr>
          <w:lang w:val="en-GB"/>
        </w:rPr>
        <w:t xml:space="preserve"> </w:t>
      </w:r>
      <w:proofErr w:type="spellStart"/>
      <w:r w:rsidRPr="008121A5">
        <w:rPr>
          <w:lang w:val="en-GB"/>
        </w:rPr>
        <w:t>Rockström</w:t>
      </w:r>
      <w:proofErr w:type="spellEnd"/>
      <w:r w:rsidRPr="008121A5">
        <w:rPr>
          <w:lang w:val="en-GB"/>
        </w:rPr>
        <w:t xml:space="preserve">, J. et al., Planetary Boundaries: Exploring the Safe Operating Space for Humanity. </w:t>
      </w:r>
      <w:r w:rsidRPr="00E56350">
        <w:rPr>
          <w:lang w:val="en-GB"/>
        </w:rPr>
        <w:t>Ecology and Society, 2009</w:t>
      </w:r>
    </w:p>
  </w:footnote>
  <w:footnote w:id="3">
    <w:p w14:paraId="6D31AEE4" w14:textId="77777777" w:rsidR="00F31937" w:rsidRPr="001E7845" w:rsidRDefault="00F31937" w:rsidP="000A7D9D">
      <w:pPr>
        <w:pStyle w:val="FootnoteText"/>
        <w:rPr>
          <w:lang w:val="en-IE"/>
        </w:rPr>
      </w:pPr>
      <w:r>
        <w:rPr>
          <w:rStyle w:val="FootnoteReference"/>
        </w:rPr>
        <w:footnoteRef/>
      </w:r>
      <w:r w:rsidRPr="001E7845">
        <w:rPr>
          <w:lang w:val="en-IE"/>
        </w:rPr>
        <w:t xml:space="preserve"> </w:t>
      </w:r>
      <w:r w:rsidRPr="00B208EC">
        <w:rPr>
          <w:lang w:val="en-GB"/>
        </w:rPr>
        <w:t>Regulation (EU) 2022/2371 of the European Parliament and of the Council of 23 November 2022 on serious cross-border threats to health and repealing Decision No 1082/2013/EU (</w:t>
      </w:r>
      <w:hyperlink r:id="rId1" w:history="1">
        <w:r w:rsidRPr="00B208EC">
          <w:rPr>
            <w:rStyle w:val="Hyperlink"/>
            <w:lang w:val="en-GB"/>
          </w:rPr>
          <w:t>OJ L 314 6.12.2022, p. 26</w:t>
        </w:r>
      </w:hyperlink>
      <w:r w:rsidRPr="00B208EC">
        <w:rPr>
          <w:lang w:val="en-GB"/>
        </w:rPr>
        <w:t>).</w:t>
      </w:r>
    </w:p>
  </w:footnote>
  <w:footnote w:id="4">
    <w:p w14:paraId="260F3FC4" w14:textId="77777777" w:rsidR="00F31937" w:rsidRPr="001E7845" w:rsidRDefault="00F31937" w:rsidP="000A7D9D">
      <w:pPr>
        <w:pStyle w:val="FootnoteText"/>
        <w:rPr>
          <w:lang w:val="en-IE"/>
        </w:rPr>
      </w:pPr>
      <w:r>
        <w:rPr>
          <w:rStyle w:val="FootnoteReference"/>
        </w:rPr>
        <w:footnoteRef/>
      </w:r>
      <w:r w:rsidRPr="001E7845">
        <w:rPr>
          <w:lang w:val="en-IE"/>
        </w:rPr>
        <w:t xml:space="preserve"> Directive (EU) 2020/2184 of the European Parliament and of the Council of 16 December 2020 on the quality of water intended for human consumption (</w:t>
      </w:r>
      <w:hyperlink r:id="rId2" w:history="1">
        <w:r w:rsidRPr="001E7845">
          <w:rPr>
            <w:rStyle w:val="Hyperlink"/>
            <w:lang w:val="en-IE"/>
          </w:rPr>
          <w:t>OJ L 435 23.12.2020, p. 1</w:t>
        </w:r>
      </w:hyperlink>
      <w:r w:rsidRPr="001E7845">
        <w:rPr>
          <w:lang w:val="en-IE"/>
        </w:rPr>
        <w:t>).</w:t>
      </w:r>
    </w:p>
  </w:footnote>
  <w:footnote w:id="5">
    <w:p w14:paraId="320DFB13" w14:textId="77777777" w:rsidR="00F31937" w:rsidRPr="001E7845" w:rsidRDefault="00F31937" w:rsidP="000A7D9D">
      <w:pPr>
        <w:pStyle w:val="FootnoteText"/>
        <w:rPr>
          <w:lang w:val="en-IE"/>
        </w:rPr>
      </w:pPr>
      <w:r>
        <w:rPr>
          <w:rStyle w:val="FootnoteReference"/>
        </w:rPr>
        <w:footnoteRef/>
      </w:r>
      <w:r w:rsidRPr="001E7845">
        <w:rPr>
          <w:lang w:val="en-IE"/>
        </w:rPr>
        <w:t xml:space="preserve"> Commission Implementing Decision (EU) 2022/1979 of 31 August 2022 on establishing the form and databases for communicating the information referred to in Articles 18(1) and 21(3) of Directive 2012/18/EU of the European Parliament and of the Council on the control of major-accident hazards involving dangerous substances and repealing Commission Implementing Decision 2014/895/EU (</w:t>
      </w:r>
      <w:hyperlink r:id="rId3" w:history="1">
        <w:r w:rsidRPr="001E7845">
          <w:rPr>
            <w:rStyle w:val="Hyperlink"/>
            <w:lang w:val="en-IE"/>
          </w:rPr>
          <w:t>OJ L 272 20.10.2022, p. 14</w:t>
        </w:r>
      </w:hyperlink>
      <w:r w:rsidRPr="001E7845">
        <w:rPr>
          <w:lang w:val="en-IE"/>
        </w:rPr>
        <w:t>).</w:t>
      </w:r>
    </w:p>
  </w:footnote>
  <w:footnote w:id="6">
    <w:p w14:paraId="5D65DC92" w14:textId="77777777" w:rsidR="00F31937" w:rsidRPr="001E7845" w:rsidRDefault="00F31937" w:rsidP="000A7D9D">
      <w:pPr>
        <w:pStyle w:val="FootnoteText"/>
        <w:rPr>
          <w:lang w:val="en-IE"/>
        </w:rPr>
      </w:pPr>
      <w:r>
        <w:rPr>
          <w:rStyle w:val="FootnoteReference"/>
        </w:rPr>
        <w:footnoteRef/>
      </w:r>
      <w:r w:rsidRPr="001E7845">
        <w:rPr>
          <w:lang w:val="en-IE"/>
        </w:rPr>
        <w:t xml:space="preserve"> </w:t>
      </w:r>
      <w:r>
        <w:rPr>
          <w:lang w:val="en-IE"/>
        </w:rPr>
        <w:t>R</w:t>
      </w:r>
      <w:r w:rsidRPr="001E7845">
        <w:rPr>
          <w:lang w:val="en-IE"/>
        </w:rPr>
        <w:t xml:space="preserve">egulation </w:t>
      </w:r>
      <w:r>
        <w:rPr>
          <w:lang w:val="en-IE"/>
        </w:rPr>
        <w:t xml:space="preserve">(EU) 2023/1542 </w:t>
      </w:r>
      <w:r w:rsidRPr="001E7845">
        <w:rPr>
          <w:lang w:val="en-IE"/>
        </w:rPr>
        <w:t xml:space="preserve">of the European Parliament and of the Council </w:t>
      </w:r>
      <w:r>
        <w:rPr>
          <w:lang w:val="en-IE"/>
        </w:rPr>
        <w:t xml:space="preserve">of 12 July 2023 </w:t>
      </w:r>
      <w:r w:rsidRPr="001E7845">
        <w:rPr>
          <w:lang w:val="en-IE"/>
        </w:rPr>
        <w:t xml:space="preserve">concerning batteries and waste batteries, </w:t>
      </w:r>
      <w:r>
        <w:rPr>
          <w:lang w:val="en-IE"/>
        </w:rPr>
        <w:t xml:space="preserve">amending Directive 2008/98/EC and Regulation (EU) 2019/1020 and </w:t>
      </w:r>
      <w:r w:rsidRPr="001E7845">
        <w:rPr>
          <w:lang w:val="en-IE"/>
        </w:rPr>
        <w:t>repealing Directive 2006/66/EC</w:t>
      </w:r>
      <w:r>
        <w:rPr>
          <w:lang w:val="en-IE"/>
        </w:rPr>
        <w:t xml:space="preserve"> (</w:t>
      </w:r>
      <w:hyperlink r:id="rId4" w:history="1">
        <w:r w:rsidRPr="003B41A3">
          <w:rPr>
            <w:rStyle w:val="Hyperlink"/>
            <w:lang w:val="en-IE"/>
          </w:rPr>
          <w:t>OJ L 191, 28.7.2023, p.1</w:t>
        </w:r>
      </w:hyperlink>
      <w:r>
        <w:rPr>
          <w:lang w:val="en-IE"/>
        </w:rPr>
        <w:t>)</w:t>
      </w:r>
      <w:r w:rsidRPr="001E7845">
        <w:rPr>
          <w:lang w:val="en-IE"/>
        </w:rPr>
        <w:t>.</w:t>
      </w:r>
    </w:p>
  </w:footnote>
  <w:footnote w:id="7">
    <w:p w14:paraId="27CBB09F" w14:textId="77777777" w:rsidR="00F31937" w:rsidRPr="001E7845" w:rsidRDefault="00F31937" w:rsidP="000A7D9D">
      <w:pPr>
        <w:pStyle w:val="FootnoteText"/>
        <w:rPr>
          <w:lang w:val="en-IE"/>
        </w:rPr>
      </w:pPr>
      <w:r>
        <w:rPr>
          <w:rStyle w:val="FootnoteReference"/>
        </w:rPr>
        <w:footnoteRef/>
      </w:r>
      <w:r w:rsidRPr="001E7845">
        <w:rPr>
          <w:lang w:val="en-IE"/>
        </w:rPr>
        <w:t xml:space="preserve"> Proposal for a </w:t>
      </w:r>
      <w:r w:rsidRPr="006B368A">
        <w:rPr>
          <w:lang w:val="en-IE"/>
        </w:rPr>
        <w:t xml:space="preserve">Regulation </w:t>
      </w:r>
      <w:r w:rsidRPr="001E7845">
        <w:rPr>
          <w:lang w:val="en-IE"/>
        </w:rPr>
        <w:t>o</w:t>
      </w:r>
      <w:r w:rsidRPr="006B368A">
        <w:rPr>
          <w:lang w:val="en-IE"/>
        </w:rPr>
        <w:t xml:space="preserve">f </w:t>
      </w:r>
      <w:r w:rsidRPr="001E7845">
        <w:rPr>
          <w:lang w:val="en-IE"/>
        </w:rPr>
        <w:t>t</w:t>
      </w:r>
      <w:r w:rsidRPr="006B368A">
        <w:rPr>
          <w:lang w:val="en-IE"/>
        </w:rPr>
        <w:t xml:space="preserve">he European Parliament </w:t>
      </w:r>
      <w:r w:rsidRPr="001E7845">
        <w:rPr>
          <w:lang w:val="en-IE"/>
        </w:rPr>
        <w:t>a</w:t>
      </w:r>
      <w:r w:rsidRPr="006B368A">
        <w:rPr>
          <w:lang w:val="en-IE"/>
        </w:rPr>
        <w:t xml:space="preserve">nd </w:t>
      </w:r>
      <w:r w:rsidRPr="001E7845">
        <w:rPr>
          <w:lang w:val="en-IE"/>
        </w:rPr>
        <w:t>o</w:t>
      </w:r>
      <w:r w:rsidRPr="006B368A">
        <w:rPr>
          <w:lang w:val="en-IE"/>
        </w:rPr>
        <w:t xml:space="preserve">f </w:t>
      </w:r>
      <w:r w:rsidRPr="001E7845">
        <w:rPr>
          <w:lang w:val="en-IE"/>
        </w:rPr>
        <w:t>t</w:t>
      </w:r>
      <w:r w:rsidRPr="006B368A">
        <w:rPr>
          <w:lang w:val="en-IE"/>
        </w:rPr>
        <w:t xml:space="preserve">he Council </w:t>
      </w:r>
      <w:r w:rsidRPr="001E7845">
        <w:rPr>
          <w:lang w:val="en-IE"/>
        </w:rPr>
        <w:t>on reporting of environmental data from industrial installations and establishing an Industrial Emissions Portal (</w:t>
      </w:r>
      <w:hyperlink r:id="rId5" w:history="1">
        <w:r w:rsidRPr="003B41A3">
          <w:rPr>
            <w:rStyle w:val="Hyperlink"/>
            <w:lang w:val="en-IE"/>
          </w:rPr>
          <w:t>COM/2022/157 final</w:t>
        </w:r>
      </w:hyperlink>
      <w:r w:rsidRPr="001E7845">
        <w:rPr>
          <w:lang w:val="en-IE"/>
        </w:rPr>
        <w:t>).</w:t>
      </w:r>
    </w:p>
  </w:footnote>
  <w:footnote w:id="8">
    <w:p w14:paraId="4C438699" w14:textId="689789F8" w:rsidR="00F31937" w:rsidRPr="001E7845" w:rsidRDefault="00F31937" w:rsidP="000A7D9D">
      <w:pPr>
        <w:pStyle w:val="FootnoteText"/>
        <w:rPr>
          <w:lang w:val="en-IE"/>
        </w:rPr>
      </w:pPr>
      <w:r>
        <w:rPr>
          <w:rStyle w:val="FootnoteReference"/>
        </w:rPr>
        <w:footnoteRef/>
      </w:r>
      <w:r>
        <w:rPr>
          <w:lang w:val="en-IE"/>
        </w:rPr>
        <w:t xml:space="preserve"> Proposal for a Directive of the European Parliament and of the Council amending Directive 2010/75/EU of the European Parliament and of the Council of 24 November 2010 on industrial emissions (integrated pollution prevention and control) and Council Directive 1999/31/EC of 26 April 1999 on the landfill of waste (</w:t>
      </w:r>
      <w:hyperlink r:id="rId6" w:history="1">
        <w:r w:rsidRPr="003B41A3">
          <w:rPr>
            <w:rStyle w:val="Hyperlink"/>
            <w:lang w:val="en-IE"/>
          </w:rPr>
          <w:t>COM (2022) 156 final</w:t>
        </w:r>
      </w:hyperlink>
      <w:r>
        <w:rPr>
          <w:lang w:val="en-IE"/>
        </w:rPr>
        <w:t>)</w:t>
      </w:r>
      <w:r w:rsidRPr="001E7845">
        <w:rPr>
          <w:lang w:val="en-IE"/>
        </w:rPr>
        <w:t>.</w:t>
      </w:r>
    </w:p>
  </w:footnote>
  <w:footnote w:id="9">
    <w:p w14:paraId="558F7652" w14:textId="77777777" w:rsidR="00F31937" w:rsidRPr="001E7845" w:rsidRDefault="00F31937" w:rsidP="000A7D9D">
      <w:pPr>
        <w:pStyle w:val="FootnoteText"/>
        <w:rPr>
          <w:lang w:val="en-IE"/>
        </w:rPr>
      </w:pPr>
      <w:r>
        <w:rPr>
          <w:rStyle w:val="FootnoteReference"/>
        </w:rPr>
        <w:footnoteRef/>
      </w:r>
      <w:r w:rsidRPr="001E7845">
        <w:rPr>
          <w:lang w:val="en-IE"/>
        </w:rPr>
        <w:t xml:space="preserve"> Proposal for a </w:t>
      </w:r>
      <w:r w:rsidRPr="00346B6C">
        <w:rPr>
          <w:lang w:val="en-IE"/>
        </w:rPr>
        <w:t xml:space="preserve">Directive </w:t>
      </w:r>
      <w:r w:rsidRPr="001E7845">
        <w:rPr>
          <w:lang w:val="en-IE"/>
        </w:rPr>
        <w:t>o</w:t>
      </w:r>
      <w:r w:rsidRPr="00346B6C">
        <w:rPr>
          <w:lang w:val="en-IE"/>
        </w:rPr>
        <w:t xml:space="preserve">f </w:t>
      </w:r>
      <w:r w:rsidRPr="001E7845">
        <w:rPr>
          <w:lang w:val="en-IE"/>
        </w:rPr>
        <w:t>t</w:t>
      </w:r>
      <w:r w:rsidRPr="00346B6C">
        <w:rPr>
          <w:lang w:val="en-IE"/>
        </w:rPr>
        <w:t xml:space="preserve">he European Parliament </w:t>
      </w:r>
      <w:r w:rsidRPr="001E7845">
        <w:rPr>
          <w:lang w:val="en-IE"/>
        </w:rPr>
        <w:t>a</w:t>
      </w:r>
      <w:r w:rsidRPr="00346B6C">
        <w:rPr>
          <w:lang w:val="en-IE"/>
        </w:rPr>
        <w:t xml:space="preserve">nd </w:t>
      </w:r>
      <w:r w:rsidRPr="001E7845">
        <w:rPr>
          <w:lang w:val="en-IE"/>
        </w:rPr>
        <w:t>o</w:t>
      </w:r>
      <w:r w:rsidRPr="00346B6C">
        <w:rPr>
          <w:lang w:val="en-IE"/>
        </w:rPr>
        <w:t xml:space="preserve">f </w:t>
      </w:r>
      <w:r w:rsidRPr="001E7845">
        <w:rPr>
          <w:lang w:val="en-IE"/>
        </w:rPr>
        <w:t>t</w:t>
      </w:r>
      <w:r w:rsidRPr="00346B6C">
        <w:rPr>
          <w:lang w:val="en-IE"/>
        </w:rPr>
        <w:t xml:space="preserve">he Council </w:t>
      </w:r>
      <w:r w:rsidRPr="001E7845">
        <w:rPr>
          <w:lang w:val="en-IE"/>
        </w:rPr>
        <w:t>amending Directive 2000/60/EC establishing a framework for Community action in the field of water policy, Directive 2006/118/EC on the protection of groundwater against pollution and deterioration and Directive 2008/105/EC on environmental quality standards in the field of water policy (</w:t>
      </w:r>
      <w:hyperlink r:id="rId7" w:history="1">
        <w:r w:rsidRPr="001E7845">
          <w:rPr>
            <w:rStyle w:val="Hyperlink"/>
            <w:lang w:val="en-IE"/>
          </w:rPr>
          <w:t>COM(2022) 540 final</w:t>
        </w:r>
      </w:hyperlink>
      <w:r w:rsidRPr="001E7845">
        <w:rPr>
          <w:lang w:val="en-IE"/>
        </w:rPr>
        <w:t>).</w:t>
      </w:r>
    </w:p>
  </w:footnote>
  <w:footnote w:id="10">
    <w:p w14:paraId="7BBB005A" w14:textId="77777777" w:rsidR="00F31937" w:rsidRPr="00166494" w:rsidRDefault="00F31937" w:rsidP="000A7D9D">
      <w:pPr>
        <w:pStyle w:val="FootnoteText"/>
        <w:rPr>
          <w:lang w:val="en-GB"/>
        </w:rPr>
      </w:pPr>
      <w:r>
        <w:rPr>
          <w:rStyle w:val="FootnoteReference"/>
        </w:rPr>
        <w:footnoteRef/>
      </w:r>
      <w:r w:rsidRPr="00166494">
        <w:rPr>
          <w:lang w:val="en-GB"/>
        </w:rPr>
        <w:t xml:space="preserve"> </w:t>
      </w:r>
      <w:r>
        <w:rPr>
          <w:lang w:val="en-GB"/>
        </w:rPr>
        <w:t>Proposal for a Regulation of the European Parliament and of the Council amending Regulation (EC) No 1272/2008 of the European Parliament and of the Council on classification, labelling and packaging of substances and mixtures (</w:t>
      </w:r>
      <w:hyperlink r:id="rId8" w:history="1">
        <w:r w:rsidRPr="003B41A3">
          <w:rPr>
            <w:rStyle w:val="Hyperlink"/>
            <w:lang w:val="en-GB"/>
          </w:rPr>
          <w:t>COM (2022) 748 final</w:t>
        </w:r>
      </w:hyperlink>
      <w:r>
        <w:rPr>
          <w:lang w:val="en-GB"/>
        </w:rPr>
        <w:t>).</w:t>
      </w:r>
    </w:p>
  </w:footnote>
  <w:footnote w:id="11">
    <w:p w14:paraId="5009715C" w14:textId="77777777" w:rsidR="00F31937" w:rsidRPr="001E7845" w:rsidRDefault="00F31937" w:rsidP="000A7D9D">
      <w:pPr>
        <w:pStyle w:val="FootnoteText"/>
        <w:rPr>
          <w:lang w:val="en-IE"/>
        </w:rPr>
      </w:pPr>
      <w:r>
        <w:rPr>
          <w:rStyle w:val="FootnoteReference"/>
        </w:rPr>
        <w:footnoteRef/>
      </w:r>
      <w:r w:rsidRPr="001E7845">
        <w:rPr>
          <w:lang w:val="en-IE"/>
        </w:rPr>
        <w:t xml:space="preserve"> Proposal for a regulation of the European Parliament and of the Council on packaging and packaging waste, amending Regulation (EU) 2019/1020 and Directive (EU) 2019/904, and repealing Directive 94/62/EC (</w:t>
      </w:r>
      <w:hyperlink r:id="rId9" w:history="1">
        <w:r w:rsidRPr="00DD7F71">
          <w:rPr>
            <w:rStyle w:val="Hyperlink"/>
            <w:lang w:val="en-IE"/>
          </w:rPr>
          <w:t>COM(2022) 677 final</w:t>
        </w:r>
      </w:hyperlink>
      <w:r w:rsidRPr="001E7845">
        <w:rPr>
          <w:lang w:val="en-IE"/>
        </w:rPr>
        <w:t>).</w:t>
      </w:r>
    </w:p>
  </w:footnote>
  <w:footnote w:id="12">
    <w:p w14:paraId="154EA938" w14:textId="77777777" w:rsidR="00F31937" w:rsidRPr="009D2FD7" w:rsidRDefault="00F31937" w:rsidP="000A7D9D">
      <w:pPr>
        <w:pStyle w:val="FootnoteText"/>
        <w:rPr>
          <w:lang w:val="en-GB"/>
        </w:rPr>
      </w:pPr>
      <w:r>
        <w:rPr>
          <w:rStyle w:val="FootnoteReference"/>
        </w:rPr>
        <w:footnoteRef/>
      </w:r>
      <w:r w:rsidRPr="009D2FD7">
        <w:rPr>
          <w:lang w:val="en-GB"/>
        </w:rPr>
        <w:t xml:space="preserve"> </w:t>
      </w:r>
      <w:r>
        <w:rPr>
          <w:lang w:val="en-GB"/>
        </w:rPr>
        <w:t>Proposal for a Directive of the European Parliament and of the Council on the Union code relating to medicinal products for human use, and repealing Directive 2001/83/EC and Directive 2009/35/EC (</w:t>
      </w:r>
      <w:hyperlink r:id="rId10" w:history="1">
        <w:r w:rsidRPr="003B41A3">
          <w:rPr>
            <w:rStyle w:val="Hyperlink"/>
            <w:lang w:val="en-GB"/>
          </w:rPr>
          <w:t>COM (2023) 192 final</w:t>
        </w:r>
      </w:hyperlink>
      <w:r>
        <w:rPr>
          <w:lang w:val="en-GB"/>
        </w:rPr>
        <w:t>).</w:t>
      </w:r>
    </w:p>
  </w:footnote>
  <w:footnote w:id="13">
    <w:p w14:paraId="05BE982C" w14:textId="77777777" w:rsidR="00F31937" w:rsidRPr="009D2FD7" w:rsidRDefault="00F31937" w:rsidP="000A7D9D">
      <w:pPr>
        <w:pStyle w:val="FootnoteText"/>
        <w:rPr>
          <w:lang w:val="en-GB"/>
        </w:rPr>
      </w:pPr>
      <w:r>
        <w:rPr>
          <w:rStyle w:val="FootnoteReference"/>
        </w:rPr>
        <w:footnoteRef/>
      </w:r>
      <w:r w:rsidRPr="009D2FD7">
        <w:rPr>
          <w:lang w:val="en-GB"/>
        </w:rPr>
        <w:t xml:space="preserve"> </w:t>
      </w:r>
      <w:r>
        <w:rPr>
          <w:lang w:val="en-GB"/>
        </w:rPr>
        <w:t>Proposal for a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 (</w:t>
      </w:r>
      <w:hyperlink r:id="rId11" w:history="1">
        <w:r w:rsidRPr="003B41A3">
          <w:rPr>
            <w:rStyle w:val="Hyperlink"/>
            <w:lang w:val="en-GB"/>
          </w:rPr>
          <w:t>COM (2023) 193 final</w:t>
        </w:r>
      </w:hyperlink>
      <w:r>
        <w:rPr>
          <w:lang w:val="en-GB"/>
        </w:rPr>
        <w:t xml:space="preserve">). </w:t>
      </w:r>
    </w:p>
  </w:footnote>
  <w:footnote w:id="14">
    <w:p w14:paraId="7BE086C1" w14:textId="77777777" w:rsidR="00F31937" w:rsidRPr="00E24C9B" w:rsidRDefault="00F31937" w:rsidP="000A7D9D">
      <w:pPr>
        <w:pStyle w:val="FootnoteText"/>
        <w:rPr>
          <w:lang w:val="en-GB"/>
        </w:rPr>
      </w:pPr>
      <w:r>
        <w:rPr>
          <w:rStyle w:val="FootnoteReference"/>
        </w:rPr>
        <w:footnoteRef/>
      </w:r>
      <w:r w:rsidRPr="00E24C9B">
        <w:rPr>
          <w:lang w:val="en-GB"/>
        </w:rPr>
        <w:t xml:space="preserve"> </w:t>
      </w:r>
      <w:r>
        <w:rPr>
          <w:lang w:val="en-GB"/>
        </w:rPr>
        <w:t>Proposal for a Regulation of the European Parliament and of the Council on circularity requirements for vehicle design and on management of end-of-life vehicles, amending Regulation (EU) 2018/858 and 2019/1020 and repealing Directives 2000/53/EC and 2005/64/EC (</w:t>
      </w:r>
      <w:hyperlink r:id="rId12" w:history="1">
        <w:r w:rsidRPr="003B41A3">
          <w:rPr>
            <w:rStyle w:val="Hyperlink"/>
            <w:lang w:val="en-GB"/>
          </w:rPr>
          <w:t>COM (2023) 451 final</w:t>
        </w:r>
      </w:hyperlink>
      <w:r>
        <w:rPr>
          <w:lang w:val="en-GB"/>
        </w:rPr>
        <w:t xml:space="preserve">). </w:t>
      </w:r>
    </w:p>
  </w:footnote>
  <w:footnote w:id="15">
    <w:p w14:paraId="6F9E91D9" w14:textId="77777777" w:rsidR="00F31937" w:rsidRPr="001E7845" w:rsidRDefault="00F31937" w:rsidP="000A7D9D">
      <w:pPr>
        <w:pStyle w:val="FootnoteText"/>
        <w:rPr>
          <w:lang w:val="en-IE"/>
        </w:rPr>
      </w:pPr>
      <w:r>
        <w:rPr>
          <w:rStyle w:val="FootnoteReference"/>
        </w:rPr>
        <w:footnoteRef/>
      </w:r>
      <w:r w:rsidRPr="001E7845">
        <w:rPr>
          <w:lang w:val="en-IE"/>
        </w:rPr>
        <w:t xml:space="preserve"> </w:t>
      </w:r>
      <w:r w:rsidRPr="00910431">
        <w:rPr>
          <w:rFonts w:eastAsiaTheme="minorHAnsi"/>
          <w:lang w:val="en-IE"/>
        </w:rPr>
        <w:t>Proposal for a Regulation of the European Parliament and of the Council on the safety of toys and repealing Directive 2009/48/EC</w:t>
      </w:r>
      <w:r w:rsidRPr="001E7845">
        <w:rPr>
          <w:lang w:val="en-IE"/>
        </w:rPr>
        <w:t xml:space="preserve"> (</w:t>
      </w:r>
      <w:hyperlink r:id="rId13" w:history="1">
        <w:r w:rsidRPr="001E7845">
          <w:rPr>
            <w:rStyle w:val="Hyperlink"/>
            <w:lang w:val="en-IE"/>
          </w:rPr>
          <w:t>COM(2023) 462 final</w:t>
        </w:r>
      </w:hyperlink>
      <w:r w:rsidRPr="001E7845">
        <w:rPr>
          <w:lang w:val="en-IE"/>
        </w:rPr>
        <w:t>).</w:t>
      </w:r>
    </w:p>
  </w:footnote>
  <w:footnote w:id="16">
    <w:p w14:paraId="314E15DD" w14:textId="1DE9C390" w:rsidR="00F31937" w:rsidRPr="001312A4" w:rsidRDefault="00F31937" w:rsidP="000A7D9D">
      <w:pPr>
        <w:pStyle w:val="FootnoteText"/>
        <w:rPr>
          <w:lang w:val="en-GB"/>
        </w:rPr>
      </w:pPr>
      <w:r>
        <w:rPr>
          <w:rStyle w:val="FootnoteReference"/>
        </w:rPr>
        <w:footnoteRef/>
      </w:r>
      <w:r w:rsidRPr="001312A4">
        <w:rPr>
          <w:lang w:val="en-GB"/>
        </w:rPr>
        <w:t xml:space="preserve"> </w:t>
      </w:r>
      <w:r w:rsidRPr="00660A8B">
        <w:rPr>
          <w:rStyle w:val="Hyperlink"/>
          <w:u w:val="none"/>
          <w:lang w:val="en-GB"/>
        </w:rPr>
        <w:t>European Chemicals Agency – proposal for a basic regulation (</w:t>
      </w:r>
      <w:hyperlink r:id="rId14" w:history="1">
        <w:r w:rsidRPr="00924483">
          <w:rPr>
            <w:rStyle w:val="Hyperlink"/>
            <w:lang w:val="en-GB"/>
          </w:rPr>
          <w:t>europa.eu</w:t>
        </w:r>
      </w:hyperlink>
      <w:r>
        <w:rPr>
          <w:rStyle w:val="Hyperlink"/>
          <w:lang w:val="en-GB"/>
        </w:rPr>
        <w:t>)</w:t>
      </w:r>
    </w:p>
  </w:footnote>
  <w:footnote w:id="17">
    <w:p w14:paraId="1BA985A5" w14:textId="77777777" w:rsidR="00F31937" w:rsidRPr="001312A4" w:rsidRDefault="00F31937" w:rsidP="000A7D9D">
      <w:pPr>
        <w:pStyle w:val="FootnoteText"/>
        <w:rPr>
          <w:lang w:val="en-GB"/>
        </w:rPr>
      </w:pPr>
      <w:r>
        <w:rPr>
          <w:rStyle w:val="FootnoteReference"/>
        </w:rPr>
        <w:footnoteRef/>
      </w:r>
      <w:r w:rsidRPr="001312A4">
        <w:rPr>
          <w:lang w:val="en-GB"/>
        </w:rPr>
        <w:t xml:space="preserve"> </w:t>
      </w:r>
      <w:r w:rsidRPr="008F063C">
        <w:rPr>
          <w:lang w:val="en-GB"/>
        </w:rPr>
        <w:t>Chemicals legislation – revision of REACH Regulation to help achieve a toxic-free environment (</w:t>
      </w:r>
      <w:hyperlink r:id="rId15" w:history="1">
        <w:r w:rsidRPr="00924483">
          <w:rPr>
            <w:rStyle w:val="Hyperlink"/>
            <w:lang w:val="en-GB"/>
          </w:rPr>
          <w:t>europa.eu</w:t>
        </w:r>
      </w:hyperlink>
      <w:r w:rsidRPr="008F063C">
        <w:rPr>
          <w:lang w:val="en-GB"/>
        </w:rPr>
        <w:t>)</w:t>
      </w:r>
    </w:p>
  </w:footnote>
  <w:footnote w:id="18">
    <w:p w14:paraId="5178D3EC" w14:textId="77777777" w:rsidR="00F31937" w:rsidRPr="001312A4" w:rsidRDefault="00F31937" w:rsidP="000A7D9D">
      <w:pPr>
        <w:pStyle w:val="FootnoteText"/>
        <w:rPr>
          <w:lang w:val="en-GB"/>
        </w:rPr>
      </w:pPr>
      <w:r>
        <w:rPr>
          <w:rStyle w:val="FootnoteReference"/>
        </w:rPr>
        <w:footnoteRef/>
      </w:r>
      <w:r w:rsidRPr="001312A4">
        <w:rPr>
          <w:lang w:val="en-GB"/>
        </w:rPr>
        <w:t xml:space="preserve"> </w:t>
      </w:r>
      <w:r w:rsidRPr="008F063C">
        <w:rPr>
          <w:lang w:val="en-GB"/>
        </w:rPr>
        <w:t>EU chemicals strategy for sustainability – Cosmetic Products Regulation (revision) (</w:t>
      </w:r>
      <w:hyperlink r:id="rId16" w:history="1">
        <w:r w:rsidRPr="00924483">
          <w:rPr>
            <w:rStyle w:val="Hyperlink"/>
            <w:lang w:val="en-GB"/>
          </w:rPr>
          <w:t>europa.eu</w:t>
        </w:r>
      </w:hyperlink>
      <w:r w:rsidRPr="008F063C">
        <w:rPr>
          <w:lang w:val="en-GB"/>
        </w:rPr>
        <w:t>)</w:t>
      </w:r>
    </w:p>
  </w:footnote>
  <w:footnote w:id="19">
    <w:p w14:paraId="2366DB6E" w14:textId="77777777" w:rsidR="00F31937" w:rsidRPr="00D506B7" w:rsidRDefault="00F31937" w:rsidP="000A7D9D">
      <w:pPr>
        <w:pStyle w:val="FootnoteText"/>
        <w:rPr>
          <w:lang w:val="en-GB"/>
        </w:rPr>
      </w:pPr>
      <w:r>
        <w:rPr>
          <w:rStyle w:val="FootnoteReference"/>
        </w:rPr>
        <w:footnoteRef/>
      </w:r>
      <w:r w:rsidRPr="00D506B7">
        <w:rPr>
          <w:lang w:val="en-GB"/>
        </w:rPr>
        <w:t xml:space="preserve"> </w:t>
      </w:r>
      <w:r>
        <w:rPr>
          <w:lang w:val="en-GB"/>
        </w:rPr>
        <w:t>Regulation (EU) 2019/1021 of the European Parliament and of the Council of 20 June 2019 on persistent organic pollutants (</w:t>
      </w:r>
      <w:hyperlink r:id="rId17" w:history="1">
        <w:r w:rsidRPr="00D506B7">
          <w:rPr>
            <w:rStyle w:val="Hyperlink"/>
            <w:lang w:val="en-GB"/>
          </w:rPr>
          <w:t>OJ L 169 25.6.2019, p. 45</w:t>
        </w:r>
      </w:hyperlink>
      <w:r>
        <w:rPr>
          <w:lang w:val="en-GB"/>
        </w:rPr>
        <w:t>)</w:t>
      </w:r>
    </w:p>
  </w:footnote>
  <w:footnote w:id="20">
    <w:p w14:paraId="3BFCC482" w14:textId="77777777" w:rsidR="00F31937" w:rsidRPr="00D506B7" w:rsidRDefault="00F31937" w:rsidP="000A7D9D">
      <w:pPr>
        <w:pStyle w:val="FootnoteText"/>
        <w:rPr>
          <w:lang w:val="en-GB"/>
        </w:rPr>
      </w:pPr>
      <w:r>
        <w:rPr>
          <w:rStyle w:val="FootnoteReference"/>
        </w:rPr>
        <w:footnoteRef/>
      </w:r>
      <w:r w:rsidRPr="00D506B7">
        <w:rPr>
          <w:lang w:val="en-GB"/>
        </w:rPr>
        <w:t xml:space="preserve"> </w:t>
      </w:r>
      <w:r>
        <w:rPr>
          <w:lang w:val="en-GB"/>
        </w:rPr>
        <w:t>Regulation (EU) of the European Parliament and of the Council of 5 April 2017 on medical devices, amending Directive 2001/83/EC, Regulation (EC) No 178/2002 and Regulation (EC) No 1223/2009 and repealing Council Directives 90/385/EEC and 93/42/EEC (</w:t>
      </w:r>
      <w:hyperlink r:id="rId18" w:history="1">
        <w:r w:rsidRPr="00D506B7">
          <w:rPr>
            <w:rStyle w:val="Hyperlink"/>
            <w:lang w:val="en-GB"/>
          </w:rPr>
          <w:t>OJ L 117 5.5.2017, p.1</w:t>
        </w:r>
      </w:hyperlink>
      <w:r>
        <w:rPr>
          <w:lang w:val="en-GB"/>
        </w:rPr>
        <w:t>)</w:t>
      </w:r>
    </w:p>
  </w:footnote>
  <w:footnote w:id="21">
    <w:p w14:paraId="6B0B75E2" w14:textId="77777777" w:rsidR="00F31937" w:rsidRPr="00DD7F71" w:rsidRDefault="00F31937" w:rsidP="000A7D9D">
      <w:pPr>
        <w:pStyle w:val="FootnoteText"/>
        <w:rPr>
          <w:lang w:val="en-GB"/>
        </w:rPr>
      </w:pPr>
      <w:r>
        <w:rPr>
          <w:rStyle w:val="FootnoteReference"/>
        </w:rPr>
        <w:footnoteRef/>
      </w:r>
      <w:r w:rsidRPr="00DD7F71">
        <w:rPr>
          <w:lang w:val="en-GB"/>
        </w:rPr>
        <w:t xml:space="preserve"> </w:t>
      </w:r>
      <w:r>
        <w:rPr>
          <w:lang w:val="en-GB"/>
        </w:rPr>
        <w:t>Regulation (EC) No 401/2009 of the European Parliament and of the Council of 23 April 2009 on the European Environment Agency and the European Information and Observation Network (</w:t>
      </w:r>
      <w:hyperlink r:id="rId19" w:history="1">
        <w:r w:rsidRPr="00DD7F71">
          <w:rPr>
            <w:rStyle w:val="Hyperlink"/>
            <w:lang w:val="en-GB"/>
          </w:rPr>
          <w:t>OJ L 126 21.5.2009, p.13</w:t>
        </w:r>
      </w:hyperlink>
      <w:r>
        <w:rPr>
          <w:lang w:val="en-GB"/>
        </w:rPr>
        <w:t>)</w:t>
      </w:r>
    </w:p>
  </w:footnote>
  <w:footnote w:id="22">
    <w:p w14:paraId="31B643F5" w14:textId="77777777" w:rsidR="00F31937" w:rsidRPr="0090530E" w:rsidRDefault="00F31937" w:rsidP="000A7D9D">
      <w:pPr>
        <w:pStyle w:val="FootnoteText"/>
        <w:rPr>
          <w:lang w:val="en-GB"/>
        </w:rPr>
      </w:pPr>
      <w:r>
        <w:rPr>
          <w:rStyle w:val="FootnoteReference"/>
        </w:rPr>
        <w:footnoteRef/>
      </w:r>
      <w:r w:rsidRPr="0090530E">
        <w:rPr>
          <w:lang w:val="en-GB"/>
        </w:rPr>
        <w:t xml:space="preserve"> </w:t>
      </w:r>
      <w:r>
        <w:rPr>
          <w:lang w:val="en-GB"/>
        </w:rPr>
        <w:t>Regulation (EC) No 178/2002 of the European Parliament and of the Council of 28 January 2002 laying down the general principles and requirements of food law, establishing the European Food Safety Authority and laying down procedures in matters of food safety (</w:t>
      </w:r>
      <w:hyperlink r:id="rId20" w:history="1">
        <w:r w:rsidRPr="0090530E">
          <w:rPr>
            <w:rStyle w:val="Hyperlink"/>
            <w:lang w:val="en-GB"/>
          </w:rPr>
          <w:t>OJ L 031 1.2.2002, p.1</w:t>
        </w:r>
      </w:hyperlink>
      <w:r>
        <w:rPr>
          <w:lang w:val="en-GB"/>
        </w:rPr>
        <w:t>)</w:t>
      </w:r>
    </w:p>
  </w:footnote>
  <w:footnote w:id="23">
    <w:p w14:paraId="3859D45D" w14:textId="77777777" w:rsidR="00F31937" w:rsidRPr="0090530E" w:rsidRDefault="00F31937" w:rsidP="000A7D9D">
      <w:pPr>
        <w:pStyle w:val="FootnoteText"/>
        <w:rPr>
          <w:lang w:val="en-GB"/>
        </w:rPr>
      </w:pPr>
      <w:r>
        <w:rPr>
          <w:rStyle w:val="FootnoteReference"/>
        </w:rPr>
        <w:footnoteRef/>
      </w:r>
      <w:r w:rsidRPr="0090530E">
        <w:rPr>
          <w:lang w:val="en-GB"/>
        </w:rPr>
        <w:t xml:space="preserve"> </w:t>
      </w:r>
      <w:r>
        <w:rPr>
          <w:lang w:val="en-GB"/>
        </w:rPr>
        <w:t>Directive 2011/65/EU of the European Parliament and of the Council of 8 June 2011 on the restriction of the use of certain hazardous substances in electrical and electronic equipment (</w:t>
      </w:r>
      <w:hyperlink r:id="rId21" w:history="1">
        <w:r w:rsidRPr="0090530E">
          <w:rPr>
            <w:rStyle w:val="Hyperlink"/>
            <w:lang w:val="en-GB"/>
          </w:rPr>
          <w:t>OJ L 174 1.7.2011, p.88</w:t>
        </w:r>
      </w:hyperlink>
      <w:r>
        <w:rPr>
          <w:lang w:val="en-GB"/>
        </w:rPr>
        <w:t>)</w:t>
      </w:r>
    </w:p>
  </w:footnote>
  <w:footnote w:id="24">
    <w:p w14:paraId="6934BCC3" w14:textId="77777777" w:rsidR="00F31937" w:rsidRPr="001E7845" w:rsidRDefault="00F31937" w:rsidP="000A7D9D">
      <w:pPr>
        <w:pStyle w:val="FootnoteText"/>
        <w:rPr>
          <w:lang w:val="en-IE"/>
        </w:rPr>
      </w:pPr>
      <w:r>
        <w:rPr>
          <w:rStyle w:val="FootnoteReference"/>
        </w:rPr>
        <w:footnoteRef/>
      </w:r>
      <w:r w:rsidRPr="001E7845">
        <w:rPr>
          <w:lang w:val="en-IE"/>
        </w:rPr>
        <w:t xml:space="preserve"> Directive (EU) 2020/2184 of the European Parliament and of the Council of 16 December 2020 on the quality of water intended for human consumption (</w:t>
      </w:r>
      <w:hyperlink r:id="rId22" w:history="1">
        <w:r w:rsidRPr="001E7845">
          <w:rPr>
            <w:rStyle w:val="Hyperlink"/>
            <w:lang w:val="en-IE"/>
          </w:rPr>
          <w:t>OJ L 435 23.12.2020, p. 1</w:t>
        </w:r>
      </w:hyperlink>
      <w:r w:rsidRPr="001E7845">
        <w:rPr>
          <w:lang w:val="en-IE"/>
        </w:rPr>
        <w:t>).</w:t>
      </w:r>
    </w:p>
  </w:footnote>
  <w:footnote w:id="25">
    <w:p w14:paraId="273A81E6" w14:textId="77777777" w:rsidR="00F31937" w:rsidRPr="001E7845" w:rsidRDefault="00F31937" w:rsidP="000A7D9D">
      <w:pPr>
        <w:pStyle w:val="FootnoteText"/>
        <w:rPr>
          <w:lang w:val="en-IE"/>
        </w:rPr>
      </w:pPr>
      <w:r>
        <w:rPr>
          <w:rStyle w:val="FootnoteReference"/>
        </w:rPr>
        <w:footnoteRef/>
      </w:r>
      <w:r w:rsidRPr="001E7845">
        <w:rPr>
          <w:lang w:val="en-IE"/>
        </w:rPr>
        <w:t xml:space="preserve"> </w:t>
      </w:r>
      <w:r w:rsidRPr="00B208EC">
        <w:rPr>
          <w:lang w:val="en-GB"/>
        </w:rPr>
        <w:t>Regulation (EU) 2022/2371 of the European Parliament and of the Council of 23 November 2022 on serious cross-border threats to health and repealing Decision No 1082/2013/EU (</w:t>
      </w:r>
      <w:hyperlink r:id="rId23" w:history="1">
        <w:r w:rsidRPr="00B208EC">
          <w:rPr>
            <w:rStyle w:val="Hyperlink"/>
            <w:lang w:val="en-GB"/>
          </w:rPr>
          <w:t>OJ L 314 6.12.2022, p. 26</w:t>
        </w:r>
      </w:hyperlink>
      <w:r w:rsidRPr="00B208EC">
        <w:rPr>
          <w:lang w:val="en-GB"/>
        </w:rPr>
        <w:t>).</w:t>
      </w:r>
    </w:p>
  </w:footnote>
  <w:footnote w:id="26">
    <w:p w14:paraId="0A960E1A" w14:textId="77777777" w:rsidR="00F31937" w:rsidRPr="00A8560D" w:rsidRDefault="00F31937" w:rsidP="000A7D9D">
      <w:pPr>
        <w:pStyle w:val="FootnoteText"/>
        <w:rPr>
          <w:lang w:val="en-GB"/>
        </w:rPr>
      </w:pPr>
      <w:r>
        <w:rPr>
          <w:rStyle w:val="FootnoteReference"/>
        </w:rPr>
        <w:footnoteRef/>
      </w:r>
      <w:r w:rsidRPr="00A8560D">
        <w:rPr>
          <w:lang w:val="en-GB"/>
        </w:rPr>
        <w:t xml:space="preserve"> </w:t>
      </w:r>
      <w:hyperlink r:id="rId24" w:history="1">
        <w:r w:rsidRPr="00E37CD1">
          <w:rPr>
            <w:rStyle w:val="Hyperlink"/>
            <w:lang w:val="en-GB"/>
          </w:rPr>
          <w:t>https://www.eu-parc.eu</w:t>
        </w:r>
      </w:hyperlink>
      <w:r>
        <w:rPr>
          <w:lang w:val="en-GB"/>
        </w:rPr>
        <w:t xml:space="preserve"> </w:t>
      </w:r>
    </w:p>
  </w:footnote>
  <w:footnote w:id="27">
    <w:p w14:paraId="39A7C21A" w14:textId="77777777" w:rsidR="00F31937" w:rsidRPr="001E7845" w:rsidRDefault="00F31937" w:rsidP="000A7D9D">
      <w:pPr>
        <w:pStyle w:val="FootnoteText"/>
        <w:rPr>
          <w:lang w:val="en-IE"/>
        </w:rPr>
      </w:pPr>
      <w:r>
        <w:rPr>
          <w:rStyle w:val="FootnoteReference"/>
        </w:rPr>
        <w:footnoteRef/>
      </w:r>
      <w:r w:rsidRPr="001E7845">
        <w:rPr>
          <w:lang w:val="en-IE"/>
        </w:rPr>
        <w:t xml:space="preserve"> Commission Implementing Decision (EU) 2022/1979 of 31 August 2022 on establishing the form and databases for communicating the information referred to in Articles 18(1) and 21(3) of Directive 2012/18/EU of the European Parliament and of the Council on the control of major-accident hazards involving dangerous substances and repealing Commission Implementing Decision 2014/895/EU (</w:t>
      </w:r>
      <w:hyperlink r:id="rId25" w:history="1">
        <w:r w:rsidRPr="001E7845">
          <w:rPr>
            <w:rStyle w:val="Hyperlink"/>
            <w:lang w:val="en-IE"/>
          </w:rPr>
          <w:t>OJ L 272 20.10.2022, p. 14</w:t>
        </w:r>
      </w:hyperlink>
      <w:r w:rsidRPr="001E7845">
        <w:rPr>
          <w:lang w:val="en-IE"/>
        </w:rPr>
        <w:t>).</w:t>
      </w:r>
    </w:p>
  </w:footnote>
  <w:footnote w:id="28">
    <w:p w14:paraId="73CE444C" w14:textId="77777777" w:rsidR="00F31937" w:rsidRPr="001E7845" w:rsidRDefault="00F31937" w:rsidP="000A7D9D">
      <w:pPr>
        <w:pStyle w:val="FootnoteText"/>
        <w:rPr>
          <w:lang w:val="en-IE"/>
        </w:rPr>
      </w:pPr>
      <w:r>
        <w:rPr>
          <w:rStyle w:val="FootnoteReference"/>
        </w:rPr>
        <w:footnoteRef/>
      </w:r>
      <w:r w:rsidRPr="001E7845">
        <w:rPr>
          <w:lang w:val="en-IE"/>
        </w:rPr>
        <w:t xml:space="preserve"> </w:t>
      </w:r>
      <w:r>
        <w:rPr>
          <w:lang w:val="en-IE"/>
        </w:rPr>
        <w:t>R</w:t>
      </w:r>
      <w:r w:rsidRPr="001E7845">
        <w:rPr>
          <w:lang w:val="en-IE"/>
        </w:rPr>
        <w:t xml:space="preserve">egulation </w:t>
      </w:r>
      <w:r>
        <w:rPr>
          <w:lang w:val="en-IE"/>
        </w:rPr>
        <w:t xml:space="preserve">(EU) 2023/1542 </w:t>
      </w:r>
      <w:r w:rsidRPr="001E7845">
        <w:rPr>
          <w:lang w:val="en-IE"/>
        </w:rPr>
        <w:t xml:space="preserve">of the European Parliament and of the Council </w:t>
      </w:r>
      <w:r>
        <w:rPr>
          <w:lang w:val="en-IE"/>
        </w:rPr>
        <w:t xml:space="preserve">of 12 July 2023 </w:t>
      </w:r>
      <w:r w:rsidRPr="001E7845">
        <w:rPr>
          <w:lang w:val="en-IE"/>
        </w:rPr>
        <w:t xml:space="preserve">concerning batteries and waste batteries, </w:t>
      </w:r>
      <w:r>
        <w:rPr>
          <w:lang w:val="en-IE"/>
        </w:rPr>
        <w:t xml:space="preserve">amending Directive 2008/98/EC and Regulation (EU) 2019/1020 and </w:t>
      </w:r>
      <w:r w:rsidRPr="001E7845">
        <w:rPr>
          <w:lang w:val="en-IE"/>
        </w:rPr>
        <w:t>repealing Directive 2006/66/EC</w:t>
      </w:r>
      <w:r>
        <w:rPr>
          <w:lang w:val="en-IE"/>
        </w:rPr>
        <w:t xml:space="preserve"> (</w:t>
      </w:r>
      <w:hyperlink r:id="rId26" w:history="1">
        <w:r w:rsidRPr="00A8560D">
          <w:rPr>
            <w:rStyle w:val="Hyperlink"/>
            <w:lang w:val="en-IE"/>
          </w:rPr>
          <w:t>OJ L 191, 28.7.2023, p.1</w:t>
        </w:r>
      </w:hyperlink>
      <w:r>
        <w:rPr>
          <w:lang w:val="en-IE"/>
        </w:rPr>
        <w:t>)</w:t>
      </w:r>
      <w:r w:rsidRPr="001E7845">
        <w:rPr>
          <w:lang w:val="en-IE"/>
        </w:rPr>
        <w:t>.</w:t>
      </w:r>
    </w:p>
  </w:footnote>
  <w:footnote w:id="29">
    <w:p w14:paraId="4B1F042E" w14:textId="77777777" w:rsidR="00F31937" w:rsidRPr="001E7845" w:rsidRDefault="00F31937" w:rsidP="000A7D9D">
      <w:pPr>
        <w:pStyle w:val="FootnoteText"/>
        <w:rPr>
          <w:lang w:val="en-IE"/>
        </w:rPr>
      </w:pPr>
      <w:r>
        <w:rPr>
          <w:rStyle w:val="FootnoteReference"/>
        </w:rPr>
        <w:footnoteRef/>
      </w:r>
      <w:r w:rsidRPr="001E7845">
        <w:rPr>
          <w:lang w:val="en-IE"/>
        </w:rPr>
        <w:t xml:space="preserve"> Proposal for a </w:t>
      </w:r>
      <w:r w:rsidRPr="006B368A">
        <w:rPr>
          <w:lang w:val="en-IE"/>
        </w:rPr>
        <w:t xml:space="preserve">Regulation </w:t>
      </w:r>
      <w:r w:rsidRPr="001E7845">
        <w:rPr>
          <w:lang w:val="en-IE"/>
        </w:rPr>
        <w:t>o</w:t>
      </w:r>
      <w:r w:rsidRPr="006B368A">
        <w:rPr>
          <w:lang w:val="en-IE"/>
        </w:rPr>
        <w:t xml:space="preserve">f </w:t>
      </w:r>
      <w:r w:rsidRPr="001E7845">
        <w:rPr>
          <w:lang w:val="en-IE"/>
        </w:rPr>
        <w:t>t</w:t>
      </w:r>
      <w:r w:rsidRPr="006B368A">
        <w:rPr>
          <w:lang w:val="en-IE"/>
        </w:rPr>
        <w:t xml:space="preserve">he European Parliament </w:t>
      </w:r>
      <w:r w:rsidRPr="001E7845">
        <w:rPr>
          <w:lang w:val="en-IE"/>
        </w:rPr>
        <w:t>a</w:t>
      </w:r>
      <w:r w:rsidRPr="006B368A">
        <w:rPr>
          <w:lang w:val="en-IE"/>
        </w:rPr>
        <w:t xml:space="preserve">nd </w:t>
      </w:r>
      <w:r w:rsidRPr="001E7845">
        <w:rPr>
          <w:lang w:val="en-IE"/>
        </w:rPr>
        <w:t>o</w:t>
      </w:r>
      <w:r w:rsidRPr="006B368A">
        <w:rPr>
          <w:lang w:val="en-IE"/>
        </w:rPr>
        <w:t xml:space="preserve">f </w:t>
      </w:r>
      <w:r w:rsidRPr="001E7845">
        <w:rPr>
          <w:lang w:val="en-IE"/>
        </w:rPr>
        <w:t>t</w:t>
      </w:r>
      <w:r w:rsidRPr="006B368A">
        <w:rPr>
          <w:lang w:val="en-IE"/>
        </w:rPr>
        <w:t xml:space="preserve">he Council </w:t>
      </w:r>
      <w:r w:rsidRPr="001E7845">
        <w:rPr>
          <w:lang w:val="en-IE"/>
        </w:rPr>
        <w:t>on reporting of environmental data from industrial installations and establishing an Industrial Emissions Portal (</w:t>
      </w:r>
      <w:hyperlink r:id="rId27" w:history="1">
        <w:r w:rsidRPr="00A8560D">
          <w:rPr>
            <w:rStyle w:val="Hyperlink"/>
            <w:lang w:val="en-IE"/>
          </w:rPr>
          <w:t>COM/2022/157 final</w:t>
        </w:r>
      </w:hyperlink>
      <w:r w:rsidRPr="001E7845">
        <w:rPr>
          <w:lang w:val="en-IE"/>
        </w:rPr>
        <w:t>).</w:t>
      </w:r>
    </w:p>
  </w:footnote>
  <w:footnote w:id="30">
    <w:p w14:paraId="7FF03A30" w14:textId="77777777" w:rsidR="00F31937" w:rsidRPr="00482E4B" w:rsidRDefault="00F31937" w:rsidP="000A7D9D">
      <w:pPr>
        <w:pStyle w:val="FootnoteText"/>
        <w:rPr>
          <w:lang w:val="en-GB"/>
        </w:rPr>
      </w:pPr>
      <w:r>
        <w:rPr>
          <w:rStyle w:val="FootnoteReference"/>
        </w:rPr>
        <w:footnoteRef/>
      </w:r>
      <w:r w:rsidRPr="00482E4B">
        <w:rPr>
          <w:lang w:val="en-GB"/>
        </w:rPr>
        <w:t xml:space="preserve"> </w:t>
      </w:r>
      <w:r>
        <w:rPr>
          <w:lang w:val="en-IE"/>
        </w:rPr>
        <w:t>Proposal for a Directive of the European Parliament and of the Council amending Directive 2010/75/EU of the European Parliament and of the Council of 24 November 2010 on industrial emissions (integrated pollution prevention and control) and Council Directive 1999/31/EC of 26 April 1999 on the landfill of waste (</w:t>
      </w:r>
      <w:hyperlink r:id="rId28" w:history="1">
        <w:r w:rsidRPr="00A8560D">
          <w:rPr>
            <w:rStyle w:val="Hyperlink"/>
            <w:lang w:val="en-IE"/>
          </w:rPr>
          <w:t>COM (2022) 156 final</w:t>
        </w:r>
      </w:hyperlink>
      <w:r>
        <w:rPr>
          <w:lang w:val="en-IE"/>
        </w:rPr>
        <w:t>).</w:t>
      </w:r>
    </w:p>
  </w:footnote>
  <w:footnote w:id="31">
    <w:p w14:paraId="3DF54FB4" w14:textId="77777777" w:rsidR="00F31937" w:rsidRPr="00C91411" w:rsidRDefault="00F31937" w:rsidP="000A7D9D">
      <w:pPr>
        <w:pStyle w:val="FootnoteText"/>
        <w:rPr>
          <w:lang w:val="en-GB"/>
        </w:rPr>
      </w:pPr>
      <w:r>
        <w:rPr>
          <w:rStyle w:val="FootnoteReference"/>
        </w:rPr>
        <w:footnoteRef/>
      </w:r>
      <w:r w:rsidRPr="00C91411">
        <w:rPr>
          <w:lang w:val="en-GB"/>
        </w:rPr>
        <w:t xml:space="preserve"> </w:t>
      </w:r>
      <w:r w:rsidRPr="001E7845">
        <w:rPr>
          <w:lang w:val="en-IE"/>
        </w:rPr>
        <w:t xml:space="preserve">Proposal for a </w:t>
      </w:r>
      <w:r w:rsidRPr="00346B6C">
        <w:rPr>
          <w:lang w:val="en-IE"/>
        </w:rPr>
        <w:t xml:space="preserve">Directive </w:t>
      </w:r>
      <w:r w:rsidRPr="001E7845">
        <w:rPr>
          <w:lang w:val="en-IE"/>
        </w:rPr>
        <w:t>o</w:t>
      </w:r>
      <w:r w:rsidRPr="00346B6C">
        <w:rPr>
          <w:lang w:val="en-IE"/>
        </w:rPr>
        <w:t xml:space="preserve">f </w:t>
      </w:r>
      <w:r w:rsidRPr="001E7845">
        <w:rPr>
          <w:lang w:val="en-IE"/>
        </w:rPr>
        <w:t>t</w:t>
      </w:r>
      <w:r w:rsidRPr="00346B6C">
        <w:rPr>
          <w:lang w:val="en-IE"/>
        </w:rPr>
        <w:t xml:space="preserve">he European Parliament </w:t>
      </w:r>
      <w:r w:rsidRPr="001E7845">
        <w:rPr>
          <w:lang w:val="en-IE"/>
        </w:rPr>
        <w:t>a</w:t>
      </w:r>
      <w:r w:rsidRPr="00346B6C">
        <w:rPr>
          <w:lang w:val="en-IE"/>
        </w:rPr>
        <w:t xml:space="preserve">nd </w:t>
      </w:r>
      <w:r w:rsidRPr="001E7845">
        <w:rPr>
          <w:lang w:val="en-IE"/>
        </w:rPr>
        <w:t>o</w:t>
      </w:r>
      <w:r w:rsidRPr="00346B6C">
        <w:rPr>
          <w:lang w:val="en-IE"/>
        </w:rPr>
        <w:t xml:space="preserve">f </w:t>
      </w:r>
      <w:r w:rsidRPr="001E7845">
        <w:rPr>
          <w:lang w:val="en-IE"/>
        </w:rPr>
        <w:t>t</w:t>
      </w:r>
      <w:r w:rsidRPr="00346B6C">
        <w:rPr>
          <w:lang w:val="en-IE"/>
        </w:rPr>
        <w:t xml:space="preserve">he Council </w:t>
      </w:r>
      <w:r w:rsidRPr="001E7845">
        <w:rPr>
          <w:lang w:val="en-IE"/>
        </w:rPr>
        <w:t>amending Directive 2000/60/EC establishing a framework for Community action in the field of water policy, Directive 2006/118/EC on the protection of groundwater against pollution and deterioration and Directive 2008/105/EC on environmental quality standards in the field of water policy (</w:t>
      </w:r>
      <w:hyperlink r:id="rId29" w:history="1">
        <w:r w:rsidRPr="001E7845">
          <w:rPr>
            <w:rStyle w:val="Hyperlink"/>
            <w:lang w:val="en-IE"/>
          </w:rPr>
          <w:t>COM(2022) 540 final</w:t>
        </w:r>
      </w:hyperlink>
      <w:r w:rsidRPr="001E7845">
        <w:rPr>
          <w:lang w:val="en-IE"/>
        </w:rPr>
        <w:t>)</w:t>
      </w:r>
    </w:p>
  </w:footnote>
  <w:footnote w:id="32">
    <w:p w14:paraId="06FF876F" w14:textId="77777777" w:rsidR="00F31937" w:rsidRPr="00F17242" w:rsidRDefault="00F31937" w:rsidP="000A7D9D">
      <w:pPr>
        <w:pStyle w:val="FootnoteText"/>
        <w:rPr>
          <w:lang w:val="en-GB"/>
        </w:rPr>
      </w:pPr>
      <w:r>
        <w:rPr>
          <w:rStyle w:val="FootnoteReference"/>
        </w:rPr>
        <w:footnoteRef/>
      </w:r>
      <w:r w:rsidRPr="00F17242">
        <w:rPr>
          <w:lang w:val="en-GB"/>
        </w:rPr>
        <w:t xml:space="preserve"> </w:t>
      </w:r>
      <w:r>
        <w:rPr>
          <w:lang w:val="en-GB"/>
        </w:rPr>
        <w:t>Proposal for a Regulation of the European Parliament and of the Council amending Regulation (EC) No 1272/2008 of the European Parliament and of the Council on classification, labelling and packaging of substances and mixtures (</w:t>
      </w:r>
      <w:hyperlink r:id="rId30" w:history="1">
        <w:r w:rsidRPr="00A8560D">
          <w:rPr>
            <w:rStyle w:val="Hyperlink"/>
            <w:lang w:val="en-GB"/>
          </w:rPr>
          <w:t>COM (2022) 748 final</w:t>
        </w:r>
      </w:hyperlink>
      <w:r>
        <w:rPr>
          <w:lang w:val="en-GB"/>
        </w:rPr>
        <w:t>).</w:t>
      </w:r>
    </w:p>
  </w:footnote>
  <w:footnote w:id="33">
    <w:p w14:paraId="13FB550A" w14:textId="77777777" w:rsidR="00F31937" w:rsidRPr="001E7845" w:rsidRDefault="00F31937" w:rsidP="000A7D9D">
      <w:pPr>
        <w:pStyle w:val="FootnoteText"/>
        <w:rPr>
          <w:lang w:val="en-IE"/>
        </w:rPr>
      </w:pPr>
      <w:r>
        <w:rPr>
          <w:rStyle w:val="FootnoteReference"/>
        </w:rPr>
        <w:footnoteRef/>
      </w:r>
      <w:r w:rsidRPr="001E7845">
        <w:rPr>
          <w:lang w:val="en-IE"/>
        </w:rPr>
        <w:t xml:space="preserve"> Proposal for a regulation of the European Parliament and of the Council on packaging and packaging waste, amending Regulation (EU) 2019/1020 and Directive (EU) 2019/904, and repealing Directive 94/62/EC (</w:t>
      </w:r>
      <w:hyperlink r:id="rId31" w:history="1">
        <w:r w:rsidRPr="001E7845">
          <w:rPr>
            <w:rStyle w:val="Hyperlink"/>
            <w:lang w:val="en-IE"/>
          </w:rPr>
          <w:t>COM(2022) 677 final</w:t>
        </w:r>
      </w:hyperlink>
      <w:r w:rsidRPr="001E7845">
        <w:rPr>
          <w:lang w:val="en-IE"/>
        </w:rPr>
        <w:t>).</w:t>
      </w:r>
    </w:p>
  </w:footnote>
  <w:footnote w:id="34">
    <w:p w14:paraId="2BFA1E73" w14:textId="77777777" w:rsidR="00F31937" w:rsidRPr="009D2FD7" w:rsidRDefault="00F31937" w:rsidP="000A7D9D">
      <w:pPr>
        <w:pStyle w:val="FootnoteText"/>
        <w:rPr>
          <w:lang w:val="en-GB"/>
        </w:rPr>
      </w:pPr>
      <w:r>
        <w:rPr>
          <w:rStyle w:val="FootnoteReference"/>
        </w:rPr>
        <w:footnoteRef/>
      </w:r>
      <w:r w:rsidRPr="009D2FD7">
        <w:rPr>
          <w:lang w:val="en-GB"/>
        </w:rPr>
        <w:t xml:space="preserve"> </w:t>
      </w:r>
      <w:r>
        <w:rPr>
          <w:lang w:val="en-GB"/>
        </w:rPr>
        <w:t>Proposal for a Directive of the European Parliament and of the Council on the Union code relating to medicinal products for human use, and repealing Directive 2001/83/EC and Directive 2009/35/EC (</w:t>
      </w:r>
      <w:hyperlink r:id="rId32" w:history="1">
        <w:r w:rsidRPr="00A8560D">
          <w:rPr>
            <w:rStyle w:val="Hyperlink"/>
            <w:lang w:val="en-GB"/>
          </w:rPr>
          <w:t>COM (2023) 192 final</w:t>
        </w:r>
      </w:hyperlink>
      <w:r>
        <w:rPr>
          <w:lang w:val="en-GB"/>
        </w:rPr>
        <w:t>).</w:t>
      </w:r>
    </w:p>
  </w:footnote>
  <w:footnote w:id="35">
    <w:p w14:paraId="356EF5FF" w14:textId="77777777" w:rsidR="00F31937" w:rsidRPr="009D2FD7" w:rsidRDefault="00F31937" w:rsidP="000A7D9D">
      <w:pPr>
        <w:pStyle w:val="FootnoteText"/>
        <w:rPr>
          <w:lang w:val="en-GB"/>
        </w:rPr>
      </w:pPr>
      <w:r>
        <w:rPr>
          <w:rStyle w:val="FootnoteReference"/>
        </w:rPr>
        <w:footnoteRef/>
      </w:r>
      <w:r w:rsidRPr="009D2FD7">
        <w:rPr>
          <w:lang w:val="en-GB"/>
        </w:rPr>
        <w:t xml:space="preserve"> </w:t>
      </w:r>
      <w:r>
        <w:rPr>
          <w:lang w:val="en-GB"/>
        </w:rPr>
        <w:t>Proposal for a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536/2014 and repealing Regulation (EC) No 726/2004, Regulation (EC) No 141/2000 and Regulation (EC) No 1901/2006 (</w:t>
      </w:r>
      <w:hyperlink r:id="rId33" w:history="1">
        <w:r w:rsidRPr="00A8560D">
          <w:rPr>
            <w:rStyle w:val="Hyperlink"/>
            <w:lang w:val="en-GB"/>
          </w:rPr>
          <w:t>COM (2023) 193 final</w:t>
        </w:r>
      </w:hyperlink>
      <w:r>
        <w:rPr>
          <w:lang w:val="en-GB"/>
        </w:rPr>
        <w:t xml:space="preserve">). </w:t>
      </w:r>
    </w:p>
  </w:footnote>
  <w:footnote w:id="36">
    <w:p w14:paraId="7CE017C4" w14:textId="77777777" w:rsidR="00F31937" w:rsidRPr="00E24C9B" w:rsidRDefault="00F31937" w:rsidP="000A7D9D">
      <w:pPr>
        <w:pStyle w:val="FootnoteText"/>
        <w:rPr>
          <w:lang w:val="en-GB"/>
        </w:rPr>
      </w:pPr>
      <w:r>
        <w:rPr>
          <w:rStyle w:val="FootnoteReference"/>
        </w:rPr>
        <w:footnoteRef/>
      </w:r>
      <w:r w:rsidRPr="00E24C9B">
        <w:rPr>
          <w:lang w:val="en-GB"/>
        </w:rPr>
        <w:t xml:space="preserve"> </w:t>
      </w:r>
      <w:r>
        <w:rPr>
          <w:lang w:val="en-GB"/>
        </w:rPr>
        <w:t>Proposal for a Regulation of the European Parliament and of the Council on circularity requirements for vehicle design and on management of end-of-life vehicles, amending Regulation (EU) 2018/858 and 2019/1020 and repealing Directives 2000/53/EC and 2005/64/EC (</w:t>
      </w:r>
      <w:hyperlink r:id="rId34" w:history="1">
        <w:r w:rsidRPr="00A8560D">
          <w:rPr>
            <w:rStyle w:val="Hyperlink"/>
            <w:lang w:val="en-GB"/>
          </w:rPr>
          <w:t>COM (2023) 451 final</w:t>
        </w:r>
      </w:hyperlink>
      <w:r>
        <w:rPr>
          <w:lang w:val="en-GB"/>
        </w:rPr>
        <w:t xml:space="preserve">). </w:t>
      </w:r>
    </w:p>
  </w:footnote>
  <w:footnote w:id="37">
    <w:p w14:paraId="3BFCBC21" w14:textId="77777777" w:rsidR="00F31937" w:rsidRPr="00A75855" w:rsidRDefault="00F31937" w:rsidP="000A7D9D">
      <w:pPr>
        <w:pStyle w:val="FootnoteText"/>
        <w:rPr>
          <w:lang w:val="en-GB"/>
        </w:rPr>
      </w:pPr>
      <w:r>
        <w:rPr>
          <w:rStyle w:val="FootnoteReference"/>
        </w:rPr>
        <w:footnoteRef/>
      </w:r>
      <w:r w:rsidRPr="001E7845">
        <w:rPr>
          <w:lang w:val="en-IE"/>
        </w:rPr>
        <w:t xml:space="preserve"> </w:t>
      </w:r>
      <w:r w:rsidRPr="00910431">
        <w:rPr>
          <w:rFonts w:eastAsiaTheme="minorHAnsi"/>
          <w:lang w:val="en-IE"/>
        </w:rPr>
        <w:t>Proposal for a Regulation of the European Parliament and of the Council on the safety of toys and repealing Directive 2009/48/EC</w:t>
      </w:r>
      <w:r w:rsidRPr="001E7845">
        <w:rPr>
          <w:lang w:val="en-IE"/>
        </w:rPr>
        <w:t xml:space="preserve"> (</w:t>
      </w:r>
      <w:hyperlink r:id="rId35" w:history="1">
        <w:r w:rsidRPr="001E7845">
          <w:rPr>
            <w:rStyle w:val="Hyperlink"/>
            <w:lang w:val="en-IE"/>
          </w:rPr>
          <w:t>COM(2023) 462 final</w:t>
        </w:r>
      </w:hyperlink>
      <w:r w:rsidRPr="001E7845">
        <w:rPr>
          <w:lang w:val="en-IE"/>
        </w:rPr>
        <w:t>).</w:t>
      </w:r>
    </w:p>
    <w:p w14:paraId="69CA16A0" w14:textId="77777777" w:rsidR="00F31937" w:rsidRPr="001E7845" w:rsidRDefault="00F31937" w:rsidP="000A7D9D">
      <w:pPr>
        <w:pStyle w:val="FootnoteText"/>
        <w:rPr>
          <w:lang w:val="en-IE"/>
        </w:rPr>
      </w:pPr>
    </w:p>
  </w:footnote>
  <w:footnote w:id="38">
    <w:p w14:paraId="08D2F3C3" w14:textId="77777777" w:rsidR="00F31937" w:rsidRPr="00586786" w:rsidRDefault="00F31937" w:rsidP="000A7D9D">
      <w:pPr>
        <w:pStyle w:val="FootnoteText"/>
        <w:rPr>
          <w:lang w:val="en-GB"/>
        </w:rPr>
      </w:pPr>
      <w:r>
        <w:rPr>
          <w:rStyle w:val="FootnoteReference"/>
        </w:rPr>
        <w:footnoteRef/>
      </w:r>
      <w:r w:rsidRPr="00586786">
        <w:rPr>
          <w:lang w:val="en-GB"/>
        </w:rPr>
        <w:t xml:space="preserve"> </w:t>
      </w:r>
      <w:hyperlink r:id="rId36" w:history="1">
        <w:r w:rsidRPr="00586786">
          <w:rPr>
            <w:rStyle w:val="Hyperlink"/>
            <w:lang w:val="en-GB"/>
          </w:rPr>
          <w:t>Chemicals legislation – revision of REACH Regulation to help achieve a toxic-free environment (europa.eu)</w:t>
        </w:r>
      </w:hyperlink>
    </w:p>
  </w:footnote>
  <w:footnote w:id="39">
    <w:p w14:paraId="1FDE2814" w14:textId="77777777" w:rsidR="00F31937" w:rsidRPr="00586786" w:rsidRDefault="00F31937" w:rsidP="000A7D9D">
      <w:pPr>
        <w:pStyle w:val="FootnoteText"/>
        <w:rPr>
          <w:lang w:val="en-GB"/>
        </w:rPr>
      </w:pPr>
      <w:r>
        <w:rPr>
          <w:rStyle w:val="FootnoteReference"/>
        </w:rPr>
        <w:footnoteRef/>
      </w:r>
      <w:r w:rsidRPr="00586786">
        <w:rPr>
          <w:lang w:val="en-GB"/>
        </w:rPr>
        <w:t xml:space="preserve"> </w:t>
      </w:r>
      <w:hyperlink r:id="rId37" w:history="1">
        <w:r w:rsidRPr="00586786">
          <w:rPr>
            <w:rStyle w:val="Hyperlink"/>
            <w:lang w:val="en-GB"/>
          </w:rPr>
          <w:t>EU chemicals strategy for sustainability – Cosmetic Products Regulation (revision) (europa.eu)</w:t>
        </w:r>
      </w:hyperlink>
    </w:p>
  </w:footnote>
  <w:footnote w:id="40">
    <w:p w14:paraId="28B44F80" w14:textId="77777777" w:rsidR="00F31937" w:rsidRPr="00586786" w:rsidRDefault="00F31937" w:rsidP="000A7D9D">
      <w:pPr>
        <w:pStyle w:val="FootnoteText"/>
        <w:rPr>
          <w:lang w:val="en-GB"/>
        </w:rPr>
      </w:pPr>
      <w:r>
        <w:rPr>
          <w:rStyle w:val="FootnoteReference"/>
        </w:rPr>
        <w:footnoteRef/>
      </w:r>
      <w:r w:rsidRPr="00586786">
        <w:rPr>
          <w:lang w:val="en-GB"/>
        </w:rPr>
        <w:t xml:space="preserve"> </w:t>
      </w:r>
      <w:r>
        <w:rPr>
          <w:lang w:val="en-GB"/>
        </w:rPr>
        <w:t>Proposal for a Regulation of the European Parliament and of the Council establishing a framework for setting eco-design requirements for sustainable products and repealing Directive 2009/125EC (COM (2022) 142 final).</w:t>
      </w:r>
    </w:p>
  </w:footnote>
  <w:footnote w:id="41">
    <w:p w14:paraId="285A98E0" w14:textId="77777777" w:rsidR="00F31937" w:rsidRPr="00586786" w:rsidRDefault="00F31937" w:rsidP="000A7D9D">
      <w:pPr>
        <w:pStyle w:val="FootnoteText"/>
        <w:rPr>
          <w:lang w:val="en-GB"/>
        </w:rPr>
      </w:pPr>
      <w:r>
        <w:rPr>
          <w:rStyle w:val="FootnoteReference"/>
        </w:rPr>
        <w:footnoteRef/>
      </w:r>
      <w:r w:rsidRPr="00586786">
        <w:rPr>
          <w:lang w:val="en-GB"/>
        </w:rPr>
        <w:t xml:space="preserve"> </w:t>
      </w:r>
      <w:hyperlink r:id="rId38" w:history="1">
        <w:r w:rsidRPr="00586786">
          <w:rPr>
            <w:rStyle w:val="Hyperlink"/>
            <w:lang w:val="en-GB"/>
          </w:rPr>
          <w:t>Evaluation of the legislative framework for tobacco control (europa.eu)</w:t>
        </w:r>
      </w:hyperlink>
      <w:r w:rsidRPr="00586786">
        <w:rPr>
          <w:lang w:val="en-GB"/>
        </w:rPr>
        <w:t xml:space="preserve"> </w:t>
      </w:r>
    </w:p>
  </w:footnote>
  <w:footnote w:id="42">
    <w:p w14:paraId="36A785C5" w14:textId="77777777" w:rsidR="00F31937" w:rsidRPr="00E96788" w:rsidRDefault="00F31937" w:rsidP="000A7D9D">
      <w:pPr>
        <w:pStyle w:val="FootnoteText"/>
        <w:rPr>
          <w:lang w:val="en-GB"/>
        </w:rPr>
      </w:pPr>
      <w:r>
        <w:rPr>
          <w:rStyle w:val="FootnoteReference"/>
        </w:rPr>
        <w:footnoteRef/>
      </w:r>
      <w:r w:rsidRPr="00E96788">
        <w:rPr>
          <w:lang w:val="en-GB"/>
        </w:rPr>
        <w:t xml:space="preserve"> </w:t>
      </w:r>
      <w:r>
        <w:rPr>
          <w:lang w:val="en-GB"/>
        </w:rPr>
        <w:t>Proposal for a Regulation of the European Parliament and of the Council on fluorinated greenhouse gases, amending Directive (EU) 2019/1937 and repealing Regulation (EU) No 517/2014 (COM (2022) 150 final).</w:t>
      </w:r>
    </w:p>
  </w:footnote>
  <w:footnote w:id="43">
    <w:p w14:paraId="53C3997A" w14:textId="77777777" w:rsidR="00F31937" w:rsidRPr="00E96788" w:rsidRDefault="00F31937" w:rsidP="000A7D9D">
      <w:pPr>
        <w:pStyle w:val="FootnoteText"/>
        <w:rPr>
          <w:lang w:val="en-GB"/>
        </w:rPr>
      </w:pPr>
      <w:r>
        <w:rPr>
          <w:rStyle w:val="FootnoteReference"/>
        </w:rPr>
        <w:footnoteRef/>
      </w:r>
      <w:r w:rsidRPr="00E96788">
        <w:rPr>
          <w:lang w:val="en-GB"/>
        </w:rPr>
        <w:t xml:space="preserve"> </w:t>
      </w:r>
      <w:r>
        <w:rPr>
          <w:lang w:val="en-GB"/>
        </w:rPr>
        <w:t xml:space="preserve">Proposal for a Regulation of the European Parliament and of the Council on substances that deplete the ozone layer and repealing Regulation (EC) No 1005/2009 (COM (2022) 151 final). </w:t>
      </w:r>
    </w:p>
  </w:footnote>
  <w:footnote w:id="44">
    <w:p w14:paraId="11E3BF08" w14:textId="77777777" w:rsidR="00F31937" w:rsidRPr="00341915" w:rsidRDefault="00F31937" w:rsidP="000A7D9D">
      <w:pPr>
        <w:pStyle w:val="FootnoteText"/>
        <w:rPr>
          <w:color w:val="0000FF"/>
          <w:u w:val="single"/>
          <w:lang w:val="en-GB"/>
        </w:rPr>
      </w:pPr>
      <w:r w:rsidRPr="00192E98">
        <w:rPr>
          <w:rStyle w:val="FootnoteReference"/>
          <w:rFonts w:ascii="Calibri" w:hAnsi="Calibri" w:cs="Calibri"/>
        </w:rPr>
        <w:footnoteRef/>
      </w:r>
      <w:r w:rsidRPr="00341915">
        <w:rPr>
          <w:rFonts w:ascii="Calibri" w:hAnsi="Calibri" w:cs="Calibri"/>
          <w:lang w:val="en-GB"/>
        </w:rPr>
        <w:t xml:space="preserve"> </w:t>
      </w:r>
      <w:r w:rsidRPr="00341915">
        <w:rPr>
          <w:lang w:val="en-GB"/>
        </w:rPr>
        <w:t xml:space="preserve">This number corresponds to a medium to high BE annual salary cost (see e.g. </w:t>
      </w:r>
      <w:hyperlink r:id="rId39" w:history="1">
        <w:r w:rsidRPr="6017A922">
          <w:rPr>
            <w:color w:val="0000FF"/>
            <w:u w:val="single"/>
            <w:lang w:val="en-GB"/>
          </w:rPr>
          <w:t xml:space="preserve">An overview of Belgian wages and salaries | </w:t>
        </w:r>
        <w:proofErr w:type="spellStart"/>
        <w:r w:rsidRPr="6017A922">
          <w:rPr>
            <w:color w:val="0000FF"/>
            <w:u w:val="single"/>
            <w:lang w:val="en-GB"/>
          </w:rPr>
          <w:t>Statbel</w:t>
        </w:r>
        <w:proofErr w:type="spellEnd"/>
        <w:r w:rsidRPr="6017A922">
          <w:rPr>
            <w:color w:val="0000FF"/>
            <w:u w:val="single"/>
            <w:lang w:val="en-GB"/>
          </w:rPr>
          <w:t xml:space="preserve"> (fgov.be)</w:t>
        </w:r>
      </w:hyperlink>
      <w:r w:rsidRPr="6017A922">
        <w:rPr>
          <w:color w:val="0000FF"/>
          <w:u w:val="single"/>
          <w:lang w:val="en-GB"/>
        </w:rPr>
        <w:t xml:space="preserve">); Belgian average salaries were used because many companies contracted by the Commission are based on Belgium. </w:t>
      </w:r>
    </w:p>
  </w:footnote>
  <w:footnote w:id="45">
    <w:p w14:paraId="692443FC" w14:textId="77777777" w:rsidR="00F31937" w:rsidRPr="002347D6" w:rsidRDefault="00F31937" w:rsidP="000A7D9D">
      <w:pPr>
        <w:pStyle w:val="FootnoteText"/>
        <w:rPr>
          <w:lang w:val="en-GB"/>
        </w:rPr>
      </w:pPr>
      <w:r>
        <w:rPr>
          <w:rStyle w:val="FootnoteReference"/>
        </w:rPr>
        <w:footnoteRef/>
      </w:r>
      <w:r w:rsidRPr="002347D6">
        <w:rPr>
          <w:lang w:val="en-GB"/>
        </w:rPr>
        <w:t xml:space="preserve"> </w:t>
      </w:r>
      <w:r>
        <w:rPr>
          <w:lang w:val="en-GB"/>
        </w:rPr>
        <w:t xml:space="preserve">Commission staff working document accompanying the document Proposal for a Regulation of the European Parliament and of the Council establishing a common data platform on chemicals, laying down rules to ensure that the data contained in it are findable, accessible, </w:t>
      </w:r>
      <w:proofErr w:type="gramStart"/>
      <w:r>
        <w:rPr>
          <w:lang w:val="en-GB"/>
        </w:rPr>
        <w:t>interoperable</w:t>
      </w:r>
      <w:proofErr w:type="gramEnd"/>
      <w:r>
        <w:rPr>
          <w:lang w:val="en-GB"/>
        </w:rPr>
        <w:t xml:space="preserve"> and reusable and establishing a monitoring and outlook framework for chemicals. </w:t>
      </w:r>
    </w:p>
  </w:footnote>
  <w:footnote w:id="46">
    <w:p w14:paraId="2F510F96" w14:textId="77777777" w:rsidR="00F31937" w:rsidRPr="00B413D2" w:rsidRDefault="00F31937" w:rsidP="000A7D9D">
      <w:pPr>
        <w:pStyle w:val="FootnoteText"/>
        <w:rPr>
          <w:lang w:val="en-GB"/>
        </w:rPr>
      </w:pPr>
      <w:r>
        <w:rPr>
          <w:rStyle w:val="FootnoteReference"/>
        </w:rPr>
        <w:footnoteRef/>
      </w:r>
      <w:r w:rsidRPr="00B413D2">
        <w:rPr>
          <w:lang w:val="en-GB"/>
        </w:rPr>
        <w:t xml:space="preserve"> </w:t>
      </w:r>
      <w:r>
        <w:rPr>
          <w:lang w:val="en-GB"/>
        </w:rPr>
        <w:t>Regulation (EU) of the European Parliament and of the Council of 20 June 2019 on the transparency and sustainability of the EU risk assessment in the food chain and amending Regulations (EC) No 178/2002, (EC) No 1829/2003, (EC) No 2065/2003, (EC) No 1935/2004, (EC) No 1331/2008, (EC) No 1107/2009, (EU) 2015/2283) and Directive 2001/18/EC (</w:t>
      </w:r>
      <w:hyperlink r:id="rId40" w:history="1">
        <w:r w:rsidRPr="00B413D2">
          <w:rPr>
            <w:rStyle w:val="Hyperlink"/>
            <w:lang w:val="en-GB"/>
          </w:rPr>
          <w:t>OJ L 231 6.9.2019, p.1</w:t>
        </w:r>
      </w:hyperlink>
      <w:r>
        <w:rPr>
          <w:lang w:val="en-GB"/>
        </w:rPr>
        <w:t>)</w:t>
      </w:r>
    </w:p>
  </w:footnote>
  <w:footnote w:id="47">
    <w:p w14:paraId="53CFBCB1" w14:textId="77777777" w:rsidR="00F31937" w:rsidRPr="00001763" w:rsidRDefault="00F31937" w:rsidP="000A7D9D">
      <w:pPr>
        <w:pStyle w:val="FootnoteText"/>
        <w:ind w:left="142" w:hanging="142"/>
        <w:jc w:val="both"/>
        <w:rPr>
          <w:rFonts w:ascii="Roboto" w:hAnsi="Roboto"/>
          <w:sz w:val="16"/>
          <w:szCs w:val="16"/>
          <w:lang w:val="en-GB"/>
        </w:rPr>
      </w:pPr>
      <w:r w:rsidRPr="00190A19">
        <w:rPr>
          <w:rStyle w:val="FootnoteReference"/>
          <w:rFonts w:ascii="Roboto" w:hAnsi="Roboto"/>
        </w:rPr>
        <w:footnoteRef/>
      </w:r>
      <w:r w:rsidRPr="00001763">
        <w:rPr>
          <w:rFonts w:ascii="Roboto" w:hAnsi="Roboto"/>
          <w:sz w:val="16"/>
          <w:szCs w:val="16"/>
          <w:lang w:val="en-GB"/>
        </w:rPr>
        <w:t xml:space="preserve"> The phrase ‘food safety’ is used throughout the document as shorthand for ‘food and feed safety, animal health and welfare, plant health, nutrition and environmental issues specific to the </w:t>
      </w:r>
      <w:proofErr w:type="gramStart"/>
      <w:r w:rsidRPr="00001763">
        <w:rPr>
          <w:rFonts w:ascii="Roboto" w:hAnsi="Roboto"/>
          <w:sz w:val="16"/>
          <w:szCs w:val="16"/>
          <w:lang w:val="en-GB"/>
        </w:rPr>
        <w:t>above’</w:t>
      </w:r>
      <w:proofErr w:type="gramEnd"/>
    </w:p>
  </w:footnote>
  <w:footnote w:id="48">
    <w:p w14:paraId="6386ABEA" w14:textId="77777777" w:rsidR="00F31937" w:rsidRPr="00001763" w:rsidRDefault="00F31937" w:rsidP="000A7D9D">
      <w:pPr>
        <w:pStyle w:val="FootnoteText"/>
        <w:ind w:left="142" w:hanging="142"/>
        <w:jc w:val="both"/>
        <w:rPr>
          <w:rFonts w:ascii="Roboto" w:hAnsi="Roboto"/>
          <w:sz w:val="16"/>
          <w:szCs w:val="16"/>
          <w:lang w:val="en-GB"/>
        </w:rPr>
      </w:pPr>
      <w:r w:rsidRPr="00190A19">
        <w:rPr>
          <w:rStyle w:val="FootnoteReference"/>
          <w:rFonts w:ascii="Roboto" w:hAnsi="Roboto"/>
        </w:rPr>
        <w:footnoteRef/>
      </w:r>
      <w:r w:rsidRPr="00001763">
        <w:rPr>
          <w:rFonts w:ascii="Roboto" w:hAnsi="Roboto"/>
          <w:sz w:val="16"/>
          <w:szCs w:val="16"/>
          <w:lang w:val="en-GB"/>
        </w:rPr>
        <w:t xml:space="preserve"> As defined in EFSA’s founding regulation (Regulation (EC) No 178/2002), Article 3(13)</w:t>
      </w:r>
    </w:p>
  </w:footnote>
  <w:footnote w:id="49">
    <w:p w14:paraId="407E1323" w14:textId="77777777" w:rsidR="00F31937" w:rsidRPr="0042760F" w:rsidRDefault="00F31937" w:rsidP="000A7D9D">
      <w:pPr>
        <w:pStyle w:val="FootnoteText"/>
        <w:rPr>
          <w:lang w:val="en-GB"/>
        </w:rPr>
      </w:pPr>
      <w:r>
        <w:rPr>
          <w:rStyle w:val="FootnoteReference"/>
        </w:rPr>
        <w:footnoteRef/>
      </w:r>
      <w:r w:rsidRPr="0042760F">
        <w:rPr>
          <w:lang w:val="en-GB"/>
        </w:rPr>
        <w:t xml:space="preserve"> Directive 2003/4/EC of the European Parliament and of the Council of 28 January 2003 on public access to environmental information</w:t>
      </w:r>
    </w:p>
  </w:footnote>
  <w:footnote w:id="50">
    <w:p w14:paraId="3FB10B78" w14:textId="77777777" w:rsidR="00F31937" w:rsidRPr="0042760F" w:rsidRDefault="00F31937" w:rsidP="000A7D9D">
      <w:pPr>
        <w:pStyle w:val="FootnoteText"/>
        <w:rPr>
          <w:lang w:val="en-GB"/>
        </w:rPr>
      </w:pPr>
      <w:r>
        <w:rPr>
          <w:rStyle w:val="FootnoteReference"/>
        </w:rPr>
        <w:footnoteRef/>
      </w:r>
      <w:r w:rsidRPr="0042760F">
        <w:rPr>
          <w:lang w:val="en-GB"/>
        </w:rPr>
        <w:t xml:space="preserve"> Directive 2003/4/EC of the European Parliament and of the Council of 28 January 2003 on public access to environmental information</w:t>
      </w:r>
    </w:p>
  </w:footnote>
  <w:footnote w:id="51">
    <w:p w14:paraId="0611C7B3" w14:textId="77777777" w:rsidR="00F31937" w:rsidRPr="0042760F" w:rsidRDefault="00F31937" w:rsidP="000A7D9D">
      <w:pPr>
        <w:pStyle w:val="FootnoteText"/>
        <w:rPr>
          <w:lang w:val="en-GB"/>
        </w:rPr>
      </w:pPr>
      <w:r>
        <w:rPr>
          <w:rStyle w:val="FootnoteReference"/>
        </w:rPr>
        <w:footnoteRef/>
      </w:r>
      <w:r w:rsidRPr="0042760F">
        <w:rPr>
          <w:lang w:val="en-GB"/>
        </w:rPr>
        <w:t xml:space="preserve"> Directive 2003/4/EC of the European Parliament and of the Council of 28 January 2003 on public access to environmental information</w:t>
      </w:r>
    </w:p>
  </w:footnote>
  <w:footnote w:id="52">
    <w:p w14:paraId="7326CDFB" w14:textId="77777777" w:rsidR="00F31937" w:rsidRPr="0042760F" w:rsidRDefault="00F31937" w:rsidP="000A7D9D">
      <w:pPr>
        <w:pStyle w:val="FootnoteText"/>
        <w:rPr>
          <w:lang w:val="en-GB"/>
        </w:rPr>
      </w:pPr>
      <w:r>
        <w:rPr>
          <w:rStyle w:val="FootnoteReference"/>
        </w:rPr>
        <w:footnoteRef/>
      </w:r>
      <w:r w:rsidRPr="0042760F">
        <w:rPr>
          <w:lang w:val="en-GB"/>
        </w:rPr>
        <w:t xml:space="preserve"> Directive 2003/4/EC of the European Parliament and of the Council of 28 January 2003 on public access to environmental information</w:t>
      </w:r>
    </w:p>
  </w:footnote>
  <w:footnote w:id="53">
    <w:p w14:paraId="2789668A" w14:textId="77777777" w:rsidR="00F31937" w:rsidRPr="004753C1" w:rsidRDefault="00F31937" w:rsidP="00086C60">
      <w:pPr>
        <w:pStyle w:val="FootnoteText"/>
        <w:rPr>
          <w:lang w:val="en-GB"/>
        </w:rPr>
      </w:pPr>
      <w:r>
        <w:rPr>
          <w:rStyle w:val="FootnoteReference"/>
        </w:rPr>
        <w:footnoteRef/>
      </w:r>
      <w:r w:rsidRPr="004753C1">
        <w:rPr>
          <w:lang w:val="en-GB"/>
        </w:rPr>
        <w:t xml:space="preserve"> </w:t>
      </w:r>
      <w:r>
        <w:rPr>
          <w:lang w:val="en-GB"/>
        </w:rPr>
        <w:t xml:space="preserve">Proposal for a Directive of the European Parliament and of the Council on the Union code relating to medicinal products for human </w:t>
      </w:r>
      <w:proofErr w:type="gramStart"/>
      <w:r>
        <w:rPr>
          <w:lang w:val="en-GB"/>
        </w:rPr>
        <w:t>use, and</w:t>
      </w:r>
      <w:proofErr w:type="gramEnd"/>
      <w:r>
        <w:rPr>
          <w:lang w:val="en-GB"/>
        </w:rPr>
        <w:t xml:space="preserve"> repealing Directive 2001/83/EC and Directive 2009/35/EC (COM (2023) 192 final).</w:t>
      </w:r>
    </w:p>
  </w:footnote>
  <w:footnote w:id="54">
    <w:p w14:paraId="5D2F93DF" w14:textId="77777777" w:rsidR="00F31937" w:rsidRPr="004753C1" w:rsidRDefault="00F31937" w:rsidP="00086C60">
      <w:pPr>
        <w:pStyle w:val="FootnoteText"/>
        <w:rPr>
          <w:lang w:val="en-GB"/>
        </w:rPr>
      </w:pPr>
      <w:r>
        <w:rPr>
          <w:rStyle w:val="FootnoteReference"/>
        </w:rPr>
        <w:footnoteRef/>
      </w:r>
      <w:r w:rsidRPr="004753C1">
        <w:rPr>
          <w:lang w:val="en-GB"/>
        </w:rPr>
        <w:t xml:space="preserve"> </w:t>
      </w:r>
      <w:r>
        <w:rPr>
          <w:lang w:val="en-GB"/>
        </w:rPr>
        <w:t xml:space="preserve">Proposal for a Regulation of the European Parliament and of the Council laying down Union procedures for the authorisation and supervision of medicinal products for human use and establishing rules governing the European Medicines Agency, amending Regulation (EC) No 1394/2007 and Regulation (EU) No </w:t>
      </w:r>
      <w:proofErr w:type="gramStart"/>
      <w:r>
        <w:rPr>
          <w:lang w:val="en-GB"/>
        </w:rPr>
        <w:t>536/2014</w:t>
      </w:r>
      <w:proofErr w:type="gramEnd"/>
      <w:r>
        <w:rPr>
          <w:lang w:val="en-GB"/>
        </w:rPr>
        <w:t xml:space="preserve"> and repealing Regulation (EC) No 726/2004, Regulation (EC) No 141/2000 and Regulation (EC) No 1901/2006 (COM (2023) 193 final).</w:t>
      </w:r>
    </w:p>
  </w:footnote>
  <w:footnote w:id="55">
    <w:p w14:paraId="0548C6C1" w14:textId="77777777" w:rsidR="00F31937" w:rsidRPr="00E74562" w:rsidRDefault="00F31937" w:rsidP="00086C60">
      <w:pPr>
        <w:pStyle w:val="FootnoteText"/>
        <w:rPr>
          <w:lang w:val="fr-BE"/>
        </w:rPr>
      </w:pPr>
      <w:r>
        <w:rPr>
          <w:rStyle w:val="FootnoteReference"/>
        </w:rPr>
        <w:footnoteRef/>
      </w:r>
      <w:r w:rsidRPr="00E74562">
        <w:rPr>
          <w:lang w:val="fr-BE"/>
        </w:rPr>
        <w:t xml:space="preserve"> </w:t>
      </w:r>
      <w:hyperlink r:id="rId41" w:history="1">
        <w:r>
          <w:rPr>
            <w:rStyle w:val="Hyperlink"/>
          </w:rPr>
          <w:t>EUR-Lex - 52023SC0191 - EN - EUR-Lex (europa.eu)</w:t>
        </w:r>
      </w:hyperlink>
    </w:p>
  </w:footnote>
  <w:footnote w:id="56">
    <w:p w14:paraId="53FD8D70" w14:textId="77777777" w:rsidR="00F31937" w:rsidRPr="00E74562" w:rsidRDefault="00F31937" w:rsidP="00086C60">
      <w:pPr>
        <w:pStyle w:val="FootnoteText"/>
        <w:rPr>
          <w:lang w:val="fr-BE"/>
        </w:rPr>
      </w:pPr>
      <w:r>
        <w:rPr>
          <w:rStyle w:val="FootnoteReference"/>
        </w:rPr>
        <w:footnoteRef/>
      </w:r>
      <w:r w:rsidRPr="00E74562">
        <w:rPr>
          <w:lang w:val="fr-BE"/>
        </w:rPr>
        <w:t xml:space="preserve"> </w:t>
      </w:r>
      <w:hyperlink r:id="rId42" w:history="1">
        <w:r>
          <w:rPr>
            <w:rStyle w:val="Hyperlink"/>
          </w:rPr>
          <w:t>EUR-Lex - 52023SC0192 - EN - EUR-Lex (europa.eu)</w:t>
        </w:r>
      </w:hyperlink>
    </w:p>
  </w:footnote>
  <w:footnote w:id="57">
    <w:p w14:paraId="4127EBC9" w14:textId="77777777" w:rsidR="00F31937" w:rsidRPr="00E74562" w:rsidRDefault="00F31937" w:rsidP="00086C60">
      <w:pPr>
        <w:pStyle w:val="FootnoteText"/>
        <w:rPr>
          <w:lang w:val="fr-BE"/>
        </w:rPr>
      </w:pPr>
      <w:r>
        <w:rPr>
          <w:rStyle w:val="FootnoteReference"/>
        </w:rPr>
        <w:footnoteRef/>
      </w:r>
      <w:r w:rsidRPr="00E74562">
        <w:rPr>
          <w:lang w:val="fr-BE"/>
        </w:rPr>
        <w:t xml:space="preserve"> </w:t>
      </w:r>
      <w:hyperlink r:id="rId43" w:history="1">
        <w:r>
          <w:rPr>
            <w:rStyle w:val="Hyperlink"/>
          </w:rPr>
          <w:t>EUR-Lex - 52023SC0193 - EN - EUR-Lex (europa.eu)</w:t>
        </w:r>
      </w:hyperlink>
    </w:p>
  </w:footnote>
  <w:footnote w:id="58">
    <w:p w14:paraId="32B8F99D" w14:textId="77777777" w:rsidR="00F31937" w:rsidRPr="00F11182" w:rsidRDefault="00F31937" w:rsidP="000A7D9D">
      <w:pPr>
        <w:pStyle w:val="FootnoteText"/>
        <w:rPr>
          <w:lang w:val="en-IE"/>
        </w:rPr>
      </w:pPr>
      <w:r>
        <w:rPr>
          <w:rStyle w:val="FootnoteReference"/>
        </w:rPr>
        <w:footnoteRef/>
      </w:r>
      <w:r w:rsidRPr="00F11182">
        <w:rPr>
          <w:lang w:val="en-IE"/>
        </w:rPr>
        <w:t xml:space="preserve"> </w:t>
      </w:r>
      <w:hyperlink r:id="rId44" w:history="1">
        <w:r w:rsidRPr="00F11182">
          <w:rPr>
            <w:rStyle w:val="Hyperlink"/>
            <w:lang w:val="en-IE"/>
          </w:rPr>
          <w:t>Feasibility study on a common open platform on chemical safety data - Publications Office of the EU (europa.eu)</w:t>
        </w:r>
      </w:hyperlink>
    </w:p>
  </w:footnote>
  <w:footnote w:id="59">
    <w:p w14:paraId="7D4CD75F" w14:textId="77777777" w:rsidR="00F31937" w:rsidRPr="00AA32B4" w:rsidRDefault="00F31937" w:rsidP="000A7D9D">
      <w:pPr>
        <w:pStyle w:val="FootnoteText"/>
        <w:rPr>
          <w:lang w:val="en-GB"/>
        </w:rPr>
      </w:pPr>
      <w:r w:rsidRPr="00AA32B4">
        <w:rPr>
          <w:rStyle w:val="FootnoteReference"/>
        </w:rPr>
        <w:footnoteRef/>
      </w:r>
      <w:r w:rsidRPr="00AA32B4">
        <w:rPr>
          <w:lang w:val="en-GB"/>
        </w:rPr>
        <w:t xml:space="preserve"> </w:t>
      </w:r>
      <w:r w:rsidRPr="00AA32B4">
        <w:rPr>
          <w:bCs/>
          <w:color w:val="333333"/>
          <w:shd w:val="clear" w:color="auto" w:fill="FFFFFF"/>
          <w:lang w:val="en-GB"/>
        </w:rPr>
        <w:t>Regulation (EU) 2019/1381 of the European Parliament and of the Council of 20 June 2019 on the transparency and sustainability of the EU risk assessment in the food chain and amending Regulations (EC) No 178/2002, (EC) No 1829/2003, (EC) No 1831/2003, (EC) No 2065/2003, (EC) No 1935/2004, (EC) No 1331/2008, (EC) No 1107/2009, (EU) 2015/2283 and Directive 2001/18/EC (OJ L 231 6.9.2019, p.1)</w:t>
      </w:r>
    </w:p>
  </w:footnote>
  <w:footnote w:id="60">
    <w:p w14:paraId="07EF4177" w14:textId="77777777" w:rsidR="00F31937" w:rsidRPr="00AA32B4" w:rsidRDefault="00F31937" w:rsidP="000A7D9D">
      <w:pPr>
        <w:pStyle w:val="FootnoteText"/>
        <w:rPr>
          <w:lang w:val="en-GB"/>
        </w:rPr>
      </w:pPr>
      <w:r w:rsidRPr="00AA32B4">
        <w:rPr>
          <w:rStyle w:val="FootnoteReference"/>
        </w:rPr>
        <w:footnoteRef/>
      </w:r>
      <w:r w:rsidRPr="00AA32B4">
        <w:rPr>
          <w:lang w:val="en-GB"/>
        </w:rPr>
        <w:t xml:space="preserve"> </w:t>
      </w:r>
      <w:r w:rsidRPr="00AA32B4">
        <w:rPr>
          <w:bCs/>
          <w:color w:val="333333"/>
          <w:shd w:val="clear" w:color="auto" w:fill="FFFFFF"/>
          <w:lang w:val="en-GB"/>
        </w:rPr>
        <w:t xml:space="preserve">Regulation (EC) No 178/2002 of the European Parliament and of the Council of 28 January 2002 laying down the general principles and requirements of food law, establishing the European Food Safety Authority and laying down procedures in matters of food </w:t>
      </w:r>
      <w:proofErr w:type="gramStart"/>
      <w:r w:rsidRPr="00AA32B4">
        <w:rPr>
          <w:bCs/>
          <w:color w:val="333333"/>
          <w:shd w:val="clear" w:color="auto" w:fill="FFFFFF"/>
          <w:lang w:val="en-GB"/>
        </w:rPr>
        <w:t>safety</w:t>
      </w:r>
      <w:proofErr w:type="gramEnd"/>
    </w:p>
  </w:footnote>
  <w:footnote w:id="61">
    <w:p w14:paraId="00AF1FB7" w14:textId="77777777" w:rsidR="00F31937" w:rsidRPr="00D437FA" w:rsidRDefault="00F31937" w:rsidP="000A7D9D">
      <w:pPr>
        <w:pStyle w:val="FootnoteText"/>
        <w:rPr>
          <w:lang w:val="en-GB"/>
        </w:rPr>
      </w:pPr>
      <w:r>
        <w:rPr>
          <w:rStyle w:val="FootnoteReference"/>
        </w:rPr>
        <w:footnoteRef/>
      </w:r>
      <w:r w:rsidRPr="00D437FA">
        <w:rPr>
          <w:lang w:val="en-GB"/>
        </w:rPr>
        <w:t xml:space="preserve"> </w:t>
      </w:r>
      <w:r w:rsidRPr="00AA32B4">
        <w:rPr>
          <w:bCs/>
          <w:color w:val="333333"/>
          <w:shd w:val="clear" w:color="auto" w:fill="FFFFFF"/>
          <w:lang w:val="en-GB"/>
        </w:rPr>
        <w:t>Regulation (EC) No 178/2002 of the European Parliament and of the Council of 28 January 2002 laying down the general principles and requirements of food law, establishing the European Food Safety Authority and laying down procedures in matters of food safety</w:t>
      </w:r>
      <w:r>
        <w:rPr>
          <w:bCs/>
          <w:color w:val="333333"/>
          <w:shd w:val="clear" w:color="auto" w:fill="FFFFFF"/>
          <w:lang w:val="en-GB"/>
        </w:rPr>
        <w:t xml:space="preserve"> (OJ L 31 1.2.2002, p.1)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6EA6E" w14:textId="77777777" w:rsidR="00187DBF" w:rsidRPr="00187DBF" w:rsidRDefault="00187DBF" w:rsidP="00187DBF">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CE2B" w14:textId="77777777" w:rsidR="00F31937" w:rsidRDefault="00F3193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3CA88" w14:textId="77777777" w:rsidR="00F31937" w:rsidRDefault="00F31937" w:rsidP="00F3193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19"/>
      <w:gridCol w:w="3144"/>
      <w:gridCol w:w="1609"/>
    </w:tblGrid>
    <w:tr w:rsidR="00F31937" w14:paraId="601C3A0A" w14:textId="77777777" w:rsidTr="00F31937">
      <w:tc>
        <w:tcPr>
          <w:tcW w:w="4537" w:type="dxa"/>
          <w:vMerge w:val="restart"/>
        </w:tcPr>
        <w:p w14:paraId="57E2386E" w14:textId="77777777" w:rsidR="00F31937" w:rsidRDefault="00F31937" w:rsidP="00F31937">
          <w:pPr>
            <w:pStyle w:val="Header"/>
            <w:rPr>
              <w:b/>
            </w:rPr>
          </w:pPr>
          <w:r>
            <w:rPr>
              <w:noProof/>
            </w:rPr>
            <w:drawing>
              <wp:inline distT="0" distB="0" distL="0" distR="0" wp14:anchorId="758EFD54" wp14:editId="09997455">
                <wp:extent cx="2084400" cy="532800"/>
                <wp:effectExtent l="0" t="0" r="0" b="635"/>
                <wp:docPr id="4" name="Picture 4"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ha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4400" cy="532800"/>
                        </a:xfrm>
                        <a:prstGeom prst="rect">
                          <a:avLst/>
                        </a:prstGeom>
                        <a:noFill/>
                        <a:ln>
                          <a:noFill/>
                        </a:ln>
                      </pic:spPr>
                    </pic:pic>
                  </a:graphicData>
                </a:graphic>
              </wp:inline>
            </w:drawing>
          </w:r>
        </w:p>
      </w:tc>
      <w:tc>
        <w:tcPr>
          <w:tcW w:w="3270" w:type="dxa"/>
        </w:tcPr>
        <w:p w14:paraId="1C9BBB5D" w14:textId="77777777" w:rsidR="00F31937" w:rsidRDefault="00F31937" w:rsidP="00F31937">
          <w:pPr>
            <w:pStyle w:val="Header"/>
          </w:pPr>
          <w:r w:rsidRPr="006C39A8">
            <w:t>[Document title]</w:t>
          </w:r>
        </w:p>
      </w:tc>
      <w:tc>
        <w:tcPr>
          <w:tcW w:w="1832" w:type="dxa"/>
        </w:tcPr>
        <w:p w14:paraId="1D6FABBD" w14:textId="77777777" w:rsidR="00F31937" w:rsidRDefault="00F31937" w:rsidP="00F31937">
          <w:pPr>
            <w:pStyle w:val="Header"/>
            <w:jc w:val="right"/>
          </w:pPr>
          <w:r w:rsidRPr="006C39A8">
            <w:t>3 (4)</w:t>
          </w:r>
        </w:p>
      </w:tc>
    </w:tr>
    <w:tr w:rsidR="00F31937" w14:paraId="216A6D39" w14:textId="77777777" w:rsidTr="00F31937">
      <w:tc>
        <w:tcPr>
          <w:tcW w:w="4537" w:type="dxa"/>
          <w:vMerge/>
        </w:tcPr>
        <w:p w14:paraId="35EB7D4E" w14:textId="77777777" w:rsidR="00F31937" w:rsidRPr="00675E99" w:rsidRDefault="00F31937" w:rsidP="00F31937">
          <w:pPr>
            <w:pStyle w:val="Header"/>
          </w:pPr>
        </w:p>
      </w:tc>
      <w:tc>
        <w:tcPr>
          <w:tcW w:w="3270" w:type="dxa"/>
        </w:tcPr>
        <w:p w14:paraId="2632F3DA" w14:textId="77777777" w:rsidR="00F31937" w:rsidRDefault="00F31937" w:rsidP="00F31937">
          <w:pPr>
            <w:pStyle w:val="Header"/>
          </w:pPr>
          <w:r w:rsidRPr="006C39A8">
            <w:t>Internal/Restricted/Confidential</w:t>
          </w:r>
        </w:p>
      </w:tc>
      <w:tc>
        <w:tcPr>
          <w:tcW w:w="1832" w:type="dxa"/>
        </w:tcPr>
        <w:p w14:paraId="0BC1B5DC" w14:textId="77777777" w:rsidR="00F31937" w:rsidRDefault="00F31937" w:rsidP="00F31937">
          <w:pPr>
            <w:pStyle w:val="Header"/>
            <w:jc w:val="right"/>
          </w:pPr>
          <w:r w:rsidRPr="006C39A8">
            <w:t>XX/xx</w:t>
          </w:r>
        </w:p>
      </w:tc>
    </w:tr>
    <w:tr w:rsidR="00F31937" w14:paraId="527D1908" w14:textId="77777777" w:rsidTr="00F31937">
      <w:tc>
        <w:tcPr>
          <w:tcW w:w="4537" w:type="dxa"/>
          <w:vMerge/>
        </w:tcPr>
        <w:p w14:paraId="0AECF54F" w14:textId="77777777" w:rsidR="00F31937" w:rsidRDefault="00F31937" w:rsidP="00F31937">
          <w:pPr>
            <w:pStyle w:val="Header"/>
          </w:pPr>
        </w:p>
      </w:tc>
      <w:tc>
        <w:tcPr>
          <w:tcW w:w="3270" w:type="dxa"/>
        </w:tcPr>
        <w:p w14:paraId="3F8B83C2" w14:textId="77777777" w:rsidR="00F31937" w:rsidRDefault="00F31937" w:rsidP="00F31937">
          <w:pPr>
            <w:pStyle w:val="Header"/>
          </w:pPr>
        </w:p>
      </w:tc>
      <w:tc>
        <w:tcPr>
          <w:tcW w:w="1832" w:type="dxa"/>
        </w:tcPr>
        <w:p w14:paraId="664A7BD2" w14:textId="77777777" w:rsidR="00F31937" w:rsidRDefault="00F31937" w:rsidP="00F31937">
          <w:pPr>
            <w:pStyle w:val="Header"/>
            <w:jc w:val="right"/>
          </w:pPr>
        </w:p>
      </w:tc>
    </w:tr>
    <w:tr w:rsidR="00F31937" w14:paraId="52E2E059" w14:textId="77777777" w:rsidTr="00F31937">
      <w:tc>
        <w:tcPr>
          <w:tcW w:w="4537" w:type="dxa"/>
          <w:vMerge/>
        </w:tcPr>
        <w:p w14:paraId="24361768" w14:textId="77777777" w:rsidR="00F31937" w:rsidRDefault="00F31937" w:rsidP="00F31937">
          <w:pPr>
            <w:pStyle w:val="Header"/>
          </w:pPr>
        </w:p>
      </w:tc>
      <w:tc>
        <w:tcPr>
          <w:tcW w:w="3270" w:type="dxa"/>
        </w:tcPr>
        <w:p w14:paraId="4A2CBFE8" w14:textId="77777777" w:rsidR="00F31937" w:rsidRDefault="00F31937" w:rsidP="00F31937">
          <w:pPr>
            <w:pStyle w:val="Header"/>
          </w:pPr>
          <w:r w:rsidRPr="006C39A8">
            <w:t xml:space="preserve">dd Month </w:t>
          </w:r>
          <w:proofErr w:type="spellStart"/>
          <w:r w:rsidRPr="006C39A8">
            <w:t>yyyy</w:t>
          </w:r>
          <w:proofErr w:type="spellEnd"/>
        </w:p>
      </w:tc>
      <w:tc>
        <w:tcPr>
          <w:tcW w:w="1832" w:type="dxa"/>
        </w:tcPr>
        <w:p w14:paraId="31CAF9EE" w14:textId="77777777" w:rsidR="00F31937" w:rsidRDefault="00F31937" w:rsidP="00F31937">
          <w:pPr>
            <w:pStyle w:val="Header"/>
            <w:jc w:val="right"/>
          </w:pPr>
        </w:p>
      </w:tc>
    </w:tr>
  </w:tbl>
  <w:p w14:paraId="64C59BB5" w14:textId="77777777" w:rsidR="00F31937" w:rsidRDefault="00F31937" w:rsidP="00F31937">
    <w:pPr>
      <w:pStyle w:val="Header"/>
    </w:pPr>
  </w:p>
  <w:p w14:paraId="0BF365BE" w14:textId="77777777" w:rsidR="00F31937" w:rsidRPr="00DA3B32" w:rsidRDefault="00F31937" w:rsidP="00F319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9A49" w14:textId="77777777" w:rsidR="00187DBF" w:rsidRPr="00187DBF" w:rsidRDefault="00187DBF" w:rsidP="00187DBF">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61C3" w14:textId="77777777" w:rsidR="00187DBF" w:rsidRPr="00187DBF" w:rsidRDefault="00187DBF" w:rsidP="00187DBF">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55C2C" w14:textId="77777777" w:rsidR="00F31937" w:rsidRDefault="00F319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9E28" w14:textId="77777777" w:rsidR="00F31937" w:rsidRDefault="00F31937" w:rsidP="00F319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19"/>
      <w:gridCol w:w="3144"/>
      <w:gridCol w:w="1609"/>
    </w:tblGrid>
    <w:tr w:rsidR="00F31937" w14:paraId="5D9321F6" w14:textId="77777777" w:rsidTr="00F31937">
      <w:tc>
        <w:tcPr>
          <w:tcW w:w="4537" w:type="dxa"/>
          <w:vMerge w:val="restart"/>
        </w:tcPr>
        <w:p w14:paraId="7CE0F8B2" w14:textId="77777777" w:rsidR="00F31937" w:rsidRDefault="00F31937" w:rsidP="00F31937">
          <w:pPr>
            <w:pStyle w:val="Header"/>
            <w:rPr>
              <w:b/>
            </w:rPr>
          </w:pPr>
          <w:r>
            <w:rPr>
              <w:noProof/>
            </w:rPr>
            <w:drawing>
              <wp:inline distT="0" distB="0" distL="0" distR="0" wp14:anchorId="3A0164B6" wp14:editId="62817980">
                <wp:extent cx="2084400" cy="532800"/>
                <wp:effectExtent l="0" t="0" r="0" b="635"/>
                <wp:docPr id="15" name="Picture 15"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ha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4400" cy="532800"/>
                        </a:xfrm>
                        <a:prstGeom prst="rect">
                          <a:avLst/>
                        </a:prstGeom>
                        <a:noFill/>
                        <a:ln>
                          <a:noFill/>
                        </a:ln>
                      </pic:spPr>
                    </pic:pic>
                  </a:graphicData>
                </a:graphic>
              </wp:inline>
            </w:drawing>
          </w:r>
        </w:p>
      </w:tc>
      <w:tc>
        <w:tcPr>
          <w:tcW w:w="3270" w:type="dxa"/>
        </w:tcPr>
        <w:p w14:paraId="5DB1D0C8" w14:textId="77777777" w:rsidR="00F31937" w:rsidRDefault="00F31937" w:rsidP="00F31937">
          <w:pPr>
            <w:pStyle w:val="Header"/>
          </w:pPr>
          <w:r w:rsidRPr="006C39A8">
            <w:t>[Document title]</w:t>
          </w:r>
        </w:p>
      </w:tc>
      <w:tc>
        <w:tcPr>
          <w:tcW w:w="1832" w:type="dxa"/>
        </w:tcPr>
        <w:p w14:paraId="09A36CD7" w14:textId="77777777" w:rsidR="00F31937" w:rsidRDefault="00F31937" w:rsidP="00F31937">
          <w:pPr>
            <w:pStyle w:val="Header"/>
            <w:jc w:val="right"/>
          </w:pPr>
          <w:r w:rsidRPr="006C39A8">
            <w:t>3 (4)</w:t>
          </w:r>
        </w:p>
      </w:tc>
    </w:tr>
    <w:tr w:rsidR="00F31937" w14:paraId="3B678D5C" w14:textId="77777777" w:rsidTr="00F31937">
      <w:tc>
        <w:tcPr>
          <w:tcW w:w="4537" w:type="dxa"/>
          <w:vMerge/>
        </w:tcPr>
        <w:p w14:paraId="6B9E0B3A" w14:textId="77777777" w:rsidR="00F31937" w:rsidRPr="00675E99" w:rsidRDefault="00F31937" w:rsidP="00F31937">
          <w:pPr>
            <w:pStyle w:val="Header"/>
          </w:pPr>
        </w:p>
      </w:tc>
      <w:tc>
        <w:tcPr>
          <w:tcW w:w="3270" w:type="dxa"/>
        </w:tcPr>
        <w:p w14:paraId="2921AB08" w14:textId="77777777" w:rsidR="00F31937" w:rsidRDefault="00F31937" w:rsidP="00F31937">
          <w:pPr>
            <w:pStyle w:val="Header"/>
          </w:pPr>
          <w:r w:rsidRPr="006C39A8">
            <w:t>Internal/Restricted/Confidential</w:t>
          </w:r>
        </w:p>
      </w:tc>
      <w:tc>
        <w:tcPr>
          <w:tcW w:w="1832" w:type="dxa"/>
        </w:tcPr>
        <w:p w14:paraId="0BAB083C" w14:textId="77777777" w:rsidR="00F31937" w:rsidRDefault="00F31937" w:rsidP="00F31937">
          <w:pPr>
            <w:pStyle w:val="Header"/>
            <w:jc w:val="right"/>
          </w:pPr>
          <w:r w:rsidRPr="006C39A8">
            <w:t>XX/xx</w:t>
          </w:r>
        </w:p>
      </w:tc>
    </w:tr>
    <w:tr w:rsidR="00F31937" w14:paraId="0C6DD72E" w14:textId="77777777" w:rsidTr="00F31937">
      <w:tc>
        <w:tcPr>
          <w:tcW w:w="4537" w:type="dxa"/>
          <w:vMerge/>
        </w:tcPr>
        <w:p w14:paraId="0EA6D8AB" w14:textId="77777777" w:rsidR="00F31937" w:rsidRDefault="00F31937" w:rsidP="00F31937">
          <w:pPr>
            <w:pStyle w:val="Header"/>
          </w:pPr>
        </w:p>
      </w:tc>
      <w:tc>
        <w:tcPr>
          <w:tcW w:w="3270" w:type="dxa"/>
        </w:tcPr>
        <w:p w14:paraId="31D2CE38" w14:textId="77777777" w:rsidR="00F31937" w:rsidRDefault="00F31937" w:rsidP="00F31937">
          <w:pPr>
            <w:pStyle w:val="Header"/>
          </w:pPr>
        </w:p>
      </w:tc>
      <w:tc>
        <w:tcPr>
          <w:tcW w:w="1832" w:type="dxa"/>
        </w:tcPr>
        <w:p w14:paraId="7F3E19B9" w14:textId="77777777" w:rsidR="00F31937" w:rsidRDefault="00F31937" w:rsidP="00F31937">
          <w:pPr>
            <w:pStyle w:val="Header"/>
            <w:jc w:val="right"/>
          </w:pPr>
        </w:p>
      </w:tc>
    </w:tr>
    <w:tr w:rsidR="00F31937" w14:paraId="552E3F55" w14:textId="77777777" w:rsidTr="00F31937">
      <w:tc>
        <w:tcPr>
          <w:tcW w:w="4537" w:type="dxa"/>
          <w:vMerge/>
        </w:tcPr>
        <w:p w14:paraId="6CE4B4AF" w14:textId="77777777" w:rsidR="00F31937" w:rsidRDefault="00F31937" w:rsidP="00F31937">
          <w:pPr>
            <w:pStyle w:val="Header"/>
          </w:pPr>
        </w:p>
      </w:tc>
      <w:tc>
        <w:tcPr>
          <w:tcW w:w="3270" w:type="dxa"/>
        </w:tcPr>
        <w:p w14:paraId="1CF48786" w14:textId="77777777" w:rsidR="00F31937" w:rsidRDefault="00F31937" w:rsidP="00F31937">
          <w:pPr>
            <w:pStyle w:val="Header"/>
          </w:pPr>
          <w:r w:rsidRPr="006C39A8">
            <w:t xml:space="preserve">dd Month </w:t>
          </w:r>
          <w:proofErr w:type="spellStart"/>
          <w:r w:rsidRPr="006C39A8">
            <w:t>yyyy</w:t>
          </w:r>
          <w:proofErr w:type="spellEnd"/>
        </w:p>
      </w:tc>
      <w:tc>
        <w:tcPr>
          <w:tcW w:w="1832" w:type="dxa"/>
        </w:tcPr>
        <w:p w14:paraId="6BFFF386" w14:textId="77777777" w:rsidR="00F31937" w:rsidRDefault="00F31937" w:rsidP="00F31937">
          <w:pPr>
            <w:pStyle w:val="Header"/>
            <w:jc w:val="right"/>
          </w:pPr>
        </w:p>
      </w:tc>
    </w:tr>
  </w:tbl>
  <w:p w14:paraId="6A409032" w14:textId="77777777" w:rsidR="00F31937" w:rsidRDefault="00F31937" w:rsidP="00F31937">
    <w:pPr>
      <w:pStyle w:val="Header"/>
    </w:pPr>
  </w:p>
  <w:p w14:paraId="49E8B2B8" w14:textId="77777777" w:rsidR="00F31937" w:rsidRPr="00DA3B32" w:rsidRDefault="00F31937" w:rsidP="00F319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2C47" w14:textId="77777777" w:rsidR="00F31937" w:rsidRDefault="00F319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966E" w14:textId="77777777" w:rsidR="00F31937" w:rsidRDefault="00F3193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D5955" w14:textId="77777777" w:rsidR="00F31937" w:rsidRDefault="00F319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50CECE0"/>
    <w:lvl w:ilvl="0">
      <w:start w:val="1"/>
      <w:numFmt w:val="decimal"/>
      <w:pStyle w:val="ListNumber"/>
      <w:lvlText w:val="%1."/>
      <w:lvlJc w:val="left"/>
      <w:pPr>
        <w:tabs>
          <w:tab w:val="num" w:pos="360"/>
        </w:tabs>
        <w:ind w:left="360" w:hanging="360"/>
      </w:pPr>
    </w:lvl>
  </w:abstractNum>
  <w:abstractNum w:abstractNumId="1" w15:restartNumberingAfterBreak="0">
    <w:nsid w:val="03E1C316"/>
    <w:multiLevelType w:val="hybridMultilevel"/>
    <w:tmpl w:val="FFFFFFFF"/>
    <w:lvl w:ilvl="0" w:tplc="644C46E2">
      <w:start w:val="1"/>
      <w:numFmt w:val="bullet"/>
      <w:lvlText w:val=""/>
      <w:lvlJc w:val="left"/>
      <w:pPr>
        <w:ind w:left="720" w:hanging="360"/>
      </w:pPr>
      <w:rPr>
        <w:rFonts w:ascii="Symbol" w:hAnsi="Symbol" w:hint="default"/>
      </w:rPr>
    </w:lvl>
    <w:lvl w:ilvl="1" w:tplc="DDD85D5C">
      <w:start w:val="1"/>
      <w:numFmt w:val="bullet"/>
      <w:lvlText w:val="o"/>
      <w:lvlJc w:val="left"/>
      <w:pPr>
        <w:ind w:left="1440" w:hanging="360"/>
      </w:pPr>
      <w:rPr>
        <w:rFonts w:ascii="Courier New" w:hAnsi="Courier New" w:hint="default"/>
      </w:rPr>
    </w:lvl>
    <w:lvl w:ilvl="2" w:tplc="F3B655D0">
      <w:start w:val="1"/>
      <w:numFmt w:val="bullet"/>
      <w:lvlText w:val=""/>
      <w:lvlJc w:val="left"/>
      <w:pPr>
        <w:ind w:left="2160" w:hanging="360"/>
      </w:pPr>
      <w:rPr>
        <w:rFonts w:ascii="Wingdings" w:hAnsi="Wingdings" w:hint="default"/>
      </w:rPr>
    </w:lvl>
    <w:lvl w:ilvl="3" w:tplc="6A04B384">
      <w:start w:val="1"/>
      <w:numFmt w:val="bullet"/>
      <w:lvlText w:val=""/>
      <w:lvlJc w:val="left"/>
      <w:pPr>
        <w:ind w:left="2880" w:hanging="360"/>
      </w:pPr>
      <w:rPr>
        <w:rFonts w:ascii="Symbol" w:hAnsi="Symbol" w:hint="default"/>
      </w:rPr>
    </w:lvl>
    <w:lvl w:ilvl="4" w:tplc="7D8CFB8A">
      <w:start w:val="1"/>
      <w:numFmt w:val="bullet"/>
      <w:lvlText w:val="o"/>
      <w:lvlJc w:val="left"/>
      <w:pPr>
        <w:ind w:left="3600" w:hanging="360"/>
      </w:pPr>
      <w:rPr>
        <w:rFonts w:ascii="Courier New" w:hAnsi="Courier New" w:hint="default"/>
      </w:rPr>
    </w:lvl>
    <w:lvl w:ilvl="5" w:tplc="6AD63050">
      <w:start w:val="1"/>
      <w:numFmt w:val="bullet"/>
      <w:lvlText w:val=""/>
      <w:lvlJc w:val="left"/>
      <w:pPr>
        <w:ind w:left="4320" w:hanging="360"/>
      </w:pPr>
      <w:rPr>
        <w:rFonts w:ascii="Wingdings" w:hAnsi="Wingdings" w:hint="default"/>
      </w:rPr>
    </w:lvl>
    <w:lvl w:ilvl="6" w:tplc="B43CEA4E">
      <w:start w:val="1"/>
      <w:numFmt w:val="bullet"/>
      <w:lvlText w:val=""/>
      <w:lvlJc w:val="left"/>
      <w:pPr>
        <w:ind w:left="5040" w:hanging="360"/>
      </w:pPr>
      <w:rPr>
        <w:rFonts w:ascii="Symbol" w:hAnsi="Symbol" w:hint="default"/>
      </w:rPr>
    </w:lvl>
    <w:lvl w:ilvl="7" w:tplc="3B9E87AA">
      <w:start w:val="1"/>
      <w:numFmt w:val="bullet"/>
      <w:lvlText w:val="o"/>
      <w:lvlJc w:val="left"/>
      <w:pPr>
        <w:ind w:left="5760" w:hanging="360"/>
      </w:pPr>
      <w:rPr>
        <w:rFonts w:ascii="Courier New" w:hAnsi="Courier New" w:hint="default"/>
      </w:rPr>
    </w:lvl>
    <w:lvl w:ilvl="8" w:tplc="10C25498">
      <w:start w:val="1"/>
      <w:numFmt w:val="bullet"/>
      <w:lvlText w:val=""/>
      <w:lvlJc w:val="left"/>
      <w:pPr>
        <w:ind w:left="6480" w:hanging="360"/>
      </w:pPr>
      <w:rPr>
        <w:rFonts w:ascii="Wingdings" w:hAnsi="Wingdings" w:hint="default"/>
      </w:rPr>
    </w:lvl>
  </w:abstractNum>
  <w:abstractNum w:abstractNumId="2" w15:restartNumberingAfterBreak="0">
    <w:nsid w:val="048E6F56"/>
    <w:multiLevelType w:val="hybridMultilevel"/>
    <w:tmpl w:val="383A7A32"/>
    <w:lvl w:ilvl="0" w:tplc="9B70993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319" w:hanging="360"/>
      </w:pPr>
      <w:rPr>
        <w:rFonts w:ascii="Courier New" w:hAnsi="Courier New" w:cs="Courier New" w:hint="default"/>
      </w:rPr>
    </w:lvl>
    <w:lvl w:ilvl="2" w:tplc="08090005" w:tentative="1">
      <w:start w:val="1"/>
      <w:numFmt w:val="bullet"/>
      <w:lvlText w:val=""/>
      <w:lvlJc w:val="left"/>
      <w:pPr>
        <w:ind w:left="-599" w:hanging="360"/>
      </w:pPr>
      <w:rPr>
        <w:rFonts w:ascii="Wingdings" w:hAnsi="Wingdings" w:hint="default"/>
      </w:rPr>
    </w:lvl>
    <w:lvl w:ilvl="3" w:tplc="08090001" w:tentative="1">
      <w:start w:val="1"/>
      <w:numFmt w:val="bullet"/>
      <w:lvlText w:val=""/>
      <w:lvlJc w:val="left"/>
      <w:pPr>
        <w:ind w:left="121" w:hanging="360"/>
      </w:pPr>
      <w:rPr>
        <w:rFonts w:ascii="Symbol" w:hAnsi="Symbol" w:hint="default"/>
      </w:rPr>
    </w:lvl>
    <w:lvl w:ilvl="4" w:tplc="08090003" w:tentative="1">
      <w:start w:val="1"/>
      <w:numFmt w:val="bullet"/>
      <w:lvlText w:val="o"/>
      <w:lvlJc w:val="left"/>
      <w:pPr>
        <w:ind w:left="841" w:hanging="360"/>
      </w:pPr>
      <w:rPr>
        <w:rFonts w:ascii="Courier New" w:hAnsi="Courier New" w:cs="Courier New" w:hint="default"/>
      </w:rPr>
    </w:lvl>
    <w:lvl w:ilvl="5" w:tplc="08090005" w:tentative="1">
      <w:start w:val="1"/>
      <w:numFmt w:val="bullet"/>
      <w:lvlText w:val=""/>
      <w:lvlJc w:val="left"/>
      <w:pPr>
        <w:ind w:left="1561" w:hanging="360"/>
      </w:pPr>
      <w:rPr>
        <w:rFonts w:ascii="Wingdings" w:hAnsi="Wingdings" w:hint="default"/>
      </w:rPr>
    </w:lvl>
    <w:lvl w:ilvl="6" w:tplc="08090001" w:tentative="1">
      <w:start w:val="1"/>
      <w:numFmt w:val="bullet"/>
      <w:lvlText w:val=""/>
      <w:lvlJc w:val="left"/>
      <w:pPr>
        <w:ind w:left="2281" w:hanging="360"/>
      </w:pPr>
      <w:rPr>
        <w:rFonts w:ascii="Symbol" w:hAnsi="Symbol" w:hint="default"/>
      </w:rPr>
    </w:lvl>
    <w:lvl w:ilvl="7" w:tplc="08090003" w:tentative="1">
      <w:start w:val="1"/>
      <w:numFmt w:val="bullet"/>
      <w:lvlText w:val="o"/>
      <w:lvlJc w:val="left"/>
      <w:pPr>
        <w:ind w:left="3001" w:hanging="360"/>
      </w:pPr>
      <w:rPr>
        <w:rFonts w:ascii="Courier New" w:hAnsi="Courier New" w:cs="Courier New" w:hint="default"/>
      </w:rPr>
    </w:lvl>
    <w:lvl w:ilvl="8" w:tplc="08090005" w:tentative="1">
      <w:start w:val="1"/>
      <w:numFmt w:val="bullet"/>
      <w:lvlText w:val=""/>
      <w:lvlJc w:val="left"/>
      <w:pPr>
        <w:ind w:left="3721" w:hanging="360"/>
      </w:pPr>
      <w:rPr>
        <w:rFonts w:ascii="Wingdings" w:hAnsi="Wingdings" w:hint="default"/>
      </w:rPr>
    </w:lvl>
  </w:abstractNum>
  <w:abstractNum w:abstractNumId="3" w15:restartNumberingAfterBreak="0">
    <w:nsid w:val="05E551DD"/>
    <w:multiLevelType w:val="hybridMultilevel"/>
    <w:tmpl w:val="B8BC9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809"/>
    <w:multiLevelType w:val="hybridMultilevel"/>
    <w:tmpl w:val="C0CCCE5A"/>
    <w:lvl w:ilvl="0" w:tplc="4DA2ACA6">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2C6A95"/>
    <w:multiLevelType w:val="singleLevel"/>
    <w:tmpl w:val="4B906980"/>
    <w:name w:val="List Bullet 1"/>
    <w:lvl w:ilvl="0">
      <w:start w:val="1"/>
      <w:numFmt w:val="bullet"/>
      <w:lvlRestart w:val="0"/>
      <w:pStyle w:val="ListBullet1"/>
      <w:lvlText w:val=""/>
      <w:lvlJc w:val="left"/>
      <w:pPr>
        <w:tabs>
          <w:tab w:val="num" w:pos="567"/>
        </w:tabs>
        <w:ind w:left="567" w:hanging="283"/>
      </w:pPr>
      <w:rPr>
        <w:rFonts w:ascii="Symbol" w:hAnsi="Symbol" w:hint="default"/>
        <w:vertAlign w:val="baseline"/>
      </w:rPr>
    </w:lvl>
  </w:abstractNum>
  <w:abstractNum w:abstractNumId="6" w15:restartNumberingAfterBreak="0">
    <w:nsid w:val="074C31AF"/>
    <w:multiLevelType w:val="hybridMultilevel"/>
    <w:tmpl w:val="6A104964"/>
    <w:lvl w:ilvl="0" w:tplc="4DA2ACA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53FEF3"/>
    <w:multiLevelType w:val="hybridMultilevel"/>
    <w:tmpl w:val="FFFFFFFF"/>
    <w:lvl w:ilvl="0" w:tplc="5F68AFCE">
      <w:start w:val="1"/>
      <w:numFmt w:val="bullet"/>
      <w:lvlText w:val=""/>
      <w:lvlJc w:val="left"/>
      <w:pPr>
        <w:ind w:left="720" w:hanging="360"/>
      </w:pPr>
      <w:rPr>
        <w:rFonts w:ascii="Symbol" w:hAnsi="Symbol" w:hint="default"/>
      </w:rPr>
    </w:lvl>
    <w:lvl w:ilvl="1" w:tplc="260616AA">
      <w:start w:val="1"/>
      <w:numFmt w:val="bullet"/>
      <w:lvlText w:val="o"/>
      <w:lvlJc w:val="left"/>
      <w:pPr>
        <w:ind w:left="1440" w:hanging="360"/>
      </w:pPr>
      <w:rPr>
        <w:rFonts w:ascii="Courier New" w:hAnsi="Courier New" w:hint="default"/>
      </w:rPr>
    </w:lvl>
    <w:lvl w:ilvl="2" w:tplc="F2F8DE28">
      <w:start w:val="1"/>
      <w:numFmt w:val="bullet"/>
      <w:lvlText w:val=""/>
      <w:lvlJc w:val="left"/>
      <w:pPr>
        <w:ind w:left="2160" w:hanging="360"/>
      </w:pPr>
      <w:rPr>
        <w:rFonts w:ascii="Wingdings" w:hAnsi="Wingdings" w:hint="default"/>
      </w:rPr>
    </w:lvl>
    <w:lvl w:ilvl="3" w:tplc="27B8076A">
      <w:start w:val="1"/>
      <w:numFmt w:val="bullet"/>
      <w:lvlText w:val=""/>
      <w:lvlJc w:val="left"/>
      <w:pPr>
        <w:ind w:left="2880" w:hanging="360"/>
      </w:pPr>
      <w:rPr>
        <w:rFonts w:ascii="Symbol" w:hAnsi="Symbol" w:hint="default"/>
      </w:rPr>
    </w:lvl>
    <w:lvl w:ilvl="4" w:tplc="B90A33A4">
      <w:start w:val="1"/>
      <w:numFmt w:val="bullet"/>
      <w:lvlText w:val="o"/>
      <w:lvlJc w:val="left"/>
      <w:pPr>
        <w:ind w:left="3600" w:hanging="360"/>
      </w:pPr>
      <w:rPr>
        <w:rFonts w:ascii="Courier New" w:hAnsi="Courier New" w:hint="default"/>
      </w:rPr>
    </w:lvl>
    <w:lvl w:ilvl="5" w:tplc="AC2A625A">
      <w:start w:val="1"/>
      <w:numFmt w:val="bullet"/>
      <w:lvlText w:val=""/>
      <w:lvlJc w:val="left"/>
      <w:pPr>
        <w:ind w:left="4320" w:hanging="360"/>
      </w:pPr>
      <w:rPr>
        <w:rFonts w:ascii="Wingdings" w:hAnsi="Wingdings" w:hint="default"/>
      </w:rPr>
    </w:lvl>
    <w:lvl w:ilvl="6" w:tplc="B15A458E">
      <w:start w:val="1"/>
      <w:numFmt w:val="bullet"/>
      <w:lvlText w:val=""/>
      <w:lvlJc w:val="left"/>
      <w:pPr>
        <w:ind w:left="5040" w:hanging="360"/>
      </w:pPr>
      <w:rPr>
        <w:rFonts w:ascii="Symbol" w:hAnsi="Symbol" w:hint="default"/>
      </w:rPr>
    </w:lvl>
    <w:lvl w:ilvl="7" w:tplc="D26AA9BA">
      <w:start w:val="1"/>
      <w:numFmt w:val="bullet"/>
      <w:lvlText w:val="o"/>
      <w:lvlJc w:val="left"/>
      <w:pPr>
        <w:ind w:left="5760" w:hanging="360"/>
      </w:pPr>
      <w:rPr>
        <w:rFonts w:ascii="Courier New" w:hAnsi="Courier New" w:hint="default"/>
      </w:rPr>
    </w:lvl>
    <w:lvl w:ilvl="8" w:tplc="D960F3FE">
      <w:start w:val="1"/>
      <w:numFmt w:val="bullet"/>
      <w:lvlText w:val=""/>
      <w:lvlJc w:val="left"/>
      <w:pPr>
        <w:ind w:left="6480" w:hanging="360"/>
      </w:pPr>
      <w:rPr>
        <w:rFonts w:ascii="Wingdings" w:hAnsi="Wingdings" w:hint="default"/>
      </w:rPr>
    </w:lvl>
  </w:abstractNum>
  <w:abstractNum w:abstractNumId="8" w15:restartNumberingAfterBreak="0">
    <w:nsid w:val="092008AB"/>
    <w:multiLevelType w:val="hybridMultilevel"/>
    <w:tmpl w:val="A03EFD1A"/>
    <w:lvl w:ilvl="0" w:tplc="7002566A">
      <w:start w:val="1"/>
      <w:numFmt w:val="bullet"/>
      <w:lvlText w:val="-"/>
      <w:lvlJc w:val="left"/>
      <w:pPr>
        <w:ind w:left="720" w:hanging="360"/>
      </w:pPr>
      <w:rPr>
        <w:rFonts w:ascii="Calibri" w:hAnsi="Calibri" w:hint="default"/>
      </w:rPr>
    </w:lvl>
    <w:lvl w:ilvl="1" w:tplc="8FEA804E">
      <w:start w:val="1"/>
      <w:numFmt w:val="bullet"/>
      <w:lvlText w:val="o"/>
      <w:lvlJc w:val="left"/>
      <w:pPr>
        <w:ind w:left="1440" w:hanging="360"/>
      </w:pPr>
      <w:rPr>
        <w:rFonts w:ascii="Courier New" w:hAnsi="Courier New" w:hint="default"/>
      </w:rPr>
    </w:lvl>
    <w:lvl w:ilvl="2" w:tplc="B1DA8290">
      <w:start w:val="1"/>
      <w:numFmt w:val="bullet"/>
      <w:lvlText w:val=""/>
      <w:lvlJc w:val="left"/>
      <w:pPr>
        <w:ind w:left="2160" w:hanging="360"/>
      </w:pPr>
      <w:rPr>
        <w:rFonts w:ascii="Wingdings" w:hAnsi="Wingdings" w:hint="default"/>
      </w:rPr>
    </w:lvl>
    <w:lvl w:ilvl="3" w:tplc="2F543116">
      <w:start w:val="1"/>
      <w:numFmt w:val="bullet"/>
      <w:lvlText w:val=""/>
      <w:lvlJc w:val="left"/>
      <w:pPr>
        <w:ind w:left="2880" w:hanging="360"/>
      </w:pPr>
      <w:rPr>
        <w:rFonts w:ascii="Symbol" w:hAnsi="Symbol" w:hint="default"/>
      </w:rPr>
    </w:lvl>
    <w:lvl w:ilvl="4" w:tplc="76701A0E">
      <w:start w:val="1"/>
      <w:numFmt w:val="bullet"/>
      <w:lvlText w:val="o"/>
      <w:lvlJc w:val="left"/>
      <w:pPr>
        <w:ind w:left="3600" w:hanging="360"/>
      </w:pPr>
      <w:rPr>
        <w:rFonts w:ascii="Courier New" w:hAnsi="Courier New" w:hint="default"/>
      </w:rPr>
    </w:lvl>
    <w:lvl w:ilvl="5" w:tplc="E754044C">
      <w:start w:val="1"/>
      <w:numFmt w:val="bullet"/>
      <w:lvlText w:val=""/>
      <w:lvlJc w:val="left"/>
      <w:pPr>
        <w:ind w:left="4320" w:hanging="360"/>
      </w:pPr>
      <w:rPr>
        <w:rFonts w:ascii="Wingdings" w:hAnsi="Wingdings" w:hint="default"/>
      </w:rPr>
    </w:lvl>
    <w:lvl w:ilvl="6" w:tplc="43B286D6">
      <w:start w:val="1"/>
      <w:numFmt w:val="bullet"/>
      <w:lvlText w:val=""/>
      <w:lvlJc w:val="left"/>
      <w:pPr>
        <w:ind w:left="5040" w:hanging="360"/>
      </w:pPr>
      <w:rPr>
        <w:rFonts w:ascii="Symbol" w:hAnsi="Symbol" w:hint="default"/>
      </w:rPr>
    </w:lvl>
    <w:lvl w:ilvl="7" w:tplc="42AC15B4">
      <w:start w:val="1"/>
      <w:numFmt w:val="bullet"/>
      <w:lvlText w:val="o"/>
      <w:lvlJc w:val="left"/>
      <w:pPr>
        <w:ind w:left="5760" w:hanging="360"/>
      </w:pPr>
      <w:rPr>
        <w:rFonts w:ascii="Courier New" w:hAnsi="Courier New" w:hint="default"/>
      </w:rPr>
    </w:lvl>
    <w:lvl w:ilvl="8" w:tplc="FE82527E">
      <w:start w:val="1"/>
      <w:numFmt w:val="bullet"/>
      <w:lvlText w:val=""/>
      <w:lvlJc w:val="left"/>
      <w:pPr>
        <w:ind w:left="6480" w:hanging="360"/>
      </w:pPr>
      <w:rPr>
        <w:rFonts w:ascii="Wingdings" w:hAnsi="Wingdings" w:hint="default"/>
      </w:rPr>
    </w:lvl>
  </w:abstractNum>
  <w:abstractNum w:abstractNumId="9" w15:restartNumberingAfterBreak="0">
    <w:nsid w:val="095CDA07"/>
    <w:multiLevelType w:val="hybridMultilevel"/>
    <w:tmpl w:val="7EF29F8C"/>
    <w:lvl w:ilvl="0" w:tplc="29E466D6">
      <w:start w:val="1"/>
      <w:numFmt w:val="decimal"/>
      <w:lvlText w:val="%1."/>
      <w:lvlJc w:val="left"/>
      <w:pPr>
        <w:ind w:left="720" w:hanging="360"/>
      </w:pPr>
    </w:lvl>
    <w:lvl w:ilvl="1" w:tplc="7882A4AC">
      <w:start w:val="1"/>
      <w:numFmt w:val="lowerLetter"/>
      <w:lvlText w:val="%2."/>
      <w:lvlJc w:val="left"/>
      <w:pPr>
        <w:ind w:left="1440" w:hanging="360"/>
      </w:pPr>
    </w:lvl>
    <w:lvl w:ilvl="2" w:tplc="EC029C56">
      <w:start w:val="1"/>
      <w:numFmt w:val="lowerRoman"/>
      <w:lvlText w:val="%3."/>
      <w:lvlJc w:val="right"/>
      <w:pPr>
        <w:ind w:left="2160" w:hanging="180"/>
      </w:pPr>
    </w:lvl>
    <w:lvl w:ilvl="3" w:tplc="3B44EAB4">
      <w:start w:val="1"/>
      <w:numFmt w:val="decimal"/>
      <w:lvlText w:val="%4."/>
      <w:lvlJc w:val="left"/>
      <w:pPr>
        <w:ind w:left="2880" w:hanging="360"/>
      </w:pPr>
    </w:lvl>
    <w:lvl w:ilvl="4" w:tplc="8F08C346">
      <w:start w:val="1"/>
      <w:numFmt w:val="lowerLetter"/>
      <w:lvlText w:val="%5."/>
      <w:lvlJc w:val="left"/>
      <w:pPr>
        <w:ind w:left="3600" w:hanging="360"/>
      </w:pPr>
    </w:lvl>
    <w:lvl w:ilvl="5" w:tplc="D3446F46">
      <w:start w:val="1"/>
      <w:numFmt w:val="lowerRoman"/>
      <w:lvlText w:val="%6."/>
      <w:lvlJc w:val="right"/>
      <w:pPr>
        <w:ind w:left="4320" w:hanging="180"/>
      </w:pPr>
    </w:lvl>
    <w:lvl w:ilvl="6" w:tplc="2F1A4FBC">
      <w:start w:val="1"/>
      <w:numFmt w:val="decimal"/>
      <w:lvlText w:val="%7."/>
      <w:lvlJc w:val="left"/>
      <w:pPr>
        <w:ind w:left="5040" w:hanging="360"/>
      </w:pPr>
    </w:lvl>
    <w:lvl w:ilvl="7" w:tplc="47142434">
      <w:start w:val="1"/>
      <w:numFmt w:val="lowerLetter"/>
      <w:lvlText w:val="%8."/>
      <w:lvlJc w:val="left"/>
      <w:pPr>
        <w:ind w:left="5760" w:hanging="360"/>
      </w:pPr>
    </w:lvl>
    <w:lvl w:ilvl="8" w:tplc="5478F2A0">
      <w:start w:val="1"/>
      <w:numFmt w:val="lowerRoman"/>
      <w:lvlText w:val="%9."/>
      <w:lvlJc w:val="right"/>
      <w:pPr>
        <w:ind w:left="6480" w:hanging="180"/>
      </w:pPr>
    </w:lvl>
  </w:abstractNum>
  <w:abstractNum w:abstractNumId="10" w15:restartNumberingAfterBreak="0">
    <w:nsid w:val="0B4C2028"/>
    <w:multiLevelType w:val="hybridMultilevel"/>
    <w:tmpl w:val="C9BA7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B69368D"/>
    <w:multiLevelType w:val="hybridMultilevel"/>
    <w:tmpl w:val="FFFFFFFF"/>
    <w:lvl w:ilvl="0" w:tplc="7932FA46">
      <w:start w:val="1"/>
      <w:numFmt w:val="bullet"/>
      <w:lvlText w:val="·"/>
      <w:lvlJc w:val="left"/>
      <w:pPr>
        <w:ind w:left="720" w:hanging="360"/>
      </w:pPr>
      <w:rPr>
        <w:rFonts w:ascii="Symbol" w:hAnsi="Symbol" w:hint="default"/>
      </w:rPr>
    </w:lvl>
    <w:lvl w:ilvl="1" w:tplc="E58A7D62">
      <w:start w:val="1"/>
      <w:numFmt w:val="bullet"/>
      <w:lvlText w:val="o"/>
      <w:lvlJc w:val="left"/>
      <w:pPr>
        <w:ind w:left="1440" w:hanging="360"/>
      </w:pPr>
      <w:rPr>
        <w:rFonts w:ascii="Courier New" w:hAnsi="Courier New" w:hint="default"/>
      </w:rPr>
    </w:lvl>
    <w:lvl w:ilvl="2" w:tplc="92DC9E8A">
      <w:start w:val="1"/>
      <w:numFmt w:val="bullet"/>
      <w:lvlText w:val=""/>
      <w:lvlJc w:val="left"/>
      <w:pPr>
        <w:ind w:left="2160" w:hanging="360"/>
      </w:pPr>
      <w:rPr>
        <w:rFonts w:ascii="Wingdings" w:hAnsi="Wingdings" w:hint="default"/>
      </w:rPr>
    </w:lvl>
    <w:lvl w:ilvl="3" w:tplc="81BCB0D6">
      <w:start w:val="1"/>
      <w:numFmt w:val="bullet"/>
      <w:lvlText w:val=""/>
      <w:lvlJc w:val="left"/>
      <w:pPr>
        <w:ind w:left="2880" w:hanging="360"/>
      </w:pPr>
      <w:rPr>
        <w:rFonts w:ascii="Symbol" w:hAnsi="Symbol" w:hint="default"/>
      </w:rPr>
    </w:lvl>
    <w:lvl w:ilvl="4" w:tplc="9EA826F4">
      <w:start w:val="1"/>
      <w:numFmt w:val="bullet"/>
      <w:lvlText w:val="o"/>
      <w:lvlJc w:val="left"/>
      <w:pPr>
        <w:ind w:left="3600" w:hanging="360"/>
      </w:pPr>
      <w:rPr>
        <w:rFonts w:ascii="Courier New" w:hAnsi="Courier New" w:hint="default"/>
      </w:rPr>
    </w:lvl>
    <w:lvl w:ilvl="5" w:tplc="DA14E9CC">
      <w:start w:val="1"/>
      <w:numFmt w:val="bullet"/>
      <w:lvlText w:val=""/>
      <w:lvlJc w:val="left"/>
      <w:pPr>
        <w:ind w:left="4320" w:hanging="360"/>
      </w:pPr>
      <w:rPr>
        <w:rFonts w:ascii="Wingdings" w:hAnsi="Wingdings" w:hint="default"/>
      </w:rPr>
    </w:lvl>
    <w:lvl w:ilvl="6" w:tplc="F12EF69E">
      <w:start w:val="1"/>
      <w:numFmt w:val="bullet"/>
      <w:lvlText w:val=""/>
      <w:lvlJc w:val="left"/>
      <w:pPr>
        <w:ind w:left="5040" w:hanging="360"/>
      </w:pPr>
      <w:rPr>
        <w:rFonts w:ascii="Symbol" w:hAnsi="Symbol" w:hint="default"/>
      </w:rPr>
    </w:lvl>
    <w:lvl w:ilvl="7" w:tplc="A756FA9E">
      <w:start w:val="1"/>
      <w:numFmt w:val="bullet"/>
      <w:lvlText w:val="o"/>
      <w:lvlJc w:val="left"/>
      <w:pPr>
        <w:ind w:left="5760" w:hanging="360"/>
      </w:pPr>
      <w:rPr>
        <w:rFonts w:ascii="Courier New" w:hAnsi="Courier New" w:hint="default"/>
      </w:rPr>
    </w:lvl>
    <w:lvl w:ilvl="8" w:tplc="0588A7A4">
      <w:start w:val="1"/>
      <w:numFmt w:val="bullet"/>
      <w:lvlText w:val=""/>
      <w:lvlJc w:val="left"/>
      <w:pPr>
        <w:ind w:left="6480" w:hanging="360"/>
      </w:pPr>
      <w:rPr>
        <w:rFonts w:ascii="Wingdings" w:hAnsi="Wingdings" w:hint="default"/>
      </w:rPr>
    </w:lvl>
  </w:abstractNum>
  <w:abstractNum w:abstractNumId="12" w15:restartNumberingAfterBreak="0">
    <w:nsid w:val="0BD82142"/>
    <w:multiLevelType w:val="hybridMultilevel"/>
    <w:tmpl w:val="55A4EC10"/>
    <w:lvl w:ilvl="0" w:tplc="4DA2ACA6">
      <w:start w:val="1"/>
      <w:numFmt w:val="bullet"/>
      <w:lvlText w:val="-"/>
      <w:lvlJc w:val="left"/>
      <w:pPr>
        <w:ind w:left="1788" w:hanging="360"/>
      </w:pPr>
      <w:rPr>
        <w:rFonts w:ascii="Times New Roman" w:eastAsia="Times New Roman" w:hAnsi="Times New Roman" w:cs="Times New Roman" w:hint="default"/>
      </w:rPr>
    </w:lvl>
    <w:lvl w:ilvl="1" w:tplc="08090003">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13" w15:restartNumberingAfterBreak="0">
    <w:nsid w:val="0BE78E37"/>
    <w:multiLevelType w:val="hybridMultilevel"/>
    <w:tmpl w:val="52260C30"/>
    <w:lvl w:ilvl="0" w:tplc="103AE046">
      <w:start w:val="1"/>
      <w:numFmt w:val="bullet"/>
      <w:lvlText w:val=""/>
      <w:lvlJc w:val="left"/>
      <w:pPr>
        <w:ind w:left="720" w:hanging="360"/>
      </w:pPr>
      <w:rPr>
        <w:rFonts w:ascii="Symbol" w:hAnsi="Symbol" w:hint="default"/>
      </w:rPr>
    </w:lvl>
    <w:lvl w:ilvl="1" w:tplc="6F1042B8">
      <w:start w:val="1"/>
      <w:numFmt w:val="bullet"/>
      <w:lvlText w:val="o"/>
      <w:lvlJc w:val="left"/>
      <w:pPr>
        <w:ind w:left="1440" w:hanging="360"/>
      </w:pPr>
      <w:rPr>
        <w:rFonts w:ascii="Courier New" w:hAnsi="Courier New" w:hint="default"/>
      </w:rPr>
    </w:lvl>
    <w:lvl w:ilvl="2" w:tplc="F05C9646">
      <w:start w:val="1"/>
      <w:numFmt w:val="bullet"/>
      <w:lvlText w:val=""/>
      <w:lvlJc w:val="left"/>
      <w:pPr>
        <w:ind w:left="2160" w:hanging="360"/>
      </w:pPr>
      <w:rPr>
        <w:rFonts w:ascii="Wingdings" w:hAnsi="Wingdings" w:hint="default"/>
      </w:rPr>
    </w:lvl>
    <w:lvl w:ilvl="3" w:tplc="8EC835EA">
      <w:start w:val="1"/>
      <w:numFmt w:val="bullet"/>
      <w:lvlText w:val=""/>
      <w:lvlJc w:val="left"/>
      <w:pPr>
        <w:ind w:left="2880" w:hanging="360"/>
      </w:pPr>
      <w:rPr>
        <w:rFonts w:ascii="Symbol" w:hAnsi="Symbol" w:hint="default"/>
      </w:rPr>
    </w:lvl>
    <w:lvl w:ilvl="4" w:tplc="A1FA7D84">
      <w:start w:val="1"/>
      <w:numFmt w:val="bullet"/>
      <w:lvlText w:val="o"/>
      <w:lvlJc w:val="left"/>
      <w:pPr>
        <w:ind w:left="3600" w:hanging="360"/>
      </w:pPr>
      <w:rPr>
        <w:rFonts w:ascii="Courier New" w:hAnsi="Courier New" w:hint="default"/>
      </w:rPr>
    </w:lvl>
    <w:lvl w:ilvl="5" w:tplc="D73220FC">
      <w:start w:val="1"/>
      <w:numFmt w:val="bullet"/>
      <w:lvlText w:val=""/>
      <w:lvlJc w:val="left"/>
      <w:pPr>
        <w:ind w:left="4320" w:hanging="360"/>
      </w:pPr>
      <w:rPr>
        <w:rFonts w:ascii="Wingdings" w:hAnsi="Wingdings" w:hint="default"/>
      </w:rPr>
    </w:lvl>
    <w:lvl w:ilvl="6" w:tplc="ED161D7E">
      <w:start w:val="1"/>
      <w:numFmt w:val="bullet"/>
      <w:lvlText w:val=""/>
      <w:lvlJc w:val="left"/>
      <w:pPr>
        <w:ind w:left="5040" w:hanging="360"/>
      </w:pPr>
      <w:rPr>
        <w:rFonts w:ascii="Symbol" w:hAnsi="Symbol" w:hint="default"/>
      </w:rPr>
    </w:lvl>
    <w:lvl w:ilvl="7" w:tplc="F160B31A">
      <w:start w:val="1"/>
      <w:numFmt w:val="bullet"/>
      <w:lvlText w:val="o"/>
      <w:lvlJc w:val="left"/>
      <w:pPr>
        <w:ind w:left="5760" w:hanging="360"/>
      </w:pPr>
      <w:rPr>
        <w:rFonts w:ascii="Courier New" w:hAnsi="Courier New" w:hint="default"/>
      </w:rPr>
    </w:lvl>
    <w:lvl w:ilvl="8" w:tplc="84ECDFC0">
      <w:start w:val="1"/>
      <w:numFmt w:val="bullet"/>
      <w:lvlText w:val=""/>
      <w:lvlJc w:val="left"/>
      <w:pPr>
        <w:ind w:left="6480" w:hanging="360"/>
      </w:pPr>
      <w:rPr>
        <w:rFonts w:ascii="Wingdings" w:hAnsi="Wingdings" w:hint="default"/>
      </w:rPr>
    </w:lvl>
  </w:abstractNum>
  <w:abstractNum w:abstractNumId="14" w15:restartNumberingAfterBreak="0">
    <w:nsid w:val="0D332CF6"/>
    <w:multiLevelType w:val="hybridMultilevel"/>
    <w:tmpl w:val="2848DAB4"/>
    <w:lvl w:ilvl="0" w:tplc="D5FE15BC">
      <w:start w:val="1"/>
      <w:numFmt w:val="bullet"/>
      <w:lvlText w:val=""/>
      <w:lvlJc w:val="left"/>
      <w:pPr>
        <w:ind w:left="720" w:hanging="360"/>
      </w:pPr>
      <w:rPr>
        <w:rFonts w:ascii="Symbol" w:hAnsi="Symbol" w:hint="default"/>
      </w:rPr>
    </w:lvl>
    <w:lvl w:ilvl="1" w:tplc="0A2EE70E">
      <w:start w:val="1"/>
      <w:numFmt w:val="bullet"/>
      <w:lvlText w:val="o"/>
      <w:lvlJc w:val="left"/>
      <w:pPr>
        <w:ind w:left="1440" w:hanging="360"/>
      </w:pPr>
      <w:rPr>
        <w:rFonts w:ascii="Courier New" w:hAnsi="Courier New" w:hint="default"/>
      </w:rPr>
    </w:lvl>
    <w:lvl w:ilvl="2" w:tplc="AD261C96">
      <w:start w:val="1"/>
      <w:numFmt w:val="bullet"/>
      <w:lvlText w:val=""/>
      <w:lvlJc w:val="left"/>
      <w:pPr>
        <w:ind w:left="2160" w:hanging="360"/>
      </w:pPr>
      <w:rPr>
        <w:rFonts w:ascii="Wingdings" w:hAnsi="Wingdings" w:hint="default"/>
      </w:rPr>
    </w:lvl>
    <w:lvl w:ilvl="3" w:tplc="F20A2BC4">
      <w:start w:val="1"/>
      <w:numFmt w:val="bullet"/>
      <w:lvlText w:val=""/>
      <w:lvlJc w:val="left"/>
      <w:pPr>
        <w:ind w:left="2880" w:hanging="360"/>
      </w:pPr>
      <w:rPr>
        <w:rFonts w:ascii="Symbol" w:hAnsi="Symbol" w:hint="default"/>
      </w:rPr>
    </w:lvl>
    <w:lvl w:ilvl="4" w:tplc="592C7326">
      <w:start w:val="1"/>
      <w:numFmt w:val="bullet"/>
      <w:lvlText w:val="o"/>
      <w:lvlJc w:val="left"/>
      <w:pPr>
        <w:ind w:left="3600" w:hanging="360"/>
      </w:pPr>
      <w:rPr>
        <w:rFonts w:ascii="Courier New" w:hAnsi="Courier New" w:hint="default"/>
      </w:rPr>
    </w:lvl>
    <w:lvl w:ilvl="5" w:tplc="15B2A468">
      <w:start w:val="1"/>
      <w:numFmt w:val="bullet"/>
      <w:lvlText w:val=""/>
      <w:lvlJc w:val="left"/>
      <w:pPr>
        <w:ind w:left="4320" w:hanging="360"/>
      </w:pPr>
      <w:rPr>
        <w:rFonts w:ascii="Wingdings" w:hAnsi="Wingdings" w:hint="default"/>
      </w:rPr>
    </w:lvl>
    <w:lvl w:ilvl="6" w:tplc="BC90720C">
      <w:start w:val="1"/>
      <w:numFmt w:val="bullet"/>
      <w:lvlText w:val=""/>
      <w:lvlJc w:val="left"/>
      <w:pPr>
        <w:ind w:left="5040" w:hanging="360"/>
      </w:pPr>
      <w:rPr>
        <w:rFonts w:ascii="Symbol" w:hAnsi="Symbol" w:hint="default"/>
      </w:rPr>
    </w:lvl>
    <w:lvl w:ilvl="7" w:tplc="BE789348">
      <w:start w:val="1"/>
      <w:numFmt w:val="bullet"/>
      <w:lvlText w:val="o"/>
      <w:lvlJc w:val="left"/>
      <w:pPr>
        <w:ind w:left="5760" w:hanging="360"/>
      </w:pPr>
      <w:rPr>
        <w:rFonts w:ascii="Courier New" w:hAnsi="Courier New" w:hint="default"/>
      </w:rPr>
    </w:lvl>
    <w:lvl w:ilvl="8" w:tplc="DC9AA980">
      <w:start w:val="1"/>
      <w:numFmt w:val="bullet"/>
      <w:lvlText w:val=""/>
      <w:lvlJc w:val="left"/>
      <w:pPr>
        <w:ind w:left="6480" w:hanging="360"/>
      </w:pPr>
      <w:rPr>
        <w:rFonts w:ascii="Wingdings" w:hAnsi="Wingdings" w:hint="default"/>
      </w:rPr>
    </w:lvl>
  </w:abstractNum>
  <w:abstractNum w:abstractNumId="15" w15:restartNumberingAfterBreak="0">
    <w:nsid w:val="0E0E67A0"/>
    <w:multiLevelType w:val="multilevel"/>
    <w:tmpl w:val="994A1B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ED5A43F"/>
    <w:multiLevelType w:val="hybridMultilevel"/>
    <w:tmpl w:val="89643AB6"/>
    <w:lvl w:ilvl="0" w:tplc="E9D89BC2">
      <w:start w:val="1"/>
      <w:numFmt w:val="bullet"/>
      <w:lvlText w:val="-"/>
      <w:lvlJc w:val="left"/>
      <w:pPr>
        <w:ind w:left="720" w:hanging="360"/>
      </w:pPr>
      <w:rPr>
        <w:rFonts w:ascii="Symbol" w:hAnsi="Symbol" w:hint="default"/>
      </w:rPr>
    </w:lvl>
    <w:lvl w:ilvl="1" w:tplc="0EF2AC4E">
      <w:start w:val="1"/>
      <w:numFmt w:val="bullet"/>
      <w:lvlText w:val="o"/>
      <w:lvlJc w:val="left"/>
      <w:pPr>
        <w:ind w:left="1440" w:hanging="360"/>
      </w:pPr>
      <w:rPr>
        <w:rFonts w:ascii="Courier New" w:hAnsi="Courier New" w:hint="default"/>
      </w:rPr>
    </w:lvl>
    <w:lvl w:ilvl="2" w:tplc="9B8269CE">
      <w:start w:val="1"/>
      <w:numFmt w:val="bullet"/>
      <w:lvlText w:val=""/>
      <w:lvlJc w:val="left"/>
      <w:pPr>
        <w:ind w:left="2160" w:hanging="360"/>
      </w:pPr>
      <w:rPr>
        <w:rFonts w:ascii="Wingdings" w:hAnsi="Wingdings" w:hint="default"/>
      </w:rPr>
    </w:lvl>
    <w:lvl w:ilvl="3" w:tplc="7AB4D744">
      <w:start w:val="1"/>
      <w:numFmt w:val="bullet"/>
      <w:lvlText w:val=""/>
      <w:lvlJc w:val="left"/>
      <w:pPr>
        <w:ind w:left="2880" w:hanging="360"/>
      </w:pPr>
      <w:rPr>
        <w:rFonts w:ascii="Symbol" w:hAnsi="Symbol" w:hint="default"/>
      </w:rPr>
    </w:lvl>
    <w:lvl w:ilvl="4" w:tplc="C94E6C12">
      <w:start w:val="1"/>
      <w:numFmt w:val="bullet"/>
      <w:lvlText w:val="o"/>
      <w:lvlJc w:val="left"/>
      <w:pPr>
        <w:ind w:left="3600" w:hanging="360"/>
      </w:pPr>
      <w:rPr>
        <w:rFonts w:ascii="Courier New" w:hAnsi="Courier New" w:hint="default"/>
      </w:rPr>
    </w:lvl>
    <w:lvl w:ilvl="5" w:tplc="6A7A2900">
      <w:start w:val="1"/>
      <w:numFmt w:val="bullet"/>
      <w:lvlText w:val=""/>
      <w:lvlJc w:val="left"/>
      <w:pPr>
        <w:ind w:left="4320" w:hanging="360"/>
      </w:pPr>
      <w:rPr>
        <w:rFonts w:ascii="Wingdings" w:hAnsi="Wingdings" w:hint="default"/>
      </w:rPr>
    </w:lvl>
    <w:lvl w:ilvl="6" w:tplc="4D30807C">
      <w:start w:val="1"/>
      <w:numFmt w:val="bullet"/>
      <w:lvlText w:val=""/>
      <w:lvlJc w:val="left"/>
      <w:pPr>
        <w:ind w:left="5040" w:hanging="360"/>
      </w:pPr>
      <w:rPr>
        <w:rFonts w:ascii="Symbol" w:hAnsi="Symbol" w:hint="default"/>
      </w:rPr>
    </w:lvl>
    <w:lvl w:ilvl="7" w:tplc="9134F642">
      <w:start w:val="1"/>
      <w:numFmt w:val="bullet"/>
      <w:lvlText w:val="o"/>
      <w:lvlJc w:val="left"/>
      <w:pPr>
        <w:ind w:left="5760" w:hanging="360"/>
      </w:pPr>
      <w:rPr>
        <w:rFonts w:ascii="Courier New" w:hAnsi="Courier New" w:hint="default"/>
      </w:rPr>
    </w:lvl>
    <w:lvl w:ilvl="8" w:tplc="CD641D80">
      <w:start w:val="1"/>
      <w:numFmt w:val="bullet"/>
      <w:lvlText w:val=""/>
      <w:lvlJc w:val="left"/>
      <w:pPr>
        <w:ind w:left="6480" w:hanging="360"/>
      </w:pPr>
      <w:rPr>
        <w:rFonts w:ascii="Wingdings" w:hAnsi="Wingdings" w:hint="default"/>
      </w:rPr>
    </w:lvl>
  </w:abstractNum>
  <w:abstractNum w:abstractNumId="17" w15:restartNumberingAfterBreak="0">
    <w:nsid w:val="0F2407BA"/>
    <w:multiLevelType w:val="multilevel"/>
    <w:tmpl w:val="5096FC9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F71F721"/>
    <w:multiLevelType w:val="hybridMultilevel"/>
    <w:tmpl w:val="FFFFFFFF"/>
    <w:lvl w:ilvl="0" w:tplc="25161960">
      <w:start w:val="1"/>
      <w:numFmt w:val="bullet"/>
      <w:lvlText w:val="·"/>
      <w:lvlJc w:val="left"/>
      <w:pPr>
        <w:ind w:left="720" w:hanging="360"/>
      </w:pPr>
      <w:rPr>
        <w:rFonts w:ascii="Symbol" w:hAnsi="Symbol" w:hint="default"/>
      </w:rPr>
    </w:lvl>
    <w:lvl w:ilvl="1" w:tplc="FED4D42C">
      <w:start w:val="1"/>
      <w:numFmt w:val="bullet"/>
      <w:lvlText w:val="o"/>
      <w:lvlJc w:val="left"/>
      <w:pPr>
        <w:ind w:left="1440" w:hanging="360"/>
      </w:pPr>
      <w:rPr>
        <w:rFonts w:ascii="Courier New" w:hAnsi="Courier New" w:hint="default"/>
      </w:rPr>
    </w:lvl>
    <w:lvl w:ilvl="2" w:tplc="26CCC038">
      <w:start w:val="1"/>
      <w:numFmt w:val="bullet"/>
      <w:lvlText w:val=""/>
      <w:lvlJc w:val="left"/>
      <w:pPr>
        <w:ind w:left="2160" w:hanging="360"/>
      </w:pPr>
      <w:rPr>
        <w:rFonts w:ascii="Wingdings" w:hAnsi="Wingdings" w:hint="default"/>
      </w:rPr>
    </w:lvl>
    <w:lvl w:ilvl="3" w:tplc="C9BA58A2">
      <w:start w:val="1"/>
      <w:numFmt w:val="bullet"/>
      <w:lvlText w:val=""/>
      <w:lvlJc w:val="left"/>
      <w:pPr>
        <w:ind w:left="2880" w:hanging="360"/>
      </w:pPr>
      <w:rPr>
        <w:rFonts w:ascii="Symbol" w:hAnsi="Symbol" w:hint="default"/>
      </w:rPr>
    </w:lvl>
    <w:lvl w:ilvl="4" w:tplc="A62EA33C">
      <w:start w:val="1"/>
      <w:numFmt w:val="bullet"/>
      <w:lvlText w:val="o"/>
      <w:lvlJc w:val="left"/>
      <w:pPr>
        <w:ind w:left="3600" w:hanging="360"/>
      </w:pPr>
      <w:rPr>
        <w:rFonts w:ascii="Courier New" w:hAnsi="Courier New" w:hint="default"/>
      </w:rPr>
    </w:lvl>
    <w:lvl w:ilvl="5" w:tplc="BB9AB9E0">
      <w:start w:val="1"/>
      <w:numFmt w:val="bullet"/>
      <w:lvlText w:val=""/>
      <w:lvlJc w:val="left"/>
      <w:pPr>
        <w:ind w:left="4320" w:hanging="360"/>
      </w:pPr>
      <w:rPr>
        <w:rFonts w:ascii="Wingdings" w:hAnsi="Wingdings" w:hint="default"/>
      </w:rPr>
    </w:lvl>
    <w:lvl w:ilvl="6" w:tplc="573E4488">
      <w:start w:val="1"/>
      <w:numFmt w:val="bullet"/>
      <w:lvlText w:val=""/>
      <w:lvlJc w:val="left"/>
      <w:pPr>
        <w:ind w:left="5040" w:hanging="360"/>
      </w:pPr>
      <w:rPr>
        <w:rFonts w:ascii="Symbol" w:hAnsi="Symbol" w:hint="default"/>
      </w:rPr>
    </w:lvl>
    <w:lvl w:ilvl="7" w:tplc="8B1AFA1C">
      <w:start w:val="1"/>
      <w:numFmt w:val="bullet"/>
      <w:lvlText w:val="o"/>
      <w:lvlJc w:val="left"/>
      <w:pPr>
        <w:ind w:left="5760" w:hanging="360"/>
      </w:pPr>
      <w:rPr>
        <w:rFonts w:ascii="Courier New" w:hAnsi="Courier New" w:hint="default"/>
      </w:rPr>
    </w:lvl>
    <w:lvl w:ilvl="8" w:tplc="A2B20A90">
      <w:start w:val="1"/>
      <w:numFmt w:val="bullet"/>
      <w:lvlText w:val=""/>
      <w:lvlJc w:val="left"/>
      <w:pPr>
        <w:ind w:left="6480" w:hanging="360"/>
      </w:pPr>
      <w:rPr>
        <w:rFonts w:ascii="Wingdings" w:hAnsi="Wingdings" w:hint="default"/>
      </w:rPr>
    </w:lvl>
  </w:abstractNum>
  <w:abstractNum w:abstractNumId="19" w15:restartNumberingAfterBreak="0">
    <w:nsid w:val="0FA01403"/>
    <w:multiLevelType w:val="hybridMultilevel"/>
    <w:tmpl w:val="CCC66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00A03A7"/>
    <w:multiLevelType w:val="hybridMultilevel"/>
    <w:tmpl w:val="19CA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174161"/>
    <w:multiLevelType w:val="multilevel"/>
    <w:tmpl w:val="17265C0A"/>
    <w:numStyleLink w:val="ECHABulletlist"/>
  </w:abstractNum>
  <w:abstractNum w:abstractNumId="22" w15:restartNumberingAfterBreak="0">
    <w:nsid w:val="129336B7"/>
    <w:multiLevelType w:val="hybridMultilevel"/>
    <w:tmpl w:val="6A42E84E"/>
    <w:lvl w:ilvl="0" w:tplc="FFFFFFFF">
      <w:start w:val="1"/>
      <w:numFmt w:val="bulle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8149BB"/>
    <w:multiLevelType w:val="hybridMultilevel"/>
    <w:tmpl w:val="38825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8A3796"/>
    <w:multiLevelType w:val="hybridMultilevel"/>
    <w:tmpl w:val="7112264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91D930"/>
    <w:multiLevelType w:val="hybridMultilevel"/>
    <w:tmpl w:val="FFFFFFFF"/>
    <w:lvl w:ilvl="0" w:tplc="03AC3496">
      <w:start w:val="1"/>
      <w:numFmt w:val="bullet"/>
      <w:lvlText w:val="-"/>
      <w:lvlJc w:val="left"/>
      <w:pPr>
        <w:ind w:left="720" w:hanging="360"/>
      </w:pPr>
      <w:rPr>
        <w:rFonts w:ascii="&quot;calibri&quot;,sans-serif" w:hAnsi="&quot;calibri&quot;,sans-serif" w:hint="default"/>
      </w:rPr>
    </w:lvl>
    <w:lvl w:ilvl="1" w:tplc="BC046806">
      <w:start w:val="1"/>
      <w:numFmt w:val="bullet"/>
      <w:lvlText w:val="o"/>
      <w:lvlJc w:val="left"/>
      <w:pPr>
        <w:ind w:left="1440" w:hanging="360"/>
      </w:pPr>
      <w:rPr>
        <w:rFonts w:ascii="Courier New" w:hAnsi="Courier New" w:hint="default"/>
      </w:rPr>
    </w:lvl>
    <w:lvl w:ilvl="2" w:tplc="1316A3FE">
      <w:start w:val="1"/>
      <w:numFmt w:val="bullet"/>
      <w:lvlText w:val=""/>
      <w:lvlJc w:val="left"/>
      <w:pPr>
        <w:ind w:left="2160" w:hanging="360"/>
      </w:pPr>
      <w:rPr>
        <w:rFonts w:ascii="Wingdings" w:hAnsi="Wingdings" w:hint="default"/>
      </w:rPr>
    </w:lvl>
    <w:lvl w:ilvl="3" w:tplc="B4FCB0BE">
      <w:start w:val="1"/>
      <w:numFmt w:val="bullet"/>
      <w:lvlText w:val=""/>
      <w:lvlJc w:val="left"/>
      <w:pPr>
        <w:ind w:left="2880" w:hanging="360"/>
      </w:pPr>
      <w:rPr>
        <w:rFonts w:ascii="Symbol" w:hAnsi="Symbol" w:hint="default"/>
      </w:rPr>
    </w:lvl>
    <w:lvl w:ilvl="4" w:tplc="D76CEC84">
      <w:start w:val="1"/>
      <w:numFmt w:val="bullet"/>
      <w:lvlText w:val="o"/>
      <w:lvlJc w:val="left"/>
      <w:pPr>
        <w:ind w:left="3600" w:hanging="360"/>
      </w:pPr>
      <w:rPr>
        <w:rFonts w:ascii="Courier New" w:hAnsi="Courier New" w:hint="default"/>
      </w:rPr>
    </w:lvl>
    <w:lvl w:ilvl="5" w:tplc="093A509C">
      <w:start w:val="1"/>
      <w:numFmt w:val="bullet"/>
      <w:lvlText w:val=""/>
      <w:lvlJc w:val="left"/>
      <w:pPr>
        <w:ind w:left="4320" w:hanging="360"/>
      </w:pPr>
      <w:rPr>
        <w:rFonts w:ascii="Wingdings" w:hAnsi="Wingdings" w:hint="default"/>
      </w:rPr>
    </w:lvl>
    <w:lvl w:ilvl="6" w:tplc="D17E5A00">
      <w:start w:val="1"/>
      <w:numFmt w:val="bullet"/>
      <w:lvlText w:val=""/>
      <w:lvlJc w:val="left"/>
      <w:pPr>
        <w:ind w:left="5040" w:hanging="360"/>
      </w:pPr>
      <w:rPr>
        <w:rFonts w:ascii="Symbol" w:hAnsi="Symbol" w:hint="default"/>
      </w:rPr>
    </w:lvl>
    <w:lvl w:ilvl="7" w:tplc="3AFE82D0">
      <w:start w:val="1"/>
      <w:numFmt w:val="bullet"/>
      <w:lvlText w:val="o"/>
      <w:lvlJc w:val="left"/>
      <w:pPr>
        <w:ind w:left="5760" w:hanging="360"/>
      </w:pPr>
      <w:rPr>
        <w:rFonts w:ascii="Courier New" w:hAnsi="Courier New" w:hint="default"/>
      </w:rPr>
    </w:lvl>
    <w:lvl w:ilvl="8" w:tplc="D31C9636">
      <w:start w:val="1"/>
      <w:numFmt w:val="bullet"/>
      <w:lvlText w:val=""/>
      <w:lvlJc w:val="left"/>
      <w:pPr>
        <w:ind w:left="6480" w:hanging="360"/>
      </w:pPr>
      <w:rPr>
        <w:rFonts w:ascii="Wingdings" w:hAnsi="Wingdings" w:hint="default"/>
      </w:rPr>
    </w:lvl>
  </w:abstractNum>
  <w:abstractNum w:abstractNumId="26" w15:restartNumberingAfterBreak="0">
    <w:nsid w:val="170ACAA2"/>
    <w:multiLevelType w:val="hybridMultilevel"/>
    <w:tmpl w:val="FFFFFFFF"/>
    <w:lvl w:ilvl="0" w:tplc="946C6282">
      <w:start w:val="1"/>
      <w:numFmt w:val="decimal"/>
      <w:lvlText w:val="%1."/>
      <w:lvlJc w:val="left"/>
      <w:pPr>
        <w:ind w:left="360" w:hanging="360"/>
      </w:pPr>
      <w:rPr>
        <w:rFonts w:ascii="Calibri" w:hAnsi="Calibri" w:hint="default"/>
      </w:rPr>
    </w:lvl>
    <w:lvl w:ilvl="1" w:tplc="95705852">
      <w:start w:val="1"/>
      <w:numFmt w:val="lowerLetter"/>
      <w:lvlText w:val="%2."/>
      <w:lvlJc w:val="left"/>
      <w:pPr>
        <w:ind w:left="1080" w:hanging="360"/>
      </w:pPr>
    </w:lvl>
    <w:lvl w:ilvl="2" w:tplc="DB946194">
      <w:start w:val="1"/>
      <w:numFmt w:val="lowerRoman"/>
      <w:lvlText w:val="%3."/>
      <w:lvlJc w:val="right"/>
      <w:pPr>
        <w:ind w:left="1800" w:hanging="180"/>
      </w:pPr>
    </w:lvl>
    <w:lvl w:ilvl="3" w:tplc="E79A86F2">
      <w:start w:val="1"/>
      <w:numFmt w:val="decimal"/>
      <w:lvlText w:val="%4."/>
      <w:lvlJc w:val="left"/>
      <w:pPr>
        <w:ind w:left="2520" w:hanging="360"/>
      </w:pPr>
    </w:lvl>
    <w:lvl w:ilvl="4" w:tplc="56BA8010">
      <w:start w:val="1"/>
      <w:numFmt w:val="lowerLetter"/>
      <w:lvlText w:val="%5."/>
      <w:lvlJc w:val="left"/>
      <w:pPr>
        <w:ind w:left="3600" w:hanging="360"/>
      </w:pPr>
    </w:lvl>
    <w:lvl w:ilvl="5" w:tplc="8668D8C2">
      <w:start w:val="1"/>
      <w:numFmt w:val="lowerRoman"/>
      <w:lvlText w:val="%6."/>
      <w:lvlJc w:val="right"/>
      <w:pPr>
        <w:ind w:left="4320" w:hanging="180"/>
      </w:pPr>
    </w:lvl>
    <w:lvl w:ilvl="6" w:tplc="41F26AAC">
      <w:start w:val="1"/>
      <w:numFmt w:val="decimal"/>
      <w:lvlText w:val="%7."/>
      <w:lvlJc w:val="left"/>
      <w:pPr>
        <w:ind w:left="5040" w:hanging="360"/>
      </w:pPr>
    </w:lvl>
    <w:lvl w:ilvl="7" w:tplc="C95C7584">
      <w:start w:val="1"/>
      <w:numFmt w:val="lowerLetter"/>
      <w:lvlText w:val="%8."/>
      <w:lvlJc w:val="left"/>
      <w:pPr>
        <w:ind w:left="5760" w:hanging="360"/>
      </w:pPr>
    </w:lvl>
    <w:lvl w:ilvl="8" w:tplc="B45A910C">
      <w:start w:val="1"/>
      <w:numFmt w:val="lowerRoman"/>
      <w:lvlText w:val="%9."/>
      <w:lvlJc w:val="right"/>
      <w:pPr>
        <w:ind w:left="6480" w:hanging="180"/>
      </w:pPr>
    </w:lvl>
  </w:abstractNum>
  <w:abstractNum w:abstractNumId="27" w15:restartNumberingAfterBreak="0">
    <w:nsid w:val="17893782"/>
    <w:multiLevelType w:val="hybridMultilevel"/>
    <w:tmpl w:val="AA448552"/>
    <w:lvl w:ilvl="0" w:tplc="09AA2C6A">
      <w:start w:val="1"/>
      <w:numFmt w:val="bullet"/>
      <w:lvlText w:val="·"/>
      <w:lvlJc w:val="left"/>
      <w:pPr>
        <w:ind w:left="720" w:hanging="360"/>
      </w:pPr>
      <w:rPr>
        <w:rFonts w:ascii="Symbol" w:hAnsi="Symbol" w:hint="default"/>
      </w:rPr>
    </w:lvl>
    <w:lvl w:ilvl="1" w:tplc="2C041142">
      <w:start w:val="1"/>
      <w:numFmt w:val="bullet"/>
      <w:lvlText w:val="o"/>
      <w:lvlJc w:val="left"/>
      <w:pPr>
        <w:ind w:left="1440" w:hanging="360"/>
      </w:pPr>
      <w:rPr>
        <w:rFonts w:ascii="Courier New" w:hAnsi="Courier New" w:hint="default"/>
      </w:rPr>
    </w:lvl>
    <w:lvl w:ilvl="2" w:tplc="6A96614C">
      <w:start w:val="1"/>
      <w:numFmt w:val="bullet"/>
      <w:lvlText w:val=""/>
      <w:lvlJc w:val="left"/>
      <w:pPr>
        <w:ind w:left="2160" w:hanging="360"/>
      </w:pPr>
      <w:rPr>
        <w:rFonts w:ascii="Wingdings" w:hAnsi="Wingdings" w:hint="default"/>
      </w:rPr>
    </w:lvl>
    <w:lvl w:ilvl="3" w:tplc="2FF89802">
      <w:start w:val="1"/>
      <w:numFmt w:val="bullet"/>
      <w:lvlText w:val=""/>
      <w:lvlJc w:val="left"/>
      <w:pPr>
        <w:ind w:left="2880" w:hanging="360"/>
      </w:pPr>
      <w:rPr>
        <w:rFonts w:ascii="Symbol" w:hAnsi="Symbol" w:hint="default"/>
      </w:rPr>
    </w:lvl>
    <w:lvl w:ilvl="4" w:tplc="1DA8F5B2">
      <w:start w:val="1"/>
      <w:numFmt w:val="bullet"/>
      <w:lvlText w:val="o"/>
      <w:lvlJc w:val="left"/>
      <w:pPr>
        <w:ind w:left="3600" w:hanging="360"/>
      </w:pPr>
      <w:rPr>
        <w:rFonts w:ascii="Courier New" w:hAnsi="Courier New" w:hint="default"/>
      </w:rPr>
    </w:lvl>
    <w:lvl w:ilvl="5" w:tplc="480699C0">
      <w:start w:val="1"/>
      <w:numFmt w:val="bullet"/>
      <w:lvlText w:val=""/>
      <w:lvlJc w:val="left"/>
      <w:pPr>
        <w:ind w:left="4320" w:hanging="360"/>
      </w:pPr>
      <w:rPr>
        <w:rFonts w:ascii="Wingdings" w:hAnsi="Wingdings" w:hint="default"/>
      </w:rPr>
    </w:lvl>
    <w:lvl w:ilvl="6" w:tplc="035AFB86">
      <w:start w:val="1"/>
      <w:numFmt w:val="bullet"/>
      <w:lvlText w:val=""/>
      <w:lvlJc w:val="left"/>
      <w:pPr>
        <w:ind w:left="5040" w:hanging="360"/>
      </w:pPr>
      <w:rPr>
        <w:rFonts w:ascii="Symbol" w:hAnsi="Symbol" w:hint="default"/>
      </w:rPr>
    </w:lvl>
    <w:lvl w:ilvl="7" w:tplc="0DFCB7EC">
      <w:start w:val="1"/>
      <w:numFmt w:val="bullet"/>
      <w:lvlText w:val="o"/>
      <w:lvlJc w:val="left"/>
      <w:pPr>
        <w:ind w:left="5760" w:hanging="360"/>
      </w:pPr>
      <w:rPr>
        <w:rFonts w:ascii="Courier New" w:hAnsi="Courier New" w:hint="default"/>
      </w:rPr>
    </w:lvl>
    <w:lvl w:ilvl="8" w:tplc="4E5EF974">
      <w:start w:val="1"/>
      <w:numFmt w:val="bullet"/>
      <w:lvlText w:val=""/>
      <w:lvlJc w:val="left"/>
      <w:pPr>
        <w:ind w:left="6480" w:hanging="360"/>
      </w:pPr>
      <w:rPr>
        <w:rFonts w:ascii="Wingdings" w:hAnsi="Wingdings" w:hint="default"/>
      </w:rPr>
    </w:lvl>
  </w:abstractNum>
  <w:abstractNum w:abstractNumId="28" w15:restartNumberingAfterBreak="0">
    <w:nsid w:val="17BF7F33"/>
    <w:multiLevelType w:val="hybridMultilevel"/>
    <w:tmpl w:val="FFFFFFFF"/>
    <w:lvl w:ilvl="0" w:tplc="D792AC08">
      <w:start w:val="1"/>
      <w:numFmt w:val="bullet"/>
      <w:lvlText w:val="-"/>
      <w:lvlJc w:val="left"/>
      <w:pPr>
        <w:ind w:left="720" w:hanging="360"/>
      </w:pPr>
      <w:rPr>
        <w:rFonts w:ascii="&quot;calibri&quot;,sans-serif" w:hAnsi="&quot;calibri&quot;,sans-serif" w:hint="default"/>
      </w:rPr>
    </w:lvl>
    <w:lvl w:ilvl="1" w:tplc="3F367BE0">
      <w:start w:val="1"/>
      <w:numFmt w:val="bullet"/>
      <w:lvlText w:val="o"/>
      <w:lvlJc w:val="left"/>
      <w:pPr>
        <w:ind w:left="1440" w:hanging="360"/>
      </w:pPr>
      <w:rPr>
        <w:rFonts w:ascii="Courier New" w:hAnsi="Courier New" w:hint="default"/>
      </w:rPr>
    </w:lvl>
    <w:lvl w:ilvl="2" w:tplc="C958A858">
      <w:start w:val="1"/>
      <w:numFmt w:val="bullet"/>
      <w:lvlText w:val=""/>
      <w:lvlJc w:val="left"/>
      <w:pPr>
        <w:ind w:left="2160" w:hanging="360"/>
      </w:pPr>
      <w:rPr>
        <w:rFonts w:ascii="Wingdings" w:hAnsi="Wingdings" w:hint="default"/>
      </w:rPr>
    </w:lvl>
    <w:lvl w:ilvl="3" w:tplc="AF70E144">
      <w:start w:val="1"/>
      <w:numFmt w:val="bullet"/>
      <w:lvlText w:val=""/>
      <w:lvlJc w:val="left"/>
      <w:pPr>
        <w:ind w:left="2880" w:hanging="360"/>
      </w:pPr>
      <w:rPr>
        <w:rFonts w:ascii="Symbol" w:hAnsi="Symbol" w:hint="default"/>
      </w:rPr>
    </w:lvl>
    <w:lvl w:ilvl="4" w:tplc="90E65C46">
      <w:start w:val="1"/>
      <w:numFmt w:val="bullet"/>
      <w:lvlText w:val="o"/>
      <w:lvlJc w:val="left"/>
      <w:pPr>
        <w:ind w:left="3600" w:hanging="360"/>
      </w:pPr>
      <w:rPr>
        <w:rFonts w:ascii="Courier New" w:hAnsi="Courier New" w:hint="default"/>
      </w:rPr>
    </w:lvl>
    <w:lvl w:ilvl="5" w:tplc="40FC6638">
      <w:start w:val="1"/>
      <w:numFmt w:val="bullet"/>
      <w:lvlText w:val=""/>
      <w:lvlJc w:val="left"/>
      <w:pPr>
        <w:ind w:left="4320" w:hanging="360"/>
      </w:pPr>
      <w:rPr>
        <w:rFonts w:ascii="Wingdings" w:hAnsi="Wingdings" w:hint="default"/>
      </w:rPr>
    </w:lvl>
    <w:lvl w:ilvl="6" w:tplc="E3C230C0">
      <w:start w:val="1"/>
      <w:numFmt w:val="bullet"/>
      <w:lvlText w:val=""/>
      <w:lvlJc w:val="left"/>
      <w:pPr>
        <w:ind w:left="5040" w:hanging="360"/>
      </w:pPr>
      <w:rPr>
        <w:rFonts w:ascii="Symbol" w:hAnsi="Symbol" w:hint="default"/>
      </w:rPr>
    </w:lvl>
    <w:lvl w:ilvl="7" w:tplc="B39E35B8">
      <w:start w:val="1"/>
      <w:numFmt w:val="bullet"/>
      <w:lvlText w:val="o"/>
      <w:lvlJc w:val="left"/>
      <w:pPr>
        <w:ind w:left="5760" w:hanging="360"/>
      </w:pPr>
      <w:rPr>
        <w:rFonts w:ascii="Courier New" w:hAnsi="Courier New" w:hint="default"/>
      </w:rPr>
    </w:lvl>
    <w:lvl w:ilvl="8" w:tplc="644C19A0">
      <w:start w:val="1"/>
      <w:numFmt w:val="bullet"/>
      <w:lvlText w:val=""/>
      <w:lvlJc w:val="left"/>
      <w:pPr>
        <w:ind w:left="6480" w:hanging="360"/>
      </w:pPr>
      <w:rPr>
        <w:rFonts w:ascii="Wingdings" w:hAnsi="Wingdings" w:hint="default"/>
      </w:rPr>
    </w:lvl>
  </w:abstractNum>
  <w:abstractNum w:abstractNumId="29" w15:restartNumberingAfterBreak="0">
    <w:nsid w:val="18940B9E"/>
    <w:multiLevelType w:val="hybridMultilevel"/>
    <w:tmpl w:val="AA02B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C00F50"/>
    <w:multiLevelType w:val="hybridMultilevel"/>
    <w:tmpl w:val="481E0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DF9136"/>
    <w:multiLevelType w:val="hybridMultilevel"/>
    <w:tmpl w:val="FFFFFFFF"/>
    <w:lvl w:ilvl="0" w:tplc="B252A1EC">
      <w:start w:val="1"/>
      <w:numFmt w:val="bullet"/>
      <w:lvlText w:val="-"/>
      <w:lvlJc w:val="left"/>
      <w:pPr>
        <w:ind w:left="720" w:hanging="360"/>
      </w:pPr>
      <w:rPr>
        <w:rFonts w:ascii="&quot;calibri&quot;,sans-serif" w:hAnsi="&quot;calibri&quot;,sans-serif" w:hint="default"/>
      </w:rPr>
    </w:lvl>
    <w:lvl w:ilvl="1" w:tplc="76DAEF4E">
      <w:start w:val="1"/>
      <w:numFmt w:val="bullet"/>
      <w:lvlText w:val="o"/>
      <w:lvlJc w:val="left"/>
      <w:pPr>
        <w:ind w:left="1440" w:hanging="360"/>
      </w:pPr>
      <w:rPr>
        <w:rFonts w:ascii="Courier New" w:hAnsi="Courier New" w:hint="default"/>
      </w:rPr>
    </w:lvl>
    <w:lvl w:ilvl="2" w:tplc="35069DD4">
      <w:start w:val="1"/>
      <w:numFmt w:val="bullet"/>
      <w:lvlText w:val=""/>
      <w:lvlJc w:val="left"/>
      <w:pPr>
        <w:ind w:left="2160" w:hanging="360"/>
      </w:pPr>
      <w:rPr>
        <w:rFonts w:ascii="Wingdings" w:hAnsi="Wingdings" w:hint="default"/>
      </w:rPr>
    </w:lvl>
    <w:lvl w:ilvl="3" w:tplc="7868A30E">
      <w:start w:val="1"/>
      <w:numFmt w:val="bullet"/>
      <w:lvlText w:val=""/>
      <w:lvlJc w:val="left"/>
      <w:pPr>
        <w:ind w:left="2880" w:hanging="360"/>
      </w:pPr>
      <w:rPr>
        <w:rFonts w:ascii="Symbol" w:hAnsi="Symbol" w:hint="default"/>
      </w:rPr>
    </w:lvl>
    <w:lvl w:ilvl="4" w:tplc="EFC62EF8">
      <w:start w:val="1"/>
      <w:numFmt w:val="bullet"/>
      <w:lvlText w:val="o"/>
      <w:lvlJc w:val="left"/>
      <w:pPr>
        <w:ind w:left="3600" w:hanging="360"/>
      </w:pPr>
      <w:rPr>
        <w:rFonts w:ascii="Courier New" w:hAnsi="Courier New" w:hint="default"/>
      </w:rPr>
    </w:lvl>
    <w:lvl w:ilvl="5" w:tplc="364455E0">
      <w:start w:val="1"/>
      <w:numFmt w:val="bullet"/>
      <w:lvlText w:val=""/>
      <w:lvlJc w:val="left"/>
      <w:pPr>
        <w:ind w:left="4320" w:hanging="360"/>
      </w:pPr>
      <w:rPr>
        <w:rFonts w:ascii="Wingdings" w:hAnsi="Wingdings" w:hint="default"/>
      </w:rPr>
    </w:lvl>
    <w:lvl w:ilvl="6" w:tplc="D4D6C58C">
      <w:start w:val="1"/>
      <w:numFmt w:val="bullet"/>
      <w:lvlText w:val=""/>
      <w:lvlJc w:val="left"/>
      <w:pPr>
        <w:ind w:left="5040" w:hanging="360"/>
      </w:pPr>
      <w:rPr>
        <w:rFonts w:ascii="Symbol" w:hAnsi="Symbol" w:hint="default"/>
      </w:rPr>
    </w:lvl>
    <w:lvl w:ilvl="7" w:tplc="2F2C2BF6">
      <w:start w:val="1"/>
      <w:numFmt w:val="bullet"/>
      <w:lvlText w:val="o"/>
      <w:lvlJc w:val="left"/>
      <w:pPr>
        <w:ind w:left="5760" w:hanging="360"/>
      </w:pPr>
      <w:rPr>
        <w:rFonts w:ascii="Courier New" w:hAnsi="Courier New" w:hint="default"/>
      </w:rPr>
    </w:lvl>
    <w:lvl w:ilvl="8" w:tplc="EB3ABAEC">
      <w:start w:val="1"/>
      <w:numFmt w:val="bullet"/>
      <w:lvlText w:val=""/>
      <w:lvlJc w:val="left"/>
      <w:pPr>
        <w:ind w:left="6480" w:hanging="360"/>
      </w:pPr>
      <w:rPr>
        <w:rFonts w:ascii="Wingdings" w:hAnsi="Wingdings" w:hint="default"/>
      </w:rPr>
    </w:lvl>
  </w:abstractNum>
  <w:abstractNum w:abstractNumId="32" w15:restartNumberingAfterBreak="0">
    <w:nsid w:val="1B059378"/>
    <w:multiLevelType w:val="hybridMultilevel"/>
    <w:tmpl w:val="FFFFFFFF"/>
    <w:lvl w:ilvl="0" w:tplc="8542C92C">
      <w:start w:val="1"/>
      <w:numFmt w:val="decimal"/>
      <w:lvlText w:val="%1."/>
      <w:lvlJc w:val="left"/>
      <w:pPr>
        <w:ind w:left="720" w:hanging="360"/>
      </w:pPr>
    </w:lvl>
    <w:lvl w:ilvl="1" w:tplc="2518835C">
      <w:start w:val="1"/>
      <w:numFmt w:val="lowerLetter"/>
      <w:lvlText w:val="%2."/>
      <w:lvlJc w:val="left"/>
      <w:pPr>
        <w:ind w:left="1440" w:hanging="360"/>
      </w:pPr>
    </w:lvl>
    <w:lvl w:ilvl="2" w:tplc="DF10121A">
      <w:start w:val="1"/>
      <w:numFmt w:val="lowerRoman"/>
      <w:lvlText w:val="%3."/>
      <w:lvlJc w:val="right"/>
      <w:pPr>
        <w:ind w:left="2160" w:hanging="180"/>
      </w:pPr>
    </w:lvl>
    <w:lvl w:ilvl="3" w:tplc="CE3679E6">
      <w:start w:val="1"/>
      <w:numFmt w:val="decimal"/>
      <w:lvlText w:val="%4."/>
      <w:lvlJc w:val="left"/>
      <w:pPr>
        <w:ind w:left="2880" w:hanging="360"/>
      </w:pPr>
    </w:lvl>
    <w:lvl w:ilvl="4" w:tplc="E54893D0">
      <w:start w:val="1"/>
      <w:numFmt w:val="lowerLetter"/>
      <w:lvlText w:val="%5."/>
      <w:lvlJc w:val="left"/>
      <w:pPr>
        <w:ind w:left="3600" w:hanging="360"/>
      </w:pPr>
    </w:lvl>
    <w:lvl w:ilvl="5" w:tplc="0A78D992">
      <w:start w:val="1"/>
      <w:numFmt w:val="lowerRoman"/>
      <w:lvlText w:val="%6."/>
      <w:lvlJc w:val="right"/>
      <w:pPr>
        <w:ind w:left="4320" w:hanging="180"/>
      </w:pPr>
    </w:lvl>
    <w:lvl w:ilvl="6" w:tplc="32E04D64">
      <w:start w:val="1"/>
      <w:numFmt w:val="decimal"/>
      <w:lvlText w:val="%7."/>
      <w:lvlJc w:val="left"/>
      <w:pPr>
        <w:ind w:left="5040" w:hanging="360"/>
      </w:pPr>
    </w:lvl>
    <w:lvl w:ilvl="7" w:tplc="5C0E02D8">
      <w:start w:val="1"/>
      <w:numFmt w:val="lowerLetter"/>
      <w:lvlText w:val="%8."/>
      <w:lvlJc w:val="left"/>
      <w:pPr>
        <w:ind w:left="5760" w:hanging="360"/>
      </w:pPr>
    </w:lvl>
    <w:lvl w:ilvl="8" w:tplc="8A7C34F4">
      <w:start w:val="1"/>
      <w:numFmt w:val="lowerRoman"/>
      <w:lvlText w:val="%9."/>
      <w:lvlJc w:val="right"/>
      <w:pPr>
        <w:ind w:left="6480" w:hanging="180"/>
      </w:pPr>
    </w:lvl>
  </w:abstractNum>
  <w:abstractNum w:abstractNumId="33" w15:restartNumberingAfterBreak="0">
    <w:nsid w:val="1BD3C3EB"/>
    <w:multiLevelType w:val="hybridMultilevel"/>
    <w:tmpl w:val="FFFFFFFF"/>
    <w:lvl w:ilvl="0" w:tplc="0896A5BE">
      <w:start w:val="1"/>
      <w:numFmt w:val="bullet"/>
      <w:lvlText w:val="-"/>
      <w:lvlJc w:val="left"/>
      <w:pPr>
        <w:ind w:left="720" w:hanging="360"/>
      </w:pPr>
      <w:rPr>
        <w:rFonts w:ascii="Calibri" w:hAnsi="Calibri" w:hint="default"/>
      </w:rPr>
    </w:lvl>
    <w:lvl w:ilvl="1" w:tplc="06F06AA0">
      <w:start w:val="1"/>
      <w:numFmt w:val="bullet"/>
      <w:lvlText w:val="o"/>
      <w:lvlJc w:val="left"/>
      <w:pPr>
        <w:ind w:left="1440" w:hanging="360"/>
      </w:pPr>
      <w:rPr>
        <w:rFonts w:ascii="Courier New" w:hAnsi="Courier New" w:hint="default"/>
      </w:rPr>
    </w:lvl>
    <w:lvl w:ilvl="2" w:tplc="DBFE2580">
      <w:start w:val="1"/>
      <w:numFmt w:val="bullet"/>
      <w:lvlText w:val=""/>
      <w:lvlJc w:val="left"/>
      <w:pPr>
        <w:ind w:left="2160" w:hanging="360"/>
      </w:pPr>
      <w:rPr>
        <w:rFonts w:ascii="Wingdings" w:hAnsi="Wingdings" w:hint="default"/>
      </w:rPr>
    </w:lvl>
    <w:lvl w:ilvl="3" w:tplc="103E8916">
      <w:start w:val="1"/>
      <w:numFmt w:val="bullet"/>
      <w:lvlText w:val=""/>
      <w:lvlJc w:val="left"/>
      <w:pPr>
        <w:ind w:left="2880" w:hanging="360"/>
      </w:pPr>
      <w:rPr>
        <w:rFonts w:ascii="Symbol" w:hAnsi="Symbol" w:hint="default"/>
      </w:rPr>
    </w:lvl>
    <w:lvl w:ilvl="4" w:tplc="824E6488">
      <w:start w:val="1"/>
      <w:numFmt w:val="bullet"/>
      <w:lvlText w:val="o"/>
      <w:lvlJc w:val="left"/>
      <w:pPr>
        <w:ind w:left="3600" w:hanging="360"/>
      </w:pPr>
      <w:rPr>
        <w:rFonts w:ascii="Courier New" w:hAnsi="Courier New" w:hint="default"/>
      </w:rPr>
    </w:lvl>
    <w:lvl w:ilvl="5" w:tplc="4C5CD7A8">
      <w:start w:val="1"/>
      <w:numFmt w:val="bullet"/>
      <w:lvlText w:val=""/>
      <w:lvlJc w:val="left"/>
      <w:pPr>
        <w:ind w:left="4320" w:hanging="360"/>
      </w:pPr>
      <w:rPr>
        <w:rFonts w:ascii="Wingdings" w:hAnsi="Wingdings" w:hint="default"/>
      </w:rPr>
    </w:lvl>
    <w:lvl w:ilvl="6" w:tplc="E5660A98">
      <w:start w:val="1"/>
      <w:numFmt w:val="bullet"/>
      <w:lvlText w:val=""/>
      <w:lvlJc w:val="left"/>
      <w:pPr>
        <w:ind w:left="5040" w:hanging="360"/>
      </w:pPr>
      <w:rPr>
        <w:rFonts w:ascii="Symbol" w:hAnsi="Symbol" w:hint="default"/>
      </w:rPr>
    </w:lvl>
    <w:lvl w:ilvl="7" w:tplc="BBE6041A">
      <w:start w:val="1"/>
      <w:numFmt w:val="bullet"/>
      <w:lvlText w:val="o"/>
      <w:lvlJc w:val="left"/>
      <w:pPr>
        <w:ind w:left="5760" w:hanging="360"/>
      </w:pPr>
      <w:rPr>
        <w:rFonts w:ascii="Courier New" w:hAnsi="Courier New" w:hint="default"/>
      </w:rPr>
    </w:lvl>
    <w:lvl w:ilvl="8" w:tplc="BD2E281A">
      <w:start w:val="1"/>
      <w:numFmt w:val="bullet"/>
      <w:lvlText w:val=""/>
      <w:lvlJc w:val="left"/>
      <w:pPr>
        <w:ind w:left="6480" w:hanging="360"/>
      </w:pPr>
      <w:rPr>
        <w:rFonts w:ascii="Wingdings" w:hAnsi="Wingdings" w:hint="default"/>
      </w:rPr>
    </w:lvl>
  </w:abstractNum>
  <w:abstractNum w:abstractNumId="34" w15:restartNumberingAfterBreak="0">
    <w:nsid w:val="1CAD4D8E"/>
    <w:multiLevelType w:val="hybridMultilevel"/>
    <w:tmpl w:val="043841D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1D47496D"/>
    <w:multiLevelType w:val="hybridMultilevel"/>
    <w:tmpl w:val="FFFFFFFF"/>
    <w:lvl w:ilvl="0" w:tplc="3C9E0B28">
      <w:start w:val="1"/>
      <w:numFmt w:val="bullet"/>
      <w:lvlText w:val=""/>
      <w:lvlJc w:val="left"/>
      <w:pPr>
        <w:ind w:left="720" w:hanging="360"/>
      </w:pPr>
      <w:rPr>
        <w:rFonts w:ascii="Symbol" w:hAnsi="Symbol" w:hint="default"/>
      </w:rPr>
    </w:lvl>
    <w:lvl w:ilvl="1" w:tplc="54887B12">
      <w:start w:val="1"/>
      <w:numFmt w:val="bullet"/>
      <w:lvlText w:val="o"/>
      <w:lvlJc w:val="left"/>
      <w:pPr>
        <w:ind w:left="1440" w:hanging="360"/>
      </w:pPr>
      <w:rPr>
        <w:rFonts w:ascii="Courier New" w:hAnsi="Courier New" w:hint="default"/>
      </w:rPr>
    </w:lvl>
    <w:lvl w:ilvl="2" w:tplc="CB2C0636">
      <w:start w:val="1"/>
      <w:numFmt w:val="bullet"/>
      <w:lvlText w:val=""/>
      <w:lvlJc w:val="left"/>
      <w:pPr>
        <w:ind w:left="2160" w:hanging="360"/>
      </w:pPr>
      <w:rPr>
        <w:rFonts w:ascii="Wingdings" w:hAnsi="Wingdings" w:hint="default"/>
      </w:rPr>
    </w:lvl>
    <w:lvl w:ilvl="3" w:tplc="9668B7AA">
      <w:start w:val="1"/>
      <w:numFmt w:val="bullet"/>
      <w:lvlText w:val=""/>
      <w:lvlJc w:val="left"/>
      <w:pPr>
        <w:ind w:left="2880" w:hanging="360"/>
      </w:pPr>
      <w:rPr>
        <w:rFonts w:ascii="Symbol" w:hAnsi="Symbol" w:hint="default"/>
      </w:rPr>
    </w:lvl>
    <w:lvl w:ilvl="4" w:tplc="78F858CE">
      <w:start w:val="1"/>
      <w:numFmt w:val="bullet"/>
      <w:lvlText w:val="o"/>
      <w:lvlJc w:val="left"/>
      <w:pPr>
        <w:ind w:left="3600" w:hanging="360"/>
      </w:pPr>
      <w:rPr>
        <w:rFonts w:ascii="Courier New" w:hAnsi="Courier New" w:hint="default"/>
      </w:rPr>
    </w:lvl>
    <w:lvl w:ilvl="5" w:tplc="681A1F4E">
      <w:start w:val="1"/>
      <w:numFmt w:val="bullet"/>
      <w:lvlText w:val=""/>
      <w:lvlJc w:val="left"/>
      <w:pPr>
        <w:ind w:left="4320" w:hanging="360"/>
      </w:pPr>
      <w:rPr>
        <w:rFonts w:ascii="Wingdings" w:hAnsi="Wingdings" w:hint="default"/>
      </w:rPr>
    </w:lvl>
    <w:lvl w:ilvl="6" w:tplc="59B4D244">
      <w:start w:val="1"/>
      <w:numFmt w:val="bullet"/>
      <w:lvlText w:val=""/>
      <w:lvlJc w:val="left"/>
      <w:pPr>
        <w:ind w:left="5040" w:hanging="360"/>
      </w:pPr>
      <w:rPr>
        <w:rFonts w:ascii="Symbol" w:hAnsi="Symbol" w:hint="default"/>
      </w:rPr>
    </w:lvl>
    <w:lvl w:ilvl="7" w:tplc="1D4C36F4">
      <w:start w:val="1"/>
      <w:numFmt w:val="bullet"/>
      <w:lvlText w:val="o"/>
      <w:lvlJc w:val="left"/>
      <w:pPr>
        <w:ind w:left="5760" w:hanging="360"/>
      </w:pPr>
      <w:rPr>
        <w:rFonts w:ascii="Courier New" w:hAnsi="Courier New" w:hint="default"/>
      </w:rPr>
    </w:lvl>
    <w:lvl w:ilvl="8" w:tplc="9F146198">
      <w:start w:val="1"/>
      <w:numFmt w:val="bullet"/>
      <w:lvlText w:val=""/>
      <w:lvlJc w:val="left"/>
      <w:pPr>
        <w:ind w:left="6480" w:hanging="360"/>
      </w:pPr>
      <w:rPr>
        <w:rFonts w:ascii="Wingdings" w:hAnsi="Wingdings" w:hint="default"/>
      </w:rPr>
    </w:lvl>
  </w:abstractNum>
  <w:abstractNum w:abstractNumId="36" w15:restartNumberingAfterBreak="0">
    <w:nsid w:val="1D7136E6"/>
    <w:multiLevelType w:val="hybridMultilevel"/>
    <w:tmpl w:val="D4288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DEC7DE9"/>
    <w:multiLevelType w:val="hybridMultilevel"/>
    <w:tmpl w:val="FFFFFFFF"/>
    <w:lvl w:ilvl="0" w:tplc="9A1E0B46">
      <w:start w:val="1"/>
      <w:numFmt w:val="bullet"/>
      <w:lvlText w:val=""/>
      <w:lvlJc w:val="left"/>
      <w:pPr>
        <w:ind w:left="720" w:hanging="360"/>
      </w:pPr>
      <w:rPr>
        <w:rFonts w:ascii="Symbol" w:hAnsi="Symbol" w:hint="default"/>
      </w:rPr>
    </w:lvl>
    <w:lvl w:ilvl="1" w:tplc="BE2E901C">
      <w:start w:val="1"/>
      <w:numFmt w:val="bullet"/>
      <w:lvlText w:val="o"/>
      <w:lvlJc w:val="left"/>
      <w:pPr>
        <w:ind w:left="1440" w:hanging="360"/>
      </w:pPr>
      <w:rPr>
        <w:rFonts w:ascii="Courier New" w:hAnsi="Courier New" w:hint="default"/>
      </w:rPr>
    </w:lvl>
    <w:lvl w:ilvl="2" w:tplc="2D462F2C">
      <w:start w:val="1"/>
      <w:numFmt w:val="bullet"/>
      <w:lvlText w:val=""/>
      <w:lvlJc w:val="left"/>
      <w:pPr>
        <w:ind w:left="2160" w:hanging="360"/>
      </w:pPr>
      <w:rPr>
        <w:rFonts w:ascii="Wingdings" w:hAnsi="Wingdings" w:hint="default"/>
      </w:rPr>
    </w:lvl>
    <w:lvl w:ilvl="3" w:tplc="2A2C425E">
      <w:start w:val="1"/>
      <w:numFmt w:val="bullet"/>
      <w:lvlText w:val=""/>
      <w:lvlJc w:val="left"/>
      <w:pPr>
        <w:ind w:left="2880" w:hanging="360"/>
      </w:pPr>
      <w:rPr>
        <w:rFonts w:ascii="Symbol" w:hAnsi="Symbol" w:hint="default"/>
      </w:rPr>
    </w:lvl>
    <w:lvl w:ilvl="4" w:tplc="A00A4F7C">
      <w:start w:val="1"/>
      <w:numFmt w:val="bullet"/>
      <w:lvlText w:val="o"/>
      <w:lvlJc w:val="left"/>
      <w:pPr>
        <w:ind w:left="3600" w:hanging="360"/>
      </w:pPr>
      <w:rPr>
        <w:rFonts w:ascii="Courier New" w:hAnsi="Courier New" w:hint="default"/>
      </w:rPr>
    </w:lvl>
    <w:lvl w:ilvl="5" w:tplc="D534AE34">
      <w:start w:val="1"/>
      <w:numFmt w:val="bullet"/>
      <w:lvlText w:val=""/>
      <w:lvlJc w:val="left"/>
      <w:pPr>
        <w:ind w:left="4320" w:hanging="360"/>
      </w:pPr>
      <w:rPr>
        <w:rFonts w:ascii="Wingdings" w:hAnsi="Wingdings" w:hint="default"/>
      </w:rPr>
    </w:lvl>
    <w:lvl w:ilvl="6" w:tplc="844A7D90">
      <w:start w:val="1"/>
      <w:numFmt w:val="bullet"/>
      <w:lvlText w:val=""/>
      <w:lvlJc w:val="left"/>
      <w:pPr>
        <w:ind w:left="5040" w:hanging="360"/>
      </w:pPr>
      <w:rPr>
        <w:rFonts w:ascii="Symbol" w:hAnsi="Symbol" w:hint="default"/>
      </w:rPr>
    </w:lvl>
    <w:lvl w:ilvl="7" w:tplc="76BA1890">
      <w:start w:val="1"/>
      <w:numFmt w:val="bullet"/>
      <w:lvlText w:val="o"/>
      <w:lvlJc w:val="left"/>
      <w:pPr>
        <w:ind w:left="5760" w:hanging="360"/>
      </w:pPr>
      <w:rPr>
        <w:rFonts w:ascii="Courier New" w:hAnsi="Courier New" w:hint="default"/>
      </w:rPr>
    </w:lvl>
    <w:lvl w:ilvl="8" w:tplc="CDC46F90">
      <w:start w:val="1"/>
      <w:numFmt w:val="bullet"/>
      <w:lvlText w:val=""/>
      <w:lvlJc w:val="left"/>
      <w:pPr>
        <w:ind w:left="6480" w:hanging="360"/>
      </w:pPr>
      <w:rPr>
        <w:rFonts w:ascii="Wingdings" w:hAnsi="Wingdings" w:hint="default"/>
      </w:rPr>
    </w:lvl>
  </w:abstractNum>
  <w:abstractNum w:abstractNumId="38" w15:restartNumberingAfterBreak="0">
    <w:nsid w:val="1EA675AA"/>
    <w:multiLevelType w:val="multilevel"/>
    <w:tmpl w:val="5096FC9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1F1B97D6"/>
    <w:multiLevelType w:val="hybridMultilevel"/>
    <w:tmpl w:val="FFFFFFFF"/>
    <w:lvl w:ilvl="0" w:tplc="AC32AD3C">
      <w:start w:val="1"/>
      <w:numFmt w:val="bullet"/>
      <w:lvlText w:val="-"/>
      <w:lvlJc w:val="left"/>
      <w:pPr>
        <w:ind w:left="720" w:hanging="360"/>
      </w:pPr>
      <w:rPr>
        <w:rFonts w:ascii="Calibri" w:hAnsi="Calibri" w:hint="default"/>
      </w:rPr>
    </w:lvl>
    <w:lvl w:ilvl="1" w:tplc="8C24DF12">
      <w:start w:val="1"/>
      <w:numFmt w:val="bullet"/>
      <w:lvlText w:val="o"/>
      <w:lvlJc w:val="left"/>
      <w:pPr>
        <w:ind w:left="1440" w:hanging="360"/>
      </w:pPr>
      <w:rPr>
        <w:rFonts w:ascii="Courier New" w:hAnsi="Courier New" w:hint="default"/>
      </w:rPr>
    </w:lvl>
    <w:lvl w:ilvl="2" w:tplc="71204460">
      <w:start w:val="1"/>
      <w:numFmt w:val="bullet"/>
      <w:lvlText w:val=""/>
      <w:lvlJc w:val="left"/>
      <w:pPr>
        <w:ind w:left="2160" w:hanging="360"/>
      </w:pPr>
      <w:rPr>
        <w:rFonts w:ascii="Wingdings" w:hAnsi="Wingdings" w:hint="default"/>
      </w:rPr>
    </w:lvl>
    <w:lvl w:ilvl="3" w:tplc="773002B2">
      <w:start w:val="1"/>
      <w:numFmt w:val="bullet"/>
      <w:lvlText w:val=""/>
      <w:lvlJc w:val="left"/>
      <w:pPr>
        <w:ind w:left="2880" w:hanging="360"/>
      </w:pPr>
      <w:rPr>
        <w:rFonts w:ascii="Symbol" w:hAnsi="Symbol" w:hint="default"/>
      </w:rPr>
    </w:lvl>
    <w:lvl w:ilvl="4" w:tplc="C4D0DB98">
      <w:start w:val="1"/>
      <w:numFmt w:val="bullet"/>
      <w:lvlText w:val="o"/>
      <w:lvlJc w:val="left"/>
      <w:pPr>
        <w:ind w:left="3600" w:hanging="360"/>
      </w:pPr>
      <w:rPr>
        <w:rFonts w:ascii="Courier New" w:hAnsi="Courier New" w:hint="default"/>
      </w:rPr>
    </w:lvl>
    <w:lvl w:ilvl="5" w:tplc="D62CE166">
      <w:start w:val="1"/>
      <w:numFmt w:val="bullet"/>
      <w:lvlText w:val=""/>
      <w:lvlJc w:val="left"/>
      <w:pPr>
        <w:ind w:left="4320" w:hanging="360"/>
      </w:pPr>
      <w:rPr>
        <w:rFonts w:ascii="Wingdings" w:hAnsi="Wingdings" w:hint="default"/>
      </w:rPr>
    </w:lvl>
    <w:lvl w:ilvl="6" w:tplc="CADCDF58">
      <w:start w:val="1"/>
      <w:numFmt w:val="bullet"/>
      <w:lvlText w:val=""/>
      <w:lvlJc w:val="left"/>
      <w:pPr>
        <w:ind w:left="5040" w:hanging="360"/>
      </w:pPr>
      <w:rPr>
        <w:rFonts w:ascii="Symbol" w:hAnsi="Symbol" w:hint="default"/>
      </w:rPr>
    </w:lvl>
    <w:lvl w:ilvl="7" w:tplc="F306AE62">
      <w:start w:val="1"/>
      <w:numFmt w:val="bullet"/>
      <w:lvlText w:val="o"/>
      <w:lvlJc w:val="left"/>
      <w:pPr>
        <w:ind w:left="5760" w:hanging="360"/>
      </w:pPr>
      <w:rPr>
        <w:rFonts w:ascii="Courier New" w:hAnsi="Courier New" w:hint="default"/>
      </w:rPr>
    </w:lvl>
    <w:lvl w:ilvl="8" w:tplc="88EA085C">
      <w:start w:val="1"/>
      <w:numFmt w:val="bullet"/>
      <w:lvlText w:val=""/>
      <w:lvlJc w:val="left"/>
      <w:pPr>
        <w:ind w:left="6480" w:hanging="360"/>
      </w:pPr>
      <w:rPr>
        <w:rFonts w:ascii="Wingdings" w:hAnsi="Wingdings" w:hint="default"/>
      </w:rPr>
    </w:lvl>
  </w:abstractNum>
  <w:abstractNum w:abstractNumId="40" w15:restartNumberingAfterBreak="0">
    <w:nsid w:val="1F3219D1"/>
    <w:multiLevelType w:val="hybridMultilevel"/>
    <w:tmpl w:val="FFFFFFFF"/>
    <w:lvl w:ilvl="0" w:tplc="04F6BAF4">
      <w:start w:val="1"/>
      <w:numFmt w:val="bullet"/>
      <w:lvlText w:val="-"/>
      <w:lvlJc w:val="left"/>
      <w:pPr>
        <w:ind w:left="720" w:hanging="360"/>
      </w:pPr>
      <w:rPr>
        <w:rFonts w:ascii="Verdana" w:hAnsi="Verdana" w:hint="default"/>
      </w:rPr>
    </w:lvl>
    <w:lvl w:ilvl="1" w:tplc="98CA08DC">
      <w:start w:val="1"/>
      <w:numFmt w:val="bullet"/>
      <w:lvlText w:val="o"/>
      <w:lvlJc w:val="left"/>
      <w:pPr>
        <w:ind w:left="1440" w:hanging="360"/>
      </w:pPr>
      <w:rPr>
        <w:rFonts w:ascii="Courier New" w:hAnsi="Courier New" w:hint="default"/>
      </w:rPr>
    </w:lvl>
    <w:lvl w:ilvl="2" w:tplc="5EB6E93E">
      <w:start w:val="1"/>
      <w:numFmt w:val="bullet"/>
      <w:lvlText w:val=""/>
      <w:lvlJc w:val="left"/>
      <w:pPr>
        <w:ind w:left="2160" w:hanging="360"/>
      </w:pPr>
      <w:rPr>
        <w:rFonts w:ascii="Wingdings" w:hAnsi="Wingdings" w:hint="default"/>
      </w:rPr>
    </w:lvl>
    <w:lvl w:ilvl="3" w:tplc="7A5EEF6A">
      <w:start w:val="1"/>
      <w:numFmt w:val="bullet"/>
      <w:lvlText w:val=""/>
      <w:lvlJc w:val="left"/>
      <w:pPr>
        <w:ind w:left="2880" w:hanging="360"/>
      </w:pPr>
      <w:rPr>
        <w:rFonts w:ascii="Symbol" w:hAnsi="Symbol" w:hint="default"/>
      </w:rPr>
    </w:lvl>
    <w:lvl w:ilvl="4" w:tplc="583EB648">
      <w:start w:val="1"/>
      <w:numFmt w:val="bullet"/>
      <w:lvlText w:val="o"/>
      <w:lvlJc w:val="left"/>
      <w:pPr>
        <w:ind w:left="3600" w:hanging="360"/>
      </w:pPr>
      <w:rPr>
        <w:rFonts w:ascii="Courier New" w:hAnsi="Courier New" w:hint="default"/>
      </w:rPr>
    </w:lvl>
    <w:lvl w:ilvl="5" w:tplc="62444FA8">
      <w:start w:val="1"/>
      <w:numFmt w:val="bullet"/>
      <w:lvlText w:val=""/>
      <w:lvlJc w:val="left"/>
      <w:pPr>
        <w:ind w:left="4320" w:hanging="360"/>
      </w:pPr>
      <w:rPr>
        <w:rFonts w:ascii="Wingdings" w:hAnsi="Wingdings" w:hint="default"/>
      </w:rPr>
    </w:lvl>
    <w:lvl w:ilvl="6" w:tplc="7040E60C">
      <w:start w:val="1"/>
      <w:numFmt w:val="bullet"/>
      <w:lvlText w:val=""/>
      <w:lvlJc w:val="left"/>
      <w:pPr>
        <w:ind w:left="5040" w:hanging="360"/>
      </w:pPr>
      <w:rPr>
        <w:rFonts w:ascii="Symbol" w:hAnsi="Symbol" w:hint="default"/>
      </w:rPr>
    </w:lvl>
    <w:lvl w:ilvl="7" w:tplc="18C225AC">
      <w:start w:val="1"/>
      <w:numFmt w:val="bullet"/>
      <w:lvlText w:val="o"/>
      <w:lvlJc w:val="left"/>
      <w:pPr>
        <w:ind w:left="5760" w:hanging="360"/>
      </w:pPr>
      <w:rPr>
        <w:rFonts w:ascii="Courier New" w:hAnsi="Courier New" w:hint="default"/>
      </w:rPr>
    </w:lvl>
    <w:lvl w:ilvl="8" w:tplc="A27E36AE">
      <w:start w:val="1"/>
      <w:numFmt w:val="bullet"/>
      <w:lvlText w:val=""/>
      <w:lvlJc w:val="left"/>
      <w:pPr>
        <w:ind w:left="6480" w:hanging="360"/>
      </w:pPr>
      <w:rPr>
        <w:rFonts w:ascii="Wingdings" w:hAnsi="Wingdings" w:hint="default"/>
      </w:rPr>
    </w:lvl>
  </w:abstractNum>
  <w:abstractNum w:abstractNumId="41" w15:restartNumberingAfterBreak="0">
    <w:nsid w:val="1F6947F5"/>
    <w:multiLevelType w:val="hybridMultilevel"/>
    <w:tmpl w:val="AAAC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319" w:hanging="360"/>
      </w:pPr>
      <w:rPr>
        <w:rFonts w:ascii="Courier New" w:hAnsi="Courier New" w:cs="Courier New" w:hint="default"/>
      </w:rPr>
    </w:lvl>
    <w:lvl w:ilvl="2" w:tplc="08090005" w:tentative="1">
      <w:start w:val="1"/>
      <w:numFmt w:val="bullet"/>
      <w:lvlText w:val=""/>
      <w:lvlJc w:val="left"/>
      <w:pPr>
        <w:ind w:left="-599" w:hanging="360"/>
      </w:pPr>
      <w:rPr>
        <w:rFonts w:ascii="Wingdings" w:hAnsi="Wingdings" w:hint="default"/>
      </w:rPr>
    </w:lvl>
    <w:lvl w:ilvl="3" w:tplc="08090001" w:tentative="1">
      <w:start w:val="1"/>
      <w:numFmt w:val="bullet"/>
      <w:lvlText w:val=""/>
      <w:lvlJc w:val="left"/>
      <w:pPr>
        <w:ind w:left="121" w:hanging="360"/>
      </w:pPr>
      <w:rPr>
        <w:rFonts w:ascii="Symbol" w:hAnsi="Symbol" w:hint="default"/>
      </w:rPr>
    </w:lvl>
    <w:lvl w:ilvl="4" w:tplc="08090003" w:tentative="1">
      <w:start w:val="1"/>
      <w:numFmt w:val="bullet"/>
      <w:lvlText w:val="o"/>
      <w:lvlJc w:val="left"/>
      <w:pPr>
        <w:ind w:left="841" w:hanging="360"/>
      </w:pPr>
      <w:rPr>
        <w:rFonts w:ascii="Courier New" w:hAnsi="Courier New" w:cs="Courier New" w:hint="default"/>
      </w:rPr>
    </w:lvl>
    <w:lvl w:ilvl="5" w:tplc="08090005" w:tentative="1">
      <w:start w:val="1"/>
      <w:numFmt w:val="bullet"/>
      <w:lvlText w:val=""/>
      <w:lvlJc w:val="left"/>
      <w:pPr>
        <w:ind w:left="1561" w:hanging="360"/>
      </w:pPr>
      <w:rPr>
        <w:rFonts w:ascii="Wingdings" w:hAnsi="Wingdings" w:hint="default"/>
      </w:rPr>
    </w:lvl>
    <w:lvl w:ilvl="6" w:tplc="08090001" w:tentative="1">
      <w:start w:val="1"/>
      <w:numFmt w:val="bullet"/>
      <w:lvlText w:val=""/>
      <w:lvlJc w:val="left"/>
      <w:pPr>
        <w:ind w:left="2281" w:hanging="360"/>
      </w:pPr>
      <w:rPr>
        <w:rFonts w:ascii="Symbol" w:hAnsi="Symbol" w:hint="default"/>
      </w:rPr>
    </w:lvl>
    <w:lvl w:ilvl="7" w:tplc="08090003" w:tentative="1">
      <w:start w:val="1"/>
      <w:numFmt w:val="bullet"/>
      <w:lvlText w:val="o"/>
      <w:lvlJc w:val="left"/>
      <w:pPr>
        <w:ind w:left="3001" w:hanging="360"/>
      </w:pPr>
      <w:rPr>
        <w:rFonts w:ascii="Courier New" w:hAnsi="Courier New" w:cs="Courier New" w:hint="default"/>
      </w:rPr>
    </w:lvl>
    <w:lvl w:ilvl="8" w:tplc="08090005" w:tentative="1">
      <w:start w:val="1"/>
      <w:numFmt w:val="bullet"/>
      <w:lvlText w:val=""/>
      <w:lvlJc w:val="left"/>
      <w:pPr>
        <w:ind w:left="3721" w:hanging="360"/>
      </w:pPr>
      <w:rPr>
        <w:rFonts w:ascii="Wingdings" w:hAnsi="Wingdings" w:hint="default"/>
      </w:rPr>
    </w:lvl>
  </w:abstractNum>
  <w:abstractNum w:abstractNumId="42" w15:restartNumberingAfterBreak="0">
    <w:nsid w:val="1FA0C6E2"/>
    <w:multiLevelType w:val="hybridMultilevel"/>
    <w:tmpl w:val="FFFFFFFF"/>
    <w:lvl w:ilvl="0" w:tplc="68C8386E">
      <w:start w:val="1"/>
      <w:numFmt w:val="bullet"/>
      <w:lvlText w:val=""/>
      <w:lvlJc w:val="left"/>
      <w:pPr>
        <w:ind w:left="720" w:hanging="360"/>
      </w:pPr>
      <w:rPr>
        <w:rFonts w:ascii="Symbol" w:hAnsi="Symbol" w:hint="default"/>
      </w:rPr>
    </w:lvl>
    <w:lvl w:ilvl="1" w:tplc="642EA7E2">
      <w:start w:val="1"/>
      <w:numFmt w:val="bullet"/>
      <w:lvlText w:val="o"/>
      <w:lvlJc w:val="left"/>
      <w:pPr>
        <w:ind w:left="1440" w:hanging="360"/>
      </w:pPr>
      <w:rPr>
        <w:rFonts w:ascii="Courier New" w:hAnsi="Courier New" w:hint="default"/>
      </w:rPr>
    </w:lvl>
    <w:lvl w:ilvl="2" w:tplc="09DA32C8">
      <w:start w:val="1"/>
      <w:numFmt w:val="bullet"/>
      <w:lvlText w:val=""/>
      <w:lvlJc w:val="left"/>
      <w:pPr>
        <w:ind w:left="2160" w:hanging="360"/>
      </w:pPr>
      <w:rPr>
        <w:rFonts w:ascii="Wingdings" w:hAnsi="Wingdings" w:hint="default"/>
      </w:rPr>
    </w:lvl>
    <w:lvl w:ilvl="3" w:tplc="B4906A6A">
      <w:start w:val="1"/>
      <w:numFmt w:val="bullet"/>
      <w:lvlText w:val=""/>
      <w:lvlJc w:val="left"/>
      <w:pPr>
        <w:ind w:left="2880" w:hanging="360"/>
      </w:pPr>
      <w:rPr>
        <w:rFonts w:ascii="Symbol" w:hAnsi="Symbol" w:hint="default"/>
      </w:rPr>
    </w:lvl>
    <w:lvl w:ilvl="4" w:tplc="C808633E">
      <w:start w:val="1"/>
      <w:numFmt w:val="bullet"/>
      <w:lvlText w:val="o"/>
      <w:lvlJc w:val="left"/>
      <w:pPr>
        <w:ind w:left="3600" w:hanging="360"/>
      </w:pPr>
      <w:rPr>
        <w:rFonts w:ascii="Courier New" w:hAnsi="Courier New" w:hint="default"/>
      </w:rPr>
    </w:lvl>
    <w:lvl w:ilvl="5" w:tplc="CA2EBA7C">
      <w:start w:val="1"/>
      <w:numFmt w:val="bullet"/>
      <w:lvlText w:val=""/>
      <w:lvlJc w:val="left"/>
      <w:pPr>
        <w:ind w:left="4320" w:hanging="360"/>
      </w:pPr>
      <w:rPr>
        <w:rFonts w:ascii="Wingdings" w:hAnsi="Wingdings" w:hint="default"/>
      </w:rPr>
    </w:lvl>
    <w:lvl w:ilvl="6" w:tplc="DA6AB6FE">
      <w:start w:val="1"/>
      <w:numFmt w:val="bullet"/>
      <w:lvlText w:val=""/>
      <w:lvlJc w:val="left"/>
      <w:pPr>
        <w:ind w:left="5040" w:hanging="360"/>
      </w:pPr>
      <w:rPr>
        <w:rFonts w:ascii="Symbol" w:hAnsi="Symbol" w:hint="default"/>
      </w:rPr>
    </w:lvl>
    <w:lvl w:ilvl="7" w:tplc="C95083AA">
      <w:start w:val="1"/>
      <w:numFmt w:val="bullet"/>
      <w:lvlText w:val="o"/>
      <w:lvlJc w:val="left"/>
      <w:pPr>
        <w:ind w:left="5760" w:hanging="360"/>
      </w:pPr>
      <w:rPr>
        <w:rFonts w:ascii="Courier New" w:hAnsi="Courier New" w:hint="default"/>
      </w:rPr>
    </w:lvl>
    <w:lvl w:ilvl="8" w:tplc="716EF978">
      <w:start w:val="1"/>
      <w:numFmt w:val="bullet"/>
      <w:lvlText w:val=""/>
      <w:lvlJc w:val="left"/>
      <w:pPr>
        <w:ind w:left="6480" w:hanging="360"/>
      </w:pPr>
      <w:rPr>
        <w:rFonts w:ascii="Wingdings" w:hAnsi="Wingdings" w:hint="default"/>
      </w:rPr>
    </w:lvl>
  </w:abstractNum>
  <w:abstractNum w:abstractNumId="43" w15:restartNumberingAfterBreak="0">
    <w:nsid w:val="1FA121A2"/>
    <w:multiLevelType w:val="hybridMultilevel"/>
    <w:tmpl w:val="179C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0575E68"/>
    <w:multiLevelType w:val="multilevel"/>
    <w:tmpl w:val="5096FC9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22694BB9"/>
    <w:multiLevelType w:val="hybridMultilevel"/>
    <w:tmpl w:val="89E6A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2C761C5"/>
    <w:multiLevelType w:val="hybridMultilevel"/>
    <w:tmpl w:val="6ED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32F0219"/>
    <w:multiLevelType w:val="hybridMultilevel"/>
    <w:tmpl w:val="445A8A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482460A"/>
    <w:multiLevelType w:val="hybridMultilevel"/>
    <w:tmpl w:val="B4E650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24836AED"/>
    <w:multiLevelType w:val="hybridMultilevel"/>
    <w:tmpl w:val="FFFFFFFF"/>
    <w:lvl w:ilvl="0" w:tplc="9C7CEE92">
      <w:start w:val="1"/>
      <w:numFmt w:val="decimal"/>
      <w:lvlText w:val="%1."/>
      <w:lvlJc w:val="left"/>
      <w:pPr>
        <w:ind w:left="720" w:hanging="360"/>
      </w:pPr>
    </w:lvl>
    <w:lvl w:ilvl="1" w:tplc="084E13B2">
      <w:start w:val="1"/>
      <w:numFmt w:val="lowerLetter"/>
      <w:lvlText w:val="%2."/>
      <w:lvlJc w:val="left"/>
      <w:pPr>
        <w:ind w:left="1440" w:hanging="360"/>
      </w:pPr>
    </w:lvl>
    <w:lvl w:ilvl="2" w:tplc="EF46D8A8">
      <w:start w:val="1"/>
      <w:numFmt w:val="lowerRoman"/>
      <w:lvlText w:val="%3."/>
      <w:lvlJc w:val="right"/>
      <w:pPr>
        <w:ind w:left="2160" w:hanging="180"/>
      </w:pPr>
    </w:lvl>
    <w:lvl w:ilvl="3" w:tplc="3258DBE6">
      <w:start w:val="1"/>
      <w:numFmt w:val="decimal"/>
      <w:lvlText w:val="%4."/>
      <w:lvlJc w:val="left"/>
      <w:pPr>
        <w:ind w:left="2880" w:hanging="360"/>
      </w:pPr>
    </w:lvl>
    <w:lvl w:ilvl="4" w:tplc="92B24646">
      <w:start w:val="1"/>
      <w:numFmt w:val="lowerLetter"/>
      <w:lvlText w:val="%5."/>
      <w:lvlJc w:val="left"/>
      <w:pPr>
        <w:ind w:left="3600" w:hanging="360"/>
      </w:pPr>
    </w:lvl>
    <w:lvl w:ilvl="5" w:tplc="61DA6638">
      <w:start w:val="1"/>
      <w:numFmt w:val="lowerRoman"/>
      <w:lvlText w:val="%6."/>
      <w:lvlJc w:val="right"/>
      <w:pPr>
        <w:ind w:left="4320" w:hanging="180"/>
      </w:pPr>
    </w:lvl>
    <w:lvl w:ilvl="6" w:tplc="F530E516">
      <w:start w:val="1"/>
      <w:numFmt w:val="decimal"/>
      <w:lvlText w:val="%7."/>
      <w:lvlJc w:val="left"/>
      <w:pPr>
        <w:ind w:left="5040" w:hanging="360"/>
      </w:pPr>
    </w:lvl>
    <w:lvl w:ilvl="7" w:tplc="11C4F566">
      <w:start w:val="1"/>
      <w:numFmt w:val="lowerLetter"/>
      <w:lvlText w:val="%8."/>
      <w:lvlJc w:val="left"/>
      <w:pPr>
        <w:ind w:left="5760" w:hanging="360"/>
      </w:pPr>
    </w:lvl>
    <w:lvl w:ilvl="8" w:tplc="E7E846C6">
      <w:start w:val="1"/>
      <w:numFmt w:val="lowerRoman"/>
      <w:lvlText w:val="%9."/>
      <w:lvlJc w:val="right"/>
      <w:pPr>
        <w:ind w:left="6480" w:hanging="180"/>
      </w:pPr>
    </w:lvl>
  </w:abstractNum>
  <w:abstractNum w:abstractNumId="50" w15:restartNumberingAfterBreak="0">
    <w:nsid w:val="25C76ED2"/>
    <w:multiLevelType w:val="hybridMultilevel"/>
    <w:tmpl w:val="FFFFFFFF"/>
    <w:lvl w:ilvl="0" w:tplc="9C7CEE92">
      <w:start w:val="1"/>
      <w:numFmt w:val="decimal"/>
      <w:lvlText w:val="%1."/>
      <w:lvlJc w:val="left"/>
      <w:pPr>
        <w:ind w:left="720" w:hanging="360"/>
      </w:pPr>
    </w:lvl>
    <w:lvl w:ilvl="1" w:tplc="084E13B2">
      <w:start w:val="1"/>
      <w:numFmt w:val="lowerLetter"/>
      <w:lvlText w:val="%2."/>
      <w:lvlJc w:val="left"/>
      <w:pPr>
        <w:ind w:left="1440" w:hanging="360"/>
      </w:pPr>
    </w:lvl>
    <w:lvl w:ilvl="2" w:tplc="EF46D8A8">
      <w:start w:val="1"/>
      <w:numFmt w:val="lowerRoman"/>
      <w:lvlText w:val="%3."/>
      <w:lvlJc w:val="right"/>
      <w:pPr>
        <w:ind w:left="2160" w:hanging="180"/>
      </w:pPr>
    </w:lvl>
    <w:lvl w:ilvl="3" w:tplc="3258DBE6">
      <w:start w:val="1"/>
      <w:numFmt w:val="decimal"/>
      <w:lvlText w:val="%4."/>
      <w:lvlJc w:val="left"/>
      <w:pPr>
        <w:ind w:left="2880" w:hanging="360"/>
      </w:pPr>
    </w:lvl>
    <w:lvl w:ilvl="4" w:tplc="92B24646">
      <w:start w:val="1"/>
      <w:numFmt w:val="lowerLetter"/>
      <w:lvlText w:val="%5."/>
      <w:lvlJc w:val="left"/>
      <w:pPr>
        <w:ind w:left="3600" w:hanging="360"/>
      </w:pPr>
    </w:lvl>
    <w:lvl w:ilvl="5" w:tplc="61DA6638">
      <w:start w:val="1"/>
      <w:numFmt w:val="lowerRoman"/>
      <w:lvlText w:val="%6."/>
      <w:lvlJc w:val="right"/>
      <w:pPr>
        <w:ind w:left="4320" w:hanging="180"/>
      </w:pPr>
    </w:lvl>
    <w:lvl w:ilvl="6" w:tplc="F530E516">
      <w:start w:val="1"/>
      <w:numFmt w:val="decimal"/>
      <w:lvlText w:val="%7."/>
      <w:lvlJc w:val="left"/>
      <w:pPr>
        <w:ind w:left="5040" w:hanging="360"/>
      </w:pPr>
    </w:lvl>
    <w:lvl w:ilvl="7" w:tplc="11C4F566">
      <w:start w:val="1"/>
      <w:numFmt w:val="lowerLetter"/>
      <w:lvlText w:val="%8."/>
      <w:lvlJc w:val="left"/>
      <w:pPr>
        <w:ind w:left="5760" w:hanging="360"/>
      </w:pPr>
    </w:lvl>
    <w:lvl w:ilvl="8" w:tplc="E7E846C6">
      <w:start w:val="1"/>
      <w:numFmt w:val="lowerRoman"/>
      <w:lvlText w:val="%9."/>
      <w:lvlJc w:val="right"/>
      <w:pPr>
        <w:ind w:left="6480" w:hanging="180"/>
      </w:pPr>
    </w:lvl>
  </w:abstractNum>
  <w:abstractNum w:abstractNumId="51" w15:restartNumberingAfterBreak="0">
    <w:nsid w:val="25CD0CE9"/>
    <w:multiLevelType w:val="hybridMultilevel"/>
    <w:tmpl w:val="FFFFFFFF"/>
    <w:lvl w:ilvl="0" w:tplc="7938B9D0">
      <w:start w:val="1"/>
      <w:numFmt w:val="decimal"/>
      <w:lvlText w:val="%1."/>
      <w:lvlJc w:val="left"/>
      <w:pPr>
        <w:ind w:left="720" w:hanging="360"/>
      </w:pPr>
    </w:lvl>
    <w:lvl w:ilvl="1" w:tplc="F41ED0E4">
      <w:start w:val="1"/>
      <w:numFmt w:val="lowerLetter"/>
      <w:lvlText w:val="%2."/>
      <w:lvlJc w:val="left"/>
      <w:pPr>
        <w:ind w:left="1440" w:hanging="360"/>
      </w:pPr>
    </w:lvl>
    <w:lvl w:ilvl="2" w:tplc="7BC4A378">
      <w:start w:val="1"/>
      <w:numFmt w:val="lowerRoman"/>
      <w:lvlText w:val="%3."/>
      <w:lvlJc w:val="right"/>
      <w:pPr>
        <w:ind w:left="2160" w:hanging="180"/>
      </w:pPr>
    </w:lvl>
    <w:lvl w:ilvl="3" w:tplc="A6C6A284">
      <w:start w:val="1"/>
      <w:numFmt w:val="decimal"/>
      <w:lvlText w:val="%4."/>
      <w:lvlJc w:val="left"/>
      <w:pPr>
        <w:ind w:left="2880" w:hanging="360"/>
      </w:pPr>
    </w:lvl>
    <w:lvl w:ilvl="4" w:tplc="26F852CE">
      <w:start w:val="1"/>
      <w:numFmt w:val="lowerLetter"/>
      <w:lvlText w:val="%5."/>
      <w:lvlJc w:val="left"/>
      <w:pPr>
        <w:ind w:left="3600" w:hanging="360"/>
      </w:pPr>
    </w:lvl>
    <w:lvl w:ilvl="5" w:tplc="2C762C22">
      <w:start w:val="1"/>
      <w:numFmt w:val="lowerRoman"/>
      <w:lvlText w:val="%6."/>
      <w:lvlJc w:val="right"/>
      <w:pPr>
        <w:ind w:left="4320" w:hanging="180"/>
      </w:pPr>
    </w:lvl>
    <w:lvl w:ilvl="6" w:tplc="A06825AC">
      <w:start w:val="1"/>
      <w:numFmt w:val="decimal"/>
      <w:lvlText w:val="%7."/>
      <w:lvlJc w:val="left"/>
      <w:pPr>
        <w:ind w:left="5040" w:hanging="360"/>
      </w:pPr>
    </w:lvl>
    <w:lvl w:ilvl="7" w:tplc="B3928F60">
      <w:start w:val="1"/>
      <w:numFmt w:val="lowerLetter"/>
      <w:lvlText w:val="%8."/>
      <w:lvlJc w:val="left"/>
      <w:pPr>
        <w:ind w:left="5760" w:hanging="360"/>
      </w:pPr>
    </w:lvl>
    <w:lvl w:ilvl="8" w:tplc="F380FEAC">
      <w:start w:val="1"/>
      <w:numFmt w:val="lowerRoman"/>
      <w:lvlText w:val="%9."/>
      <w:lvlJc w:val="right"/>
      <w:pPr>
        <w:ind w:left="6480" w:hanging="180"/>
      </w:pPr>
    </w:lvl>
  </w:abstractNum>
  <w:abstractNum w:abstractNumId="52" w15:restartNumberingAfterBreak="0">
    <w:nsid w:val="26110F74"/>
    <w:multiLevelType w:val="hybridMultilevel"/>
    <w:tmpl w:val="FFCA7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6344482"/>
    <w:multiLevelType w:val="hybridMultilevel"/>
    <w:tmpl w:val="FFFFFFFF"/>
    <w:lvl w:ilvl="0" w:tplc="7BC81DEC">
      <w:start w:val="1"/>
      <w:numFmt w:val="decimal"/>
      <w:lvlText w:val="(%1)"/>
      <w:lvlJc w:val="left"/>
      <w:pPr>
        <w:ind w:left="720" w:hanging="360"/>
      </w:pPr>
    </w:lvl>
    <w:lvl w:ilvl="1" w:tplc="5BEE56AA">
      <w:start w:val="1"/>
      <w:numFmt w:val="lowerLetter"/>
      <w:lvlText w:val="%2."/>
      <w:lvlJc w:val="left"/>
      <w:pPr>
        <w:ind w:left="1440" w:hanging="360"/>
      </w:pPr>
    </w:lvl>
    <w:lvl w:ilvl="2" w:tplc="168C412C">
      <w:start w:val="1"/>
      <w:numFmt w:val="lowerRoman"/>
      <w:lvlText w:val="%3."/>
      <w:lvlJc w:val="right"/>
      <w:pPr>
        <w:ind w:left="2160" w:hanging="180"/>
      </w:pPr>
    </w:lvl>
    <w:lvl w:ilvl="3" w:tplc="858499B6">
      <w:start w:val="1"/>
      <w:numFmt w:val="decimal"/>
      <w:lvlText w:val="%4."/>
      <w:lvlJc w:val="left"/>
      <w:pPr>
        <w:ind w:left="2880" w:hanging="360"/>
      </w:pPr>
    </w:lvl>
    <w:lvl w:ilvl="4" w:tplc="4C000636">
      <w:start w:val="1"/>
      <w:numFmt w:val="lowerLetter"/>
      <w:lvlText w:val="%5."/>
      <w:lvlJc w:val="left"/>
      <w:pPr>
        <w:ind w:left="3600" w:hanging="360"/>
      </w:pPr>
    </w:lvl>
    <w:lvl w:ilvl="5" w:tplc="AFA49A84">
      <w:start w:val="1"/>
      <w:numFmt w:val="lowerRoman"/>
      <w:lvlText w:val="%6."/>
      <w:lvlJc w:val="right"/>
      <w:pPr>
        <w:ind w:left="4320" w:hanging="180"/>
      </w:pPr>
    </w:lvl>
    <w:lvl w:ilvl="6" w:tplc="2088796C">
      <w:start w:val="1"/>
      <w:numFmt w:val="decimal"/>
      <w:lvlText w:val="%7."/>
      <w:lvlJc w:val="left"/>
      <w:pPr>
        <w:ind w:left="5040" w:hanging="360"/>
      </w:pPr>
    </w:lvl>
    <w:lvl w:ilvl="7" w:tplc="AD1ED348">
      <w:start w:val="1"/>
      <w:numFmt w:val="lowerLetter"/>
      <w:lvlText w:val="%8."/>
      <w:lvlJc w:val="left"/>
      <w:pPr>
        <w:ind w:left="5760" w:hanging="360"/>
      </w:pPr>
    </w:lvl>
    <w:lvl w:ilvl="8" w:tplc="ECE80684">
      <w:start w:val="1"/>
      <w:numFmt w:val="lowerRoman"/>
      <w:lvlText w:val="%9."/>
      <w:lvlJc w:val="right"/>
      <w:pPr>
        <w:ind w:left="6480" w:hanging="180"/>
      </w:pPr>
    </w:lvl>
  </w:abstractNum>
  <w:abstractNum w:abstractNumId="54" w15:restartNumberingAfterBreak="0">
    <w:nsid w:val="26B34812"/>
    <w:multiLevelType w:val="hybridMultilevel"/>
    <w:tmpl w:val="1EFAA766"/>
    <w:lvl w:ilvl="0" w:tplc="4DA2ACA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73B2D65"/>
    <w:multiLevelType w:val="hybridMultilevel"/>
    <w:tmpl w:val="87E4B1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8520427"/>
    <w:multiLevelType w:val="hybridMultilevel"/>
    <w:tmpl w:val="C3CAA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8E0F428"/>
    <w:multiLevelType w:val="hybridMultilevel"/>
    <w:tmpl w:val="FFFFFFFF"/>
    <w:lvl w:ilvl="0" w:tplc="5B4CF38A">
      <w:start w:val="1"/>
      <w:numFmt w:val="lowerLetter"/>
      <w:lvlText w:val="%1."/>
      <w:lvlJc w:val="left"/>
      <w:pPr>
        <w:ind w:left="720" w:hanging="360"/>
      </w:pPr>
    </w:lvl>
    <w:lvl w:ilvl="1" w:tplc="9942E336">
      <w:start w:val="1"/>
      <w:numFmt w:val="lowerLetter"/>
      <w:lvlText w:val="%2."/>
      <w:lvlJc w:val="left"/>
      <w:pPr>
        <w:ind w:left="1440" w:hanging="360"/>
      </w:pPr>
    </w:lvl>
    <w:lvl w:ilvl="2" w:tplc="37A8BAFE">
      <w:start w:val="1"/>
      <w:numFmt w:val="lowerRoman"/>
      <w:lvlText w:val="%3."/>
      <w:lvlJc w:val="right"/>
      <w:pPr>
        <w:ind w:left="2160" w:hanging="180"/>
      </w:pPr>
    </w:lvl>
    <w:lvl w:ilvl="3" w:tplc="295E8670">
      <w:start w:val="1"/>
      <w:numFmt w:val="decimal"/>
      <w:lvlText w:val="%4."/>
      <w:lvlJc w:val="left"/>
      <w:pPr>
        <w:ind w:left="2880" w:hanging="360"/>
      </w:pPr>
    </w:lvl>
    <w:lvl w:ilvl="4" w:tplc="1A58E338">
      <w:start w:val="1"/>
      <w:numFmt w:val="lowerLetter"/>
      <w:lvlText w:val="%5."/>
      <w:lvlJc w:val="left"/>
      <w:pPr>
        <w:ind w:left="3600" w:hanging="360"/>
      </w:pPr>
    </w:lvl>
    <w:lvl w:ilvl="5" w:tplc="8C8C4E08">
      <w:start w:val="1"/>
      <w:numFmt w:val="lowerRoman"/>
      <w:lvlText w:val="%6."/>
      <w:lvlJc w:val="right"/>
      <w:pPr>
        <w:ind w:left="4320" w:hanging="180"/>
      </w:pPr>
    </w:lvl>
    <w:lvl w:ilvl="6" w:tplc="202829F8">
      <w:start w:val="1"/>
      <w:numFmt w:val="decimal"/>
      <w:lvlText w:val="%7."/>
      <w:lvlJc w:val="left"/>
      <w:pPr>
        <w:ind w:left="5040" w:hanging="360"/>
      </w:pPr>
    </w:lvl>
    <w:lvl w:ilvl="7" w:tplc="97005BF4">
      <w:start w:val="1"/>
      <w:numFmt w:val="lowerLetter"/>
      <w:lvlText w:val="%8."/>
      <w:lvlJc w:val="left"/>
      <w:pPr>
        <w:ind w:left="5760" w:hanging="360"/>
      </w:pPr>
    </w:lvl>
    <w:lvl w:ilvl="8" w:tplc="1B54B194">
      <w:start w:val="1"/>
      <w:numFmt w:val="lowerRoman"/>
      <w:lvlText w:val="%9."/>
      <w:lvlJc w:val="right"/>
      <w:pPr>
        <w:ind w:left="6480" w:hanging="180"/>
      </w:pPr>
    </w:lvl>
  </w:abstractNum>
  <w:abstractNum w:abstractNumId="58" w15:restartNumberingAfterBreak="0">
    <w:nsid w:val="296B2FE9"/>
    <w:multiLevelType w:val="hybridMultilevel"/>
    <w:tmpl w:val="6FEAFD9C"/>
    <w:lvl w:ilvl="0" w:tplc="D4D805B8">
      <w:start w:val="1"/>
      <w:numFmt w:val="bullet"/>
      <w:lvlText w:val="•"/>
      <w:lvlJc w:val="left"/>
      <w:pPr>
        <w:tabs>
          <w:tab w:val="num" w:pos="720"/>
        </w:tabs>
        <w:ind w:left="720" w:hanging="360"/>
      </w:pPr>
      <w:rPr>
        <w:rFonts w:ascii="Arial" w:hAnsi="Arial" w:hint="default"/>
      </w:rPr>
    </w:lvl>
    <w:lvl w:ilvl="1" w:tplc="BA2A8700">
      <w:numFmt w:val="bullet"/>
      <w:lvlText w:val=""/>
      <w:lvlJc w:val="left"/>
      <w:pPr>
        <w:tabs>
          <w:tab w:val="num" w:pos="1440"/>
        </w:tabs>
        <w:ind w:left="1440" w:hanging="360"/>
      </w:pPr>
      <w:rPr>
        <w:rFonts w:ascii="Wingdings" w:hAnsi="Wingdings" w:hint="default"/>
      </w:rPr>
    </w:lvl>
    <w:lvl w:ilvl="2" w:tplc="97ECAD82" w:tentative="1">
      <w:start w:val="1"/>
      <w:numFmt w:val="bullet"/>
      <w:lvlText w:val="•"/>
      <w:lvlJc w:val="left"/>
      <w:pPr>
        <w:tabs>
          <w:tab w:val="num" w:pos="2160"/>
        </w:tabs>
        <w:ind w:left="2160" w:hanging="360"/>
      </w:pPr>
      <w:rPr>
        <w:rFonts w:ascii="Arial" w:hAnsi="Arial" w:hint="default"/>
      </w:rPr>
    </w:lvl>
    <w:lvl w:ilvl="3" w:tplc="C15461C2" w:tentative="1">
      <w:start w:val="1"/>
      <w:numFmt w:val="bullet"/>
      <w:lvlText w:val="•"/>
      <w:lvlJc w:val="left"/>
      <w:pPr>
        <w:tabs>
          <w:tab w:val="num" w:pos="2880"/>
        </w:tabs>
        <w:ind w:left="2880" w:hanging="360"/>
      </w:pPr>
      <w:rPr>
        <w:rFonts w:ascii="Arial" w:hAnsi="Arial" w:hint="default"/>
      </w:rPr>
    </w:lvl>
    <w:lvl w:ilvl="4" w:tplc="DE0AB354" w:tentative="1">
      <w:start w:val="1"/>
      <w:numFmt w:val="bullet"/>
      <w:lvlText w:val="•"/>
      <w:lvlJc w:val="left"/>
      <w:pPr>
        <w:tabs>
          <w:tab w:val="num" w:pos="3600"/>
        </w:tabs>
        <w:ind w:left="3600" w:hanging="360"/>
      </w:pPr>
      <w:rPr>
        <w:rFonts w:ascii="Arial" w:hAnsi="Arial" w:hint="default"/>
      </w:rPr>
    </w:lvl>
    <w:lvl w:ilvl="5" w:tplc="2F7AA964" w:tentative="1">
      <w:start w:val="1"/>
      <w:numFmt w:val="bullet"/>
      <w:lvlText w:val="•"/>
      <w:lvlJc w:val="left"/>
      <w:pPr>
        <w:tabs>
          <w:tab w:val="num" w:pos="4320"/>
        </w:tabs>
        <w:ind w:left="4320" w:hanging="360"/>
      </w:pPr>
      <w:rPr>
        <w:rFonts w:ascii="Arial" w:hAnsi="Arial" w:hint="default"/>
      </w:rPr>
    </w:lvl>
    <w:lvl w:ilvl="6" w:tplc="FCBE8FE6" w:tentative="1">
      <w:start w:val="1"/>
      <w:numFmt w:val="bullet"/>
      <w:lvlText w:val="•"/>
      <w:lvlJc w:val="left"/>
      <w:pPr>
        <w:tabs>
          <w:tab w:val="num" w:pos="5040"/>
        </w:tabs>
        <w:ind w:left="5040" w:hanging="360"/>
      </w:pPr>
      <w:rPr>
        <w:rFonts w:ascii="Arial" w:hAnsi="Arial" w:hint="default"/>
      </w:rPr>
    </w:lvl>
    <w:lvl w:ilvl="7" w:tplc="00702998" w:tentative="1">
      <w:start w:val="1"/>
      <w:numFmt w:val="bullet"/>
      <w:lvlText w:val="•"/>
      <w:lvlJc w:val="left"/>
      <w:pPr>
        <w:tabs>
          <w:tab w:val="num" w:pos="5760"/>
        </w:tabs>
        <w:ind w:left="5760" w:hanging="360"/>
      </w:pPr>
      <w:rPr>
        <w:rFonts w:ascii="Arial" w:hAnsi="Arial" w:hint="default"/>
      </w:rPr>
    </w:lvl>
    <w:lvl w:ilvl="8" w:tplc="2AFECB7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2AFD65A4"/>
    <w:multiLevelType w:val="hybridMultilevel"/>
    <w:tmpl w:val="8C0A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C224718"/>
    <w:multiLevelType w:val="hybridMultilevel"/>
    <w:tmpl w:val="4EBE24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2CF02BC9"/>
    <w:multiLevelType w:val="hybridMultilevel"/>
    <w:tmpl w:val="A9BAD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2D030E53"/>
    <w:multiLevelType w:val="hybridMultilevel"/>
    <w:tmpl w:val="8E8AD59C"/>
    <w:lvl w:ilvl="0" w:tplc="4DA2ACA6">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2D293CE3"/>
    <w:multiLevelType w:val="multilevel"/>
    <w:tmpl w:val="30D480E4"/>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4" w15:restartNumberingAfterBreak="0">
    <w:nsid w:val="2D293CF4"/>
    <w:multiLevelType w:val="multilevel"/>
    <w:tmpl w:val="818A2454"/>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5" w15:restartNumberingAfterBreak="0">
    <w:nsid w:val="2E5B7F35"/>
    <w:multiLevelType w:val="hybridMultilevel"/>
    <w:tmpl w:val="28B4DB2E"/>
    <w:lvl w:ilvl="0" w:tplc="267E2FA2">
      <w:start w:val="1"/>
      <w:numFmt w:val="bullet"/>
      <w:lvlText w:val="-"/>
      <w:lvlJc w:val="left"/>
      <w:pPr>
        <w:ind w:left="720" w:hanging="360"/>
      </w:pPr>
      <w:rPr>
        <w:rFonts w:ascii="&quot;Times&quot;,serif" w:hAnsi="&quot;Times&quot;,serif" w:hint="default"/>
      </w:rPr>
    </w:lvl>
    <w:lvl w:ilvl="1" w:tplc="D6864E18">
      <w:start w:val="1"/>
      <w:numFmt w:val="bullet"/>
      <w:lvlText w:val="o"/>
      <w:lvlJc w:val="left"/>
      <w:pPr>
        <w:ind w:left="1440" w:hanging="360"/>
      </w:pPr>
      <w:rPr>
        <w:rFonts w:ascii="Courier New" w:hAnsi="Courier New" w:hint="default"/>
      </w:rPr>
    </w:lvl>
    <w:lvl w:ilvl="2" w:tplc="5F583706">
      <w:start w:val="1"/>
      <w:numFmt w:val="bullet"/>
      <w:lvlText w:val=""/>
      <w:lvlJc w:val="left"/>
      <w:pPr>
        <w:ind w:left="2160" w:hanging="360"/>
      </w:pPr>
      <w:rPr>
        <w:rFonts w:ascii="Wingdings" w:hAnsi="Wingdings" w:hint="default"/>
      </w:rPr>
    </w:lvl>
    <w:lvl w:ilvl="3" w:tplc="4B52D8A8">
      <w:start w:val="1"/>
      <w:numFmt w:val="bullet"/>
      <w:lvlText w:val=""/>
      <w:lvlJc w:val="left"/>
      <w:pPr>
        <w:ind w:left="2880" w:hanging="360"/>
      </w:pPr>
      <w:rPr>
        <w:rFonts w:ascii="Symbol" w:hAnsi="Symbol" w:hint="default"/>
      </w:rPr>
    </w:lvl>
    <w:lvl w:ilvl="4" w:tplc="35881B62">
      <w:start w:val="1"/>
      <w:numFmt w:val="bullet"/>
      <w:lvlText w:val="o"/>
      <w:lvlJc w:val="left"/>
      <w:pPr>
        <w:ind w:left="3600" w:hanging="360"/>
      </w:pPr>
      <w:rPr>
        <w:rFonts w:ascii="Courier New" w:hAnsi="Courier New" w:hint="default"/>
      </w:rPr>
    </w:lvl>
    <w:lvl w:ilvl="5" w:tplc="D0D8A7BC">
      <w:start w:val="1"/>
      <w:numFmt w:val="bullet"/>
      <w:lvlText w:val=""/>
      <w:lvlJc w:val="left"/>
      <w:pPr>
        <w:ind w:left="4320" w:hanging="360"/>
      </w:pPr>
      <w:rPr>
        <w:rFonts w:ascii="Wingdings" w:hAnsi="Wingdings" w:hint="default"/>
      </w:rPr>
    </w:lvl>
    <w:lvl w:ilvl="6" w:tplc="80A012D6">
      <w:start w:val="1"/>
      <w:numFmt w:val="bullet"/>
      <w:lvlText w:val=""/>
      <w:lvlJc w:val="left"/>
      <w:pPr>
        <w:ind w:left="5040" w:hanging="360"/>
      </w:pPr>
      <w:rPr>
        <w:rFonts w:ascii="Symbol" w:hAnsi="Symbol" w:hint="default"/>
      </w:rPr>
    </w:lvl>
    <w:lvl w:ilvl="7" w:tplc="E9FAB630">
      <w:start w:val="1"/>
      <w:numFmt w:val="bullet"/>
      <w:lvlText w:val="o"/>
      <w:lvlJc w:val="left"/>
      <w:pPr>
        <w:ind w:left="5760" w:hanging="360"/>
      </w:pPr>
      <w:rPr>
        <w:rFonts w:ascii="Courier New" w:hAnsi="Courier New" w:hint="default"/>
      </w:rPr>
    </w:lvl>
    <w:lvl w:ilvl="8" w:tplc="DC6E2320">
      <w:start w:val="1"/>
      <w:numFmt w:val="bullet"/>
      <w:lvlText w:val=""/>
      <w:lvlJc w:val="left"/>
      <w:pPr>
        <w:ind w:left="6480" w:hanging="360"/>
      </w:pPr>
      <w:rPr>
        <w:rFonts w:ascii="Wingdings" w:hAnsi="Wingdings" w:hint="default"/>
      </w:rPr>
    </w:lvl>
  </w:abstractNum>
  <w:abstractNum w:abstractNumId="66" w15:restartNumberingAfterBreak="0">
    <w:nsid w:val="2FC951D1"/>
    <w:multiLevelType w:val="hybridMultilevel"/>
    <w:tmpl w:val="FFFFFFFF"/>
    <w:lvl w:ilvl="0" w:tplc="7B443AE4">
      <w:start w:val="1"/>
      <w:numFmt w:val="decimal"/>
      <w:lvlText w:val="%1."/>
      <w:lvlJc w:val="left"/>
      <w:pPr>
        <w:ind w:left="720" w:hanging="360"/>
      </w:pPr>
    </w:lvl>
    <w:lvl w:ilvl="1" w:tplc="958C97B8">
      <w:start w:val="1"/>
      <w:numFmt w:val="lowerLetter"/>
      <w:lvlText w:val="%2."/>
      <w:lvlJc w:val="left"/>
      <w:pPr>
        <w:ind w:left="1440" w:hanging="360"/>
      </w:pPr>
    </w:lvl>
    <w:lvl w:ilvl="2" w:tplc="D67264C6">
      <w:start w:val="1"/>
      <w:numFmt w:val="lowerRoman"/>
      <w:lvlText w:val="%3."/>
      <w:lvlJc w:val="right"/>
      <w:pPr>
        <w:ind w:left="2160" w:hanging="180"/>
      </w:pPr>
    </w:lvl>
    <w:lvl w:ilvl="3" w:tplc="80EA3680">
      <w:start w:val="1"/>
      <w:numFmt w:val="decimal"/>
      <w:lvlText w:val="%4."/>
      <w:lvlJc w:val="left"/>
      <w:pPr>
        <w:ind w:left="2880" w:hanging="360"/>
      </w:pPr>
    </w:lvl>
    <w:lvl w:ilvl="4" w:tplc="2482D744">
      <w:start w:val="1"/>
      <w:numFmt w:val="lowerLetter"/>
      <w:lvlText w:val="%5."/>
      <w:lvlJc w:val="left"/>
      <w:pPr>
        <w:ind w:left="3600" w:hanging="360"/>
      </w:pPr>
    </w:lvl>
    <w:lvl w:ilvl="5" w:tplc="D93A1352">
      <w:start w:val="1"/>
      <w:numFmt w:val="lowerRoman"/>
      <w:lvlText w:val="%6."/>
      <w:lvlJc w:val="right"/>
      <w:pPr>
        <w:ind w:left="4320" w:hanging="180"/>
      </w:pPr>
    </w:lvl>
    <w:lvl w:ilvl="6" w:tplc="7B3ACA2C">
      <w:start w:val="1"/>
      <w:numFmt w:val="decimal"/>
      <w:lvlText w:val="%7."/>
      <w:lvlJc w:val="left"/>
      <w:pPr>
        <w:ind w:left="5040" w:hanging="360"/>
      </w:pPr>
    </w:lvl>
    <w:lvl w:ilvl="7" w:tplc="8A64C614">
      <w:start w:val="1"/>
      <w:numFmt w:val="lowerLetter"/>
      <w:lvlText w:val="%8."/>
      <w:lvlJc w:val="left"/>
      <w:pPr>
        <w:ind w:left="5760" w:hanging="360"/>
      </w:pPr>
    </w:lvl>
    <w:lvl w:ilvl="8" w:tplc="98765A54">
      <w:start w:val="1"/>
      <w:numFmt w:val="lowerRoman"/>
      <w:lvlText w:val="%9."/>
      <w:lvlJc w:val="right"/>
      <w:pPr>
        <w:ind w:left="6480" w:hanging="180"/>
      </w:pPr>
    </w:lvl>
  </w:abstractNum>
  <w:abstractNum w:abstractNumId="67" w15:restartNumberingAfterBreak="0">
    <w:nsid w:val="2FF9EC6E"/>
    <w:multiLevelType w:val="hybridMultilevel"/>
    <w:tmpl w:val="FFFFFFFF"/>
    <w:lvl w:ilvl="0" w:tplc="D28AA058">
      <w:start w:val="1"/>
      <w:numFmt w:val="bullet"/>
      <w:lvlText w:val="-"/>
      <w:lvlJc w:val="left"/>
      <w:pPr>
        <w:ind w:left="720" w:hanging="360"/>
      </w:pPr>
      <w:rPr>
        <w:rFonts w:ascii="Calibri" w:hAnsi="Calibri" w:hint="default"/>
      </w:rPr>
    </w:lvl>
    <w:lvl w:ilvl="1" w:tplc="D812DDBA">
      <w:start w:val="1"/>
      <w:numFmt w:val="bullet"/>
      <w:lvlText w:val="o"/>
      <w:lvlJc w:val="left"/>
      <w:pPr>
        <w:ind w:left="1440" w:hanging="360"/>
      </w:pPr>
      <w:rPr>
        <w:rFonts w:ascii="Courier New" w:hAnsi="Courier New" w:hint="default"/>
      </w:rPr>
    </w:lvl>
    <w:lvl w:ilvl="2" w:tplc="B5226FE4">
      <w:start w:val="1"/>
      <w:numFmt w:val="bullet"/>
      <w:lvlText w:val=""/>
      <w:lvlJc w:val="left"/>
      <w:pPr>
        <w:ind w:left="2160" w:hanging="360"/>
      </w:pPr>
      <w:rPr>
        <w:rFonts w:ascii="Wingdings" w:hAnsi="Wingdings" w:hint="default"/>
      </w:rPr>
    </w:lvl>
    <w:lvl w:ilvl="3" w:tplc="F566160C">
      <w:start w:val="1"/>
      <w:numFmt w:val="bullet"/>
      <w:lvlText w:val=""/>
      <w:lvlJc w:val="left"/>
      <w:pPr>
        <w:ind w:left="2880" w:hanging="360"/>
      </w:pPr>
      <w:rPr>
        <w:rFonts w:ascii="Symbol" w:hAnsi="Symbol" w:hint="default"/>
      </w:rPr>
    </w:lvl>
    <w:lvl w:ilvl="4" w:tplc="28C0D160">
      <w:start w:val="1"/>
      <w:numFmt w:val="bullet"/>
      <w:lvlText w:val="o"/>
      <w:lvlJc w:val="left"/>
      <w:pPr>
        <w:ind w:left="3600" w:hanging="360"/>
      </w:pPr>
      <w:rPr>
        <w:rFonts w:ascii="Courier New" w:hAnsi="Courier New" w:hint="default"/>
      </w:rPr>
    </w:lvl>
    <w:lvl w:ilvl="5" w:tplc="0568A23A">
      <w:start w:val="1"/>
      <w:numFmt w:val="bullet"/>
      <w:lvlText w:val=""/>
      <w:lvlJc w:val="left"/>
      <w:pPr>
        <w:ind w:left="4320" w:hanging="360"/>
      </w:pPr>
      <w:rPr>
        <w:rFonts w:ascii="Wingdings" w:hAnsi="Wingdings" w:hint="default"/>
      </w:rPr>
    </w:lvl>
    <w:lvl w:ilvl="6" w:tplc="2398FCA8">
      <w:start w:val="1"/>
      <w:numFmt w:val="bullet"/>
      <w:lvlText w:val=""/>
      <w:lvlJc w:val="left"/>
      <w:pPr>
        <w:ind w:left="5040" w:hanging="360"/>
      </w:pPr>
      <w:rPr>
        <w:rFonts w:ascii="Symbol" w:hAnsi="Symbol" w:hint="default"/>
      </w:rPr>
    </w:lvl>
    <w:lvl w:ilvl="7" w:tplc="4DFC3E7A">
      <w:start w:val="1"/>
      <w:numFmt w:val="bullet"/>
      <w:lvlText w:val="o"/>
      <w:lvlJc w:val="left"/>
      <w:pPr>
        <w:ind w:left="5760" w:hanging="360"/>
      </w:pPr>
      <w:rPr>
        <w:rFonts w:ascii="Courier New" w:hAnsi="Courier New" w:hint="default"/>
      </w:rPr>
    </w:lvl>
    <w:lvl w:ilvl="8" w:tplc="3BEC4456">
      <w:start w:val="1"/>
      <w:numFmt w:val="bullet"/>
      <w:lvlText w:val=""/>
      <w:lvlJc w:val="left"/>
      <w:pPr>
        <w:ind w:left="6480" w:hanging="360"/>
      </w:pPr>
      <w:rPr>
        <w:rFonts w:ascii="Wingdings" w:hAnsi="Wingdings" w:hint="default"/>
      </w:rPr>
    </w:lvl>
  </w:abstractNum>
  <w:abstractNum w:abstractNumId="68" w15:restartNumberingAfterBreak="0">
    <w:nsid w:val="30A9E9B9"/>
    <w:multiLevelType w:val="hybridMultilevel"/>
    <w:tmpl w:val="FFFFFFFF"/>
    <w:lvl w:ilvl="0" w:tplc="AFF6F6DC">
      <w:start w:val="1"/>
      <w:numFmt w:val="bullet"/>
      <w:lvlText w:val="-"/>
      <w:lvlJc w:val="left"/>
      <w:pPr>
        <w:ind w:left="720" w:hanging="360"/>
      </w:pPr>
      <w:rPr>
        <w:rFonts w:ascii="&quot;calibri&quot;,sans-serif" w:hAnsi="&quot;calibri&quot;,sans-serif" w:hint="default"/>
      </w:rPr>
    </w:lvl>
    <w:lvl w:ilvl="1" w:tplc="20D28028">
      <w:start w:val="1"/>
      <w:numFmt w:val="bullet"/>
      <w:lvlText w:val="o"/>
      <w:lvlJc w:val="left"/>
      <w:pPr>
        <w:ind w:left="1440" w:hanging="360"/>
      </w:pPr>
      <w:rPr>
        <w:rFonts w:ascii="Courier New" w:hAnsi="Courier New" w:hint="default"/>
      </w:rPr>
    </w:lvl>
    <w:lvl w:ilvl="2" w:tplc="0FAEE0B6">
      <w:start w:val="1"/>
      <w:numFmt w:val="bullet"/>
      <w:lvlText w:val=""/>
      <w:lvlJc w:val="left"/>
      <w:pPr>
        <w:ind w:left="2160" w:hanging="360"/>
      </w:pPr>
      <w:rPr>
        <w:rFonts w:ascii="Wingdings" w:hAnsi="Wingdings" w:hint="default"/>
      </w:rPr>
    </w:lvl>
    <w:lvl w:ilvl="3" w:tplc="35F2DC2A">
      <w:start w:val="1"/>
      <w:numFmt w:val="bullet"/>
      <w:lvlText w:val=""/>
      <w:lvlJc w:val="left"/>
      <w:pPr>
        <w:ind w:left="2880" w:hanging="360"/>
      </w:pPr>
      <w:rPr>
        <w:rFonts w:ascii="Symbol" w:hAnsi="Symbol" w:hint="default"/>
      </w:rPr>
    </w:lvl>
    <w:lvl w:ilvl="4" w:tplc="EEB0702E">
      <w:start w:val="1"/>
      <w:numFmt w:val="bullet"/>
      <w:lvlText w:val="o"/>
      <w:lvlJc w:val="left"/>
      <w:pPr>
        <w:ind w:left="3600" w:hanging="360"/>
      </w:pPr>
      <w:rPr>
        <w:rFonts w:ascii="Courier New" w:hAnsi="Courier New" w:hint="default"/>
      </w:rPr>
    </w:lvl>
    <w:lvl w:ilvl="5" w:tplc="0CBAB0C2">
      <w:start w:val="1"/>
      <w:numFmt w:val="bullet"/>
      <w:lvlText w:val=""/>
      <w:lvlJc w:val="left"/>
      <w:pPr>
        <w:ind w:left="4320" w:hanging="360"/>
      </w:pPr>
      <w:rPr>
        <w:rFonts w:ascii="Wingdings" w:hAnsi="Wingdings" w:hint="default"/>
      </w:rPr>
    </w:lvl>
    <w:lvl w:ilvl="6" w:tplc="83142492">
      <w:start w:val="1"/>
      <w:numFmt w:val="bullet"/>
      <w:lvlText w:val=""/>
      <w:lvlJc w:val="left"/>
      <w:pPr>
        <w:ind w:left="5040" w:hanging="360"/>
      </w:pPr>
      <w:rPr>
        <w:rFonts w:ascii="Symbol" w:hAnsi="Symbol" w:hint="default"/>
      </w:rPr>
    </w:lvl>
    <w:lvl w:ilvl="7" w:tplc="412E04E8">
      <w:start w:val="1"/>
      <w:numFmt w:val="bullet"/>
      <w:lvlText w:val="o"/>
      <w:lvlJc w:val="left"/>
      <w:pPr>
        <w:ind w:left="5760" w:hanging="360"/>
      </w:pPr>
      <w:rPr>
        <w:rFonts w:ascii="Courier New" w:hAnsi="Courier New" w:hint="default"/>
      </w:rPr>
    </w:lvl>
    <w:lvl w:ilvl="8" w:tplc="88E8B094">
      <w:start w:val="1"/>
      <w:numFmt w:val="bullet"/>
      <w:lvlText w:val=""/>
      <w:lvlJc w:val="left"/>
      <w:pPr>
        <w:ind w:left="6480" w:hanging="360"/>
      </w:pPr>
      <w:rPr>
        <w:rFonts w:ascii="Wingdings" w:hAnsi="Wingdings" w:hint="default"/>
      </w:rPr>
    </w:lvl>
  </w:abstractNum>
  <w:abstractNum w:abstractNumId="69" w15:restartNumberingAfterBreak="0">
    <w:nsid w:val="319134CF"/>
    <w:multiLevelType w:val="hybridMultilevel"/>
    <w:tmpl w:val="1A86F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45A0BD1"/>
    <w:multiLevelType w:val="hybridMultilevel"/>
    <w:tmpl w:val="EBB4D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64B092C"/>
    <w:multiLevelType w:val="hybridMultilevel"/>
    <w:tmpl w:val="0E38EDD4"/>
    <w:lvl w:ilvl="0" w:tplc="4DA2ACA6">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364F009A"/>
    <w:multiLevelType w:val="hybridMultilevel"/>
    <w:tmpl w:val="07A4823C"/>
    <w:lvl w:ilvl="0" w:tplc="96781328">
      <w:start w:val="1"/>
      <w:numFmt w:val="bullet"/>
      <w:lvlText w:val=""/>
      <w:lvlJc w:val="left"/>
      <w:pPr>
        <w:ind w:left="720" w:hanging="360"/>
      </w:pPr>
      <w:rPr>
        <w:rFonts w:ascii="Symbol" w:hAnsi="Symbol" w:hint="default"/>
      </w:rPr>
    </w:lvl>
    <w:lvl w:ilvl="1" w:tplc="313EA26A">
      <w:start w:val="1"/>
      <w:numFmt w:val="bullet"/>
      <w:lvlText w:val="o"/>
      <w:lvlJc w:val="left"/>
      <w:pPr>
        <w:ind w:left="1440" w:hanging="360"/>
      </w:pPr>
      <w:rPr>
        <w:rFonts w:ascii="Courier New" w:hAnsi="Courier New" w:hint="default"/>
      </w:rPr>
    </w:lvl>
    <w:lvl w:ilvl="2" w:tplc="5A5CD242">
      <w:start w:val="1"/>
      <w:numFmt w:val="bullet"/>
      <w:lvlText w:val=""/>
      <w:lvlJc w:val="left"/>
      <w:pPr>
        <w:ind w:left="2160" w:hanging="360"/>
      </w:pPr>
      <w:rPr>
        <w:rFonts w:ascii="Wingdings" w:hAnsi="Wingdings" w:hint="default"/>
      </w:rPr>
    </w:lvl>
    <w:lvl w:ilvl="3" w:tplc="BCF69E38">
      <w:start w:val="1"/>
      <w:numFmt w:val="bullet"/>
      <w:lvlText w:val=""/>
      <w:lvlJc w:val="left"/>
      <w:pPr>
        <w:ind w:left="2880" w:hanging="360"/>
      </w:pPr>
      <w:rPr>
        <w:rFonts w:ascii="Symbol" w:hAnsi="Symbol" w:hint="default"/>
      </w:rPr>
    </w:lvl>
    <w:lvl w:ilvl="4" w:tplc="3E024E86">
      <w:start w:val="1"/>
      <w:numFmt w:val="bullet"/>
      <w:lvlText w:val="o"/>
      <w:lvlJc w:val="left"/>
      <w:pPr>
        <w:ind w:left="3600" w:hanging="360"/>
      </w:pPr>
      <w:rPr>
        <w:rFonts w:ascii="Courier New" w:hAnsi="Courier New" w:hint="default"/>
      </w:rPr>
    </w:lvl>
    <w:lvl w:ilvl="5" w:tplc="FCFAB090">
      <w:start w:val="1"/>
      <w:numFmt w:val="bullet"/>
      <w:lvlText w:val=""/>
      <w:lvlJc w:val="left"/>
      <w:pPr>
        <w:ind w:left="4320" w:hanging="360"/>
      </w:pPr>
      <w:rPr>
        <w:rFonts w:ascii="Wingdings" w:hAnsi="Wingdings" w:hint="default"/>
      </w:rPr>
    </w:lvl>
    <w:lvl w:ilvl="6" w:tplc="1686974C">
      <w:start w:val="1"/>
      <w:numFmt w:val="bullet"/>
      <w:lvlText w:val=""/>
      <w:lvlJc w:val="left"/>
      <w:pPr>
        <w:ind w:left="5040" w:hanging="360"/>
      </w:pPr>
      <w:rPr>
        <w:rFonts w:ascii="Symbol" w:hAnsi="Symbol" w:hint="default"/>
      </w:rPr>
    </w:lvl>
    <w:lvl w:ilvl="7" w:tplc="B6D218EE">
      <w:start w:val="1"/>
      <w:numFmt w:val="bullet"/>
      <w:lvlText w:val="o"/>
      <w:lvlJc w:val="left"/>
      <w:pPr>
        <w:ind w:left="5760" w:hanging="360"/>
      </w:pPr>
      <w:rPr>
        <w:rFonts w:ascii="Courier New" w:hAnsi="Courier New" w:hint="default"/>
      </w:rPr>
    </w:lvl>
    <w:lvl w:ilvl="8" w:tplc="D3866B66">
      <w:start w:val="1"/>
      <w:numFmt w:val="bullet"/>
      <w:lvlText w:val=""/>
      <w:lvlJc w:val="left"/>
      <w:pPr>
        <w:ind w:left="6480" w:hanging="360"/>
      </w:pPr>
      <w:rPr>
        <w:rFonts w:ascii="Wingdings" w:hAnsi="Wingdings" w:hint="default"/>
      </w:rPr>
    </w:lvl>
  </w:abstractNum>
  <w:abstractNum w:abstractNumId="73" w15:restartNumberingAfterBreak="0">
    <w:nsid w:val="39693B65"/>
    <w:multiLevelType w:val="hybridMultilevel"/>
    <w:tmpl w:val="8B526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9C18E69"/>
    <w:multiLevelType w:val="hybridMultilevel"/>
    <w:tmpl w:val="FFFFFFFF"/>
    <w:lvl w:ilvl="0" w:tplc="FFFFFFFF">
      <w:start w:val="1"/>
      <w:numFmt w:val="bullet"/>
      <w:lvlText w:val="-"/>
      <w:lvlJc w:val="left"/>
      <w:pPr>
        <w:ind w:left="720" w:hanging="360"/>
      </w:pPr>
      <w:rPr>
        <w:rFonts w:ascii="Calibri" w:hAnsi="Calibri" w:hint="default"/>
      </w:rPr>
    </w:lvl>
    <w:lvl w:ilvl="1" w:tplc="C6D43238">
      <w:start w:val="1"/>
      <w:numFmt w:val="bullet"/>
      <w:lvlText w:val="o"/>
      <w:lvlJc w:val="left"/>
      <w:pPr>
        <w:ind w:left="1440" w:hanging="360"/>
      </w:pPr>
      <w:rPr>
        <w:rFonts w:ascii="Courier New" w:hAnsi="Courier New" w:hint="default"/>
      </w:rPr>
    </w:lvl>
    <w:lvl w:ilvl="2" w:tplc="F720231C">
      <w:start w:val="1"/>
      <w:numFmt w:val="bullet"/>
      <w:lvlText w:val=""/>
      <w:lvlJc w:val="left"/>
      <w:pPr>
        <w:ind w:left="2160" w:hanging="360"/>
      </w:pPr>
      <w:rPr>
        <w:rFonts w:ascii="Wingdings" w:hAnsi="Wingdings" w:hint="default"/>
      </w:rPr>
    </w:lvl>
    <w:lvl w:ilvl="3" w:tplc="3E32608A">
      <w:start w:val="1"/>
      <w:numFmt w:val="bullet"/>
      <w:lvlText w:val=""/>
      <w:lvlJc w:val="left"/>
      <w:pPr>
        <w:ind w:left="2880" w:hanging="360"/>
      </w:pPr>
      <w:rPr>
        <w:rFonts w:ascii="Symbol" w:hAnsi="Symbol" w:hint="default"/>
      </w:rPr>
    </w:lvl>
    <w:lvl w:ilvl="4" w:tplc="EB8A8C4E">
      <w:start w:val="1"/>
      <w:numFmt w:val="bullet"/>
      <w:lvlText w:val="o"/>
      <w:lvlJc w:val="left"/>
      <w:pPr>
        <w:ind w:left="3600" w:hanging="360"/>
      </w:pPr>
      <w:rPr>
        <w:rFonts w:ascii="Courier New" w:hAnsi="Courier New" w:hint="default"/>
      </w:rPr>
    </w:lvl>
    <w:lvl w:ilvl="5" w:tplc="347CD0CC">
      <w:start w:val="1"/>
      <w:numFmt w:val="bullet"/>
      <w:lvlText w:val=""/>
      <w:lvlJc w:val="left"/>
      <w:pPr>
        <w:ind w:left="4320" w:hanging="360"/>
      </w:pPr>
      <w:rPr>
        <w:rFonts w:ascii="Wingdings" w:hAnsi="Wingdings" w:hint="default"/>
      </w:rPr>
    </w:lvl>
    <w:lvl w:ilvl="6" w:tplc="BA1C7AAC">
      <w:start w:val="1"/>
      <w:numFmt w:val="bullet"/>
      <w:lvlText w:val=""/>
      <w:lvlJc w:val="left"/>
      <w:pPr>
        <w:ind w:left="5040" w:hanging="360"/>
      </w:pPr>
      <w:rPr>
        <w:rFonts w:ascii="Symbol" w:hAnsi="Symbol" w:hint="default"/>
      </w:rPr>
    </w:lvl>
    <w:lvl w:ilvl="7" w:tplc="7706981C">
      <w:start w:val="1"/>
      <w:numFmt w:val="bullet"/>
      <w:lvlText w:val="o"/>
      <w:lvlJc w:val="left"/>
      <w:pPr>
        <w:ind w:left="5760" w:hanging="360"/>
      </w:pPr>
      <w:rPr>
        <w:rFonts w:ascii="Courier New" w:hAnsi="Courier New" w:hint="default"/>
      </w:rPr>
    </w:lvl>
    <w:lvl w:ilvl="8" w:tplc="0BE23A2C">
      <w:start w:val="1"/>
      <w:numFmt w:val="bullet"/>
      <w:lvlText w:val=""/>
      <w:lvlJc w:val="left"/>
      <w:pPr>
        <w:ind w:left="6480" w:hanging="360"/>
      </w:pPr>
      <w:rPr>
        <w:rFonts w:ascii="Wingdings" w:hAnsi="Wingdings" w:hint="default"/>
      </w:rPr>
    </w:lvl>
  </w:abstractNum>
  <w:abstractNum w:abstractNumId="75" w15:restartNumberingAfterBreak="0">
    <w:nsid w:val="3A6E0680"/>
    <w:multiLevelType w:val="hybridMultilevel"/>
    <w:tmpl w:val="FFFFFFFF"/>
    <w:lvl w:ilvl="0" w:tplc="58A4246C">
      <w:start w:val="1"/>
      <w:numFmt w:val="decimal"/>
      <w:lvlText w:val="%1."/>
      <w:lvlJc w:val="left"/>
      <w:pPr>
        <w:ind w:left="720" w:hanging="360"/>
      </w:pPr>
    </w:lvl>
    <w:lvl w:ilvl="1" w:tplc="96E692AE">
      <w:start w:val="1"/>
      <w:numFmt w:val="lowerLetter"/>
      <w:lvlText w:val="%2."/>
      <w:lvlJc w:val="left"/>
      <w:pPr>
        <w:ind w:left="1440" w:hanging="360"/>
      </w:pPr>
    </w:lvl>
    <w:lvl w:ilvl="2" w:tplc="A0544726">
      <w:start w:val="1"/>
      <w:numFmt w:val="lowerRoman"/>
      <w:lvlText w:val="%3."/>
      <w:lvlJc w:val="right"/>
      <w:pPr>
        <w:ind w:left="2160" w:hanging="180"/>
      </w:pPr>
    </w:lvl>
    <w:lvl w:ilvl="3" w:tplc="CCF2DE60">
      <w:start w:val="1"/>
      <w:numFmt w:val="decimal"/>
      <w:lvlText w:val="%4."/>
      <w:lvlJc w:val="left"/>
      <w:pPr>
        <w:ind w:left="2880" w:hanging="360"/>
      </w:pPr>
    </w:lvl>
    <w:lvl w:ilvl="4" w:tplc="BB123010">
      <w:start w:val="1"/>
      <w:numFmt w:val="lowerLetter"/>
      <w:lvlText w:val="%5."/>
      <w:lvlJc w:val="left"/>
      <w:pPr>
        <w:ind w:left="3600" w:hanging="360"/>
      </w:pPr>
    </w:lvl>
    <w:lvl w:ilvl="5" w:tplc="5BAC5894">
      <w:start w:val="1"/>
      <w:numFmt w:val="lowerRoman"/>
      <w:lvlText w:val="%6."/>
      <w:lvlJc w:val="right"/>
      <w:pPr>
        <w:ind w:left="4320" w:hanging="180"/>
      </w:pPr>
    </w:lvl>
    <w:lvl w:ilvl="6" w:tplc="9ABE0222">
      <w:start w:val="1"/>
      <w:numFmt w:val="decimal"/>
      <w:lvlText w:val="%7."/>
      <w:lvlJc w:val="left"/>
      <w:pPr>
        <w:ind w:left="5040" w:hanging="360"/>
      </w:pPr>
    </w:lvl>
    <w:lvl w:ilvl="7" w:tplc="54CECF82">
      <w:start w:val="1"/>
      <w:numFmt w:val="lowerLetter"/>
      <w:lvlText w:val="%8."/>
      <w:lvlJc w:val="left"/>
      <w:pPr>
        <w:ind w:left="5760" w:hanging="360"/>
      </w:pPr>
    </w:lvl>
    <w:lvl w:ilvl="8" w:tplc="4C8272AE">
      <w:start w:val="1"/>
      <w:numFmt w:val="lowerRoman"/>
      <w:lvlText w:val="%9."/>
      <w:lvlJc w:val="right"/>
      <w:pPr>
        <w:ind w:left="6480" w:hanging="180"/>
      </w:pPr>
    </w:lvl>
  </w:abstractNum>
  <w:abstractNum w:abstractNumId="76" w15:restartNumberingAfterBreak="0">
    <w:nsid w:val="3D5068CD"/>
    <w:multiLevelType w:val="multilevel"/>
    <w:tmpl w:val="8C16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08E255A"/>
    <w:multiLevelType w:val="hybridMultilevel"/>
    <w:tmpl w:val="FFFFFFFF"/>
    <w:lvl w:ilvl="0" w:tplc="6DD4C706">
      <w:start w:val="1"/>
      <w:numFmt w:val="bullet"/>
      <w:lvlText w:val="-"/>
      <w:lvlJc w:val="left"/>
      <w:pPr>
        <w:ind w:left="720" w:hanging="360"/>
      </w:pPr>
      <w:rPr>
        <w:rFonts w:ascii="Calibri" w:hAnsi="Calibri" w:hint="default"/>
      </w:rPr>
    </w:lvl>
    <w:lvl w:ilvl="1" w:tplc="AF8E7C34">
      <w:start w:val="1"/>
      <w:numFmt w:val="bullet"/>
      <w:lvlText w:val="o"/>
      <w:lvlJc w:val="left"/>
      <w:pPr>
        <w:ind w:left="1440" w:hanging="360"/>
      </w:pPr>
      <w:rPr>
        <w:rFonts w:ascii="Courier New" w:hAnsi="Courier New" w:hint="default"/>
      </w:rPr>
    </w:lvl>
    <w:lvl w:ilvl="2" w:tplc="3DD22D12">
      <w:start w:val="1"/>
      <w:numFmt w:val="bullet"/>
      <w:lvlText w:val=""/>
      <w:lvlJc w:val="left"/>
      <w:pPr>
        <w:ind w:left="2160" w:hanging="360"/>
      </w:pPr>
      <w:rPr>
        <w:rFonts w:ascii="Wingdings" w:hAnsi="Wingdings" w:hint="default"/>
      </w:rPr>
    </w:lvl>
    <w:lvl w:ilvl="3" w:tplc="6EE01238">
      <w:start w:val="1"/>
      <w:numFmt w:val="bullet"/>
      <w:lvlText w:val=""/>
      <w:lvlJc w:val="left"/>
      <w:pPr>
        <w:ind w:left="2880" w:hanging="360"/>
      </w:pPr>
      <w:rPr>
        <w:rFonts w:ascii="Symbol" w:hAnsi="Symbol" w:hint="default"/>
      </w:rPr>
    </w:lvl>
    <w:lvl w:ilvl="4" w:tplc="3CE44ED0">
      <w:start w:val="1"/>
      <w:numFmt w:val="bullet"/>
      <w:lvlText w:val="o"/>
      <w:lvlJc w:val="left"/>
      <w:pPr>
        <w:ind w:left="3600" w:hanging="360"/>
      </w:pPr>
      <w:rPr>
        <w:rFonts w:ascii="Courier New" w:hAnsi="Courier New" w:hint="default"/>
      </w:rPr>
    </w:lvl>
    <w:lvl w:ilvl="5" w:tplc="0B003C80">
      <w:start w:val="1"/>
      <w:numFmt w:val="bullet"/>
      <w:lvlText w:val=""/>
      <w:lvlJc w:val="left"/>
      <w:pPr>
        <w:ind w:left="4320" w:hanging="360"/>
      </w:pPr>
      <w:rPr>
        <w:rFonts w:ascii="Wingdings" w:hAnsi="Wingdings" w:hint="default"/>
      </w:rPr>
    </w:lvl>
    <w:lvl w:ilvl="6" w:tplc="740ED90C">
      <w:start w:val="1"/>
      <w:numFmt w:val="bullet"/>
      <w:lvlText w:val=""/>
      <w:lvlJc w:val="left"/>
      <w:pPr>
        <w:ind w:left="5040" w:hanging="360"/>
      </w:pPr>
      <w:rPr>
        <w:rFonts w:ascii="Symbol" w:hAnsi="Symbol" w:hint="default"/>
      </w:rPr>
    </w:lvl>
    <w:lvl w:ilvl="7" w:tplc="46EA07DC">
      <w:start w:val="1"/>
      <w:numFmt w:val="bullet"/>
      <w:lvlText w:val="o"/>
      <w:lvlJc w:val="left"/>
      <w:pPr>
        <w:ind w:left="5760" w:hanging="360"/>
      </w:pPr>
      <w:rPr>
        <w:rFonts w:ascii="Courier New" w:hAnsi="Courier New" w:hint="default"/>
      </w:rPr>
    </w:lvl>
    <w:lvl w:ilvl="8" w:tplc="F88484B0">
      <w:start w:val="1"/>
      <w:numFmt w:val="bullet"/>
      <w:lvlText w:val=""/>
      <w:lvlJc w:val="left"/>
      <w:pPr>
        <w:ind w:left="6480" w:hanging="360"/>
      </w:pPr>
      <w:rPr>
        <w:rFonts w:ascii="Wingdings" w:hAnsi="Wingdings" w:hint="default"/>
      </w:rPr>
    </w:lvl>
  </w:abstractNum>
  <w:abstractNum w:abstractNumId="78" w15:restartNumberingAfterBreak="0">
    <w:nsid w:val="411BA1F1"/>
    <w:multiLevelType w:val="hybridMultilevel"/>
    <w:tmpl w:val="FFFFFFFF"/>
    <w:lvl w:ilvl="0" w:tplc="9424B65E">
      <w:start w:val="1"/>
      <w:numFmt w:val="bullet"/>
      <w:lvlText w:val=""/>
      <w:lvlJc w:val="left"/>
      <w:pPr>
        <w:ind w:left="720" w:hanging="360"/>
      </w:pPr>
      <w:rPr>
        <w:rFonts w:ascii="Symbol" w:hAnsi="Symbol" w:hint="default"/>
      </w:rPr>
    </w:lvl>
    <w:lvl w:ilvl="1" w:tplc="D0B441EE">
      <w:start w:val="1"/>
      <w:numFmt w:val="bullet"/>
      <w:lvlText w:val="o"/>
      <w:lvlJc w:val="left"/>
      <w:pPr>
        <w:ind w:left="1440" w:hanging="360"/>
      </w:pPr>
      <w:rPr>
        <w:rFonts w:ascii="Courier New" w:hAnsi="Courier New" w:hint="default"/>
      </w:rPr>
    </w:lvl>
    <w:lvl w:ilvl="2" w:tplc="D2049F6E">
      <w:start w:val="1"/>
      <w:numFmt w:val="bullet"/>
      <w:lvlText w:val=""/>
      <w:lvlJc w:val="left"/>
      <w:pPr>
        <w:ind w:left="2160" w:hanging="360"/>
      </w:pPr>
      <w:rPr>
        <w:rFonts w:ascii="Wingdings" w:hAnsi="Wingdings" w:hint="default"/>
      </w:rPr>
    </w:lvl>
    <w:lvl w:ilvl="3" w:tplc="E5964EF8">
      <w:start w:val="1"/>
      <w:numFmt w:val="bullet"/>
      <w:lvlText w:val=""/>
      <w:lvlJc w:val="left"/>
      <w:pPr>
        <w:ind w:left="2880" w:hanging="360"/>
      </w:pPr>
      <w:rPr>
        <w:rFonts w:ascii="Symbol" w:hAnsi="Symbol" w:hint="default"/>
      </w:rPr>
    </w:lvl>
    <w:lvl w:ilvl="4" w:tplc="1762534C">
      <w:start w:val="1"/>
      <w:numFmt w:val="bullet"/>
      <w:lvlText w:val="o"/>
      <w:lvlJc w:val="left"/>
      <w:pPr>
        <w:ind w:left="3600" w:hanging="360"/>
      </w:pPr>
      <w:rPr>
        <w:rFonts w:ascii="Courier New" w:hAnsi="Courier New" w:hint="default"/>
      </w:rPr>
    </w:lvl>
    <w:lvl w:ilvl="5" w:tplc="123E46D6">
      <w:start w:val="1"/>
      <w:numFmt w:val="bullet"/>
      <w:lvlText w:val=""/>
      <w:lvlJc w:val="left"/>
      <w:pPr>
        <w:ind w:left="4320" w:hanging="360"/>
      </w:pPr>
      <w:rPr>
        <w:rFonts w:ascii="Wingdings" w:hAnsi="Wingdings" w:hint="default"/>
      </w:rPr>
    </w:lvl>
    <w:lvl w:ilvl="6" w:tplc="F1004288">
      <w:start w:val="1"/>
      <w:numFmt w:val="bullet"/>
      <w:lvlText w:val=""/>
      <w:lvlJc w:val="left"/>
      <w:pPr>
        <w:ind w:left="5040" w:hanging="360"/>
      </w:pPr>
      <w:rPr>
        <w:rFonts w:ascii="Symbol" w:hAnsi="Symbol" w:hint="default"/>
      </w:rPr>
    </w:lvl>
    <w:lvl w:ilvl="7" w:tplc="F224D9E6">
      <w:start w:val="1"/>
      <w:numFmt w:val="bullet"/>
      <w:lvlText w:val="o"/>
      <w:lvlJc w:val="left"/>
      <w:pPr>
        <w:ind w:left="5760" w:hanging="360"/>
      </w:pPr>
      <w:rPr>
        <w:rFonts w:ascii="Courier New" w:hAnsi="Courier New" w:hint="default"/>
      </w:rPr>
    </w:lvl>
    <w:lvl w:ilvl="8" w:tplc="EBD28E3A">
      <w:start w:val="1"/>
      <w:numFmt w:val="bullet"/>
      <w:lvlText w:val=""/>
      <w:lvlJc w:val="left"/>
      <w:pPr>
        <w:ind w:left="6480" w:hanging="360"/>
      </w:pPr>
      <w:rPr>
        <w:rFonts w:ascii="Wingdings" w:hAnsi="Wingdings" w:hint="default"/>
      </w:rPr>
    </w:lvl>
  </w:abstractNum>
  <w:abstractNum w:abstractNumId="79" w15:restartNumberingAfterBreak="0">
    <w:nsid w:val="415C83EB"/>
    <w:multiLevelType w:val="hybridMultilevel"/>
    <w:tmpl w:val="FFFFFFFF"/>
    <w:lvl w:ilvl="0" w:tplc="AB7A1CA0">
      <w:start w:val="1"/>
      <w:numFmt w:val="bullet"/>
      <w:lvlText w:val="-"/>
      <w:lvlJc w:val="left"/>
      <w:pPr>
        <w:ind w:left="720" w:hanging="360"/>
      </w:pPr>
      <w:rPr>
        <w:rFonts w:ascii="Symbol" w:hAnsi="Symbol" w:hint="default"/>
      </w:rPr>
    </w:lvl>
    <w:lvl w:ilvl="1" w:tplc="7CE4ADEC">
      <w:start w:val="1"/>
      <w:numFmt w:val="bullet"/>
      <w:lvlText w:val="o"/>
      <w:lvlJc w:val="left"/>
      <w:pPr>
        <w:ind w:left="1440" w:hanging="360"/>
      </w:pPr>
      <w:rPr>
        <w:rFonts w:ascii="Courier New" w:hAnsi="Courier New" w:hint="default"/>
      </w:rPr>
    </w:lvl>
    <w:lvl w:ilvl="2" w:tplc="E1007EB0">
      <w:start w:val="1"/>
      <w:numFmt w:val="bullet"/>
      <w:lvlText w:val=""/>
      <w:lvlJc w:val="left"/>
      <w:pPr>
        <w:ind w:left="2160" w:hanging="360"/>
      </w:pPr>
      <w:rPr>
        <w:rFonts w:ascii="Wingdings" w:hAnsi="Wingdings" w:hint="default"/>
      </w:rPr>
    </w:lvl>
    <w:lvl w:ilvl="3" w:tplc="B4221DBA">
      <w:start w:val="1"/>
      <w:numFmt w:val="bullet"/>
      <w:lvlText w:val=""/>
      <w:lvlJc w:val="left"/>
      <w:pPr>
        <w:ind w:left="2880" w:hanging="360"/>
      </w:pPr>
      <w:rPr>
        <w:rFonts w:ascii="Symbol" w:hAnsi="Symbol" w:hint="default"/>
      </w:rPr>
    </w:lvl>
    <w:lvl w:ilvl="4" w:tplc="E1E80A84">
      <w:start w:val="1"/>
      <w:numFmt w:val="bullet"/>
      <w:lvlText w:val="o"/>
      <w:lvlJc w:val="left"/>
      <w:pPr>
        <w:ind w:left="3600" w:hanging="360"/>
      </w:pPr>
      <w:rPr>
        <w:rFonts w:ascii="Courier New" w:hAnsi="Courier New" w:hint="default"/>
      </w:rPr>
    </w:lvl>
    <w:lvl w:ilvl="5" w:tplc="CC50CFBC">
      <w:start w:val="1"/>
      <w:numFmt w:val="bullet"/>
      <w:lvlText w:val=""/>
      <w:lvlJc w:val="left"/>
      <w:pPr>
        <w:ind w:left="4320" w:hanging="360"/>
      </w:pPr>
      <w:rPr>
        <w:rFonts w:ascii="Wingdings" w:hAnsi="Wingdings" w:hint="default"/>
      </w:rPr>
    </w:lvl>
    <w:lvl w:ilvl="6" w:tplc="052E1394">
      <w:start w:val="1"/>
      <w:numFmt w:val="bullet"/>
      <w:lvlText w:val=""/>
      <w:lvlJc w:val="left"/>
      <w:pPr>
        <w:ind w:left="5040" w:hanging="360"/>
      </w:pPr>
      <w:rPr>
        <w:rFonts w:ascii="Symbol" w:hAnsi="Symbol" w:hint="default"/>
      </w:rPr>
    </w:lvl>
    <w:lvl w:ilvl="7" w:tplc="6BA616B8">
      <w:start w:val="1"/>
      <w:numFmt w:val="bullet"/>
      <w:lvlText w:val="o"/>
      <w:lvlJc w:val="left"/>
      <w:pPr>
        <w:ind w:left="5760" w:hanging="360"/>
      </w:pPr>
      <w:rPr>
        <w:rFonts w:ascii="Courier New" w:hAnsi="Courier New" w:hint="default"/>
      </w:rPr>
    </w:lvl>
    <w:lvl w:ilvl="8" w:tplc="FADECE7E">
      <w:start w:val="1"/>
      <w:numFmt w:val="bullet"/>
      <w:lvlText w:val=""/>
      <w:lvlJc w:val="left"/>
      <w:pPr>
        <w:ind w:left="6480" w:hanging="360"/>
      </w:pPr>
      <w:rPr>
        <w:rFonts w:ascii="Wingdings" w:hAnsi="Wingdings" w:hint="default"/>
      </w:rPr>
    </w:lvl>
  </w:abstractNum>
  <w:abstractNum w:abstractNumId="80" w15:restartNumberingAfterBreak="0">
    <w:nsid w:val="41906744"/>
    <w:multiLevelType w:val="hybridMultilevel"/>
    <w:tmpl w:val="E5C2D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2713491"/>
    <w:multiLevelType w:val="multilevel"/>
    <w:tmpl w:val="BFD2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29D444F"/>
    <w:multiLevelType w:val="hybridMultilevel"/>
    <w:tmpl w:val="94AABC88"/>
    <w:lvl w:ilvl="0" w:tplc="7C0446F4">
      <w:numFmt w:val="bullet"/>
      <w:lvlText w:val="-"/>
      <w:lvlJc w:val="left"/>
      <w:pPr>
        <w:ind w:left="720" w:hanging="360"/>
      </w:pPr>
      <w:rPr>
        <w:rFonts w:ascii="Verdana" w:eastAsiaTheme="minorHAnsi"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42EF8E47"/>
    <w:multiLevelType w:val="hybridMultilevel"/>
    <w:tmpl w:val="FFFFFFFF"/>
    <w:lvl w:ilvl="0" w:tplc="21D4064E">
      <w:start w:val="1"/>
      <w:numFmt w:val="lowerRoman"/>
      <w:lvlText w:val="%1."/>
      <w:lvlJc w:val="right"/>
      <w:pPr>
        <w:ind w:left="720" w:hanging="360"/>
      </w:pPr>
    </w:lvl>
    <w:lvl w:ilvl="1" w:tplc="37AE5A5E">
      <w:start w:val="1"/>
      <w:numFmt w:val="lowerLetter"/>
      <w:lvlText w:val="%2."/>
      <w:lvlJc w:val="left"/>
      <w:pPr>
        <w:ind w:left="1440" w:hanging="360"/>
      </w:pPr>
    </w:lvl>
    <w:lvl w:ilvl="2" w:tplc="569C1662">
      <w:start w:val="1"/>
      <w:numFmt w:val="lowerRoman"/>
      <w:lvlText w:val="%3."/>
      <w:lvlJc w:val="right"/>
      <w:pPr>
        <w:ind w:left="2160" w:hanging="180"/>
      </w:pPr>
    </w:lvl>
    <w:lvl w:ilvl="3" w:tplc="0A70BA50">
      <w:start w:val="1"/>
      <w:numFmt w:val="decimal"/>
      <w:lvlText w:val="%4."/>
      <w:lvlJc w:val="left"/>
      <w:pPr>
        <w:ind w:left="2880" w:hanging="360"/>
      </w:pPr>
    </w:lvl>
    <w:lvl w:ilvl="4" w:tplc="45F42F1E">
      <w:start w:val="1"/>
      <w:numFmt w:val="lowerLetter"/>
      <w:lvlText w:val="%5."/>
      <w:lvlJc w:val="left"/>
      <w:pPr>
        <w:ind w:left="3600" w:hanging="360"/>
      </w:pPr>
    </w:lvl>
    <w:lvl w:ilvl="5" w:tplc="ED8CA8D2">
      <w:start w:val="1"/>
      <w:numFmt w:val="lowerRoman"/>
      <w:lvlText w:val="%6."/>
      <w:lvlJc w:val="right"/>
      <w:pPr>
        <w:ind w:left="4320" w:hanging="180"/>
      </w:pPr>
    </w:lvl>
    <w:lvl w:ilvl="6" w:tplc="00D679F6">
      <w:start w:val="1"/>
      <w:numFmt w:val="decimal"/>
      <w:lvlText w:val="%7."/>
      <w:lvlJc w:val="left"/>
      <w:pPr>
        <w:ind w:left="5040" w:hanging="360"/>
      </w:pPr>
    </w:lvl>
    <w:lvl w:ilvl="7" w:tplc="402A0C28">
      <w:start w:val="1"/>
      <w:numFmt w:val="lowerLetter"/>
      <w:lvlText w:val="%8."/>
      <w:lvlJc w:val="left"/>
      <w:pPr>
        <w:ind w:left="5760" w:hanging="360"/>
      </w:pPr>
    </w:lvl>
    <w:lvl w:ilvl="8" w:tplc="ABD20C74">
      <w:start w:val="1"/>
      <w:numFmt w:val="lowerRoman"/>
      <w:lvlText w:val="%9."/>
      <w:lvlJc w:val="right"/>
      <w:pPr>
        <w:ind w:left="6480" w:hanging="180"/>
      </w:pPr>
    </w:lvl>
  </w:abstractNum>
  <w:abstractNum w:abstractNumId="84"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cs="Courier New"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cs="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85" w15:restartNumberingAfterBreak="0">
    <w:nsid w:val="44EB7F57"/>
    <w:multiLevelType w:val="hybridMultilevel"/>
    <w:tmpl w:val="FFFFFFFF"/>
    <w:lvl w:ilvl="0" w:tplc="01768688">
      <w:start w:val="1"/>
      <w:numFmt w:val="decimal"/>
      <w:lvlText w:val="%1."/>
      <w:lvlJc w:val="left"/>
      <w:pPr>
        <w:ind w:left="360" w:hanging="360"/>
      </w:pPr>
      <w:rPr>
        <w:rFonts w:ascii="Calibri" w:hAnsi="Calibri" w:hint="default"/>
      </w:rPr>
    </w:lvl>
    <w:lvl w:ilvl="1" w:tplc="8EF4CFDE">
      <w:start w:val="1"/>
      <w:numFmt w:val="lowerLetter"/>
      <w:lvlText w:val="%2."/>
      <w:lvlJc w:val="left"/>
      <w:pPr>
        <w:ind w:left="1080" w:hanging="360"/>
      </w:pPr>
    </w:lvl>
    <w:lvl w:ilvl="2" w:tplc="F96065C8">
      <w:start w:val="1"/>
      <w:numFmt w:val="lowerRoman"/>
      <w:lvlText w:val="%3."/>
      <w:lvlJc w:val="right"/>
      <w:pPr>
        <w:ind w:left="1800" w:hanging="180"/>
      </w:pPr>
    </w:lvl>
    <w:lvl w:ilvl="3" w:tplc="364A0DE8">
      <w:start w:val="1"/>
      <w:numFmt w:val="decimal"/>
      <w:lvlText w:val="%4."/>
      <w:lvlJc w:val="left"/>
      <w:pPr>
        <w:ind w:left="2880" w:hanging="360"/>
      </w:pPr>
    </w:lvl>
    <w:lvl w:ilvl="4" w:tplc="D624A66A">
      <w:start w:val="1"/>
      <w:numFmt w:val="lowerLetter"/>
      <w:lvlText w:val="%5."/>
      <w:lvlJc w:val="left"/>
      <w:pPr>
        <w:ind w:left="3600" w:hanging="360"/>
      </w:pPr>
    </w:lvl>
    <w:lvl w:ilvl="5" w:tplc="D3B6772C">
      <w:start w:val="1"/>
      <w:numFmt w:val="lowerRoman"/>
      <w:lvlText w:val="%6."/>
      <w:lvlJc w:val="right"/>
      <w:pPr>
        <w:ind w:left="4320" w:hanging="180"/>
      </w:pPr>
    </w:lvl>
    <w:lvl w:ilvl="6" w:tplc="651E95B4">
      <w:start w:val="1"/>
      <w:numFmt w:val="decimal"/>
      <w:lvlText w:val="%7."/>
      <w:lvlJc w:val="left"/>
      <w:pPr>
        <w:ind w:left="5040" w:hanging="360"/>
      </w:pPr>
    </w:lvl>
    <w:lvl w:ilvl="7" w:tplc="A22E529E">
      <w:start w:val="1"/>
      <w:numFmt w:val="lowerLetter"/>
      <w:lvlText w:val="%8."/>
      <w:lvlJc w:val="left"/>
      <w:pPr>
        <w:ind w:left="5760" w:hanging="360"/>
      </w:pPr>
    </w:lvl>
    <w:lvl w:ilvl="8" w:tplc="F9E088BA">
      <w:start w:val="1"/>
      <w:numFmt w:val="lowerRoman"/>
      <w:lvlText w:val="%9."/>
      <w:lvlJc w:val="right"/>
      <w:pPr>
        <w:ind w:left="6480" w:hanging="180"/>
      </w:pPr>
    </w:lvl>
  </w:abstractNum>
  <w:abstractNum w:abstractNumId="86" w15:restartNumberingAfterBreak="0">
    <w:nsid w:val="451909DB"/>
    <w:multiLevelType w:val="hybridMultilevel"/>
    <w:tmpl w:val="9DBCA280"/>
    <w:lvl w:ilvl="0" w:tplc="F7228474">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5B007FB"/>
    <w:multiLevelType w:val="hybridMultilevel"/>
    <w:tmpl w:val="FFFFFFFF"/>
    <w:lvl w:ilvl="0" w:tplc="4E928E36">
      <w:start w:val="1"/>
      <w:numFmt w:val="bullet"/>
      <w:lvlText w:val="-"/>
      <w:lvlJc w:val="left"/>
      <w:pPr>
        <w:ind w:left="720" w:hanging="360"/>
      </w:pPr>
      <w:rPr>
        <w:rFonts w:ascii="Calibri" w:hAnsi="Calibri" w:hint="default"/>
      </w:rPr>
    </w:lvl>
    <w:lvl w:ilvl="1" w:tplc="261661DE">
      <w:start w:val="1"/>
      <w:numFmt w:val="bullet"/>
      <w:lvlText w:val="o"/>
      <w:lvlJc w:val="left"/>
      <w:pPr>
        <w:ind w:left="1440" w:hanging="360"/>
      </w:pPr>
      <w:rPr>
        <w:rFonts w:ascii="Courier New" w:hAnsi="Courier New" w:hint="default"/>
      </w:rPr>
    </w:lvl>
    <w:lvl w:ilvl="2" w:tplc="F1E0D446">
      <w:start w:val="1"/>
      <w:numFmt w:val="bullet"/>
      <w:lvlText w:val=""/>
      <w:lvlJc w:val="left"/>
      <w:pPr>
        <w:ind w:left="2160" w:hanging="360"/>
      </w:pPr>
      <w:rPr>
        <w:rFonts w:ascii="Wingdings" w:hAnsi="Wingdings" w:hint="default"/>
      </w:rPr>
    </w:lvl>
    <w:lvl w:ilvl="3" w:tplc="01022340">
      <w:start w:val="1"/>
      <w:numFmt w:val="bullet"/>
      <w:lvlText w:val=""/>
      <w:lvlJc w:val="left"/>
      <w:pPr>
        <w:ind w:left="2880" w:hanging="360"/>
      </w:pPr>
      <w:rPr>
        <w:rFonts w:ascii="Symbol" w:hAnsi="Symbol" w:hint="default"/>
      </w:rPr>
    </w:lvl>
    <w:lvl w:ilvl="4" w:tplc="9FFAE50C">
      <w:start w:val="1"/>
      <w:numFmt w:val="bullet"/>
      <w:lvlText w:val="o"/>
      <w:lvlJc w:val="left"/>
      <w:pPr>
        <w:ind w:left="3600" w:hanging="360"/>
      </w:pPr>
      <w:rPr>
        <w:rFonts w:ascii="Courier New" w:hAnsi="Courier New" w:hint="default"/>
      </w:rPr>
    </w:lvl>
    <w:lvl w:ilvl="5" w:tplc="78C6BCB4">
      <w:start w:val="1"/>
      <w:numFmt w:val="bullet"/>
      <w:lvlText w:val=""/>
      <w:lvlJc w:val="left"/>
      <w:pPr>
        <w:ind w:left="4320" w:hanging="360"/>
      </w:pPr>
      <w:rPr>
        <w:rFonts w:ascii="Wingdings" w:hAnsi="Wingdings" w:hint="default"/>
      </w:rPr>
    </w:lvl>
    <w:lvl w:ilvl="6" w:tplc="EB4E8E96">
      <w:start w:val="1"/>
      <w:numFmt w:val="bullet"/>
      <w:lvlText w:val=""/>
      <w:lvlJc w:val="left"/>
      <w:pPr>
        <w:ind w:left="5040" w:hanging="360"/>
      </w:pPr>
      <w:rPr>
        <w:rFonts w:ascii="Symbol" w:hAnsi="Symbol" w:hint="default"/>
      </w:rPr>
    </w:lvl>
    <w:lvl w:ilvl="7" w:tplc="7840C564">
      <w:start w:val="1"/>
      <w:numFmt w:val="bullet"/>
      <w:lvlText w:val="o"/>
      <w:lvlJc w:val="left"/>
      <w:pPr>
        <w:ind w:left="5760" w:hanging="360"/>
      </w:pPr>
      <w:rPr>
        <w:rFonts w:ascii="Courier New" w:hAnsi="Courier New" w:hint="default"/>
      </w:rPr>
    </w:lvl>
    <w:lvl w:ilvl="8" w:tplc="FEF6F1FC">
      <w:start w:val="1"/>
      <w:numFmt w:val="bullet"/>
      <w:lvlText w:val=""/>
      <w:lvlJc w:val="left"/>
      <w:pPr>
        <w:ind w:left="6480" w:hanging="360"/>
      </w:pPr>
      <w:rPr>
        <w:rFonts w:ascii="Wingdings" w:hAnsi="Wingdings" w:hint="default"/>
      </w:rPr>
    </w:lvl>
  </w:abstractNum>
  <w:abstractNum w:abstractNumId="88" w15:restartNumberingAfterBreak="0">
    <w:nsid w:val="45C6ACE7"/>
    <w:multiLevelType w:val="hybridMultilevel"/>
    <w:tmpl w:val="FFFFFFFF"/>
    <w:lvl w:ilvl="0" w:tplc="DC5445F8">
      <w:start w:val="1"/>
      <w:numFmt w:val="decimal"/>
      <w:lvlText w:val="%1."/>
      <w:lvlJc w:val="left"/>
      <w:pPr>
        <w:ind w:left="360" w:hanging="360"/>
      </w:pPr>
      <w:rPr>
        <w:rFonts w:ascii="Calibri" w:hAnsi="Calibri" w:hint="default"/>
      </w:rPr>
    </w:lvl>
    <w:lvl w:ilvl="1" w:tplc="9FD2C826">
      <w:start w:val="1"/>
      <w:numFmt w:val="lowerLetter"/>
      <w:lvlText w:val="%2."/>
      <w:lvlJc w:val="left"/>
      <w:pPr>
        <w:ind w:left="1440" w:hanging="360"/>
      </w:pPr>
    </w:lvl>
    <w:lvl w:ilvl="2" w:tplc="FCEC74CA">
      <w:start w:val="1"/>
      <w:numFmt w:val="lowerRoman"/>
      <w:lvlText w:val="%3."/>
      <w:lvlJc w:val="right"/>
      <w:pPr>
        <w:ind w:left="2160" w:hanging="180"/>
      </w:pPr>
    </w:lvl>
    <w:lvl w:ilvl="3" w:tplc="0BE48C20">
      <w:start w:val="1"/>
      <w:numFmt w:val="decimal"/>
      <w:lvlText w:val="%4."/>
      <w:lvlJc w:val="left"/>
      <w:pPr>
        <w:ind w:left="2880" w:hanging="360"/>
      </w:pPr>
    </w:lvl>
    <w:lvl w:ilvl="4" w:tplc="1402183E">
      <w:start w:val="1"/>
      <w:numFmt w:val="lowerLetter"/>
      <w:lvlText w:val="%5."/>
      <w:lvlJc w:val="left"/>
      <w:pPr>
        <w:ind w:left="3600" w:hanging="360"/>
      </w:pPr>
    </w:lvl>
    <w:lvl w:ilvl="5" w:tplc="50DC7EE2">
      <w:start w:val="1"/>
      <w:numFmt w:val="lowerRoman"/>
      <w:lvlText w:val="%6."/>
      <w:lvlJc w:val="right"/>
      <w:pPr>
        <w:ind w:left="4320" w:hanging="180"/>
      </w:pPr>
    </w:lvl>
    <w:lvl w:ilvl="6" w:tplc="097C3386">
      <w:start w:val="1"/>
      <w:numFmt w:val="decimal"/>
      <w:lvlText w:val="%7."/>
      <w:lvlJc w:val="left"/>
      <w:pPr>
        <w:ind w:left="5040" w:hanging="360"/>
      </w:pPr>
    </w:lvl>
    <w:lvl w:ilvl="7" w:tplc="EC1EEADC">
      <w:start w:val="1"/>
      <w:numFmt w:val="lowerLetter"/>
      <w:lvlText w:val="%8."/>
      <w:lvlJc w:val="left"/>
      <w:pPr>
        <w:ind w:left="5760" w:hanging="360"/>
      </w:pPr>
    </w:lvl>
    <w:lvl w:ilvl="8" w:tplc="A642DB6E">
      <w:start w:val="1"/>
      <w:numFmt w:val="lowerRoman"/>
      <w:lvlText w:val="%9."/>
      <w:lvlJc w:val="right"/>
      <w:pPr>
        <w:ind w:left="6480" w:hanging="180"/>
      </w:pPr>
    </w:lvl>
  </w:abstractNum>
  <w:abstractNum w:abstractNumId="89" w15:restartNumberingAfterBreak="0">
    <w:nsid w:val="468948C7"/>
    <w:multiLevelType w:val="hybridMultilevel"/>
    <w:tmpl w:val="86C4A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A607D01"/>
    <w:multiLevelType w:val="hybridMultilevel"/>
    <w:tmpl w:val="D9122F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4AC780F7"/>
    <w:multiLevelType w:val="hybridMultilevel"/>
    <w:tmpl w:val="FFFFFFFF"/>
    <w:lvl w:ilvl="0" w:tplc="8340B1E8">
      <w:start w:val="1"/>
      <w:numFmt w:val="decimal"/>
      <w:lvlText w:val="%1."/>
      <w:lvlJc w:val="left"/>
      <w:pPr>
        <w:ind w:left="720" w:hanging="360"/>
      </w:pPr>
    </w:lvl>
    <w:lvl w:ilvl="1" w:tplc="89C839D8">
      <w:start w:val="1"/>
      <w:numFmt w:val="lowerLetter"/>
      <w:lvlText w:val="%2."/>
      <w:lvlJc w:val="left"/>
      <w:pPr>
        <w:ind w:left="1440" w:hanging="360"/>
      </w:pPr>
    </w:lvl>
    <w:lvl w:ilvl="2" w:tplc="A3DCBF5E">
      <w:start w:val="1"/>
      <w:numFmt w:val="lowerRoman"/>
      <w:lvlText w:val="%3."/>
      <w:lvlJc w:val="right"/>
      <w:pPr>
        <w:ind w:left="2160" w:hanging="180"/>
      </w:pPr>
    </w:lvl>
    <w:lvl w:ilvl="3" w:tplc="18EEEB14">
      <w:start w:val="1"/>
      <w:numFmt w:val="decimal"/>
      <w:lvlText w:val="%4."/>
      <w:lvlJc w:val="left"/>
      <w:pPr>
        <w:ind w:left="2880" w:hanging="360"/>
      </w:pPr>
    </w:lvl>
    <w:lvl w:ilvl="4" w:tplc="E834D056">
      <w:start w:val="1"/>
      <w:numFmt w:val="lowerLetter"/>
      <w:lvlText w:val="%5."/>
      <w:lvlJc w:val="left"/>
      <w:pPr>
        <w:ind w:left="3600" w:hanging="360"/>
      </w:pPr>
    </w:lvl>
    <w:lvl w:ilvl="5" w:tplc="1F567494">
      <w:start w:val="1"/>
      <w:numFmt w:val="lowerRoman"/>
      <w:lvlText w:val="%6."/>
      <w:lvlJc w:val="right"/>
      <w:pPr>
        <w:ind w:left="4320" w:hanging="180"/>
      </w:pPr>
    </w:lvl>
    <w:lvl w:ilvl="6" w:tplc="F0385896">
      <w:start w:val="1"/>
      <w:numFmt w:val="decimal"/>
      <w:lvlText w:val="%7."/>
      <w:lvlJc w:val="left"/>
      <w:pPr>
        <w:ind w:left="5040" w:hanging="360"/>
      </w:pPr>
    </w:lvl>
    <w:lvl w:ilvl="7" w:tplc="F8D233A8">
      <w:start w:val="1"/>
      <w:numFmt w:val="lowerLetter"/>
      <w:lvlText w:val="%8."/>
      <w:lvlJc w:val="left"/>
      <w:pPr>
        <w:ind w:left="5760" w:hanging="360"/>
      </w:pPr>
    </w:lvl>
    <w:lvl w:ilvl="8" w:tplc="09820A70">
      <w:start w:val="1"/>
      <w:numFmt w:val="lowerRoman"/>
      <w:lvlText w:val="%9."/>
      <w:lvlJc w:val="right"/>
      <w:pPr>
        <w:ind w:left="6480" w:hanging="180"/>
      </w:pPr>
    </w:lvl>
  </w:abstractNum>
  <w:abstractNum w:abstractNumId="92" w15:restartNumberingAfterBreak="0">
    <w:nsid w:val="4AF203F0"/>
    <w:multiLevelType w:val="hybridMultilevel"/>
    <w:tmpl w:val="FFFFFFFF"/>
    <w:lvl w:ilvl="0" w:tplc="A98E2156">
      <w:start w:val="1"/>
      <w:numFmt w:val="bullet"/>
      <w:lvlText w:val="-"/>
      <w:lvlJc w:val="left"/>
      <w:pPr>
        <w:ind w:left="720" w:hanging="360"/>
      </w:pPr>
      <w:rPr>
        <w:rFonts w:ascii="Calibri" w:hAnsi="Calibri" w:hint="default"/>
      </w:rPr>
    </w:lvl>
    <w:lvl w:ilvl="1" w:tplc="412CB92C">
      <w:start w:val="1"/>
      <w:numFmt w:val="bullet"/>
      <w:lvlText w:val="o"/>
      <w:lvlJc w:val="left"/>
      <w:pPr>
        <w:ind w:left="1440" w:hanging="360"/>
      </w:pPr>
      <w:rPr>
        <w:rFonts w:ascii="Courier New" w:hAnsi="Courier New" w:hint="default"/>
      </w:rPr>
    </w:lvl>
    <w:lvl w:ilvl="2" w:tplc="5F222560">
      <w:start w:val="1"/>
      <w:numFmt w:val="bullet"/>
      <w:lvlText w:val=""/>
      <w:lvlJc w:val="left"/>
      <w:pPr>
        <w:ind w:left="2160" w:hanging="360"/>
      </w:pPr>
      <w:rPr>
        <w:rFonts w:ascii="Wingdings" w:hAnsi="Wingdings" w:hint="default"/>
      </w:rPr>
    </w:lvl>
    <w:lvl w:ilvl="3" w:tplc="5A62D41A">
      <w:start w:val="1"/>
      <w:numFmt w:val="bullet"/>
      <w:lvlText w:val=""/>
      <w:lvlJc w:val="left"/>
      <w:pPr>
        <w:ind w:left="2880" w:hanging="360"/>
      </w:pPr>
      <w:rPr>
        <w:rFonts w:ascii="Symbol" w:hAnsi="Symbol" w:hint="default"/>
      </w:rPr>
    </w:lvl>
    <w:lvl w:ilvl="4" w:tplc="70E43660">
      <w:start w:val="1"/>
      <w:numFmt w:val="bullet"/>
      <w:lvlText w:val="o"/>
      <w:lvlJc w:val="left"/>
      <w:pPr>
        <w:ind w:left="3600" w:hanging="360"/>
      </w:pPr>
      <w:rPr>
        <w:rFonts w:ascii="Courier New" w:hAnsi="Courier New" w:hint="default"/>
      </w:rPr>
    </w:lvl>
    <w:lvl w:ilvl="5" w:tplc="93966128">
      <w:start w:val="1"/>
      <w:numFmt w:val="bullet"/>
      <w:lvlText w:val=""/>
      <w:lvlJc w:val="left"/>
      <w:pPr>
        <w:ind w:left="4320" w:hanging="360"/>
      </w:pPr>
      <w:rPr>
        <w:rFonts w:ascii="Wingdings" w:hAnsi="Wingdings" w:hint="default"/>
      </w:rPr>
    </w:lvl>
    <w:lvl w:ilvl="6" w:tplc="D2407E56">
      <w:start w:val="1"/>
      <w:numFmt w:val="bullet"/>
      <w:lvlText w:val=""/>
      <w:lvlJc w:val="left"/>
      <w:pPr>
        <w:ind w:left="5040" w:hanging="360"/>
      </w:pPr>
      <w:rPr>
        <w:rFonts w:ascii="Symbol" w:hAnsi="Symbol" w:hint="default"/>
      </w:rPr>
    </w:lvl>
    <w:lvl w:ilvl="7" w:tplc="2550D1B2">
      <w:start w:val="1"/>
      <w:numFmt w:val="bullet"/>
      <w:lvlText w:val="o"/>
      <w:lvlJc w:val="left"/>
      <w:pPr>
        <w:ind w:left="5760" w:hanging="360"/>
      </w:pPr>
      <w:rPr>
        <w:rFonts w:ascii="Courier New" w:hAnsi="Courier New" w:hint="default"/>
      </w:rPr>
    </w:lvl>
    <w:lvl w:ilvl="8" w:tplc="3560081C">
      <w:start w:val="1"/>
      <w:numFmt w:val="bullet"/>
      <w:lvlText w:val=""/>
      <w:lvlJc w:val="left"/>
      <w:pPr>
        <w:ind w:left="6480" w:hanging="360"/>
      </w:pPr>
      <w:rPr>
        <w:rFonts w:ascii="Wingdings" w:hAnsi="Wingdings" w:hint="default"/>
      </w:rPr>
    </w:lvl>
  </w:abstractNum>
  <w:abstractNum w:abstractNumId="93" w15:restartNumberingAfterBreak="0">
    <w:nsid w:val="4B69AA17"/>
    <w:multiLevelType w:val="hybridMultilevel"/>
    <w:tmpl w:val="FFFFFFFF"/>
    <w:lvl w:ilvl="0" w:tplc="49D2950C">
      <w:start w:val="1"/>
      <w:numFmt w:val="bullet"/>
      <w:lvlText w:val="-"/>
      <w:lvlJc w:val="left"/>
      <w:pPr>
        <w:ind w:left="720" w:hanging="360"/>
      </w:pPr>
      <w:rPr>
        <w:rFonts w:ascii="Symbol" w:hAnsi="Symbol" w:hint="default"/>
      </w:rPr>
    </w:lvl>
    <w:lvl w:ilvl="1" w:tplc="9318853A">
      <w:start w:val="1"/>
      <w:numFmt w:val="bullet"/>
      <w:lvlText w:val="o"/>
      <w:lvlJc w:val="left"/>
      <w:pPr>
        <w:ind w:left="1440" w:hanging="360"/>
      </w:pPr>
      <w:rPr>
        <w:rFonts w:ascii="Courier New" w:hAnsi="Courier New" w:hint="default"/>
      </w:rPr>
    </w:lvl>
    <w:lvl w:ilvl="2" w:tplc="8AFA3726">
      <w:start w:val="1"/>
      <w:numFmt w:val="bullet"/>
      <w:lvlText w:val=""/>
      <w:lvlJc w:val="left"/>
      <w:pPr>
        <w:ind w:left="2160" w:hanging="360"/>
      </w:pPr>
      <w:rPr>
        <w:rFonts w:ascii="Wingdings" w:hAnsi="Wingdings" w:hint="default"/>
      </w:rPr>
    </w:lvl>
    <w:lvl w:ilvl="3" w:tplc="3E7EBE66">
      <w:start w:val="1"/>
      <w:numFmt w:val="bullet"/>
      <w:lvlText w:val=""/>
      <w:lvlJc w:val="left"/>
      <w:pPr>
        <w:ind w:left="2880" w:hanging="360"/>
      </w:pPr>
      <w:rPr>
        <w:rFonts w:ascii="Symbol" w:hAnsi="Symbol" w:hint="default"/>
      </w:rPr>
    </w:lvl>
    <w:lvl w:ilvl="4" w:tplc="FB245198">
      <w:start w:val="1"/>
      <w:numFmt w:val="bullet"/>
      <w:lvlText w:val="o"/>
      <w:lvlJc w:val="left"/>
      <w:pPr>
        <w:ind w:left="3600" w:hanging="360"/>
      </w:pPr>
      <w:rPr>
        <w:rFonts w:ascii="Courier New" w:hAnsi="Courier New" w:hint="default"/>
      </w:rPr>
    </w:lvl>
    <w:lvl w:ilvl="5" w:tplc="AA66AA36">
      <w:start w:val="1"/>
      <w:numFmt w:val="bullet"/>
      <w:lvlText w:val=""/>
      <w:lvlJc w:val="left"/>
      <w:pPr>
        <w:ind w:left="4320" w:hanging="360"/>
      </w:pPr>
      <w:rPr>
        <w:rFonts w:ascii="Wingdings" w:hAnsi="Wingdings" w:hint="default"/>
      </w:rPr>
    </w:lvl>
    <w:lvl w:ilvl="6" w:tplc="8D381CC2">
      <w:start w:val="1"/>
      <w:numFmt w:val="bullet"/>
      <w:lvlText w:val=""/>
      <w:lvlJc w:val="left"/>
      <w:pPr>
        <w:ind w:left="5040" w:hanging="360"/>
      </w:pPr>
      <w:rPr>
        <w:rFonts w:ascii="Symbol" w:hAnsi="Symbol" w:hint="default"/>
      </w:rPr>
    </w:lvl>
    <w:lvl w:ilvl="7" w:tplc="8D80D250">
      <w:start w:val="1"/>
      <w:numFmt w:val="bullet"/>
      <w:lvlText w:val="o"/>
      <w:lvlJc w:val="left"/>
      <w:pPr>
        <w:ind w:left="5760" w:hanging="360"/>
      </w:pPr>
      <w:rPr>
        <w:rFonts w:ascii="Courier New" w:hAnsi="Courier New" w:hint="default"/>
      </w:rPr>
    </w:lvl>
    <w:lvl w:ilvl="8" w:tplc="CA06021C">
      <w:start w:val="1"/>
      <w:numFmt w:val="bullet"/>
      <w:lvlText w:val=""/>
      <w:lvlJc w:val="left"/>
      <w:pPr>
        <w:ind w:left="6480" w:hanging="360"/>
      </w:pPr>
      <w:rPr>
        <w:rFonts w:ascii="Wingdings" w:hAnsi="Wingdings" w:hint="default"/>
      </w:rPr>
    </w:lvl>
  </w:abstractNum>
  <w:abstractNum w:abstractNumId="94" w15:restartNumberingAfterBreak="0">
    <w:nsid w:val="4BA06E07"/>
    <w:multiLevelType w:val="hybridMultilevel"/>
    <w:tmpl w:val="B18A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C937758"/>
    <w:multiLevelType w:val="hybridMultilevel"/>
    <w:tmpl w:val="FFFFFFFF"/>
    <w:lvl w:ilvl="0" w:tplc="BEB6C852">
      <w:start w:val="1"/>
      <w:numFmt w:val="bullet"/>
      <w:lvlText w:val="-"/>
      <w:lvlJc w:val="left"/>
      <w:pPr>
        <w:ind w:left="720" w:hanging="360"/>
      </w:pPr>
      <w:rPr>
        <w:rFonts w:ascii="Calibri" w:hAnsi="Calibri" w:hint="default"/>
      </w:rPr>
    </w:lvl>
    <w:lvl w:ilvl="1" w:tplc="A3BAA0C2">
      <w:start w:val="1"/>
      <w:numFmt w:val="bullet"/>
      <w:lvlText w:val="o"/>
      <w:lvlJc w:val="left"/>
      <w:pPr>
        <w:ind w:left="1440" w:hanging="360"/>
      </w:pPr>
      <w:rPr>
        <w:rFonts w:ascii="Courier New" w:hAnsi="Courier New" w:hint="default"/>
      </w:rPr>
    </w:lvl>
    <w:lvl w:ilvl="2" w:tplc="9FC6E6E4">
      <w:start w:val="1"/>
      <w:numFmt w:val="bullet"/>
      <w:lvlText w:val=""/>
      <w:lvlJc w:val="left"/>
      <w:pPr>
        <w:ind w:left="2160" w:hanging="360"/>
      </w:pPr>
      <w:rPr>
        <w:rFonts w:ascii="Wingdings" w:hAnsi="Wingdings" w:hint="default"/>
      </w:rPr>
    </w:lvl>
    <w:lvl w:ilvl="3" w:tplc="600899CA">
      <w:start w:val="1"/>
      <w:numFmt w:val="bullet"/>
      <w:lvlText w:val=""/>
      <w:lvlJc w:val="left"/>
      <w:pPr>
        <w:ind w:left="2880" w:hanging="360"/>
      </w:pPr>
      <w:rPr>
        <w:rFonts w:ascii="Symbol" w:hAnsi="Symbol" w:hint="default"/>
      </w:rPr>
    </w:lvl>
    <w:lvl w:ilvl="4" w:tplc="4EC0ABA6">
      <w:start w:val="1"/>
      <w:numFmt w:val="bullet"/>
      <w:lvlText w:val="o"/>
      <w:lvlJc w:val="left"/>
      <w:pPr>
        <w:ind w:left="3600" w:hanging="360"/>
      </w:pPr>
      <w:rPr>
        <w:rFonts w:ascii="Courier New" w:hAnsi="Courier New" w:hint="default"/>
      </w:rPr>
    </w:lvl>
    <w:lvl w:ilvl="5" w:tplc="71A2E38A">
      <w:start w:val="1"/>
      <w:numFmt w:val="bullet"/>
      <w:lvlText w:val=""/>
      <w:lvlJc w:val="left"/>
      <w:pPr>
        <w:ind w:left="4320" w:hanging="360"/>
      </w:pPr>
      <w:rPr>
        <w:rFonts w:ascii="Wingdings" w:hAnsi="Wingdings" w:hint="default"/>
      </w:rPr>
    </w:lvl>
    <w:lvl w:ilvl="6" w:tplc="A9D601B8">
      <w:start w:val="1"/>
      <w:numFmt w:val="bullet"/>
      <w:lvlText w:val=""/>
      <w:lvlJc w:val="left"/>
      <w:pPr>
        <w:ind w:left="5040" w:hanging="360"/>
      </w:pPr>
      <w:rPr>
        <w:rFonts w:ascii="Symbol" w:hAnsi="Symbol" w:hint="default"/>
      </w:rPr>
    </w:lvl>
    <w:lvl w:ilvl="7" w:tplc="4000B482">
      <w:start w:val="1"/>
      <w:numFmt w:val="bullet"/>
      <w:lvlText w:val="o"/>
      <w:lvlJc w:val="left"/>
      <w:pPr>
        <w:ind w:left="5760" w:hanging="360"/>
      </w:pPr>
      <w:rPr>
        <w:rFonts w:ascii="Courier New" w:hAnsi="Courier New" w:hint="default"/>
      </w:rPr>
    </w:lvl>
    <w:lvl w:ilvl="8" w:tplc="931AE868">
      <w:start w:val="1"/>
      <w:numFmt w:val="bullet"/>
      <w:lvlText w:val=""/>
      <w:lvlJc w:val="left"/>
      <w:pPr>
        <w:ind w:left="6480" w:hanging="360"/>
      </w:pPr>
      <w:rPr>
        <w:rFonts w:ascii="Wingdings" w:hAnsi="Wingdings" w:hint="default"/>
      </w:rPr>
    </w:lvl>
  </w:abstractNum>
  <w:abstractNum w:abstractNumId="96"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4E810200"/>
    <w:multiLevelType w:val="hybridMultilevel"/>
    <w:tmpl w:val="E9EC7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F251218"/>
    <w:multiLevelType w:val="hybridMultilevel"/>
    <w:tmpl w:val="FFFFFFFF"/>
    <w:lvl w:ilvl="0" w:tplc="9C7CEE92">
      <w:start w:val="1"/>
      <w:numFmt w:val="decimal"/>
      <w:lvlText w:val="%1."/>
      <w:lvlJc w:val="left"/>
      <w:pPr>
        <w:ind w:left="720" w:hanging="360"/>
      </w:pPr>
    </w:lvl>
    <w:lvl w:ilvl="1" w:tplc="084E13B2">
      <w:start w:val="1"/>
      <w:numFmt w:val="lowerLetter"/>
      <w:lvlText w:val="%2."/>
      <w:lvlJc w:val="left"/>
      <w:pPr>
        <w:ind w:left="1440" w:hanging="360"/>
      </w:pPr>
    </w:lvl>
    <w:lvl w:ilvl="2" w:tplc="EF46D8A8">
      <w:start w:val="1"/>
      <w:numFmt w:val="lowerRoman"/>
      <w:lvlText w:val="%3."/>
      <w:lvlJc w:val="right"/>
      <w:pPr>
        <w:ind w:left="2160" w:hanging="180"/>
      </w:pPr>
    </w:lvl>
    <w:lvl w:ilvl="3" w:tplc="3258DBE6">
      <w:start w:val="1"/>
      <w:numFmt w:val="decimal"/>
      <w:lvlText w:val="%4."/>
      <w:lvlJc w:val="left"/>
      <w:pPr>
        <w:ind w:left="2880" w:hanging="360"/>
      </w:pPr>
    </w:lvl>
    <w:lvl w:ilvl="4" w:tplc="92B24646">
      <w:start w:val="1"/>
      <w:numFmt w:val="lowerLetter"/>
      <w:lvlText w:val="%5."/>
      <w:lvlJc w:val="left"/>
      <w:pPr>
        <w:ind w:left="3600" w:hanging="360"/>
      </w:pPr>
    </w:lvl>
    <w:lvl w:ilvl="5" w:tplc="61DA6638">
      <w:start w:val="1"/>
      <w:numFmt w:val="lowerRoman"/>
      <w:lvlText w:val="%6."/>
      <w:lvlJc w:val="right"/>
      <w:pPr>
        <w:ind w:left="4320" w:hanging="180"/>
      </w:pPr>
    </w:lvl>
    <w:lvl w:ilvl="6" w:tplc="F530E516">
      <w:start w:val="1"/>
      <w:numFmt w:val="decimal"/>
      <w:lvlText w:val="%7."/>
      <w:lvlJc w:val="left"/>
      <w:pPr>
        <w:ind w:left="5040" w:hanging="360"/>
      </w:pPr>
    </w:lvl>
    <w:lvl w:ilvl="7" w:tplc="11C4F566">
      <w:start w:val="1"/>
      <w:numFmt w:val="lowerLetter"/>
      <w:lvlText w:val="%8."/>
      <w:lvlJc w:val="left"/>
      <w:pPr>
        <w:ind w:left="5760" w:hanging="360"/>
      </w:pPr>
    </w:lvl>
    <w:lvl w:ilvl="8" w:tplc="E7E846C6">
      <w:start w:val="1"/>
      <w:numFmt w:val="lowerRoman"/>
      <w:lvlText w:val="%9."/>
      <w:lvlJc w:val="right"/>
      <w:pPr>
        <w:ind w:left="6480" w:hanging="180"/>
      </w:pPr>
    </w:lvl>
  </w:abstractNum>
  <w:abstractNum w:abstractNumId="99" w15:restartNumberingAfterBreak="0">
    <w:nsid w:val="50C31B70"/>
    <w:multiLevelType w:val="hybridMultilevel"/>
    <w:tmpl w:val="A8960B0C"/>
    <w:lvl w:ilvl="0" w:tplc="4DA2ACA6">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517B1309"/>
    <w:multiLevelType w:val="hybridMultilevel"/>
    <w:tmpl w:val="FFFFFFFF"/>
    <w:lvl w:ilvl="0" w:tplc="04E07CC0">
      <w:start w:val="1"/>
      <w:numFmt w:val="decimal"/>
      <w:lvlText w:val="%1."/>
      <w:lvlJc w:val="left"/>
      <w:pPr>
        <w:ind w:left="360" w:hanging="360"/>
      </w:pPr>
    </w:lvl>
    <w:lvl w:ilvl="1" w:tplc="4AB8D494">
      <w:start w:val="1"/>
      <w:numFmt w:val="lowerLetter"/>
      <w:lvlText w:val="%2."/>
      <w:lvlJc w:val="left"/>
      <w:pPr>
        <w:ind w:left="1080" w:hanging="360"/>
      </w:pPr>
    </w:lvl>
    <w:lvl w:ilvl="2" w:tplc="C5A01B56">
      <w:start w:val="1"/>
      <w:numFmt w:val="lowerRoman"/>
      <w:lvlText w:val="%3."/>
      <w:lvlJc w:val="right"/>
      <w:pPr>
        <w:ind w:left="1800" w:hanging="180"/>
      </w:pPr>
    </w:lvl>
    <w:lvl w:ilvl="3" w:tplc="38347A78">
      <w:start w:val="1"/>
      <w:numFmt w:val="decimal"/>
      <w:lvlText w:val="%4."/>
      <w:lvlJc w:val="left"/>
      <w:pPr>
        <w:ind w:left="2520" w:hanging="360"/>
      </w:pPr>
    </w:lvl>
    <w:lvl w:ilvl="4" w:tplc="B288C190">
      <w:start w:val="1"/>
      <w:numFmt w:val="lowerLetter"/>
      <w:lvlText w:val="%5."/>
      <w:lvlJc w:val="left"/>
      <w:pPr>
        <w:ind w:left="3240" w:hanging="360"/>
      </w:pPr>
    </w:lvl>
    <w:lvl w:ilvl="5" w:tplc="354C19BE">
      <w:start w:val="1"/>
      <w:numFmt w:val="lowerRoman"/>
      <w:lvlText w:val="%6."/>
      <w:lvlJc w:val="right"/>
      <w:pPr>
        <w:ind w:left="3960" w:hanging="180"/>
      </w:pPr>
    </w:lvl>
    <w:lvl w:ilvl="6" w:tplc="CD863C50">
      <w:start w:val="1"/>
      <w:numFmt w:val="decimal"/>
      <w:lvlText w:val="%7."/>
      <w:lvlJc w:val="left"/>
      <w:pPr>
        <w:ind w:left="4680" w:hanging="360"/>
      </w:pPr>
    </w:lvl>
    <w:lvl w:ilvl="7" w:tplc="31563914">
      <w:start w:val="1"/>
      <w:numFmt w:val="lowerLetter"/>
      <w:lvlText w:val="%8."/>
      <w:lvlJc w:val="left"/>
      <w:pPr>
        <w:ind w:left="5400" w:hanging="360"/>
      </w:pPr>
    </w:lvl>
    <w:lvl w:ilvl="8" w:tplc="00368D78">
      <w:start w:val="1"/>
      <w:numFmt w:val="lowerRoman"/>
      <w:lvlText w:val="%9."/>
      <w:lvlJc w:val="right"/>
      <w:pPr>
        <w:ind w:left="6120" w:hanging="180"/>
      </w:pPr>
    </w:lvl>
  </w:abstractNum>
  <w:abstractNum w:abstractNumId="101" w15:restartNumberingAfterBreak="0">
    <w:nsid w:val="52D62334"/>
    <w:multiLevelType w:val="hybridMultilevel"/>
    <w:tmpl w:val="52564116"/>
    <w:lvl w:ilvl="0" w:tplc="59AEDDC2">
      <w:start w:val="1"/>
      <w:numFmt w:val="bullet"/>
      <w:lvlText w:val=""/>
      <w:lvlJc w:val="left"/>
      <w:pPr>
        <w:ind w:left="1080" w:hanging="360"/>
      </w:pPr>
      <w:rPr>
        <w:rFonts w:ascii="Symbol" w:hAnsi="Symbol" w:hint="default"/>
      </w:rPr>
    </w:lvl>
    <w:lvl w:ilvl="1" w:tplc="F6F80CC0">
      <w:start w:val="1"/>
      <w:numFmt w:val="bullet"/>
      <w:lvlText w:val="o"/>
      <w:lvlJc w:val="left"/>
      <w:pPr>
        <w:ind w:left="1800" w:hanging="360"/>
      </w:pPr>
      <w:rPr>
        <w:rFonts w:ascii="Courier New" w:hAnsi="Courier New" w:hint="default"/>
      </w:rPr>
    </w:lvl>
    <w:lvl w:ilvl="2" w:tplc="A4E0A800">
      <w:start w:val="1"/>
      <w:numFmt w:val="bullet"/>
      <w:lvlText w:val=""/>
      <w:lvlJc w:val="left"/>
      <w:pPr>
        <w:ind w:left="2520" w:hanging="360"/>
      </w:pPr>
      <w:rPr>
        <w:rFonts w:ascii="Wingdings" w:hAnsi="Wingdings" w:hint="default"/>
      </w:rPr>
    </w:lvl>
    <w:lvl w:ilvl="3" w:tplc="7BBEBC40">
      <w:start w:val="1"/>
      <w:numFmt w:val="bullet"/>
      <w:lvlText w:val=""/>
      <w:lvlJc w:val="left"/>
      <w:pPr>
        <w:ind w:left="3240" w:hanging="360"/>
      </w:pPr>
      <w:rPr>
        <w:rFonts w:ascii="Symbol" w:hAnsi="Symbol" w:hint="default"/>
      </w:rPr>
    </w:lvl>
    <w:lvl w:ilvl="4" w:tplc="97588332">
      <w:start w:val="1"/>
      <w:numFmt w:val="bullet"/>
      <w:lvlText w:val="o"/>
      <w:lvlJc w:val="left"/>
      <w:pPr>
        <w:ind w:left="3960" w:hanging="360"/>
      </w:pPr>
      <w:rPr>
        <w:rFonts w:ascii="Courier New" w:hAnsi="Courier New" w:hint="default"/>
      </w:rPr>
    </w:lvl>
    <w:lvl w:ilvl="5" w:tplc="97E470D8">
      <w:start w:val="1"/>
      <w:numFmt w:val="bullet"/>
      <w:lvlText w:val=""/>
      <w:lvlJc w:val="left"/>
      <w:pPr>
        <w:ind w:left="4680" w:hanging="360"/>
      </w:pPr>
      <w:rPr>
        <w:rFonts w:ascii="Wingdings" w:hAnsi="Wingdings" w:hint="default"/>
      </w:rPr>
    </w:lvl>
    <w:lvl w:ilvl="6" w:tplc="73668114">
      <w:start w:val="1"/>
      <w:numFmt w:val="bullet"/>
      <w:lvlText w:val=""/>
      <w:lvlJc w:val="left"/>
      <w:pPr>
        <w:ind w:left="5400" w:hanging="360"/>
      </w:pPr>
      <w:rPr>
        <w:rFonts w:ascii="Symbol" w:hAnsi="Symbol" w:hint="default"/>
      </w:rPr>
    </w:lvl>
    <w:lvl w:ilvl="7" w:tplc="6C3A83CE">
      <w:start w:val="1"/>
      <w:numFmt w:val="bullet"/>
      <w:lvlText w:val="o"/>
      <w:lvlJc w:val="left"/>
      <w:pPr>
        <w:ind w:left="6120" w:hanging="360"/>
      </w:pPr>
      <w:rPr>
        <w:rFonts w:ascii="Courier New" w:hAnsi="Courier New" w:hint="default"/>
      </w:rPr>
    </w:lvl>
    <w:lvl w:ilvl="8" w:tplc="0EF896B8">
      <w:start w:val="1"/>
      <w:numFmt w:val="bullet"/>
      <w:lvlText w:val=""/>
      <w:lvlJc w:val="left"/>
      <w:pPr>
        <w:ind w:left="6840" w:hanging="360"/>
      </w:pPr>
      <w:rPr>
        <w:rFonts w:ascii="Wingdings" w:hAnsi="Wingdings" w:hint="default"/>
      </w:rPr>
    </w:lvl>
  </w:abstractNum>
  <w:abstractNum w:abstractNumId="102" w15:restartNumberingAfterBreak="0">
    <w:nsid w:val="56306503"/>
    <w:multiLevelType w:val="hybridMultilevel"/>
    <w:tmpl w:val="FFFFFFFF"/>
    <w:lvl w:ilvl="0" w:tplc="BB8203B8">
      <w:start w:val="1"/>
      <w:numFmt w:val="bullet"/>
      <w:lvlText w:val="-"/>
      <w:lvlJc w:val="left"/>
      <w:pPr>
        <w:ind w:left="720" w:hanging="360"/>
      </w:pPr>
      <w:rPr>
        <w:rFonts w:ascii="Calibri" w:hAnsi="Calibri" w:hint="default"/>
      </w:rPr>
    </w:lvl>
    <w:lvl w:ilvl="1" w:tplc="110EADB8">
      <w:start w:val="1"/>
      <w:numFmt w:val="bullet"/>
      <w:lvlText w:val="o"/>
      <w:lvlJc w:val="left"/>
      <w:pPr>
        <w:ind w:left="1440" w:hanging="360"/>
      </w:pPr>
      <w:rPr>
        <w:rFonts w:ascii="Courier New" w:hAnsi="Courier New" w:hint="default"/>
      </w:rPr>
    </w:lvl>
    <w:lvl w:ilvl="2" w:tplc="DCC8931A">
      <w:start w:val="1"/>
      <w:numFmt w:val="bullet"/>
      <w:lvlText w:val=""/>
      <w:lvlJc w:val="left"/>
      <w:pPr>
        <w:ind w:left="2160" w:hanging="360"/>
      </w:pPr>
      <w:rPr>
        <w:rFonts w:ascii="Wingdings" w:hAnsi="Wingdings" w:hint="default"/>
      </w:rPr>
    </w:lvl>
    <w:lvl w:ilvl="3" w:tplc="E8385320">
      <w:start w:val="1"/>
      <w:numFmt w:val="bullet"/>
      <w:lvlText w:val=""/>
      <w:lvlJc w:val="left"/>
      <w:pPr>
        <w:ind w:left="2880" w:hanging="360"/>
      </w:pPr>
      <w:rPr>
        <w:rFonts w:ascii="Symbol" w:hAnsi="Symbol" w:hint="default"/>
      </w:rPr>
    </w:lvl>
    <w:lvl w:ilvl="4" w:tplc="4D2ABE80">
      <w:start w:val="1"/>
      <w:numFmt w:val="bullet"/>
      <w:lvlText w:val="o"/>
      <w:lvlJc w:val="left"/>
      <w:pPr>
        <w:ind w:left="3600" w:hanging="360"/>
      </w:pPr>
      <w:rPr>
        <w:rFonts w:ascii="Courier New" w:hAnsi="Courier New" w:hint="default"/>
      </w:rPr>
    </w:lvl>
    <w:lvl w:ilvl="5" w:tplc="BA3644A8">
      <w:start w:val="1"/>
      <w:numFmt w:val="bullet"/>
      <w:lvlText w:val=""/>
      <w:lvlJc w:val="left"/>
      <w:pPr>
        <w:ind w:left="4320" w:hanging="360"/>
      </w:pPr>
      <w:rPr>
        <w:rFonts w:ascii="Wingdings" w:hAnsi="Wingdings" w:hint="default"/>
      </w:rPr>
    </w:lvl>
    <w:lvl w:ilvl="6" w:tplc="732E32F4">
      <w:start w:val="1"/>
      <w:numFmt w:val="bullet"/>
      <w:lvlText w:val=""/>
      <w:lvlJc w:val="left"/>
      <w:pPr>
        <w:ind w:left="5040" w:hanging="360"/>
      </w:pPr>
      <w:rPr>
        <w:rFonts w:ascii="Symbol" w:hAnsi="Symbol" w:hint="default"/>
      </w:rPr>
    </w:lvl>
    <w:lvl w:ilvl="7" w:tplc="1F986668">
      <w:start w:val="1"/>
      <w:numFmt w:val="bullet"/>
      <w:lvlText w:val="o"/>
      <w:lvlJc w:val="left"/>
      <w:pPr>
        <w:ind w:left="5760" w:hanging="360"/>
      </w:pPr>
      <w:rPr>
        <w:rFonts w:ascii="Courier New" w:hAnsi="Courier New" w:hint="default"/>
      </w:rPr>
    </w:lvl>
    <w:lvl w:ilvl="8" w:tplc="36DE726C">
      <w:start w:val="1"/>
      <w:numFmt w:val="bullet"/>
      <w:lvlText w:val=""/>
      <w:lvlJc w:val="left"/>
      <w:pPr>
        <w:ind w:left="6480" w:hanging="360"/>
      </w:pPr>
      <w:rPr>
        <w:rFonts w:ascii="Wingdings" w:hAnsi="Wingdings" w:hint="default"/>
      </w:rPr>
    </w:lvl>
  </w:abstractNum>
  <w:abstractNum w:abstractNumId="103" w15:restartNumberingAfterBreak="0">
    <w:nsid w:val="569C732C"/>
    <w:multiLevelType w:val="hybridMultilevel"/>
    <w:tmpl w:val="4962C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767B538"/>
    <w:multiLevelType w:val="hybridMultilevel"/>
    <w:tmpl w:val="FFFFFFFF"/>
    <w:lvl w:ilvl="0" w:tplc="F6223DBE">
      <w:start w:val="1"/>
      <w:numFmt w:val="bullet"/>
      <w:lvlText w:val=""/>
      <w:lvlJc w:val="left"/>
      <w:pPr>
        <w:ind w:left="720" w:hanging="360"/>
      </w:pPr>
      <w:rPr>
        <w:rFonts w:ascii="Symbol" w:hAnsi="Symbol" w:hint="default"/>
      </w:rPr>
    </w:lvl>
    <w:lvl w:ilvl="1" w:tplc="1448819A">
      <w:start w:val="1"/>
      <w:numFmt w:val="bullet"/>
      <w:lvlText w:val="o"/>
      <w:lvlJc w:val="left"/>
      <w:pPr>
        <w:ind w:left="1440" w:hanging="360"/>
      </w:pPr>
      <w:rPr>
        <w:rFonts w:ascii="Courier New" w:hAnsi="Courier New" w:hint="default"/>
      </w:rPr>
    </w:lvl>
    <w:lvl w:ilvl="2" w:tplc="790C3AD0">
      <w:start w:val="1"/>
      <w:numFmt w:val="bullet"/>
      <w:lvlText w:val=""/>
      <w:lvlJc w:val="left"/>
      <w:pPr>
        <w:ind w:left="2160" w:hanging="360"/>
      </w:pPr>
      <w:rPr>
        <w:rFonts w:ascii="Wingdings" w:hAnsi="Wingdings" w:hint="default"/>
      </w:rPr>
    </w:lvl>
    <w:lvl w:ilvl="3" w:tplc="B11AA5EC">
      <w:start w:val="1"/>
      <w:numFmt w:val="bullet"/>
      <w:lvlText w:val=""/>
      <w:lvlJc w:val="left"/>
      <w:pPr>
        <w:ind w:left="2880" w:hanging="360"/>
      </w:pPr>
      <w:rPr>
        <w:rFonts w:ascii="Symbol" w:hAnsi="Symbol" w:hint="default"/>
      </w:rPr>
    </w:lvl>
    <w:lvl w:ilvl="4" w:tplc="F8489C54">
      <w:start w:val="1"/>
      <w:numFmt w:val="bullet"/>
      <w:lvlText w:val="o"/>
      <w:lvlJc w:val="left"/>
      <w:pPr>
        <w:ind w:left="3600" w:hanging="360"/>
      </w:pPr>
      <w:rPr>
        <w:rFonts w:ascii="Courier New" w:hAnsi="Courier New" w:hint="default"/>
      </w:rPr>
    </w:lvl>
    <w:lvl w:ilvl="5" w:tplc="BA84E0F4">
      <w:start w:val="1"/>
      <w:numFmt w:val="bullet"/>
      <w:lvlText w:val=""/>
      <w:lvlJc w:val="left"/>
      <w:pPr>
        <w:ind w:left="4320" w:hanging="360"/>
      </w:pPr>
      <w:rPr>
        <w:rFonts w:ascii="Wingdings" w:hAnsi="Wingdings" w:hint="default"/>
      </w:rPr>
    </w:lvl>
    <w:lvl w:ilvl="6" w:tplc="752ED88E">
      <w:start w:val="1"/>
      <w:numFmt w:val="bullet"/>
      <w:lvlText w:val=""/>
      <w:lvlJc w:val="left"/>
      <w:pPr>
        <w:ind w:left="5040" w:hanging="360"/>
      </w:pPr>
      <w:rPr>
        <w:rFonts w:ascii="Symbol" w:hAnsi="Symbol" w:hint="default"/>
      </w:rPr>
    </w:lvl>
    <w:lvl w:ilvl="7" w:tplc="42B0B7B4">
      <w:start w:val="1"/>
      <w:numFmt w:val="bullet"/>
      <w:lvlText w:val="o"/>
      <w:lvlJc w:val="left"/>
      <w:pPr>
        <w:ind w:left="5760" w:hanging="360"/>
      </w:pPr>
      <w:rPr>
        <w:rFonts w:ascii="Courier New" w:hAnsi="Courier New" w:hint="default"/>
      </w:rPr>
    </w:lvl>
    <w:lvl w:ilvl="8" w:tplc="05749E0C">
      <w:start w:val="1"/>
      <w:numFmt w:val="bullet"/>
      <w:lvlText w:val=""/>
      <w:lvlJc w:val="left"/>
      <w:pPr>
        <w:ind w:left="6480" w:hanging="360"/>
      </w:pPr>
      <w:rPr>
        <w:rFonts w:ascii="Wingdings" w:hAnsi="Wingdings" w:hint="default"/>
      </w:rPr>
    </w:lvl>
  </w:abstractNum>
  <w:abstractNum w:abstractNumId="105" w15:restartNumberingAfterBreak="0">
    <w:nsid w:val="59CBB1A7"/>
    <w:multiLevelType w:val="hybridMultilevel"/>
    <w:tmpl w:val="FFFFFFFF"/>
    <w:lvl w:ilvl="0" w:tplc="1D9A03CC">
      <w:start w:val="1"/>
      <w:numFmt w:val="decimal"/>
      <w:lvlText w:val="%1."/>
      <w:lvlJc w:val="left"/>
      <w:pPr>
        <w:ind w:left="720" w:hanging="360"/>
      </w:pPr>
    </w:lvl>
    <w:lvl w:ilvl="1" w:tplc="F3A6B8DE">
      <w:start w:val="1"/>
      <w:numFmt w:val="lowerLetter"/>
      <w:lvlText w:val="%2."/>
      <w:lvlJc w:val="left"/>
      <w:pPr>
        <w:ind w:left="1440" w:hanging="360"/>
      </w:pPr>
    </w:lvl>
    <w:lvl w:ilvl="2" w:tplc="B0D8ECCE">
      <w:start w:val="1"/>
      <w:numFmt w:val="lowerRoman"/>
      <w:lvlText w:val="%3."/>
      <w:lvlJc w:val="right"/>
      <w:pPr>
        <w:ind w:left="2160" w:hanging="180"/>
      </w:pPr>
    </w:lvl>
    <w:lvl w:ilvl="3" w:tplc="4E0447AA">
      <w:start w:val="1"/>
      <w:numFmt w:val="decimal"/>
      <w:lvlText w:val="%4."/>
      <w:lvlJc w:val="left"/>
      <w:pPr>
        <w:ind w:left="2880" w:hanging="360"/>
      </w:pPr>
    </w:lvl>
    <w:lvl w:ilvl="4" w:tplc="AD8C6BEC">
      <w:start w:val="1"/>
      <w:numFmt w:val="lowerLetter"/>
      <w:lvlText w:val="%5."/>
      <w:lvlJc w:val="left"/>
      <w:pPr>
        <w:ind w:left="3600" w:hanging="360"/>
      </w:pPr>
    </w:lvl>
    <w:lvl w:ilvl="5" w:tplc="D4C2B856">
      <w:start w:val="1"/>
      <w:numFmt w:val="lowerRoman"/>
      <w:lvlText w:val="%6."/>
      <w:lvlJc w:val="right"/>
      <w:pPr>
        <w:ind w:left="4320" w:hanging="180"/>
      </w:pPr>
    </w:lvl>
    <w:lvl w:ilvl="6" w:tplc="5FB28A5C">
      <w:start w:val="1"/>
      <w:numFmt w:val="decimal"/>
      <w:lvlText w:val="%7."/>
      <w:lvlJc w:val="left"/>
      <w:pPr>
        <w:ind w:left="5040" w:hanging="360"/>
      </w:pPr>
    </w:lvl>
    <w:lvl w:ilvl="7" w:tplc="59962EFE">
      <w:start w:val="1"/>
      <w:numFmt w:val="lowerLetter"/>
      <w:lvlText w:val="%8."/>
      <w:lvlJc w:val="left"/>
      <w:pPr>
        <w:ind w:left="5760" w:hanging="360"/>
      </w:pPr>
    </w:lvl>
    <w:lvl w:ilvl="8" w:tplc="147AEA6C">
      <w:start w:val="1"/>
      <w:numFmt w:val="lowerRoman"/>
      <w:lvlText w:val="%9."/>
      <w:lvlJc w:val="right"/>
      <w:pPr>
        <w:ind w:left="6480" w:hanging="180"/>
      </w:pPr>
    </w:lvl>
  </w:abstractNum>
  <w:abstractNum w:abstractNumId="106" w15:restartNumberingAfterBreak="0">
    <w:nsid w:val="59D76570"/>
    <w:multiLevelType w:val="hybridMultilevel"/>
    <w:tmpl w:val="0136EF84"/>
    <w:lvl w:ilvl="0" w:tplc="FFFFFFFF">
      <w:numFmt w:val="bullet"/>
      <w:lvlText w:val="-"/>
      <w:lvlJc w:val="left"/>
      <w:pPr>
        <w:ind w:left="1440" w:hanging="360"/>
      </w:pPr>
      <w:rPr>
        <w:rFonts w:ascii="Verdana" w:hAnsi="Verdana"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15:restartNumberingAfterBreak="0">
    <w:nsid w:val="5AFE0F37"/>
    <w:multiLevelType w:val="hybridMultilevel"/>
    <w:tmpl w:val="EBF48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5B53D572"/>
    <w:multiLevelType w:val="hybridMultilevel"/>
    <w:tmpl w:val="E9D07BF8"/>
    <w:lvl w:ilvl="0" w:tplc="7230235C">
      <w:start w:val="1"/>
      <w:numFmt w:val="decimal"/>
      <w:lvlText w:val="%1."/>
      <w:lvlJc w:val="left"/>
      <w:pPr>
        <w:ind w:left="720" w:hanging="360"/>
      </w:pPr>
    </w:lvl>
    <w:lvl w:ilvl="1" w:tplc="EB1C4A24">
      <w:start w:val="1"/>
      <w:numFmt w:val="lowerLetter"/>
      <w:lvlText w:val="%2."/>
      <w:lvlJc w:val="left"/>
      <w:pPr>
        <w:ind w:left="1440" w:hanging="360"/>
      </w:pPr>
    </w:lvl>
    <w:lvl w:ilvl="2" w:tplc="B648959A">
      <w:start w:val="1"/>
      <w:numFmt w:val="lowerRoman"/>
      <w:lvlText w:val="%3."/>
      <w:lvlJc w:val="right"/>
      <w:pPr>
        <w:ind w:left="2160" w:hanging="180"/>
      </w:pPr>
    </w:lvl>
    <w:lvl w:ilvl="3" w:tplc="C19AD910">
      <w:start w:val="1"/>
      <w:numFmt w:val="decimal"/>
      <w:lvlText w:val="%4."/>
      <w:lvlJc w:val="left"/>
      <w:pPr>
        <w:ind w:left="2880" w:hanging="360"/>
      </w:pPr>
    </w:lvl>
    <w:lvl w:ilvl="4" w:tplc="BD4E09B4">
      <w:start w:val="1"/>
      <w:numFmt w:val="lowerLetter"/>
      <w:lvlText w:val="%5."/>
      <w:lvlJc w:val="left"/>
      <w:pPr>
        <w:ind w:left="3600" w:hanging="360"/>
      </w:pPr>
    </w:lvl>
    <w:lvl w:ilvl="5" w:tplc="7AAA59DE">
      <w:start w:val="1"/>
      <w:numFmt w:val="lowerRoman"/>
      <w:lvlText w:val="%6."/>
      <w:lvlJc w:val="right"/>
      <w:pPr>
        <w:ind w:left="4320" w:hanging="180"/>
      </w:pPr>
    </w:lvl>
    <w:lvl w:ilvl="6" w:tplc="2D7AF76C">
      <w:start w:val="1"/>
      <w:numFmt w:val="decimal"/>
      <w:lvlText w:val="%7."/>
      <w:lvlJc w:val="left"/>
      <w:pPr>
        <w:ind w:left="5040" w:hanging="360"/>
      </w:pPr>
    </w:lvl>
    <w:lvl w:ilvl="7" w:tplc="6D36434A">
      <w:start w:val="1"/>
      <w:numFmt w:val="lowerLetter"/>
      <w:lvlText w:val="%8."/>
      <w:lvlJc w:val="left"/>
      <w:pPr>
        <w:ind w:left="5760" w:hanging="360"/>
      </w:pPr>
    </w:lvl>
    <w:lvl w:ilvl="8" w:tplc="BFC2054C">
      <w:start w:val="1"/>
      <w:numFmt w:val="lowerRoman"/>
      <w:lvlText w:val="%9."/>
      <w:lvlJc w:val="right"/>
      <w:pPr>
        <w:ind w:left="6480" w:hanging="180"/>
      </w:pPr>
    </w:lvl>
  </w:abstractNum>
  <w:abstractNum w:abstractNumId="109" w15:restartNumberingAfterBreak="0">
    <w:nsid w:val="5B598E50"/>
    <w:multiLevelType w:val="hybridMultilevel"/>
    <w:tmpl w:val="FFFFFFFF"/>
    <w:lvl w:ilvl="0" w:tplc="23443BB0">
      <w:start w:val="1"/>
      <w:numFmt w:val="decimal"/>
      <w:lvlText w:val="%1."/>
      <w:lvlJc w:val="left"/>
      <w:pPr>
        <w:ind w:left="720" w:hanging="360"/>
      </w:pPr>
    </w:lvl>
    <w:lvl w:ilvl="1" w:tplc="48F40DA8">
      <w:start w:val="1"/>
      <w:numFmt w:val="lowerLetter"/>
      <w:lvlText w:val="%2."/>
      <w:lvlJc w:val="left"/>
      <w:pPr>
        <w:ind w:left="1440" w:hanging="360"/>
      </w:pPr>
    </w:lvl>
    <w:lvl w:ilvl="2" w:tplc="52FE3F92">
      <w:start w:val="1"/>
      <w:numFmt w:val="lowerRoman"/>
      <w:lvlText w:val="%3."/>
      <w:lvlJc w:val="right"/>
      <w:pPr>
        <w:ind w:left="2160" w:hanging="180"/>
      </w:pPr>
    </w:lvl>
    <w:lvl w:ilvl="3" w:tplc="590A305A">
      <w:start w:val="1"/>
      <w:numFmt w:val="decimal"/>
      <w:lvlText w:val="%4."/>
      <w:lvlJc w:val="left"/>
      <w:pPr>
        <w:ind w:left="2880" w:hanging="360"/>
      </w:pPr>
    </w:lvl>
    <w:lvl w:ilvl="4" w:tplc="475AAD98">
      <w:start w:val="1"/>
      <w:numFmt w:val="lowerLetter"/>
      <w:lvlText w:val="%5."/>
      <w:lvlJc w:val="left"/>
      <w:pPr>
        <w:ind w:left="3600" w:hanging="360"/>
      </w:pPr>
    </w:lvl>
    <w:lvl w:ilvl="5" w:tplc="0E5C5F62">
      <w:start w:val="1"/>
      <w:numFmt w:val="lowerRoman"/>
      <w:lvlText w:val="%6."/>
      <w:lvlJc w:val="right"/>
      <w:pPr>
        <w:ind w:left="4320" w:hanging="180"/>
      </w:pPr>
    </w:lvl>
    <w:lvl w:ilvl="6" w:tplc="C982F97A">
      <w:start w:val="1"/>
      <w:numFmt w:val="decimal"/>
      <w:lvlText w:val="%7."/>
      <w:lvlJc w:val="left"/>
      <w:pPr>
        <w:ind w:left="5040" w:hanging="360"/>
      </w:pPr>
    </w:lvl>
    <w:lvl w:ilvl="7" w:tplc="86A86720">
      <w:start w:val="1"/>
      <w:numFmt w:val="lowerLetter"/>
      <w:lvlText w:val="%8."/>
      <w:lvlJc w:val="left"/>
      <w:pPr>
        <w:ind w:left="5760" w:hanging="360"/>
      </w:pPr>
    </w:lvl>
    <w:lvl w:ilvl="8" w:tplc="B5449714">
      <w:start w:val="1"/>
      <w:numFmt w:val="lowerRoman"/>
      <w:lvlText w:val="%9."/>
      <w:lvlJc w:val="right"/>
      <w:pPr>
        <w:ind w:left="6480" w:hanging="180"/>
      </w:pPr>
    </w:lvl>
  </w:abstractNum>
  <w:abstractNum w:abstractNumId="110" w15:restartNumberingAfterBreak="0">
    <w:nsid w:val="5B63253E"/>
    <w:multiLevelType w:val="multilevel"/>
    <w:tmpl w:val="D206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CCA7C85"/>
    <w:multiLevelType w:val="hybridMultilevel"/>
    <w:tmpl w:val="2716FE7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2" w15:restartNumberingAfterBreak="0">
    <w:nsid w:val="5FE04C88"/>
    <w:multiLevelType w:val="multilevel"/>
    <w:tmpl w:val="5096FC9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3" w15:restartNumberingAfterBreak="0">
    <w:nsid w:val="60404366"/>
    <w:multiLevelType w:val="hybridMultilevel"/>
    <w:tmpl w:val="E736C536"/>
    <w:lvl w:ilvl="0" w:tplc="C0AC26F4">
      <w:start w:val="1"/>
      <w:numFmt w:val="bullet"/>
      <w:lvlText w:val="-"/>
      <w:lvlJc w:val="left"/>
      <w:pPr>
        <w:ind w:left="720" w:hanging="360"/>
      </w:pPr>
      <w:rPr>
        <w:rFonts w:ascii="Verdana" w:eastAsia="Times New Roman"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0CFA289"/>
    <w:multiLevelType w:val="hybridMultilevel"/>
    <w:tmpl w:val="AC629E1C"/>
    <w:lvl w:ilvl="0" w:tplc="3E360956">
      <w:start w:val="1"/>
      <w:numFmt w:val="bullet"/>
      <w:lvlText w:val="-"/>
      <w:lvlJc w:val="left"/>
      <w:pPr>
        <w:ind w:left="720" w:hanging="360"/>
      </w:pPr>
      <w:rPr>
        <w:rFonts w:ascii="Calibri" w:hAnsi="Calibri" w:hint="default"/>
      </w:rPr>
    </w:lvl>
    <w:lvl w:ilvl="1" w:tplc="A8D0C450">
      <w:start w:val="1"/>
      <w:numFmt w:val="bullet"/>
      <w:lvlText w:val="o"/>
      <w:lvlJc w:val="left"/>
      <w:pPr>
        <w:ind w:left="1440" w:hanging="360"/>
      </w:pPr>
      <w:rPr>
        <w:rFonts w:ascii="Courier New" w:hAnsi="Courier New" w:hint="default"/>
      </w:rPr>
    </w:lvl>
    <w:lvl w:ilvl="2" w:tplc="EE469114">
      <w:start w:val="1"/>
      <w:numFmt w:val="bullet"/>
      <w:lvlText w:val=""/>
      <w:lvlJc w:val="left"/>
      <w:pPr>
        <w:ind w:left="2160" w:hanging="360"/>
      </w:pPr>
      <w:rPr>
        <w:rFonts w:ascii="Wingdings" w:hAnsi="Wingdings" w:hint="default"/>
      </w:rPr>
    </w:lvl>
    <w:lvl w:ilvl="3" w:tplc="32927824">
      <w:start w:val="1"/>
      <w:numFmt w:val="bullet"/>
      <w:lvlText w:val=""/>
      <w:lvlJc w:val="left"/>
      <w:pPr>
        <w:ind w:left="2880" w:hanging="360"/>
      </w:pPr>
      <w:rPr>
        <w:rFonts w:ascii="Symbol" w:hAnsi="Symbol" w:hint="default"/>
      </w:rPr>
    </w:lvl>
    <w:lvl w:ilvl="4" w:tplc="84507FD2">
      <w:start w:val="1"/>
      <w:numFmt w:val="bullet"/>
      <w:lvlText w:val="o"/>
      <w:lvlJc w:val="left"/>
      <w:pPr>
        <w:ind w:left="3600" w:hanging="360"/>
      </w:pPr>
      <w:rPr>
        <w:rFonts w:ascii="Courier New" w:hAnsi="Courier New" w:hint="default"/>
      </w:rPr>
    </w:lvl>
    <w:lvl w:ilvl="5" w:tplc="03CC2C9E">
      <w:start w:val="1"/>
      <w:numFmt w:val="bullet"/>
      <w:lvlText w:val=""/>
      <w:lvlJc w:val="left"/>
      <w:pPr>
        <w:ind w:left="4320" w:hanging="360"/>
      </w:pPr>
      <w:rPr>
        <w:rFonts w:ascii="Wingdings" w:hAnsi="Wingdings" w:hint="default"/>
      </w:rPr>
    </w:lvl>
    <w:lvl w:ilvl="6" w:tplc="2C32DE5C">
      <w:start w:val="1"/>
      <w:numFmt w:val="bullet"/>
      <w:lvlText w:val=""/>
      <w:lvlJc w:val="left"/>
      <w:pPr>
        <w:ind w:left="5040" w:hanging="360"/>
      </w:pPr>
      <w:rPr>
        <w:rFonts w:ascii="Symbol" w:hAnsi="Symbol" w:hint="default"/>
      </w:rPr>
    </w:lvl>
    <w:lvl w:ilvl="7" w:tplc="1DF23EF8">
      <w:start w:val="1"/>
      <w:numFmt w:val="bullet"/>
      <w:lvlText w:val="o"/>
      <w:lvlJc w:val="left"/>
      <w:pPr>
        <w:ind w:left="5760" w:hanging="360"/>
      </w:pPr>
      <w:rPr>
        <w:rFonts w:ascii="Courier New" w:hAnsi="Courier New" w:hint="default"/>
      </w:rPr>
    </w:lvl>
    <w:lvl w:ilvl="8" w:tplc="17DC98F2">
      <w:start w:val="1"/>
      <w:numFmt w:val="bullet"/>
      <w:lvlText w:val=""/>
      <w:lvlJc w:val="left"/>
      <w:pPr>
        <w:ind w:left="6480" w:hanging="360"/>
      </w:pPr>
      <w:rPr>
        <w:rFonts w:ascii="Wingdings" w:hAnsi="Wingdings" w:hint="default"/>
      </w:rPr>
    </w:lvl>
  </w:abstractNum>
  <w:abstractNum w:abstractNumId="115" w15:restartNumberingAfterBreak="0">
    <w:nsid w:val="60EE56A1"/>
    <w:multiLevelType w:val="hybridMultilevel"/>
    <w:tmpl w:val="450A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10A7AAA"/>
    <w:multiLevelType w:val="multilevel"/>
    <w:tmpl w:val="4C3C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122208A"/>
    <w:multiLevelType w:val="hybridMultilevel"/>
    <w:tmpl w:val="2716C18E"/>
    <w:lvl w:ilvl="0" w:tplc="3BAECAC0">
      <w:start w:val="1"/>
      <w:numFmt w:val="decimal"/>
      <w:pStyle w:val="Numberedlist"/>
      <w:lvlText w:val="%1."/>
      <w:lvlJc w:val="left"/>
      <w:pPr>
        <w:ind w:left="1080" w:hanging="360"/>
      </w:pPr>
      <w:rPr>
        <w:rFonts w:ascii="Verdana" w:hAnsi="Verdana" w:hint="default"/>
        <w:sz w:val="2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61856B10"/>
    <w:multiLevelType w:val="hybridMultilevel"/>
    <w:tmpl w:val="AF805C32"/>
    <w:lvl w:ilvl="0" w:tplc="FFFFFFFF">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Verdana" w:hAnsi="Verdana"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1E967B6"/>
    <w:multiLevelType w:val="hybridMultilevel"/>
    <w:tmpl w:val="DE621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3F3CADE"/>
    <w:multiLevelType w:val="hybridMultilevel"/>
    <w:tmpl w:val="FFFFFFFF"/>
    <w:lvl w:ilvl="0" w:tplc="5B6467D0">
      <w:start w:val="1"/>
      <w:numFmt w:val="bullet"/>
      <w:lvlText w:val="·"/>
      <w:lvlJc w:val="left"/>
      <w:pPr>
        <w:ind w:left="720" w:hanging="360"/>
      </w:pPr>
      <w:rPr>
        <w:rFonts w:ascii="Symbol" w:hAnsi="Symbol" w:hint="default"/>
      </w:rPr>
    </w:lvl>
    <w:lvl w:ilvl="1" w:tplc="0E76301C">
      <w:start w:val="1"/>
      <w:numFmt w:val="bullet"/>
      <w:lvlText w:val="o"/>
      <w:lvlJc w:val="left"/>
      <w:pPr>
        <w:ind w:left="1440" w:hanging="360"/>
      </w:pPr>
      <w:rPr>
        <w:rFonts w:ascii="Courier New" w:hAnsi="Courier New" w:hint="default"/>
      </w:rPr>
    </w:lvl>
    <w:lvl w:ilvl="2" w:tplc="0524932E">
      <w:start w:val="1"/>
      <w:numFmt w:val="bullet"/>
      <w:lvlText w:val=""/>
      <w:lvlJc w:val="left"/>
      <w:pPr>
        <w:ind w:left="2160" w:hanging="360"/>
      </w:pPr>
      <w:rPr>
        <w:rFonts w:ascii="Wingdings" w:hAnsi="Wingdings" w:hint="default"/>
      </w:rPr>
    </w:lvl>
    <w:lvl w:ilvl="3" w:tplc="AF68C21C">
      <w:start w:val="1"/>
      <w:numFmt w:val="bullet"/>
      <w:lvlText w:val=""/>
      <w:lvlJc w:val="left"/>
      <w:pPr>
        <w:ind w:left="2880" w:hanging="360"/>
      </w:pPr>
      <w:rPr>
        <w:rFonts w:ascii="Symbol" w:hAnsi="Symbol" w:hint="default"/>
      </w:rPr>
    </w:lvl>
    <w:lvl w:ilvl="4" w:tplc="5A1697E6">
      <w:start w:val="1"/>
      <w:numFmt w:val="bullet"/>
      <w:lvlText w:val="o"/>
      <w:lvlJc w:val="left"/>
      <w:pPr>
        <w:ind w:left="3600" w:hanging="360"/>
      </w:pPr>
      <w:rPr>
        <w:rFonts w:ascii="Courier New" w:hAnsi="Courier New" w:hint="default"/>
      </w:rPr>
    </w:lvl>
    <w:lvl w:ilvl="5" w:tplc="F266E744">
      <w:start w:val="1"/>
      <w:numFmt w:val="bullet"/>
      <w:lvlText w:val=""/>
      <w:lvlJc w:val="left"/>
      <w:pPr>
        <w:ind w:left="4320" w:hanging="360"/>
      </w:pPr>
      <w:rPr>
        <w:rFonts w:ascii="Wingdings" w:hAnsi="Wingdings" w:hint="default"/>
      </w:rPr>
    </w:lvl>
    <w:lvl w:ilvl="6" w:tplc="A2AE987C">
      <w:start w:val="1"/>
      <w:numFmt w:val="bullet"/>
      <w:lvlText w:val=""/>
      <w:lvlJc w:val="left"/>
      <w:pPr>
        <w:ind w:left="5040" w:hanging="360"/>
      </w:pPr>
      <w:rPr>
        <w:rFonts w:ascii="Symbol" w:hAnsi="Symbol" w:hint="default"/>
      </w:rPr>
    </w:lvl>
    <w:lvl w:ilvl="7" w:tplc="3AAC3F60">
      <w:start w:val="1"/>
      <w:numFmt w:val="bullet"/>
      <w:lvlText w:val="o"/>
      <w:lvlJc w:val="left"/>
      <w:pPr>
        <w:ind w:left="5760" w:hanging="360"/>
      </w:pPr>
      <w:rPr>
        <w:rFonts w:ascii="Courier New" w:hAnsi="Courier New" w:hint="default"/>
      </w:rPr>
    </w:lvl>
    <w:lvl w:ilvl="8" w:tplc="DB388018">
      <w:start w:val="1"/>
      <w:numFmt w:val="bullet"/>
      <w:lvlText w:val=""/>
      <w:lvlJc w:val="left"/>
      <w:pPr>
        <w:ind w:left="6480" w:hanging="360"/>
      </w:pPr>
      <w:rPr>
        <w:rFonts w:ascii="Wingdings" w:hAnsi="Wingdings" w:hint="default"/>
      </w:rPr>
    </w:lvl>
  </w:abstractNum>
  <w:abstractNum w:abstractNumId="121" w15:restartNumberingAfterBreak="0">
    <w:nsid w:val="64502CB2"/>
    <w:multiLevelType w:val="hybridMultilevel"/>
    <w:tmpl w:val="B34E4360"/>
    <w:lvl w:ilvl="0" w:tplc="D4BCBE7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50BF408"/>
    <w:multiLevelType w:val="hybridMultilevel"/>
    <w:tmpl w:val="FFFFFFFF"/>
    <w:lvl w:ilvl="0" w:tplc="29FACB3C">
      <w:start w:val="1"/>
      <w:numFmt w:val="bullet"/>
      <w:lvlText w:val="-"/>
      <w:lvlJc w:val="left"/>
      <w:pPr>
        <w:ind w:left="360" w:hanging="360"/>
      </w:pPr>
      <w:rPr>
        <w:rFonts w:ascii="&quot;Verdana&quot;,sans-serif" w:hAnsi="&quot;Verdana&quot;,sans-serif" w:hint="default"/>
      </w:rPr>
    </w:lvl>
    <w:lvl w:ilvl="1" w:tplc="34A89276">
      <w:start w:val="1"/>
      <w:numFmt w:val="bullet"/>
      <w:lvlText w:val="o"/>
      <w:lvlJc w:val="left"/>
      <w:pPr>
        <w:ind w:left="1440" w:hanging="360"/>
      </w:pPr>
      <w:rPr>
        <w:rFonts w:ascii="Courier New" w:hAnsi="Courier New" w:hint="default"/>
      </w:rPr>
    </w:lvl>
    <w:lvl w:ilvl="2" w:tplc="1C487C8C">
      <w:start w:val="1"/>
      <w:numFmt w:val="bullet"/>
      <w:lvlText w:val=""/>
      <w:lvlJc w:val="left"/>
      <w:pPr>
        <w:ind w:left="2160" w:hanging="360"/>
      </w:pPr>
      <w:rPr>
        <w:rFonts w:ascii="Wingdings" w:hAnsi="Wingdings" w:hint="default"/>
      </w:rPr>
    </w:lvl>
    <w:lvl w:ilvl="3" w:tplc="95DC8D18">
      <w:start w:val="1"/>
      <w:numFmt w:val="bullet"/>
      <w:lvlText w:val=""/>
      <w:lvlJc w:val="left"/>
      <w:pPr>
        <w:ind w:left="2880" w:hanging="360"/>
      </w:pPr>
      <w:rPr>
        <w:rFonts w:ascii="Symbol" w:hAnsi="Symbol" w:hint="default"/>
      </w:rPr>
    </w:lvl>
    <w:lvl w:ilvl="4" w:tplc="53D464E0">
      <w:start w:val="1"/>
      <w:numFmt w:val="bullet"/>
      <w:lvlText w:val="o"/>
      <w:lvlJc w:val="left"/>
      <w:pPr>
        <w:ind w:left="3600" w:hanging="360"/>
      </w:pPr>
      <w:rPr>
        <w:rFonts w:ascii="Courier New" w:hAnsi="Courier New" w:hint="default"/>
      </w:rPr>
    </w:lvl>
    <w:lvl w:ilvl="5" w:tplc="43F45CD2">
      <w:start w:val="1"/>
      <w:numFmt w:val="bullet"/>
      <w:lvlText w:val=""/>
      <w:lvlJc w:val="left"/>
      <w:pPr>
        <w:ind w:left="4320" w:hanging="360"/>
      </w:pPr>
      <w:rPr>
        <w:rFonts w:ascii="Wingdings" w:hAnsi="Wingdings" w:hint="default"/>
      </w:rPr>
    </w:lvl>
    <w:lvl w:ilvl="6" w:tplc="757482F6">
      <w:start w:val="1"/>
      <w:numFmt w:val="bullet"/>
      <w:lvlText w:val=""/>
      <w:lvlJc w:val="left"/>
      <w:pPr>
        <w:ind w:left="5040" w:hanging="360"/>
      </w:pPr>
      <w:rPr>
        <w:rFonts w:ascii="Symbol" w:hAnsi="Symbol" w:hint="default"/>
      </w:rPr>
    </w:lvl>
    <w:lvl w:ilvl="7" w:tplc="A652033E">
      <w:start w:val="1"/>
      <w:numFmt w:val="bullet"/>
      <w:lvlText w:val="o"/>
      <w:lvlJc w:val="left"/>
      <w:pPr>
        <w:ind w:left="5760" w:hanging="360"/>
      </w:pPr>
      <w:rPr>
        <w:rFonts w:ascii="Courier New" w:hAnsi="Courier New" w:hint="default"/>
      </w:rPr>
    </w:lvl>
    <w:lvl w:ilvl="8" w:tplc="C146120A">
      <w:start w:val="1"/>
      <w:numFmt w:val="bullet"/>
      <w:lvlText w:val=""/>
      <w:lvlJc w:val="left"/>
      <w:pPr>
        <w:ind w:left="6480" w:hanging="360"/>
      </w:pPr>
      <w:rPr>
        <w:rFonts w:ascii="Wingdings" w:hAnsi="Wingdings" w:hint="default"/>
      </w:rPr>
    </w:lvl>
  </w:abstractNum>
  <w:abstractNum w:abstractNumId="123" w15:restartNumberingAfterBreak="0">
    <w:nsid w:val="657D36E8"/>
    <w:multiLevelType w:val="hybridMultilevel"/>
    <w:tmpl w:val="372A9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5FE1125"/>
    <w:multiLevelType w:val="hybridMultilevel"/>
    <w:tmpl w:val="8ADA4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7D34F88"/>
    <w:multiLevelType w:val="hybridMultilevel"/>
    <w:tmpl w:val="CE041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968068F"/>
    <w:multiLevelType w:val="hybridMultilevel"/>
    <w:tmpl w:val="BE765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9AE130D"/>
    <w:multiLevelType w:val="hybridMultilevel"/>
    <w:tmpl w:val="FFFFFFFF"/>
    <w:lvl w:ilvl="0" w:tplc="FFFFFFFF">
      <w:start w:val="1"/>
      <w:numFmt w:val="decimal"/>
      <w:lvlText w:val="%1."/>
      <w:lvlJc w:val="left"/>
      <w:pPr>
        <w:ind w:left="720" w:hanging="360"/>
      </w:pPr>
    </w:lvl>
    <w:lvl w:ilvl="1" w:tplc="8B607C06">
      <w:start w:val="1"/>
      <w:numFmt w:val="lowerLetter"/>
      <w:lvlText w:val="%2."/>
      <w:lvlJc w:val="left"/>
      <w:pPr>
        <w:ind w:left="1440" w:hanging="360"/>
      </w:pPr>
    </w:lvl>
    <w:lvl w:ilvl="2" w:tplc="789A4D3E">
      <w:start w:val="1"/>
      <w:numFmt w:val="lowerRoman"/>
      <w:lvlText w:val="%3."/>
      <w:lvlJc w:val="right"/>
      <w:pPr>
        <w:ind w:left="2160" w:hanging="180"/>
      </w:pPr>
    </w:lvl>
    <w:lvl w:ilvl="3" w:tplc="95E60F7C">
      <w:start w:val="1"/>
      <w:numFmt w:val="decimal"/>
      <w:lvlText w:val="%4."/>
      <w:lvlJc w:val="left"/>
      <w:pPr>
        <w:ind w:left="2880" w:hanging="360"/>
      </w:pPr>
    </w:lvl>
    <w:lvl w:ilvl="4" w:tplc="7032BE9E">
      <w:start w:val="1"/>
      <w:numFmt w:val="lowerLetter"/>
      <w:lvlText w:val="%5."/>
      <w:lvlJc w:val="left"/>
      <w:pPr>
        <w:ind w:left="3600" w:hanging="360"/>
      </w:pPr>
    </w:lvl>
    <w:lvl w:ilvl="5" w:tplc="5AFCDF5C">
      <w:start w:val="1"/>
      <w:numFmt w:val="lowerRoman"/>
      <w:lvlText w:val="%6."/>
      <w:lvlJc w:val="right"/>
      <w:pPr>
        <w:ind w:left="4320" w:hanging="180"/>
      </w:pPr>
    </w:lvl>
    <w:lvl w:ilvl="6" w:tplc="50820DB4">
      <w:start w:val="1"/>
      <w:numFmt w:val="decimal"/>
      <w:lvlText w:val="%7."/>
      <w:lvlJc w:val="left"/>
      <w:pPr>
        <w:ind w:left="5040" w:hanging="360"/>
      </w:pPr>
    </w:lvl>
    <w:lvl w:ilvl="7" w:tplc="F2DA1BD0">
      <w:start w:val="1"/>
      <w:numFmt w:val="lowerLetter"/>
      <w:lvlText w:val="%8."/>
      <w:lvlJc w:val="left"/>
      <w:pPr>
        <w:ind w:left="5760" w:hanging="360"/>
      </w:pPr>
    </w:lvl>
    <w:lvl w:ilvl="8" w:tplc="6AB893C6">
      <w:start w:val="1"/>
      <w:numFmt w:val="lowerRoman"/>
      <w:lvlText w:val="%9."/>
      <w:lvlJc w:val="right"/>
      <w:pPr>
        <w:ind w:left="6480" w:hanging="180"/>
      </w:pPr>
    </w:lvl>
  </w:abstractNum>
  <w:abstractNum w:abstractNumId="128" w15:restartNumberingAfterBreak="0">
    <w:nsid w:val="69E91D5A"/>
    <w:multiLevelType w:val="hybridMultilevel"/>
    <w:tmpl w:val="61128F3A"/>
    <w:lvl w:ilvl="0" w:tplc="3EE2E87E">
      <w:start w:val="1"/>
      <w:numFmt w:val="bullet"/>
      <w:lvlText w:val="·"/>
      <w:lvlJc w:val="left"/>
      <w:pPr>
        <w:ind w:left="720" w:hanging="360"/>
      </w:pPr>
      <w:rPr>
        <w:rFonts w:ascii="Symbol" w:hAnsi="Symbol" w:hint="default"/>
      </w:rPr>
    </w:lvl>
    <w:lvl w:ilvl="1" w:tplc="B9B4E288">
      <w:start w:val="1"/>
      <w:numFmt w:val="bullet"/>
      <w:lvlText w:val="o"/>
      <w:lvlJc w:val="left"/>
      <w:pPr>
        <w:ind w:left="1440" w:hanging="360"/>
      </w:pPr>
      <w:rPr>
        <w:rFonts w:ascii="Courier New" w:hAnsi="Courier New" w:hint="default"/>
      </w:rPr>
    </w:lvl>
    <w:lvl w:ilvl="2" w:tplc="0A60450C">
      <w:start w:val="1"/>
      <w:numFmt w:val="bullet"/>
      <w:lvlText w:val=""/>
      <w:lvlJc w:val="left"/>
      <w:pPr>
        <w:ind w:left="2160" w:hanging="360"/>
      </w:pPr>
      <w:rPr>
        <w:rFonts w:ascii="Wingdings" w:hAnsi="Wingdings" w:hint="default"/>
      </w:rPr>
    </w:lvl>
    <w:lvl w:ilvl="3" w:tplc="51FEF846">
      <w:start w:val="1"/>
      <w:numFmt w:val="bullet"/>
      <w:lvlText w:val=""/>
      <w:lvlJc w:val="left"/>
      <w:pPr>
        <w:ind w:left="2880" w:hanging="360"/>
      </w:pPr>
      <w:rPr>
        <w:rFonts w:ascii="Symbol" w:hAnsi="Symbol" w:hint="default"/>
      </w:rPr>
    </w:lvl>
    <w:lvl w:ilvl="4" w:tplc="30E66CA8">
      <w:start w:val="1"/>
      <w:numFmt w:val="bullet"/>
      <w:lvlText w:val="o"/>
      <w:lvlJc w:val="left"/>
      <w:pPr>
        <w:ind w:left="3600" w:hanging="360"/>
      </w:pPr>
      <w:rPr>
        <w:rFonts w:ascii="Courier New" w:hAnsi="Courier New" w:hint="default"/>
      </w:rPr>
    </w:lvl>
    <w:lvl w:ilvl="5" w:tplc="E5D0198C">
      <w:start w:val="1"/>
      <w:numFmt w:val="bullet"/>
      <w:lvlText w:val=""/>
      <w:lvlJc w:val="left"/>
      <w:pPr>
        <w:ind w:left="4320" w:hanging="360"/>
      </w:pPr>
      <w:rPr>
        <w:rFonts w:ascii="Wingdings" w:hAnsi="Wingdings" w:hint="default"/>
      </w:rPr>
    </w:lvl>
    <w:lvl w:ilvl="6" w:tplc="4F782524">
      <w:start w:val="1"/>
      <w:numFmt w:val="bullet"/>
      <w:lvlText w:val=""/>
      <w:lvlJc w:val="left"/>
      <w:pPr>
        <w:ind w:left="5040" w:hanging="360"/>
      </w:pPr>
      <w:rPr>
        <w:rFonts w:ascii="Symbol" w:hAnsi="Symbol" w:hint="default"/>
      </w:rPr>
    </w:lvl>
    <w:lvl w:ilvl="7" w:tplc="4F7010E0">
      <w:start w:val="1"/>
      <w:numFmt w:val="bullet"/>
      <w:lvlText w:val="o"/>
      <w:lvlJc w:val="left"/>
      <w:pPr>
        <w:ind w:left="5760" w:hanging="360"/>
      </w:pPr>
      <w:rPr>
        <w:rFonts w:ascii="Courier New" w:hAnsi="Courier New" w:hint="default"/>
      </w:rPr>
    </w:lvl>
    <w:lvl w:ilvl="8" w:tplc="B4A2537C">
      <w:start w:val="1"/>
      <w:numFmt w:val="bullet"/>
      <w:lvlText w:val=""/>
      <w:lvlJc w:val="left"/>
      <w:pPr>
        <w:ind w:left="6480" w:hanging="360"/>
      </w:pPr>
      <w:rPr>
        <w:rFonts w:ascii="Wingdings" w:hAnsi="Wingdings" w:hint="default"/>
      </w:rPr>
    </w:lvl>
  </w:abstractNum>
  <w:abstractNum w:abstractNumId="129" w15:restartNumberingAfterBreak="0">
    <w:nsid w:val="6A132C09"/>
    <w:multiLevelType w:val="hybridMultilevel"/>
    <w:tmpl w:val="3C02940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B957013"/>
    <w:multiLevelType w:val="hybridMultilevel"/>
    <w:tmpl w:val="14F8D3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C8043C2"/>
    <w:multiLevelType w:val="multilevel"/>
    <w:tmpl w:val="67C6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D134F80"/>
    <w:multiLevelType w:val="hybridMultilevel"/>
    <w:tmpl w:val="4432A136"/>
    <w:lvl w:ilvl="0" w:tplc="4DA2ACA6">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6D790C79"/>
    <w:multiLevelType w:val="hybridMultilevel"/>
    <w:tmpl w:val="5F884D48"/>
    <w:lvl w:ilvl="0" w:tplc="4DA2ACA6">
      <w:start w:val="1"/>
      <w:numFmt w:val="bullet"/>
      <w:lvlText w:val="-"/>
      <w:lvlJc w:val="left"/>
      <w:pPr>
        <w:ind w:left="-3207" w:hanging="360"/>
      </w:pPr>
      <w:rPr>
        <w:rFonts w:ascii="Times New Roman" w:eastAsia="Times New Roman" w:hAnsi="Times New Roman" w:cs="Times New Roman"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1767" w:hanging="360"/>
      </w:pPr>
      <w:rPr>
        <w:rFonts w:ascii="Wingdings" w:hAnsi="Wingdings" w:hint="default"/>
      </w:rPr>
    </w:lvl>
    <w:lvl w:ilvl="3" w:tplc="08090001" w:tentative="1">
      <w:start w:val="1"/>
      <w:numFmt w:val="bullet"/>
      <w:lvlText w:val=""/>
      <w:lvlJc w:val="left"/>
      <w:pPr>
        <w:ind w:left="-1047" w:hanging="360"/>
      </w:pPr>
      <w:rPr>
        <w:rFonts w:ascii="Symbol" w:hAnsi="Symbol" w:hint="default"/>
      </w:rPr>
    </w:lvl>
    <w:lvl w:ilvl="4" w:tplc="08090003" w:tentative="1">
      <w:start w:val="1"/>
      <w:numFmt w:val="bullet"/>
      <w:lvlText w:val="o"/>
      <w:lvlJc w:val="left"/>
      <w:pPr>
        <w:ind w:left="-327" w:hanging="360"/>
      </w:pPr>
      <w:rPr>
        <w:rFonts w:ascii="Courier New" w:hAnsi="Courier New" w:cs="Courier New" w:hint="default"/>
      </w:rPr>
    </w:lvl>
    <w:lvl w:ilvl="5" w:tplc="08090005" w:tentative="1">
      <w:start w:val="1"/>
      <w:numFmt w:val="bullet"/>
      <w:lvlText w:val=""/>
      <w:lvlJc w:val="left"/>
      <w:pPr>
        <w:ind w:left="393" w:hanging="360"/>
      </w:pPr>
      <w:rPr>
        <w:rFonts w:ascii="Wingdings" w:hAnsi="Wingdings" w:hint="default"/>
      </w:rPr>
    </w:lvl>
    <w:lvl w:ilvl="6" w:tplc="08090001" w:tentative="1">
      <w:start w:val="1"/>
      <w:numFmt w:val="bullet"/>
      <w:lvlText w:val=""/>
      <w:lvlJc w:val="left"/>
      <w:pPr>
        <w:ind w:left="1113" w:hanging="360"/>
      </w:pPr>
      <w:rPr>
        <w:rFonts w:ascii="Symbol" w:hAnsi="Symbol" w:hint="default"/>
      </w:rPr>
    </w:lvl>
    <w:lvl w:ilvl="7" w:tplc="08090003" w:tentative="1">
      <w:start w:val="1"/>
      <w:numFmt w:val="bullet"/>
      <w:lvlText w:val="o"/>
      <w:lvlJc w:val="left"/>
      <w:pPr>
        <w:ind w:left="1833" w:hanging="360"/>
      </w:pPr>
      <w:rPr>
        <w:rFonts w:ascii="Courier New" w:hAnsi="Courier New" w:cs="Courier New" w:hint="default"/>
      </w:rPr>
    </w:lvl>
    <w:lvl w:ilvl="8" w:tplc="08090005" w:tentative="1">
      <w:start w:val="1"/>
      <w:numFmt w:val="bullet"/>
      <w:lvlText w:val=""/>
      <w:lvlJc w:val="left"/>
      <w:pPr>
        <w:ind w:left="2553" w:hanging="360"/>
      </w:pPr>
      <w:rPr>
        <w:rFonts w:ascii="Wingdings" w:hAnsi="Wingdings" w:hint="default"/>
      </w:rPr>
    </w:lvl>
  </w:abstractNum>
  <w:abstractNum w:abstractNumId="134" w15:restartNumberingAfterBreak="0">
    <w:nsid w:val="6D9F3968"/>
    <w:multiLevelType w:val="hybridMultilevel"/>
    <w:tmpl w:val="8612E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EA32376"/>
    <w:multiLevelType w:val="hybridMultilevel"/>
    <w:tmpl w:val="3B4E6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721D243D"/>
    <w:multiLevelType w:val="hybridMultilevel"/>
    <w:tmpl w:val="073607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15:restartNumberingAfterBreak="0">
    <w:nsid w:val="73C5249F"/>
    <w:multiLevelType w:val="hybridMultilevel"/>
    <w:tmpl w:val="972CF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42E54CB"/>
    <w:multiLevelType w:val="hybridMultilevel"/>
    <w:tmpl w:val="7780F362"/>
    <w:lvl w:ilvl="0" w:tplc="4DA2ACA6">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745707BE"/>
    <w:multiLevelType w:val="hybridMultilevel"/>
    <w:tmpl w:val="FFFFFFFF"/>
    <w:lvl w:ilvl="0" w:tplc="66706BBC">
      <w:start w:val="1"/>
      <w:numFmt w:val="decimal"/>
      <w:lvlText w:val="%1."/>
      <w:lvlJc w:val="left"/>
      <w:pPr>
        <w:ind w:left="720" w:hanging="360"/>
      </w:pPr>
    </w:lvl>
    <w:lvl w:ilvl="1" w:tplc="A0E4DC7E">
      <w:start w:val="1"/>
      <w:numFmt w:val="lowerLetter"/>
      <w:lvlText w:val="%2."/>
      <w:lvlJc w:val="left"/>
      <w:pPr>
        <w:ind w:left="1440" w:hanging="360"/>
      </w:pPr>
    </w:lvl>
    <w:lvl w:ilvl="2" w:tplc="574A13D0">
      <w:start w:val="1"/>
      <w:numFmt w:val="lowerRoman"/>
      <w:lvlText w:val="%3."/>
      <w:lvlJc w:val="right"/>
      <w:pPr>
        <w:ind w:left="2160" w:hanging="180"/>
      </w:pPr>
    </w:lvl>
    <w:lvl w:ilvl="3" w:tplc="5FB65FEE">
      <w:start w:val="1"/>
      <w:numFmt w:val="decimal"/>
      <w:lvlText w:val="%4."/>
      <w:lvlJc w:val="left"/>
      <w:pPr>
        <w:ind w:left="2880" w:hanging="360"/>
      </w:pPr>
    </w:lvl>
    <w:lvl w:ilvl="4" w:tplc="806AC800">
      <w:start w:val="1"/>
      <w:numFmt w:val="lowerLetter"/>
      <w:lvlText w:val="%5."/>
      <w:lvlJc w:val="left"/>
      <w:pPr>
        <w:ind w:left="3600" w:hanging="360"/>
      </w:pPr>
    </w:lvl>
    <w:lvl w:ilvl="5" w:tplc="1D16491C">
      <w:start w:val="1"/>
      <w:numFmt w:val="lowerRoman"/>
      <w:lvlText w:val="%6."/>
      <w:lvlJc w:val="right"/>
      <w:pPr>
        <w:ind w:left="4320" w:hanging="180"/>
      </w:pPr>
    </w:lvl>
    <w:lvl w:ilvl="6" w:tplc="098C8B22">
      <w:start w:val="1"/>
      <w:numFmt w:val="decimal"/>
      <w:lvlText w:val="%7."/>
      <w:lvlJc w:val="left"/>
      <w:pPr>
        <w:ind w:left="5040" w:hanging="360"/>
      </w:pPr>
    </w:lvl>
    <w:lvl w:ilvl="7" w:tplc="FE2099DA">
      <w:start w:val="1"/>
      <w:numFmt w:val="lowerLetter"/>
      <w:lvlText w:val="%8."/>
      <w:lvlJc w:val="left"/>
      <w:pPr>
        <w:ind w:left="5760" w:hanging="360"/>
      </w:pPr>
    </w:lvl>
    <w:lvl w:ilvl="8" w:tplc="E4BA46F8">
      <w:start w:val="1"/>
      <w:numFmt w:val="lowerRoman"/>
      <w:lvlText w:val="%9."/>
      <w:lvlJc w:val="right"/>
      <w:pPr>
        <w:ind w:left="6480" w:hanging="180"/>
      </w:pPr>
    </w:lvl>
  </w:abstractNum>
  <w:abstractNum w:abstractNumId="140" w15:restartNumberingAfterBreak="0">
    <w:nsid w:val="759F31E9"/>
    <w:multiLevelType w:val="hybridMultilevel"/>
    <w:tmpl w:val="23583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6213116"/>
    <w:multiLevelType w:val="hybridMultilevel"/>
    <w:tmpl w:val="2716FE7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2" w15:restartNumberingAfterBreak="0">
    <w:nsid w:val="76513B47"/>
    <w:multiLevelType w:val="hybridMultilevel"/>
    <w:tmpl w:val="82DA6E7A"/>
    <w:lvl w:ilvl="0" w:tplc="AE765EDE">
      <w:start w:val="1"/>
      <w:numFmt w:val="bullet"/>
      <w:lvlText w:val="-"/>
      <w:lvlJc w:val="left"/>
      <w:pPr>
        <w:ind w:left="720" w:hanging="360"/>
      </w:pPr>
      <w:rPr>
        <w:rFonts w:ascii="&quot;Times&quot;,serif" w:hAnsi="&quot;Times&quot;,serif" w:hint="default"/>
      </w:rPr>
    </w:lvl>
    <w:lvl w:ilvl="1" w:tplc="CA4419A2">
      <w:start w:val="1"/>
      <w:numFmt w:val="bullet"/>
      <w:lvlText w:val="o"/>
      <w:lvlJc w:val="left"/>
      <w:pPr>
        <w:ind w:left="1440" w:hanging="360"/>
      </w:pPr>
      <w:rPr>
        <w:rFonts w:ascii="Courier New" w:hAnsi="Courier New" w:hint="default"/>
      </w:rPr>
    </w:lvl>
    <w:lvl w:ilvl="2" w:tplc="B6CE9D48">
      <w:start w:val="1"/>
      <w:numFmt w:val="bullet"/>
      <w:lvlText w:val=""/>
      <w:lvlJc w:val="left"/>
      <w:pPr>
        <w:ind w:left="2160" w:hanging="360"/>
      </w:pPr>
      <w:rPr>
        <w:rFonts w:ascii="Wingdings" w:hAnsi="Wingdings" w:hint="default"/>
      </w:rPr>
    </w:lvl>
    <w:lvl w:ilvl="3" w:tplc="5BC63E62">
      <w:start w:val="1"/>
      <w:numFmt w:val="bullet"/>
      <w:lvlText w:val=""/>
      <w:lvlJc w:val="left"/>
      <w:pPr>
        <w:ind w:left="2880" w:hanging="360"/>
      </w:pPr>
      <w:rPr>
        <w:rFonts w:ascii="Symbol" w:hAnsi="Symbol" w:hint="default"/>
      </w:rPr>
    </w:lvl>
    <w:lvl w:ilvl="4" w:tplc="BB1EF076">
      <w:start w:val="1"/>
      <w:numFmt w:val="bullet"/>
      <w:lvlText w:val="o"/>
      <w:lvlJc w:val="left"/>
      <w:pPr>
        <w:ind w:left="3600" w:hanging="360"/>
      </w:pPr>
      <w:rPr>
        <w:rFonts w:ascii="Courier New" w:hAnsi="Courier New" w:hint="default"/>
      </w:rPr>
    </w:lvl>
    <w:lvl w:ilvl="5" w:tplc="63A29C62">
      <w:start w:val="1"/>
      <w:numFmt w:val="bullet"/>
      <w:lvlText w:val=""/>
      <w:lvlJc w:val="left"/>
      <w:pPr>
        <w:ind w:left="4320" w:hanging="360"/>
      </w:pPr>
      <w:rPr>
        <w:rFonts w:ascii="Wingdings" w:hAnsi="Wingdings" w:hint="default"/>
      </w:rPr>
    </w:lvl>
    <w:lvl w:ilvl="6" w:tplc="F40C3648">
      <w:start w:val="1"/>
      <w:numFmt w:val="bullet"/>
      <w:lvlText w:val=""/>
      <w:lvlJc w:val="left"/>
      <w:pPr>
        <w:ind w:left="5040" w:hanging="360"/>
      </w:pPr>
      <w:rPr>
        <w:rFonts w:ascii="Symbol" w:hAnsi="Symbol" w:hint="default"/>
      </w:rPr>
    </w:lvl>
    <w:lvl w:ilvl="7" w:tplc="D1ECC248">
      <w:start w:val="1"/>
      <w:numFmt w:val="bullet"/>
      <w:lvlText w:val="o"/>
      <w:lvlJc w:val="left"/>
      <w:pPr>
        <w:ind w:left="5760" w:hanging="360"/>
      </w:pPr>
      <w:rPr>
        <w:rFonts w:ascii="Courier New" w:hAnsi="Courier New" w:hint="default"/>
      </w:rPr>
    </w:lvl>
    <w:lvl w:ilvl="8" w:tplc="BE0AF920">
      <w:start w:val="1"/>
      <w:numFmt w:val="bullet"/>
      <w:lvlText w:val=""/>
      <w:lvlJc w:val="left"/>
      <w:pPr>
        <w:ind w:left="6480" w:hanging="360"/>
      </w:pPr>
      <w:rPr>
        <w:rFonts w:ascii="Wingdings" w:hAnsi="Wingdings" w:hint="default"/>
      </w:rPr>
    </w:lvl>
  </w:abstractNum>
  <w:abstractNum w:abstractNumId="143" w15:restartNumberingAfterBreak="0">
    <w:nsid w:val="77732A44"/>
    <w:multiLevelType w:val="hybridMultilevel"/>
    <w:tmpl w:val="FFFFFFFF"/>
    <w:lvl w:ilvl="0" w:tplc="396072BC">
      <w:start w:val="1"/>
      <w:numFmt w:val="bullet"/>
      <w:lvlText w:val=""/>
      <w:lvlJc w:val="left"/>
      <w:pPr>
        <w:ind w:left="720" w:hanging="360"/>
      </w:pPr>
      <w:rPr>
        <w:rFonts w:ascii="Symbol" w:hAnsi="Symbol" w:hint="default"/>
      </w:rPr>
    </w:lvl>
    <w:lvl w:ilvl="1" w:tplc="F0520F8A">
      <w:start w:val="1"/>
      <w:numFmt w:val="bullet"/>
      <w:lvlText w:val="o"/>
      <w:lvlJc w:val="left"/>
      <w:pPr>
        <w:ind w:left="1440" w:hanging="360"/>
      </w:pPr>
      <w:rPr>
        <w:rFonts w:ascii="Courier New" w:hAnsi="Courier New" w:hint="default"/>
      </w:rPr>
    </w:lvl>
    <w:lvl w:ilvl="2" w:tplc="67522F36">
      <w:start w:val="1"/>
      <w:numFmt w:val="bullet"/>
      <w:lvlText w:val=""/>
      <w:lvlJc w:val="left"/>
      <w:pPr>
        <w:ind w:left="2160" w:hanging="360"/>
      </w:pPr>
      <w:rPr>
        <w:rFonts w:ascii="Wingdings" w:hAnsi="Wingdings" w:hint="default"/>
      </w:rPr>
    </w:lvl>
    <w:lvl w:ilvl="3" w:tplc="9A60B9E8">
      <w:start w:val="1"/>
      <w:numFmt w:val="bullet"/>
      <w:lvlText w:val=""/>
      <w:lvlJc w:val="left"/>
      <w:pPr>
        <w:ind w:left="2880" w:hanging="360"/>
      </w:pPr>
      <w:rPr>
        <w:rFonts w:ascii="Symbol" w:hAnsi="Symbol" w:hint="default"/>
      </w:rPr>
    </w:lvl>
    <w:lvl w:ilvl="4" w:tplc="7928650A">
      <w:start w:val="1"/>
      <w:numFmt w:val="bullet"/>
      <w:lvlText w:val="o"/>
      <w:lvlJc w:val="left"/>
      <w:pPr>
        <w:ind w:left="3600" w:hanging="360"/>
      </w:pPr>
      <w:rPr>
        <w:rFonts w:ascii="Courier New" w:hAnsi="Courier New" w:hint="default"/>
      </w:rPr>
    </w:lvl>
    <w:lvl w:ilvl="5" w:tplc="9CA2A064">
      <w:start w:val="1"/>
      <w:numFmt w:val="bullet"/>
      <w:lvlText w:val=""/>
      <w:lvlJc w:val="left"/>
      <w:pPr>
        <w:ind w:left="4320" w:hanging="360"/>
      </w:pPr>
      <w:rPr>
        <w:rFonts w:ascii="Wingdings" w:hAnsi="Wingdings" w:hint="default"/>
      </w:rPr>
    </w:lvl>
    <w:lvl w:ilvl="6" w:tplc="A1C6BA0E">
      <w:start w:val="1"/>
      <w:numFmt w:val="bullet"/>
      <w:lvlText w:val=""/>
      <w:lvlJc w:val="left"/>
      <w:pPr>
        <w:ind w:left="5040" w:hanging="360"/>
      </w:pPr>
      <w:rPr>
        <w:rFonts w:ascii="Symbol" w:hAnsi="Symbol" w:hint="default"/>
      </w:rPr>
    </w:lvl>
    <w:lvl w:ilvl="7" w:tplc="22EAD5E0">
      <w:start w:val="1"/>
      <w:numFmt w:val="bullet"/>
      <w:lvlText w:val="o"/>
      <w:lvlJc w:val="left"/>
      <w:pPr>
        <w:ind w:left="5760" w:hanging="360"/>
      </w:pPr>
      <w:rPr>
        <w:rFonts w:ascii="Courier New" w:hAnsi="Courier New" w:hint="default"/>
      </w:rPr>
    </w:lvl>
    <w:lvl w:ilvl="8" w:tplc="6BC6EF2C">
      <w:start w:val="1"/>
      <w:numFmt w:val="bullet"/>
      <w:lvlText w:val=""/>
      <w:lvlJc w:val="left"/>
      <w:pPr>
        <w:ind w:left="6480" w:hanging="360"/>
      </w:pPr>
      <w:rPr>
        <w:rFonts w:ascii="Wingdings" w:hAnsi="Wingdings" w:hint="default"/>
      </w:rPr>
    </w:lvl>
  </w:abstractNum>
  <w:abstractNum w:abstractNumId="144" w15:restartNumberingAfterBreak="0">
    <w:nsid w:val="78DEBEB3"/>
    <w:multiLevelType w:val="hybridMultilevel"/>
    <w:tmpl w:val="FFFFFFFF"/>
    <w:lvl w:ilvl="0" w:tplc="CC4864CC">
      <w:start w:val="1"/>
      <w:numFmt w:val="decimal"/>
      <w:lvlText w:val="%1."/>
      <w:lvlJc w:val="left"/>
      <w:pPr>
        <w:ind w:left="720" w:hanging="360"/>
      </w:pPr>
    </w:lvl>
    <w:lvl w:ilvl="1" w:tplc="6E900E92">
      <w:start w:val="1"/>
      <w:numFmt w:val="lowerLetter"/>
      <w:lvlText w:val="%2."/>
      <w:lvlJc w:val="left"/>
      <w:pPr>
        <w:ind w:left="1440" w:hanging="360"/>
      </w:pPr>
    </w:lvl>
    <w:lvl w:ilvl="2" w:tplc="4AE8261C">
      <w:start w:val="1"/>
      <w:numFmt w:val="lowerRoman"/>
      <w:lvlText w:val="%3."/>
      <w:lvlJc w:val="right"/>
      <w:pPr>
        <w:ind w:left="2160" w:hanging="180"/>
      </w:pPr>
    </w:lvl>
    <w:lvl w:ilvl="3" w:tplc="7C3EFB8C">
      <w:start w:val="1"/>
      <w:numFmt w:val="decimal"/>
      <w:lvlText w:val="%4."/>
      <w:lvlJc w:val="left"/>
      <w:pPr>
        <w:ind w:left="2880" w:hanging="360"/>
      </w:pPr>
    </w:lvl>
    <w:lvl w:ilvl="4" w:tplc="EE26B2E2">
      <w:start w:val="1"/>
      <w:numFmt w:val="lowerLetter"/>
      <w:lvlText w:val="%5."/>
      <w:lvlJc w:val="left"/>
      <w:pPr>
        <w:ind w:left="3600" w:hanging="360"/>
      </w:pPr>
    </w:lvl>
    <w:lvl w:ilvl="5" w:tplc="11949780">
      <w:start w:val="1"/>
      <w:numFmt w:val="lowerRoman"/>
      <w:lvlText w:val="%6."/>
      <w:lvlJc w:val="right"/>
      <w:pPr>
        <w:ind w:left="4320" w:hanging="180"/>
      </w:pPr>
    </w:lvl>
    <w:lvl w:ilvl="6" w:tplc="972C1452">
      <w:start w:val="1"/>
      <w:numFmt w:val="decimal"/>
      <w:lvlText w:val="%7."/>
      <w:lvlJc w:val="left"/>
      <w:pPr>
        <w:ind w:left="5040" w:hanging="360"/>
      </w:pPr>
    </w:lvl>
    <w:lvl w:ilvl="7" w:tplc="FEE2B258">
      <w:start w:val="1"/>
      <w:numFmt w:val="lowerLetter"/>
      <w:lvlText w:val="%8."/>
      <w:lvlJc w:val="left"/>
      <w:pPr>
        <w:ind w:left="5760" w:hanging="360"/>
      </w:pPr>
    </w:lvl>
    <w:lvl w:ilvl="8" w:tplc="8DD6B8DA">
      <w:start w:val="1"/>
      <w:numFmt w:val="lowerRoman"/>
      <w:lvlText w:val="%9."/>
      <w:lvlJc w:val="right"/>
      <w:pPr>
        <w:ind w:left="6480" w:hanging="180"/>
      </w:pPr>
    </w:lvl>
  </w:abstractNum>
  <w:abstractNum w:abstractNumId="145" w15:restartNumberingAfterBreak="0">
    <w:nsid w:val="78ED6CD1"/>
    <w:multiLevelType w:val="hybridMultilevel"/>
    <w:tmpl w:val="012687DA"/>
    <w:lvl w:ilvl="0" w:tplc="B900CF0E">
      <w:numFmt w:val="bullet"/>
      <w:lvlText w:val="-"/>
      <w:lvlJc w:val="left"/>
      <w:pPr>
        <w:ind w:left="1210" w:hanging="360"/>
      </w:pPr>
      <w:rPr>
        <w:rFonts w:ascii="Times New Roman" w:eastAsiaTheme="minorHAnsi" w:hAnsi="Times New Roman" w:cs="Times New Roman" w:hint="default"/>
      </w:rPr>
    </w:lvl>
    <w:lvl w:ilvl="1" w:tplc="04090003">
      <w:start w:val="1"/>
      <w:numFmt w:val="bullet"/>
      <w:lvlText w:val="o"/>
      <w:lvlJc w:val="left"/>
      <w:pPr>
        <w:ind w:left="1930" w:hanging="360"/>
      </w:pPr>
      <w:rPr>
        <w:rFonts w:ascii="Courier New" w:hAnsi="Courier New" w:cs="Courier New" w:hint="default"/>
      </w:rPr>
    </w:lvl>
    <w:lvl w:ilvl="2" w:tplc="04090005">
      <w:start w:val="1"/>
      <w:numFmt w:val="bullet"/>
      <w:lvlText w:val=""/>
      <w:lvlJc w:val="left"/>
      <w:pPr>
        <w:ind w:left="2650" w:hanging="360"/>
      </w:pPr>
      <w:rPr>
        <w:rFonts w:ascii="Wingdings" w:hAnsi="Wingdings" w:hint="default"/>
      </w:rPr>
    </w:lvl>
    <w:lvl w:ilvl="3" w:tplc="04090001">
      <w:start w:val="1"/>
      <w:numFmt w:val="bullet"/>
      <w:lvlText w:val=""/>
      <w:lvlJc w:val="left"/>
      <w:pPr>
        <w:ind w:left="3370" w:hanging="360"/>
      </w:pPr>
      <w:rPr>
        <w:rFonts w:ascii="Symbol" w:hAnsi="Symbol" w:hint="default"/>
      </w:rPr>
    </w:lvl>
    <w:lvl w:ilvl="4" w:tplc="04090003">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46" w15:restartNumberingAfterBreak="0">
    <w:nsid w:val="7C572443"/>
    <w:multiLevelType w:val="hybridMultilevel"/>
    <w:tmpl w:val="9AC884DC"/>
    <w:lvl w:ilvl="0" w:tplc="8C729420">
      <w:start w:val="1"/>
      <w:numFmt w:val="bullet"/>
      <w:lvlText w:val=""/>
      <w:lvlJc w:val="left"/>
      <w:pPr>
        <w:ind w:left="720" w:hanging="360"/>
      </w:pPr>
      <w:rPr>
        <w:rFonts w:ascii="Symbol" w:hAnsi="Symbol" w:hint="default"/>
      </w:rPr>
    </w:lvl>
    <w:lvl w:ilvl="1" w:tplc="1ED2DD04">
      <w:start w:val="1"/>
      <w:numFmt w:val="bullet"/>
      <w:lvlText w:val="o"/>
      <w:lvlJc w:val="left"/>
      <w:pPr>
        <w:ind w:left="1440" w:hanging="360"/>
      </w:pPr>
      <w:rPr>
        <w:rFonts w:ascii="Courier New" w:hAnsi="Courier New" w:hint="default"/>
      </w:rPr>
    </w:lvl>
    <w:lvl w:ilvl="2" w:tplc="639E2322">
      <w:start w:val="1"/>
      <w:numFmt w:val="bullet"/>
      <w:lvlText w:val=""/>
      <w:lvlJc w:val="left"/>
      <w:pPr>
        <w:ind w:left="2160" w:hanging="360"/>
      </w:pPr>
      <w:rPr>
        <w:rFonts w:ascii="Wingdings" w:hAnsi="Wingdings" w:hint="default"/>
      </w:rPr>
    </w:lvl>
    <w:lvl w:ilvl="3" w:tplc="34BA1DCC">
      <w:start w:val="1"/>
      <w:numFmt w:val="bullet"/>
      <w:lvlText w:val=""/>
      <w:lvlJc w:val="left"/>
      <w:pPr>
        <w:ind w:left="2880" w:hanging="360"/>
      </w:pPr>
      <w:rPr>
        <w:rFonts w:ascii="Symbol" w:hAnsi="Symbol" w:hint="default"/>
      </w:rPr>
    </w:lvl>
    <w:lvl w:ilvl="4" w:tplc="985C982E">
      <w:start w:val="1"/>
      <w:numFmt w:val="bullet"/>
      <w:lvlText w:val="o"/>
      <w:lvlJc w:val="left"/>
      <w:pPr>
        <w:ind w:left="3600" w:hanging="360"/>
      </w:pPr>
      <w:rPr>
        <w:rFonts w:ascii="Courier New" w:hAnsi="Courier New" w:hint="default"/>
      </w:rPr>
    </w:lvl>
    <w:lvl w:ilvl="5" w:tplc="868666E6">
      <w:start w:val="1"/>
      <w:numFmt w:val="bullet"/>
      <w:lvlText w:val=""/>
      <w:lvlJc w:val="left"/>
      <w:pPr>
        <w:ind w:left="4320" w:hanging="360"/>
      </w:pPr>
      <w:rPr>
        <w:rFonts w:ascii="Wingdings" w:hAnsi="Wingdings" w:hint="default"/>
      </w:rPr>
    </w:lvl>
    <w:lvl w:ilvl="6" w:tplc="26E0E5C8">
      <w:start w:val="1"/>
      <w:numFmt w:val="bullet"/>
      <w:lvlText w:val=""/>
      <w:lvlJc w:val="left"/>
      <w:pPr>
        <w:ind w:left="5040" w:hanging="360"/>
      </w:pPr>
      <w:rPr>
        <w:rFonts w:ascii="Symbol" w:hAnsi="Symbol" w:hint="default"/>
      </w:rPr>
    </w:lvl>
    <w:lvl w:ilvl="7" w:tplc="DC265EA8">
      <w:start w:val="1"/>
      <w:numFmt w:val="bullet"/>
      <w:lvlText w:val="o"/>
      <w:lvlJc w:val="left"/>
      <w:pPr>
        <w:ind w:left="5760" w:hanging="360"/>
      </w:pPr>
      <w:rPr>
        <w:rFonts w:ascii="Courier New" w:hAnsi="Courier New" w:hint="default"/>
      </w:rPr>
    </w:lvl>
    <w:lvl w:ilvl="8" w:tplc="EE5E4184">
      <w:start w:val="1"/>
      <w:numFmt w:val="bullet"/>
      <w:lvlText w:val=""/>
      <w:lvlJc w:val="left"/>
      <w:pPr>
        <w:ind w:left="6480" w:hanging="360"/>
      </w:pPr>
      <w:rPr>
        <w:rFonts w:ascii="Wingdings" w:hAnsi="Wingdings" w:hint="default"/>
      </w:rPr>
    </w:lvl>
  </w:abstractNum>
  <w:abstractNum w:abstractNumId="147" w15:restartNumberingAfterBreak="0">
    <w:nsid w:val="7C7E3E7D"/>
    <w:multiLevelType w:val="hybridMultilevel"/>
    <w:tmpl w:val="E424EF12"/>
    <w:lvl w:ilvl="0" w:tplc="4DA2ACA6">
      <w:start w:val="1"/>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7C871AFA"/>
    <w:multiLevelType w:val="multilevel"/>
    <w:tmpl w:val="89BA41E2"/>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C9D04A7"/>
    <w:multiLevelType w:val="hybridMultilevel"/>
    <w:tmpl w:val="34BA1478"/>
    <w:lvl w:ilvl="0" w:tplc="B78AC63C">
      <w:start w:val="1"/>
      <w:numFmt w:val="decimal"/>
      <w:lvlText w:val="%1."/>
      <w:lvlJc w:val="left"/>
      <w:pPr>
        <w:ind w:left="501" w:hanging="360"/>
      </w:pPr>
      <w:rPr>
        <w:i w:val="0"/>
        <w:iCs w:val="0"/>
      </w:rPr>
    </w:lvl>
    <w:lvl w:ilvl="1" w:tplc="B7D02406">
      <w:start w:val="1"/>
      <w:numFmt w:val="lowerLetter"/>
      <w:lvlText w:val="%2."/>
      <w:lvlJc w:val="left"/>
      <w:pPr>
        <w:ind w:left="1080" w:hanging="360"/>
      </w:pPr>
    </w:lvl>
    <w:lvl w:ilvl="2" w:tplc="637AC96A">
      <w:start w:val="1"/>
      <w:numFmt w:val="lowerRoman"/>
      <w:lvlText w:val="%3."/>
      <w:lvlJc w:val="right"/>
      <w:pPr>
        <w:ind w:left="1800" w:hanging="180"/>
      </w:pPr>
    </w:lvl>
    <w:lvl w:ilvl="3" w:tplc="7F80C994">
      <w:start w:val="1"/>
      <w:numFmt w:val="decimal"/>
      <w:lvlText w:val="%4."/>
      <w:lvlJc w:val="left"/>
      <w:pPr>
        <w:ind w:left="2520" w:hanging="360"/>
      </w:pPr>
    </w:lvl>
    <w:lvl w:ilvl="4" w:tplc="C1A67D10">
      <w:start w:val="1"/>
      <w:numFmt w:val="lowerLetter"/>
      <w:lvlText w:val="%5."/>
      <w:lvlJc w:val="left"/>
      <w:pPr>
        <w:ind w:left="3240" w:hanging="360"/>
      </w:pPr>
    </w:lvl>
    <w:lvl w:ilvl="5" w:tplc="646E4B82">
      <w:start w:val="1"/>
      <w:numFmt w:val="lowerRoman"/>
      <w:lvlText w:val="%6."/>
      <w:lvlJc w:val="right"/>
      <w:pPr>
        <w:ind w:left="3960" w:hanging="180"/>
      </w:pPr>
    </w:lvl>
    <w:lvl w:ilvl="6" w:tplc="52AABF28">
      <w:start w:val="1"/>
      <w:numFmt w:val="decimal"/>
      <w:lvlText w:val="%7."/>
      <w:lvlJc w:val="left"/>
      <w:pPr>
        <w:ind w:left="4680" w:hanging="360"/>
      </w:pPr>
    </w:lvl>
    <w:lvl w:ilvl="7" w:tplc="E09411FE">
      <w:start w:val="1"/>
      <w:numFmt w:val="lowerLetter"/>
      <w:lvlText w:val="%8."/>
      <w:lvlJc w:val="left"/>
      <w:pPr>
        <w:ind w:left="5400" w:hanging="360"/>
      </w:pPr>
    </w:lvl>
    <w:lvl w:ilvl="8" w:tplc="BF1897F2">
      <w:start w:val="1"/>
      <w:numFmt w:val="lowerRoman"/>
      <w:lvlText w:val="%9."/>
      <w:lvlJc w:val="right"/>
      <w:pPr>
        <w:ind w:left="6120" w:hanging="180"/>
      </w:pPr>
    </w:lvl>
  </w:abstractNum>
  <w:abstractNum w:abstractNumId="150" w15:restartNumberingAfterBreak="0">
    <w:nsid w:val="7D587EA4"/>
    <w:multiLevelType w:val="hybridMultilevel"/>
    <w:tmpl w:val="3968B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E060DD8"/>
    <w:multiLevelType w:val="hybridMultilevel"/>
    <w:tmpl w:val="FFFFFFFF"/>
    <w:lvl w:ilvl="0" w:tplc="4F2E0B52">
      <w:start w:val="1"/>
      <w:numFmt w:val="bullet"/>
      <w:lvlText w:val="-"/>
      <w:lvlJc w:val="left"/>
      <w:pPr>
        <w:ind w:left="720" w:hanging="360"/>
      </w:pPr>
      <w:rPr>
        <w:rFonts w:ascii="Calibri" w:hAnsi="Calibri" w:hint="default"/>
      </w:rPr>
    </w:lvl>
    <w:lvl w:ilvl="1" w:tplc="A9C6C49C">
      <w:start w:val="1"/>
      <w:numFmt w:val="bullet"/>
      <w:lvlText w:val="o"/>
      <w:lvlJc w:val="left"/>
      <w:pPr>
        <w:ind w:left="1440" w:hanging="360"/>
      </w:pPr>
      <w:rPr>
        <w:rFonts w:ascii="Courier New" w:hAnsi="Courier New" w:hint="default"/>
      </w:rPr>
    </w:lvl>
    <w:lvl w:ilvl="2" w:tplc="24E249BC">
      <w:start w:val="1"/>
      <w:numFmt w:val="bullet"/>
      <w:lvlText w:val=""/>
      <w:lvlJc w:val="left"/>
      <w:pPr>
        <w:ind w:left="2160" w:hanging="360"/>
      </w:pPr>
      <w:rPr>
        <w:rFonts w:ascii="Wingdings" w:hAnsi="Wingdings" w:hint="default"/>
      </w:rPr>
    </w:lvl>
    <w:lvl w:ilvl="3" w:tplc="02861A52">
      <w:start w:val="1"/>
      <w:numFmt w:val="bullet"/>
      <w:lvlText w:val=""/>
      <w:lvlJc w:val="left"/>
      <w:pPr>
        <w:ind w:left="2880" w:hanging="360"/>
      </w:pPr>
      <w:rPr>
        <w:rFonts w:ascii="Symbol" w:hAnsi="Symbol" w:hint="default"/>
      </w:rPr>
    </w:lvl>
    <w:lvl w:ilvl="4" w:tplc="0C8EFBBC">
      <w:start w:val="1"/>
      <w:numFmt w:val="bullet"/>
      <w:lvlText w:val="o"/>
      <w:lvlJc w:val="left"/>
      <w:pPr>
        <w:ind w:left="3600" w:hanging="360"/>
      </w:pPr>
      <w:rPr>
        <w:rFonts w:ascii="Courier New" w:hAnsi="Courier New" w:hint="default"/>
      </w:rPr>
    </w:lvl>
    <w:lvl w:ilvl="5" w:tplc="136A41D0">
      <w:start w:val="1"/>
      <w:numFmt w:val="bullet"/>
      <w:lvlText w:val=""/>
      <w:lvlJc w:val="left"/>
      <w:pPr>
        <w:ind w:left="4320" w:hanging="360"/>
      </w:pPr>
      <w:rPr>
        <w:rFonts w:ascii="Wingdings" w:hAnsi="Wingdings" w:hint="default"/>
      </w:rPr>
    </w:lvl>
    <w:lvl w:ilvl="6" w:tplc="28A46B52">
      <w:start w:val="1"/>
      <w:numFmt w:val="bullet"/>
      <w:lvlText w:val=""/>
      <w:lvlJc w:val="left"/>
      <w:pPr>
        <w:ind w:left="5040" w:hanging="360"/>
      </w:pPr>
      <w:rPr>
        <w:rFonts w:ascii="Symbol" w:hAnsi="Symbol" w:hint="default"/>
      </w:rPr>
    </w:lvl>
    <w:lvl w:ilvl="7" w:tplc="8FD8EAE8">
      <w:start w:val="1"/>
      <w:numFmt w:val="bullet"/>
      <w:lvlText w:val="o"/>
      <w:lvlJc w:val="left"/>
      <w:pPr>
        <w:ind w:left="5760" w:hanging="360"/>
      </w:pPr>
      <w:rPr>
        <w:rFonts w:ascii="Courier New" w:hAnsi="Courier New" w:hint="default"/>
      </w:rPr>
    </w:lvl>
    <w:lvl w:ilvl="8" w:tplc="690C91EE">
      <w:start w:val="1"/>
      <w:numFmt w:val="bullet"/>
      <w:lvlText w:val=""/>
      <w:lvlJc w:val="left"/>
      <w:pPr>
        <w:ind w:left="6480" w:hanging="360"/>
      </w:pPr>
      <w:rPr>
        <w:rFonts w:ascii="Wingdings" w:hAnsi="Wingdings" w:hint="default"/>
      </w:rPr>
    </w:lvl>
  </w:abstractNum>
  <w:abstractNum w:abstractNumId="152" w15:restartNumberingAfterBreak="0">
    <w:nsid w:val="7EC0EAFB"/>
    <w:multiLevelType w:val="hybridMultilevel"/>
    <w:tmpl w:val="FFFFFFFF"/>
    <w:lvl w:ilvl="0" w:tplc="CA70ABA2">
      <w:start w:val="7"/>
      <w:numFmt w:val="decimal"/>
      <w:lvlText w:val="%1."/>
      <w:lvlJc w:val="left"/>
      <w:pPr>
        <w:ind w:left="720" w:hanging="360"/>
      </w:pPr>
    </w:lvl>
    <w:lvl w:ilvl="1" w:tplc="F4A863BE">
      <w:start w:val="1"/>
      <w:numFmt w:val="lowerLetter"/>
      <w:lvlText w:val="%2."/>
      <w:lvlJc w:val="left"/>
      <w:pPr>
        <w:ind w:left="1440" w:hanging="360"/>
      </w:pPr>
    </w:lvl>
    <w:lvl w:ilvl="2" w:tplc="0C0EE470">
      <w:start w:val="1"/>
      <w:numFmt w:val="lowerRoman"/>
      <w:lvlText w:val="%3."/>
      <w:lvlJc w:val="right"/>
      <w:pPr>
        <w:ind w:left="2160" w:hanging="180"/>
      </w:pPr>
    </w:lvl>
    <w:lvl w:ilvl="3" w:tplc="5A1E9504">
      <w:start w:val="1"/>
      <w:numFmt w:val="decimal"/>
      <w:lvlText w:val="%4."/>
      <w:lvlJc w:val="left"/>
      <w:pPr>
        <w:ind w:left="2880" w:hanging="360"/>
      </w:pPr>
    </w:lvl>
    <w:lvl w:ilvl="4" w:tplc="47CA5C94">
      <w:start w:val="1"/>
      <w:numFmt w:val="lowerLetter"/>
      <w:lvlText w:val="%5."/>
      <w:lvlJc w:val="left"/>
      <w:pPr>
        <w:ind w:left="3600" w:hanging="360"/>
      </w:pPr>
    </w:lvl>
    <w:lvl w:ilvl="5" w:tplc="1EAAA728">
      <w:start w:val="1"/>
      <w:numFmt w:val="lowerRoman"/>
      <w:lvlText w:val="%6."/>
      <w:lvlJc w:val="right"/>
      <w:pPr>
        <w:ind w:left="4320" w:hanging="180"/>
      </w:pPr>
    </w:lvl>
    <w:lvl w:ilvl="6" w:tplc="2946D9EE">
      <w:start w:val="1"/>
      <w:numFmt w:val="decimal"/>
      <w:lvlText w:val="%7."/>
      <w:lvlJc w:val="left"/>
      <w:pPr>
        <w:ind w:left="5040" w:hanging="360"/>
      </w:pPr>
    </w:lvl>
    <w:lvl w:ilvl="7" w:tplc="3E7A627A">
      <w:start w:val="1"/>
      <w:numFmt w:val="lowerLetter"/>
      <w:lvlText w:val="%8."/>
      <w:lvlJc w:val="left"/>
      <w:pPr>
        <w:ind w:left="5760" w:hanging="360"/>
      </w:pPr>
    </w:lvl>
    <w:lvl w:ilvl="8" w:tplc="69544108">
      <w:start w:val="1"/>
      <w:numFmt w:val="lowerRoman"/>
      <w:lvlText w:val="%9."/>
      <w:lvlJc w:val="right"/>
      <w:pPr>
        <w:ind w:left="6480" w:hanging="180"/>
      </w:pPr>
    </w:lvl>
  </w:abstractNum>
  <w:abstractNum w:abstractNumId="153" w15:restartNumberingAfterBreak="0">
    <w:nsid w:val="7F34B903"/>
    <w:multiLevelType w:val="hybridMultilevel"/>
    <w:tmpl w:val="A88EDD3E"/>
    <w:lvl w:ilvl="0" w:tplc="3FB69DE0">
      <w:start w:val="1"/>
      <w:numFmt w:val="bullet"/>
      <w:lvlText w:val="·"/>
      <w:lvlJc w:val="left"/>
      <w:pPr>
        <w:ind w:left="720" w:hanging="360"/>
      </w:pPr>
      <w:rPr>
        <w:rFonts w:ascii="Symbol" w:hAnsi="Symbol" w:hint="default"/>
      </w:rPr>
    </w:lvl>
    <w:lvl w:ilvl="1" w:tplc="1FD49224">
      <w:start w:val="1"/>
      <w:numFmt w:val="bullet"/>
      <w:lvlText w:val="o"/>
      <w:lvlJc w:val="left"/>
      <w:pPr>
        <w:ind w:left="1440" w:hanging="360"/>
      </w:pPr>
      <w:rPr>
        <w:rFonts w:ascii="Courier New" w:hAnsi="Courier New" w:hint="default"/>
      </w:rPr>
    </w:lvl>
    <w:lvl w:ilvl="2" w:tplc="FE6AAD4C">
      <w:start w:val="1"/>
      <w:numFmt w:val="bullet"/>
      <w:lvlText w:val=""/>
      <w:lvlJc w:val="left"/>
      <w:pPr>
        <w:ind w:left="2160" w:hanging="360"/>
      </w:pPr>
      <w:rPr>
        <w:rFonts w:ascii="Wingdings" w:hAnsi="Wingdings" w:hint="default"/>
      </w:rPr>
    </w:lvl>
    <w:lvl w:ilvl="3" w:tplc="F138B0F2">
      <w:start w:val="1"/>
      <w:numFmt w:val="bullet"/>
      <w:lvlText w:val=""/>
      <w:lvlJc w:val="left"/>
      <w:pPr>
        <w:ind w:left="2880" w:hanging="360"/>
      </w:pPr>
      <w:rPr>
        <w:rFonts w:ascii="Symbol" w:hAnsi="Symbol" w:hint="default"/>
      </w:rPr>
    </w:lvl>
    <w:lvl w:ilvl="4" w:tplc="C82E2A88">
      <w:start w:val="1"/>
      <w:numFmt w:val="bullet"/>
      <w:lvlText w:val="o"/>
      <w:lvlJc w:val="left"/>
      <w:pPr>
        <w:ind w:left="3600" w:hanging="360"/>
      </w:pPr>
      <w:rPr>
        <w:rFonts w:ascii="Courier New" w:hAnsi="Courier New" w:hint="default"/>
      </w:rPr>
    </w:lvl>
    <w:lvl w:ilvl="5" w:tplc="F4F88EC2">
      <w:start w:val="1"/>
      <w:numFmt w:val="bullet"/>
      <w:lvlText w:val=""/>
      <w:lvlJc w:val="left"/>
      <w:pPr>
        <w:ind w:left="4320" w:hanging="360"/>
      </w:pPr>
      <w:rPr>
        <w:rFonts w:ascii="Wingdings" w:hAnsi="Wingdings" w:hint="default"/>
      </w:rPr>
    </w:lvl>
    <w:lvl w:ilvl="6" w:tplc="217E4CD8">
      <w:start w:val="1"/>
      <w:numFmt w:val="bullet"/>
      <w:lvlText w:val=""/>
      <w:lvlJc w:val="left"/>
      <w:pPr>
        <w:ind w:left="5040" w:hanging="360"/>
      </w:pPr>
      <w:rPr>
        <w:rFonts w:ascii="Symbol" w:hAnsi="Symbol" w:hint="default"/>
      </w:rPr>
    </w:lvl>
    <w:lvl w:ilvl="7" w:tplc="8CECC682">
      <w:start w:val="1"/>
      <w:numFmt w:val="bullet"/>
      <w:lvlText w:val="o"/>
      <w:lvlJc w:val="left"/>
      <w:pPr>
        <w:ind w:left="5760" w:hanging="360"/>
      </w:pPr>
      <w:rPr>
        <w:rFonts w:ascii="Courier New" w:hAnsi="Courier New" w:hint="default"/>
      </w:rPr>
    </w:lvl>
    <w:lvl w:ilvl="8" w:tplc="0C740E66">
      <w:start w:val="1"/>
      <w:numFmt w:val="bullet"/>
      <w:lvlText w:val=""/>
      <w:lvlJc w:val="left"/>
      <w:pPr>
        <w:ind w:left="6480" w:hanging="360"/>
      </w:pPr>
      <w:rPr>
        <w:rFonts w:ascii="Wingdings" w:hAnsi="Wingdings" w:hint="default"/>
      </w:rPr>
    </w:lvl>
  </w:abstractNum>
  <w:num w:numId="1" w16cid:durableId="1382247372">
    <w:abstractNumId w:val="78"/>
  </w:num>
  <w:num w:numId="2" w16cid:durableId="2122413801">
    <w:abstractNumId w:val="87"/>
  </w:num>
  <w:num w:numId="3" w16cid:durableId="2027322753">
    <w:abstractNumId w:val="8"/>
  </w:num>
  <w:num w:numId="4" w16cid:durableId="724177674">
    <w:abstractNumId w:val="42"/>
  </w:num>
  <w:num w:numId="5" w16cid:durableId="430857871">
    <w:abstractNumId w:val="143"/>
  </w:num>
  <w:num w:numId="6" w16cid:durableId="1150319909">
    <w:abstractNumId w:val="120"/>
  </w:num>
  <w:num w:numId="7" w16cid:durableId="1885868435">
    <w:abstractNumId w:val="112"/>
  </w:num>
  <w:num w:numId="8" w16cid:durableId="700672255">
    <w:abstractNumId w:val="73"/>
  </w:num>
  <w:num w:numId="9" w16cid:durableId="1127356054">
    <w:abstractNumId w:val="52"/>
  </w:num>
  <w:num w:numId="10" w16cid:durableId="770974663">
    <w:abstractNumId w:val="19"/>
  </w:num>
  <w:num w:numId="11" w16cid:durableId="1271814290">
    <w:abstractNumId w:val="89"/>
  </w:num>
  <w:num w:numId="12" w16cid:durableId="1641576975">
    <w:abstractNumId w:val="135"/>
  </w:num>
  <w:num w:numId="13" w16cid:durableId="412775617">
    <w:abstractNumId w:val="101"/>
  </w:num>
  <w:num w:numId="14" w16cid:durableId="1328439729">
    <w:abstractNumId w:val="86"/>
  </w:num>
  <w:num w:numId="15" w16cid:durableId="604770481">
    <w:abstractNumId w:val="2"/>
  </w:num>
  <w:num w:numId="16" w16cid:durableId="639530221">
    <w:abstractNumId w:val="69"/>
  </w:num>
  <w:num w:numId="17" w16cid:durableId="1424763039">
    <w:abstractNumId w:val="48"/>
  </w:num>
  <w:num w:numId="18" w16cid:durableId="1412385078">
    <w:abstractNumId w:val="80"/>
  </w:num>
  <w:num w:numId="19" w16cid:durableId="812871184">
    <w:abstractNumId w:val="90"/>
  </w:num>
  <w:num w:numId="20" w16cid:durableId="501966720">
    <w:abstractNumId w:val="36"/>
  </w:num>
  <w:num w:numId="21" w16cid:durableId="5910003">
    <w:abstractNumId w:val="106"/>
  </w:num>
  <w:num w:numId="22" w16cid:durableId="2058238544">
    <w:abstractNumId w:val="55"/>
  </w:num>
  <w:num w:numId="23" w16cid:durableId="1212114611">
    <w:abstractNumId w:val="46"/>
  </w:num>
  <w:num w:numId="24" w16cid:durableId="1248228507">
    <w:abstractNumId w:val="84"/>
  </w:num>
  <w:num w:numId="25" w16cid:durableId="1066101441">
    <w:abstractNumId w:val="21"/>
  </w:num>
  <w:num w:numId="26" w16cid:durableId="130680213">
    <w:abstractNumId w:val="72"/>
  </w:num>
  <w:num w:numId="27" w16cid:durableId="2116635066">
    <w:abstractNumId w:val="146"/>
  </w:num>
  <w:num w:numId="28" w16cid:durableId="1187137288">
    <w:abstractNumId w:val="56"/>
  </w:num>
  <w:num w:numId="29" w16cid:durableId="398089969">
    <w:abstractNumId w:val="137"/>
  </w:num>
  <w:num w:numId="30" w16cid:durableId="1282762723">
    <w:abstractNumId w:val="131"/>
  </w:num>
  <w:num w:numId="31" w16cid:durableId="1976763284">
    <w:abstractNumId w:val="15"/>
  </w:num>
  <w:num w:numId="32" w16cid:durableId="1811288365">
    <w:abstractNumId w:val="45"/>
  </w:num>
  <w:num w:numId="33" w16cid:durableId="1927764179">
    <w:abstractNumId w:val="124"/>
  </w:num>
  <w:num w:numId="34" w16cid:durableId="1264919918">
    <w:abstractNumId w:val="150"/>
  </w:num>
  <w:num w:numId="35" w16cid:durableId="1174345557">
    <w:abstractNumId w:val="103"/>
  </w:num>
  <w:num w:numId="36" w16cid:durableId="1829857743">
    <w:abstractNumId w:val="97"/>
  </w:num>
  <w:num w:numId="37" w16cid:durableId="294915304">
    <w:abstractNumId w:val="140"/>
  </w:num>
  <w:num w:numId="38" w16cid:durableId="541863544">
    <w:abstractNumId w:val="29"/>
  </w:num>
  <w:num w:numId="39" w16cid:durableId="616986700">
    <w:abstractNumId w:val="99"/>
  </w:num>
  <w:num w:numId="40" w16cid:durableId="253327258">
    <w:abstractNumId w:val="4"/>
  </w:num>
  <w:num w:numId="41" w16cid:durableId="1577932310">
    <w:abstractNumId w:val="12"/>
  </w:num>
  <w:num w:numId="42" w16cid:durableId="1105731799">
    <w:abstractNumId w:val="133"/>
  </w:num>
  <w:num w:numId="43" w16cid:durableId="1856143064">
    <w:abstractNumId w:val="6"/>
  </w:num>
  <w:num w:numId="44" w16cid:durableId="864094854">
    <w:abstractNumId w:val="54"/>
  </w:num>
  <w:num w:numId="45" w16cid:durableId="1762339291">
    <w:abstractNumId w:val="147"/>
  </w:num>
  <w:num w:numId="46" w16cid:durableId="1757246979">
    <w:abstractNumId w:val="132"/>
  </w:num>
  <w:num w:numId="47" w16cid:durableId="208303708">
    <w:abstractNumId w:val="71"/>
  </w:num>
  <w:num w:numId="48" w16cid:durableId="1184637416">
    <w:abstractNumId w:val="138"/>
  </w:num>
  <w:num w:numId="49" w16cid:durableId="284165592">
    <w:abstractNumId w:val="62"/>
  </w:num>
  <w:num w:numId="50" w16cid:durableId="634220098">
    <w:abstractNumId w:val="13"/>
  </w:num>
  <w:num w:numId="51" w16cid:durableId="1677999773">
    <w:abstractNumId w:val="83"/>
  </w:num>
  <w:num w:numId="52" w16cid:durableId="335499076">
    <w:abstractNumId w:val="91"/>
  </w:num>
  <w:num w:numId="53" w16cid:durableId="2144501253">
    <w:abstractNumId w:val="144"/>
  </w:num>
  <w:num w:numId="54" w16cid:durableId="2120104857">
    <w:abstractNumId w:val="152"/>
  </w:num>
  <w:num w:numId="55" w16cid:durableId="1375887377">
    <w:abstractNumId w:val="79"/>
  </w:num>
  <w:num w:numId="56" w16cid:durableId="887031038">
    <w:abstractNumId w:val="93"/>
  </w:num>
  <w:num w:numId="57" w16cid:durableId="1811096493">
    <w:abstractNumId w:val="109"/>
  </w:num>
  <w:num w:numId="58" w16cid:durableId="53940636">
    <w:abstractNumId w:val="67"/>
  </w:num>
  <w:num w:numId="59" w16cid:durableId="1771310534">
    <w:abstractNumId w:val="18"/>
  </w:num>
  <w:num w:numId="60" w16cid:durableId="121579297">
    <w:abstractNumId w:val="105"/>
  </w:num>
  <w:num w:numId="61" w16cid:durableId="724063575">
    <w:abstractNumId w:val="40"/>
  </w:num>
  <w:num w:numId="62" w16cid:durableId="966819187">
    <w:abstractNumId w:val="139"/>
  </w:num>
  <w:num w:numId="63" w16cid:durableId="21982261">
    <w:abstractNumId w:val="151"/>
  </w:num>
  <w:num w:numId="64" w16cid:durableId="1777292194">
    <w:abstractNumId w:val="127"/>
  </w:num>
  <w:num w:numId="65" w16cid:durableId="998272122">
    <w:abstractNumId w:val="75"/>
  </w:num>
  <w:num w:numId="66" w16cid:durableId="702363666">
    <w:abstractNumId w:val="53"/>
  </w:num>
  <w:num w:numId="67" w16cid:durableId="2096855034">
    <w:abstractNumId w:val="7"/>
  </w:num>
  <w:num w:numId="68" w16cid:durableId="1122529076">
    <w:abstractNumId w:val="33"/>
  </w:num>
  <w:num w:numId="69" w16cid:durableId="2099516833">
    <w:abstractNumId w:val="77"/>
  </w:num>
  <w:num w:numId="70" w16cid:durableId="1142425027">
    <w:abstractNumId w:val="39"/>
  </w:num>
  <w:num w:numId="71" w16cid:durableId="384988355">
    <w:abstractNumId w:val="102"/>
  </w:num>
  <w:num w:numId="72" w16cid:durableId="141361486">
    <w:abstractNumId w:val="92"/>
  </w:num>
  <w:num w:numId="73" w16cid:durableId="748767362">
    <w:abstractNumId w:val="95"/>
  </w:num>
  <w:num w:numId="74" w16cid:durableId="637606669">
    <w:abstractNumId w:val="142"/>
  </w:num>
  <w:num w:numId="75" w16cid:durableId="1899390440">
    <w:abstractNumId w:val="65"/>
  </w:num>
  <w:num w:numId="76" w16cid:durableId="1136071221">
    <w:abstractNumId w:val="14"/>
  </w:num>
  <w:num w:numId="77" w16cid:durableId="979964418">
    <w:abstractNumId w:val="128"/>
  </w:num>
  <w:num w:numId="78" w16cid:durableId="1502742611">
    <w:abstractNumId w:val="16"/>
  </w:num>
  <w:num w:numId="79" w16cid:durableId="1174611015">
    <w:abstractNumId w:val="27"/>
  </w:num>
  <w:num w:numId="80" w16cid:durableId="1867325891">
    <w:abstractNumId w:val="9"/>
  </w:num>
  <w:num w:numId="81" w16cid:durableId="1656110493">
    <w:abstractNumId w:val="114"/>
  </w:num>
  <w:num w:numId="82" w16cid:durableId="888422856">
    <w:abstractNumId w:val="108"/>
  </w:num>
  <w:num w:numId="83" w16cid:durableId="505363699">
    <w:abstractNumId w:val="153"/>
  </w:num>
  <w:num w:numId="84" w16cid:durableId="1320308032">
    <w:abstractNumId w:val="96"/>
  </w:num>
  <w:num w:numId="85" w16cid:durableId="425466806">
    <w:abstractNumId w:val="148"/>
  </w:num>
  <w:num w:numId="86" w16cid:durableId="1959213089">
    <w:abstractNumId w:val="117"/>
  </w:num>
  <w:num w:numId="87" w16cid:durableId="1205370042">
    <w:abstractNumId w:val="22"/>
  </w:num>
  <w:num w:numId="88" w16cid:durableId="1149177860">
    <w:abstractNumId w:val="134"/>
  </w:num>
  <w:num w:numId="89" w16cid:durableId="1055935943">
    <w:abstractNumId w:val="121"/>
  </w:num>
  <w:num w:numId="90" w16cid:durableId="207228903">
    <w:abstractNumId w:val="130"/>
  </w:num>
  <w:num w:numId="91" w16cid:durableId="969240478">
    <w:abstractNumId w:val="94"/>
  </w:num>
  <w:num w:numId="92" w16cid:durableId="1420172434">
    <w:abstractNumId w:val="129"/>
  </w:num>
  <w:num w:numId="93" w16cid:durableId="1397849784">
    <w:abstractNumId w:val="24"/>
  </w:num>
  <w:num w:numId="94" w16cid:durableId="1287545190">
    <w:abstractNumId w:val="20"/>
  </w:num>
  <w:num w:numId="95" w16cid:durableId="2140606124">
    <w:abstractNumId w:val="47"/>
  </w:num>
  <w:num w:numId="96" w16cid:durableId="551887026">
    <w:abstractNumId w:val="82"/>
  </w:num>
  <w:num w:numId="97" w16cid:durableId="2085760636">
    <w:abstractNumId w:val="1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00827499">
    <w:abstractNumId w:val="107"/>
  </w:num>
  <w:num w:numId="99" w16cid:durableId="57946237">
    <w:abstractNumId w:val="3"/>
  </w:num>
  <w:num w:numId="100" w16cid:durableId="472060174">
    <w:abstractNumId w:val="118"/>
  </w:num>
  <w:num w:numId="101" w16cid:durableId="165554883">
    <w:abstractNumId w:val="23"/>
  </w:num>
  <w:num w:numId="102" w16cid:durableId="1986737079">
    <w:abstractNumId w:val="115"/>
  </w:num>
  <w:num w:numId="103" w16cid:durableId="2116946527">
    <w:abstractNumId w:val="113"/>
  </w:num>
  <w:num w:numId="104" w16cid:durableId="2011442091">
    <w:abstractNumId w:val="110"/>
  </w:num>
  <w:num w:numId="105" w16cid:durableId="1758864906">
    <w:abstractNumId w:val="70"/>
  </w:num>
  <w:num w:numId="106" w16cid:durableId="1205871111">
    <w:abstractNumId w:val="145"/>
  </w:num>
  <w:num w:numId="107" w16cid:durableId="276647827">
    <w:abstractNumId w:val="30"/>
  </w:num>
  <w:num w:numId="108" w16cid:durableId="40254942">
    <w:abstractNumId w:val="123"/>
  </w:num>
  <w:num w:numId="109" w16cid:durableId="375739849">
    <w:abstractNumId w:val="88"/>
  </w:num>
  <w:num w:numId="110" w16cid:durableId="667557262">
    <w:abstractNumId w:val="104"/>
  </w:num>
  <w:num w:numId="111" w16cid:durableId="1042823789">
    <w:abstractNumId w:val="85"/>
  </w:num>
  <w:num w:numId="112" w16cid:durableId="2037266024">
    <w:abstractNumId w:val="37"/>
  </w:num>
  <w:num w:numId="113" w16cid:durableId="2038197799">
    <w:abstractNumId w:val="11"/>
  </w:num>
  <w:num w:numId="114" w16cid:durableId="443960122">
    <w:abstractNumId w:val="26"/>
  </w:num>
  <w:num w:numId="115" w16cid:durableId="237402086">
    <w:abstractNumId w:val="122"/>
  </w:num>
  <w:num w:numId="116" w16cid:durableId="1539973119">
    <w:abstractNumId w:val="66"/>
  </w:num>
  <w:num w:numId="117" w16cid:durableId="1688828074">
    <w:abstractNumId w:val="57"/>
  </w:num>
  <w:num w:numId="118" w16cid:durableId="1966035216">
    <w:abstractNumId w:val="60"/>
  </w:num>
  <w:num w:numId="119" w16cid:durableId="192112829">
    <w:abstractNumId w:val="126"/>
  </w:num>
  <w:num w:numId="120" w16cid:durableId="1060715073">
    <w:abstractNumId w:val="1"/>
  </w:num>
  <w:num w:numId="121" w16cid:durableId="72823635">
    <w:abstractNumId w:val="35"/>
  </w:num>
  <w:num w:numId="122" w16cid:durableId="1375080528">
    <w:abstractNumId w:val="74"/>
  </w:num>
  <w:num w:numId="123" w16cid:durableId="816216">
    <w:abstractNumId w:val="34"/>
  </w:num>
  <w:num w:numId="124" w16cid:durableId="1385369704">
    <w:abstractNumId w:val="58"/>
  </w:num>
  <w:num w:numId="125" w16cid:durableId="1192258284">
    <w:abstractNumId w:val="149"/>
  </w:num>
  <w:num w:numId="126" w16cid:durableId="1967350304">
    <w:abstractNumId w:val="51"/>
  </w:num>
  <w:num w:numId="127" w16cid:durableId="971709540">
    <w:abstractNumId w:val="100"/>
  </w:num>
  <w:num w:numId="128" w16cid:durableId="1199120941">
    <w:abstractNumId w:val="32"/>
  </w:num>
  <w:num w:numId="129" w16cid:durableId="1615791375">
    <w:abstractNumId w:val="136"/>
  </w:num>
  <w:num w:numId="130" w16cid:durableId="1042510613">
    <w:abstractNumId w:val="28"/>
  </w:num>
  <w:num w:numId="131" w16cid:durableId="217132108">
    <w:abstractNumId w:val="68"/>
  </w:num>
  <w:num w:numId="132" w16cid:durableId="715933548">
    <w:abstractNumId w:val="31"/>
  </w:num>
  <w:num w:numId="133" w16cid:durableId="373165703">
    <w:abstractNumId w:val="25"/>
  </w:num>
  <w:num w:numId="134" w16cid:durableId="1203520630">
    <w:abstractNumId w:val="116"/>
  </w:num>
  <w:num w:numId="135" w16cid:durableId="1017779991">
    <w:abstractNumId w:val="43"/>
  </w:num>
  <w:num w:numId="136" w16cid:durableId="1488327665">
    <w:abstractNumId w:val="98"/>
  </w:num>
  <w:num w:numId="137" w16cid:durableId="52587933">
    <w:abstractNumId w:val="49"/>
  </w:num>
  <w:num w:numId="138" w16cid:durableId="750738486">
    <w:abstractNumId w:val="81"/>
  </w:num>
  <w:num w:numId="139" w16cid:durableId="610934314">
    <w:abstractNumId w:val="64"/>
  </w:num>
  <w:num w:numId="140" w16cid:durableId="159468351">
    <w:abstractNumId w:val="63"/>
  </w:num>
  <w:num w:numId="141" w16cid:durableId="192575367">
    <w:abstractNumId w:val="76"/>
  </w:num>
  <w:num w:numId="142" w16cid:durableId="2138720396">
    <w:abstractNumId w:val="44"/>
  </w:num>
  <w:num w:numId="143" w16cid:durableId="1366635564">
    <w:abstractNumId w:val="17"/>
  </w:num>
  <w:num w:numId="144" w16cid:durableId="1446729067">
    <w:abstractNumId w:val="38"/>
  </w:num>
  <w:num w:numId="145" w16cid:durableId="1111434057">
    <w:abstractNumId w:val="0"/>
  </w:num>
  <w:num w:numId="146" w16cid:durableId="2020231994">
    <w:abstractNumId w:val="5"/>
  </w:num>
  <w:num w:numId="147" w16cid:durableId="813915854">
    <w:abstractNumId w:val="59"/>
  </w:num>
  <w:num w:numId="148" w16cid:durableId="1270088385">
    <w:abstractNumId w:val="41"/>
  </w:num>
  <w:num w:numId="149" w16cid:durableId="1902134291">
    <w:abstractNumId w:val="125"/>
  </w:num>
  <w:num w:numId="150" w16cid:durableId="869730974">
    <w:abstractNumId w:val="50"/>
  </w:num>
  <w:num w:numId="151" w16cid:durableId="571818903">
    <w:abstractNumId w:val="141"/>
  </w:num>
  <w:num w:numId="152" w16cid:durableId="193228952">
    <w:abstractNumId w:val="61"/>
  </w:num>
  <w:num w:numId="153" w16cid:durableId="1792750269">
    <w:abstractNumId w:val="10"/>
  </w:num>
  <w:num w:numId="154" w16cid:durableId="98991087">
    <w:abstractNumId w:val="11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n-GB" w:vendorID="64" w:dllVersion="0" w:nlCheck="1" w:checkStyle="0"/>
  <w:activeWritingStyle w:appName="MSWord" w:lang="fi-FI" w:vendorID="64" w:dllVersion="0" w:nlCheck="1" w:checkStyle="0"/>
  <w:activeWritingStyle w:appName="MSWord" w:lang="nl-BE" w:vendorID="64" w:dllVersion="0" w:nlCheck="1" w:checkStyle="0"/>
  <w:activeWritingStyle w:appName="MSWord" w:lang="fr-BE" w:vendorID="64" w:dllVersion="0" w:nlCheck="1" w:checkStyle="0"/>
  <w:activeWritingStyle w:appName="MSWord" w:lang="en-US" w:vendorID="64" w:dllVersion="0" w:nlCheck="1" w:checkStyle="0"/>
  <w:activeWritingStyle w:appName="MSWord" w:lang="en-IE" w:vendorID="64" w:dllVersion="0" w:nlCheck="1" w:checkStyle="0"/>
  <w:activeWritingStyle w:appName="MSWord" w:lang="pl-PL" w:vendorID="64" w:dllVersion="0" w:nlCheck="1" w:checkStyle="0"/>
  <w:activeWritingStyle w:appName="MSWord" w:lang="es-ES"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Status" w:val="Green"/>
    <w:docVar w:name="LW_ACCOMPAGNANT.CP" w:val="Accompanying the documents"/>
    <w:docVar w:name="LW_CORRIGENDUM" w:val="&lt;UNUSED&gt;"/>
    <w:docVar w:name="LW_COVERPAGE_EXISTS" w:val="True"/>
    <w:docVar w:name="LW_COVERPAGE_GUID" w:val="DAB80B07-0A20-4D7D-85FB-DC6F99902DF1"/>
    <w:docVar w:name="LW_COVERPAGE_TYPE" w:val="1"/>
    <w:docVar w:name="LW_CROSSREFERENCE" w:val="{COM(2023) 783 final}_x000a_{COM(2023) 781 final}"/>
    <w:docVar w:name="LW_DocType" w:val="NORMAL"/>
    <w:docVar w:name="LW_EMISSION" w:val="7.12.2023"/>
    <w:docVar w:name="LW_EMISSION_ISODATE" w:val="2023-12-07"/>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Proposal for a Regulation of the European Parliament and of the Council amending Regulations (EC) No 178/2002,  (EC) No 401/2009,  (EU) 2017/745 and  (EU) 2019/1021 of the European Parliament and of the Council as regards the re-attribution of scientific and technical tasks and improving cooperation among Union agencies in the area of chemicals _x000d__x000d__x000d__x000b_and_x000d__x000d__x000d__x000b_Proposal for a Directive of the European Parliament and the Council amending Directive 2011/65/EU of the European Parliament and of the Council as regards the re-attribution of scientific and technical tasks to the European Chemicals Agency_x000d__x000d__x000d__x000b_"/>
    <w:docVar w:name="LW_PART_NBR" w:val="1"/>
    <w:docVar w:name="LW_PART_NBR_TOTAL" w:val="1"/>
    <w:docVar w:name="LW_REF.INST.NEW" w:val="SWD"/>
    <w:docVar w:name="LW_REF.INST.NEW_ADOPTED" w:val="final"/>
    <w:docVar w:name="LW_REF.INST.NEW_TEXT" w:val="(2023) 850"/>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Style_Marker&gt; &lt;/FMT&gt;"/>
    <w:docVar w:name="LW_TYPE.DOC.CP" w:val="COMMISSION STAFF WORKING DOCUMENT"/>
    <w:docVar w:name="LW_TYPEACTEPRINCIPAL.CP" w:val=" "/>
    <w:docVar w:name="LwApiVersions" w:val="LW4CoDe 1.23.2.0; LW 8.0, Build 20211117"/>
  </w:docVars>
  <w:rsids>
    <w:rsidRoot w:val="00D10CBA"/>
    <w:rsid w:val="00021425"/>
    <w:rsid w:val="00034F26"/>
    <w:rsid w:val="0005055B"/>
    <w:rsid w:val="00086C60"/>
    <w:rsid w:val="000A01C3"/>
    <w:rsid w:val="000A7D9D"/>
    <w:rsid w:val="000E4C57"/>
    <w:rsid w:val="000F77D6"/>
    <w:rsid w:val="00133DEC"/>
    <w:rsid w:val="00146322"/>
    <w:rsid w:val="001829A3"/>
    <w:rsid w:val="00187DBF"/>
    <w:rsid w:val="0023321B"/>
    <w:rsid w:val="00270F61"/>
    <w:rsid w:val="002C1674"/>
    <w:rsid w:val="002D2618"/>
    <w:rsid w:val="002E2B89"/>
    <w:rsid w:val="002F16DF"/>
    <w:rsid w:val="00343069"/>
    <w:rsid w:val="003C00E1"/>
    <w:rsid w:val="003E01AE"/>
    <w:rsid w:val="003F42EC"/>
    <w:rsid w:val="0040069C"/>
    <w:rsid w:val="004B7079"/>
    <w:rsid w:val="004C1B00"/>
    <w:rsid w:val="004E2297"/>
    <w:rsid w:val="00515EF2"/>
    <w:rsid w:val="00530B22"/>
    <w:rsid w:val="00545608"/>
    <w:rsid w:val="0062159E"/>
    <w:rsid w:val="00641FAB"/>
    <w:rsid w:val="00660A8B"/>
    <w:rsid w:val="0070059C"/>
    <w:rsid w:val="00702F11"/>
    <w:rsid w:val="00752B65"/>
    <w:rsid w:val="007B6118"/>
    <w:rsid w:val="009426DC"/>
    <w:rsid w:val="00957AB4"/>
    <w:rsid w:val="00982EEA"/>
    <w:rsid w:val="00A027D9"/>
    <w:rsid w:val="00A739B5"/>
    <w:rsid w:val="00A73B52"/>
    <w:rsid w:val="00A837A2"/>
    <w:rsid w:val="00AD5870"/>
    <w:rsid w:val="00B0412E"/>
    <w:rsid w:val="00B6332F"/>
    <w:rsid w:val="00B9432B"/>
    <w:rsid w:val="00BA24B0"/>
    <w:rsid w:val="00BA2AC8"/>
    <w:rsid w:val="00BC2BB9"/>
    <w:rsid w:val="00BE5C6E"/>
    <w:rsid w:val="00C62E18"/>
    <w:rsid w:val="00C70F80"/>
    <w:rsid w:val="00D10CBA"/>
    <w:rsid w:val="00D92862"/>
    <w:rsid w:val="00DA2CFE"/>
    <w:rsid w:val="00DC0086"/>
    <w:rsid w:val="00DC6028"/>
    <w:rsid w:val="00DC69D9"/>
    <w:rsid w:val="00DD6D6A"/>
    <w:rsid w:val="00E21EA5"/>
    <w:rsid w:val="00E264E5"/>
    <w:rsid w:val="00E60971"/>
    <w:rsid w:val="00F31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506BE5"/>
  <w15:chartTrackingRefBased/>
  <w15:docId w15:val="{AF2380E8-F7CE-4712-9FEA-D5469D6E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ECHA Heading 1"/>
    <w:basedOn w:val="Normal"/>
    <w:next w:val="BodyText"/>
    <w:link w:val="Heading1Char"/>
    <w:qFormat/>
    <w:rsid w:val="000A7D9D"/>
    <w:pPr>
      <w:keepNext/>
      <w:keepLines/>
      <w:widowControl w:val="0"/>
      <w:snapToGrid w:val="0"/>
      <w:spacing w:after="240" w:line="240" w:lineRule="auto"/>
      <w:outlineLvl w:val="0"/>
    </w:pPr>
    <w:rPr>
      <w:rFonts w:ascii="Verdana" w:eastAsia="Times New Roman" w:hAnsi="Verdana" w:cs="Times New Roman"/>
      <w:b/>
      <w:color w:val="0046AD"/>
      <w:sz w:val="28"/>
      <w:szCs w:val="24"/>
      <w:lang w:eastAsia="fi-FI"/>
    </w:rPr>
  </w:style>
  <w:style w:type="paragraph" w:styleId="Heading2">
    <w:name w:val="heading 2"/>
    <w:aliases w:val="ECHA Heading 2"/>
    <w:basedOn w:val="Normal"/>
    <w:next w:val="Normal"/>
    <w:link w:val="Heading2Char"/>
    <w:unhideWhenUsed/>
    <w:qFormat/>
    <w:rsid w:val="000A7D9D"/>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ECHA Heading 3"/>
    <w:basedOn w:val="Heading2"/>
    <w:next w:val="BodyText"/>
    <w:link w:val="Heading3Char"/>
    <w:qFormat/>
    <w:rsid w:val="000A7D9D"/>
    <w:pPr>
      <w:widowControl w:val="0"/>
      <w:spacing w:before="0" w:after="240"/>
      <w:outlineLvl w:val="2"/>
    </w:pPr>
    <w:rPr>
      <w:rFonts w:ascii="Verdana" w:eastAsia="Times New Roman" w:hAnsi="Verdana" w:cs="Arial"/>
      <w:b/>
      <w:bCs/>
      <w:snapToGrid w:val="0"/>
      <w:color w:val="000000"/>
      <w:sz w:val="22"/>
      <w:szCs w:val="22"/>
      <w:lang w:eastAsia="fi-FI"/>
    </w:rPr>
  </w:style>
  <w:style w:type="paragraph" w:styleId="Heading4">
    <w:name w:val="heading 4"/>
    <w:aliases w:val="ECHA Heading 4"/>
    <w:basedOn w:val="Normal"/>
    <w:next w:val="Normal"/>
    <w:link w:val="Heading4Char"/>
    <w:unhideWhenUsed/>
    <w:qFormat/>
    <w:rsid w:val="000A7D9D"/>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aliases w:val="ECHA Heading 5"/>
    <w:basedOn w:val="Heading3"/>
    <w:next w:val="BodyText"/>
    <w:link w:val="Heading5Char"/>
    <w:qFormat/>
    <w:rsid w:val="000A7D9D"/>
    <w:pPr>
      <w:outlineLvl w:val="4"/>
    </w:pPr>
    <w:rPr>
      <w:bCs w:val="0"/>
      <w:iCs/>
      <w:sz w:val="20"/>
      <w:szCs w:val="26"/>
    </w:rPr>
  </w:style>
  <w:style w:type="paragraph" w:styleId="Heading6">
    <w:name w:val="heading 6"/>
    <w:aliases w:val="ECHA Heading 6"/>
    <w:basedOn w:val="Heading5"/>
    <w:next w:val="BodyText"/>
    <w:link w:val="Heading6Char"/>
    <w:qFormat/>
    <w:rsid w:val="000A7D9D"/>
    <w:pPr>
      <w:outlineLvl w:val="5"/>
    </w:pPr>
    <w:rPr>
      <w:bCs/>
      <w:szCs w:val="22"/>
    </w:rPr>
  </w:style>
  <w:style w:type="paragraph" w:styleId="Heading7">
    <w:name w:val="heading 7"/>
    <w:aliases w:val="ECHA Heading 7"/>
    <w:basedOn w:val="Heading5"/>
    <w:next w:val="BodyText"/>
    <w:link w:val="Heading7Char"/>
    <w:qFormat/>
    <w:rsid w:val="000A7D9D"/>
    <w:pPr>
      <w:outlineLvl w:val="6"/>
    </w:pPr>
    <w:rPr>
      <w:szCs w:val="24"/>
    </w:rPr>
  </w:style>
  <w:style w:type="paragraph" w:styleId="Heading8">
    <w:name w:val="heading 8"/>
    <w:aliases w:val="ECHA Heading 8"/>
    <w:basedOn w:val="Heading5"/>
    <w:next w:val="BodyText"/>
    <w:link w:val="Heading8Char"/>
    <w:qFormat/>
    <w:rsid w:val="000A7D9D"/>
    <w:pPr>
      <w:outlineLvl w:val="7"/>
    </w:pPr>
    <w:rPr>
      <w:iCs w:val="0"/>
      <w:szCs w:val="24"/>
    </w:rPr>
  </w:style>
  <w:style w:type="paragraph" w:styleId="Heading9">
    <w:name w:val="heading 9"/>
    <w:aliases w:val="ECHA Heading 9"/>
    <w:basedOn w:val="Heading5"/>
    <w:next w:val="BodyText"/>
    <w:link w:val="Heading9Char"/>
    <w:qFormat/>
    <w:rsid w:val="000A7D9D"/>
    <w:pPr>
      <w:outlineLvl w:val="8"/>
    </w:pPr>
    <w:rPr>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D10CBA"/>
    <w:rPr>
      <w:color w:val="0000FF"/>
      <w:shd w:val="clear" w:color="auto" w:fill="auto"/>
    </w:rPr>
  </w:style>
  <w:style w:type="paragraph" w:styleId="Header">
    <w:name w:val="header"/>
    <w:basedOn w:val="Normal"/>
    <w:link w:val="HeaderChar"/>
    <w:unhideWhenUsed/>
    <w:rsid w:val="00D10CBA"/>
    <w:pPr>
      <w:tabs>
        <w:tab w:val="center" w:pos="4513"/>
        <w:tab w:val="right" w:pos="9026"/>
      </w:tabs>
      <w:spacing w:after="0" w:line="240" w:lineRule="auto"/>
    </w:pPr>
  </w:style>
  <w:style w:type="character" w:customStyle="1" w:styleId="HeaderChar">
    <w:name w:val="Header Char"/>
    <w:basedOn w:val="DefaultParagraphFont"/>
    <w:link w:val="Header"/>
    <w:rsid w:val="00D10CBA"/>
  </w:style>
  <w:style w:type="paragraph" w:styleId="Footer">
    <w:name w:val="footer"/>
    <w:basedOn w:val="Normal"/>
    <w:link w:val="FooterChar"/>
    <w:uiPriority w:val="99"/>
    <w:unhideWhenUsed/>
    <w:rsid w:val="00D10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CBA"/>
  </w:style>
  <w:style w:type="paragraph" w:customStyle="1" w:styleId="Pagedecouverture">
    <w:name w:val="Page de couverture"/>
    <w:basedOn w:val="Normal"/>
    <w:next w:val="Normal"/>
    <w:rsid w:val="00D10CBA"/>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D10CBA"/>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D10CBA"/>
    <w:rPr>
      <w:rFonts w:ascii="Times New Roman" w:hAnsi="Times New Roman" w:cs="Times New Roman"/>
      <w:sz w:val="24"/>
    </w:rPr>
  </w:style>
  <w:style w:type="paragraph" w:customStyle="1" w:styleId="FooterSensitivity">
    <w:name w:val="Footer Sensitivity"/>
    <w:basedOn w:val="Normal"/>
    <w:link w:val="FooterSensitivityChar"/>
    <w:rsid w:val="00D10CBA"/>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D10CBA"/>
    <w:rPr>
      <w:rFonts w:ascii="Times New Roman" w:hAnsi="Times New Roman" w:cs="Times New Roman"/>
      <w:b/>
      <w:sz w:val="32"/>
    </w:rPr>
  </w:style>
  <w:style w:type="paragraph" w:customStyle="1" w:styleId="HeaderCoverPage">
    <w:name w:val="Header Cover Page"/>
    <w:basedOn w:val="Normal"/>
    <w:link w:val="HeaderCoverPageChar"/>
    <w:rsid w:val="00D10CBA"/>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D10CBA"/>
    <w:rPr>
      <w:rFonts w:ascii="Times New Roman" w:hAnsi="Times New Roman" w:cs="Times New Roman"/>
      <w:sz w:val="24"/>
    </w:rPr>
  </w:style>
  <w:style w:type="paragraph" w:customStyle="1" w:styleId="HeaderSensitivity">
    <w:name w:val="Header Sensitivity"/>
    <w:basedOn w:val="Normal"/>
    <w:link w:val="HeaderSensitivityChar"/>
    <w:rsid w:val="00D10CBA"/>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D10CBA"/>
    <w:rPr>
      <w:rFonts w:ascii="Times New Roman" w:hAnsi="Times New Roman" w:cs="Times New Roman"/>
      <w:b/>
      <w:sz w:val="32"/>
    </w:rPr>
  </w:style>
  <w:style w:type="paragraph" w:customStyle="1" w:styleId="HeaderSensitivityRight">
    <w:name w:val="Header Sensitivity Right"/>
    <w:basedOn w:val="Normal"/>
    <w:link w:val="HeaderSensitivityRightChar"/>
    <w:rsid w:val="00D10CBA"/>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D10CBA"/>
    <w:rPr>
      <w:rFonts w:ascii="Times New Roman" w:hAnsi="Times New Roman" w:cs="Times New Roman"/>
      <w:sz w:val="28"/>
    </w:rPr>
  </w:style>
  <w:style w:type="character" w:customStyle="1" w:styleId="Heading1Char">
    <w:name w:val="Heading 1 Char"/>
    <w:aliases w:val="ECHA Heading 1 Char"/>
    <w:basedOn w:val="DefaultParagraphFont"/>
    <w:link w:val="Heading1"/>
    <w:rsid w:val="000A7D9D"/>
    <w:rPr>
      <w:rFonts w:ascii="Verdana" w:eastAsia="Times New Roman" w:hAnsi="Verdana" w:cs="Times New Roman"/>
      <w:b/>
      <w:color w:val="0046AD"/>
      <w:sz w:val="28"/>
      <w:szCs w:val="24"/>
      <w:lang w:eastAsia="fi-FI"/>
    </w:rPr>
  </w:style>
  <w:style w:type="character" w:customStyle="1" w:styleId="Heading2Char">
    <w:name w:val="Heading 2 Char"/>
    <w:aliases w:val="ECHA Heading 2 Char"/>
    <w:basedOn w:val="DefaultParagraphFont"/>
    <w:link w:val="Heading2"/>
    <w:rsid w:val="000A7D9D"/>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ECHA Heading 3 Char"/>
    <w:basedOn w:val="DefaultParagraphFont"/>
    <w:link w:val="Heading3"/>
    <w:rsid w:val="000A7D9D"/>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0A7D9D"/>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aliases w:val="ECHA Heading 5 Char"/>
    <w:basedOn w:val="DefaultParagraphFont"/>
    <w:link w:val="Heading5"/>
    <w:rsid w:val="000A7D9D"/>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0A7D9D"/>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0A7D9D"/>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0A7D9D"/>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0A7D9D"/>
    <w:rPr>
      <w:rFonts w:ascii="Verdana" w:eastAsia="Times New Roman" w:hAnsi="Verdana" w:cs="Arial"/>
      <w:b/>
      <w:iCs/>
      <w:snapToGrid w:val="0"/>
      <w:color w:val="000000"/>
      <w:sz w:val="20"/>
      <w:lang w:eastAsia="fi-FI"/>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FooterText"/>
    <w:basedOn w:val="Normal"/>
    <w:link w:val="ListParagraphChar"/>
    <w:uiPriority w:val="34"/>
    <w:qFormat/>
    <w:rsid w:val="000A7D9D"/>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
    <w:link w:val="ListParagraph"/>
    <w:uiPriority w:val="34"/>
    <w:qFormat/>
    <w:locked/>
    <w:rsid w:val="000A7D9D"/>
    <w:rPr>
      <w:rFonts w:ascii="Times New Roman" w:eastAsia="Times New Roman" w:hAnsi="Times New Roman" w:cs="Times New Roman"/>
      <w:sz w:val="24"/>
      <w:szCs w:val="24"/>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rsid w:val="000A7D9D"/>
    <w:pPr>
      <w:spacing w:after="0" w:line="240" w:lineRule="auto"/>
    </w:pPr>
    <w:rPr>
      <w:rFonts w:ascii="Times New Roman" w:eastAsia="Times New Roman" w:hAnsi="Times New Roman" w:cs="Times New Roman"/>
      <w:sz w:val="20"/>
      <w:szCs w:val="20"/>
      <w:lang w:val="fr-FR"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0A7D9D"/>
    <w:rPr>
      <w:rFonts w:ascii="Times New Roman" w:eastAsia="Times New Roman" w:hAnsi="Times New Roman" w:cs="Times New Roman"/>
      <w:sz w:val="20"/>
      <w:szCs w:val="20"/>
      <w:lang w:val="fr-FR" w:eastAsia="en-GB"/>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link w:val="CharCharChar1"/>
    <w:uiPriority w:val="99"/>
    <w:qFormat/>
    <w:rsid w:val="000A7D9D"/>
    <w:rPr>
      <w:vertAlign w:val="superscript"/>
    </w:rPr>
  </w:style>
  <w:style w:type="paragraph" w:customStyle="1" w:styleId="CharCharChar1">
    <w:name w:val="Char Char Char1"/>
    <w:basedOn w:val="Normal"/>
    <w:link w:val="FootnoteReference"/>
    <w:uiPriority w:val="99"/>
    <w:rsid w:val="000A7D9D"/>
    <w:pPr>
      <w:spacing w:line="240" w:lineRule="exact"/>
      <w:jc w:val="both"/>
    </w:pPr>
    <w:rPr>
      <w:vertAlign w:val="superscript"/>
    </w:rPr>
  </w:style>
  <w:style w:type="character" w:styleId="Hyperlink">
    <w:name w:val="Hyperlink"/>
    <w:aliases w:val=" Znak Znak Znak,Znak Znak Znak"/>
    <w:basedOn w:val="DefaultParagraphFont"/>
    <w:uiPriority w:val="99"/>
    <w:unhideWhenUsed/>
    <w:qFormat/>
    <w:rsid w:val="000A7D9D"/>
    <w:rPr>
      <w:rFonts w:ascii="Times New Roman" w:hAnsi="Times New Roman" w:cs="Times New Roman" w:hint="default"/>
      <w:color w:val="000000"/>
      <w:u w:val="single"/>
    </w:rPr>
  </w:style>
  <w:style w:type="table" w:styleId="TableGrid">
    <w:name w:val="Table Grid"/>
    <w:aliases w:val="Document Table,CV1,TabelEcorys,HTG,Deloitte,Simple table,Table Grid IDEA,TabelrasterTNO,Tabellengitternetz,Gena,Table Definitions Grid,tt,Table Definitions Grid1,Deloitte Table Grid,Table Definitions Grid2,Table Definitions Grid11"/>
    <w:basedOn w:val="TableNormal"/>
    <w:qFormat/>
    <w:rsid w:val="000A7D9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A7D9D"/>
  </w:style>
  <w:style w:type="paragraph" w:customStyle="1" w:styleId="paragraph">
    <w:name w:val="paragraph"/>
    <w:basedOn w:val="Normal"/>
    <w:rsid w:val="000A7D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0A7D9D"/>
  </w:style>
  <w:style w:type="character" w:customStyle="1" w:styleId="superscript">
    <w:name w:val="superscript"/>
    <w:basedOn w:val="DefaultParagraphFont"/>
    <w:rsid w:val="000A7D9D"/>
  </w:style>
  <w:style w:type="paragraph" w:styleId="BodyText">
    <w:name w:val="Body Text"/>
    <w:aliases w:val="Text"/>
    <w:basedOn w:val="Normal"/>
    <w:link w:val="BodyTextChar"/>
    <w:unhideWhenUsed/>
    <w:qFormat/>
    <w:rsid w:val="000A7D9D"/>
    <w:pPr>
      <w:spacing w:after="120" w:line="240" w:lineRule="auto"/>
    </w:pPr>
    <w:rPr>
      <w:rFonts w:ascii="Times New Roman" w:eastAsia="Times New Roman" w:hAnsi="Times New Roman" w:cs="Times New Roman"/>
      <w:sz w:val="24"/>
      <w:szCs w:val="24"/>
    </w:rPr>
  </w:style>
  <w:style w:type="character" w:customStyle="1" w:styleId="BodyTextChar">
    <w:name w:val="Body Text Char"/>
    <w:aliases w:val="Text Char"/>
    <w:basedOn w:val="DefaultParagraphFont"/>
    <w:link w:val="BodyText"/>
    <w:rsid w:val="000A7D9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A7D9D"/>
    <w:rPr>
      <w:sz w:val="16"/>
      <w:szCs w:val="16"/>
    </w:rPr>
  </w:style>
  <w:style w:type="paragraph" w:styleId="CommentText">
    <w:name w:val="annotation text"/>
    <w:basedOn w:val="Normal"/>
    <w:link w:val="CommentTextChar"/>
    <w:unhideWhenUsed/>
    <w:rsid w:val="000A7D9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0A7D9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0A7D9D"/>
    <w:rPr>
      <w:b/>
      <w:bCs/>
    </w:rPr>
  </w:style>
  <w:style w:type="character" w:customStyle="1" w:styleId="CommentSubjectChar">
    <w:name w:val="Comment Subject Char"/>
    <w:basedOn w:val="CommentTextChar"/>
    <w:link w:val="CommentSubject"/>
    <w:semiHidden/>
    <w:rsid w:val="000A7D9D"/>
    <w:rPr>
      <w:rFonts w:ascii="Times New Roman" w:eastAsia="Times New Roman" w:hAnsi="Times New Roman" w:cs="Times New Roman"/>
      <w:b/>
      <w:bCs/>
      <w:sz w:val="20"/>
      <w:szCs w:val="20"/>
    </w:rPr>
  </w:style>
  <w:style w:type="paragraph" w:styleId="BalloonText">
    <w:name w:val="Balloon Text"/>
    <w:basedOn w:val="Normal"/>
    <w:link w:val="BalloonTextChar"/>
    <w:semiHidden/>
    <w:unhideWhenUsed/>
    <w:rsid w:val="000A7D9D"/>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0A7D9D"/>
    <w:rPr>
      <w:rFonts w:ascii="Segoe UI" w:eastAsia="Times New Roman" w:hAnsi="Segoe UI" w:cs="Segoe UI"/>
      <w:sz w:val="18"/>
      <w:szCs w:val="18"/>
    </w:rPr>
  </w:style>
  <w:style w:type="paragraph" w:styleId="NormalWeb">
    <w:name w:val="Normal (Web)"/>
    <w:basedOn w:val="Normal"/>
    <w:uiPriority w:val="99"/>
    <w:unhideWhenUsed/>
    <w:rsid w:val="000A7D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A7D9D"/>
    <w:rPr>
      <w:i/>
      <w:iCs/>
    </w:rPr>
  </w:style>
  <w:style w:type="paragraph" w:styleId="TOC1">
    <w:name w:val="toc 1"/>
    <w:basedOn w:val="Normal"/>
    <w:next w:val="Normal"/>
    <w:uiPriority w:val="39"/>
    <w:qFormat/>
    <w:rsid w:val="000A7D9D"/>
    <w:pPr>
      <w:tabs>
        <w:tab w:val="right" w:leader="dot" w:pos="8640"/>
      </w:tabs>
      <w:spacing w:before="120" w:after="120" w:line="240" w:lineRule="auto"/>
      <w:ind w:left="482" w:right="720" w:hanging="482"/>
      <w:jc w:val="both"/>
    </w:pPr>
    <w:rPr>
      <w:rFonts w:ascii="Times New Roman" w:eastAsia="Times New Roman" w:hAnsi="Times New Roman" w:cs="Times New Roman"/>
      <w:caps/>
      <w:spacing w:val="-4"/>
      <w:sz w:val="20"/>
      <w:szCs w:val="20"/>
    </w:rPr>
  </w:style>
  <w:style w:type="character" w:styleId="FollowedHyperlink">
    <w:name w:val="FollowedHyperlink"/>
    <w:aliases w:val="Hyperlink opened"/>
    <w:basedOn w:val="DefaultParagraphFont"/>
    <w:unhideWhenUsed/>
    <w:rsid w:val="000A7D9D"/>
    <w:rPr>
      <w:color w:val="954F72" w:themeColor="followedHyperlink"/>
      <w:u w:val="single"/>
    </w:rPr>
  </w:style>
  <w:style w:type="paragraph" w:styleId="Revision">
    <w:name w:val="Revision"/>
    <w:hidden/>
    <w:uiPriority w:val="99"/>
    <w:semiHidden/>
    <w:rsid w:val="000A7D9D"/>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BodyText"/>
    <w:rsid w:val="000A7D9D"/>
    <w:pPr>
      <w:widowControl w:val="0"/>
      <w:spacing w:after="0"/>
    </w:pPr>
    <w:rPr>
      <w:rFonts w:ascii="Verdana" w:hAnsi="Verdana"/>
      <w:snapToGrid w:val="0"/>
      <w:sz w:val="18"/>
      <w:szCs w:val="20"/>
      <w:lang w:eastAsia="fi-FI"/>
    </w:rPr>
  </w:style>
  <w:style w:type="table" w:customStyle="1" w:styleId="TableGrid22">
    <w:name w:val="Table Grid22"/>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CHABulletlist">
    <w:name w:val="ECHA Bullet list"/>
    <w:basedOn w:val="NoList"/>
    <w:rsid w:val="000A7D9D"/>
    <w:pPr>
      <w:numPr>
        <w:numId w:val="24"/>
      </w:numPr>
    </w:pPr>
  </w:style>
  <w:style w:type="character" w:styleId="PageNumber">
    <w:name w:val="page number"/>
    <w:aliases w:val="Page number"/>
    <w:basedOn w:val="DefaultParagraphFont"/>
    <w:rsid w:val="000A7D9D"/>
    <w:rPr>
      <w:rFonts w:ascii="Verdana" w:hAnsi="Verdana"/>
      <w:sz w:val="20"/>
    </w:rPr>
  </w:style>
  <w:style w:type="character" w:customStyle="1" w:styleId="Italic">
    <w:name w:val="Italic"/>
    <w:basedOn w:val="DefaultParagraphFont"/>
    <w:rsid w:val="000A7D9D"/>
    <w:rPr>
      <w:rFonts w:ascii="Verdana" w:hAnsi="Verdana"/>
      <w:i/>
      <w:sz w:val="20"/>
    </w:rPr>
  </w:style>
  <w:style w:type="paragraph" w:styleId="TOC2">
    <w:name w:val="toc 2"/>
    <w:basedOn w:val="Normal"/>
    <w:next w:val="Normal"/>
    <w:autoRedefine/>
    <w:uiPriority w:val="39"/>
    <w:qFormat/>
    <w:rsid w:val="00957AB4"/>
    <w:pPr>
      <w:widowControl w:val="0"/>
      <w:tabs>
        <w:tab w:val="right" w:leader="dot" w:pos="9356"/>
      </w:tabs>
      <w:spacing w:after="120" w:line="240" w:lineRule="auto"/>
      <w:ind w:left="851" w:right="283" w:hanging="340"/>
    </w:pPr>
    <w:rPr>
      <w:rFonts w:ascii="Verdana" w:eastAsia="Times New Roman" w:hAnsi="Verdana" w:cs="Times New Roman"/>
      <w:noProof/>
      <w:snapToGrid w:val="0"/>
      <w:sz w:val="18"/>
      <w:szCs w:val="20"/>
      <w:lang w:eastAsia="fi-FI"/>
    </w:rPr>
  </w:style>
  <w:style w:type="paragraph" w:styleId="TOC3">
    <w:name w:val="toc 3"/>
    <w:basedOn w:val="Normal"/>
    <w:next w:val="Normal"/>
    <w:autoRedefine/>
    <w:uiPriority w:val="39"/>
    <w:qFormat/>
    <w:rsid w:val="000A7D9D"/>
    <w:pPr>
      <w:widowControl w:val="0"/>
      <w:tabs>
        <w:tab w:val="right" w:leader="dot" w:pos="9639"/>
      </w:tabs>
      <w:spacing w:after="120" w:line="240" w:lineRule="auto"/>
      <w:ind w:left="851" w:hanging="851"/>
    </w:pPr>
    <w:rPr>
      <w:rFonts w:ascii="Verdana" w:eastAsia="Times New Roman" w:hAnsi="Verdana" w:cs="Times New Roman"/>
      <w:snapToGrid w:val="0"/>
      <w:sz w:val="18"/>
      <w:szCs w:val="20"/>
      <w:lang w:eastAsia="fi-FI"/>
    </w:rPr>
  </w:style>
  <w:style w:type="paragraph" w:customStyle="1" w:styleId="Leipteksti1">
    <w:name w:val="Leipäteksti1"/>
    <w:basedOn w:val="Normal"/>
    <w:semiHidden/>
    <w:rsid w:val="000A7D9D"/>
    <w:pPr>
      <w:widowControl w:val="0"/>
      <w:spacing w:after="0" w:line="240" w:lineRule="auto"/>
      <w:ind w:left="2608"/>
    </w:pPr>
    <w:rPr>
      <w:rFonts w:ascii="Verdana" w:eastAsia="Times New Roman" w:hAnsi="Verdana" w:cs="Times New Roman"/>
      <w:snapToGrid w:val="0"/>
      <w:sz w:val="20"/>
      <w:szCs w:val="24"/>
      <w:lang w:eastAsia="fi-FI"/>
    </w:rPr>
  </w:style>
  <w:style w:type="paragraph" w:styleId="BodyTextFirstIndent">
    <w:name w:val="Body Text First Indent"/>
    <w:basedOn w:val="BodyText"/>
    <w:link w:val="BodyTextFirstIndentChar"/>
    <w:semiHidden/>
    <w:rsid w:val="000A7D9D"/>
    <w:pPr>
      <w:widowControl w:val="0"/>
      <w:ind w:firstLine="210"/>
    </w:pPr>
    <w:rPr>
      <w:rFonts w:ascii="Verdana" w:hAnsi="Verdana"/>
      <w:snapToGrid w:val="0"/>
      <w:sz w:val="20"/>
      <w:szCs w:val="20"/>
      <w:lang w:eastAsia="fi-FI"/>
    </w:rPr>
  </w:style>
  <w:style w:type="character" w:customStyle="1" w:styleId="BodyTextFirstIndentChar">
    <w:name w:val="Body Text First Indent Char"/>
    <w:basedOn w:val="BodyTextChar"/>
    <w:link w:val="BodyTextFirstIndent"/>
    <w:semiHidden/>
    <w:rsid w:val="000A7D9D"/>
    <w:rPr>
      <w:rFonts w:ascii="Verdana" w:eastAsia="Times New Roman" w:hAnsi="Verdana" w:cs="Times New Roman"/>
      <w:snapToGrid w:val="0"/>
      <w:sz w:val="20"/>
      <w:szCs w:val="20"/>
      <w:lang w:eastAsia="fi-FI"/>
    </w:rPr>
  </w:style>
  <w:style w:type="character" w:customStyle="1" w:styleId="Bold">
    <w:name w:val="Bold"/>
    <w:basedOn w:val="DefaultParagraphFont"/>
    <w:rsid w:val="000A7D9D"/>
    <w:rPr>
      <w:rFonts w:ascii="Verdana" w:hAnsi="Verdana"/>
      <w:b/>
      <w:sz w:val="20"/>
    </w:rPr>
  </w:style>
  <w:style w:type="paragraph" w:customStyle="1" w:styleId="BulletedList1-usermanual">
    <w:name w:val="Bulleted List 1 - user manual"/>
    <w:basedOn w:val="Normal"/>
    <w:rsid w:val="000A7D9D"/>
    <w:pPr>
      <w:widowControl w:val="0"/>
      <w:numPr>
        <w:numId w:val="85"/>
      </w:numPr>
      <w:spacing w:after="0" w:line="360" w:lineRule="auto"/>
    </w:pPr>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0A7D9D"/>
    <w:pPr>
      <w:spacing w:after="120"/>
      <w:ind w:left="283"/>
    </w:pPr>
  </w:style>
  <w:style w:type="character" w:customStyle="1" w:styleId="BodyTextIndentChar">
    <w:name w:val="Body Text Indent Char"/>
    <w:basedOn w:val="DefaultParagraphFont"/>
    <w:link w:val="BodyTextIndent"/>
    <w:uiPriority w:val="99"/>
    <w:semiHidden/>
    <w:rsid w:val="000A7D9D"/>
  </w:style>
  <w:style w:type="paragraph" w:styleId="BodyTextFirstIndent2">
    <w:name w:val="Body Text First Indent 2"/>
    <w:basedOn w:val="Normal"/>
    <w:link w:val="BodyTextFirstIndent2Char"/>
    <w:semiHidden/>
    <w:rsid w:val="000A7D9D"/>
    <w:pPr>
      <w:widowControl w:val="0"/>
      <w:spacing w:after="120" w:line="240" w:lineRule="auto"/>
      <w:ind w:left="283" w:firstLine="210"/>
    </w:pPr>
    <w:rPr>
      <w:rFonts w:ascii="Verdana" w:eastAsia="Times New Roman" w:hAnsi="Verdana" w:cs="Times New Roman"/>
      <w:snapToGrid w:val="0"/>
      <w:sz w:val="20"/>
      <w:szCs w:val="20"/>
      <w:lang w:eastAsia="fi-FI"/>
    </w:rPr>
  </w:style>
  <w:style w:type="character" w:customStyle="1" w:styleId="BodyTextFirstIndent2Char">
    <w:name w:val="Body Text First Indent 2 Char"/>
    <w:basedOn w:val="BodyTextIndentChar"/>
    <w:link w:val="BodyTextFirstIndent2"/>
    <w:semiHidden/>
    <w:rsid w:val="000A7D9D"/>
    <w:rPr>
      <w:rFonts w:ascii="Verdana" w:eastAsia="Times New Roman" w:hAnsi="Verdana" w:cs="Times New Roman"/>
      <w:snapToGrid w:val="0"/>
      <w:sz w:val="20"/>
      <w:szCs w:val="20"/>
      <w:lang w:eastAsia="fi-FI"/>
    </w:rPr>
  </w:style>
  <w:style w:type="paragraph" w:customStyle="1" w:styleId="Disclaimer">
    <w:name w:val="Disclaimer"/>
    <w:basedOn w:val="Footer"/>
    <w:rsid w:val="000A7D9D"/>
    <w:pPr>
      <w:widowControl w:val="0"/>
      <w:tabs>
        <w:tab w:val="clear" w:pos="4513"/>
        <w:tab w:val="clear" w:pos="9026"/>
      </w:tabs>
      <w:spacing w:before="120" w:line="140" w:lineRule="exact"/>
    </w:pPr>
    <w:rPr>
      <w:rFonts w:ascii="Verdana" w:eastAsia="Times New Roman" w:hAnsi="Verdana" w:cs="Times New Roman"/>
      <w:snapToGrid w:val="0"/>
      <w:sz w:val="11"/>
      <w:szCs w:val="20"/>
      <w:lang w:eastAsia="fi-FI"/>
    </w:rPr>
  </w:style>
  <w:style w:type="numbering" w:customStyle="1" w:styleId="ECHANumberlist">
    <w:name w:val="ECHA Number list"/>
    <w:basedOn w:val="NoList"/>
    <w:rsid w:val="000A7D9D"/>
    <w:pPr>
      <w:numPr>
        <w:numId w:val="84"/>
      </w:numPr>
    </w:pPr>
  </w:style>
  <w:style w:type="paragraph" w:customStyle="1" w:styleId="Tableheader">
    <w:name w:val="Table header"/>
    <w:basedOn w:val="BodyText"/>
    <w:rsid w:val="000A7D9D"/>
    <w:pPr>
      <w:widowControl w:val="0"/>
    </w:pPr>
    <w:rPr>
      <w:rFonts w:ascii="Verdana" w:hAnsi="Verdana"/>
      <w:b/>
      <w:snapToGrid w:val="0"/>
      <w:color w:val="FFCC00"/>
      <w:sz w:val="18"/>
      <w:szCs w:val="18"/>
      <w:lang w:eastAsia="fi-FI"/>
    </w:rPr>
  </w:style>
  <w:style w:type="paragraph" w:customStyle="1" w:styleId="Numberedlist">
    <w:name w:val="Numbered list"/>
    <w:basedOn w:val="BulletedList1-usermanual"/>
    <w:next w:val="BodyText"/>
    <w:rsid w:val="000A7D9D"/>
    <w:pPr>
      <w:numPr>
        <w:numId w:val="86"/>
      </w:numPr>
    </w:pPr>
  </w:style>
  <w:style w:type="paragraph" w:styleId="TOCHeading">
    <w:name w:val="TOC Heading"/>
    <w:basedOn w:val="Heading1"/>
    <w:next w:val="Normal"/>
    <w:uiPriority w:val="39"/>
    <w:unhideWhenUsed/>
    <w:qFormat/>
    <w:rsid w:val="000A7D9D"/>
    <w:pPr>
      <w:widowControl/>
      <w:snapToGrid/>
      <w:spacing w:before="480" w:line="276" w:lineRule="auto"/>
      <w:outlineLvl w:val="9"/>
    </w:pPr>
    <w:rPr>
      <w:rFonts w:eastAsiaTheme="majorEastAsia" w:cstheme="majorBidi"/>
      <w:bCs/>
      <w:szCs w:val="28"/>
      <w:lang w:eastAsia="en-GB"/>
    </w:rPr>
  </w:style>
  <w:style w:type="paragraph" w:styleId="TOC4">
    <w:name w:val="toc 4"/>
    <w:basedOn w:val="Normal"/>
    <w:next w:val="Normal"/>
    <w:autoRedefine/>
    <w:uiPriority w:val="39"/>
    <w:semiHidden/>
    <w:rsid w:val="000A7D9D"/>
    <w:pPr>
      <w:widowControl w:val="0"/>
      <w:spacing w:after="100" w:line="240" w:lineRule="auto"/>
      <w:ind w:left="600"/>
    </w:pPr>
    <w:rPr>
      <w:rFonts w:ascii="Verdana" w:eastAsia="Times New Roman" w:hAnsi="Verdana" w:cs="Times New Roman"/>
      <w:snapToGrid w:val="0"/>
      <w:sz w:val="20"/>
      <w:szCs w:val="20"/>
      <w:lang w:eastAsia="fi-FI"/>
    </w:rPr>
  </w:style>
  <w:style w:type="paragraph" w:styleId="TOC5">
    <w:name w:val="toc 5"/>
    <w:basedOn w:val="Normal"/>
    <w:next w:val="Normal"/>
    <w:autoRedefine/>
    <w:uiPriority w:val="39"/>
    <w:semiHidden/>
    <w:rsid w:val="000A7D9D"/>
    <w:pPr>
      <w:widowControl w:val="0"/>
      <w:spacing w:after="100" w:line="240" w:lineRule="auto"/>
      <w:ind w:left="800"/>
    </w:pPr>
    <w:rPr>
      <w:rFonts w:ascii="Verdana" w:eastAsia="Times New Roman" w:hAnsi="Verdana" w:cs="Times New Roman"/>
      <w:snapToGrid w:val="0"/>
      <w:sz w:val="20"/>
      <w:szCs w:val="20"/>
      <w:lang w:eastAsia="fi-FI"/>
    </w:rPr>
  </w:style>
  <w:style w:type="paragraph" w:styleId="TOC6">
    <w:name w:val="toc 6"/>
    <w:basedOn w:val="Normal"/>
    <w:next w:val="Normal"/>
    <w:autoRedefine/>
    <w:uiPriority w:val="39"/>
    <w:semiHidden/>
    <w:rsid w:val="000A7D9D"/>
    <w:pPr>
      <w:widowControl w:val="0"/>
      <w:spacing w:after="100" w:line="240" w:lineRule="auto"/>
      <w:ind w:left="1000"/>
    </w:pPr>
    <w:rPr>
      <w:rFonts w:ascii="Verdana" w:eastAsia="Times New Roman" w:hAnsi="Verdana" w:cs="Times New Roman"/>
      <w:snapToGrid w:val="0"/>
      <w:sz w:val="20"/>
      <w:szCs w:val="20"/>
      <w:lang w:eastAsia="fi-FI"/>
    </w:rPr>
  </w:style>
  <w:style w:type="paragraph" w:styleId="TOC7">
    <w:name w:val="toc 7"/>
    <w:basedOn w:val="Normal"/>
    <w:next w:val="Normal"/>
    <w:autoRedefine/>
    <w:uiPriority w:val="39"/>
    <w:semiHidden/>
    <w:rsid w:val="000A7D9D"/>
    <w:pPr>
      <w:widowControl w:val="0"/>
      <w:spacing w:after="100" w:line="240" w:lineRule="auto"/>
      <w:ind w:left="1200"/>
    </w:pPr>
    <w:rPr>
      <w:rFonts w:ascii="Verdana" w:eastAsia="Times New Roman" w:hAnsi="Verdana" w:cs="Times New Roman"/>
      <w:snapToGrid w:val="0"/>
      <w:sz w:val="20"/>
      <w:szCs w:val="20"/>
      <w:lang w:eastAsia="fi-FI"/>
    </w:rPr>
  </w:style>
  <w:style w:type="paragraph" w:styleId="TOC8">
    <w:name w:val="toc 8"/>
    <w:basedOn w:val="Normal"/>
    <w:next w:val="Normal"/>
    <w:autoRedefine/>
    <w:uiPriority w:val="39"/>
    <w:semiHidden/>
    <w:rsid w:val="000A7D9D"/>
    <w:pPr>
      <w:widowControl w:val="0"/>
      <w:spacing w:after="100" w:line="240" w:lineRule="auto"/>
      <w:ind w:left="1400"/>
    </w:pPr>
    <w:rPr>
      <w:rFonts w:ascii="Verdana" w:eastAsia="Times New Roman" w:hAnsi="Verdana" w:cs="Times New Roman"/>
      <w:snapToGrid w:val="0"/>
      <w:sz w:val="20"/>
      <w:szCs w:val="20"/>
      <w:lang w:eastAsia="fi-FI"/>
    </w:rPr>
  </w:style>
  <w:style w:type="paragraph" w:styleId="TOC9">
    <w:name w:val="toc 9"/>
    <w:basedOn w:val="Normal"/>
    <w:next w:val="Normal"/>
    <w:autoRedefine/>
    <w:uiPriority w:val="39"/>
    <w:semiHidden/>
    <w:rsid w:val="000A7D9D"/>
    <w:pPr>
      <w:widowControl w:val="0"/>
      <w:spacing w:after="100" w:line="240" w:lineRule="auto"/>
      <w:ind w:left="1600"/>
    </w:pPr>
    <w:rPr>
      <w:rFonts w:ascii="Verdana" w:eastAsia="Times New Roman" w:hAnsi="Verdana" w:cs="Times New Roman"/>
      <w:snapToGrid w:val="0"/>
      <w:sz w:val="20"/>
      <w:szCs w:val="20"/>
      <w:lang w:eastAsia="fi-FI"/>
    </w:rPr>
  </w:style>
  <w:style w:type="paragraph" w:customStyle="1" w:styleId="Tablecaption">
    <w:name w:val="Table caption"/>
    <w:basedOn w:val="BodyText"/>
    <w:link w:val="TablecaptionChar"/>
    <w:autoRedefine/>
    <w:rsid w:val="000A7D9D"/>
    <w:pPr>
      <w:widowControl w:val="0"/>
      <w:spacing w:before="120"/>
    </w:pPr>
    <w:rPr>
      <w:rFonts w:ascii="Verdana" w:hAnsi="Verdana"/>
      <w:b/>
      <w:snapToGrid w:val="0"/>
      <w:sz w:val="20"/>
      <w:szCs w:val="20"/>
      <w:lang w:eastAsia="fi-FI"/>
    </w:rPr>
  </w:style>
  <w:style w:type="paragraph" w:customStyle="1" w:styleId="Figurecaption">
    <w:name w:val="Figure caption"/>
    <w:basedOn w:val="BodyText"/>
    <w:link w:val="FigurecaptionChar"/>
    <w:autoRedefine/>
    <w:rsid w:val="000A7D9D"/>
    <w:pPr>
      <w:widowControl w:val="0"/>
      <w:spacing w:before="120"/>
    </w:pPr>
    <w:rPr>
      <w:rFonts w:ascii="Verdana" w:hAnsi="Verdana"/>
      <w:b/>
      <w:snapToGrid w:val="0"/>
      <w:sz w:val="20"/>
      <w:szCs w:val="20"/>
      <w:lang w:eastAsia="fi-FI"/>
    </w:rPr>
  </w:style>
  <w:style w:type="character" w:customStyle="1" w:styleId="TablecaptionChar">
    <w:name w:val="Table caption Char"/>
    <w:basedOn w:val="BodyTextChar"/>
    <w:link w:val="Tablecaption"/>
    <w:rsid w:val="000A7D9D"/>
    <w:rPr>
      <w:rFonts w:ascii="Verdana" w:eastAsia="Times New Roman" w:hAnsi="Verdana" w:cs="Times New Roman"/>
      <w:b/>
      <w:snapToGrid w:val="0"/>
      <w:sz w:val="20"/>
      <w:szCs w:val="20"/>
      <w:lang w:eastAsia="fi-FI"/>
    </w:rPr>
  </w:style>
  <w:style w:type="paragraph" w:styleId="Caption">
    <w:name w:val="caption"/>
    <w:basedOn w:val="Normal"/>
    <w:next w:val="Normal"/>
    <w:autoRedefine/>
    <w:unhideWhenUsed/>
    <w:qFormat/>
    <w:rsid w:val="000A7D9D"/>
    <w:pPr>
      <w:widowControl w:val="0"/>
      <w:spacing w:after="200" w:line="240" w:lineRule="auto"/>
    </w:pPr>
    <w:rPr>
      <w:rFonts w:ascii="Verdana" w:eastAsia="Times New Roman" w:hAnsi="Verdana" w:cs="Times New Roman"/>
      <w:b/>
      <w:bCs/>
      <w:snapToGrid w:val="0"/>
      <w:sz w:val="18"/>
      <w:szCs w:val="18"/>
      <w:lang w:eastAsia="fi-FI"/>
    </w:rPr>
  </w:style>
  <w:style w:type="character" w:customStyle="1" w:styleId="FigurecaptionChar">
    <w:name w:val="Figure caption Char"/>
    <w:basedOn w:val="BodyTextChar"/>
    <w:link w:val="Figurecaption"/>
    <w:rsid w:val="000A7D9D"/>
    <w:rPr>
      <w:rFonts w:ascii="Verdana" w:eastAsia="Times New Roman" w:hAnsi="Verdana" w:cs="Times New Roman"/>
      <w:b/>
      <w:snapToGrid w:val="0"/>
      <w:sz w:val="20"/>
      <w:szCs w:val="20"/>
      <w:lang w:eastAsia="fi-FI"/>
    </w:rPr>
  </w:style>
  <w:style w:type="character" w:styleId="SubtleEmphasis">
    <w:name w:val="Subtle Emphasis"/>
    <w:basedOn w:val="DefaultParagraphFont"/>
    <w:uiPriority w:val="19"/>
    <w:rsid w:val="000A7D9D"/>
    <w:rPr>
      <w:rFonts w:asciiTheme="minorHAnsi" w:hAnsiTheme="minorHAnsi"/>
      <w:i/>
      <w:iCs/>
      <w:color w:val="808080" w:themeColor="text1" w:themeTint="7F"/>
    </w:rPr>
  </w:style>
  <w:style w:type="table" w:styleId="LightList-Accent1">
    <w:name w:val="Light List Accent 1"/>
    <w:basedOn w:val="TableNormal"/>
    <w:uiPriority w:val="61"/>
    <w:rsid w:val="000A7D9D"/>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TableColorful1">
    <w:name w:val="Table Colorful 1"/>
    <w:basedOn w:val="TableNormal"/>
    <w:rsid w:val="000A7D9D"/>
    <w:pPr>
      <w:widowControl w:val="0"/>
      <w:spacing w:after="0" w:line="240" w:lineRule="auto"/>
    </w:pPr>
    <w:rPr>
      <w:rFonts w:ascii="Verdana" w:eastAsia="Times New Roman" w:hAnsi="Verdana"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ECHA">
    <w:name w:val="ECHA"/>
    <w:basedOn w:val="TableNormal"/>
    <w:rsid w:val="000A7D9D"/>
    <w:pPr>
      <w:spacing w:after="0" w:line="240" w:lineRule="auto"/>
    </w:pPr>
    <w:rPr>
      <w:rFonts w:ascii="Verdana" w:eastAsia="Times New Roman" w:hAnsi="Verdana" w:cs="Times New Roman"/>
      <w:sz w:val="20"/>
      <w:szCs w:val="20"/>
      <w:lang w:eastAsia="en-GB"/>
    </w:rPr>
    <w:tblPr>
      <w:tblStyleRowBandSize w:val="1"/>
      <w:tblBorders>
        <w:top w:val="single" w:sz="4" w:space="0" w:color="0046AD"/>
        <w:left w:val="single" w:sz="4" w:space="0" w:color="0046AD"/>
        <w:bottom w:val="single" w:sz="4" w:space="0" w:color="0046AD"/>
        <w:right w:val="single" w:sz="4" w:space="0" w:color="0046AD"/>
        <w:insideV w:val="single" w:sz="4" w:space="0" w:color="0046AD"/>
      </w:tblBorders>
      <w:tblCellMar>
        <w:top w:w="113" w:type="dxa"/>
        <w:bottom w:w="113" w:type="dxa"/>
      </w:tblCellMar>
    </w:tblPr>
    <w:trPr>
      <w:cantSplit/>
    </w:trPr>
    <w:tblStylePr w:type="firstRow">
      <w:pPr>
        <w:wordWrap/>
        <w:jc w:val="left"/>
      </w:pPr>
      <w:rPr>
        <w:rFonts w:ascii="Verdana" w:hAnsi="Verdana"/>
        <w:b/>
        <w:color w:val="FFFFFF"/>
        <w:sz w:val="20"/>
      </w:rPr>
      <w:tblPr/>
      <w:tcPr>
        <w:tcBorders>
          <w:top w:val="single" w:sz="4" w:space="0" w:color="0046AD"/>
          <w:left w:val="single" w:sz="4" w:space="0" w:color="0046AD"/>
          <w:bottom w:val="single" w:sz="4" w:space="0" w:color="0046AD"/>
          <w:right w:val="single" w:sz="4" w:space="0" w:color="0046AD"/>
          <w:insideH w:val="single" w:sz="4" w:space="0" w:color="0046AD"/>
          <w:insideV w:val="single" w:sz="4" w:space="0" w:color="0046AD"/>
          <w:tl2br w:val="nil"/>
          <w:tr2bl w:val="nil"/>
        </w:tcBorders>
        <w:shd w:val="clear" w:color="auto" w:fill="0046AD"/>
      </w:tcPr>
    </w:tblStylePr>
    <w:tblStylePr w:type="lastRow">
      <w:rPr>
        <w:rFonts w:ascii="Verdana" w:hAnsi="Verdana"/>
      </w:rPr>
    </w:tblStylePr>
    <w:tblStylePr w:type="firstCol">
      <w:rPr>
        <w:rFonts w:ascii="Calibri" w:hAnsi="Calibri"/>
      </w:rPr>
    </w:tblStylePr>
    <w:tblStylePr w:type="band2Horz">
      <w:tblPr/>
      <w:tcPr>
        <w:tcBorders>
          <w:top w:val="nil"/>
          <w:left w:val="single" w:sz="4" w:space="0" w:color="0046AD"/>
          <w:bottom w:val="nil"/>
          <w:right w:val="single" w:sz="4" w:space="0" w:color="0046AD"/>
          <w:insideH w:val="nil"/>
          <w:insideV w:val="single" w:sz="4" w:space="0" w:color="0046AD"/>
          <w:tl2br w:val="nil"/>
          <w:tr2bl w:val="nil"/>
        </w:tcBorders>
        <w:shd w:val="clear" w:color="auto" w:fill="D7EFFA"/>
      </w:tcPr>
    </w:tblStylePr>
  </w:style>
  <w:style w:type="table" w:customStyle="1" w:styleId="Echa2">
    <w:name w:val="Echa2"/>
    <w:basedOn w:val="TableNormal"/>
    <w:uiPriority w:val="99"/>
    <w:rsid w:val="000A7D9D"/>
    <w:pPr>
      <w:spacing w:after="0" w:line="240" w:lineRule="auto"/>
    </w:pPr>
    <w:rPr>
      <w:rFonts w:ascii="Verdana" w:eastAsia="Times New Roman" w:hAnsi="Verdana" w:cs="Times New Roman"/>
      <w:sz w:val="20"/>
      <w:szCs w:val="20"/>
      <w:lang w:eastAsia="en-GB"/>
    </w:rPr>
    <w:tblPr>
      <w:tblStyleRowBandSize w:val="1"/>
      <w:tblStyleColBandSize w:val="1"/>
      <w:tblBorders>
        <w:top w:val="single" w:sz="24" w:space="0" w:color="FFFFFF"/>
        <w:left w:val="single" w:sz="24" w:space="0" w:color="FFFFFF"/>
        <w:bottom w:val="single" w:sz="24" w:space="0" w:color="FFFFFF"/>
        <w:right w:val="single" w:sz="24" w:space="0" w:color="FFFFFF"/>
        <w:insideV w:val="single" w:sz="24" w:space="0" w:color="FFFFFF"/>
      </w:tblBorders>
      <w:tblCellMar>
        <w:top w:w="113" w:type="dxa"/>
        <w:bottom w:w="113" w:type="dxa"/>
      </w:tblCellMar>
    </w:tblPr>
    <w:trPr>
      <w:cantSplit/>
    </w:trPr>
    <w:tblStylePr w:type="firstRow">
      <w:pPr>
        <w:wordWrap/>
        <w:jc w:val="left"/>
      </w:pPr>
      <w:rPr>
        <w:rFonts w:ascii="Verdana" w:hAnsi="Verdana"/>
        <w:b/>
        <w:color w:val="FFFFFF"/>
        <w:sz w:val="20"/>
      </w:rPr>
      <w:tblPr/>
      <w:tcPr>
        <w:tcBorders>
          <w:top w:val="single" w:sz="4" w:space="0" w:color="0046AD"/>
          <w:left w:val="single" w:sz="4" w:space="0" w:color="0046AD"/>
          <w:bottom w:val="single" w:sz="4" w:space="0" w:color="0046AD"/>
          <w:right w:val="single" w:sz="4" w:space="0" w:color="0046AD"/>
          <w:insideH w:val="single" w:sz="4" w:space="0" w:color="0046AD"/>
          <w:insideV w:val="single" w:sz="4" w:space="0" w:color="0046AD"/>
          <w:tl2br w:val="nil"/>
          <w:tr2bl w:val="nil"/>
        </w:tcBorders>
        <w:shd w:val="clear" w:color="auto" w:fill="0046AD"/>
      </w:tcPr>
    </w:tblStylePr>
    <w:tblStylePr w:type="lastRow">
      <w:rPr>
        <w:rFonts w:ascii="Verdana" w:hAnsi="Verdana"/>
      </w:rPr>
    </w:tblStylePr>
    <w:tblStylePr w:type="firstCol">
      <w:rPr>
        <w:rFonts w:ascii="Verdana" w:hAnsi="Verdana"/>
      </w:rPr>
    </w:tblStylePr>
    <w:tblStylePr w:type="band2Horz">
      <w:tblPr/>
      <w:tcPr>
        <w:tcBorders>
          <w:top w:val="nil"/>
          <w:left w:val="single" w:sz="18" w:space="0" w:color="FFFFFF"/>
          <w:bottom w:val="nil"/>
          <w:right w:val="single" w:sz="18" w:space="0" w:color="FFFFFF"/>
          <w:insideH w:val="nil"/>
          <w:insideV w:val="single" w:sz="18" w:space="0" w:color="FFFFFF"/>
          <w:tl2br w:val="nil"/>
          <w:tr2bl w:val="nil"/>
        </w:tcBorders>
        <w:shd w:val="clear" w:color="auto" w:fill="D7EFFA"/>
      </w:tcPr>
    </w:tblStylePr>
  </w:style>
  <w:style w:type="table" w:customStyle="1" w:styleId="Echa3">
    <w:name w:val="Echa3"/>
    <w:basedOn w:val="ECHA"/>
    <w:uiPriority w:val="99"/>
    <w:rsid w:val="000A7D9D"/>
    <w:tblPr>
      <w:tblStyleColBandSize w:val="1"/>
      <w:tblBorders>
        <w:top w:val="single" w:sz="12" w:space="0" w:color="FFFFFF"/>
        <w:left w:val="single" w:sz="12" w:space="0" w:color="FFFFFF"/>
        <w:bottom w:val="single" w:sz="12" w:space="0" w:color="FFFFFF"/>
        <w:right w:val="none" w:sz="0" w:space="0" w:color="auto"/>
        <w:insideV w:val="none" w:sz="0" w:space="0" w:color="auto"/>
      </w:tblBorders>
    </w:tblPr>
    <w:tcPr>
      <w:shd w:val="clear" w:color="auto" w:fill="auto"/>
    </w:tcPr>
    <w:tblStylePr w:type="firstRow">
      <w:pPr>
        <w:wordWrap/>
        <w:jc w:val="center"/>
      </w:pPr>
      <w:rPr>
        <w:rFonts w:ascii="Verdana" w:hAnsi="Verdana"/>
        <w:b/>
        <w:color w:val="FFFFFF"/>
        <w:sz w:val="20"/>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0046AD"/>
      </w:tcPr>
    </w:tblStylePr>
    <w:tblStylePr w:type="lastRow">
      <w:rPr>
        <w:rFonts w:ascii="Verdana" w:hAnsi="Verdana"/>
      </w:rPr>
    </w:tblStylePr>
    <w:tblStylePr w:type="firstCol">
      <w:rPr>
        <w:rFonts w:ascii="Verdana" w:hAnsi="Verdana"/>
        <w:color w:val="FFFFFF"/>
      </w:rPr>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cBorders>
        <w:shd w:val="clear" w:color="auto" w:fill="0046AD"/>
      </w:tcPr>
    </w:tblStylePr>
    <w:tblStylePr w:type="band2Horz">
      <w:tblPr/>
      <w:tcPr>
        <w:tcBorders>
          <w:top w:val="nil"/>
          <w:left w:val="single" w:sz="24" w:space="0" w:color="FFFFFF"/>
          <w:bottom w:val="nil"/>
          <w:right w:val="single" w:sz="24" w:space="0" w:color="FFFFFF"/>
          <w:insideH w:val="nil"/>
          <w:insideV w:val="single" w:sz="24" w:space="0" w:color="FFFFFF"/>
          <w:tl2br w:val="nil"/>
          <w:tr2bl w:val="nil"/>
        </w:tcBorders>
        <w:shd w:val="clear" w:color="auto" w:fill="D7EFFA"/>
      </w:tcPr>
    </w:tblStylePr>
    <w:tblStylePr w:type="nwCell">
      <w:rPr>
        <w:rFonts w:ascii="Verdana" w:hAnsi="Verdana"/>
      </w:rPr>
    </w:tblStylePr>
  </w:style>
  <w:style w:type="table" w:customStyle="1" w:styleId="Echa4">
    <w:name w:val="Echa4"/>
    <w:basedOn w:val="TableNormal"/>
    <w:uiPriority w:val="99"/>
    <w:rsid w:val="000A7D9D"/>
    <w:pPr>
      <w:spacing w:after="0" w:line="240" w:lineRule="auto"/>
    </w:pPr>
    <w:rPr>
      <w:rFonts w:ascii="Verdana" w:eastAsia="Times New Roman" w:hAnsi="Verdana" w:cs="Times New Roman"/>
      <w:sz w:val="24"/>
      <w:szCs w:val="20"/>
      <w:lang w:eastAsia="en-GB"/>
    </w:rPr>
    <w:tblPr/>
    <w:tblStylePr w:type="firstRow">
      <w:rPr>
        <w:rFonts w:ascii="Verdana" w:hAnsi="Verdana"/>
        <w:b/>
      </w:rPr>
      <w:tblPr/>
      <w:tcPr>
        <w:tcBorders>
          <w:top w:val="single" w:sz="12" w:space="0" w:color="FF9900"/>
          <w:bottom w:val="single" w:sz="12" w:space="0" w:color="FF9900"/>
        </w:tcBorders>
      </w:tcPr>
    </w:tblStylePr>
  </w:style>
  <w:style w:type="table" w:customStyle="1" w:styleId="Echa5">
    <w:name w:val="Echa5"/>
    <w:basedOn w:val="TableNormal"/>
    <w:uiPriority w:val="99"/>
    <w:rsid w:val="000A7D9D"/>
    <w:pPr>
      <w:spacing w:after="0" w:line="240" w:lineRule="auto"/>
    </w:pPr>
    <w:rPr>
      <w:rFonts w:ascii="Verdana" w:eastAsia="Times New Roman" w:hAnsi="Verdana" w:cs="Times New Roman"/>
      <w:sz w:val="20"/>
      <w:szCs w:val="20"/>
      <w:lang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wordWrap/>
        <w:jc w:val="center"/>
      </w:pPr>
      <w:rPr>
        <w:rFonts w:ascii="Verdana" w:hAnsi="Verdana"/>
        <w:b/>
        <w:i w:val="0"/>
        <w:color w:val="000000"/>
      </w:rPr>
      <w:tblPr/>
      <w:tcPr>
        <w:shd w:val="clear" w:color="auto" w:fill="D7EFFA"/>
        <w:tcMar>
          <w:top w:w="113" w:type="dxa"/>
          <w:left w:w="113" w:type="dxa"/>
          <w:bottom w:w="113" w:type="dxa"/>
          <w:right w:w="113" w:type="dxa"/>
        </w:tcMar>
        <w:vAlign w:val="center"/>
      </w:tcPr>
    </w:tblStylePr>
  </w:style>
  <w:style w:type="character" w:styleId="PlaceholderText">
    <w:name w:val="Placeholder Text"/>
    <w:basedOn w:val="DefaultParagraphFont"/>
    <w:uiPriority w:val="99"/>
    <w:semiHidden/>
    <w:rsid w:val="000A7D9D"/>
    <w:rPr>
      <w:color w:val="808080"/>
    </w:rPr>
  </w:style>
  <w:style w:type="character" w:styleId="Strong">
    <w:name w:val="Strong"/>
    <w:basedOn w:val="DefaultParagraphFont"/>
    <w:qFormat/>
    <w:rsid w:val="000A7D9D"/>
    <w:rPr>
      <w:b/>
      <w:bCs/>
    </w:rPr>
  </w:style>
  <w:style w:type="table" w:customStyle="1" w:styleId="TableGrid11">
    <w:name w:val="Table Grid11"/>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0A7D9D"/>
    <w:pPr>
      <w:widowControl w:val="0"/>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0A7D9D"/>
    <w:rPr>
      <w:color w:val="605E5C"/>
      <w:shd w:val="clear" w:color="auto" w:fill="E1DFDD"/>
    </w:rPr>
  </w:style>
  <w:style w:type="character" w:customStyle="1" w:styleId="Mention1">
    <w:name w:val="Mention1"/>
    <w:basedOn w:val="DefaultParagraphFont"/>
    <w:uiPriority w:val="99"/>
    <w:unhideWhenUsed/>
    <w:rsid w:val="000A7D9D"/>
    <w:rPr>
      <w:color w:val="2B579A"/>
      <w:shd w:val="clear" w:color="auto" w:fill="E1DFDD"/>
    </w:rPr>
  </w:style>
  <w:style w:type="paragraph" w:customStyle="1" w:styleId="MOVEFigureTable">
    <w:name w:val="MOVE Figure/Table"/>
    <w:basedOn w:val="Normal"/>
    <w:link w:val="MOVEFigureTableChar"/>
    <w:uiPriority w:val="1"/>
    <w:qFormat/>
    <w:rsid w:val="000A7D9D"/>
    <w:pPr>
      <w:spacing w:after="0" w:line="240" w:lineRule="auto"/>
      <w:jc w:val="both"/>
    </w:pPr>
    <w:rPr>
      <w:rFonts w:ascii="Times New Roman" w:hAnsi="Times New Roman" w:cs="Times New Roman"/>
      <w:i/>
      <w:noProof/>
      <w:sz w:val="20"/>
      <w:szCs w:val="20"/>
      <w:lang w:eastAsia="en-GB"/>
    </w:rPr>
  </w:style>
  <w:style w:type="character" w:customStyle="1" w:styleId="MOVEFigureTableChar">
    <w:name w:val="MOVE Figure/Table Char"/>
    <w:basedOn w:val="DefaultParagraphFont"/>
    <w:link w:val="MOVEFigureTable"/>
    <w:uiPriority w:val="1"/>
    <w:rsid w:val="000A7D9D"/>
    <w:rPr>
      <w:rFonts w:ascii="Times New Roman" w:hAnsi="Times New Roman" w:cs="Times New Roman"/>
      <w:i/>
      <w:noProof/>
      <w:sz w:val="20"/>
      <w:szCs w:val="20"/>
      <w:lang w:eastAsia="en-GB"/>
    </w:rPr>
  </w:style>
  <w:style w:type="paragraph" w:customStyle="1" w:styleId="Subject">
    <w:name w:val="Subject"/>
    <w:basedOn w:val="Normal"/>
    <w:uiPriority w:val="2"/>
    <w:rsid w:val="000A7D9D"/>
    <w:pPr>
      <w:spacing w:after="480" w:line="240" w:lineRule="auto"/>
      <w:ind w:left="1531" w:hanging="1531"/>
      <w:contextualSpacing/>
    </w:pPr>
    <w:rPr>
      <w:rFonts w:ascii="Times New Roman" w:eastAsia="Times New Roman" w:hAnsi="Times New Roman" w:cs="Times New Roman"/>
      <w:b/>
      <w:sz w:val="24"/>
      <w:szCs w:val="20"/>
      <w:lang w:eastAsia="en-GB"/>
    </w:rPr>
  </w:style>
  <w:style w:type="paragraph" w:customStyle="1" w:styleId="NoteHead">
    <w:name w:val="NoteHead"/>
    <w:basedOn w:val="Normal"/>
    <w:uiPriority w:val="2"/>
    <w:rsid w:val="000A7D9D"/>
    <w:pPr>
      <w:spacing w:before="720" w:after="720" w:line="240" w:lineRule="auto"/>
      <w:contextualSpacing/>
      <w:jc w:val="center"/>
    </w:pPr>
    <w:rPr>
      <w:rFonts w:ascii="Times New Roman" w:eastAsia="Times New Roman" w:hAnsi="Times New Roman" w:cs="Times New Roman"/>
      <w:b/>
      <w:smallCaps/>
      <w:sz w:val="24"/>
      <w:szCs w:val="20"/>
      <w:lang w:eastAsia="en-GB"/>
    </w:rPr>
  </w:style>
  <w:style w:type="paragraph" w:customStyle="1" w:styleId="ContNumLevel3">
    <w:name w:val="ContNum (Level 3)"/>
    <w:basedOn w:val="Normal"/>
    <w:uiPriority w:val="1"/>
    <w:rsid w:val="000A7D9D"/>
    <w:pPr>
      <w:numPr>
        <w:ilvl w:val="2"/>
        <w:numId w:val="139"/>
      </w:numPr>
      <w:spacing w:after="240" w:line="240" w:lineRule="auto"/>
      <w:jc w:val="both"/>
    </w:pPr>
    <w:rPr>
      <w:rFonts w:ascii="Times New Roman" w:eastAsia="Times New Roman" w:hAnsi="Times New Roman" w:cs="Times New Roman"/>
      <w:sz w:val="24"/>
      <w:szCs w:val="20"/>
      <w:lang w:eastAsia="en-GB"/>
    </w:rPr>
  </w:style>
  <w:style w:type="paragraph" w:customStyle="1" w:styleId="ContNumLevel2">
    <w:name w:val="ContNum (Level 2)"/>
    <w:basedOn w:val="Normal"/>
    <w:uiPriority w:val="1"/>
    <w:rsid w:val="000A7D9D"/>
    <w:pPr>
      <w:numPr>
        <w:ilvl w:val="1"/>
        <w:numId w:val="139"/>
      </w:numPr>
      <w:spacing w:after="240" w:line="240" w:lineRule="auto"/>
      <w:jc w:val="both"/>
    </w:pPr>
    <w:rPr>
      <w:rFonts w:ascii="Times New Roman" w:eastAsia="Times New Roman" w:hAnsi="Times New Roman" w:cs="Times New Roman"/>
      <w:sz w:val="24"/>
      <w:szCs w:val="20"/>
      <w:lang w:eastAsia="en-GB"/>
    </w:rPr>
  </w:style>
  <w:style w:type="paragraph" w:customStyle="1" w:styleId="ContNum">
    <w:name w:val="ContNum"/>
    <w:basedOn w:val="Normal"/>
    <w:uiPriority w:val="1"/>
    <w:qFormat/>
    <w:rsid w:val="000A7D9D"/>
    <w:pPr>
      <w:numPr>
        <w:numId w:val="139"/>
      </w:numPr>
      <w:spacing w:after="240" w:line="240" w:lineRule="auto"/>
      <w:jc w:val="both"/>
    </w:pPr>
    <w:rPr>
      <w:rFonts w:ascii="Times New Roman" w:eastAsia="Times New Roman" w:hAnsi="Times New Roman" w:cs="Times New Roman"/>
      <w:sz w:val="24"/>
      <w:szCs w:val="20"/>
      <w:lang w:eastAsia="en-GB"/>
    </w:rPr>
  </w:style>
  <w:style w:type="paragraph" w:customStyle="1" w:styleId="LegalNumPar3">
    <w:name w:val="LegalNumPar3"/>
    <w:basedOn w:val="Normal"/>
    <w:uiPriority w:val="1"/>
    <w:rsid w:val="000A7D9D"/>
    <w:pPr>
      <w:numPr>
        <w:ilvl w:val="2"/>
        <w:numId w:val="140"/>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2">
    <w:name w:val="LegalNumPar2"/>
    <w:basedOn w:val="Normal"/>
    <w:uiPriority w:val="1"/>
    <w:rsid w:val="000A7D9D"/>
    <w:pPr>
      <w:numPr>
        <w:ilvl w:val="1"/>
        <w:numId w:val="140"/>
      </w:numPr>
      <w:spacing w:after="240" w:line="360" w:lineRule="auto"/>
      <w:jc w:val="both"/>
    </w:pPr>
    <w:rPr>
      <w:rFonts w:ascii="Times New Roman" w:eastAsia="Times New Roman" w:hAnsi="Times New Roman" w:cs="Times New Roman"/>
      <w:sz w:val="24"/>
      <w:szCs w:val="20"/>
      <w:lang w:eastAsia="en-GB"/>
    </w:rPr>
  </w:style>
  <w:style w:type="paragraph" w:customStyle="1" w:styleId="LegalNumPar">
    <w:name w:val="LegalNumPar"/>
    <w:basedOn w:val="Normal"/>
    <w:uiPriority w:val="1"/>
    <w:qFormat/>
    <w:rsid w:val="000A7D9D"/>
    <w:pPr>
      <w:numPr>
        <w:numId w:val="140"/>
      </w:numPr>
      <w:spacing w:after="240" w:line="360" w:lineRule="auto"/>
      <w:jc w:val="both"/>
    </w:pPr>
    <w:rPr>
      <w:rFonts w:ascii="Times New Roman" w:eastAsia="Times New Roman" w:hAnsi="Times New Roman" w:cs="Times New Roman"/>
      <w:sz w:val="24"/>
      <w:szCs w:val="20"/>
      <w:lang w:eastAsia="en-GB"/>
    </w:rPr>
  </w:style>
  <w:style w:type="paragraph" w:customStyle="1" w:styleId="References">
    <w:name w:val="References"/>
    <w:basedOn w:val="Normal"/>
    <w:uiPriority w:val="1"/>
    <w:rsid w:val="000A7D9D"/>
    <w:pPr>
      <w:spacing w:after="240" w:line="240" w:lineRule="auto"/>
      <w:ind w:left="5102" w:right="-567"/>
      <w:contextualSpacing/>
    </w:pPr>
    <w:rPr>
      <w:rFonts w:ascii="Times New Roman" w:eastAsia="Times New Roman" w:hAnsi="Times New Roman" w:cs="Times New Roman"/>
      <w:sz w:val="20"/>
      <w:szCs w:val="20"/>
      <w:lang w:eastAsia="en-GB"/>
    </w:rPr>
  </w:style>
  <w:style w:type="paragraph" w:styleId="Date">
    <w:name w:val="Date"/>
    <w:basedOn w:val="Normal"/>
    <w:next w:val="References"/>
    <w:link w:val="DateChar"/>
    <w:uiPriority w:val="1"/>
    <w:rsid w:val="000A7D9D"/>
    <w:pPr>
      <w:spacing w:after="0" w:line="240" w:lineRule="auto"/>
      <w:ind w:left="5102" w:right="-567"/>
    </w:pPr>
    <w:rPr>
      <w:rFonts w:ascii="Times New Roman" w:eastAsia="Times New Roman" w:hAnsi="Times New Roman" w:cs="Times New Roman"/>
      <w:sz w:val="24"/>
      <w:szCs w:val="20"/>
      <w:lang w:eastAsia="en-GB"/>
    </w:rPr>
  </w:style>
  <w:style w:type="character" w:customStyle="1" w:styleId="DateChar">
    <w:name w:val="Date Char"/>
    <w:basedOn w:val="DefaultParagraphFont"/>
    <w:link w:val="Date"/>
    <w:uiPriority w:val="1"/>
    <w:rsid w:val="000A7D9D"/>
    <w:rPr>
      <w:rFonts w:ascii="Times New Roman" w:eastAsia="Times New Roman" w:hAnsi="Times New Roman" w:cs="Times New Roman"/>
      <w:sz w:val="24"/>
      <w:szCs w:val="20"/>
      <w:lang w:eastAsia="en-GB"/>
    </w:rPr>
  </w:style>
  <w:style w:type="paragraph" w:customStyle="1" w:styleId="ZDGName">
    <w:name w:val="Z_DGName"/>
    <w:basedOn w:val="Normal"/>
    <w:uiPriority w:val="2"/>
    <w:rsid w:val="000A7D9D"/>
    <w:pPr>
      <w:widowControl w:val="0"/>
      <w:spacing w:after="0" w:line="240" w:lineRule="auto"/>
      <w:ind w:right="85"/>
    </w:pPr>
    <w:rPr>
      <w:rFonts w:ascii="Times New Roman" w:eastAsia="Times New Roman" w:hAnsi="Times New Roman" w:cs="Times New Roman"/>
      <w:sz w:val="16"/>
      <w:szCs w:val="20"/>
      <w:lang w:eastAsia="en-GB"/>
    </w:rPr>
  </w:style>
  <w:style w:type="paragraph" w:customStyle="1" w:styleId="ZCom">
    <w:name w:val="Z_Com"/>
    <w:basedOn w:val="Normal"/>
    <w:next w:val="Normal"/>
    <w:uiPriority w:val="2"/>
    <w:rsid w:val="000A7D9D"/>
    <w:pPr>
      <w:widowControl w:val="0"/>
      <w:spacing w:before="90" w:after="0" w:line="240" w:lineRule="auto"/>
      <w:ind w:right="85"/>
      <w:jc w:val="both"/>
    </w:pPr>
    <w:rPr>
      <w:rFonts w:ascii="Times New Roman" w:eastAsia="Times New Roman" w:hAnsi="Times New Roman" w:cs="Times New Roman"/>
      <w:sz w:val="24"/>
      <w:szCs w:val="20"/>
      <w:lang w:eastAsia="en-GB"/>
    </w:rPr>
  </w:style>
  <w:style w:type="paragraph" w:customStyle="1" w:styleId="ZFlag">
    <w:name w:val="Z_Flag"/>
    <w:basedOn w:val="Normal"/>
    <w:next w:val="Normal"/>
    <w:uiPriority w:val="2"/>
    <w:rsid w:val="000A7D9D"/>
    <w:pPr>
      <w:widowControl w:val="0"/>
      <w:spacing w:after="0" w:line="240" w:lineRule="auto"/>
      <w:ind w:right="85"/>
      <w:jc w:val="both"/>
    </w:pPr>
    <w:rPr>
      <w:rFonts w:ascii="Times New Roman" w:eastAsia="Times New Roman" w:hAnsi="Times New Roman" w:cs="Times New Roman"/>
      <w:sz w:val="24"/>
      <w:szCs w:val="20"/>
      <w:lang w:eastAsia="en-GB"/>
    </w:rPr>
  </w:style>
  <w:style w:type="table" w:customStyle="1" w:styleId="TableLetterhead">
    <w:name w:val="Table Letterhead"/>
    <w:basedOn w:val="TableNormal"/>
    <w:semiHidden/>
    <w:rsid w:val="000A7D9D"/>
    <w:pPr>
      <w:spacing w:after="0" w:line="240" w:lineRule="auto"/>
    </w:pPr>
    <w:rPr>
      <w:rFonts w:ascii="Times New Roman" w:eastAsia="Times New Roman" w:hAnsi="Times New Roman" w:cs="Times New Roman"/>
      <w:sz w:val="24"/>
      <w:szCs w:val="20"/>
      <w:lang w:eastAsia="en-GB"/>
    </w:rPr>
    <w:tblPr>
      <w:tblCellMar>
        <w:left w:w="0" w:type="dxa"/>
        <w:bottom w:w="340" w:type="dxa"/>
        <w:right w:w="0" w:type="dxa"/>
      </w:tblCellMar>
    </w:tblPr>
  </w:style>
  <w:style w:type="paragraph" w:customStyle="1" w:styleId="AnnexTitle">
    <w:name w:val="Annex Title"/>
    <w:basedOn w:val="Heading1"/>
    <w:next w:val="Normal"/>
    <w:link w:val="AnnexTitleChar"/>
    <w:autoRedefine/>
    <w:qFormat/>
    <w:rsid w:val="000A7D9D"/>
    <w:pPr>
      <w:keepLines w:val="0"/>
      <w:widowControl/>
      <w:snapToGrid/>
      <w:spacing w:before="240"/>
      <w:jc w:val="both"/>
    </w:pPr>
    <w:rPr>
      <w:rFonts w:ascii="Times New Roman" w:hAnsi="Times New Roman"/>
      <w:smallCaps/>
      <w:color w:val="auto"/>
      <w:sz w:val="32"/>
      <w:szCs w:val="20"/>
      <w:lang w:eastAsia="en-US"/>
    </w:rPr>
  </w:style>
  <w:style w:type="character" w:customStyle="1" w:styleId="AnnexTitleChar">
    <w:name w:val="Annex Title Char"/>
    <w:basedOn w:val="DefaultParagraphFont"/>
    <w:link w:val="AnnexTitle"/>
    <w:rsid w:val="000A7D9D"/>
    <w:rPr>
      <w:rFonts w:ascii="Times New Roman" w:eastAsia="Times New Roman" w:hAnsi="Times New Roman" w:cs="Times New Roman"/>
      <w:b/>
      <w:smallCaps/>
      <w:sz w:val="32"/>
      <w:szCs w:val="20"/>
    </w:rPr>
  </w:style>
  <w:style w:type="character" w:customStyle="1" w:styleId="Mention2">
    <w:name w:val="Mention2"/>
    <w:basedOn w:val="DefaultParagraphFont"/>
    <w:uiPriority w:val="99"/>
    <w:unhideWhenUsed/>
    <w:rsid w:val="000A7D9D"/>
    <w:rPr>
      <w:color w:val="2B579A"/>
      <w:shd w:val="clear" w:color="auto" w:fill="E1DFDD"/>
    </w:rPr>
  </w:style>
  <w:style w:type="table" w:styleId="TableGridLight">
    <w:name w:val="Grid Table Light"/>
    <w:basedOn w:val="TableNormal"/>
    <w:uiPriority w:val="40"/>
    <w:rsid w:val="000A7D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3">
    <w:name w:val="Mention3"/>
    <w:basedOn w:val="DefaultParagraphFont"/>
    <w:uiPriority w:val="99"/>
    <w:unhideWhenUsed/>
    <w:rsid w:val="000A7D9D"/>
    <w:rPr>
      <w:color w:val="2B579A"/>
      <w:shd w:val="clear" w:color="auto" w:fill="E1DFDD"/>
    </w:rPr>
  </w:style>
  <w:style w:type="paragraph" w:styleId="ListNumber">
    <w:name w:val="List Number"/>
    <w:basedOn w:val="Normal"/>
    <w:uiPriority w:val="99"/>
    <w:unhideWhenUsed/>
    <w:rsid w:val="000A7D9D"/>
    <w:pPr>
      <w:numPr>
        <w:numId w:val="145"/>
      </w:numPr>
      <w:spacing w:before="120" w:after="120" w:line="240" w:lineRule="auto"/>
      <w:contextualSpacing/>
      <w:jc w:val="both"/>
    </w:pPr>
    <w:rPr>
      <w:rFonts w:ascii="Times New Roman" w:hAnsi="Times New Roman" w:cs="Times New Roman"/>
      <w:sz w:val="24"/>
    </w:rPr>
  </w:style>
  <w:style w:type="character" w:customStyle="1" w:styleId="UnresolvedMention2">
    <w:name w:val="Unresolved Mention2"/>
    <w:basedOn w:val="DefaultParagraphFont"/>
    <w:uiPriority w:val="99"/>
    <w:semiHidden/>
    <w:unhideWhenUsed/>
    <w:rsid w:val="000A7D9D"/>
    <w:rPr>
      <w:color w:val="605E5C"/>
      <w:shd w:val="clear" w:color="auto" w:fill="E1DFDD"/>
    </w:rPr>
  </w:style>
  <w:style w:type="paragraph" w:customStyle="1" w:styleId="ListBullet1">
    <w:name w:val="List Bullet 1"/>
    <w:basedOn w:val="Normal"/>
    <w:rsid w:val="000A7D9D"/>
    <w:pPr>
      <w:numPr>
        <w:numId w:val="146"/>
      </w:numPr>
      <w:spacing w:before="120" w:after="120" w:line="240" w:lineRule="auto"/>
      <w:jc w:val="both"/>
    </w:pPr>
    <w:rPr>
      <w:rFonts w:ascii="Times New Roman" w:eastAsia="Times New Roman" w:hAnsi="Times New Roman" w:cs="Times New Roman"/>
      <w:sz w:val="24"/>
      <w:lang w:eastAsia="de-DE"/>
    </w:rPr>
  </w:style>
  <w:style w:type="paragraph" w:customStyle="1" w:styleId="Text1">
    <w:name w:val="Text 1"/>
    <w:basedOn w:val="Normal"/>
    <w:rsid w:val="000A7D9D"/>
    <w:pPr>
      <w:spacing w:before="120" w:after="120" w:line="240" w:lineRule="auto"/>
      <w:ind w:left="850"/>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health/sites/health/files/scientific_committees/environmental_risks/docs/scher_o_169.pdf" TargetMode="External"/><Relationship Id="rId21" Type="http://schemas.openxmlformats.org/officeDocument/2006/relationships/image" Target="media/image3.png"/><Relationship Id="rId42" Type="http://schemas.openxmlformats.org/officeDocument/2006/relationships/image" Target="media/image7.png"/><Relationship Id="rId63" Type="http://schemas.openxmlformats.org/officeDocument/2006/relationships/hyperlink" Target="https://eur-lex.europa.eu/eli/dir/2020/2184/oj" TargetMode="External"/><Relationship Id="rId84" Type="http://schemas.openxmlformats.org/officeDocument/2006/relationships/hyperlink" Target="https://www.efsa.europa.eu/en/topics/topic/emerging-risks" TargetMode="External"/><Relationship Id="rId138" Type="http://schemas.openxmlformats.org/officeDocument/2006/relationships/hyperlink" Target="https://health.ec.europa.eu/publications/scheer-position-paper-emerging-issues-and-role-scheer-2018_en" TargetMode="External"/><Relationship Id="rId107" Type="http://schemas.openxmlformats.org/officeDocument/2006/relationships/hyperlink" Target="https://health.ec.europa.eu/publications/scientific-opinion-draft-environmental-quality-standards-priority-substances-under-water-framework-2_en" TargetMode="External"/><Relationship Id="rId11" Type="http://schemas.openxmlformats.org/officeDocument/2006/relationships/footer" Target="footer1.xml"/><Relationship Id="rId32" Type="http://schemas.openxmlformats.org/officeDocument/2006/relationships/hyperlink" Target="https://www.efsa.europa.eu/en/science/scientific-committee-and-panels/nda" TargetMode="External"/><Relationship Id="rId53" Type="http://schemas.openxmlformats.org/officeDocument/2006/relationships/hyperlink" Target="https://www.eionet.europa.eu/etcs/etc-be" TargetMode="External"/><Relationship Id="rId74" Type="http://schemas.openxmlformats.org/officeDocument/2006/relationships/hyperlink" Target="https://www.eca.europa.eu/Lists/ECADocuments/SR22_17/SR_External_consultants_EN.pdf" TargetMode="External"/><Relationship Id="rId128" Type="http://schemas.openxmlformats.org/officeDocument/2006/relationships/hyperlink" Target="https://ec.europa.eu/health/sites/health/files/scientific_committees/scheer/docs/scheer_o_017.pdf" TargetMode="External"/><Relationship Id="rId149" Type="http://schemas.openxmlformats.org/officeDocument/2006/relationships/header" Target="header10.xml"/><Relationship Id="rId5" Type="http://schemas.openxmlformats.org/officeDocument/2006/relationships/webSettings" Target="webSettings.xml"/><Relationship Id="rId95" Type="http://schemas.openxmlformats.org/officeDocument/2006/relationships/hyperlink" Target="https://health.ec.europa.eu/publications/groundwater-quality-standards-proposed-additional-pollutants-annexes-groundwater-directive-2006118ec_en" TargetMode="External"/><Relationship Id="rId22" Type="http://schemas.openxmlformats.org/officeDocument/2006/relationships/image" Target="media/image4.png"/><Relationship Id="rId27" Type="http://schemas.openxmlformats.org/officeDocument/2006/relationships/hyperlink" Target="https://www.efsa.europa.eu/en/science/scientific-committee-and-panels/biohaz" TargetMode="External"/><Relationship Id="rId43" Type="http://schemas.openxmlformats.org/officeDocument/2006/relationships/hyperlink" Target="https://www.ema.europa.eu/en/committees/committee-medicinal-products-human-use-chmp" TargetMode="External"/><Relationship Id="rId48" Type="http://schemas.openxmlformats.org/officeDocument/2006/relationships/hyperlink" Target="https://www.ema.europa.eu/en/committees/committee-advanced-therapies-cat" TargetMode="External"/><Relationship Id="rId64" Type="http://schemas.openxmlformats.org/officeDocument/2006/relationships/hyperlink" Target="https://eur-lex.europa.eu/legal-content/EN/TXT/?uri=CELEX%3A32022R2371" TargetMode="External"/><Relationship Id="rId69" Type="http://schemas.openxmlformats.org/officeDocument/2006/relationships/hyperlink" Target="https://eur-lex.europa.eu/legal-content/EN/TXT/?uri=celex%3A52020PC0798" TargetMode="External"/><Relationship Id="rId113" Type="http://schemas.openxmlformats.org/officeDocument/2006/relationships/hyperlink" Target="https://health.ec.europa.eu/publications/scientific-opinion-draft-environmental-quality-standards-priority-substances-under-water-framework-5_en" TargetMode="External"/><Relationship Id="rId118" Type="http://schemas.openxmlformats.org/officeDocument/2006/relationships/hyperlink" Target="https://ec.europa.eu/health/sites/health/files/scientific_committees/environmental_risks/docs/scher_o_168.pdf" TargetMode="External"/><Relationship Id="rId134" Type="http://schemas.openxmlformats.org/officeDocument/2006/relationships/hyperlink" Target="https://ec.europa.eu/health/sites/health/files/scientific_committees/environmental_risks/docs/scher_o_170.pdf" TargetMode="External"/><Relationship Id="rId139" Type="http://schemas.openxmlformats.org/officeDocument/2006/relationships/hyperlink" Target="https://health.ec.europa.eu/publications/memorandum-weight-evidence-and-uncertainties-revision-2018_en" TargetMode="External"/><Relationship Id="rId80" Type="http://schemas.openxmlformats.org/officeDocument/2006/relationships/hyperlink" Target="https://www.eea.europa.eu/data-and-maps/data/waterbase-water-quality-icm-2" TargetMode="External"/><Relationship Id="rId85" Type="http://schemas.openxmlformats.org/officeDocument/2006/relationships/hyperlink" Target="https://www.kemi.se/en/about-the-swedish-chemicals-agency/organisation/the-coordination-group-for-new-and-emerging-chemical-threats---samtox" TargetMode="External"/><Relationship Id="rId150" Type="http://schemas.openxmlformats.org/officeDocument/2006/relationships/header" Target="header11.xml"/><Relationship Id="rId155"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s://eur-lex.europa.eu/resource.html?uri=cellar:a1c34a56-b314-11eb-8aca-01aa75ed71a1.0001.02/DOC_1&amp;format=PDF" TargetMode="External"/><Relationship Id="rId33" Type="http://schemas.openxmlformats.org/officeDocument/2006/relationships/hyperlink" Target="https://www.efsa.europa.eu/en/science/scientific-committee-and-panels/plh" TargetMode="External"/><Relationship Id="rId38" Type="http://schemas.openxmlformats.org/officeDocument/2006/relationships/hyperlink" Target="https://echa.europa.eu/about-us/who-we-are/committee-for-socio-economic-analysis" TargetMode="External"/><Relationship Id="rId59" Type="http://schemas.openxmlformats.org/officeDocument/2006/relationships/hyperlink" Target="https://www.eionet.europa.eu/etcs/etc-st" TargetMode="External"/><Relationship Id="rId103" Type="http://schemas.openxmlformats.org/officeDocument/2006/relationships/hyperlink" Target="https://health.ec.europa.eu/publications/draft-environmental-quality-standards-priority-substances-under-water-framework-directive-1_en" TargetMode="External"/><Relationship Id="rId108" Type="http://schemas.openxmlformats.org/officeDocument/2006/relationships/hyperlink" Target="https://health.ec.europa.eu/publications/scientific-opinion-draft-environmental-quality-standards-priority-substances-under-wfd-17-alpha_en" TargetMode="External"/><Relationship Id="rId124" Type="http://schemas.openxmlformats.org/officeDocument/2006/relationships/hyperlink" Target="https://ec.europa.eu/health/sites/health/files/scientific_committees/scheer/docs/scheer_o_011.pdf" TargetMode="External"/><Relationship Id="rId129" Type="http://schemas.openxmlformats.org/officeDocument/2006/relationships/hyperlink" Target="https://ec.europa.eu/health/sites/health/files/scientific_committees/scheer/docs/scheer_o_013.pdf" TargetMode="External"/><Relationship Id="rId54" Type="http://schemas.openxmlformats.org/officeDocument/2006/relationships/hyperlink" Target="https://www.eionet.europa.eu/etcs/etc-ce" TargetMode="External"/><Relationship Id="rId70" Type="http://schemas.openxmlformats.org/officeDocument/2006/relationships/hyperlink" Target="https://www.eca.europa.eu/Lists/ECADocuments/SR22_17/SR_External_consultants_EN.pdf" TargetMode="External"/><Relationship Id="rId75" Type="http://schemas.openxmlformats.org/officeDocument/2006/relationships/hyperlink" Target="https://www.eca.europa.eu/Lists/ECADocuments/SR22_17/SR_External_consultants_EN.pdf" TargetMode="External"/><Relationship Id="rId91" Type="http://schemas.openxmlformats.org/officeDocument/2006/relationships/footer" Target="footer6.xml"/><Relationship Id="rId96" Type="http://schemas.openxmlformats.org/officeDocument/2006/relationships/hyperlink" Target="https://health.ec.europa.eu/publications/scheer-scientific-opinion-draft-environmental-quality-standards-priority-substances-under-water-1_en" TargetMode="External"/><Relationship Id="rId140" Type="http://schemas.openxmlformats.org/officeDocument/2006/relationships/hyperlink" Target="https://health.ec.europa.eu/document/download/34f2a0a2-4f64-4e68-ba6f-70081fb22726_en?filename=scenihr_s_002.pdf" TargetMode="Externa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c.europa.eu/info/law/better-regulation/have-your-say/initiatives/13161-Chemicals-making-best-use-of-EU-agencies-to-streamline-scientific-assessments_en" TargetMode="External"/><Relationship Id="rId28" Type="http://schemas.openxmlformats.org/officeDocument/2006/relationships/hyperlink" Target="https://www.efsa.europa.eu/en/science/scientific-committee-and-panels/cep" TargetMode="External"/><Relationship Id="rId49" Type="http://schemas.openxmlformats.org/officeDocument/2006/relationships/hyperlink" Target="https://www.ema.europa.eu/en/committees/paediatric-committee-pdco" TargetMode="External"/><Relationship Id="rId114" Type="http://schemas.openxmlformats.org/officeDocument/2006/relationships/hyperlink" Target="https://health.ec.europa.eu/publications/potential-anaerobic-biodegradability-marine-and-freshwater-linear-alkylbenzene-sulphonates-las_en" TargetMode="External"/><Relationship Id="rId119" Type="http://schemas.openxmlformats.org/officeDocument/2006/relationships/hyperlink" Target="https://ec.europa.eu/health/sites/health/files/scientific_committees/emerging/docs/scenihr_o_050.pdf" TargetMode="External"/><Relationship Id="rId44" Type="http://schemas.openxmlformats.org/officeDocument/2006/relationships/hyperlink" Target="https://www.ema.europa.eu/en/committees/pharmacovigilance-risk-assessment-committee-prac" TargetMode="External"/><Relationship Id="rId60" Type="http://schemas.openxmlformats.org/officeDocument/2006/relationships/image" Target="media/image9.png"/><Relationship Id="rId65" Type="http://schemas.openxmlformats.org/officeDocument/2006/relationships/hyperlink" Target="https://ec.europa.eu/environment/strategy/chemicals-strategy_en" TargetMode="External"/><Relationship Id="rId81" Type="http://schemas.openxmlformats.org/officeDocument/2006/relationships/hyperlink" Target="https://ipchem.jrc.ec.europa.eu/" TargetMode="External"/><Relationship Id="rId86" Type="http://schemas.openxmlformats.org/officeDocument/2006/relationships/header" Target="header4.xml"/><Relationship Id="rId130" Type="http://schemas.openxmlformats.org/officeDocument/2006/relationships/hyperlink" Target="https://ec.europa.eu/health/sites/health/files/scientific_committees/scheer/docs/scheer_o_001.pdf" TargetMode="External"/><Relationship Id="rId135" Type="http://schemas.openxmlformats.org/officeDocument/2006/relationships/hyperlink" Target="https://ec.europa.eu/health/sites/health/files/scientific_committees/environmental_risks/docs/scher_o_167.pdf" TargetMode="External"/><Relationship Id="rId151" Type="http://schemas.openxmlformats.org/officeDocument/2006/relationships/footer" Target="footer10.xml"/><Relationship Id="rId156"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hyperlink" Target="https://www.europarl.europa.eu/doceo/document/TA-9-2020-0201_EN.pdf" TargetMode="External"/><Relationship Id="rId39" Type="http://schemas.openxmlformats.org/officeDocument/2006/relationships/hyperlink" Target="https://echa.europa.eu/about-us/who-we-are/member-state-committee" TargetMode="External"/><Relationship Id="rId109" Type="http://schemas.openxmlformats.org/officeDocument/2006/relationships/hyperlink" Target="https://health.ec.europa.eu/publications/draft-environmental-quality-standards-priority-substances-under-water-framework-directive-0_en" TargetMode="External"/><Relationship Id="rId34" Type="http://schemas.openxmlformats.org/officeDocument/2006/relationships/hyperlink" Target="https://www.efsa.europa.eu/en/science/scientific-committee-and-panels/ppr" TargetMode="External"/><Relationship Id="rId50" Type="http://schemas.openxmlformats.org/officeDocument/2006/relationships/image" Target="media/image8.jpeg"/><Relationship Id="rId55" Type="http://schemas.openxmlformats.org/officeDocument/2006/relationships/hyperlink" Target="https://www.eionet.europa.eu/etcs/etc-ca" TargetMode="External"/><Relationship Id="rId76" Type="http://schemas.openxmlformats.org/officeDocument/2006/relationships/hyperlink" Target="https://health.ec.europa.eu/scientific-committees/scientific-committee-health-environmental-and-emerging-risks-scheer/scheer-opinions_en" TargetMode="External"/><Relationship Id="rId97" Type="http://schemas.openxmlformats.org/officeDocument/2006/relationships/hyperlink" Target="https://health.ec.europa.eu/publications/scientific-opinion-draft-environmental-quality-standards-priority-substances-under-water-framework-6_en" TargetMode="External"/><Relationship Id="rId104" Type="http://schemas.openxmlformats.org/officeDocument/2006/relationships/hyperlink" Target="https://health.ec.europa.eu/publications/scientific-opinion-draft-environmental-quality-standards-priority-substances-under-water-framework_en" TargetMode="External"/><Relationship Id="rId120" Type="http://schemas.openxmlformats.org/officeDocument/2006/relationships/hyperlink" Target="https://ec.europa.eu/health/sites/health/files/scientific_committees/environmental_risks/docs/scher_o_165.pdf" TargetMode="External"/><Relationship Id="rId125" Type="http://schemas.openxmlformats.org/officeDocument/2006/relationships/hyperlink" Target="https://ec.europa.eu/health/sites/health/files/scientific_committees/scheer/docs/scheer_o_002.pdf" TargetMode="External"/><Relationship Id="rId141" Type="http://schemas.openxmlformats.org/officeDocument/2006/relationships/hyperlink" Target="https://ec.europa.eu/health/sites/health/files/scientific_committees/docs/rules_procedure_2016_en.pdf" TargetMode="External"/><Relationship Id="rId14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s://elv.biois.eu/ELV_11th_Adapt_Final_Report.pdf" TargetMode="External"/><Relationship Id="rId92" Type="http://schemas.openxmlformats.org/officeDocument/2006/relationships/hyperlink" Target="https://health.ec.europa.eu/system/files/2022-02/rules_procedure_2016_en.pdf" TargetMode="External"/><Relationship Id="rId2" Type="http://schemas.openxmlformats.org/officeDocument/2006/relationships/numbering" Target="numbering.xml"/><Relationship Id="rId29" Type="http://schemas.openxmlformats.org/officeDocument/2006/relationships/hyperlink" Target="https://www.efsa.europa.eu/en/science/scientific-committee-and-panels/contam" TargetMode="External"/><Relationship Id="rId24" Type="http://schemas.openxmlformats.org/officeDocument/2006/relationships/image" Target="media/image5.png"/><Relationship Id="rId40" Type="http://schemas.openxmlformats.org/officeDocument/2006/relationships/hyperlink" Target="https://echa.europa.eu/about-us/who-we-are/biocidal-products-committee" TargetMode="External"/><Relationship Id="rId45" Type="http://schemas.openxmlformats.org/officeDocument/2006/relationships/hyperlink" Target="https://www.ema.europa.eu/en/committees/committee-veterinary-medicinal-products-cvmp" TargetMode="External"/><Relationship Id="rId66" Type="http://schemas.openxmlformats.org/officeDocument/2006/relationships/hyperlink" Target="https://ec.europa.eu/info/publications/communication-european-green-deal_en" TargetMode="External"/><Relationship Id="rId87" Type="http://schemas.openxmlformats.org/officeDocument/2006/relationships/header" Target="header5.xml"/><Relationship Id="rId110" Type="http://schemas.openxmlformats.org/officeDocument/2006/relationships/hyperlink" Target="https://health.ec.europa.eu/publications/statement-ii-emerging-health-and-environmental-issues-2022_en" TargetMode="External"/><Relationship Id="rId115" Type="http://schemas.openxmlformats.org/officeDocument/2006/relationships/hyperlink" Target="https://ec.europa.eu/health/sites/health/files/scientific_committees/scheer/docs/scheer_o_012.pdf" TargetMode="External"/><Relationship Id="rId131" Type="http://schemas.openxmlformats.org/officeDocument/2006/relationships/hyperlink" Target="https://ec.europa.eu/health/sites/health/files/scientific_committees/scheer/docs/scheer_o_005.pdf" TargetMode="External"/><Relationship Id="rId136" Type="http://schemas.openxmlformats.org/officeDocument/2006/relationships/hyperlink" Target="https://ec.europa.eu/health/publications/statement-ii-emerging-health-and-environmental-issues-2022_en" TargetMode="External"/><Relationship Id="rId61" Type="http://schemas.openxmlformats.org/officeDocument/2006/relationships/hyperlink" Target="https://ec.europa.eu/info/law/better-regulation/have-your-say/initiatives/13161-Chemicals-making-best-use-of-EU-agencies-to-streamline-scientific-assessments_en" TargetMode="External"/><Relationship Id="rId82" Type="http://schemas.openxmlformats.org/officeDocument/2006/relationships/hyperlink" Target="https://ipchem.jrc.ec.europa.eu/public" TargetMode="External"/><Relationship Id="rId152" Type="http://schemas.openxmlformats.org/officeDocument/2006/relationships/footer" Target="footer11.xml"/><Relationship Id="rId19" Type="http://schemas.openxmlformats.org/officeDocument/2006/relationships/hyperlink" Target="https://www.consilium.europa.eu/media/48827/st06941-en21.pdf" TargetMode="External"/><Relationship Id="rId14" Type="http://schemas.openxmlformats.org/officeDocument/2006/relationships/footer" Target="footer3.xml"/><Relationship Id="rId30" Type="http://schemas.openxmlformats.org/officeDocument/2006/relationships/hyperlink" Target="https://www.efsa.europa.eu/en/science/scientific-committee-and-panels/faf" TargetMode="External"/><Relationship Id="rId35" Type="http://schemas.openxmlformats.org/officeDocument/2006/relationships/hyperlink" Target="https://www.efsa.europa.eu/en/science/scientific-committee-and-panels/scientific-committee" TargetMode="External"/><Relationship Id="rId56" Type="http://schemas.openxmlformats.org/officeDocument/2006/relationships/hyperlink" Target="https://www.eionet.europa.eu/etcs/etc-cm" TargetMode="External"/><Relationship Id="rId77" Type="http://schemas.openxmlformats.org/officeDocument/2006/relationships/hyperlink" Target="https://health.ec.europa.eu/publications/guidelines-benefit-risk-assessment-presence-phthalates-certain-medical-devices_en" TargetMode="External"/><Relationship Id="rId100" Type="http://schemas.openxmlformats.org/officeDocument/2006/relationships/hyperlink" Target="https://health.ec.europa.eu/publications/draft-environmental-quality-standards-priority-substances-under-water-framework-directive-2_en" TargetMode="External"/><Relationship Id="rId105" Type="http://schemas.openxmlformats.org/officeDocument/2006/relationships/hyperlink" Target="https://health.ec.europa.eu/publications/scientific-opinion-draft-environmental-quality-standards-priority-substances-under-water-framework-0_en" TargetMode="External"/><Relationship Id="rId126" Type="http://schemas.openxmlformats.org/officeDocument/2006/relationships/hyperlink" Target="https://ec.europa.eu/health/sites/health/files/scientific_committees/scheer/docs/scheer_o_003.pdf" TargetMode="External"/><Relationship Id="rId147" Type="http://schemas.openxmlformats.org/officeDocument/2006/relationships/header" Target="header9.xml"/><Relationship Id="rId8" Type="http://schemas.openxmlformats.org/officeDocument/2006/relationships/image" Target="media/image1.emf"/><Relationship Id="rId51" Type="http://schemas.openxmlformats.org/officeDocument/2006/relationships/hyperlink" Target="https://www.eea.europa.eu/en/about/who-we-are/our-knowledge-network-eionet" TargetMode="External"/><Relationship Id="rId72" Type="http://schemas.openxmlformats.org/officeDocument/2006/relationships/hyperlink" Target="https://www.eca.europa.eu/Lists/ECADocuments/SR22_17/SR_External_consultants_EN.pdf" TargetMode="External"/><Relationship Id="rId93" Type="http://schemas.openxmlformats.org/officeDocument/2006/relationships/hyperlink" Target="https://euc-word-edit.officeapps.live.com/we/wordeditorframe.aspx?ui=en%2DUS&amp;rs=en%2DIE&amp;wopisrc=https%3A%2F%2Feceuropaeu.sharepoint.com%2Fteams%2FGRP-OneSubstanceOneAssessment1S1A%2F_vti_bin%2Fwopi.ashx%2Ffiles%2F5eabf09f454c4f0b856cd4b269495353&amp;wdenableroaming=1&amp;mscc=1&amp;hid=D7C967A0-909E-5000-1B0F-B1DDD5D8EE89&amp;wdorigin=AuthPrompt&amp;jsapi=1&amp;jsapiver=v1&amp;newsession=1&amp;corrid=a4db69d8-0ce2-41fa-9663-f2053ff9c549&amp;usid=a4db69d8-0ce2-41fa-9663-f2053ff9c549&amp;sftc=1&amp;cac=1&amp;mtf=1&amp;sfp=1&amp;instantedit=1&amp;wopicomplete=1&amp;wdredirectionreason=Unified_SingleFlush&amp;rct=Medium&amp;ctp=LeastProtected" TargetMode="External"/><Relationship Id="rId98" Type="http://schemas.openxmlformats.org/officeDocument/2006/relationships/hyperlink" Target="https://health.ec.europa.eu/publications/draft-environmental-quality-standards-priority-substances-under-water-framework-directive-bifenthrin_en" TargetMode="External"/><Relationship Id="rId121" Type="http://schemas.openxmlformats.org/officeDocument/2006/relationships/hyperlink" Target="https://ec.europa.eu/health/sites/health/files/scientific_committees/scheer/docs/scheer_o_015.pdf" TargetMode="External"/><Relationship Id="rId142" Type="http://schemas.openxmlformats.org/officeDocument/2006/relationships/hyperlink" Target="https://ec.europa.eu/health/sites/health/files/scientific_committees/docs/activity_report_sc_20132016_en.pdf" TargetMode="External"/><Relationship Id="rId3" Type="http://schemas.openxmlformats.org/officeDocument/2006/relationships/styles" Target="styles.xml"/><Relationship Id="rId25" Type="http://schemas.openxmlformats.org/officeDocument/2006/relationships/hyperlink" Target="https://www.efsa.europa.eu/en/science/scientific-committee-and-panels/feedap" TargetMode="External"/><Relationship Id="rId46" Type="http://schemas.openxmlformats.org/officeDocument/2006/relationships/hyperlink" Target="https://www.ema.europa.eu/en/committees/committee-orphan-medicinal-products-comp" TargetMode="External"/><Relationship Id="rId67" Type="http://schemas.openxmlformats.org/officeDocument/2006/relationships/hyperlink" Target="https://www.hbm4eu.eu/" TargetMode="External"/><Relationship Id="rId116" Type="http://schemas.openxmlformats.org/officeDocument/2006/relationships/hyperlink" Target="https://ec.europa.eu/health/sites/health/files/scientific_committees/scheer/docs/scheer_o_010.pdf" TargetMode="External"/><Relationship Id="rId137" Type="http://schemas.openxmlformats.org/officeDocument/2006/relationships/hyperlink" Target="https://health.ec.europa.eu/publications/scheer-statement-emerging-health-and-environmental-issues-2018_en" TargetMode="External"/><Relationship Id="rId20" Type="http://schemas.openxmlformats.org/officeDocument/2006/relationships/image" Target="media/image2.png"/><Relationship Id="rId41" Type="http://schemas.openxmlformats.org/officeDocument/2006/relationships/hyperlink" Target="https://echa.europa.eu/about-us/who-we-are/enforcement-forum" TargetMode="External"/><Relationship Id="rId62" Type="http://schemas.openxmlformats.org/officeDocument/2006/relationships/image" Target="media/image10.png"/><Relationship Id="rId83" Type="http://schemas.openxmlformats.org/officeDocument/2006/relationships/hyperlink" Target="https://ipchem.jrc.ec.europa.eu/share" TargetMode="External"/><Relationship Id="rId88" Type="http://schemas.openxmlformats.org/officeDocument/2006/relationships/footer" Target="footer4.xml"/><Relationship Id="rId111" Type="http://schemas.openxmlformats.org/officeDocument/2006/relationships/hyperlink" Target="https://health.ec.europa.eu/publications/scientific-opinion-draft-environmental-quality-standards-priority-substances-under-water-framework-3_en" TargetMode="External"/><Relationship Id="rId132" Type="http://schemas.openxmlformats.org/officeDocument/2006/relationships/hyperlink" Target="https://ec.europa.eu/health/sites/health/files/scientific_committees/scheer/docs/scheer_o_019.pdf" TargetMode="External"/><Relationship Id="rId153" Type="http://schemas.openxmlformats.org/officeDocument/2006/relationships/header" Target="header12.xml"/><Relationship Id="rId15" Type="http://schemas.openxmlformats.org/officeDocument/2006/relationships/hyperlink" Target="https://eur-lex.europa.eu/legal-content/EN/TXT/?uri=COM%3A2019%3A640%3AFIN" TargetMode="External"/><Relationship Id="rId36" Type="http://schemas.openxmlformats.org/officeDocument/2006/relationships/image" Target="media/image6.jpeg"/><Relationship Id="rId57" Type="http://schemas.openxmlformats.org/officeDocument/2006/relationships/hyperlink" Target="https://www.eionet.europa.eu/etcs/etc-di" TargetMode="External"/><Relationship Id="rId106" Type="http://schemas.openxmlformats.org/officeDocument/2006/relationships/hyperlink" Target="https://health.ec.europa.eu/publications/scientific-opinion-draft-environmental-quality-standards-priority-substances-under-water-framework-1_en" TargetMode="External"/><Relationship Id="rId127" Type="http://schemas.openxmlformats.org/officeDocument/2006/relationships/hyperlink" Target="https://ec.europa.eu/health/sites/health/files/scientific_committees/emerging/docs/scenihr_o_041.pdf" TargetMode="External"/><Relationship Id="rId10" Type="http://schemas.openxmlformats.org/officeDocument/2006/relationships/header" Target="header2.xml"/><Relationship Id="rId31" Type="http://schemas.openxmlformats.org/officeDocument/2006/relationships/hyperlink" Target="https://www.efsa.europa.eu/en/science/scientific-committee-and-panels/gmo" TargetMode="External"/><Relationship Id="rId52" Type="http://schemas.openxmlformats.org/officeDocument/2006/relationships/hyperlink" Target="https://www.eea.europa.eu/en/about/who-we-are/our-knowledge-network-eionet/list-of-national-focal-points" TargetMode="External"/><Relationship Id="rId73" Type="http://schemas.openxmlformats.org/officeDocument/2006/relationships/hyperlink" Target="https://www.eca.europa.eu/Lists/ECADocuments/SR22_17/SR_External_consultants_EN.pdf" TargetMode="External"/><Relationship Id="rId78" Type="http://schemas.openxmlformats.org/officeDocument/2006/relationships/hyperlink" Target="https://ec.europa.eu/health/scientific_committees/emerging/docs/scenihr_o_047.pdf" TargetMode="External"/><Relationship Id="rId94" Type="http://schemas.openxmlformats.org/officeDocument/2006/relationships/hyperlink" Target="https://euc-word-edit.officeapps.live.com/we/wordeditorframe.aspx?ui=en%2DUS&amp;rs=en%2DIE&amp;wopisrc=https%3A%2F%2Feceuropaeu.sharepoint.com%2Fteams%2FGRP-OneSubstanceOneAssessment1S1A%2F_vti_bin%2Fwopi.ashx%2Ffiles%2F5eabf09f454c4f0b856cd4b269495353&amp;wdenableroaming=1&amp;mscc=1&amp;hid=D7C967A0-909E-5000-1B0F-B1DDD5D8EE89&amp;wdorigin=AuthPrompt&amp;jsapi=1&amp;jsapiver=v1&amp;newsession=1&amp;corrid=a4db69d8-0ce2-41fa-9663-f2053ff9c549&amp;usid=a4db69d8-0ce2-41fa-9663-f2053ff9c549&amp;sftc=1&amp;cac=1&amp;mtf=1&amp;sfp=1&amp;instantedit=1&amp;wopicomplete=1&amp;wdredirectionreason=Unified_SingleFlush&amp;rct=Medium&amp;ctp=LeastProtected" TargetMode="External"/><Relationship Id="rId99" Type="http://schemas.openxmlformats.org/officeDocument/2006/relationships/hyperlink" Target="https://health.ec.europa.eu/publications/draft-environmental-quality-standards-priority-substances-under-water-framework-directive-3_en" TargetMode="External"/><Relationship Id="rId101" Type="http://schemas.openxmlformats.org/officeDocument/2006/relationships/hyperlink" Target="https://health.ec.europa.eu/publications/draft-environmental-quality-standards-priority-substances-under-water-framework-directive_en" TargetMode="External"/><Relationship Id="rId122" Type="http://schemas.openxmlformats.org/officeDocument/2006/relationships/hyperlink" Target="https://ec.europa.eu/health/sites/health/files/scientific_committees/scheer/docs/scheer_o_007.pdf" TargetMode="External"/><Relationship Id="rId143" Type="http://schemas.openxmlformats.org/officeDocument/2006/relationships/header" Target="header7.xml"/><Relationship Id="rId14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efsa.europa.eu/en/science/scientific-committee-and-panels/ahaw" TargetMode="External"/><Relationship Id="rId47" Type="http://schemas.openxmlformats.org/officeDocument/2006/relationships/hyperlink" Target="https://www.ema.europa.eu/en/committees/committee-herbal-medicinal-products-hmpc" TargetMode="External"/><Relationship Id="rId68" Type="http://schemas.openxmlformats.org/officeDocument/2006/relationships/hyperlink" Target="https://eur-lex.europa.eu/legal-content/EN/TXT/?uri=CELEX%3A32022D1979&amp;qid=1681404756977" TargetMode="External"/><Relationship Id="rId89" Type="http://schemas.openxmlformats.org/officeDocument/2006/relationships/footer" Target="footer5.xml"/><Relationship Id="rId112" Type="http://schemas.openxmlformats.org/officeDocument/2006/relationships/hyperlink" Target="https://health.ec.europa.eu/publications/scientific-opinion-draft-environmental-quality-standards-priority-substances-under-water-framework-4_en" TargetMode="External"/><Relationship Id="rId133" Type="http://schemas.openxmlformats.org/officeDocument/2006/relationships/hyperlink" Target="https://ec.europa.eu/health/sites/health/files/scientific_committees/scheer/docs/scheer_o_009.pdf" TargetMode="External"/><Relationship Id="rId154" Type="http://schemas.openxmlformats.org/officeDocument/2006/relationships/footer" Target="footer12.xml"/><Relationship Id="rId16" Type="http://schemas.openxmlformats.org/officeDocument/2006/relationships/hyperlink" Target="https://eur-lex.europa.eu/legal-content/EN/TXT/?uri=COM%3A2020%3A667%3AFIN" TargetMode="External"/><Relationship Id="rId37" Type="http://schemas.openxmlformats.org/officeDocument/2006/relationships/hyperlink" Target="https://echa.europa.eu/about-us/who-we-are/committee-for-risk-assessment" TargetMode="External"/><Relationship Id="rId58" Type="http://schemas.openxmlformats.org/officeDocument/2006/relationships/hyperlink" Target="https://www.eionet.europa.eu/etcs/etc-he" TargetMode="External"/><Relationship Id="rId79" Type="http://schemas.openxmlformats.org/officeDocument/2006/relationships/hyperlink" Target="https://ec.europa.eu/health/sites/health/files/scientific_committees/scheer/docs/scheer_o_015.pdf" TargetMode="External"/><Relationship Id="rId102" Type="http://schemas.openxmlformats.org/officeDocument/2006/relationships/hyperlink" Target="https://health.ec.europa.eu/publications/draft-environmental-quality-standards-priority-substances-under-water-framework-directive-permethrin_en" TargetMode="External"/><Relationship Id="rId123" Type="http://schemas.openxmlformats.org/officeDocument/2006/relationships/hyperlink" Target="https://ec.europa.eu/health/sites/health/files/scientific_committees/scheer/docs/scheer_o_004.pdf" TargetMode="External"/><Relationship Id="rId144" Type="http://schemas.openxmlformats.org/officeDocument/2006/relationships/header" Target="header8.xml"/><Relationship Id="rId90" Type="http://schemas.openxmlformats.org/officeDocument/2006/relationships/header" Target="header6.xml"/></Relationships>
</file>

<file path=word/_rels/footnotes.xml.rels><?xml version="1.0" encoding="UTF-8" standalone="yes"?>
<Relationships xmlns="http://schemas.openxmlformats.org/package/2006/relationships"><Relationship Id="rId13" Type="http://schemas.openxmlformats.org/officeDocument/2006/relationships/hyperlink" Target="https://single-market-economy.ec.europa.eu/system/files/2023-07/COM_2023_462_1_EN_ACT_part1_v4.pdf" TargetMode="External"/><Relationship Id="rId18" Type="http://schemas.openxmlformats.org/officeDocument/2006/relationships/hyperlink" Target="https://eur-lex.europa.eu/legal-content/EN/TXT/?uri=CELEX%3A02017R0745-20230320" TargetMode="External"/><Relationship Id="rId26" Type="http://schemas.openxmlformats.org/officeDocument/2006/relationships/hyperlink" Target="https://eur-lex.europa.eu/legal-content/EN/TXT/?uri=uriserv%3AOJ.L_.2023.191.01.0001.01.ENG&amp;toc=OJ%3AL%3A2023%3A191%3ATOC" TargetMode="External"/><Relationship Id="rId39" Type="http://schemas.openxmlformats.org/officeDocument/2006/relationships/hyperlink" Target="https://statbel.fgov.be/en/themes/work-training/wages-and-labourcost/overview-belgian-wages-and-salaries" TargetMode="External"/><Relationship Id="rId21" Type="http://schemas.openxmlformats.org/officeDocument/2006/relationships/hyperlink" Target="https://eur-lex.europa.eu/legal-content/EN/TXT/?uri=CELEX%3A02011L0065-20230901" TargetMode="External"/><Relationship Id="rId34" Type="http://schemas.openxmlformats.org/officeDocument/2006/relationships/hyperlink" Target="https://eur-lex.europa.eu/legal-content/EN/TXT/?uri=CELEX%3A52023PC0451" TargetMode="External"/><Relationship Id="rId42" Type="http://schemas.openxmlformats.org/officeDocument/2006/relationships/hyperlink" Target="https://eur-lex.europa.eu/legal-content/EN/TXT/?uri=SWD%3A2023%3A0192%3AFIN" TargetMode="External"/><Relationship Id="rId7" Type="http://schemas.openxmlformats.org/officeDocument/2006/relationships/hyperlink" Target="https://environment.ec.europa.eu/system/files/2022-10/Proposal%20for%20a%20Directive%20amending%20the%20Water%20Framework%20Directive%2C%20the%20Groundwater%20Directive%20and%20the%20Environmental%20Quality%20Standards%20Directive.pdf" TargetMode="External"/><Relationship Id="rId2" Type="http://schemas.openxmlformats.org/officeDocument/2006/relationships/hyperlink" Target="https://eur-lex.europa.eu/eli/dir/2020/2184/oj" TargetMode="External"/><Relationship Id="rId16" Type="http://schemas.openxmlformats.org/officeDocument/2006/relationships/hyperlink" Target="https://ec.europa.eu/info/law/better-regulation/have-your-say/initiatives/13197-EU-chemicals-strategy-for-sustainability-Cosmetic-Products-Regulation-revision-_en" TargetMode="External"/><Relationship Id="rId20" Type="http://schemas.openxmlformats.org/officeDocument/2006/relationships/hyperlink" Target="https://eur-lex.europa.eu/legal-content/EN/TXT/?uri=CELEX%3A02002R0178-20220701" TargetMode="External"/><Relationship Id="rId29" Type="http://schemas.openxmlformats.org/officeDocument/2006/relationships/hyperlink" Target="https://environment.ec.europa.eu/system/files/2022-10/Proposal%20for%20a%20Directive%20amending%20the%20Water%20Framework%20Directive%2C%20the%20Groundwater%20Directive%20and%20the%20Environmental%20Quality%20Standards%20Directive.pdf" TargetMode="External"/><Relationship Id="rId41" Type="http://schemas.openxmlformats.org/officeDocument/2006/relationships/hyperlink" Target="https://eur-lex.europa.eu/legal-content/EN/TXT/?uri=SWD%3A2023%3A0191%3AFIN" TargetMode="External"/><Relationship Id="rId1" Type="http://schemas.openxmlformats.org/officeDocument/2006/relationships/hyperlink" Target="https://eur-lex.europa.eu/legal-content/EN/ALL/?uri=CELEX:32022R2371" TargetMode="External"/><Relationship Id="rId6" Type="http://schemas.openxmlformats.org/officeDocument/2006/relationships/hyperlink" Target="https://eur-lex.europa.eu/legal-content/EN/TXT/?uri=CELEX%3A52022PC0156" TargetMode="External"/><Relationship Id="rId11" Type="http://schemas.openxmlformats.org/officeDocument/2006/relationships/hyperlink" Target="https://eur-lex.europa.eu/legal-content/EN/TXT/?uri=COM%3A2023%3A0193%3AFIN" TargetMode="External"/><Relationship Id="rId24" Type="http://schemas.openxmlformats.org/officeDocument/2006/relationships/hyperlink" Target="https://www.eu-parc.eu" TargetMode="External"/><Relationship Id="rId32" Type="http://schemas.openxmlformats.org/officeDocument/2006/relationships/hyperlink" Target="https://eur-lex.europa.eu/legal-content/EN/TXT/?uri=COM%3A2023%3A0192%3AFIN" TargetMode="External"/><Relationship Id="rId37" Type="http://schemas.openxmlformats.org/officeDocument/2006/relationships/hyperlink" Target="https://ec.europa.eu/info/law/better-regulation/have-your-say/initiatives/13197-EU-chemicals-strategy-for-sustainability-Cosmetic-Products-Regulation-revision-_en" TargetMode="External"/><Relationship Id="rId40" Type="http://schemas.openxmlformats.org/officeDocument/2006/relationships/hyperlink" Target="https://eur-lex.europa.eu/legal-content/EN/TXT/?uri=CELEX%3A32019R1381" TargetMode="External"/><Relationship Id="rId5" Type="http://schemas.openxmlformats.org/officeDocument/2006/relationships/hyperlink" Target="https://eur-lex.europa.eu/legal-content/EN/TXT/?uri=celex%3A52022PC0157" TargetMode="External"/><Relationship Id="rId15" Type="http://schemas.openxmlformats.org/officeDocument/2006/relationships/hyperlink" Target="https://ec.europa.eu/info/law/better-regulation/have-your-say/initiatives/12959-Chemicals-legislation-revision-of-REACH-Regulation-to-help-achieve-a-toxic-free-environment_en" TargetMode="External"/><Relationship Id="rId23" Type="http://schemas.openxmlformats.org/officeDocument/2006/relationships/hyperlink" Target="https://eur-lex.europa.eu/legal-content/EN/ALL/?uri=CELEX:32022R2371" TargetMode="External"/><Relationship Id="rId28" Type="http://schemas.openxmlformats.org/officeDocument/2006/relationships/hyperlink" Target="https://eur-lex.europa.eu/legal-content/EN/TXT/?uri=COM%3A2022%3A0156%3AFIN" TargetMode="External"/><Relationship Id="rId36" Type="http://schemas.openxmlformats.org/officeDocument/2006/relationships/hyperlink" Target="https://ec.europa.eu/info/law/better-regulation/have-your-say/initiatives/12959-Chemicals-legislation-revision-of-REACH-Regulation-to-help-achieve-a-toxic-free-environment_en" TargetMode="External"/><Relationship Id="rId10" Type="http://schemas.openxmlformats.org/officeDocument/2006/relationships/hyperlink" Target="https://eur-lex.europa.eu/legal-content/EN/TXT/?uri=COM%3A2023%3A0192%3AFIN" TargetMode="External"/><Relationship Id="rId19" Type="http://schemas.openxmlformats.org/officeDocument/2006/relationships/hyperlink" Target="https://eur-lex.europa.eu/legal-content/EN/TXT/?uri=CELEX%3A02009R0401-20210729" TargetMode="External"/><Relationship Id="rId31" Type="http://schemas.openxmlformats.org/officeDocument/2006/relationships/hyperlink" Target="https://eur-lex.europa.eu/legal-content/EN/TXT/?uri=CELEX:52022PC0677" TargetMode="External"/><Relationship Id="rId44" Type="http://schemas.openxmlformats.org/officeDocument/2006/relationships/hyperlink" Target="https://op.europa.eu/en/publication-detail/-/publication/0af584f7-79a5-11ec-9136-01aa75ed71a1/language-en" TargetMode="External"/><Relationship Id="rId4" Type="http://schemas.openxmlformats.org/officeDocument/2006/relationships/hyperlink" Target="https://eur-lex.europa.eu/legal-content/EN/TXT/?uri=uriserv%3AOJ.L_.2023.191.01.0001.01.ENG&amp;toc=OJ%3AL%3A2023%3A191%3ATOC" TargetMode="External"/><Relationship Id="rId9" Type="http://schemas.openxmlformats.org/officeDocument/2006/relationships/hyperlink" Target="https://eur-lex.europa.eu/legal-content/EN/TXT/?uri=CELEX:52022PC0677" TargetMode="External"/><Relationship Id="rId14" Type="http://schemas.openxmlformats.org/officeDocument/2006/relationships/hyperlink" Target="https://ec.europa.eu/info/law/better-regulation/have-your-say/initiatives/13554-European-Chemicals-Agency-proposal-for-a-basic-regulation_en" TargetMode="External"/><Relationship Id="rId22" Type="http://schemas.openxmlformats.org/officeDocument/2006/relationships/hyperlink" Target="https://eur-lex.europa.eu/eli/dir/2020/2184/oj" TargetMode="External"/><Relationship Id="rId27" Type="http://schemas.openxmlformats.org/officeDocument/2006/relationships/hyperlink" Target="https://eur-lex.europa.eu/legal-content/EN/TXT/?uri=COM%3A2022%3A0157%3AFIN" TargetMode="External"/><Relationship Id="rId30" Type="http://schemas.openxmlformats.org/officeDocument/2006/relationships/hyperlink" Target="https://eur-lex.europa.eu/legal-content/EN/TXT/?uri=CELEX%3A52022PC0748" TargetMode="External"/><Relationship Id="rId35" Type="http://schemas.openxmlformats.org/officeDocument/2006/relationships/hyperlink" Target="https://single-market-economy.ec.europa.eu/system/files/2023-07/COM_2023_462_1_EN_ACT_part1_v4.pdf" TargetMode="External"/><Relationship Id="rId43" Type="http://schemas.openxmlformats.org/officeDocument/2006/relationships/hyperlink" Target="https://eur-lex.europa.eu/legal-content/EN/TXT/?uri=SWD%3A2023%3A0193%3AFIN" TargetMode="External"/><Relationship Id="rId8" Type="http://schemas.openxmlformats.org/officeDocument/2006/relationships/hyperlink" Target="https://eur-lex.europa.eu/legal-content/EN/TXT/?uri=CELEX%3A52022PC0748" TargetMode="External"/><Relationship Id="rId3" Type="http://schemas.openxmlformats.org/officeDocument/2006/relationships/hyperlink" Target="https://eur-lex.europa.eu/legal-content/EN/TXT/?uri=uriserv:OJ.L_.2022.272.01.0014.01.ENG" TargetMode="External"/><Relationship Id="rId12" Type="http://schemas.openxmlformats.org/officeDocument/2006/relationships/hyperlink" Target="https://eur-lex.europa.eu/legal-content/EN/TXT/?uri=CELEX%3A52023PC0451" TargetMode="External"/><Relationship Id="rId17" Type="http://schemas.openxmlformats.org/officeDocument/2006/relationships/hyperlink" Target="https://eur-lex.europa.eu/legal-content/EN/TXT/?uri=CELEX%3A02019R1021-20230828" TargetMode="External"/><Relationship Id="rId25" Type="http://schemas.openxmlformats.org/officeDocument/2006/relationships/hyperlink" Target="https://eur-lex.europa.eu/legal-content/EN/TXT/?uri=uriserv:OJ.L_.2022.272.01.0014.01.ENG" TargetMode="External"/><Relationship Id="rId33" Type="http://schemas.openxmlformats.org/officeDocument/2006/relationships/hyperlink" Target="https://eur-lex.europa.eu/legal-content/EN/TXT/?uri=COM%3A2023%3A0193%3AFIN" TargetMode="External"/><Relationship Id="rId38" Type="http://schemas.openxmlformats.org/officeDocument/2006/relationships/hyperlink" Target="https://ec.europa.eu/info/law/better-regulation/have-your-say/initiatives/13481-Evaluation-of-the-legislative-framework-for-tobacco-control_en"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CEFIC</b:Tag>
    <b:SourceType>InternetSite</b:SourceType>
    <b:Guid>{1EC51E4F-31B0-4CFE-B170-4614181DE1AD}</b:Guid>
    <b:Title>Facts and figures of the European chemical industry</b:Title>
    <b:Year>2022</b:Year>
    <b:Author>
      <b:Author>
        <b:Corporate>CEFIC</b:Corporate>
      </b:Author>
    </b:Author>
    <b:Month>January</b:Month>
    <b:Day>13</b:Day>
    <b:URL>https://cefic.org/a-pillar-of-the-european-economy/facts-and-figures-of-the-european-chemical-industry/our-contribution-to-eu-industry/#h-top-10-sectors-account-for-82-of-total-eu27-manufacturing-enterprises</b:URL>
    <b:RefOrder>1</b:RefOrder>
  </b:Source>
</b:Sources>
</file>

<file path=customXml/itemProps1.xml><?xml version="1.0" encoding="utf-8"?>
<ds:datastoreItem xmlns:ds="http://schemas.openxmlformats.org/officeDocument/2006/customXml" ds:itemID="{001D2230-096D-482A-83E5-C750312EF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217</Pages>
  <Words>102559</Words>
  <Characters>557926</Characters>
  <Application>Microsoft Office Word</Application>
  <DocSecurity>0</DocSecurity>
  <Lines>15940</Lines>
  <Paragraphs>8360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KONONIUK Agnieszka (SG)</cp:lastModifiedBy>
  <cp:revision>61</cp:revision>
  <dcterms:created xsi:type="dcterms:W3CDTF">2023-11-09T14:21:00Z</dcterms:created>
  <dcterms:modified xsi:type="dcterms:W3CDTF">2023-12-04T13:28:00Z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2023-11-09T14:21:15Z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22d9f33b-5a6e-42ce-90b1-4d2fef09c75d</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DocStatus">
    <vt:lpwstr>Green</vt:lpwstr>
  </property>
  <property fmtid="{D5CDD505-2E9C-101B-9397-08002B2CF9AE}" pid="13" name="CPTemplateID">
    <vt:lpwstr>CP-025</vt:lpwstr>
  </property>
  <property fmtid="{D5CDD505-2E9C-101B-9397-08002B2CF9AE}" pid="14" name="Last edited using">
    <vt:lpwstr>LW 9.0, Build 20230317</vt:lpwstr>
  </property>
  <property fmtid="{D5CDD505-2E9C-101B-9397-08002B2CF9AE}" pid="15" name="Created using">
    <vt:lpwstr>LW 9.0, Build 20230317</vt:lpwstr>
  </property>
</Properties>
</file>