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B8613" w14:textId="1AC91BF2" w:rsidR="003D0635" w:rsidRPr="006E6596" w:rsidRDefault="004252D6" w:rsidP="004252D6">
      <w:pPr>
        <w:pStyle w:val="Pagedecouverture"/>
        <w:rPr>
          <w:noProof/>
          <w:lang w:val="bg-BG"/>
        </w:rPr>
      </w:pPr>
      <w:bookmarkStart w:id="0" w:name="_Toc111103334"/>
      <w:bookmarkStart w:id="1" w:name="LW_BM_COVERPAGE"/>
      <w:r>
        <w:rPr>
          <w:noProof/>
          <w:lang w:val="bg-BG"/>
        </w:rPr>
        <w:pict w14:anchorId="10BAB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9179CD41-4FB9-46FE-A4C7-64CCCA47DA18" style="width:455.25pt;height:351.75pt">
            <v:imagedata r:id="rId11" o:title=""/>
          </v:shape>
        </w:pict>
      </w:r>
    </w:p>
    <w:bookmarkEnd w:id="1"/>
    <w:p w14:paraId="53E3B6BA" w14:textId="77777777" w:rsidR="00BC1CFB" w:rsidRPr="006E6596" w:rsidRDefault="00BC1CFB" w:rsidP="00BC1CFB">
      <w:pPr>
        <w:rPr>
          <w:noProof/>
          <w:lang w:val="bg-BG"/>
        </w:rPr>
        <w:sectPr w:rsidR="00BC1CFB" w:rsidRPr="006E6596" w:rsidSect="004252D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4EECEBC" w14:textId="1035343A" w:rsidR="00EC300E" w:rsidRPr="004D551C" w:rsidRDefault="00EC300E" w:rsidP="00EF15DB">
      <w:pPr>
        <w:jc w:val="center"/>
        <w:rPr>
          <w:rFonts w:ascii="Times New Roman" w:hAnsi="Times New Roman" w:cs="Times New Roman"/>
          <w:b/>
          <w:noProof/>
          <w:sz w:val="24"/>
          <w:lang w:val="en-US"/>
        </w:rPr>
      </w:pPr>
      <w:bookmarkStart w:id="2" w:name="_GoBack"/>
      <w:bookmarkEnd w:id="2"/>
    </w:p>
    <w:p w14:paraId="5110BA23" w14:textId="77777777" w:rsidR="00BA0D70" w:rsidRPr="006E6596" w:rsidRDefault="00BA0D70" w:rsidP="00BA0D70">
      <w:pPr>
        <w:jc w:val="center"/>
        <w:rPr>
          <w:rFonts w:cstheme="minorHAnsi"/>
          <w:noProof/>
          <w:lang w:val="bg-BG"/>
        </w:rPr>
      </w:pPr>
    </w:p>
    <w:p w14:paraId="6931134B" w14:textId="77777777" w:rsidR="00BA0D70" w:rsidRPr="006E6596" w:rsidRDefault="00BA0D70" w:rsidP="00BA0D70">
      <w:pPr>
        <w:jc w:val="center"/>
        <w:rPr>
          <w:rFonts w:cstheme="minorHAnsi"/>
          <w:noProof/>
          <w:lang w:val="bg-BG"/>
        </w:rPr>
      </w:pPr>
    </w:p>
    <w:p w14:paraId="0A5B4F08" w14:textId="77777777" w:rsidR="00BA0D70" w:rsidRPr="006E6596" w:rsidRDefault="00BA0D70" w:rsidP="00BA0D70">
      <w:pPr>
        <w:jc w:val="center"/>
        <w:rPr>
          <w:rFonts w:cstheme="minorHAnsi"/>
          <w:noProof/>
          <w:lang w:val="bg-BG"/>
        </w:rPr>
      </w:pPr>
    </w:p>
    <w:p w14:paraId="23919EDB" w14:textId="74AB0970" w:rsidR="00987DC0" w:rsidRPr="006E6596" w:rsidRDefault="00BA0D70" w:rsidP="506C0460">
      <w:pPr>
        <w:jc w:val="center"/>
        <w:rPr>
          <w:rFonts w:ascii="Times New Roman" w:hAnsi="Times New Roman" w:cs="Times New Roman"/>
          <w:b/>
          <w:noProof/>
          <w:sz w:val="28"/>
          <w:lang w:val="bg-BG"/>
        </w:rPr>
      </w:pPr>
      <w:r w:rsidRPr="006E6596">
        <w:rPr>
          <w:rFonts w:ascii="Times New Roman" w:hAnsi="Times New Roman"/>
          <w:b/>
          <w:noProof/>
          <w:sz w:val="28"/>
          <w:lang w:val="bg-BG"/>
        </w:rPr>
        <w:t xml:space="preserve">Ефективна правна защита и достъп до правосъдие </w:t>
      </w:r>
    </w:p>
    <w:p w14:paraId="248800FE" w14:textId="4334AB25" w:rsidR="00EC300E" w:rsidRPr="006E6596" w:rsidRDefault="506C0460" w:rsidP="506C0460">
      <w:pPr>
        <w:jc w:val="center"/>
        <w:rPr>
          <w:rFonts w:ascii="Times New Roman" w:hAnsi="Times New Roman" w:cs="Times New Roman"/>
          <w:b/>
          <w:noProof/>
          <w:sz w:val="24"/>
          <w:lang w:val="bg-BG"/>
        </w:rPr>
      </w:pPr>
      <w:r w:rsidRPr="006E6596">
        <w:rPr>
          <w:rFonts w:ascii="Times New Roman" w:hAnsi="Times New Roman"/>
          <w:b/>
          <w:noProof/>
          <w:sz w:val="24"/>
          <w:lang w:val="bg-BG"/>
        </w:rPr>
        <w:t>Годишен доклад за 2023 г. относно прилагането на</w:t>
      </w:r>
      <w:r w:rsidRPr="006E6596">
        <w:rPr>
          <w:noProof/>
          <w:lang w:val="bg-BG"/>
        </w:rPr>
        <w:t xml:space="preserve"> </w:t>
      </w:r>
      <w:r w:rsidRPr="006E6596">
        <w:rPr>
          <w:noProof/>
          <w:lang w:val="bg-BG"/>
        </w:rPr>
        <w:br/>
      </w:r>
      <w:r w:rsidRPr="006E6596">
        <w:rPr>
          <w:rFonts w:ascii="Times New Roman" w:hAnsi="Times New Roman"/>
          <w:b/>
          <w:noProof/>
          <w:sz w:val="24"/>
          <w:lang w:val="bg-BG"/>
        </w:rPr>
        <w:t>Хартата на основните права на ЕС</w:t>
      </w:r>
      <w:bookmarkEnd w:id="0"/>
    </w:p>
    <w:p w14:paraId="1C5FEDE8" w14:textId="5C8D103E" w:rsidR="000A1DA7" w:rsidRPr="006E6596" w:rsidRDefault="000A1DA7" w:rsidP="000A1DA7">
      <w:pPr>
        <w:rPr>
          <w:rFonts w:ascii="Times New Roman" w:hAnsi="Times New Roman" w:cs="Times New Roman"/>
          <w:noProof/>
          <w:lang w:val="bg-BG"/>
        </w:rPr>
      </w:pPr>
    </w:p>
    <w:sdt>
      <w:sdtPr>
        <w:rPr>
          <w:rFonts w:ascii="Times New Roman" w:eastAsiaTheme="minorHAnsi" w:hAnsi="Times New Roman" w:cs="Times New Roman"/>
          <w:noProof/>
          <w:color w:val="auto"/>
          <w:sz w:val="24"/>
          <w:lang w:val="bg-BG"/>
        </w:rPr>
        <w:id w:val="-1989073842"/>
        <w:docPartObj>
          <w:docPartGallery w:val="Table of Contents"/>
          <w:docPartUnique/>
        </w:docPartObj>
      </w:sdtPr>
      <w:sdtEndPr/>
      <w:sdtContent>
        <w:p w14:paraId="2736A630" w14:textId="77777777" w:rsidR="000A1DA7" w:rsidRPr="006E6596" w:rsidRDefault="00B04137" w:rsidP="00B04137">
          <w:pPr>
            <w:pStyle w:val="TOCHeading"/>
            <w:jc w:val="center"/>
            <w:rPr>
              <w:rFonts w:ascii="Times New Roman" w:hAnsi="Times New Roman" w:cs="Times New Roman"/>
              <w:noProof/>
              <w:sz w:val="24"/>
              <w:lang w:val="bg-BG"/>
            </w:rPr>
          </w:pPr>
          <w:r w:rsidRPr="006E6596">
            <w:rPr>
              <w:rFonts w:ascii="Times New Roman" w:hAnsi="Times New Roman"/>
              <w:noProof/>
              <w:sz w:val="24"/>
              <w:lang w:val="bg-BG"/>
            </w:rPr>
            <w:t>Съдържание</w:t>
          </w:r>
        </w:p>
        <w:p w14:paraId="76924F28" w14:textId="77777777" w:rsidR="001C1CB7" w:rsidRPr="006E6596" w:rsidRDefault="001C1CB7" w:rsidP="00082503">
          <w:pPr>
            <w:rPr>
              <w:rFonts w:ascii="Times New Roman" w:hAnsi="Times New Roman" w:cs="Times New Roman"/>
              <w:noProof/>
              <w:sz w:val="24"/>
              <w:lang w:val="bg-BG"/>
            </w:rPr>
          </w:pPr>
        </w:p>
        <w:p w14:paraId="4C9E5CD2" w14:textId="565B96AD" w:rsidR="00FF7825" w:rsidRDefault="000A1DA7">
          <w:pPr>
            <w:pStyle w:val="TOC1"/>
            <w:rPr>
              <w:rFonts w:eastAsiaTheme="minorEastAsia"/>
              <w:noProof/>
              <w:szCs w:val="22"/>
            </w:rPr>
          </w:pPr>
          <w:r w:rsidRPr="006E6596">
            <w:rPr>
              <w:noProof/>
              <w:sz w:val="24"/>
              <w:lang w:val="bg-BG"/>
            </w:rPr>
            <w:fldChar w:fldCharType="begin"/>
          </w:r>
          <w:r w:rsidRPr="006E6596">
            <w:rPr>
              <w:noProof/>
              <w:sz w:val="24"/>
              <w:lang w:val="bg-BG"/>
            </w:rPr>
            <w:instrText xml:space="preserve"> TOC \o "1-3" \h \z \u </w:instrText>
          </w:r>
          <w:r w:rsidRPr="006E6596">
            <w:rPr>
              <w:noProof/>
              <w:sz w:val="24"/>
              <w:lang w:val="bg-BG"/>
            </w:rPr>
            <w:fldChar w:fldCharType="separate"/>
          </w:r>
          <w:hyperlink w:anchor="_Toc152859048" w:history="1">
            <w:r w:rsidR="00FF7825" w:rsidRPr="001366A4">
              <w:rPr>
                <w:rStyle w:val="Hyperlink"/>
                <w:rFonts w:cs="Times New Roman"/>
                <w:b/>
                <w:noProof/>
                <w:lang w:val="bg-BG"/>
              </w:rPr>
              <w:t>1.</w:t>
            </w:r>
            <w:r w:rsidR="00FF7825">
              <w:rPr>
                <w:rFonts w:eastAsiaTheme="minorEastAsia"/>
                <w:noProof/>
                <w:szCs w:val="22"/>
              </w:rPr>
              <w:tab/>
            </w:r>
            <w:r w:rsidR="00FF7825" w:rsidRPr="001366A4">
              <w:rPr>
                <w:rStyle w:val="Hyperlink"/>
                <w:b/>
                <w:noProof/>
                <w:lang w:val="bg-BG"/>
              </w:rPr>
              <w:t>Въведение</w:t>
            </w:r>
            <w:r w:rsidR="00FF7825">
              <w:rPr>
                <w:noProof/>
                <w:webHidden/>
              </w:rPr>
              <w:tab/>
            </w:r>
            <w:r w:rsidR="00FF7825">
              <w:rPr>
                <w:noProof/>
                <w:webHidden/>
              </w:rPr>
              <w:fldChar w:fldCharType="begin"/>
            </w:r>
            <w:r w:rsidR="00FF7825">
              <w:rPr>
                <w:noProof/>
                <w:webHidden/>
              </w:rPr>
              <w:instrText xml:space="preserve"> PAGEREF _Toc152859048 \h </w:instrText>
            </w:r>
            <w:r w:rsidR="00FF7825">
              <w:rPr>
                <w:noProof/>
                <w:webHidden/>
              </w:rPr>
            </w:r>
            <w:r w:rsidR="00FF7825">
              <w:rPr>
                <w:noProof/>
                <w:webHidden/>
              </w:rPr>
              <w:fldChar w:fldCharType="separate"/>
            </w:r>
            <w:r w:rsidR="00FF7825">
              <w:rPr>
                <w:noProof/>
                <w:webHidden/>
              </w:rPr>
              <w:t>2</w:t>
            </w:r>
            <w:r w:rsidR="00FF7825">
              <w:rPr>
                <w:noProof/>
                <w:webHidden/>
              </w:rPr>
              <w:fldChar w:fldCharType="end"/>
            </w:r>
          </w:hyperlink>
        </w:p>
        <w:p w14:paraId="725BBDD3" w14:textId="3643B0D2" w:rsidR="00FF7825" w:rsidRDefault="004252D6">
          <w:pPr>
            <w:pStyle w:val="TOC1"/>
            <w:rPr>
              <w:rFonts w:eastAsiaTheme="minorEastAsia"/>
              <w:noProof/>
              <w:szCs w:val="22"/>
            </w:rPr>
          </w:pPr>
          <w:hyperlink w:anchor="_Toc152859049" w:history="1">
            <w:r w:rsidR="00FF7825" w:rsidRPr="001366A4">
              <w:rPr>
                <w:rStyle w:val="Hyperlink"/>
                <w:rFonts w:cs="Times New Roman"/>
                <w:b/>
                <w:noProof/>
                <w:lang w:val="bg-BG"/>
              </w:rPr>
              <w:t>2.</w:t>
            </w:r>
            <w:r w:rsidR="00FF7825">
              <w:rPr>
                <w:rFonts w:eastAsiaTheme="minorEastAsia"/>
                <w:noProof/>
                <w:szCs w:val="22"/>
              </w:rPr>
              <w:tab/>
            </w:r>
            <w:r w:rsidR="00FF7825" w:rsidRPr="001366A4">
              <w:rPr>
                <w:rStyle w:val="Hyperlink"/>
                <w:b/>
                <w:noProof/>
                <w:lang w:val="bg-BG"/>
              </w:rPr>
              <w:t>Право на ЕС в областта на ефективната правна защита и достъпа до правосъдие</w:t>
            </w:r>
            <w:r w:rsidR="00FF7825">
              <w:rPr>
                <w:noProof/>
                <w:webHidden/>
              </w:rPr>
              <w:tab/>
            </w:r>
            <w:r w:rsidR="00FF7825">
              <w:rPr>
                <w:noProof/>
                <w:webHidden/>
              </w:rPr>
              <w:fldChar w:fldCharType="begin"/>
            </w:r>
            <w:r w:rsidR="00FF7825">
              <w:rPr>
                <w:noProof/>
                <w:webHidden/>
              </w:rPr>
              <w:instrText xml:space="preserve"> PAGEREF _Toc152859049 \h </w:instrText>
            </w:r>
            <w:r w:rsidR="00FF7825">
              <w:rPr>
                <w:noProof/>
                <w:webHidden/>
              </w:rPr>
            </w:r>
            <w:r w:rsidR="00FF7825">
              <w:rPr>
                <w:noProof/>
                <w:webHidden/>
              </w:rPr>
              <w:fldChar w:fldCharType="separate"/>
            </w:r>
            <w:r w:rsidR="00FF7825">
              <w:rPr>
                <w:noProof/>
                <w:webHidden/>
              </w:rPr>
              <w:t>6</w:t>
            </w:r>
            <w:r w:rsidR="00FF7825">
              <w:rPr>
                <w:noProof/>
                <w:webHidden/>
              </w:rPr>
              <w:fldChar w:fldCharType="end"/>
            </w:r>
          </w:hyperlink>
        </w:p>
        <w:p w14:paraId="4242A4D4" w14:textId="502460DA" w:rsidR="00FF7825" w:rsidRDefault="004252D6">
          <w:pPr>
            <w:pStyle w:val="TOC1"/>
            <w:rPr>
              <w:rFonts w:eastAsiaTheme="minorEastAsia"/>
              <w:noProof/>
              <w:szCs w:val="22"/>
            </w:rPr>
          </w:pPr>
          <w:hyperlink w:anchor="_Toc152859060" w:history="1">
            <w:r w:rsidR="00FF7825" w:rsidRPr="001366A4">
              <w:rPr>
                <w:rStyle w:val="Hyperlink"/>
                <w:rFonts w:cs="Times New Roman"/>
                <w:b/>
                <w:noProof/>
                <w:lang w:val="bg-BG"/>
              </w:rPr>
              <w:t>3.</w:t>
            </w:r>
            <w:r w:rsidR="00FF7825">
              <w:rPr>
                <w:rFonts w:eastAsiaTheme="minorEastAsia"/>
                <w:noProof/>
                <w:szCs w:val="22"/>
              </w:rPr>
              <w:tab/>
            </w:r>
            <w:r w:rsidR="00FF7825" w:rsidRPr="001366A4">
              <w:rPr>
                <w:rStyle w:val="Hyperlink"/>
                <w:b/>
                <w:noProof/>
                <w:lang w:val="bg-BG"/>
              </w:rPr>
              <w:t>Мерките на държавите членки за осигуряване на ефективна правна защита</w:t>
            </w:r>
            <w:r w:rsidR="00FF7825">
              <w:rPr>
                <w:noProof/>
                <w:webHidden/>
              </w:rPr>
              <w:tab/>
            </w:r>
            <w:r w:rsidR="00FF7825">
              <w:rPr>
                <w:noProof/>
                <w:webHidden/>
              </w:rPr>
              <w:fldChar w:fldCharType="begin"/>
            </w:r>
            <w:r w:rsidR="00FF7825">
              <w:rPr>
                <w:noProof/>
                <w:webHidden/>
              </w:rPr>
              <w:instrText xml:space="preserve"> PAGEREF _Toc152859060 \h </w:instrText>
            </w:r>
            <w:r w:rsidR="00FF7825">
              <w:rPr>
                <w:noProof/>
                <w:webHidden/>
              </w:rPr>
            </w:r>
            <w:r w:rsidR="00FF7825">
              <w:rPr>
                <w:noProof/>
                <w:webHidden/>
              </w:rPr>
              <w:fldChar w:fldCharType="separate"/>
            </w:r>
            <w:r w:rsidR="00FF7825">
              <w:rPr>
                <w:noProof/>
                <w:webHidden/>
              </w:rPr>
              <w:t>22</w:t>
            </w:r>
            <w:r w:rsidR="00FF7825">
              <w:rPr>
                <w:noProof/>
                <w:webHidden/>
              </w:rPr>
              <w:fldChar w:fldCharType="end"/>
            </w:r>
          </w:hyperlink>
        </w:p>
        <w:p w14:paraId="3D14DAA0" w14:textId="27647FA7" w:rsidR="00FF7825" w:rsidRDefault="004252D6">
          <w:pPr>
            <w:pStyle w:val="TOC1"/>
            <w:rPr>
              <w:rFonts w:eastAsiaTheme="minorEastAsia"/>
              <w:noProof/>
              <w:szCs w:val="22"/>
            </w:rPr>
          </w:pPr>
          <w:hyperlink w:anchor="_Toc152859067" w:history="1">
            <w:r w:rsidR="00FF7825" w:rsidRPr="001366A4">
              <w:rPr>
                <w:rStyle w:val="Hyperlink"/>
                <w:rFonts w:cs="Times New Roman"/>
                <w:b/>
                <w:noProof/>
                <w:lang w:val="bg-BG"/>
              </w:rPr>
              <w:t>4.</w:t>
            </w:r>
            <w:r w:rsidR="00FF7825">
              <w:rPr>
                <w:rFonts w:eastAsiaTheme="minorEastAsia"/>
                <w:noProof/>
                <w:szCs w:val="22"/>
              </w:rPr>
              <w:tab/>
            </w:r>
            <w:r w:rsidR="00FF7825" w:rsidRPr="001366A4">
              <w:rPr>
                <w:rStyle w:val="Hyperlink"/>
                <w:b/>
                <w:noProof/>
                <w:lang w:val="bg-BG"/>
              </w:rPr>
              <w:t>Осигуряване на ефективна правна защита чрез съдилищата</w:t>
            </w:r>
            <w:r w:rsidR="00FF7825">
              <w:rPr>
                <w:noProof/>
                <w:webHidden/>
              </w:rPr>
              <w:tab/>
            </w:r>
            <w:r w:rsidR="00FF7825">
              <w:rPr>
                <w:noProof/>
                <w:webHidden/>
              </w:rPr>
              <w:fldChar w:fldCharType="begin"/>
            </w:r>
            <w:r w:rsidR="00FF7825">
              <w:rPr>
                <w:noProof/>
                <w:webHidden/>
              </w:rPr>
              <w:instrText xml:space="preserve"> PAGEREF _Toc152859067 \h </w:instrText>
            </w:r>
            <w:r w:rsidR="00FF7825">
              <w:rPr>
                <w:noProof/>
                <w:webHidden/>
              </w:rPr>
            </w:r>
            <w:r w:rsidR="00FF7825">
              <w:rPr>
                <w:noProof/>
                <w:webHidden/>
              </w:rPr>
              <w:fldChar w:fldCharType="separate"/>
            </w:r>
            <w:r w:rsidR="00FF7825">
              <w:rPr>
                <w:noProof/>
                <w:webHidden/>
              </w:rPr>
              <w:t>38</w:t>
            </w:r>
            <w:r w:rsidR="00FF7825">
              <w:rPr>
                <w:noProof/>
                <w:webHidden/>
              </w:rPr>
              <w:fldChar w:fldCharType="end"/>
            </w:r>
          </w:hyperlink>
        </w:p>
        <w:p w14:paraId="6E1F90F3" w14:textId="1ACF8F37" w:rsidR="00FF7825" w:rsidRDefault="004252D6">
          <w:pPr>
            <w:pStyle w:val="TOC1"/>
            <w:rPr>
              <w:rFonts w:eastAsiaTheme="minorEastAsia"/>
              <w:noProof/>
              <w:szCs w:val="22"/>
            </w:rPr>
          </w:pPr>
          <w:hyperlink w:anchor="_Toc152859070" w:history="1">
            <w:r w:rsidR="00FF7825" w:rsidRPr="001366A4">
              <w:rPr>
                <w:rStyle w:val="Hyperlink"/>
                <w:rFonts w:cs="Times New Roman"/>
                <w:b/>
                <w:noProof/>
                <w:lang w:val="bg-BG"/>
              </w:rPr>
              <w:t>5.</w:t>
            </w:r>
            <w:r w:rsidR="00FF7825">
              <w:rPr>
                <w:rFonts w:eastAsiaTheme="minorEastAsia"/>
                <w:noProof/>
                <w:szCs w:val="22"/>
              </w:rPr>
              <w:tab/>
            </w:r>
            <w:r w:rsidR="00FF7825" w:rsidRPr="001366A4">
              <w:rPr>
                <w:rStyle w:val="Hyperlink"/>
                <w:b/>
                <w:noProof/>
                <w:lang w:val="bg-BG"/>
              </w:rPr>
              <w:t>Финансиране от Съюза за ефективна правна защита</w:t>
            </w:r>
            <w:r w:rsidR="00FF7825">
              <w:rPr>
                <w:noProof/>
                <w:webHidden/>
              </w:rPr>
              <w:tab/>
            </w:r>
            <w:r w:rsidR="00FF7825">
              <w:rPr>
                <w:noProof/>
                <w:webHidden/>
              </w:rPr>
              <w:fldChar w:fldCharType="begin"/>
            </w:r>
            <w:r w:rsidR="00FF7825">
              <w:rPr>
                <w:noProof/>
                <w:webHidden/>
              </w:rPr>
              <w:instrText xml:space="preserve"> PAGEREF _Toc152859070 \h </w:instrText>
            </w:r>
            <w:r w:rsidR="00FF7825">
              <w:rPr>
                <w:noProof/>
                <w:webHidden/>
              </w:rPr>
            </w:r>
            <w:r w:rsidR="00FF7825">
              <w:rPr>
                <w:noProof/>
                <w:webHidden/>
              </w:rPr>
              <w:fldChar w:fldCharType="separate"/>
            </w:r>
            <w:r w:rsidR="00FF7825">
              <w:rPr>
                <w:noProof/>
                <w:webHidden/>
              </w:rPr>
              <w:t>44</w:t>
            </w:r>
            <w:r w:rsidR="00FF7825">
              <w:rPr>
                <w:noProof/>
                <w:webHidden/>
              </w:rPr>
              <w:fldChar w:fldCharType="end"/>
            </w:r>
          </w:hyperlink>
        </w:p>
        <w:p w14:paraId="4F932E0F" w14:textId="0417144C" w:rsidR="00FF7825" w:rsidRDefault="004252D6">
          <w:pPr>
            <w:pStyle w:val="TOC1"/>
            <w:rPr>
              <w:rFonts w:eastAsiaTheme="minorEastAsia"/>
              <w:noProof/>
              <w:szCs w:val="22"/>
            </w:rPr>
          </w:pPr>
          <w:hyperlink w:anchor="_Toc152859074" w:history="1">
            <w:r w:rsidR="00FF7825" w:rsidRPr="001366A4">
              <w:rPr>
                <w:rStyle w:val="Hyperlink"/>
                <w:rFonts w:cs="Times New Roman"/>
                <w:b/>
                <w:noProof/>
                <w:lang w:val="bg-BG"/>
              </w:rPr>
              <w:t>6.</w:t>
            </w:r>
            <w:r w:rsidR="00FF7825">
              <w:rPr>
                <w:rFonts w:eastAsiaTheme="minorEastAsia"/>
                <w:noProof/>
                <w:szCs w:val="22"/>
              </w:rPr>
              <w:tab/>
            </w:r>
            <w:r w:rsidR="00FF7825" w:rsidRPr="001366A4">
              <w:rPr>
                <w:rStyle w:val="Hyperlink"/>
                <w:b/>
                <w:noProof/>
                <w:lang w:val="bg-BG"/>
              </w:rPr>
              <w:t>Заключение</w:t>
            </w:r>
            <w:r w:rsidR="00FF7825">
              <w:rPr>
                <w:noProof/>
                <w:webHidden/>
              </w:rPr>
              <w:tab/>
            </w:r>
            <w:r w:rsidR="00FF7825">
              <w:rPr>
                <w:noProof/>
                <w:webHidden/>
              </w:rPr>
              <w:fldChar w:fldCharType="begin"/>
            </w:r>
            <w:r w:rsidR="00FF7825">
              <w:rPr>
                <w:noProof/>
                <w:webHidden/>
              </w:rPr>
              <w:instrText xml:space="preserve"> PAGEREF _Toc152859074 \h </w:instrText>
            </w:r>
            <w:r w:rsidR="00FF7825">
              <w:rPr>
                <w:noProof/>
                <w:webHidden/>
              </w:rPr>
            </w:r>
            <w:r w:rsidR="00FF7825">
              <w:rPr>
                <w:noProof/>
                <w:webHidden/>
              </w:rPr>
              <w:fldChar w:fldCharType="separate"/>
            </w:r>
            <w:r w:rsidR="00FF7825">
              <w:rPr>
                <w:noProof/>
                <w:webHidden/>
              </w:rPr>
              <w:t>51</w:t>
            </w:r>
            <w:r w:rsidR="00FF7825">
              <w:rPr>
                <w:noProof/>
                <w:webHidden/>
              </w:rPr>
              <w:fldChar w:fldCharType="end"/>
            </w:r>
          </w:hyperlink>
        </w:p>
        <w:p w14:paraId="3B0003F6" w14:textId="5C5AD475" w:rsidR="000A1DA7" w:rsidRPr="006E6596" w:rsidRDefault="000A1DA7">
          <w:pPr>
            <w:rPr>
              <w:rFonts w:ascii="Times New Roman" w:hAnsi="Times New Roman" w:cs="Times New Roman"/>
              <w:noProof/>
              <w:sz w:val="24"/>
              <w:lang w:val="bg-BG"/>
            </w:rPr>
          </w:pPr>
          <w:r w:rsidRPr="006E6596">
            <w:rPr>
              <w:rFonts w:ascii="Times New Roman" w:hAnsi="Times New Roman" w:cs="Times New Roman"/>
              <w:noProof/>
              <w:sz w:val="24"/>
              <w:lang w:val="bg-BG"/>
            </w:rPr>
            <w:fldChar w:fldCharType="end"/>
          </w:r>
        </w:p>
      </w:sdtContent>
    </w:sdt>
    <w:p w14:paraId="0AA4BEB3" w14:textId="77777777" w:rsidR="000A1DA7" w:rsidRPr="006E6596" w:rsidRDefault="000A1DA7" w:rsidP="000A1DA7">
      <w:pPr>
        <w:rPr>
          <w:rFonts w:ascii="Times New Roman" w:hAnsi="Times New Roman" w:cs="Times New Roman"/>
          <w:noProof/>
          <w:lang w:val="bg-BG"/>
        </w:rPr>
      </w:pPr>
    </w:p>
    <w:p w14:paraId="6D3493B2" w14:textId="77777777" w:rsidR="007427F4" w:rsidRPr="006E6596" w:rsidRDefault="007427F4" w:rsidP="007427F4">
      <w:pPr>
        <w:rPr>
          <w:rFonts w:ascii="Times New Roman" w:eastAsiaTheme="majorEastAsia" w:hAnsi="Times New Roman" w:cs="Times New Roman"/>
          <w:noProof/>
          <w:lang w:val="bg-BG"/>
        </w:rPr>
      </w:pPr>
      <w:r w:rsidRPr="006E6596">
        <w:rPr>
          <w:noProof/>
          <w:lang w:val="bg-BG"/>
        </w:rPr>
        <w:br w:type="page"/>
      </w:r>
    </w:p>
    <w:p w14:paraId="1512F61F" w14:textId="5FC970F3" w:rsidR="00C917DB" w:rsidRPr="006E6596" w:rsidRDefault="506C0460" w:rsidP="00D73988">
      <w:pPr>
        <w:pStyle w:val="ListParagraph"/>
        <w:numPr>
          <w:ilvl w:val="0"/>
          <w:numId w:val="1"/>
        </w:numPr>
        <w:ind w:left="567" w:hanging="567"/>
        <w:outlineLvl w:val="0"/>
        <w:rPr>
          <w:rFonts w:cs="Times New Roman"/>
          <w:b/>
          <w:noProof/>
          <w:lang w:val="bg-BG"/>
        </w:rPr>
      </w:pPr>
      <w:bookmarkStart w:id="3" w:name="_Toc152859048"/>
      <w:r w:rsidRPr="006E6596">
        <w:rPr>
          <w:b/>
          <w:noProof/>
          <w:lang w:val="bg-BG"/>
        </w:rPr>
        <w:t>Въведение</w:t>
      </w:r>
      <w:bookmarkEnd w:id="3"/>
    </w:p>
    <w:p w14:paraId="0398A1CA" w14:textId="748376B0" w:rsidR="003D51CF" w:rsidRPr="006E6596" w:rsidRDefault="506C0460" w:rsidP="003D51CF">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В Хартата на основните права на Европейския съюз (Хартата) са обединени основните права, предоставени на всеки в Европейския съюз (ЕС). В нея се подчертава взаимовръзката между основните права и основополагащите ценности като човешко достойнство, свобода, равенство и солидарност, както и принципите на демокрацията и върховенството на закона. Като обвързващ акт, който е част от първичното законодателство, Хартата гарантира защитата на основните права в целия ЕС.</w:t>
      </w:r>
    </w:p>
    <w:tbl>
      <w:tblPr>
        <w:tblStyle w:val="TableGrid"/>
        <w:tblW w:w="9576" w:type="dxa"/>
        <w:tblLook w:val="04A0" w:firstRow="1" w:lastRow="0" w:firstColumn="1" w:lastColumn="0" w:noHBand="0" w:noVBand="1"/>
      </w:tblPr>
      <w:tblGrid>
        <w:gridCol w:w="9576"/>
      </w:tblGrid>
      <w:tr w:rsidR="0059314B" w:rsidRPr="00FF7825" w14:paraId="4E50F90A" w14:textId="77777777" w:rsidTr="506C0460">
        <w:tc>
          <w:tcPr>
            <w:tcW w:w="9576" w:type="dxa"/>
          </w:tcPr>
          <w:p w14:paraId="1CEF9554" w14:textId="77777777" w:rsidR="0059314B" w:rsidRPr="006E6596" w:rsidRDefault="506C0460" w:rsidP="506C0460">
            <w:pPr>
              <w:spacing w:after="120"/>
              <w:jc w:val="both"/>
              <w:rPr>
                <w:rFonts w:ascii="Times New Roman" w:hAnsi="Times New Roman" w:cs="Times New Roman"/>
                <w:b/>
                <w:i/>
                <w:noProof/>
                <w:sz w:val="24"/>
                <w:lang w:val="bg-BG"/>
              </w:rPr>
            </w:pPr>
            <w:r w:rsidRPr="006E6596">
              <w:rPr>
                <w:rFonts w:ascii="Times New Roman" w:hAnsi="Times New Roman"/>
                <w:i/>
                <w:noProof/>
                <w:sz w:val="24"/>
                <w:lang w:val="bg-BG"/>
              </w:rPr>
              <w:t>Кога се прилага Хартата?</w:t>
            </w:r>
          </w:p>
          <w:p w14:paraId="2E408238" w14:textId="128CFE61" w:rsidR="0059314B" w:rsidRPr="006E6596" w:rsidRDefault="0059314B" w:rsidP="506C0460">
            <w:pPr>
              <w:spacing w:after="120"/>
              <w:jc w:val="both"/>
              <w:rPr>
                <w:rFonts w:ascii="Times New Roman" w:hAnsi="Times New Roman" w:cs="Times New Roman"/>
                <w:noProof/>
                <w:sz w:val="24"/>
                <w:lang w:val="bg-BG"/>
              </w:rPr>
            </w:pPr>
            <w:r w:rsidRPr="006E6596">
              <w:rPr>
                <w:rFonts w:ascii="Times New Roman" w:hAnsi="Times New Roman"/>
                <w:noProof/>
                <w:sz w:val="24"/>
                <w:lang w:val="bg-BG"/>
              </w:rPr>
              <w:t>От 2009 г. насам Хартата има същия правен статут като Договорите — правото на Съюза, на което се основава законодателството на ЕС</w:t>
            </w:r>
            <w:r w:rsidRPr="006E6596">
              <w:rPr>
                <w:rStyle w:val="FootnoteReference"/>
                <w:rFonts w:ascii="Times New Roman" w:hAnsi="Times New Roman" w:cs="Times New Roman"/>
                <w:noProof/>
                <w:sz w:val="24"/>
                <w:lang w:val="bg-BG"/>
              </w:rPr>
              <w:footnoteReference w:id="2"/>
            </w:r>
            <w:r w:rsidRPr="006E6596">
              <w:rPr>
                <w:rFonts w:ascii="Times New Roman" w:hAnsi="Times New Roman"/>
                <w:noProof/>
                <w:sz w:val="24"/>
                <w:lang w:val="bg-BG"/>
              </w:rPr>
              <w:t>. Институциите на ЕС трябва да я спазват във всички свои дейности, а държавите членки също трябва да я спазват, когато прилагат правото на Съюза</w:t>
            </w:r>
            <w:r w:rsidRPr="006E6596">
              <w:rPr>
                <w:rStyle w:val="FootnoteReference"/>
                <w:rFonts w:ascii="Times New Roman" w:hAnsi="Times New Roman" w:cs="Times New Roman"/>
                <w:noProof/>
                <w:sz w:val="24"/>
                <w:lang w:val="bg-BG"/>
              </w:rPr>
              <w:footnoteReference w:id="3"/>
            </w:r>
            <w:r w:rsidRPr="006E6596">
              <w:rPr>
                <w:rFonts w:ascii="Times New Roman" w:hAnsi="Times New Roman"/>
                <w:noProof/>
                <w:sz w:val="24"/>
                <w:lang w:val="bg-BG"/>
              </w:rPr>
              <w:t>.</w:t>
            </w:r>
          </w:p>
          <w:p w14:paraId="7BD07BDA" w14:textId="01C51B45" w:rsidR="0059314B" w:rsidRPr="006E6596" w:rsidRDefault="506C0460" w:rsidP="506C0460">
            <w:pPr>
              <w:spacing w:after="120"/>
              <w:jc w:val="both"/>
              <w:rPr>
                <w:rFonts w:ascii="Times New Roman" w:hAnsi="Times New Roman" w:cs="Times New Roman"/>
                <w:noProof/>
                <w:sz w:val="24"/>
                <w:lang w:val="bg-BG"/>
              </w:rPr>
            </w:pPr>
            <w:bookmarkStart w:id="4" w:name="_Hlk139969934"/>
            <w:r w:rsidRPr="006E6596">
              <w:rPr>
                <w:rFonts w:ascii="Times New Roman" w:hAnsi="Times New Roman"/>
                <w:noProof/>
                <w:sz w:val="24"/>
                <w:lang w:val="bg-BG"/>
              </w:rPr>
              <w:t>Държавите членки прилагат правото на Съюза най-вече когато:</w:t>
            </w:r>
          </w:p>
          <w:p w14:paraId="082C4E6A" w14:textId="2390658D" w:rsidR="0059314B" w:rsidRPr="006E6596" w:rsidRDefault="506C0460" w:rsidP="506C0460">
            <w:pPr>
              <w:spacing w:after="120"/>
              <w:jc w:val="both"/>
              <w:rPr>
                <w:rFonts w:ascii="Times New Roman" w:hAnsi="Times New Roman" w:cs="Times New Roman"/>
                <w:noProof/>
                <w:sz w:val="24"/>
                <w:lang w:val="bg-BG"/>
              </w:rPr>
            </w:pPr>
            <w:r w:rsidRPr="006E6596">
              <w:rPr>
                <w:rFonts w:ascii="Times New Roman" w:hAnsi="Times New Roman"/>
                <w:noProof/>
                <w:sz w:val="24"/>
                <w:lang w:val="bg-BG"/>
              </w:rPr>
              <w:t>— привеждат в действие законодателството на ЕС чрез приемане на национални мерки за транспониране;</w:t>
            </w:r>
          </w:p>
          <w:p w14:paraId="26C8E17F" w14:textId="55B57EDD" w:rsidR="0059314B" w:rsidRPr="006E6596" w:rsidRDefault="0059314B" w:rsidP="506C0460">
            <w:pPr>
              <w:spacing w:after="120"/>
              <w:jc w:val="both"/>
              <w:rPr>
                <w:rFonts w:ascii="Times New Roman" w:hAnsi="Times New Roman" w:cs="Times New Roman"/>
                <w:noProof/>
                <w:sz w:val="24"/>
                <w:lang w:val="bg-BG"/>
              </w:rPr>
            </w:pPr>
            <w:r w:rsidRPr="006E6596">
              <w:rPr>
                <w:rFonts w:ascii="Times New Roman" w:hAnsi="Times New Roman"/>
                <w:noProof/>
                <w:sz w:val="24"/>
                <w:lang w:val="bg-BG"/>
              </w:rPr>
              <w:t>— приемат законодателство, когато правото на Съюза налага специфични задължения или дава възможност за дерогация от него</w:t>
            </w:r>
            <w:r w:rsidRPr="006E6596">
              <w:rPr>
                <w:rStyle w:val="FootnoteReference"/>
                <w:rFonts w:ascii="Times New Roman" w:hAnsi="Times New Roman" w:cs="Times New Roman"/>
                <w:noProof/>
                <w:sz w:val="24"/>
                <w:lang w:val="bg-BG"/>
              </w:rPr>
              <w:footnoteReference w:id="4"/>
            </w:r>
            <w:r w:rsidRPr="006E6596">
              <w:rPr>
                <w:rFonts w:ascii="Times New Roman" w:hAnsi="Times New Roman"/>
                <w:noProof/>
                <w:sz w:val="24"/>
                <w:lang w:val="bg-BG"/>
              </w:rPr>
              <w:t xml:space="preserve">; </w:t>
            </w:r>
          </w:p>
          <w:p w14:paraId="037F8654" w14:textId="7593C300" w:rsidR="0059314B" w:rsidRPr="006E6596" w:rsidRDefault="506C0460" w:rsidP="506C0460">
            <w:pPr>
              <w:spacing w:after="120"/>
              <w:jc w:val="both"/>
              <w:rPr>
                <w:rFonts w:ascii="Times New Roman" w:hAnsi="Times New Roman" w:cs="Times New Roman"/>
                <w:noProof/>
                <w:sz w:val="24"/>
                <w:lang w:val="bg-BG"/>
              </w:rPr>
            </w:pPr>
            <w:r w:rsidRPr="006E6596">
              <w:rPr>
                <w:rFonts w:ascii="Times New Roman" w:hAnsi="Times New Roman"/>
                <w:noProof/>
                <w:sz w:val="24"/>
                <w:lang w:val="bg-BG"/>
              </w:rPr>
              <w:t xml:space="preserve">— изпълняват програми за финансиране от Съюза в съответствие с правилата за финансиране от Съюза. </w:t>
            </w:r>
            <w:bookmarkEnd w:id="4"/>
          </w:p>
        </w:tc>
      </w:tr>
    </w:tbl>
    <w:p w14:paraId="64337B2F" w14:textId="65712BB8" w:rsidR="00123E39" w:rsidRPr="006E6596" w:rsidRDefault="00B37C32" w:rsidP="00123E39">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Както е посочено в Стратегията до 2020 г. за подобряване на прилагането на Хартата на основните права в ЕС (Стратегията за Хартата) (стратегията относно Хартата)</w:t>
      </w:r>
      <w:r w:rsidRPr="006E6596">
        <w:rPr>
          <w:rStyle w:val="FootnoteReference"/>
          <w:rFonts w:ascii="Times New Roman" w:hAnsi="Times New Roman" w:cs="Times New Roman"/>
          <w:noProof/>
          <w:sz w:val="24"/>
          <w:lang w:val="bg-BG"/>
        </w:rPr>
        <w:footnoteReference w:id="5"/>
      </w:r>
      <w:r w:rsidRPr="006E6596">
        <w:rPr>
          <w:rFonts w:ascii="Times New Roman" w:hAnsi="Times New Roman"/>
          <w:noProof/>
          <w:sz w:val="24"/>
          <w:lang w:val="bg-BG"/>
        </w:rPr>
        <w:t>, Комисията представя тематични годишни доклади относно прилагането на Хартата, в които се съсредоточава върху области от стратегическо значение</w:t>
      </w:r>
      <w:r w:rsidRPr="006E6596">
        <w:rPr>
          <w:rStyle w:val="FootnoteReference"/>
          <w:rFonts w:ascii="Times New Roman" w:hAnsi="Times New Roman" w:cs="Times New Roman"/>
          <w:noProof/>
          <w:sz w:val="24"/>
          <w:lang w:val="bg-BG"/>
        </w:rPr>
        <w:footnoteReference w:id="6"/>
      </w:r>
      <w:r w:rsidRPr="006E6596">
        <w:rPr>
          <w:rFonts w:ascii="Times New Roman" w:hAnsi="Times New Roman"/>
          <w:noProof/>
          <w:sz w:val="24"/>
          <w:lang w:val="bg-BG"/>
        </w:rPr>
        <w:t xml:space="preserve">. </w:t>
      </w:r>
      <w:bookmarkStart w:id="7" w:name="_Hlk147871346"/>
      <w:r w:rsidRPr="006E6596">
        <w:rPr>
          <w:rFonts w:ascii="Times New Roman" w:hAnsi="Times New Roman"/>
          <w:noProof/>
          <w:sz w:val="24"/>
          <w:lang w:val="bg-BG"/>
        </w:rPr>
        <w:t>Тазгодишният доклад относно Хартата е посветен на ефективната правна защита и достъпа до правосъдие</w:t>
      </w:r>
      <w:r w:rsidRPr="006E6596">
        <w:rPr>
          <w:rFonts w:ascii="Times New Roman" w:hAnsi="Times New Roman"/>
          <w:i/>
          <w:noProof/>
          <w:sz w:val="24"/>
          <w:lang w:val="bg-BG"/>
        </w:rPr>
        <w:t xml:space="preserve"> </w:t>
      </w:r>
      <w:r w:rsidRPr="006E6596">
        <w:rPr>
          <w:rFonts w:ascii="Times New Roman" w:hAnsi="Times New Roman"/>
          <w:noProof/>
          <w:sz w:val="24"/>
          <w:lang w:val="bg-BG"/>
        </w:rPr>
        <w:t>като предпоставка за реализиране на основните права така, че да не се пренебрегва никой</w:t>
      </w:r>
      <w:r w:rsidRPr="006E6596">
        <w:rPr>
          <w:rStyle w:val="FootnoteReference"/>
          <w:rFonts w:ascii="Times New Roman" w:hAnsi="Times New Roman" w:cs="Times New Roman"/>
          <w:noProof/>
          <w:sz w:val="24"/>
          <w:lang w:val="bg-BG"/>
        </w:rPr>
        <w:footnoteReference w:id="7"/>
      </w:r>
      <w:r w:rsidRPr="006E6596">
        <w:rPr>
          <w:rFonts w:ascii="Times New Roman" w:hAnsi="Times New Roman"/>
          <w:noProof/>
          <w:sz w:val="24"/>
          <w:lang w:val="bg-BG"/>
        </w:rPr>
        <w:t xml:space="preserve">. </w:t>
      </w:r>
    </w:p>
    <w:tbl>
      <w:tblPr>
        <w:tblStyle w:val="TableGrid"/>
        <w:tblW w:w="0" w:type="auto"/>
        <w:tblLook w:val="04A0" w:firstRow="1" w:lastRow="0" w:firstColumn="1" w:lastColumn="0" w:noHBand="0" w:noVBand="1"/>
      </w:tblPr>
      <w:tblGrid>
        <w:gridCol w:w="9576"/>
      </w:tblGrid>
      <w:tr w:rsidR="00590569" w:rsidRPr="00FF7825" w14:paraId="00361307" w14:textId="77777777" w:rsidTr="506C0460">
        <w:tc>
          <w:tcPr>
            <w:tcW w:w="9576" w:type="dxa"/>
          </w:tcPr>
          <w:bookmarkEnd w:id="7"/>
          <w:p w14:paraId="1ED993C6" w14:textId="2EA19BC7" w:rsidR="00590569" w:rsidRPr="006E6596" w:rsidRDefault="506C0460" w:rsidP="506C0460">
            <w:pPr>
              <w:spacing w:after="120" w:line="276" w:lineRule="auto"/>
              <w:jc w:val="both"/>
              <w:rPr>
                <w:rFonts w:ascii="Times New Roman" w:hAnsi="Times New Roman" w:cs="Times New Roman"/>
                <w:i/>
                <w:noProof/>
                <w:sz w:val="24"/>
                <w:lang w:val="bg-BG"/>
              </w:rPr>
            </w:pPr>
            <w:r w:rsidRPr="006E6596">
              <w:rPr>
                <w:rFonts w:ascii="Times New Roman" w:hAnsi="Times New Roman"/>
                <w:i/>
                <w:noProof/>
                <w:sz w:val="24"/>
                <w:lang w:val="bg-BG"/>
              </w:rPr>
              <w:t>Постигнат напредък при изпълнението на стратегията за Хартата в периода 2022—2023 г.:</w:t>
            </w:r>
          </w:p>
          <w:p w14:paraId="6E8C1A41" w14:textId="413D051B" w:rsidR="00CB3E95" w:rsidRPr="006E6596" w:rsidRDefault="000B478F" w:rsidP="00D73988">
            <w:pPr>
              <w:pStyle w:val="ListParagraph"/>
              <w:numPr>
                <w:ilvl w:val="0"/>
                <w:numId w:val="4"/>
              </w:numPr>
              <w:spacing w:after="120" w:line="276" w:lineRule="auto"/>
              <w:jc w:val="both"/>
              <w:rPr>
                <w:rFonts w:cs="Times New Roman"/>
                <w:noProof/>
                <w:lang w:val="bg-BG"/>
              </w:rPr>
            </w:pPr>
            <w:r w:rsidRPr="006E6596">
              <w:rPr>
                <w:noProof/>
                <w:lang w:val="bg-BG"/>
              </w:rPr>
              <w:t>През декември 2022 г. Комисията прие своя годишен доклад за 2022 г.</w:t>
            </w:r>
            <w:r w:rsidRPr="006E6596">
              <w:rPr>
                <w:i/>
                <w:noProof/>
                <w:lang w:val="bg-BG"/>
              </w:rPr>
              <w:t xml:space="preserve"> </w:t>
            </w:r>
            <w:r w:rsidRPr="006E6596">
              <w:rPr>
                <w:noProof/>
                <w:lang w:val="bg-BG"/>
              </w:rPr>
              <w:t>относно прилагането на Хартата</w:t>
            </w:r>
            <w:r w:rsidRPr="006E6596">
              <w:rPr>
                <w:i/>
                <w:noProof/>
                <w:lang w:val="bg-BG"/>
              </w:rPr>
              <w:t xml:space="preserve">, </w:t>
            </w:r>
            <w:r w:rsidRPr="006E6596">
              <w:rPr>
                <w:noProof/>
                <w:lang w:val="bg-BG"/>
              </w:rPr>
              <w:t>посветен на</w:t>
            </w:r>
            <w:r w:rsidRPr="006E6596">
              <w:rPr>
                <w:i/>
                <w:noProof/>
                <w:lang w:val="bg-BG"/>
              </w:rPr>
              <w:t xml:space="preserve"> </w:t>
            </w:r>
            <w:r w:rsidRPr="006E6596">
              <w:rPr>
                <w:noProof/>
                <w:lang w:val="bg-BG"/>
              </w:rPr>
              <w:t>ролята на организациите на гражданското общество и защитниците на правата на човека в отстояването на основните права</w:t>
            </w:r>
            <w:r w:rsidRPr="006E6596">
              <w:rPr>
                <w:rStyle w:val="FootnoteReference"/>
                <w:rFonts w:cs="Times New Roman"/>
                <w:noProof/>
                <w:lang w:val="bg-BG"/>
              </w:rPr>
              <w:footnoteReference w:id="8"/>
            </w:r>
            <w:r w:rsidRPr="006E6596">
              <w:rPr>
                <w:noProof/>
                <w:lang w:val="bg-BG"/>
              </w:rPr>
              <w:t>.</w:t>
            </w:r>
          </w:p>
          <w:p w14:paraId="1C06E667" w14:textId="6EB1908C" w:rsidR="00476AC8" w:rsidRPr="006E6596" w:rsidRDefault="00E2008E" w:rsidP="00D73988">
            <w:pPr>
              <w:pStyle w:val="ListParagraph"/>
              <w:numPr>
                <w:ilvl w:val="0"/>
                <w:numId w:val="4"/>
              </w:numPr>
              <w:spacing w:after="120" w:line="276" w:lineRule="auto"/>
              <w:jc w:val="both"/>
              <w:rPr>
                <w:rFonts w:cs="Times New Roman"/>
                <w:noProof/>
                <w:lang w:val="bg-BG"/>
              </w:rPr>
            </w:pPr>
            <w:r w:rsidRPr="006E6596">
              <w:rPr>
                <w:noProof/>
                <w:lang w:val="bg-BG"/>
              </w:rPr>
              <w:t xml:space="preserve">През 2023 г. Комисията организира </w:t>
            </w:r>
            <w:r w:rsidRPr="006E6596">
              <w:rPr>
                <w:b/>
                <w:noProof/>
                <w:lang w:val="bg-BG"/>
              </w:rPr>
              <w:t>поредица от семинари</w:t>
            </w:r>
            <w:r w:rsidRPr="006E6596">
              <w:rPr>
                <w:noProof/>
                <w:lang w:val="bg-BG"/>
              </w:rPr>
              <w:t xml:space="preserve"> със заинтересовани страни, посветени на начините, по които ЕС и държавите членки могат да развият своята роля за защита, подкрепа и овластяване на организациите на гражданското общество и защитниците на правата на човека. През ноември 2023 г. последващите действия бяха обсъдени на събитие на високо равнище, организирано с испанското председателство на Съвета. </w:t>
            </w:r>
          </w:p>
          <w:p w14:paraId="2160C9FA" w14:textId="71A459D3" w:rsidR="003C50ED" w:rsidRPr="006E6596" w:rsidRDefault="003C50ED" w:rsidP="00C743EF">
            <w:pPr>
              <w:pStyle w:val="ListParagraph"/>
              <w:numPr>
                <w:ilvl w:val="0"/>
                <w:numId w:val="4"/>
              </w:numPr>
              <w:spacing w:after="120" w:line="276" w:lineRule="auto"/>
              <w:contextualSpacing w:val="0"/>
              <w:jc w:val="both"/>
              <w:rPr>
                <w:noProof/>
                <w:lang w:val="bg-BG"/>
              </w:rPr>
            </w:pPr>
            <w:r w:rsidRPr="006E6596">
              <w:rPr>
                <w:noProof/>
                <w:lang w:val="bg-BG"/>
              </w:rPr>
              <w:t>До момента 2</w:t>
            </w:r>
            <w:r w:rsidR="006E6596">
              <w:rPr>
                <w:noProof/>
                <w:lang w:val="bg-BG"/>
              </w:rPr>
              <w:t>5</w:t>
            </w:r>
            <w:r w:rsidRPr="006E6596">
              <w:rPr>
                <w:noProof/>
                <w:lang w:val="bg-BG"/>
              </w:rPr>
              <w:t xml:space="preserve"> държави членки са определили </w:t>
            </w:r>
            <w:r w:rsidRPr="006E6596">
              <w:rPr>
                <w:b/>
                <w:noProof/>
                <w:lang w:val="bg-BG"/>
              </w:rPr>
              <w:t>звено за връзка по въпросите на Хартата</w:t>
            </w:r>
            <w:r w:rsidRPr="006E6596">
              <w:rPr>
                <w:noProof/>
                <w:lang w:val="bg-BG"/>
              </w:rPr>
              <w:t xml:space="preserve"> с цел насърчаване на сътрудничеството и на ефективното прилагане на Хартата в съответната държава членка. </w:t>
            </w:r>
          </w:p>
          <w:p w14:paraId="4DC3E1FB" w14:textId="08E1FF93" w:rsidR="00AD07E5" w:rsidRPr="006E6596" w:rsidRDefault="007F4322" w:rsidP="00D73988">
            <w:pPr>
              <w:pStyle w:val="ListParagraph"/>
              <w:numPr>
                <w:ilvl w:val="0"/>
                <w:numId w:val="4"/>
              </w:numPr>
              <w:spacing w:after="120" w:line="276" w:lineRule="auto"/>
              <w:contextualSpacing w:val="0"/>
              <w:jc w:val="both"/>
              <w:rPr>
                <w:noProof/>
                <w:lang w:val="bg-BG"/>
              </w:rPr>
            </w:pPr>
            <w:r w:rsidRPr="006E6596">
              <w:rPr>
                <w:noProof/>
                <w:lang w:val="bg-BG"/>
              </w:rPr>
              <w:t xml:space="preserve">Комисията също така организира </w:t>
            </w:r>
            <w:r w:rsidRPr="006E6596">
              <w:rPr>
                <w:b/>
                <w:noProof/>
                <w:lang w:val="bg-BG"/>
              </w:rPr>
              <w:t>курсове за обучение за служители на ЕС</w:t>
            </w:r>
            <w:r w:rsidRPr="006E6596">
              <w:rPr>
                <w:i/>
                <w:noProof/>
                <w:lang w:val="bg-BG"/>
              </w:rPr>
              <w:t xml:space="preserve"> </w:t>
            </w:r>
            <w:r w:rsidRPr="006E6596">
              <w:rPr>
                <w:noProof/>
                <w:lang w:val="bg-BG"/>
              </w:rPr>
              <w:t>относно прилагането на Хартата при извършване на оценки на въздействието. Обучението за професионалисти в областта на правосъдието относно прилагането на Хартата продължава да се предоставя в рамките на Европейската стратегия за съдебно обучение</w:t>
            </w:r>
            <w:r w:rsidRPr="006E6596">
              <w:rPr>
                <w:i/>
                <w:noProof/>
                <w:lang w:val="bg-BG"/>
              </w:rPr>
              <w:t xml:space="preserve"> </w:t>
            </w:r>
            <w:r w:rsidRPr="006E6596">
              <w:rPr>
                <w:noProof/>
                <w:lang w:val="bg-BG"/>
              </w:rPr>
              <w:t>за периода 2021—2024 г.</w:t>
            </w:r>
            <w:r w:rsidRPr="006E6596">
              <w:rPr>
                <w:rStyle w:val="FootnoteReference"/>
                <w:rFonts w:cs="Times New Roman"/>
                <w:noProof/>
                <w:lang w:val="bg-BG"/>
              </w:rPr>
              <w:footnoteReference w:id="9"/>
            </w:r>
            <w:r w:rsidRPr="006E6596">
              <w:rPr>
                <w:noProof/>
                <w:lang w:val="bg-BG"/>
              </w:rPr>
              <w:t xml:space="preserve"> </w:t>
            </w:r>
            <w:bookmarkStart w:id="8" w:name="_Hlk139977752"/>
            <w:r w:rsidRPr="006E6596">
              <w:rPr>
                <w:noProof/>
                <w:lang w:val="bg-BG"/>
              </w:rPr>
              <w:t>Европейската платформа за съдебно обучение на европейския портал за електронно правосъдие</w:t>
            </w:r>
            <w:r w:rsidRPr="006E6596">
              <w:rPr>
                <w:rStyle w:val="FootnoteReference"/>
                <w:rFonts w:cs="Times New Roman"/>
                <w:noProof/>
                <w:lang w:val="bg-BG"/>
              </w:rPr>
              <w:footnoteReference w:id="10"/>
            </w:r>
            <w:r w:rsidRPr="006E6596">
              <w:rPr>
                <w:noProof/>
                <w:lang w:val="bg-BG"/>
              </w:rPr>
              <w:t xml:space="preserve"> съдържа материали за електронно обучение и обучение относно основните права, предназначени за практикуващи юристи и работещи в областта на правосъдието.</w:t>
            </w:r>
            <w:bookmarkEnd w:id="8"/>
          </w:p>
          <w:p w14:paraId="56ABBBD8" w14:textId="6E31AA4E" w:rsidR="009721C4" w:rsidRPr="006E6596" w:rsidRDefault="00A026C9" w:rsidP="00C338AF">
            <w:pPr>
              <w:pStyle w:val="ListParagraph"/>
              <w:numPr>
                <w:ilvl w:val="0"/>
                <w:numId w:val="4"/>
              </w:numPr>
              <w:spacing w:after="120" w:line="276" w:lineRule="auto"/>
              <w:jc w:val="both"/>
              <w:rPr>
                <w:noProof/>
                <w:lang w:val="bg-BG"/>
              </w:rPr>
            </w:pPr>
            <w:r w:rsidRPr="006E6596">
              <w:rPr>
                <w:noProof/>
                <w:lang w:val="bg-BG"/>
              </w:rPr>
              <w:t>В контекста на „хоризонталното отключващо условие</w:t>
            </w:r>
            <w:r w:rsidRPr="006E6596">
              <w:rPr>
                <w:i/>
                <w:noProof/>
                <w:lang w:val="bg-BG"/>
              </w:rPr>
              <w:t>“</w:t>
            </w:r>
            <w:r w:rsidRPr="006E6596">
              <w:rPr>
                <w:noProof/>
                <w:lang w:val="bg-BG"/>
              </w:rPr>
              <w:t xml:space="preserve"> за ефективното прилагане на Хартата (ХОУ за Хартата)</w:t>
            </w:r>
            <w:r w:rsidRPr="006E6596">
              <w:rPr>
                <w:rStyle w:val="FootnoteReference"/>
                <w:noProof/>
                <w:lang w:val="bg-BG"/>
              </w:rPr>
              <w:footnoteReference w:id="11"/>
            </w:r>
            <w:r w:rsidRPr="006E6596">
              <w:rPr>
                <w:noProof/>
                <w:lang w:val="bg-BG"/>
              </w:rPr>
              <w:t>, Комисията оцени всички финансови програми, представени от държавите членки</w:t>
            </w:r>
            <w:r w:rsidRPr="006E6596">
              <w:rPr>
                <w:i/>
                <w:noProof/>
                <w:lang w:val="bg-BG"/>
              </w:rPr>
              <w:t xml:space="preserve">, </w:t>
            </w:r>
            <w:r w:rsidRPr="006E6596">
              <w:rPr>
                <w:noProof/>
                <w:lang w:val="bg-BG"/>
              </w:rPr>
              <w:t>за да провери дали са въведени ефективни мерки, за да се гарантира, че Хартата се спазва при управлението на съответните фондове на ЕС. До момента Комисията е преценила, че ХОУ за Хартата е изпълнено от всички държави членки, с три изключения</w:t>
            </w:r>
            <w:r w:rsidRPr="006E6596">
              <w:rPr>
                <w:rStyle w:val="FootnoteReference"/>
                <w:noProof/>
                <w:lang w:val="bg-BG"/>
              </w:rPr>
              <w:footnoteReference w:id="12"/>
            </w:r>
            <w:r w:rsidRPr="006E6596">
              <w:rPr>
                <w:noProof/>
                <w:lang w:val="bg-BG"/>
              </w:rPr>
              <w:t>. Никакви съответни разходи не могат да бъдат възстановени, докато не бъдат изпълнени условията, посочени в ХОУ за Хартата, които се отнасят до изпълнението на тези програми. Комисията също следи</w:t>
            </w:r>
            <w:r w:rsidRPr="006E6596">
              <w:rPr>
                <w:i/>
                <w:noProof/>
                <w:lang w:val="bg-BG"/>
              </w:rPr>
              <w:t xml:space="preserve"> </w:t>
            </w:r>
            <w:r w:rsidRPr="006E6596">
              <w:rPr>
                <w:noProof/>
                <w:lang w:val="bg-BG"/>
              </w:rPr>
              <w:t xml:space="preserve">отблизо ситуацията. </w:t>
            </w:r>
          </w:p>
          <w:p w14:paraId="3B045731" w14:textId="2191D721" w:rsidR="009B64ED" w:rsidRPr="006E6596" w:rsidRDefault="00CB3E95" w:rsidP="00D73988">
            <w:pPr>
              <w:pStyle w:val="ListParagraph"/>
              <w:numPr>
                <w:ilvl w:val="0"/>
                <w:numId w:val="4"/>
              </w:numPr>
              <w:spacing w:after="120" w:line="276" w:lineRule="auto"/>
              <w:contextualSpacing w:val="0"/>
              <w:jc w:val="both"/>
              <w:rPr>
                <w:rFonts w:cs="Times New Roman"/>
                <w:noProof/>
                <w:lang w:val="bg-BG"/>
              </w:rPr>
            </w:pPr>
            <w:r w:rsidRPr="006E6596">
              <w:rPr>
                <w:noProof/>
                <w:lang w:val="bg-BG"/>
              </w:rPr>
              <w:t xml:space="preserve">Комисията продължи да отстоява основните права чрез </w:t>
            </w:r>
            <w:r w:rsidRPr="006E6596">
              <w:rPr>
                <w:b/>
                <w:noProof/>
                <w:lang w:val="bg-BG"/>
              </w:rPr>
              <w:t>производства за установяване на нарушение</w:t>
            </w:r>
            <w:r w:rsidRPr="006E6596">
              <w:rPr>
                <w:rStyle w:val="FootnoteReference"/>
                <w:rFonts w:eastAsia="Times New Roman" w:cs="Times New Roman"/>
                <w:noProof/>
                <w:lang w:val="bg-BG"/>
              </w:rPr>
              <w:footnoteReference w:id="13"/>
            </w:r>
            <w:r w:rsidRPr="006E6596">
              <w:rPr>
                <w:noProof/>
                <w:lang w:val="bg-BG"/>
              </w:rPr>
              <w:t>.</w:t>
            </w:r>
            <w:bookmarkStart w:id="9" w:name="_Hlk120007598"/>
          </w:p>
          <w:p w14:paraId="0648FB90" w14:textId="0CF745D3" w:rsidR="00D00C0D" w:rsidRPr="006E6596" w:rsidRDefault="003C50ED" w:rsidP="00D73988">
            <w:pPr>
              <w:pStyle w:val="ListParagraph"/>
              <w:numPr>
                <w:ilvl w:val="0"/>
                <w:numId w:val="4"/>
              </w:numPr>
              <w:spacing w:after="120" w:line="276" w:lineRule="auto"/>
              <w:contextualSpacing w:val="0"/>
              <w:jc w:val="both"/>
              <w:rPr>
                <w:rFonts w:cs="Times New Roman"/>
                <w:noProof/>
                <w:lang w:val="bg-BG"/>
              </w:rPr>
            </w:pPr>
            <w:bookmarkStart w:id="10" w:name="_Hlk113010971"/>
            <w:bookmarkEnd w:id="9"/>
            <w:r w:rsidRPr="006E6596">
              <w:rPr>
                <w:noProof/>
                <w:lang w:val="bg-BG"/>
              </w:rPr>
              <w:t>Освен това Комисията повишава осведомеността относно основните права и предоставя информация чрез кампанията</w:t>
            </w:r>
            <w:r w:rsidRPr="006E6596">
              <w:rPr>
                <w:b/>
                <w:noProof/>
                <w:lang w:val="bg-BG"/>
              </w:rPr>
              <w:t xml:space="preserve"> #RightHereRightNow</w:t>
            </w:r>
            <w:r w:rsidRPr="006E6596">
              <w:rPr>
                <w:rStyle w:val="FootnoteReference"/>
                <w:rFonts w:cs="Times New Roman"/>
                <w:noProof/>
                <w:lang w:val="bg-BG"/>
              </w:rPr>
              <w:footnoteReference w:id="14"/>
            </w:r>
            <w:r w:rsidRPr="006E6596">
              <w:rPr>
                <w:noProof/>
                <w:lang w:val="bg-BG"/>
              </w:rPr>
              <w:t>, раздел „Вашите права в ЕС“ на европейския портал за електронно правосъдие</w:t>
            </w:r>
            <w:r w:rsidRPr="006E6596">
              <w:rPr>
                <w:rStyle w:val="FootnoteReference"/>
                <w:rFonts w:cs="Times New Roman"/>
                <w:noProof/>
                <w:lang w:val="bg-BG"/>
              </w:rPr>
              <w:footnoteReference w:id="15"/>
            </w:r>
            <w:r w:rsidRPr="006E6596">
              <w:rPr>
                <w:noProof/>
                <w:lang w:val="bg-BG"/>
              </w:rPr>
              <w:t xml:space="preserve"> и на уебсайта на Комисията</w:t>
            </w:r>
            <w:r w:rsidRPr="006E6596">
              <w:rPr>
                <w:rStyle w:val="FootnoteReference"/>
                <w:rFonts w:cs="Times New Roman"/>
                <w:noProof/>
                <w:lang w:val="bg-BG"/>
              </w:rPr>
              <w:footnoteReference w:id="16"/>
            </w:r>
            <w:r w:rsidRPr="006E6596">
              <w:rPr>
                <w:noProof/>
                <w:lang w:val="bg-BG"/>
              </w:rPr>
              <w:t>.</w:t>
            </w:r>
          </w:p>
          <w:bookmarkEnd w:id="10"/>
          <w:p w14:paraId="091B87D1" w14:textId="1C53ACCB" w:rsidR="002E6A01" w:rsidRPr="006E6596" w:rsidRDefault="007D4D10" w:rsidP="00D73988">
            <w:pPr>
              <w:pStyle w:val="ListParagraph"/>
              <w:numPr>
                <w:ilvl w:val="0"/>
                <w:numId w:val="4"/>
              </w:numPr>
              <w:spacing w:after="120" w:line="276" w:lineRule="auto"/>
              <w:jc w:val="both"/>
              <w:rPr>
                <w:noProof/>
                <w:lang w:val="bg-BG"/>
              </w:rPr>
            </w:pPr>
            <w:r w:rsidRPr="006E6596">
              <w:rPr>
                <w:noProof/>
                <w:lang w:val="bg-BG"/>
              </w:rPr>
              <w:t>Агенцията на ЕС за основните права (FRA) продължи да актуализира своята база данни Charterpedia, която съдържа материали за основните права от целия ЕС</w:t>
            </w:r>
            <w:r w:rsidRPr="006E6596">
              <w:rPr>
                <w:rStyle w:val="FootnoteReference"/>
                <w:noProof/>
                <w:lang w:val="bg-BG"/>
              </w:rPr>
              <w:footnoteReference w:id="17"/>
            </w:r>
            <w:r w:rsidRPr="006E6596">
              <w:rPr>
                <w:noProof/>
                <w:lang w:val="bg-BG"/>
              </w:rPr>
              <w:t>. FRA също така публикува „Казуси по Хартата — Ръководство за инструктори“</w:t>
            </w:r>
            <w:r w:rsidRPr="006E6596">
              <w:rPr>
                <w:rStyle w:val="FootnoteReference"/>
                <w:noProof/>
                <w:lang w:val="bg-BG"/>
              </w:rPr>
              <w:footnoteReference w:id="18"/>
            </w:r>
            <w:r w:rsidRPr="006E6596">
              <w:rPr>
                <w:noProof/>
                <w:lang w:val="bg-BG"/>
              </w:rPr>
              <w:t>, което включва насоки за организирането на семинари за обучение по Хартата на десет езика на ЕС.</w:t>
            </w:r>
          </w:p>
        </w:tc>
      </w:tr>
    </w:tbl>
    <w:p w14:paraId="17732364" w14:textId="4102BD01" w:rsidR="00305EED" w:rsidRPr="006E6596" w:rsidRDefault="00123E39" w:rsidP="00123E39">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В доклада относно прилагането на Хартата за 2023 г. Комисията се фокусира върху </w:t>
      </w:r>
      <w:r w:rsidRPr="006E6596">
        <w:rPr>
          <w:rFonts w:ascii="Times New Roman" w:hAnsi="Times New Roman"/>
          <w:b/>
          <w:noProof/>
          <w:sz w:val="24"/>
          <w:lang w:val="bg-BG"/>
        </w:rPr>
        <w:t xml:space="preserve">ефективната правна защита и достъпа до правосъдие, </w:t>
      </w:r>
      <w:r w:rsidRPr="006E6596">
        <w:rPr>
          <w:rFonts w:ascii="Times New Roman" w:hAnsi="Times New Roman"/>
          <w:noProof/>
          <w:sz w:val="24"/>
          <w:lang w:val="bg-BG"/>
        </w:rPr>
        <w:t>тъй като тези права са от съществено значение за гарантиране на пълното прилагане на Хартата и на законите на ЕС, които насърчават и защитават</w:t>
      </w:r>
      <w:r w:rsidRPr="006E6596">
        <w:rPr>
          <w:rFonts w:ascii="Times New Roman" w:hAnsi="Times New Roman"/>
          <w:i/>
          <w:noProof/>
          <w:sz w:val="24"/>
          <w:lang w:val="bg-BG"/>
        </w:rPr>
        <w:t xml:space="preserve"> </w:t>
      </w:r>
      <w:r w:rsidRPr="006E6596">
        <w:rPr>
          <w:rFonts w:ascii="Times New Roman" w:hAnsi="Times New Roman"/>
          <w:noProof/>
          <w:sz w:val="24"/>
          <w:lang w:val="bg-BG"/>
        </w:rPr>
        <w:t xml:space="preserve">правата, залегнали в Хартата. Без ефективна правна защита лицата не са в състояние да отстояват ефективно своите права, включително основните си права. </w:t>
      </w:r>
    </w:p>
    <w:p w14:paraId="4E65C035" w14:textId="71E2EBF9" w:rsidR="00070FD2" w:rsidRPr="006E6596" w:rsidRDefault="00070FD2" w:rsidP="00070FD2">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Освен това ефективната правна защита и достъпът до правосъдие отстояват култура на основните права и върховенството на закона, както се подчертава в </w:t>
      </w:r>
      <w:r w:rsidRPr="006E6596">
        <w:rPr>
          <w:rFonts w:ascii="Times New Roman" w:hAnsi="Times New Roman"/>
          <w:b/>
          <w:noProof/>
          <w:sz w:val="24"/>
          <w:lang w:val="bg-BG"/>
        </w:rPr>
        <w:t>годишните доклади на Комисията относно върховенството на закона</w:t>
      </w:r>
      <w:r w:rsidRPr="006E6596">
        <w:rPr>
          <w:rStyle w:val="FootnoteReference"/>
          <w:rFonts w:ascii="Times New Roman" w:hAnsi="Times New Roman" w:cs="Times New Roman"/>
          <w:noProof/>
          <w:sz w:val="24"/>
          <w:lang w:val="bg-BG"/>
        </w:rPr>
        <w:footnoteReference w:id="19"/>
      </w:r>
      <w:r w:rsidRPr="006E6596">
        <w:rPr>
          <w:rFonts w:ascii="Times New Roman" w:hAnsi="Times New Roman"/>
          <w:noProof/>
          <w:sz w:val="24"/>
          <w:lang w:val="bg-BG"/>
        </w:rPr>
        <w:t>. Националните съдилища и трибуналите и Съдът на Европейския съюз (СЕС) трябва да гарантират пълното прилагане на правото на Съюза във всички държави членки и правната защита на правата на лицата съгласно това право</w:t>
      </w:r>
      <w:r w:rsidRPr="006E6596">
        <w:rPr>
          <w:rStyle w:val="FootnoteReference"/>
          <w:rFonts w:ascii="Times New Roman" w:hAnsi="Times New Roman" w:cs="Times New Roman"/>
          <w:noProof/>
          <w:sz w:val="24"/>
          <w:lang w:val="bg-BG"/>
        </w:rPr>
        <w:footnoteReference w:id="20"/>
      </w:r>
      <w:r w:rsidRPr="006E6596">
        <w:rPr>
          <w:rFonts w:ascii="Times New Roman" w:hAnsi="Times New Roman"/>
          <w:noProof/>
          <w:sz w:val="24"/>
          <w:lang w:val="bg-BG"/>
        </w:rPr>
        <w:t>. В съответствие с член 19, параграф 1 от ДЕС държавите членки трябва да осигурят подходящи средства за защита, за да гарантират ефективна правна защита в областите, обхванати от правото на Съюза</w:t>
      </w:r>
      <w:r w:rsidRPr="006E6596">
        <w:rPr>
          <w:rStyle w:val="FootnoteReference"/>
          <w:rFonts w:ascii="Times New Roman" w:hAnsi="Times New Roman" w:cs="Times New Roman"/>
          <w:noProof/>
          <w:sz w:val="24"/>
          <w:lang w:val="bg-BG"/>
        </w:rPr>
        <w:footnoteReference w:id="21"/>
      </w:r>
      <w:r w:rsidRPr="006E6596">
        <w:rPr>
          <w:rFonts w:ascii="Times New Roman" w:hAnsi="Times New Roman"/>
          <w:noProof/>
          <w:sz w:val="24"/>
          <w:lang w:val="bg-BG"/>
        </w:rPr>
        <w:t>.</w:t>
      </w:r>
    </w:p>
    <w:p w14:paraId="10E67308" w14:textId="72C45C6E" w:rsidR="00CD7D63" w:rsidRPr="006E6596" w:rsidRDefault="00EC466B" w:rsidP="00092B06">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Следователно докладът относно прилагането на Хартата е допълнение към годишните доклади на Комисията за върховенството на закона</w:t>
      </w:r>
      <w:r w:rsidRPr="006E6596">
        <w:rPr>
          <w:rStyle w:val="FootnoteReference"/>
          <w:rFonts w:ascii="Times New Roman" w:hAnsi="Times New Roman" w:cs="Times New Roman"/>
          <w:noProof/>
          <w:sz w:val="24"/>
          <w:lang w:val="bg-BG"/>
        </w:rPr>
        <w:footnoteReference w:id="22"/>
      </w:r>
      <w:r w:rsidRPr="006E6596">
        <w:rPr>
          <w:rFonts w:ascii="Times New Roman" w:hAnsi="Times New Roman"/>
          <w:noProof/>
          <w:sz w:val="24"/>
          <w:lang w:val="bg-BG"/>
        </w:rPr>
        <w:t xml:space="preserve">, където в рамките на стълба на правосъдието се разглежда съдебната независимост, качеството и ефективността на националните съдебни системи, с поставяне на акцент върху </w:t>
      </w:r>
      <w:r w:rsidRPr="006E6596">
        <w:rPr>
          <w:rFonts w:ascii="Times New Roman" w:hAnsi="Times New Roman"/>
          <w:b/>
          <w:noProof/>
          <w:sz w:val="24"/>
          <w:lang w:val="bg-BG"/>
        </w:rPr>
        <w:t>достъпа до правосъдие за всички чрез съдебни и извънсъдебни средства за защита</w:t>
      </w:r>
      <w:r w:rsidRPr="006E6596">
        <w:rPr>
          <w:rStyle w:val="FootnoteReference"/>
          <w:rFonts w:ascii="Times New Roman" w:hAnsi="Times New Roman" w:cs="Times New Roman"/>
          <w:noProof/>
          <w:sz w:val="24"/>
          <w:lang w:val="bg-BG"/>
        </w:rPr>
        <w:footnoteReference w:id="23"/>
      </w:r>
      <w:r w:rsidRPr="006E6596">
        <w:rPr>
          <w:rFonts w:ascii="Times New Roman" w:hAnsi="Times New Roman"/>
          <w:i/>
          <w:noProof/>
          <w:sz w:val="24"/>
          <w:lang w:val="bg-BG"/>
        </w:rPr>
        <w:t>.</w:t>
      </w:r>
      <w:r w:rsidRPr="006E6596">
        <w:rPr>
          <w:rFonts w:ascii="Times New Roman" w:hAnsi="Times New Roman"/>
          <w:noProof/>
          <w:sz w:val="24"/>
          <w:lang w:val="bg-BG"/>
        </w:rPr>
        <w:t xml:space="preserve"> В този доклад</w:t>
      </w:r>
      <w:r w:rsidRPr="006E6596">
        <w:rPr>
          <w:rFonts w:ascii="Times New Roman" w:hAnsi="Times New Roman"/>
          <w:b/>
          <w:noProof/>
          <w:sz w:val="24"/>
          <w:lang w:val="bg-BG"/>
        </w:rPr>
        <w:t xml:space="preserve"> достъпът до правосъдие е разгледан през</w:t>
      </w:r>
      <w:r w:rsidRPr="006E6596">
        <w:rPr>
          <w:rFonts w:ascii="Times New Roman" w:hAnsi="Times New Roman"/>
          <w:noProof/>
          <w:sz w:val="24"/>
          <w:lang w:val="bg-BG"/>
        </w:rPr>
        <w:t xml:space="preserve"> перспективата на основните права</w:t>
      </w:r>
      <w:r w:rsidRPr="006E6596">
        <w:rPr>
          <w:rStyle w:val="FootnoteReference"/>
          <w:rFonts w:ascii="Times New Roman" w:hAnsi="Times New Roman" w:cs="Times New Roman"/>
          <w:noProof/>
          <w:sz w:val="24"/>
          <w:lang w:val="bg-BG"/>
        </w:rPr>
        <w:footnoteReference w:id="24"/>
      </w:r>
      <w:r w:rsidRPr="006E6596">
        <w:rPr>
          <w:rFonts w:ascii="Times New Roman" w:hAnsi="Times New Roman"/>
          <w:noProof/>
          <w:sz w:val="24"/>
          <w:lang w:val="bg-BG"/>
        </w:rPr>
        <w:t xml:space="preserve"> и е определен като възможността на всеки да търси и получава справедливо разрешаване на правни проблеми чрез набор от правни и съдебни услуги, в съответствие с основните права</w:t>
      </w:r>
      <w:r w:rsidRPr="006E6596">
        <w:rPr>
          <w:rStyle w:val="FootnoteReference"/>
          <w:rFonts w:ascii="Times New Roman" w:hAnsi="Times New Roman" w:cs="Times New Roman"/>
          <w:noProof/>
          <w:sz w:val="24"/>
          <w:lang w:val="bg-BG"/>
        </w:rPr>
        <w:footnoteReference w:id="25"/>
      </w:r>
      <w:r w:rsidRPr="006E6596">
        <w:rPr>
          <w:noProof/>
          <w:lang w:val="bg-BG"/>
        </w:rPr>
        <w:t xml:space="preserve">. </w:t>
      </w:r>
      <w:r w:rsidRPr="006E6596">
        <w:rPr>
          <w:rFonts w:ascii="Times New Roman" w:hAnsi="Times New Roman"/>
          <w:noProof/>
          <w:sz w:val="24"/>
          <w:lang w:val="bg-BG"/>
        </w:rPr>
        <w:t>Докладът допълва и други съответни политически инициативи, като Информационното табло на ЕС в областта на правосъдието</w:t>
      </w:r>
      <w:r w:rsidRPr="006E6596">
        <w:rPr>
          <w:rStyle w:val="FootnoteReference"/>
          <w:rFonts w:ascii="Times New Roman" w:hAnsi="Times New Roman" w:cs="Times New Roman"/>
          <w:noProof/>
          <w:sz w:val="24"/>
          <w:lang w:val="bg-BG"/>
        </w:rPr>
        <w:footnoteReference w:id="26"/>
      </w:r>
      <w:r w:rsidRPr="006E6596">
        <w:rPr>
          <w:rFonts w:ascii="Times New Roman" w:hAnsi="Times New Roman"/>
          <w:noProof/>
          <w:sz w:val="24"/>
          <w:lang w:val="bg-BG"/>
        </w:rPr>
        <w:t>, стратегиите на Съюза за равенство</w:t>
      </w:r>
      <w:r w:rsidRPr="006E6596">
        <w:rPr>
          <w:rStyle w:val="FootnoteReference"/>
          <w:rFonts w:ascii="Times New Roman" w:hAnsi="Times New Roman" w:cs="Times New Roman"/>
          <w:noProof/>
          <w:sz w:val="24"/>
          <w:lang w:val="bg-BG"/>
        </w:rPr>
        <w:footnoteReference w:id="27"/>
      </w:r>
      <w:r w:rsidRPr="006E6596">
        <w:rPr>
          <w:rFonts w:ascii="Times New Roman" w:hAnsi="Times New Roman"/>
          <w:noProof/>
          <w:sz w:val="24"/>
          <w:lang w:val="bg-BG"/>
        </w:rPr>
        <w:t xml:space="preserve"> и Плана за действие за европейска демокрация</w:t>
      </w:r>
      <w:r w:rsidRPr="006E6596">
        <w:rPr>
          <w:rStyle w:val="FootnoteReference"/>
          <w:rFonts w:ascii="Times New Roman" w:hAnsi="Times New Roman" w:cs="Times New Roman"/>
          <w:noProof/>
          <w:sz w:val="24"/>
          <w:lang w:val="bg-BG"/>
        </w:rPr>
        <w:footnoteReference w:id="28"/>
      </w:r>
      <w:r w:rsidRPr="006E6596">
        <w:rPr>
          <w:rFonts w:ascii="Times New Roman" w:hAnsi="Times New Roman"/>
          <w:noProof/>
          <w:sz w:val="24"/>
          <w:lang w:val="bg-BG"/>
        </w:rPr>
        <w:t>.</w:t>
      </w:r>
    </w:p>
    <w:p w14:paraId="0C93E7A7" w14:textId="0DD07F01" w:rsidR="00906C8C" w:rsidRPr="006E6596" w:rsidRDefault="00906C8C" w:rsidP="00092B06">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Целта на настоящия доклад е да бъде представен общ преглед на действащата правна рамка на ЕС чрез описание на ситуацията през последните години (2020—2023 г.). В него се описват както постиженията, така и предизвикателствата в държавите членки, като е направен преглед на елементите, установени от заинтересованите страни. Примерите на националните мерки не са изчерпателни и са представени тук само с илюстративна цел.  </w:t>
      </w:r>
    </w:p>
    <w:p w14:paraId="1326EBF7" w14:textId="1AE32D23" w:rsidR="00F12731" w:rsidRPr="006E6596" w:rsidRDefault="506C0460" w:rsidP="506C0460">
      <w:pPr>
        <w:pBdr>
          <w:top w:val="single" w:sz="4" w:space="1" w:color="auto"/>
          <w:left w:val="single" w:sz="4" w:space="4" w:color="auto"/>
          <w:bottom w:val="single" w:sz="4" w:space="0" w:color="auto"/>
          <w:right w:val="single" w:sz="4" w:space="4" w:color="auto"/>
        </w:pBdr>
        <w:spacing w:after="120" w:line="240" w:lineRule="auto"/>
        <w:jc w:val="both"/>
        <w:rPr>
          <w:rFonts w:ascii="Times New Roman" w:hAnsi="Times New Roman" w:cs="Times New Roman"/>
          <w:i/>
          <w:noProof/>
          <w:sz w:val="24"/>
          <w:lang w:val="bg-BG"/>
        </w:rPr>
      </w:pPr>
      <w:r w:rsidRPr="006E6596">
        <w:rPr>
          <w:rFonts w:ascii="Times New Roman" w:hAnsi="Times New Roman"/>
          <w:i/>
          <w:noProof/>
          <w:sz w:val="24"/>
          <w:lang w:val="bg-BG"/>
        </w:rPr>
        <w:t>На каква информация се основава настоящият доклад?</w:t>
      </w:r>
    </w:p>
    <w:p w14:paraId="57371B4D" w14:textId="547639E3" w:rsidR="00AC1E1F" w:rsidRPr="006E6596" w:rsidRDefault="506C0460" w:rsidP="00B77152">
      <w:pPr>
        <w:pBdr>
          <w:top w:val="single" w:sz="4" w:space="1" w:color="auto"/>
          <w:left w:val="single" w:sz="4" w:space="4" w:color="auto"/>
          <w:bottom w:val="single" w:sz="4" w:space="0" w:color="auto"/>
          <w:right w:val="single" w:sz="4" w:space="4" w:color="auto"/>
        </w:pBdr>
        <w:spacing w:after="120" w:line="276" w:lineRule="auto"/>
        <w:jc w:val="both"/>
        <w:rPr>
          <w:rFonts w:ascii="Times New Roman" w:hAnsi="Times New Roman" w:cs="Times New Roman"/>
          <w:i/>
          <w:noProof/>
          <w:sz w:val="24"/>
          <w:lang w:val="bg-BG"/>
        </w:rPr>
      </w:pPr>
      <w:r w:rsidRPr="006E6596">
        <w:rPr>
          <w:rFonts w:ascii="Times New Roman" w:hAnsi="Times New Roman"/>
          <w:noProof/>
          <w:sz w:val="24"/>
          <w:lang w:val="bg-BG"/>
        </w:rPr>
        <w:t>Докладът се основава на извършената от Комисията и FRA качествена оценка на получените мнения от консултациите и на други източници, включително:</w:t>
      </w:r>
    </w:p>
    <w:p w14:paraId="781F3821" w14:textId="525B53A0" w:rsidR="00F12731" w:rsidRPr="006E6596" w:rsidRDefault="00C917DB" w:rsidP="00D73988">
      <w:pPr>
        <w:pStyle w:val="ListParagraph"/>
        <w:numPr>
          <w:ilvl w:val="0"/>
          <w:numId w:val="2"/>
        </w:numPr>
        <w:pBdr>
          <w:top w:val="single" w:sz="4" w:space="1" w:color="auto"/>
          <w:left w:val="single" w:sz="4" w:space="4" w:color="auto"/>
          <w:bottom w:val="single" w:sz="4" w:space="0" w:color="auto"/>
          <w:right w:val="single" w:sz="4" w:space="4" w:color="auto"/>
        </w:pBdr>
        <w:spacing w:after="120" w:line="276" w:lineRule="auto"/>
        <w:contextualSpacing w:val="0"/>
        <w:jc w:val="both"/>
        <w:rPr>
          <w:rFonts w:cs="Times New Roman"/>
          <w:noProof/>
          <w:lang w:val="bg-BG"/>
        </w:rPr>
      </w:pPr>
      <w:r w:rsidRPr="006E6596">
        <w:rPr>
          <w:noProof/>
          <w:lang w:val="bg-BG"/>
        </w:rPr>
        <w:t>целеви консултации с: i) държавите членки</w:t>
      </w:r>
      <w:r w:rsidRPr="006E6596">
        <w:rPr>
          <w:rStyle w:val="FootnoteReference"/>
          <w:rFonts w:cs="Times New Roman"/>
          <w:noProof/>
          <w:lang w:val="bg-BG"/>
        </w:rPr>
        <w:footnoteReference w:id="29"/>
      </w:r>
      <w:r w:rsidRPr="006E6596">
        <w:rPr>
          <w:noProof/>
          <w:lang w:val="bg-BG"/>
        </w:rPr>
        <w:t xml:space="preserve"> и звената за връзка по въпросите на Хартата</w:t>
      </w:r>
      <w:r w:rsidRPr="006E6596">
        <w:rPr>
          <w:rStyle w:val="FootnoteReference"/>
          <w:rFonts w:cs="Times New Roman"/>
          <w:noProof/>
          <w:lang w:val="bg-BG"/>
        </w:rPr>
        <w:footnoteReference w:id="30"/>
      </w:r>
      <w:r w:rsidRPr="006E6596">
        <w:rPr>
          <w:noProof/>
          <w:lang w:val="bg-BG"/>
        </w:rPr>
        <w:t>; ii) международни организации</w:t>
      </w:r>
      <w:r w:rsidRPr="006E6596">
        <w:rPr>
          <w:rStyle w:val="FootnoteReference"/>
          <w:rFonts w:cs="Times New Roman"/>
          <w:noProof/>
          <w:lang w:val="bg-BG"/>
        </w:rPr>
        <w:footnoteReference w:id="31"/>
      </w:r>
      <w:r w:rsidRPr="006E6596">
        <w:rPr>
          <w:noProof/>
          <w:lang w:val="bg-BG"/>
        </w:rPr>
        <w:t>; и iii) Европейската мрежа на националните институции по правата на човека (ENNHRI) и Европейската мрежа на органите по въпросите на равенството (Equinet) и техните членове;</w:t>
      </w:r>
    </w:p>
    <w:p w14:paraId="60B93E0D" w14:textId="3B5079D8" w:rsidR="00F12731" w:rsidRPr="006E6596" w:rsidRDefault="0050620D" w:rsidP="00D73988">
      <w:pPr>
        <w:pStyle w:val="ListParagraph"/>
        <w:numPr>
          <w:ilvl w:val="0"/>
          <w:numId w:val="2"/>
        </w:numPr>
        <w:pBdr>
          <w:top w:val="single" w:sz="4" w:space="1" w:color="auto"/>
          <w:left w:val="single" w:sz="4" w:space="4" w:color="auto"/>
          <w:bottom w:val="single" w:sz="4" w:space="0" w:color="auto"/>
          <w:right w:val="single" w:sz="4" w:space="4" w:color="auto"/>
        </w:pBdr>
        <w:spacing w:after="120" w:line="276" w:lineRule="auto"/>
        <w:contextualSpacing w:val="0"/>
        <w:jc w:val="both"/>
        <w:rPr>
          <w:rFonts w:cs="Times New Roman"/>
          <w:noProof/>
          <w:lang w:val="bg-BG"/>
        </w:rPr>
      </w:pPr>
      <w:r w:rsidRPr="006E6596">
        <w:rPr>
          <w:noProof/>
          <w:lang w:val="bg-BG"/>
        </w:rPr>
        <w:t>онлайн консултация чрез мрежата на гражданското общество на FRA, платформата за основните права</w:t>
      </w:r>
      <w:r w:rsidRPr="006E6596">
        <w:rPr>
          <w:rStyle w:val="FootnoteReference"/>
          <w:rFonts w:cs="Times New Roman"/>
          <w:noProof/>
          <w:lang w:val="bg-BG"/>
        </w:rPr>
        <w:footnoteReference w:id="32"/>
      </w:r>
      <w:r w:rsidRPr="006E6596">
        <w:rPr>
          <w:noProof/>
          <w:lang w:val="bg-BG"/>
        </w:rPr>
        <w:t>, за събиране на опита на респондентите</w:t>
      </w:r>
      <w:r w:rsidRPr="006E6596">
        <w:rPr>
          <w:rStyle w:val="FootnoteReference"/>
          <w:rFonts w:cs="Times New Roman"/>
          <w:noProof/>
          <w:lang w:val="bg-BG"/>
        </w:rPr>
        <w:footnoteReference w:id="33"/>
      </w:r>
      <w:r w:rsidRPr="006E6596">
        <w:rPr>
          <w:noProof/>
          <w:lang w:val="bg-BG"/>
        </w:rPr>
        <w:t xml:space="preserve"> относно мерките за ефективна правна защита и достъп до правосъдие, както и принос на FRA при осъществяване на консултациите;</w:t>
      </w:r>
    </w:p>
    <w:p w14:paraId="3D8E6080" w14:textId="732478C9" w:rsidR="00F12731" w:rsidRPr="006E6596" w:rsidRDefault="506C0460" w:rsidP="00D73988">
      <w:pPr>
        <w:pStyle w:val="ListParagraph"/>
        <w:numPr>
          <w:ilvl w:val="0"/>
          <w:numId w:val="2"/>
        </w:numPr>
        <w:pBdr>
          <w:top w:val="single" w:sz="4" w:space="1" w:color="auto"/>
          <w:left w:val="single" w:sz="4" w:space="4" w:color="auto"/>
          <w:bottom w:val="single" w:sz="4" w:space="0" w:color="auto"/>
          <w:right w:val="single" w:sz="4" w:space="4" w:color="auto"/>
        </w:pBdr>
        <w:spacing w:after="120" w:line="276" w:lineRule="auto"/>
        <w:contextualSpacing w:val="0"/>
        <w:jc w:val="both"/>
        <w:rPr>
          <w:noProof/>
          <w:lang w:val="bg-BG"/>
        </w:rPr>
      </w:pPr>
      <w:r w:rsidRPr="006E6596">
        <w:rPr>
          <w:noProof/>
          <w:lang w:val="bg-BG"/>
        </w:rPr>
        <w:t>принос за други доклади на Комисията, като например докладите за върховенството на закона и Информационното табло на ЕС в областта на правосъдието.</w:t>
      </w:r>
    </w:p>
    <w:p w14:paraId="3FC524E3" w14:textId="77777777" w:rsidR="00BF2F6F" w:rsidRPr="006E6596" w:rsidRDefault="00BF2F6F" w:rsidP="000B2520">
      <w:pPr>
        <w:spacing w:before="240" w:line="276" w:lineRule="auto"/>
        <w:jc w:val="both"/>
        <w:rPr>
          <w:rFonts w:cs="Times New Roman"/>
          <w:b/>
          <w:noProof/>
          <w:lang w:val="bg-BG"/>
        </w:rPr>
      </w:pPr>
      <w:bookmarkStart w:id="11" w:name="_Toc111828437"/>
      <w:bookmarkStart w:id="12" w:name="_Toc111830512"/>
      <w:bookmarkStart w:id="13" w:name="_Toc111828443"/>
      <w:bookmarkStart w:id="14" w:name="_Toc111830518"/>
      <w:bookmarkStart w:id="15" w:name="_Toc111828444"/>
      <w:bookmarkStart w:id="16" w:name="_Toc111830519"/>
      <w:bookmarkStart w:id="17" w:name="_Toc111828445"/>
      <w:bookmarkStart w:id="18" w:name="_Toc111830520"/>
      <w:bookmarkStart w:id="19" w:name="_Toc111828446"/>
      <w:bookmarkStart w:id="20" w:name="_Toc111830521"/>
      <w:bookmarkStart w:id="21" w:name="_Toc114573932"/>
      <w:bookmarkStart w:id="22" w:name="_Toc114575218"/>
      <w:bookmarkStart w:id="23" w:name="_Toc114577887"/>
      <w:bookmarkStart w:id="24" w:name="_Hlk145520945"/>
      <w:bookmarkEnd w:id="11"/>
      <w:bookmarkEnd w:id="12"/>
      <w:bookmarkEnd w:id="13"/>
      <w:bookmarkEnd w:id="14"/>
      <w:bookmarkEnd w:id="15"/>
      <w:bookmarkEnd w:id="16"/>
      <w:bookmarkEnd w:id="17"/>
      <w:bookmarkEnd w:id="18"/>
      <w:bookmarkEnd w:id="19"/>
      <w:bookmarkEnd w:id="20"/>
      <w:bookmarkEnd w:id="21"/>
      <w:bookmarkEnd w:id="22"/>
      <w:bookmarkEnd w:id="23"/>
    </w:p>
    <w:p w14:paraId="3E4A73C7" w14:textId="30ED06C5" w:rsidR="00BF2F6F" w:rsidRPr="006E6596" w:rsidRDefault="00BF2F6F" w:rsidP="00702854">
      <w:pPr>
        <w:pStyle w:val="ListParagraph"/>
        <w:numPr>
          <w:ilvl w:val="0"/>
          <w:numId w:val="1"/>
        </w:numPr>
        <w:ind w:left="567" w:hanging="567"/>
        <w:outlineLvl w:val="0"/>
        <w:rPr>
          <w:rFonts w:cs="Times New Roman"/>
          <w:b/>
          <w:noProof/>
          <w:lang w:val="bg-BG"/>
        </w:rPr>
      </w:pPr>
      <w:bookmarkStart w:id="25" w:name="_Toc152859049"/>
      <w:r w:rsidRPr="006E6596">
        <w:rPr>
          <w:b/>
          <w:noProof/>
          <w:lang w:val="bg-BG"/>
        </w:rPr>
        <w:t>Право на ЕС в областта на ефективната правна защита и достъпа до правосъдие</w:t>
      </w:r>
      <w:bookmarkEnd w:id="25"/>
    </w:p>
    <w:p w14:paraId="4467F21B" w14:textId="3A32B512" w:rsidR="00B83CAB" w:rsidRPr="006E6596" w:rsidRDefault="006852F5" w:rsidP="00B83CAB">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След влизането в сила на Договора от Лисабон през декември 2009 г.</w:t>
      </w:r>
      <w:r w:rsidRPr="006E6596">
        <w:rPr>
          <w:rStyle w:val="FootnoteReference"/>
          <w:rFonts w:ascii="Times New Roman" w:hAnsi="Times New Roman" w:cs="Times New Roman"/>
          <w:noProof/>
          <w:sz w:val="24"/>
          <w:lang w:val="bg-BG"/>
        </w:rPr>
        <w:footnoteReference w:id="34"/>
      </w:r>
      <w:r w:rsidRPr="006E6596">
        <w:rPr>
          <w:rFonts w:ascii="Times New Roman" w:hAnsi="Times New Roman"/>
          <w:noProof/>
          <w:sz w:val="24"/>
          <w:lang w:val="bg-BG"/>
        </w:rPr>
        <w:t xml:space="preserve"> ЕС разработи цялостна правна рамка, включваща съдебни и извънсъдебни средства за защита, които лицата могат да използват, когато считат, че са нарушени техните права, установени в правото на ЕС. Същевременно няколко инструмента на ЕС имат по-широк обхват и предвиждат минимални стандарти за ефективна правна защита и достъп до правосъдие. Ефективната правна защита, осигурена от правото на ЕС, е пример за това как ЕС е от полза в най-различни ситуации в ежедневния живот на хората, като им дава възможност да се възползват от основните си права съгласно Хартата. В тази глава е показан широкият обхват на правото на ЕС в областта на ефективната правна защита и достъпа до правосъдие. На практика тези правила на ЕС често се прилагат във връзка с националните правила</w:t>
      </w:r>
      <w:r w:rsidRPr="006E6596">
        <w:rPr>
          <w:rStyle w:val="FootnoteReference"/>
          <w:rFonts w:ascii="Times New Roman" w:hAnsi="Times New Roman" w:cs="Times New Roman"/>
          <w:noProof/>
          <w:sz w:val="24"/>
          <w:lang w:val="bg-BG"/>
        </w:rPr>
        <w:footnoteReference w:id="35"/>
      </w:r>
      <w:r w:rsidRPr="006E6596">
        <w:rPr>
          <w:rFonts w:ascii="Times New Roman" w:hAnsi="Times New Roman"/>
          <w:noProof/>
          <w:sz w:val="24"/>
          <w:lang w:val="bg-BG"/>
        </w:rPr>
        <w:t xml:space="preserve">, което подчертава взаимното допълване на действията на ЕС и държавите членки, както по-нататък е описано в глава 3. </w:t>
      </w:r>
    </w:p>
    <w:p w14:paraId="024C9EB8" w14:textId="6A61FCFC" w:rsidR="00C42C66" w:rsidRPr="006E6596" w:rsidRDefault="00C42C66" w:rsidP="00D02AC1">
      <w:pPr>
        <w:pStyle w:val="ListParagraph"/>
        <w:numPr>
          <w:ilvl w:val="1"/>
          <w:numId w:val="13"/>
        </w:numPr>
        <w:ind w:left="900" w:hanging="540"/>
        <w:outlineLvl w:val="0"/>
        <w:rPr>
          <w:rFonts w:cs="Times New Roman"/>
          <w:b/>
          <w:noProof/>
          <w:lang w:val="bg-BG"/>
        </w:rPr>
      </w:pPr>
      <w:bookmarkStart w:id="26" w:name="_Toc152859050"/>
      <w:r w:rsidRPr="006E6596">
        <w:rPr>
          <w:b/>
          <w:noProof/>
          <w:lang w:val="bg-BG"/>
        </w:rPr>
        <w:t>Улесняване на достъпа до правосъдие чрез усилия за цифровизация</w:t>
      </w:r>
      <w:bookmarkEnd w:id="26"/>
    </w:p>
    <w:p w14:paraId="4A93B29D" w14:textId="74CB755F" w:rsidR="00C42C66" w:rsidRPr="006E6596" w:rsidRDefault="00C42C66" w:rsidP="00C42C66">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Достъпът до правосъдие може да бъде улеснен чрез увеличаване на цифровизацията на съдебните производства, което прави правосъдието по-достъпно. Възможността за подаване на заявления и комуникация със съдилищата по електронен път и за участие в устни производства чрез видеоконферентна връзка може да подобри достъпа до ефективни правни средства за защита в рамките на разумен срок по смисъла на член 47 от Хартата. В </w:t>
      </w:r>
      <w:r w:rsidRPr="006E6596">
        <w:rPr>
          <w:rFonts w:ascii="Times New Roman" w:hAnsi="Times New Roman"/>
          <w:b/>
          <w:noProof/>
          <w:sz w:val="24"/>
          <w:lang w:val="bg-BG"/>
        </w:rPr>
        <w:t>предложението за регламент относно цифровизацията на съдебното сътрудничество</w:t>
      </w:r>
      <w:r w:rsidRPr="006E6596">
        <w:rPr>
          <w:rFonts w:ascii="Times New Roman" w:hAnsi="Times New Roman" w:cs="Times New Roman"/>
          <w:noProof/>
          <w:sz w:val="24"/>
          <w:vertAlign w:val="superscript"/>
          <w:lang w:val="bg-BG"/>
        </w:rPr>
        <w:footnoteReference w:id="36"/>
      </w:r>
      <w:r w:rsidRPr="006E6596">
        <w:rPr>
          <w:rFonts w:ascii="Times New Roman" w:hAnsi="Times New Roman"/>
          <w:noProof/>
          <w:sz w:val="24"/>
          <w:lang w:val="bg-BG"/>
        </w:rPr>
        <w:t xml:space="preserve"> се предвижда правно основание за използването на технология за комуникация от разстояние за производства по граждански и търговски дела с трансгранични последствия и за процедури за съдебно сътрудничество по наказателни дела. </w:t>
      </w:r>
    </w:p>
    <w:p w14:paraId="5BBD6101" w14:textId="192A882C" w:rsidR="001E5566" w:rsidRPr="006E6596" w:rsidRDefault="00C42C66" w:rsidP="00C42C66">
      <w:pPr>
        <w:spacing w:before="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Цифровизацията на правосъдието трябва да бъде въведена внимателно и трябва да се гарантира спазването на основните права, включително правото на справедлив съдебен процес, на ефективна правна защита и на защита на личните данни и правото на защита в наказателното производство</w:t>
      </w:r>
      <w:r w:rsidRPr="006E6596">
        <w:rPr>
          <w:rFonts w:ascii="Times New Roman" w:hAnsi="Times New Roman" w:cs="Times New Roman"/>
          <w:noProof/>
          <w:sz w:val="24"/>
          <w:vertAlign w:val="superscript"/>
          <w:lang w:val="bg-BG"/>
        </w:rPr>
        <w:footnoteReference w:id="37"/>
      </w:r>
      <w:r w:rsidRPr="006E6596">
        <w:rPr>
          <w:rFonts w:ascii="Times New Roman" w:hAnsi="Times New Roman"/>
          <w:noProof/>
          <w:sz w:val="24"/>
          <w:lang w:val="bg-BG"/>
        </w:rPr>
        <w:t>. С оглед на гарантиране на достъпността на съдебните услуги и производства за лица без достатъчно цифрови умения или без достъп до цифрови инструменти, както и за лица, които може да имат затруднения при достъпа до цифрова среда за правосъдие, традиционните канали за комуникация и лично участие също следва да бъдат запазени</w:t>
      </w:r>
      <w:r w:rsidRPr="006E6596">
        <w:rPr>
          <w:rFonts w:ascii="Times New Roman" w:hAnsi="Times New Roman" w:cs="Times New Roman"/>
          <w:noProof/>
          <w:sz w:val="24"/>
          <w:vertAlign w:val="superscript"/>
          <w:lang w:val="bg-BG"/>
        </w:rPr>
        <w:footnoteReference w:id="38"/>
      </w:r>
      <w:r w:rsidRPr="006E6596">
        <w:rPr>
          <w:rFonts w:ascii="Times New Roman" w:hAnsi="Times New Roman"/>
          <w:noProof/>
          <w:sz w:val="24"/>
          <w:lang w:val="bg-BG"/>
        </w:rPr>
        <w:t>.</w:t>
      </w:r>
      <w:r w:rsidRPr="006E6596">
        <w:rPr>
          <w:rFonts w:ascii="Times New Roman" w:hAnsi="Times New Roman"/>
          <w:b/>
          <w:noProof/>
          <w:sz w:val="24"/>
          <w:lang w:val="bg-BG"/>
        </w:rPr>
        <w:t xml:space="preserve"> </w:t>
      </w:r>
      <w:r w:rsidRPr="006E6596">
        <w:rPr>
          <w:rFonts w:ascii="Times New Roman" w:hAnsi="Times New Roman"/>
          <w:noProof/>
          <w:sz w:val="24"/>
          <w:lang w:val="bg-BG"/>
        </w:rPr>
        <w:t xml:space="preserve">Приложенията с </w:t>
      </w:r>
      <w:r w:rsidRPr="006E6596">
        <w:rPr>
          <w:rFonts w:ascii="Times New Roman" w:hAnsi="Times New Roman"/>
          <w:b/>
          <w:noProof/>
          <w:sz w:val="24"/>
          <w:lang w:val="bg-BG"/>
        </w:rPr>
        <w:t>изкуствен интелект</w:t>
      </w:r>
      <w:r w:rsidRPr="006E6596">
        <w:rPr>
          <w:rFonts w:ascii="Times New Roman" w:hAnsi="Times New Roman"/>
          <w:noProof/>
          <w:sz w:val="24"/>
          <w:lang w:val="bg-BG"/>
        </w:rPr>
        <w:t xml:space="preserve"> могат също така да подкрепят постановяването на съдебни решения, но е важно да се гарантира, че те функционират правилно и да се смекчат потенциалните предубеждения, до които тяхното използване може да доведе, включително въз основа на пол, „расов“</w:t>
      </w:r>
      <w:r w:rsidRPr="006E6596">
        <w:rPr>
          <w:rFonts w:ascii="Times New Roman" w:hAnsi="Times New Roman" w:cs="Times New Roman"/>
          <w:noProof/>
          <w:sz w:val="24"/>
          <w:vertAlign w:val="superscript"/>
          <w:lang w:val="bg-BG"/>
        </w:rPr>
        <w:footnoteReference w:id="39"/>
      </w:r>
      <w:r w:rsidRPr="006E6596">
        <w:rPr>
          <w:rFonts w:ascii="Times New Roman" w:hAnsi="Times New Roman"/>
          <w:noProof/>
          <w:sz w:val="24"/>
          <w:lang w:val="bg-BG"/>
        </w:rPr>
        <w:t xml:space="preserve"> или етнически произход, религия или убеждения, увреждане, възраст или сексуална ориентация</w:t>
      </w:r>
      <w:r w:rsidRPr="006E6596">
        <w:rPr>
          <w:rFonts w:ascii="Times New Roman" w:hAnsi="Times New Roman" w:cs="Times New Roman"/>
          <w:noProof/>
          <w:sz w:val="24"/>
          <w:vertAlign w:val="superscript"/>
          <w:lang w:val="bg-BG"/>
        </w:rPr>
        <w:footnoteReference w:id="40"/>
      </w:r>
      <w:r w:rsidRPr="006E6596">
        <w:rPr>
          <w:rFonts w:ascii="Times New Roman" w:hAnsi="Times New Roman"/>
          <w:noProof/>
          <w:sz w:val="24"/>
          <w:lang w:val="bg-BG"/>
        </w:rPr>
        <w:t xml:space="preserve">. </w:t>
      </w:r>
    </w:p>
    <w:p w14:paraId="1A165CF0" w14:textId="62DA43A5" w:rsidR="00BD43C9" w:rsidRPr="006E6596" w:rsidRDefault="00C42C66" w:rsidP="00D02AC1">
      <w:pPr>
        <w:pStyle w:val="ListParagraph"/>
        <w:numPr>
          <w:ilvl w:val="1"/>
          <w:numId w:val="13"/>
        </w:numPr>
        <w:ind w:left="900" w:hanging="540"/>
        <w:outlineLvl w:val="0"/>
        <w:rPr>
          <w:rFonts w:cs="Times New Roman"/>
          <w:b/>
          <w:noProof/>
          <w:lang w:val="bg-BG"/>
        </w:rPr>
      </w:pPr>
      <w:bookmarkStart w:id="27" w:name="_Toc147916065"/>
      <w:bookmarkStart w:id="28" w:name="_Toc152859051"/>
      <w:r w:rsidRPr="006E6596">
        <w:rPr>
          <w:b/>
          <w:noProof/>
          <w:lang w:val="bg-BG"/>
        </w:rPr>
        <w:t>Права в наказателното производство</w:t>
      </w:r>
      <w:bookmarkEnd w:id="27"/>
      <w:bookmarkEnd w:id="28"/>
    </w:p>
    <w:p w14:paraId="00783DBD" w14:textId="57616F6E" w:rsidR="006B29DB" w:rsidRPr="006E6596" w:rsidRDefault="00BD43C9" w:rsidP="00BD43C9">
      <w:pPr>
        <w:jc w:val="both"/>
        <w:rPr>
          <w:rFonts w:ascii="Times New Roman" w:hAnsi="Times New Roman" w:cs="Times New Roman"/>
          <w:noProof/>
          <w:sz w:val="24"/>
          <w:lang w:val="bg-BG"/>
        </w:rPr>
      </w:pPr>
      <w:r w:rsidRPr="006E6596">
        <w:rPr>
          <w:rFonts w:ascii="Times New Roman" w:hAnsi="Times New Roman"/>
          <w:noProof/>
          <w:sz w:val="24"/>
          <w:lang w:val="bg-BG"/>
        </w:rPr>
        <w:t xml:space="preserve">В </w:t>
      </w:r>
      <w:r w:rsidRPr="006E6596">
        <w:rPr>
          <w:rFonts w:ascii="Times New Roman" w:hAnsi="Times New Roman"/>
          <w:b/>
          <w:noProof/>
          <w:sz w:val="24"/>
          <w:lang w:val="bg-BG"/>
        </w:rPr>
        <w:t>наказателнопроцесуалното право</w:t>
      </w:r>
      <w:r w:rsidRPr="006E6596">
        <w:rPr>
          <w:rFonts w:ascii="Times New Roman" w:hAnsi="Times New Roman"/>
          <w:noProof/>
          <w:sz w:val="24"/>
          <w:lang w:val="bg-BG"/>
        </w:rPr>
        <w:t xml:space="preserve"> на </w:t>
      </w:r>
      <w:r w:rsidRPr="006E6596">
        <w:rPr>
          <w:rFonts w:ascii="Times New Roman" w:hAnsi="Times New Roman"/>
          <w:b/>
          <w:noProof/>
          <w:sz w:val="24"/>
          <w:lang w:val="bg-BG"/>
        </w:rPr>
        <w:t>ЕС</w:t>
      </w:r>
      <w:r w:rsidRPr="006E6596">
        <w:rPr>
          <w:rFonts w:ascii="Times New Roman" w:hAnsi="Times New Roman"/>
          <w:noProof/>
          <w:sz w:val="24"/>
          <w:lang w:val="bg-BG"/>
        </w:rPr>
        <w:t xml:space="preserve"> с шест директиви се определят минимални стандарти</w:t>
      </w:r>
      <w:r w:rsidRPr="006E6596">
        <w:rPr>
          <w:rStyle w:val="FootnoteReference"/>
          <w:rFonts w:ascii="Times New Roman" w:hAnsi="Times New Roman" w:cs="Times New Roman"/>
          <w:noProof/>
          <w:sz w:val="24"/>
          <w:lang w:val="bg-BG"/>
        </w:rPr>
        <w:footnoteReference w:id="41"/>
      </w:r>
      <w:r w:rsidRPr="006E6596">
        <w:rPr>
          <w:rFonts w:ascii="Times New Roman" w:hAnsi="Times New Roman"/>
          <w:noProof/>
          <w:sz w:val="24"/>
          <w:lang w:val="bg-BG"/>
        </w:rPr>
        <w:t xml:space="preserve"> за гаранции за защита на правата на заподозрени и обвиняеми лица</w:t>
      </w:r>
      <w:r w:rsidRPr="006E6596">
        <w:rPr>
          <w:rStyle w:val="FootnoteReference"/>
          <w:rFonts w:ascii="Times New Roman" w:hAnsi="Times New Roman" w:cs="Times New Roman"/>
          <w:noProof/>
          <w:sz w:val="24"/>
          <w:lang w:val="bg-BG"/>
        </w:rPr>
        <w:footnoteReference w:id="42"/>
      </w:r>
      <w:r w:rsidRPr="006E6596">
        <w:rPr>
          <w:rFonts w:ascii="Times New Roman" w:hAnsi="Times New Roman"/>
          <w:noProof/>
          <w:sz w:val="24"/>
          <w:lang w:val="bg-BG"/>
        </w:rPr>
        <w:t>. Те се прилагат по отношение на лица, заподозрени или обвинени в извършване на престъпление, и улесняват правната им защита. Тези стандарти обхващат например правото на устен и писмен превод на основни документи за лицата, които не говорят или не разбират езика на наказателното производство</w:t>
      </w:r>
      <w:r w:rsidRPr="006E6596">
        <w:rPr>
          <w:rStyle w:val="FootnoteReference"/>
          <w:rFonts w:ascii="Times New Roman" w:hAnsi="Times New Roman" w:cs="Times New Roman"/>
          <w:noProof/>
          <w:sz w:val="24"/>
          <w:lang w:val="bg-BG"/>
        </w:rPr>
        <w:footnoteReference w:id="43"/>
      </w:r>
      <w:r w:rsidRPr="006E6596">
        <w:rPr>
          <w:rFonts w:ascii="Times New Roman" w:hAnsi="Times New Roman"/>
          <w:noProof/>
          <w:sz w:val="24"/>
          <w:lang w:val="bg-BG"/>
        </w:rPr>
        <w:t>; право на своевременно получаване на информация относно правата на обвинените лица и обвиненията съгласно националното законодателство и на достъп до материалите по делото</w:t>
      </w:r>
      <w:r w:rsidRPr="006E6596">
        <w:rPr>
          <w:rStyle w:val="FootnoteReference"/>
          <w:rFonts w:ascii="Times New Roman" w:hAnsi="Times New Roman" w:cs="Times New Roman"/>
          <w:noProof/>
          <w:sz w:val="24"/>
          <w:lang w:val="bg-BG"/>
        </w:rPr>
        <w:footnoteReference w:id="44"/>
      </w:r>
      <w:r w:rsidRPr="006E6596">
        <w:rPr>
          <w:rFonts w:ascii="Times New Roman" w:hAnsi="Times New Roman"/>
          <w:noProof/>
          <w:sz w:val="24"/>
          <w:lang w:val="bg-BG"/>
        </w:rPr>
        <w:t>; право на достъп до адвокат, както и на информиране на трето лице при лишаване от свобода и на комуникация с трети лица и с консулски служби, докато са лишени от свобода; правото да се запази мълчание и правото на лицата да не се самоуличават; и правото на правна помощ</w:t>
      </w:r>
      <w:r w:rsidRPr="006E6596">
        <w:rPr>
          <w:rStyle w:val="FootnoteReference"/>
          <w:rFonts w:ascii="Times New Roman" w:hAnsi="Times New Roman" w:cs="Times New Roman"/>
          <w:noProof/>
          <w:sz w:val="24"/>
          <w:lang w:val="bg-BG"/>
        </w:rPr>
        <w:footnoteReference w:id="45"/>
      </w:r>
      <w:r w:rsidRPr="006E6596">
        <w:rPr>
          <w:rFonts w:ascii="Times New Roman" w:hAnsi="Times New Roman"/>
          <w:noProof/>
          <w:sz w:val="24"/>
          <w:lang w:val="bg-BG"/>
        </w:rPr>
        <w:t>. Тези директиви се допълват от три препоръки относно мерките за защита на уязвимите лица</w:t>
      </w:r>
      <w:r w:rsidRPr="006E6596">
        <w:rPr>
          <w:rStyle w:val="FootnoteReference"/>
          <w:rFonts w:ascii="Times New Roman" w:hAnsi="Times New Roman" w:cs="Times New Roman"/>
          <w:noProof/>
          <w:sz w:val="24"/>
          <w:lang w:val="bg-BG"/>
        </w:rPr>
        <w:footnoteReference w:id="46"/>
      </w:r>
      <w:r w:rsidRPr="006E6596">
        <w:rPr>
          <w:rFonts w:ascii="Times New Roman" w:hAnsi="Times New Roman"/>
          <w:noProof/>
          <w:sz w:val="24"/>
          <w:lang w:val="bg-BG"/>
        </w:rPr>
        <w:t>; право на правна помощ за заподозрени или обвиняеми лица</w:t>
      </w:r>
      <w:r w:rsidRPr="006E6596">
        <w:rPr>
          <w:rStyle w:val="FootnoteReference"/>
          <w:rFonts w:ascii="Times New Roman" w:hAnsi="Times New Roman" w:cs="Times New Roman"/>
          <w:noProof/>
          <w:sz w:val="24"/>
          <w:lang w:val="bg-BG"/>
        </w:rPr>
        <w:footnoteReference w:id="47"/>
      </w:r>
      <w:r w:rsidRPr="006E6596">
        <w:rPr>
          <w:rFonts w:ascii="Times New Roman" w:hAnsi="Times New Roman"/>
          <w:noProof/>
          <w:sz w:val="24"/>
          <w:lang w:val="bg-BG"/>
        </w:rPr>
        <w:t>; и процесуалните права на заподозрените и обвиняемите лица, по отношение на които е наложена мярка задържане под стража в досъдебното производство</w:t>
      </w:r>
      <w:r w:rsidRPr="006E6596">
        <w:rPr>
          <w:rStyle w:val="FootnoteReference"/>
          <w:rFonts w:ascii="Times New Roman" w:hAnsi="Times New Roman" w:cs="Times New Roman"/>
          <w:noProof/>
          <w:sz w:val="24"/>
          <w:lang w:val="bg-BG"/>
        </w:rPr>
        <w:footnoteReference w:id="48"/>
      </w:r>
      <w:r w:rsidRPr="006E6596">
        <w:rPr>
          <w:rFonts w:ascii="Times New Roman" w:hAnsi="Times New Roman"/>
          <w:noProof/>
          <w:sz w:val="24"/>
          <w:lang w:val="bg-BG"/>
        </w:rPr>
        <w:t>.</w:t>
      </w:r>
    </w:p>
    <w:p w14:paraId="5A4789DD" w14:textId="07E2A6C3" w:rsidR="00BD43C9" w:rsidRPr="006E6596" w:rsidRDefault="003B7926" w:rsidP="00BD43C9">
      <w:pPr>
        <w:jc w:val="both"/>
        <w:rPr>
          <w:rFonts w:ascii="Times New Roman" w:hAnsi="Times New Roman" w:cs="Times New Roman"/>
          <w:noProof/>
          <w:sz w:val="24"/>
          <w:lang w:val="bg-BG"/>
        </w:rPr>
      </w:pPr>
      <w:r w:rsidRPr="006E6596">
        <w:rPr>
          <w:rFonts w:ascii="Times New Roman" w:hAnsi="Times New Roman"/>
          <w:noProof/>
          <w:sz w:val="24"/>
          <w:lang w:val="bg-BG"/>
        </w:rPr>
        <w:t xml:space="preserve">В директивите, по-специално в Директива 2016/343, са залегнали основни принципи на наказателнопроцесуалното право като </w:t>
      </w:r>
      <w:r w:rsidRPr="006E6596">
        <w:rPr>
          <w:rFonts w:ascii="Times New Roman" w:hAnsi="Times New Roman"/>
          <w:b/>
          <w:noProof/>
          <w:sz w:val="24"/>
          <w:lang w:val="bg-BG"/>
        </w:rPr>
        <w:t>презумпцията за невиновност</w:t>
      </w:r>
      <w:r w:rsidRPr="006E6596">
        <w:rPr>
          <w:rFonts w:ascii="Times New Roman" w:hAnsi="Times New Roman"/>
          <w:noProof/>
          <w:sz w:val="24"/>
          <w:lang w:val="bg-BG"/>
        </w:rPr>
        <w:t>. Съгласно правилата на ЕС</w:t>
      </w:r>
      <w:r w:rsidRPr="006E6596">
        <w:rPr>
          <w:rStyle w:val="FootnoteReference"/>
          <w:rFonts w:ascii="Times New Roman" w:hAnsi="Times New Roman" w:cs="Times New Roman"/>
          <w:noProof/>
          <w:sz w:val="24"/>
          <w:lang w:val="bg-BG"/>
        </w:rPr>
        <w:footnoteReference w:id="49"/>
      </w:r>
      <w:r w:rsidRPr="006E6596">
        <w:rPr>
          <w:rFonts w:ascii="Times New Roman" w:hAnsi="Times New Roman"/>
          <w:noProof/>
          <w:sz w:val="24"/>
          <w:lang w:val="bg-BG"/>
        </w:rPr>
        <w:t xml:space="preserve"> преждевременните публични изявления относно вината на заподозряното или обвиняемото лице от страна на властите са забранени и тежестта на доказване за установяване на вината следва да се носи от органите по обвинението и се закрепват правото да се запази мълчание и правото на лицата да не се самоуличават, както и правото да присъстват на съдебния процес</w:t>
      </w:r>
      <w:r w:rsidRPr="006E6596">
        <w:rPr>
          <w:rStyle w:val="FootnoteReference"/>
          <w:rFonts w:ascii="Times New Roman" w:hAnsi="Times New Roman" w:cs="Times New Roman"/>
          <w:noProof/>
          <w:sz w:val="24"/>
          <w:lang w:val="bg-BG"/>
        </w:rPr>
        <w:footnoteReference w:id="50"/>
      </w:r>
      <w:r w:rsidRPr="006E6596">
        <w:rPr>
          <w:rFonts w:ascii="Times New Roman" w:hAnsi="Times New Roman"/>
          <w:noProof/>
          <w:sz w:val="24"/>
          <w:lang w:val="bg-BG"/>
        </w:rPr>
        <w:t xml:space="preserve">. Освен това, за да покрият разходите за правна помощ, заподозрените и обвиняемите лица, които нямат достатъчно средства, имат право на </w:t>
      </w:r>
      <w:r w:rsidRPr="006E6596">
        <w:rPr>
          <w:rFonts w:ascii="Times New Roman" w:hAnsi="Times New Roman"/>
          <w:b/>
          <w:noProof/>
          <w:sz w:val="24"/>
          <w:lang w:val="bg-BG"/>
        </w:rPr>
        <w:t>правна помощ</w:t>
      </w:r>
      <w:r w:rsidRPr="006E6596">
        <w:rPr>
          <w:rStyle w:val="FootnoteReference"/>
          <w:rFonts w:ascii="Times New Roman" w:hAnsi="Times New Roman" w:cs="Times New Roman"/>
          <w:noProof/>
          <w:sz w:val="24"/>
          <w:lang w:val="bg-BG"/>
        </w:rPr>
        <w:footnoteReference w:id="51"/>
      </w:r>
      <w:r w:rsidRPr="006E6596">
        <w:rPr>
          <w:rFonts w:ascii="Times New Roman" w:hAnsi="Times New Roman"/>
          <w:noProof/>
          <w:sz w:val="24"/>
          <w:lang w:val="bg-BG"/>
        </w:rPr>
        <w:t>.</w:t>
      </w:r>
    </w:p>
    <w:p w14:paraId="0580D422" w14:textId="22261DF2" w:rsidR="00BD43C9" w:rsidRPr="006E6596" w:rsidRDefault="00BE6038" w:rsidP="000B08DE">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ЕС също така е въвел специфични гаранции за случаите, когато</w:t>
      </w:r>
      <w:r w:rsidRPr="006E6596">
        <w:rPr>
          <w:rFonts w:ascii="Times New Roman" w:hAnsi="Times New Roman"/>
          <w:b/>
          <w:noProof/>
          <w:sz w:val="24"/>
          <w:lang w:val="bg-BG"/>
        </w:rPr>
        <w:t xml:space="preserve"> заподозряното или обвиняемото лице е малолетно или непълнолетно</w:t>
      </w:r>
      <w:r w:rsidRPr="006E6596">
        <w:rPr>
          <w:rStyle w:val="FootnoteReference"/>
          <w:rFonts w:ascii="Times New Roman" w:hAnsi="Times New Roman" w:cs="Times New Roman"/>
          <w:noProof/>
          <w:sz w:val="24"/>
          <w:lang w:val="bg-BG"/>
        </w:rPr>
        <w:footnoteReference w:id="52"/>
      </w:r>
      <w:r w:rsidRPr="006E6596">
        <w:rPr>
          <w:rFonts w:ascii="Times New Roman" w:hAnsi="Times New Roman"/>
          <w:noProof/>
          <w:sz w:val="24"/>
          <w:lang w:val="bg-BG"/>
        </w:rPr>
        <w:t>. Държавите членки са длъжни да гарантират, че висшите интереси на детето са взети предвид при всяко решение, което ги засяга в рамките на производството в съответствие с член 24, параграф 2 от Хартата. Държавите членки трябва да установят и да прилагат по-строги стандарти от тези, приложими по отношение на пълнолетни лица във връзка с ключови процесуални права, като например правото на достъп до адвокат. От държавите членки се изисква също така да въведат целенасочени, специфични за детето гаранции и права, като вземат предвид нуждите и уязвимостта на децата и способността им да разбират и ефективно да участват в производствата</w:t>
      </w:r>
      <w:r w:rsidRPr="006E6596">
        <w:rPr>
          <w:rStyle w:val="FootnoteReference"/>
          <w:rFonts w:ascii="Times New Roman" w:hAnsi="Times New Roman" w:cs="Times New Roman"/>
          <w:noProof/>
          <w:sz w:val="24"/>
          <w:lang w:val="bg-BG"/>
        </w:rPr>
        <w:footnoteReference w:id="53"/>
      </w:r>
      <w:r w:rsidRPr="006E6596">
        <w:rPr>
          <w:rFonts w:ascii="Times New Roman" w:hAnsi="Times New Roman"/>
          <w:noProof/>
          <w:sz w:val="24"/>
          <w:lang w:val="bg-BG"/>
        </w:rPr>
        <w:t>. Положението на всяко дете трябва да се оценява индивидуално, то има право да бъде придружавано от лице, което носи родителска отговорност</w:t>
      </w:r>
      <w:r w:rsidRPr="006E6596">
        <w:rPr>
          <w:rStyle w:val="FootnoteReference"/>
          <w:rFonts w:ascii="Times New Roman" w:hAnsi="Times New Roman" w:cs="Times New Roman"/>
          <w:noProof/>
          <w:sz w:val="24"/>
          <w:lang w:val="bg-BG"/>
        </w:rPr>
        <w:footnoteReference w:id="54"/>
      </w:r>
      <w:r w:rsidRPr="006E6596">
        <w:rPr>
          <w:rFonts w:ascii="Times New Roman" w:hAnsi="Times New Roman"/>
          <w:noProof/>
          <w:sz w:val="24"/>
          <w:lang w:val="bg-BG"/>
        </w:rPr>
        <w:t>, разпитът на дете следва да се записва, когато е подходящо; и всяко дете следва да получава специфично отношение, когато е лишено от свобода</w:t>
      </w:r>
      <w:r w:rsidRPr="006E6596">
        <w:rPr>
          <w:rFonts w:ascii="Times New Roman" w:hAnsi="Times New Roman" w:cs="Times New Roman"/>
          <w:noProof/>
          <w:sz w:val="24"/>
          <w:vertAlign w:val="superscript"/>
          <w:lang w:val="bg-BG"/>
        </w:rPr>
        <w:footnoteReference w:id="55"/>
      </w:r>
      <w:r w:rsidRPr="006E6596">
        <w:rPr>
          <w:rFonts w:ascii="Times New Roman" w:hAnsi="Times New Roman"/>
          <w:noProof/>
          <w:sz w:val="24"/>
          <w:lang w:val="bg-BG"/>
        </w:rPr>
        <w:t>. Оценката на Комисията на националните мерки за транспониране разкри големи различия, по-специално поради присъщите разлики между националните съдебни системи и различните стандарти за съобразено с потребностите на децата правосъдие</w:t>
      </w:r>
      <w:r w:rsidRPr="006E6596">
        <w:rPr>
          <w:rStyle w:val="FootnoteReference"/>
          <w:rFonts w:ascii="Times New Roman" w:hAnsi="Times New Roman" w:cs="Times New Roman"/>
          <w:noProof/>
          <w:sz w:val="24"/>
          <w:lang w:val="bg-BG"/>
        </w:rPr>
        <w:footnoteReference w:id="56"/>
      </w:r>
      <w:r w:rsidRPr="006E6596">
        <w:rPr>
          <w:rFonts w:ascii="Times New Roman" w:hAnsi="Times New Roman"/>
          <w:noProof/>
          <w:sz w:val="24"/>
          <w:lang w:val="bg-BG"/>
        </w:rPr>
        <w:t>.</w:t>
      </w:r>
    </w:p>
    <w:p w14:paraId="36C3324C" w14:textId="03940234" w:rsidR="004102CA" w:rsidRPr="006E6596" w:rsidRDefault="00DA1E4A" w:rsidP="00D02AC1">
      <w:pPr>
        <w:pStyle w:val="ListParagraph"/>
        <w:numPr>
          <w:ilvl w:val="1"/>
          <w:numId w:val="13"/>
        </w:numPr>
        <w:ind w:left="900" w:hanging="540"/>
        <w:outlineLvl w:val="0"/>
        <w:rPr>
          <w:rFonts w:cs="Times New Roman"/>
          <w:b/>
          <w:noProof/>
          <w:lang w:val="bg-BG"/>
        </w:rPr>
      </w:pPr>
      <w:bookmarkStart w:id="29" w:name="_Toc152859052"/>
      <w:r w:rsidRPr="006E6596">
        <w:rPr>
          <w:b/>
          <w:noProof/>
          <w:lang w:val="bg-BG"/>
        </w:rPr>
        <w:t>Инструменти за съдебно сътрудничество по наказателноправни въпроси</w:t>
      </w:r>
      <w:bookmarkEnd w:id="29"/>
    </w:p>
    <w:p w14:paraId="4D92652A" w14:textId="58399F4D" w:rsidR="00D821BC" w:rsidRPr="006E6596" w:rsidRDefault="00DA1E4A" w:rsidP="00873C47">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Съдебното сътрудничество по наказателноправни въпроси се урежда от няколко инструмента, които са насочени към подобряване на ефективното правораздаване при трансгранични дела и осигуряване на ефективна съдебна защита на засегнатите лица. С европейската </w:t>
      </w:r>
      <w:r w:rsidRPr="006E6596">
        <w:rPr>
          <w:rFonts w:ascii="Times New Roman" w:hAnsi="Times New Roman"/>
          <w:b/>
          <w:noProof/>
          <w:sz w:val="24"/>
          <w:lang w:val="bg-BG"/>
        </w:rPr>
        <w:t>заповед за арест</w:t>
      </w:r>
      <w:r w:rsidRPr="006E6596">
        <w:rPr>
          <w:rStyle w:val="FootnoteReference"/>
          <w:rFonts w:ascii="Times New Roman" w:hAnsi="Times New Roman" w:cs="Times New Roman"/>
          <w:noProof/>
          <w:sz w:val="24"/>
          <w:lang w:val="bg-BG"/>
        </w:rPr>
        <w:footnoteReference w:id="57"/>
      </w:r>
      <w:r w:rsidRPr="006E6596">
        <w:rPr>
          <w:rFonts w:ascii="Times New Roman" w:hAnsi="Times New Roman"/>
          <w:noProof/>
          <w:sz w:val="24"/>
          <w:lang w:val="bg-BG"/>
        </w:rPr>
        <w:t xml:space="preserve"> (ЕЗА) се цели избягване на продължителното задържане на съответното лице, като от държавите членки се изисква да обработват бързо решенията за ЕЗА</w:t>
      </w:r>
      <w:r w:rsidRPr="006E6596">
        <w:rPr>
          <w:rStyle w:val="FootnoteReference"/>
          <w:rFonts w:ascii="Times New Roman" w:hAnsi="Times New Roman" w:cs="Times New Roman"/>
          <w:noProof/>
          <w:sz w:val="24"/>
          <w:lang w:val="bg-BG"/>
        </w:rPr>
        <w:footnoteReference w:id="58"/>
      </w:r>
      <w:r w:rsidRPr="006E6596">
        <w:rPr>
          <w:rFonts w:ascii="Times New Roman" w:hAnsi="Times New Roman"/>
          <w:noProof/>
          <w:sz w:val="24"/>
          <w:lang w:val="bg-BG"/>
        </w:rPr>
        <w:t xml:space="preserve">. Неотдавна Комисията предложи общи правила, с които се предвижда възможност за прехвърляне на </w:t>
      </w:r>
      <w:r w:rsidRPr="006E6596">
        <w:rPr>
          <w:rFonts w:ascii="Times New Roman" w:hAnsi="Times New Roman"/>
          <w:b/>
          <w:noProof/>
          <w:sz w:val="24"/>
          <w:lang w:val="bg-BG"/>
        </w:rPr>
        <w:t>наказателното производство от една държава членка в друга</w:t>
      </w:r>
      <w:r w:rsidRPr="006E6596">
        <w:rPr>
          <w:rStyle w:val="FootnoteReference"/>
          <w:rFonts w:ascii="Times New Roman" w:hAnsi="Times New Roman" w:cs="Times New Roman"/>
          <w:noProof/>
          <w:sz w:val="24"/>
          <w:lang w:val="bg-BG"/>
        </w:rPr>
        <w:footnoteReference w:id="59"/>
      </w:r>
      <w:r w:rsidRPr="006E6596">
        <w:rPr>
          <w:rFonts w:ascii="Times New Roman" w:hAnsi="Times New Roman"/>
          <w:noProof/>
          <w:sz w:val="24"/>
          <w:lang w:val="bg-BG"/>
        </w:rPr>
        <w:t>, и се включват разпоредби относно правото на ефективна правна защита срещу решението, с което се приема прехвърлянето</w:t>
      </w:r>
      <w:r w:rsidR="00587A19">
        <w:rPr>
          <w:rFonts w:ascii="Times New Roman" w:hAnsi="Times New Roman" w:cs="Times New Roman"/>
          <w:noProof/>
          <w:sz w:val="24"/>
          <w:lang w:val="bg-BG"/>
        </w:rPr>
        <w:t>.</w:t>
      </w:r>
      <w:r w:rsidRPr="006E6596">
        <w:rPr>
          <w:rStyle w:val="FootnoteReference"/>
          <w:rFonts w:ascii="Times New Roman" w:hAnsi="Times New Roman"/>
          <w:noProof/>
          <w:sz w:val="24"/>
          <w:lang w:val="bg-BG"/>
        </w:rPr>
        <w:t xml:space="preserve"> </w:t>
      </w:r>
      <w:r w:rsidRPr="006E6596">
        <w:rPr>
          <w:rFonts w:ascii="Times New Roman" w:hAnsi="Times New Roman"/>
          <w:noProof/>
          <w:sz w:val="24"/>
          <w:lang w:val="bg-BG"/>
        </w:rPr>
        <w:t xml:space="preserve">С </w:t>
      </w:r>
      <w:r w:rsidRPr="006E6596">
        <w:rPr>
          <w:rFonts w:ascii="Times New Roman" w:hAnsi="Times New Roman"/>
          <w:b/>
          <w:noProof/>
          <w:sz w:val="24"/>
          <w:lang w:val="bg-BG"/>
        </w:rPr>
        <w:t>Регламента за електронните доказателства</w:t>
      </w:r>
      <w:r w:rsidR="00750F1D">
        <w:rPr>
          <w:rStyle w:val="FootnoteReference"/>
          <w:rFonts w:ascii="Times New Roman" w:hAnsi="Times New Roman"/>
          <w:b/>
          <w:noProof/>
          <w:sz w:val="24"/>
          <w:lang w:val="bg-BG"/>
        </w:rPr>
        <w:footnoteReference w:id="60"/>
      </w:r>
      <w:r w:rsidRPr="006E6596">
        <w:rPr>
          <w:rFonts w:ascii="Times New Roman" w:hAnsi="Times New Roman"/>
          <w:noProof/>
          <w:sz w:val="24"/>
          <w:lang w:val="bg-BG"/>
        </w:rPr>
        <w:t xml:space="preserve"> се ускорява получаването на електронни доказателства от правоприлагащите и съдебните органи. В съответствие с член 47 от Хартата, с този регламент се предоставя право на ефективна правна защита на всяко лице, чиито данни са били поискани. </w:t>
      </w:r>
    </w:p>
    <w:p w14:paraId="5633FF94" w14:textId="1C633C2E" w:rsidR="00D466D7" w:rsidRPr="006E6596" w:rsidRDefault="002E30F1" w:rsidP="00D02AC1">
      <w:pPr>
        <w:pStyle w:val="ListParagraph"/>
        <w:numPr>
          <w:ilvl w:val="1"/>
          <w:numId w:val="13"/>
        </w:numPr>
        <w:ind w:left="900" w:hanging="540"/>
        <w:outlineLvl w:val="0"/>
        <w:rPr>
          <w:rFonts w:cs="Times New Roman"/>
          <w:b/>
          <w:noProof/>
          <w:lang w:val="bg-BG"/>
        </w:rPr>
      </w:pPr>
      <w:bookmarkStart w:id="30" w:name="_Toc147916066"/>
      <w:bookmarkStart w:id="31" w:name="_Toc152859053"/>
      <w:r w:rsidRPr="006E6596">
        <w:rPr>
          <w:b/>
          <w:noProof/>
          <w:lang w:val="bg-BG"/>
        </w:rPr>
        <w:t>Права на жертвите</w:t>
      </w:r>
      <w:bookmarkEnd w:id="30"/>
      <w:bookmarkEnd w:id="31"/>
    </w:p>
    <w:p w14:paraId="7C87F348" w14:textId="4C53F7F3" w:rsidR="00D466D7" w:rsidRPr="006E6596" w:rsidRDefault="00D466D7" w:rsidP="00FA143B">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ЕС е установил всеобхватни стандарти за основни права в подкрепа и защита на жертвите на престъпления в </w:t>
      </w:r>
      <w:r w:rsidRPr="006E6596">
        <w:rPr>
          <w:rFonts w:ascii="Times New Roman" w:hAnsi="Times New Roman"/>
          <w:b/>
          <w:noProof/>
          <w:sz w:val="24"/>
          <w:lang w:val="bg-BG"/>
        </w:rPr>
        <w:t>Директивата относно правата на жертвите</w:t>
      </w:r>
      <w:r w:rsidRPr="006E6596">
        <w:rPr>
          <w:rFonts w:ascii="Times New Roman" w:hAnsi="Times New Roman" w:cs="Times New Roman"/>
          <w:noProof/>
          <w:sz w:val="24"/>
          <w:vertAlign w:val="superscript"/>
          <w:lang w:val="bg-BG"/>
        </w:rPr>
        <w:footnoteReference w:id="61"/>
      </w:r>
      <w:r w:rsidRPr="006E6596">
        <w:rPr>
          <w:rFonts w:ascii="Times New Roman" w:hAnsi="Times New Roman"/>
          <w:noProof/>
          <w:sz w:val="24"/>
          <w:lang w:val="bg-BG"/>
        </w:rPr>
        <w:t>, съгласно която от държавите членки се изисква да гарантират, че жертвите на всички престъпления се признават и получават уважително, професионално и недискриминационно отношение. С директивата се улеснява техния достъп до правосъдие, като държавите членки се задължават да предоставят информация относно производствата и подкрепа и защита на жертвите в съответствие с техните индивидуални нужди. Например, жертвите имат право да бъдат изслушани в рамките на наказателно производство и да представят доказателства, право на достъп до правна помощ, когато участват в наказателното производство като страни, и право на решение за обезщетение от извършителя. За по-нататъшно укрепване на правата на жертвите</w:t>
      </w:r>
      <w:r w:rsidRPr="006E6596">
        <w:rPr>
          <w:rStyle w:val="FootnoteReference"/>
          <w:rFonts w:ascii="Times New Roman" w:hAnsi="Times New Roman" w:cs="Times New Roman"/>
          <w:noProof/>
          <w:sz w:val="24"/>
          <w:lang w:val="bg-BG"/>
        </w:rPr>
        <w:footnoteReference w:id="62"/>
      </w:r>
      <w:r w:rsidRPr="006E6596">
        <w:rPr>
          <w:rFonts w:ascii="Times New Roman" w:hAnsi="Times New Roman"/>
          <w:noProof/>
          <w:sz w:val="24"/>
          <w:lang w:val="bg-BG"/>
        </w:rPr>
        <w:t xml:space="preserve"> Комисията прие предложение за изменение на Директивата относно правата на жертвите</w:t>
      </w:r>
      <w:r w:rsidRPr="006E6596">
        <w:rPr>
          <w:rFonts w:ascii="Times New Roman" w:hAnsi="Times New Roman" w:cs="Times New Roman"/>
          <w:noProof/>
          <w:sz w:val="24"/>
          <w:vertAlign w:val="superscript"/>
          <w:lang w:val="bg-BG"/>
        </w:rPr>
        <w:footnoteReference w:id="63"/>
      </w:r>
      <w:r w:rsidRPr="006E6596">
        <w:rPr>
          <w:rFonts w:ascii="Times New Roman" w:hAnsi="Times New Roman"/>
          <w:noProof/>
          <w:sz w:val="24"/>
          <w:lang w:val="bg-BG"/>
        </w:rPr>
        <w:t xml:space="preserve">, насочено към подобряване на предоставянето на информация, подкрепа и защита на жертвите, например чрез достъп до електронно правосъдие, и осигуряване на възможност за по-ефективно участие в наказателното производство. </w:t>
      </w:r>
    </w:p>
    <w:p w14:paraId="6881761C" w14:textId="4DA06590" w:rsidR="00D466D7" w:rsidRPr="006E6596" w:rsidRDefault="00FA04D1" w:rsidP="00E425FB">
      <w:pPr>
        <w:jc w:val="both"/>
        <w:rPr>
          <w:rFonts w:ascii="Times New Roman" w:hAnsi="Times New Roman" w:cs="Times New Roman"/>
          <w:noProof/>
          <w:sz w:val="24"/>
          <w:lang w:val="bg-BG"/>
        </w:rPr>
      </w:pPr>
      <w:r w:rsidRPr="006E6596">
        <w:rPr>
          <w:rFonts w:ascii="Times New Roman" w:hAnsi="Times New Roman"/>
          <w:noProof/>
          <w:sz w:val="24"/>
          <w:lang w:val="bg-BG"/>
        </w:rPr>
        <w:t>Специфичната правна уредба на ЕС съдържа целеви правила за защита на правата на жертвите на определени видове престъпления</w:t>
      </w:r>
      <w:r w:rsidRPr="006E6596">
        <w:rPr>
          <w:rStyle w:val="FootnoteReference"/>
          <w:rFonts w:ascii="Times New Roman" w:hAnsi="Times New Roman" w:cs="Times New Roman"/>
          <w:noProof/>
          <w:sz w:val="24"/>
          <w:lang w:val="bg-BG"/>
        </w:rPr>
        <w:footnoteReference w:id="64"/>
      </w:r>
      <w:r w:rsidRPr="006E6596">
        <w:rPr>
          <w:rFonts w:ascii="Times New Roman" w:hAnsi="Times New Roman"/>
          <w:noProof/>
          <w:sz w:val="24"/>
          <w:lang w:val="bg-BG"/>
        </w:rPr>
        <w:t xml:space="preserve">. Съгласно Директивата за </w:t>
      </w:r>
      <w:r w:rsidRPr="006E6596">
        <w:rPr>
          <w:rFonts w:ascii="Times New Roman" w:hAnsi="Times New Roman"/>
          <w:b/>
          <w:noProof/>
          <w:sz w:val="24"/>
          <w:lang w:val="bg-BG"/>
        </w:rPr>
        <w:t>борба с трафика на хора</w:t>
      </w:r>
      <w:r w:rsidRPr="006E6596">
        <w:rPr>
          <w:rStyle w:val="FootnoteReference"/>
          <w:rFonts w:ascii="Times New Roman" w:hAnsi="Times New Roman" w:cs="Times New Roman"/>
          <w:noProof/>
          <w:sz w:val="24"/>
          <w:lang w:val="bg-BG"/>
        </w:rPr>
        <w:footnoteReference w:id="65"/>
      </w:r>
      <w:r w:rsidRPr="006E6596">
        <w:rPr>
          <w:rFonts w:ascii="Times New Roman" w:hAnsi="Times New Roman"/>
          <w:noProof/>
          <w:sz w:val="24"/>
          <w:lang w:val="bg-BG"/>
        </w:rPr>
        <w:t xml:space="preserve"> от държавите членки се изисква да гарантират, че жертвите на трафик на хора могат да се възползват от подходящи мерки за защита, включително чрез програми за защита на свидетели, и имат достъп до правни консултации и представителство. Освен това децата жертви имат право на назначаване на представител и на прилагане на подходящи за тях мерки по време на разпитите и в рамките на наказателното производство. След оценка на Директивата за борба с трафика на хора, Комисията предложи да се модернизира рамката за борба с трафика на хора и да се преодолеят пропуските при установяването и предоставянето на помощ и подкрепа на жертвите</w:t>
      </w:r>
      <w:r w:rsidRPr="006E6596">
        <w:rPr>
          <w:rStyle w:val="FootnoteReference"/>
          <w:rFonts w:ascii="Times New Roman" w:hAnsi="Times New Roman" w:cs="Times New Roman"/>
          <w:noProof/>
          <w:sz w:val="24"/>
          <w:lang w:val="bg-BG"/>
        </w:rPr>
        <w:footnoteReference w:id="66"/>
      </w:r>
      <w:r w:rsidRPr="006E6596">
        <w:rPr>
          <w:rFonts w:ascii="Times New Roman" w:hAnsi="Times New Roman"/>
          <w:noProof/>
          <w:sz w:val="24"/>
          <w:lang w:val="bg-BG"/>
        </w:rPr>
        <w:t>. Освен това Комисията продължава да съсредоточава вниманието си върху прилагането на Директивата на ЕС относно борбата с трафика и Стратегията на ЕС за борба с трафика на хора за периода 2021—2025 г.</w:t>
      </w:r>
      <w:r w:rsidRPr="006E6596">
        <w:rPr>
          <w:rStyle w:val="FootnoteReference"/>
          <w:rFonts w:ascii="Times New Roman" w:hAnsi="Times New Roman" w:cs="Times New Roman"/>
          <w:noProof/>
          <w:sz w:val="24"/>
          <w:lang w:val="bg-BG"/>
        </w:rPr>
        <w:footnoteReference w:id="67"/>
      </w:r>
      <w:r w:rsidRPr="006E6596">
        <w:rPr>
          <w:rFonts w:ascii="Times New Roman" w:hAnsi="Times New Roman"/>
          <w:noProof/>
          <w:sz w:val="24"/>
          <w:lang w:val="bg-BG"/>
        </w:rPr>
        <w:t xml:space="preserve">, най-вече що се отнася до защитата на жертвите в наказателни производства и достъпа до обезщетение. </w:t>
      </w:r>
    </w:p>
    <w:p w14:paraId="499D0356" w14:textId="4D88F7B6" w:rsidR="00D466D7" w:rsidRPr="006E6596" w:rsidRDefault="00D466D7" w:rsidP="00D466D7">
      <w:pPr>
        <w:spacing w:after="120" w:line="276" w:lineRule="auto"/>
        <w:jc w:val="both"/>
        <w:rPr>
          <w:rFonts w:ascii="Times New Roman" w:hAnsi="Times New Roman" w:cs="Times New Roman"/>
          <w:noProof/>
          <w:sz w:val="24"/>
          <w:lang w:val="bg-BG"/>
        </w:rPr>
      </w:pPr>
      <w:r w:rsidRPr="006E6596">
        <w:rPr>
          <w:rFonts w:ascii="Times New Roman" w:hAnsi="Times New Roman"/>
          <w:b/>
          <w:noProof/>
          <w:sz w:val="24"/>
          <w:lang w:val="bg-BG"/>
        </w:rPr>
        <w:t>Децата, жертви на сексуално насилие и експлоатация</w:t>
      </w:r>
      <w:r w:rsidRPr="006E6596">
        <w:rPr>
          <w:rFonts w:ascii="Times New Roman" w:hAnsi="Times New Roman"/>
          <w:noProof/>
          <w:sz w:val="24"/>
          <w:lang w:val="bg-BG"/>
        </w:rPr>
        <w:t xml:space="preserve"> са защитени съгласно Директивата относно сексуалното насилие над деца</w:t>
      </w:r>
      <w:r w:rsidRPr="006E6596">
        <w:rPr>
          <w:rStyle w:val="FootnoteReference"/>
          <w:rFonts w:ascii="Times New Roman" w:hAnsi="Times New Roman" w:cs="Times New Roman"/>
          <w:noProof/>
          <w:sz w:val="24"/>
          <w:lang w:val="bg-BG"/>
        </w:rPr>
        <w:footnoteReference w:id="68"/>
      </w:r>
      <w:r w:rsidRPr="006E6596">
        <w:rPr>
          <w:rFonts w:ascii="Times New Roman" w:hAnsi="Times New Roman"/>
          <w:noProof/>
          <w:sz w:val="24"/>
          <w:lang w:val="bg-BG"/>
        </w:rPr>
        <w:t>, с която всеки, който знае или има подозрение за сексуално насилие или експлоатация на деца, се насърчава да подаде сигнал за това. През май 2022 г. Комисията предложи</w:t>
      </w:r>
      <w:r w:rsidRPr="006E6596">
        <w:rPr>
          <w:rStyle w:val="FootnoteReference"/>
          <w:rFonts w:ascii="Times New Roman" w:hAnsi="Times New Roman" w:cs="Times New Roman"/>
          <w:noProof/>
          <w:sz w:val="24"/>
          <w:lang w:val="bg-BG"/>
        </w:rPr>
        <w:footnoteReference w:id="69"/>
      </w:r>
      <w:r w:rsidRPr="006E6596">
        <w:rPr>
          <w:rFonts w:ascii="Times New Roman" w:hAnsi="Times New Roman"/>
          <w:noProof/>
          <w:sz w:val="24"/>
          <w:lang w:val="bg-BG"/>
        </w:rPr>
        <w:t xml:space="preserve"> специални правила относно онлайн сексуалното насилие и експлоатация на деца, включително мерки за подаване на сигнали и премахване на съдържание, включващо насилие, и за подпомагане на жертвите при премахването на материалите, изобразяващи насилието над тях. </w:t>
      </w:r>
    </w:p>
    <w:p w14:paraId="2795DB0D" w14:textId="1FF55BD2" w:rsidR="00D466D7" w:rsidRPr="006E6596" w:rsidRDefault="005F35E3" w:rsidP="00D466D7">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Освен това с предложението за директива </w:t>
      </w:r>
      <w:r w:rsidRPr="006E6596">
        <w:rPr>
          <w:rFonts w:ascii="Times New Roman" w:hAnsi="Times New Roman"/>
          <w:b/>
          <w:noProof/>
          <w:sz w:val="24"/>
          <w:lang w:val="bg-BG"/>
        </w:rPr>
        <w:t>относно борбата с насилието над жени и домашното насилие</w:t>
      </w:r>
      <w:r w:rsidRPr="006E6596">
        <w:rPr>
          <w:rFonts w:ascii="Times New Roman" w:hAnsi="Times New Roman" w:cs="Times New Roman"/>
          <w:noProof/>
          <w:sz w:val="24"/>
          <w:vertAlign w:val="superscript"/>
          <w:lang w:val="bg-BG"/>
        </w:rPr>
        <w:footnoteReference w:id="70"/>
      </w:r>
      <w:r w:rsidRPr="006E6596">
        <w:rPr>
          <w:rFonts w:ascii="Times New Roman" w:hAnsi="Times New Roman"/>
          <w:b/>
          <w:noProof/>
          <w:sz w:val="24"/>
          <w:lang w:val="bg-BG"/>
        </w:rPr>
        <w:t xml:space="preserve"> </w:t>
      </w:r>
      <w:r w:rsidRPr="006E6596">
        <w:rPr>
          <w:rFonts w:ascii="Times New Roman" w:hAnsi="Times New Roman"/>
          <w:noProof/>
          <w:sz w:val="24"/>
          <w:lang w:val="bg-BG"/>
        </w:rPr>
        <w:t>се цели да се подобри достъпа до правосъдие на жертвите на насилие, основано на пола и на домашно насилие, като се отговори на техните специфични нужди</w:t>
      </w:r>
      <w:r w:rsidRPr="006E6596">
        <w:rPr>
          <w:rStyle w:val="FootnoteReference"/>
          <w:rFonts w:ascii="Times New Roman" w:hAnsi="Times New Roman" w:cs="Times New Roman"/>
          <w:noProof/>
          <w:sz w:val="24"/>
          <w:lang w:val="bg-BG"/>
        </w:rPr>
        <w:footnoteReference w:id="71"/>
      </w:r>
      <w:r w:rsidRPr="006E6596">
        <w:rPr>
          <w:rFonts w:ascii="Times New Roman" w:hAnsi="Times New Roman"/>
          <w:noProof/>
          <w:sz w:val="24"/>
          <w:lang w:val="bg-BG"/>
        </w:rPr>
        <w:t>. То също така съдържа и предложение за криминализиране на определени форми на насилие, които непропорционално засягат жените, като изнасилване, основано на липса на съгласие, както и генитално осакатяване на жени и някои форми на кибернасилие, основано на пола</w:t>
      </w:r>
      <w:r w:rsidRPr="006E6596">
        <w:rPr>
          <w:rStyle w:val="FootnoteReference"/>
          <w:rFonts w:ascii="Times New Roman" w:hAnsi="Times New Roman" w:cs="Times New Roman"/>
          <w:noProof/>
          <w:sz w:val="24"/>
          <w:lang w:val="bg-BG"/>
        </w:rPr>
        <w:footnoteReference w:id="72"/>
      </w:r>
      <w:r w:rsidRPr="006E6596">
        <w:rPr>
          <w:rFonts w:ascii="Times New Roman" w:hAnsi="Times New Roman"/>
          <w:noProof/>
          <w:sz w:val="24"/>
          <w:lang w:val="bg-BG"/>
        </w:rPr>
        <w:t xml:space="preserve">. </w:t>
      </w:r>
    </w:p>
    <w:p w14:paraId="59E91BB3" w14:textId="56254319" w:rsidR="00B267BC" w:rsidRPr="006E6596" w:rsidRDefault="00776635" w:rsidP="00935B2D">
      <w:pPr>
        <w:pStyle w:val="ListParagraph"/>
        <w:numPr>
          <w:ilvl w:val="1"/>
          <w:numId w:val="13"/>
        </w:numPr>
        <w:ind w:left="900" w:hanging="540"/>
        <w:outlineLvl w:val="0"/>
        <w:rPr>
          <w:rFonts w:cs="Times New Roman"/>
          <w:b/>
          <w:noProof/>
          <w:lang w:val="bg-BG"/>
        </w:rPr>
      </w:pPr>
      <w:bookmarkStart w:id="32" w:name="_Toc147916067"/>
      <w:bookmarkStart w:id="33" w:name="_Toc152859054"/>
      <w:r w:rsidRPr="006E6596">
        <w:rPr>
          <w:b/>
          <w:noProof/>
          <w:lang w:val="bg-BG"/>
        </w:rPr>
        <w:t>Други ситуации на уязвимост</w:t>
      </w:r>
      <w:bookmarkEnd w:id="32"/>
      <w:bookmarkEnd w:id="33"/>
      <w:r w:rsidRPr="006E6596">
        <w:rPr>
          <w:b/>
          <w:noProof/>
          <w:lang w:val="bg-BG"/>
        </w:rPr>
        <w:t xml:space="preserve">  </w:t>
      </w:r>
    </w:p>
    <w:p w14:paraId="3B014F46" w14:textId="5B1D1FCC" w:rsidR="00D466D7" w:rsidRPr="006E6596" w:rsidRDefault="004F1CE6" w:rsidP="00D466D7">
      <w:pPr>
        <w:spacing w:after="120" w:line="276" w:lineRule="auto"/>
        <w:jc w:val="both"/>
        <w:rPr>
          <w:rFonts w:ascii="Times New Roman" w:eastAsia="Calibri" w:hAnsi="Times New Roman" w:cs="Times New Roman"/>
          <w:noProof/>
          <w:sz w:val="24"/>
          <w:lang w:val="bg-BG"/>
        </w:rPr>
      </w:pPr>
      <w:r w:rsidRPr="006E6596">
        <w:rPr>
          <w:rFonts w:ascii="Times New Roman" w:hAnsi="Times New Roman"/>
          <w:noProof/>
          <w:sz w:val="24"/>
          <w:lang w:val="bg-BG"/>
        </w:rPr>
        <w:t xml:space="preserve">Хората, които подават сигнали за незаконни или неморални дейности, за които са разбрали на работното си място („лица, сигнализиращи за нарушения“), са в уязвимо положение по отношение на своите работодатели. С </w:t>
      </w:r>
      <w:r w:rsidRPr="006E6596">
        <w:rPr>
          <w:rFonts w:ascii="Times New Roman" w:hAnsi="Times New Roman"/>
          <w:b/>
          <w:noProof/>
          <w:sz w:val="24"/>
          <w:lang w:val="bg-BG"/>
        </w:rPr>
        <w:t>Директивата относно защитата на лицата, които подават сигнали за нарушения</w:t>
      </w:r>
      <w:r w:rsidRPr="006E6596">
        <w:rPr>
          <w:rFonts w:ascii="Times New Roman" w:eastAsia="Calibri" w:hAnsi="Times New Roman" w:cs="Times New Roman"/>
          <w:noProof/>
          <w:sz w:val="24"/>
          <w:vertAlign w:val="superscript"/>
          <w:lang w:val="bg-BG"/>
        </w:rPr>
        <w:footnoteReference w:id="73"/>
      </w:r>
      <w:r w:rsidRPr="006E6596">
        <w:rPr>
          <w:rFonts w:ascii="Times New Roman" w:hAnsi="Times New Roman"/>
          <w:b/>
          <w:noProof/>
          <w:sz w:val="24"/>
          <w:lang w:val="bg-BG"/>
        </w:rPr>
        <w:t xml:space="preserve"> </w:t>
      </w:r>
      <w:r w:rsidRPr="006E6596">
        <w:rPr>
          <w:rFonts w:ascii="Times New Roman" w:hAnsi="Times New Roman"/>
          <w:noProof/>
          <w:sz w:val="24"/>
          <w:lang w:val="bg-BG"/>
        </w:rPr>
        <w:t>се забраняват всички форми на ответни действия с цел отмъщение и се изисква налагането на санкции за такива действия и</w:t>
      </w:r>
      <w:r w:rsidRPr="006E6596">
        <w:rPr>
          <w:rFonts w:ascii="Times New Roman" w:hAnsi="Times New Roman"/>
          <w:b/>
          <w:noProof/>
          <w:sz w:val="24"/>
          <w:lang w:val="bg-BG"/>
        </w:rPr>
        <w:t xml:space="preserve"> </w:t>
      </w:r>
      <w:r w:rsidRPr="006E6596">
        <w:rPr>
          <w:rFonts w:ascii="Times New Roman" w:hAnsi="Times New Roman"/>
          <w:noProof/>
          <w:sz w:val="24"/>
          <w:lang w:val="bg-BG"/>
        </w:rPr>
        <w:t>на лицата, които подават сигнали за нарушения се предоставя сериозен набор от правни действия, включително възстановяване на работа или обезщетение за претърпени вреди и временни мерки за спиране на заплахи или ответни действия.</w:t>
      </w:r>
    </w:p>
    <w:p w14:paraId="1939E6E8" w14:textId="2DA1C972" w:rsidR="00DF429A" w:rsidRPr="006E6596" w:rsidRDefault="004F1CE6" w:rsidP="00D466D7">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Журналисти, защитници на правата на човека и други, участващи в открит дебат по въпрос от обществен интерес, са в подобно уязвимо положение, когато са изправени пред </w:t>
      </w:r>
      <w:r w:rsidRPr="006E6596">
        <w:rPr>
          <w:rFonts w:ascii="Times New Roman" w:hAnsi="Times New Roman"/>
          <w:b/>
          <w:noProof/>
          <w:sz w:val="24"/>
          <w:lang w:val="bg-BG"/>
        </w:rPr>
        <w:t>стратегически съдебни производства, насочени срещу участието на обществеността</w:t>
      </w:r>
      <w:r w:rsidRPr="006E6596">
        <w:rPr>
          <w:rFonts w:ascii="Times New Roman" w:hAnsi="Times New Roman"/>
          <w:noProof/>
          <w:sz w:val="24"/>
          <w:lang w:val="bg-BG"/>
        </w:rPr>
        <w:t>, известни като „SLAPPs“. С предложение от 2022 г.</w:t>
      </w:r>
      <w:r w:rsidRPr="006E6596">
        <w:rPr>
          <w:rStyle w:val="FootnoteReference"/>
          <w:rFonts w:ascii="Times New Roman" w:hAnsi="Times New Roman" w:cs="Times New Roman"/>
          <w:noProof/>
          <w:sz w:val="24"/>
          <w:lang w:val="bg-BG"/>
        </w:rPr>
        <w:footnoteReference w:id="74"/>
      </w:r>
      <w:r w:rsidRPr="006E6596">
        <w:rPr>
          <w:rFonts w:ascii="Times New Roman" w:hAnsi="Times New Roman"/>
          <w:noProof/>
          <w:sz w:val="24"/>
          <w:lang w:val="bg-BG"/>
        </w:rPr>
        <w:t xml:space="preserve"> се осигурява възможност на съдиите бързо да прекратяват такива явно неоснователни съдебни дела и се установяват няколко процесуални гаранции и средства за защита, като пълно присъждане на разноски, обезщетение за вреди и санкции</w:t>
      </w:r>
      <w:r w:rsidRPr="006E6596">
        <w:rPr>
          <w:rStyle w:val="FootnoteReference"/>
          <w:rFonts w:ascii="Times New Roman" w:hAnsi="Times New Roman" w:cs="Times New Roman"/>
          <w:noProof/>
          <w:sz w:val="24"/>
          <w:lang w:val="bg-BG"/>
        </w:rPr>
        <w:footnoteReference w:id="75"/>
      </w:r>
      <w:r w:rsidRPr="006E6596">
        <w:rPr>
          <w:rFonts w:ascii="Times New Roman" w:hAnsi="Times New Roman"/>
          <w:noProof/>
          <w:sz w:val="24"/>
          <w:lang w:val="bg-BG"/>
        </w:rPr>
        <w:t xml:space="preserve">. Комисията публикува и препоръки към държавите членки относно </w:t>
      </w:r>
      <w:r w:rsidRPr="006E6596">
        <w:rPr>
          <w:rFonts w:ascii="Times New Roman" w:hAnsi="Times New Roman"/>
          <w:b/>
          <w:noProof/>
          <w:sz w:val="24"/>
          <w:lang w:val="bg-BG"/>
        </w:rPr>
        <w:t>мерките за защита на журналисти и други лица, работещи в медиите</w:t>
      </w:r>
      <w:r w:rsidRPr="006E6596">
        <w:rPr>
          <w:rStyle w:val="FootnoteReference"/>
          <w:rFonts w:ascii="Times New Roman" w:hAnsi="Times New Roman" w:cs="Times New Roman"/>
          <w:noProof/>
          <w:sz w:val="24"/>
          <w:lang w:val="bg-BG"/>
        </w:rPr>
        <w:footnoteReference w:id="76"/>
      </w:r>
      <w:r w:rsidRPr="006E6596">
        <w:rPr>
          <w:rFonts w:ascii="Times New Roman" w:hAnsi="Times New Roman"/>
          <w:noProof/>
          <w:sz w:val="24"/>
          <w:lang w:val="bg-BG"/>
        </w:rPr>
        <w:t>.</w:t>
      </w:r>
    </w:p>
    <w:p w14:paraId="3062552C" w14:textId="564D7489" w:rsidR="004F1CE6" w:rsidRPr="006E6596" w:rsidRDefault="00DF429A" w:rsidP="00DF429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Предложение</w:t>
      </w:r>
      <w:r w:rsidRPr="006E6596">
        <w:rPr>
          <w:rStyle w:val="FootnoteReference"/>
          <w:rFonts w:ascii="Times New Roman" w:hAnsi="Times New Roman" w:cs="Times New Roman"/>
          <w:noProof/>
          <w:sz w:val="24"/>
          <w:lang w:val="bg-BG"/>
        </w:rPr>
        <w:footnoteReference w:id="77"/>
      </w:r>
      <w:r w:rsidRPr="006E6596">
        <w:rPr>
          <w:rFonts w:ascii="Times New Roman" w:hAnsi="Times New Roman"/>
          <w:noProof/>
          <w:sz w:val="24"/>
          <w:lang w:val="bg-BG"/>
        </w:rPr>
        <w:t xml:space="preserve">, направено неотдавна, е насочено към повишаване на </w:t>
      </w:r>
      <w:r w:rsidRPr="006E6596">
        <w:rPr>
          <w:rFonts w:ascii="Times New Roman" w:hAnsi="Times New Roman"/>
          <w:b/>
          <w:noProof/>
          <w:sz w:val="24"/>
          <w:lang w:val="bg-BG"/>
        </w:rPr>
        <w:t>защитата на възрастните</w:t>
      </w:r>
      <w:r w:rsidRPr="006E6596">
        <w:rPr>
          <w:rFonts w:ascii="Times New Roman" w:hAnsi="Times New Roman"/>
          <w:noProof/>
          <w:sz w:val="24"/>
          <w:lang w:val="bg-BG"/>
        </w:rPr>
        <w:t xml:space="preserve"> в трансгранични ситуации и укрепване на защитата на основните им права, когато поради увреждане или недостатъчност на личните им способности възрастните не са в състояние да защитят собствените си интереси. Предложението е насочено към осигуряване на гаранции, че мерките относно тяхната защита или дееспособност се признават своевременно и че желанията, изразени предварително чрез „упълномощаване“, се зачитат.</w:t>
      </w:r>
    </w:p>
    <w:p w14:paraId="11B9C418" w14:textId="22DCF113" w:rsidR="00DF429A" w:rsidRPr="006E6596" w:rsidRDefault="00BA03A9" w:rsidP="00DF429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Предложение от 2022 г. относно </w:t>
      </w:r>
      <w:r w:rsidRPr="006E6596">
        <w:rPr>
          <w:rFonts w:ascii="Times New Roman" w:hAnsi="Times New Roman"/>
          <w:b/>
          <w:noProof/>
          <w:sz w:val="24"/>
          <w:lang w:val="bg-BG"/>
        </w:rPr>
        <w:t>признаването на произхода</w:t>
      </w:r>
      <w:r w:rsidRPr="006E6596">
        <w:rPr>
          <w:rStyle w:val="FootnoteReference"/>
          <w:rFonts w:ascii="Times New Roman" w:hAnsi="Times New Roman" w:cs="Times New Roman"/>
          <w:noProof/>
          <w:sz w:val="24"/>
          <w:lang w:val="bg-BG"/>
        </w:rPr>
        <w:footnoteReference w:id="78"/>
      </w:r>
      <w:r w:rsidRPr="006E6596">
        <w:rPr>
          <w:rFonts w:ascii="Times New Roman" w:hAnsi="Times New Roman"/>
          <w:noProof/>
          <w:sz w:val="24"/>
          <w:lang w:val="bg-BG"/>
        </w:rPr>
        <w:t xml:space="preserve"> между държавите членки е насочено към засилване на защитата на </w:t>
      </w:r>
      <w:r w:rsidRPr="006E6596">
        <w:rPr>
          <w:rFonts w:ascii="Times New Roman" w:hAnsi="Times New Roman"/>
          <w:b/>
          <w:noProof/>
          <w:sz w:val="24"/>
          <w:lang w:val="bg-BG"/>
        </w:rPr>
        <w:t>основните права на децата</w:t>
      </w:r>
      <w:r w:rsidRPr="006E6596">
        <w:rPr>
          <w:rFonts w:ascii="Times New Roman" w:hAnsi="Times New Roman"/>
          <w:noProof/>
          <w:sz w:val="24"/>
          <w:lang w:val="bg-BG"/>
        </w:rPr>
        <w:t xml:space="preserve"> </w:t>
      </w:r>
      <w:r w:rsidRPr="006E6596">
        <w:rPr>
          <w:rFonts w:ascii="Times New Roman" w:hAnsi="Times New Roman"/>
          <w:b/>
          <w:noProof/>
          <w:sz w:val="24"/>
          <w:lang w:val="bg-BG"/>
        </w:rPr>
        <w:t xml:space="preserve">в трансгранични ситуации, </w:t>
      </w:r>
      <w:r w:rsidRPr="006E6596">
        <w:rPr>
          <w:rFonts w:ascii="Times New Roman" w:hAnsi="Times New Roman"/>
          <w:noProof/>
          <w:sz w:val="24"/>
          <w:lang w:val="bg-BG"/>
        </w:rPr>
        <w:t>като техните права, произтичащи от произход от друга държава членка, включително правото им да бъдат представлявани от родител по въпроси свързани със здравето и образованието. В такова качество, родителите на дете в държава членка продължават да бъдат родители на детето в други държави членки, което понастоящем не винаги е така.</w:t>
      </w:r>
    </w:p>
    <w:p w14:paraId="63D7D2BB" w14:textId="1119267E" w:rsidR="00DF429A" w:rsidRPr="006E6596" w:rsidRDefault="00D04756" w:rsidP="00D02AC1">
      <w:pPr>
        <w:pStyle w:val="ListParagraph"/>
        <w:numPr>
          <w:ilvl w:val="1"/>
          <w:numId w:val="13"/>
        </w:numPr>
        <w:ind w:left="900" w:hanging="540"/>
        <w:outlineLvl w:val="0"/>
        <w:rPr>
          <w:rFonts w:cs="Times New Roman"/>
          <w:b/>
          <w:noProof/>
          <w:lang w:val="bg-BG"/>
        </w:rPr>
      </w:pPr>
      <w:bookmarkStart w:id="34" w:name="_Toc147916068"/>
      <w:bookmarkStart w:id="35" w:name="_Toc152859055"/>
      <w:r w:rsidRPr="006E6596">
        <w:rPr>
          <w:b/>
          <w:noProof/>
          <w:lang w:val="bg-BG"/>
        </w:rPr>
        <w:t>Жертви на дискриминация</w:t>
      </w:r>
      <w:bookmarkEnd w:id="34"/>
      <w:bookmarkEnd w:id="35"/>
      <w:r w:rsidRPr="006E6596">
        <w:rPr>
          <w:b/>
          <w:noProof/>
          <w:lang w:val="bg-BG"/>
        </w:rPr>
        <w:t xml:space="preserve"> </w:t>
      </w:r>
    </w:p>
    <w:p w14:paraId="37F665F1" w14:textId="4ABA7F51" w:rsidR="00F16578" w:rsidRPr="006E6596" w:rsidRDefault="000306B6" w:rsidP="00F16578">
      <w:pPr>
        <w:spacing w:after="200" w:line="276" w:lineRule="auto"/>
        <w:jc w:val="both"/>
        <w:rPr>
          <w:rFonts w:ascii="Times New Roman" w:eastAsia="Calibri" w:hAnsi="Times New Roman" w:cs="Times New Roman"/>
          <w:noProof/>
          <w:sz w:val="24"/>
          <w:lang w:val="bg-BG"/>
        </w:rPr>
      </w:pPr>
      <w:r w:rsidRPr="006E6596">
        <w:rPr>
          <w:rFonts w:ascii="Times New Roman" w:hAnsi="Times New Roman"/>
          <w:noProof/>
          <w:sz w:val="24"/>
          <w:lang w:val="bg-BG"/>
        </w:rPr>
        <w:t xml:space="preserve">Ефективната правна защита на жертвите на дискриминация е в центъра на правото на ЕС от десетилетия, където няколко </w:t>
      </w:r>
      <w:r w:rsidRPr="006E6596">
        <w:rPr>
          <w:rFonts w:ascii="Times New Roman" w:hAnsi="Times New Roman"/>
          <w:b/>
          <w:noProof/>
          <w:sz w:val="24"/>
          <w:lang w:val="bg-BG"/>
        </w:rPr>
        <w:t>директиви относно равенството</w:t>
      </w:r>
      <w:r w:rsidRPr="006E6596">
        <w:rPr>
          <w:rFonts w:ascii="Times New Roman" w:hAnsi="Times New Roman" w:cs="Times New Roman"/>
          <w:noProof/>
          <w:sz w:val="24"/>
          <w:vertAlign w:val="superscript"/>
          <w:lang w:val="bg-BG"/>
        </w:rPr>
        <w:footnoteReference w:id="79"/>
      </w:r>
      <w:r w:rsidRPr="006E6596">
        <w:rPr>
          <w:rFonts w:ascii="Times New Roman" w:hAnsi="Times New Roman"/>
          <w:noProof/>
          <w:sz w:val="24"/>
          <w:lang w:val="bg-BG"/>
        </w:rPr>
        <w:t xml:space="preserve"> уреждат правото на достъп до съдебни производства за разглеждане на жалби относно дискриминация и правото на сдруженията да участват в съдебните производства от името или в подкрепа на жертвите. С </w:t>
      </w:r>
      <w:r w:rsidRPr="006E6596">
        <w:rPr>
          <w:rFonts w:ascii="Times New Roman" w:hAnsi="Times New Roman"/>
          <w:b/>
          <w:noProof/>
          <w:sz w:val="24"/>
          <w:lang w:val="bg-BG"/>
        </w:rPr>
        <w:t>Директивата за прозрачност на заплащането</w:t>
      </w:r>
      <w:r w:rsidRPr="006E6596">
        <w:rPr>
          <w:rFonts w:ascii="Times New Roman" w:hAnsi="Times New Roman" w:cs="Times New Roman"/>
          <w:noProof/>
          <w:sz w:val="24"/>
          <w:vertAlign w:val="superscript"/>
          <w:lang w:val="bg-BG"/>
        </w:rPr>
        <w:footnoteReference w:id="80"/>
      </w:r>
      <w:r w:rsidRPr="006E6596">
        <w:rPr>
          <w:rFonts w:ascii="Times New Roman" w:hAnsi="Times New Roman"/>
          <w:noProof/>
          <w:sz w:val="24"/>
          <w:lang w:val="bg-BG"/>
        </w:rPr>
        <w:t xml:space="preserve"> се дава възможност на работниците да претендират за правото си на равно заплащане на жените и мъжете за равен труд или за труд с равна стойност. Жертвите могат да бъдат представлявани в административни или съдебни производства от сдружения, представители на работниците и органи, като органи по въпросите на равенството или синдикални организации. Тези възможности могат да помогнат на жертвите да потърсят защита</w:t>
      </w:r>
      <w:r w:rsidRPr="006E6596">
        <w:rPr>
          <w:rFonts w:ascii="Times New Roman" w:hAnsi="Times New Roman" w:cs="Times New Roman"/>
          <w:noProof/>
          <w:sz w:val="24"/>
          <w:vertAlign w:val="superscript"/>
          <w:lang w:val="bg-BG"/>
        </w:rPr>
        <w:footnoteReference w:id="81"/>
      </w:r>
      <w:r w:rsidRPr="006E6596">
        <w:rPr>
          <w:rFonts w:ascii="Times New Roman" w:hAnsi="Times New Roman"/>
          <w:noProof/>
          <w:sz w:val="24"/>
          <w:shd w:val="clear" w:color="auto" w:fill="FFFFFF"/>
          <w:lang w:val="bg-BG"/>
        </w:rPr>
        <w:t>, да подкрепят стратегически съдебни спорове</w:t>
      </w:r>
      <w:r w:rsidRPr="006E6596">
        <w:rPr>
          <w:rFonts w:ascii="Times New Roman" w:eastAsia="Calibri" w:hAnsi="Times New Roman" w:cs="Times New Roman"/>
          <w:noProof/>
          <w:sz w:val="24"/>
          <w:vertAlign w:val="superscript"/>
          <w:lang w:val="bg-BG"/>
        </w:rPr>
        <w:footnoteReference w:id="82"/>
      </w:r>
      <w:r w:rsidRPr="006E6596">
        <w:rPr>
          <w:rFonts w:ascii="Times New Roman" w:hAnsi="Times New Roman"/>
          <w:noProof/>
          <w:sz w:val="24"/>
          <w:shd w:val="clear" w:color="auto" w:fill="FFFFFF"/>
          <w:lang w:val="bg-BG"/>
        </w:rPr>
        <w:t xml:space="preserve"> или да потърсят колективна защита</w:t>
      </w:r>
      <w:r w:rsidRPr="006E6596">
        <w:rPr>
          <w:rFonts w:ascii="Times New Roman" w:eastAsia="Calibri" w:hAnsi="Times New Roman" w:cs="Times New Roman"/>
          <w:noProof/>
          <w:sz w:val="24"/>
          <w:vertAlign w:val="superscript"/>
          <w:lang w:val="bg-BG"/>
        </w:rPr>
        <w:footnoteReference w:id="83"/>
      </w:r>
      <w:r w:rsidRPr="006E6596">
        <w:rPr>
          <w:rFonts w:ascii="Times New Roman" w:hAnsi="Times New Roman"/>
          <w:noProof/>
          <w:sz w:val="24"/>
          <w:shd w:val="clear" w:color="auto" w:fill="FFFFFF"/>
          <w:lang w:val="bg-BG"/>
        </w:rPr>
        <w:t>, особено с оглед на факта, че правото на ЕС също забранява дискриминация, когато не може да се установи индивидуална жертва</w:t>
      </w:r>
      <w:r w:rsidRPr="006E6596">
        <w:rPr>
          <w:rFonts w:ascii="Times New Roman" w:eastAsia="Calibri" w:hAnsi="Times New Roman" w:cs="Times New Roman"/>
          <w:noProof/>
          <w:sz w:val="24"/>
          <w:vertAlign w:val="superscript"/>
          <w:lang w:val="bg-BG"/>
        </w:rPr>
        <w:footnoteReference w:id="84"/>
      </w:r>
      <w:r w:rsidRPr="006E6596">
        <w:rPr>
          <w:rFonts w:ascii="Times New Roman" w:hAnsi="Times New Roman"/>
          <w:noProof/>
          <w:sz w:val="24"/>
          <w:shd w:val="clear" w:color="auto" w:fill="FFFFFF"/>
          <w:lang w:val="bg-BG"/>
        </w:rPr>
        <w:t xml:space="preserve">. </w:t>
      </w:r>
    </w:p>
    <w:p w14:paraId="79DB4B66" w14:textId="4082723C" w:rsidR="00F16578" w:rsidRPr="006E6596" w:rsidRDefault="00F16578" w:rsidP="00FD4437">
      <w:pPr>
        <w:spacing w:after="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Съгласно директивите относно равенството, държавите членки трябва да предвидят ефективни, пропорционални и </w:t>
      </w:r>
      <w:r w:rsidRPr="006E6596">
        <w:rPr>
          <w:rFonts w:ascii="Times New Roman" w:hAnsi="Times New Roman"/>
          <w:b/>
          <w:noProof/>
          <w:sz w:val="24"/>
          <w:lang w:val="bg-BG"/>
        </w:rPr>
        <w:t>възпиращи санкции</w:t>
      </w:r>
      <w:r w:rsidRPr="006E6596">
        <w:rPr>
          <w:rFonts w:ascii="Times New Roman" w:hAnsi="Times New Roman"/>
          <w:noProof/>
          <w:sz w:val="24"/>
          <w:lang w:val="bg-BG"/>
        </w:rPr>
        <w:t xml:space="preserve"> в случаи на дискриминация</w:t>
      </w:r>
      <w:r w:rsidRPr="006E6596">
        <w:rPr>
          <w:rStyle w:val="FootnoteReference"/>
          <w:rFonts w:ascii="Times New Roman" w:hAnsi="Times New Roman"/>
          <w:noProof/>
          <w:sz w:val="24"/>
          <w:vertAlign w:val="baseline"/>
          <w:lang w:val="bg-BG"/>
        </w:rPr>
        <w:t>, като глоба, обезщетение, разпореждане за извършване или въздържане от определено действие от страна на нарушителя, оповестяване на неправомерните действия, изискване за извинение или налагане на наказателни санкции</w:t>
      </w:r>
      <w:r w:rsidRPr="006E6596">
        <w:rPr>
          <w:rStyle w:val="FootnoteReference"/>
          <w:rFonts w:ascii="Times New Roman" w:hAnsi="Times New Roman" w:cs="Times New Roman"/>
          <w:noProof/>
          <w:sz w:val="24"/>
          <w:lang w:val="bg-BG"/>
        </w:rPr>
        <w:footnoteReference w:id="85"/>
      </w:r>
      <w:r w:rsidRPr="006E6596">
        <w:rPr>
          <w:rStyle w:val="FootnoteReference"/>
          <w:rFonts w:ascii="Times New Roman" w:hAnsi="Times New Roman" w:cs="Times New Roman"/>
          <w:noProof/>
          <w:sz w:val="24"/>
          <w:vertAlign w:val="baseline"/>
          <w:lang w:val="bg-BG"/>
        </w:rPr>
        <w:t>.</w:t>
      </w:r>
      <w:r w:rsidRPr="006E6596">
        <w:rPr>
          <w:rStyle w:val="FootnoteReference"/>
          <w:rFonts w:ascii="Times New Roman" w:hAnsi="Times New Roman"/>
          <w:noProof/>
          <w:sz w:val="24"/>
          <w:vertAlign w:val="baseline"/>
          <w:lang w:val="bg-BG"/>
        </w:rPr>
        <w:t>.</w:t>
      </w:r>
      <w:r w:rsidRPr="006E6596">
        <w:rPr>
          <w:rFonts w:ascii="Times New Roman" w:hAnsi="Times New Roman"/>
          <w:noProof/>
          <w:sz w:val="24"/>
          <w:lang w:val="bg-BG"/>
        </w:rPr>
        <w:t xml:space="preserve"> </w:t>
      </w:r>
    </w:p>
    <w:p w14:paraId="4EB00D75" w14:textId="77777777" w:rsidR="006D182F" w:rsidRPr="006E6596" w:rsidRDefault="006D182F" w:rsidP="006D182F">
      <w:pPr>
        <w:spacing w:after="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Нови законодателни предложения са насочени към укрепване на ролята на </w:t>
      </w:r>
      <w:r w:rsidRPr="006E6596">
        <w:rPr>
          <w:rFonts w:ascii="Times New Roman" w:hAnsi="Times New Roman"/>
          <w:b/>
          <w:noProof/>
          <w:sz w:val="24"/>
          <w:lang w:val="bg-BG"/>
        </w:rPr>
        <w:t>органите по въпросите на равенството</w:t>
      </w:r>
      <w:r w:rsidRPr="006E6596">
        <w:rPr>
          <w:rStyle w:val="FootnoteReference"/>
          <w:rFonts w:ascii="Times New Roman" w:hAnsi="Times New Roman" w:cs="Times New Roman"/>
          <w:noProof/>
          <w:sz w:val="24"/>
          <w:lang w:val="bg-BG"/>
        </w:rPr>
        <w:footnoteReference w:id="86"/>
      </w:r>
      <w:r w:rsidRPr="006E6596">
        <w:rPr>
          <w:rFonts w:ascii="Times New Roman" w:hAnsi="Times New Roman"/>
          <w:noProof/>
          <w:sz w:val="24"/>
          <w:lang w:val="bg-BG"/>
        </w:rPr>
        <w:t>, по-специално тяхната независимост, ресурси и правомощия, така че те да могат да се борят по-ефективно с дискриминацията. Органите по въпросите на равенството са от съществено значение за подпомагане на жертвите на дискриминация и за гарантиране, че законодателството на ЕС в областта на недискриминацията се прилага. На органите по въпросите на равенството се предоставят правомощия да получават жалби за дискриминация, да разследват, да съветват жертвите, да предлагат алтернативно разрешаване на спорове, да издават становища или решения и да участват в съдебни производства като експерти, от името или в подкрепа на една или няколко жертви, или от свое име</w:t>
      </w:r>
      <w:r w:rsidRPr="006E6596">
        <w:rPr>
          <w:rStyle w:val="FootnoteReference"/>
          <w:rFonts w:ascii="Times New Roman" w:hAnsi="Times New Roman" w:cs="Times New Roman"/>
          <w:noProof/>
          <w:sz w:val="24"/>
          <w:lang w:val="bg-BG"/>
        </w:rPr>
        <w:footnoteReference w:id="87"/>
      </w:r>
      <w:r w:rsidRPr="006E6596">
        <w:rPr>
          <w:rFonts w:ascii="Times New Roman" w:hAnsi="Times New Roman"/>
          <w:noProof/>
          <w:sz w:val="24"/>
          <w:lang w:val="bg-BG"/>
        </w:rPr>
        <w:t>.</w:t>
      </w:r>
    </w:p>
    <w:p w14:paraId="65E5EC81" w14:textId="0D66B891" w:rsidR="00DF429A" w:rsidRPr="006E6596" w:rsidRDefault="007C0EBB" w:rsidP="00E425FB">
      <w:pPr>
        <w:spacing w:after="20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ЕС също така е страна по </w:t>
      </w:r>
      <w:r w:rsidRPr="006E6596">
        <w:rPr>
          <w:rFonts w:ascii="Times New Roman" w:hAnsi="Times New Roman"/>
          <w:b/>
          <w:noProof/>
          <w:sz w:val="24"/>
          <w:lang w:val="bg-BG"/>
        </w:rPr>
        <w:t xml:space="preserve">Конвенцията на ООН за правата на хората с увреждания, </w:t>
      </w:r>
      <w:r w:rsidRPr="006E6596">
        <w:rPr>
          <w:rFonts w:ascii="Times New Roman" w:hAnsi="Times New Roman"/>
          <w:noProof/>
          <w:sz w:val="24"/>
          <w:lang w:val="bg-BG"/>
        </w:rPr>
        <w:t>с която се въвежда задължението за осигуряване на ефективен достъп до правосъдие на хората с увреждания на равни начала с останалите</w:t>
      </w:r>
      <w:r w:rsidRPr="006E6596">
        <w:rPr>
          <w:rStyle w:val="FootnoteReference"/>
          <w:rFonts w:ascii="Times New Roman" w:hAnsi="Times New Roman" w:cs="Times New Roman"/>
          <w:noProof/>
          <w:sz w:val="24"/>
          <w:lang w:val="bg-BG"/>
        </w:rPr>
        <w:footnoteReference w:id="88"/>
      </w:r>
      <w:r w:rsidRPr="006E6596">
        <w:rPr>
          <w:rFonts w:ascii="Times New Roman" w:hAnsi="Times New Roman"/>
          <w:noProof/>
          <w:sz w:val="24"/>
          <w:lang w:val="bg-BG"/>
        </w:rPr>
        <w:t xml:space="preserve">, и е приел </w:t>
      </w:r>
      <w:r w:rsidRPr="006E6596">
        <w:rPr>
          <w:rFonts w:ascii="Times New Roman" w:hAnsi="Times New Roman"/>
          <w:b/>
          <w:noProof/>
          <w:sz w:val="24"/>
          <w:lang w:val="bg-BG"/>
        </w:rPr>
        <w:t>Европейския акт за достъпността</w:t>
      </w:r>
      <w:r w:rsidRPr="006E6596">
        <w:rPr>
          <w:rStyle w:val="FootnoteReference"/>
          <w:rFonts w:ascii="Times New Roman" w:hAnsi="Times New Roman" w:cs="Times New Roman"/>
          <w:noProof/>
          <w:sz w:val="24"/>
          <w:lang w:val="bg-BG"/>
        </w:rPr>
        <w:footnoteReference w:id="89"/>
      </w:r>
      <w:r w:rsidRPr="006E6596">
        <w:rPr>
          <w:rFonts w:ascii="Times New Roman" w:hAnsi="Times New Roman"/>
          <w:noProof/>
          <w:sz w:val="24"/>
          <w:lang w:val="bg-BG"/>
        </w:rPr>
        <w:t>.</w:t>
      </w:r>
    </w:p>
    <w:p w14:paraId="1F4D2DBC" w14:textId="5F95704E" w:rsidR="00385FFD" w:rsidRPr="006E6596" w:rsidRDefault="00D110FB" w:rsidP="00385FFD">
      <w:pPr>
        <w:spacing w:after="20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Европейският акт за достъпността се допълва от </w:t>
      </w:r>
      <w:r w:rsidRPr="006E6596">
        <w:rPr>
          <w:rFonts w:ascii="Times New Roman" w:hAnsi="Times New Roman"/>
          <w:b/>
          <w:noProof/>
          <w:sz w:val="24"/>
          <w:lang w:val="bg-BG"/>
        </w:rPr>
        <w:t>Директивата за достъпност на уебсайтовете</w:t>
      </w:r>
      <w:r w:rsidRPr="006E6596">
        <w:rPr>
          <w:rFonts w:ascii="Times New Roman" w:hAnsi="Times New Roman"/>
          <w:noProof/>
          <w:sz w:val="24"/>
          <w:lang w:val="bg-BG"/>
        </w:rPr>
        <w:t xml:space="preserve"> (WAD)</w:t>
      </w:r>
      <w:r w:rsidRPr="006E6596">
        <w:rPr>
          <w:rStyle w:val="FootnoteReference"/>
          <w:rFonts w:ascii="Times New Roman" w:hAnsi="Times New Roman" w:cs="Times New Roman"/>
          <w:noProof/>
          <w:sz w:val="24"/>
          <w:lang w:val="bg-BG"/>
        </w:rPr>
        <w:footnoteReference w:id="90"/>
      </w:r>
      <w:r w:rsidRPr="006E6596">
        <w:rPr>
          <w:rFonts w:ascii="Times New Roman" w:hAnsi="Times New Roman"/>
          <w:noProof/>
          <w:sz w:val="24"/>
          <w:lang w:val="bg-BG"/>
        </w:rPr>
        <w:t>,</w:t>
      </w:r>
      <w:r w:rsidRPr="006E6596">
        <w:rPr>
          <w:rFonts w:ascii="Times New Roman" w:hAnsi="Times New Roman"/>
          <w:b/>
          <w:noProof/>
          <w:sz w:val="24"/>
          <w:lang w:val="bg-BG"/>
        </w:rPr>
        <w:t xml:space="preserve"> </w:t>
      </w:r>
      <w:r w:rsidRPr="006E6596">
        <w:rPr>
          <w:rFonts w:ascii="Times New Roman" w:hAnsi="Times New Roman"/>
          <w:noProof/>
          <w:sz w:val="24"/>
          <w:lang w:val="bg-BG"/>
        </w:rPr>
        <w:t xml:space="preserve">с която се изисква уебсайтовете и мобилните приложения на органи от обществения сектор, включително съдебни органи, да бъдат достъпни за хора с увреждания и възрастни хора. </w:t>
      </w:r>
    </w:p>
    <w:p w14:paraId="7A8CCAD7" w14:textId="77777777" w:rsidR="002F06FC" w:rsidRPr="006E6596" w:rsidRDefault="002F06FC" w:rsidP="002F06FC">
      <w:pPr>
        <w:spacing w:after="20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Речта на омразата и престъпленията от омраза нарушават основните права на жертвите на достойнство и равенство. С оглед осигуряване на ефективна правна защита на жертвите на реч на омразата и престъпления от омраза, с </w:t>
      </w:r>
      <w:r w:rsidRPr="006E6596">
        <w:rPr>
          <w:rFonts w:ascii="Times New Roman" w:hAnsi="Times New Roman"/>
          <w:b/>
          <w:noProof/>
          <w:sz w:val="24"/>
          <w:lang w:val="bg-BG"/>
        </w:rPr>
        <w:t>Рамковото решение на Съвета относно борбата с расизма и ксенофобията</w:t>
      </w:r>
      <w:r w:rsidRPr="006E6596">
        <w:rPr>
          <w:rStyle w:val="FootnoteReference"/>
          <w:rFonts w:ascii="Times New Roman" w:hAnsi="Times New Roman" w:cs="Times New Roman"/>
          <w:noProof/>
          <w:sz w:val="24"/>
          <w:lang w:val="bg-BG"/>
        </w:rPr>
        <w:footnoteReference w:id="91"/>
      </w:r>
      <w:r w:rsidRPr="006E6596">
        <w:rPr>
          <w:rFonts w:ascii="Times New Roman" w:hAnsi="Times New Roman"/>
          <w:noProof/>
          <w:sz w:val="24"/>
          <w:lang w:val="bg-BG"/>
        </w:rPr>
        <w:t xml:space="preserve"> държавите членки се задължават да инкриминират публичното подбуждане към насилие и омраза на основата на раса, цвят на кожата, религия, произход, национален или етнически произход и надлежно да вземат предвид наличието на расистки мотиви при осъждане на извършителите на престъпни деяния</w:t>
      </w:r>
      <w:r w:rsidRPr="006E6596">
        <w:rPr>
          <w:rStyle w:val="FootnoteReference"/>
          <w:rFonts w:ascii="Times New Roman" w:hAnsi="Times New Roman" w:cs="Times New Roman"/>
          <w:noProof/>
          <w:sz w:val="24"/>
          <w:lang w:val="bg-BG"/>
        </w:rPr>
        <w:footnoteReference w:id="92"/>
      </w:r>
      <w:r w:rsidRPr="006E6596">
        <w:rPr>
          <w:rFonts w:ascii="Times New Roman" w:hAnsi="Times New Roman"/>
          <w:noProof/>
          <w:sz w:val="24"/>
          <w:lang w:val="bg-BG"/>
        </w:rPr>
        <w:t>. Националните органи трябва да разследват, преследват и предават на съд случаи на предполагаеми престъпления или изказвания, мотивирани от омраза. Освен това през 2021 г.</w:t>
      </w:r>
      <w:r w:rsidRPr="006E6596">
        <w:rPr>
          <w:rStyle w:val="FootnoteReference"/>
          <w:rFonts w:ascii="Times New Roman" w:hAnsi="Times New Roman" w:cs="Times New Roman"/>
          <w:noProof/>
          <w:sz w:val="24"/>
          <w:lang w:val="bg-BG"/>
        </w:rPr>
        <w:footnoteReference w:id="93"/>
      </w:r>
      <w:r w:rsidRPr="006E6596">
        <w:rPr>
          <w:rFonts w:ascii="Times New Roman" w:hAnsi="Times New Roman"/>
          <w:noProof/>
          <w:sz w:val="24"/>
          <w:lang w:val="bg-BG"/>
        </w:rPr>
        <w:t xml:space="preserve"> Комисията предложи </w:t>
      </w:r>
      <w:r w:rsidRPr="006E6596">
        <w:rPr>
          <w:rFonts w:ascii="Times New Roman" w:hAnsi="Times New Roman"/>
          <w:b/>
          <w:noProof/>
          <w:sz w:val="24"/>
          <w:lang w:val="bg-BG"/>
        </w:rPr>
        <w:t>да се добавят речта на омразата и престъпленията от омраза към областите на „престъпленията, установени на равнището на ЕС“</w:t>
      </w:r>
      <w:r w:rsidRPr="006E6596">
        <w:rPr>
          <w:rFonts w:ascii="Times New Roman" w:hAnsi="Times New Roman"/>
          <w:noProof/>
          <w:sz w:val="24"/>
          <w:lang w:val="bg-BG"/>
        </w:rPr>
        <w:t>, посочени в член 83, параграф 1 от ДФЕС. След приемането на решението от Съвета Комисията ще има възможността да предложи законодателство, с което да гарантира ясни ответни действия в областта на наказателното право за борба на равнището на ЕС с речта на омразата и престъпленията от омраза на основания, различни от расизъм и ксенофобия.</w:t>
      </w:r>
    </w:p>
    <w:p w14:paraId="01A4E93F" w14:textId="441F75A6" w:rsidR="009814A4" w:rsidRPr="006E6596" w:rsidRDefault="00F16CD3" w:rsidP="00D02AC1">
      <w:pPr>
        <w:pStyle w:val="ListParagraph"/>
        <w:numPr>
          <w:ilvl w:val="1"/>
          <w:numId w:val="13"/>
        </w:numPr>
        <w:ind w:left="900" w:hanging="540"/>
        <w:outlineLvl w:val="0"/>
        <w:rPr>
          <w:rFonts w:cs="Times New Roman"/>
          <w:b/>
          <w:noProof/>
          <w:lang w:val="bg-BG"/>
        </w:rPr>
      </w:pPr>
      <w:bookmarkStart w:id="37" w:name="_Toc147916069"/>
      <w:bookmarkStart w:id="38" w:name="_Toc152859056"/>
      <w:r w:rsidRPr="006E6596">
        <w:rPr>
          <w:b/>
          <w:noProof/>
          <w:lang w:val="bg-BG"/>
        </w:rPr>
        <w:t>Опазване на околната среда</w:t>
      </w:r>
      <w:bookmarkEnd w:id="37"/>
      <w:bookmarkEnd w:id="38"/>
    </w:p>
    <w:p w14:paraId="06F4AD4B" w14:textId="44B3D82B" w:rsidR="00E56E67" w:rsidRPr="006E6596" w:rsidRDefault="009814A4" w:rsidP="009814A4">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В областта на опазването на околната среда</w:t>
      </w:r>
      <w:r w:rsidRPr="006E6596">
        <w:rPr>
          <w:rFonts w:ascii="Times New Roman" w:hAnsi="Times New Roman"/>
          <w:b/>
          <w:noProof/>
          <w:sz w:val="24"/>
          <w:lang w:val="bg-BG"/>
        </w:rPr>
        <w:t xml:space="preserve"> </w:t>
      </w:r>
      <w:r w:rsidRPr="006E6596">
        <w:rPr>
          <w:rFonts w:ascii="Times New Roman" w:hAnsi="Times New Roman"/>
          <w:noProof/>
          <w:sz w:val="24"/>
          <w:lang w:val="bg-BG"/>
        </w:rPr>
        <w:t>достъпът до правосъдие е значително подобрен</w:t>
      </w:r>
      <w:r w:rsidRPr="006E6596">
        <w:rPr>
          <w:rStyle w:val="FootnoteReference"/>
          <w:rFonts w:ascii="Times New Roman" w:hAnsi="Times New Roman" w:cs="Times New Roman"/>
          <w:noProof/>
          <w:sz w:val="24"/>
          <w:lang w:val="bg-BG"/>
        </w:rPr>
        <w:footnoteReference w:id="94"/>
      </w:r>
      <w:r w:rsidRPr="006E6596">
        <w:rPr>
          <w:rFonts w:ascii="Times New Roman" w:hAnsi="Times New Roman"/>
          <w:noProof/>
          <w:sz w:val="24"/>
          <w:lang w:val="bg-BG"/>
        </w:rPr>
        <w:t xml:space="preserve"> чрез измененията на </w:t>
      </w:r>
      <w:r w:rsidRPr="006E6596">
        <w:rPr>
          <w:rFonts w:ascii="Times New Roman" w:hAnsi="Times New Roman"/>
          <w:b/>
          <w:noProof/>
          <w:sz w:val="24"/>
          <w:lang w:val="bg-BG"/>
        </w:rPr>
        <w:t>Регламента относно Орхуската конвенция</w:t>
      </w:r>
      <w:r w:rsidRPr="006E6596">
        <w:rPr>
          <w:rStyle w:val="FootnoteReference"/>
          <w:rFonts w:ascii="Times New Roman" w:hAnsi="Times New Roman" w:cs="Times New Roman"/>
          <w:noProof/>
          <w:sz w:val="24"/>
          <w:lang w:val="bg-BG"/>
        </w:rPr>
        <w:footnoteReference w:id="95"/>
      </w:r>
      <w:r w:rsidRPr="006E6596">
        <w:rPr>
          <w:rFonts w:ascii="Times New Roman" w:hAnsi="Times New Roman"/>
          <w:noProof/>
          <w:sz w:val="24"/>
          <w:lang w:val="bg-BG"/>
        </w:rPr>
        <w:t>, с които се осигурява възможност на организациите за опазване на околната среда и други членове на обществеността да изискват от институциите на ЕС да гарантират, че решенията им са в съответствие със законодателството на ЕС в областта на околната среда</w:t>
      </w:r>
      <w:r w:rsidRPr="006E6596">
        <w:rPr>
          <w:rStyle w:val="FootnoteReference"/>
          <w:rFonts w:ascii="Times New Roman" w:hAnsi="Times New Roman" w:cs="Times New Roman"/>
          <w:noProof/>
          <w:sz w:val="24"/>
          <w:lang w:val="bg-BG"/>
        </w:rPr>
        <w:footnoteReference w:id="96"/>
      </w:r>
      <w:r w:rsidRPr="006E6596">
        <w:rPr>
          <w:rFonts w:ascii="Times New Roman" w:hAnsi="Times New Roman"/>
          <w:noProof/>
          <w:sz w:val="24"/>
          <w:lang w:val="bg-BG"/>
        </w:rPr>
        <w:t>. Организациите за опазване на околната среда вече са използвали този път, като са поискали преглед, свързан с пестицидите, риболова, таксономията, националните климатични и енергийни планове, възобновяемата енергия и селскостопанските планове в рамките на Общата селскостопанска политика</w:t>
      </w:r>
      <w:r w:rsidRPr="006E6596">
        <w:rPr>
          <w:rStyle w:val="FootnoteReference"/>
          <w:rFonts w:ascii="Times New Roman" w:hAnsi="Times New Roman" w:cs="Times New Roman"/>
          <w:noProof/>
          <w:sz w:val="24"/>
          <w:lang w:val="bg-BG"/>
        </w:rPr>
        <w:footnoteReference w:id="97"/>
      </w:r>
      <w:r w:rsidRPr="006E6596">
        <w:rPr>
          <w:rFonts w:ascii="Times New Roman" w:hAnsi="Times New Roman"/>
          <w:noProof/>
          <w:sz w:val="24"/>
          <w:lang w:val="bg-BG"/>
        </w:rPr>
        <w:t xml:space="preserve">. </w:t>
      </w:r>
    </w:p>
    <w:p w14:paraId="2E94D92C" w14:textId="1DFD6AE1" w:rsidR="009814A4" w:rsidRPr="006E6596" w:rsidRDefault="009814A4" w:rsidP="009814A4">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Комисията също така публикува насоки относно достъпа до правосъдие по въпроси, свързани с околната среда</w:t>
      </w:r>
      <w:r w:rsidRPr="006E6596">
        <w:rPr>
          <w:rStyle w:val="FootnoteReference"/>
          <w:rFonts w:ascii="Times New Roman" w:hAnsi="Times New Roman" w:cs="Times New Roman"/>
          <w:noProof/>
          <w:sz w:val="24"/>
          <w:lang w:val="bg-BG"/>
        </w:rPr>
        <w:footnoteReference w:id="98"/>
      </w:r>
      <w:r w:rsidRPr="006E6596">
        <w:rPr>
          <w:rFonts w:ascii="Times New Roman" w:hAnsi="Times New Roman"/>
          <w:noProof/>
          <w:sz w:val="24"/>
          <w:lang w:val="bg-BG"/>
        </w:rPr>
        <w:t>, и информационни фишове за електронното правосъдие</w:t>
      </w:r>
      <w:r w:rsidRPr="006E6596">
        <w:rPr>
          <w:rStyle w:val="FootnoteReference"/>
          <w:rFonts w:ascii="Times New Roman" w:hAnsi="Times New Roman" w:cs="Times New Roman"/>
          <w:noProof/>
          <w:sz w:val="24"/>
          <w:lang w:val="bg-BG"/>
        </w:rPr>
        <w:footnoteReference w:id="99"/>
      </w:r>
      <w:r w:rsidRPr="006E6596">
        <w:rPr>
          <w:rFonts w:ascii="Times New Roman" w:hAnsi="Times New Roman"/>
          <w:noProof/>
          <w:sz w:val="24"/>
          <w:lang w:val="bg-BG"/>
        </w:rPr>
        <w:t xml:space="preserve"> относно приложимите правила във всяка държава членка</w:t>
      </w:r>
      <w:r w:rsidRPr="006E6596">
        <w:rPr>
          <w:rStyle w:val="FootnoteReference"/>
          <w:rFonts w:ascii="Times New Roman" w:hAnsi="Times New Roman" w:cs="Times New Roman"/>
          <w:noProof/>
          <w:sz w:val="24"/>
          <w:lang w:val="bg-BG"/>
        </w:rPr>
        <w:footnoteReference w:id="100"/>
      </w:r>
      <w:r w:rsidRPr="006E6596">
        <w:rPr>
          <w:rFonts w:ascii="Times New Roman" w:hAnsi="Times New Roman"/>
          <w:noProof/>
          <w:sz w:val="24"/>
          <w:lang w:val="bg-BG"/>
        </w:rPr>
        <w:t xml:space="preserve"> и очерта начините за предоставяне на правна защита в законодателството на всяка държава членка с оглед прилагане на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w:t>
      </w:r>
      <w:r w:rsidRPr="006E6596">
        <w:rPr>
          <w:rStyle w:val="FootnoteReference"/>
          <w:rFonts w:ascii="Times New Roman" w:hAnsi="Times New Roman" w:cs="Times New Roman"/>
          <w:noProof/>
          <w:sz w:val="24"/>
          <w:lang w:val="bg-BG"/>
        </w:rPr>
        <w:footnoteReference w:id="101"/>
      </w:r>
      <w:r w:rsidRPr="006E6596">
        <w:rPr>
          <w:rFonts w:ascii="Times New Roman" w:hAnsi="Times New Roman"/>
          <w:noProof/>
          <w:sz w:val="24"/>
          <w:lang w:val="bg-BG"/>
        </w:rPr>
        <w:t>.</w:t>
      </w:r>
    </w:p>
    <w:p w14:paraId="1A93FABA" w14:textId="17D1273B" w:rsidR="009814A4" w:rsidRPr="006E6596" w:rsidRDefault="0022142F" w:rsidP="00B83CAB">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Освен това в </w:t>
      </w:r>
      <w:r w:rsidRPr="006E6596">
        <w:rPr>
          <w:rFonts w:ascii="Times New Roman" w:hAnsi="Times New Roman"/>
          <w:b/>
          <w:noProof/>
          <w:sz w:val="24"/>
          <w:lang w:val="bg-BG"/>
        </w:rPr>
        <w:t>предложение за директива относно престъпленията против околната среда</w:t>
      </w:r>
      <w:r w:rsidRPr="006E6596">
        <w:rPr>
          <w:rStyle w:val="FootnoteReference"/>
          <w:rFonts w:ascii="Times New Roman" w:hAnsi="Times New Roman" w:cs="Times New Roman"/>
          <w:noProof/>
          <w:sz w:val="24"/>
          <w:lang w:val="bg-BG"/>
        </w:rPr>
        <w:footnoteReference w:id="102"/>
      </w:r>
      <w:r w:rsidRPr="006E6596">
        <w:rPr>
          <w:rFonts w:ascii="Times New Roman" w:hAnsi="Times New Roman"/>
          <w:b/>
          <w:noProof/>
          <w:sz w:val="24"/>
          <w:lang w:val="bg-BG"/>
        </w:rPr>
        <w:t xml:space="preserve"> </w:t>
      </w:r>
      <w:r w:rsidRPr="006E6596">
        <w:rPr>
          <w:rFonts w:ascii="Times New Roman" w:hAnsi="Times New Roman"/>
          <w:noProof/>
          <w:sz w:val="24"/>
          <w:lang w:val="bg-BG"/>
        </w:rPr>
        <w:t xml:space="preserve">се предвижда предоставяне на помощ и подкрепа за лицата, които подават сигнали за престъпления против околната среда. С предложенията за </w:t>
      </w:r>
      <w:r w:rsidRPr="006E6596">
        <w:rPr>
          <w:rFonts w:ascii="Times New Roman" w:hAnsi="Times New Roman"/>
          <w:b/>
          <w:noProof/>
          <w:sz w:val="24"/>
          <w:lang w:val="bg-BG"/>
        </w:rPr>
        <w:t>директива относно емисиите от промишлеността</w:t>
      </w:r>
      <w:r w:rsidRPr="006E6596">
        <w:rPr>
          <w:rStyle w:val="FootnoteReference"/>
          <w:rFonts w:ascii="Times New Roman" w:hAnsi="Times New Roman" w:cs="Times New Roman"/>
          <w:noProof/>
          <w:sz w:val="24"/>
          <w:lang w:val="bg-BG"/>
        </w:rPr>
        <w:footnoteReference w:id="103"/>
      </w:r>
      <w:r w:rsidRPr="006E6596">
        <w:rPr>
          <w:rFonts w:ascii="Times New Roman" w:hAnsi="Times New Roman"/>
          <w:noProof/>
          <w:sz w:val="24"/>
          <w:lang w:val="bg-BG"/>
        </w:rPr>
        <w:t xml:space="preserve">, </w:t>
      </w:r>
      <w:r w:rsidRPr="006E6596">
        <w:rPr>
          <w:rFonts w:ascii="Times New Roman" w:hAnsi="Times New Roman"/>
          <w:b/>
          <w:noProof/>
          <w:sz w:val="24"/>
          <w:lang w:val="bg-BG"/>
        </w:rPr>
        <w:t>директива относно качеството на въздуха</w:t>
      </w:r>
      <w:r w:rsidRPr="006E6596">
        <w:rPr>
          <w:rStyle w:val="FootnoteReference"/>
          <w:rFonts w:ascii="Times New Roman" w:hAnsi="Times New Roman" w:cs="Times New Roman"/>
          <w:noProof/>
          <w:sz w:val="24"/>
          <w:lang w:val="bg-BG"/>
        </w:rPr>
        <w:footnoteReference w:id="104"/>
      </w:r>
      <w:r w:rsidRPr="006E6596">
        <w:rPr>
          <w:rFonts w:ascii="Times New Roman" w:hAnsi="Times New Roman"/>
          <w:noProof/>
          <w:sz w:val="24"/>
          <w:lang w:val="bg-BG"/>
        </w:rPr>
        <w:t xml:space="preserve"> </w:t>
      </w:r>
      <w:r w:rsidRPr="006E6596">
        <w:rPr>
          <w:rFonts w:ascii="Times New Roman" w:hAnsi="Times New Roman"/>
          <w:b/>
          <w:noProof/>
          <w:sz w:val="24"/>
          <w:lang w:val="bg-BG"/>
        </w:rPr>
        <w:t>и директива относно отпадъците</w:t>
      </w:r>
      <w:r w:rsidRPr="006E6596">
        <w:rPr>
          <w:rStyle w:val="FootnoteReference"/>
          <w:rFonts w:ascii="Times New Roman" w:hAnsi="Times New Roman" w:cs="Times New Roman"/>
          <w:noProof/>
          <w:sz w:val="24"/>
          <w:lang w:val="bg-BG"/>
        </w:rPr>
        <w:footnoteReference w:id="105"/>
      </w:r>
      <w:r w:rsidRPr="006E6596">
        <w:rPr>
          <w:rFonts w:ascii="Times New Roman" w:hAnsi="Times New Roman"/>
          <w:b/>
          <w:noProof/>
          <w:sz w:val="24"/>
          <w:lang w:val="bg-BG"/>
        </w:rPr>
        <w:t xml:space="preserve"> </w:t>
      </w:r>
      <w:r w:rsidRPr="006E6596">
        <w:rPr>
          <w:rFonts w:ascii="Times New Roman" w:hAnsi="Times New Roman"/>
          <w:noProof/>
          <w:sz w:val="24"/>
          <w:lang w:val="bg-BG"/>
        </w:rPr>
        <w:t>се предвижда предоставяне на достъп до обезщетения за здравословни проблеми, причинени от нарушения на съответните разпоредби. С предложенията за качеството на въздуха, отпадъците, мониторинга на почвите</w:t>
      </w:r>
      <w:r w:rsidRPr="006E6596">
        <w:rPr>
          <w:rStyle w:val="FootnoteReference"/>
          <w:rFonts w:ascii="Times New Roman" w:hAnsi="Times New Roman" w:cs="Times New Roman"/>
          <w:noProof/>
          <w:sz w:val="24"/>
          <w:lang w:val="bg-BG"/>
        </w:rPr>
        <w:footnoteReference w:id="106"/>
      </w:r>
      <w:r w:rsidRPr="006E6596">
        <w:rPr>
          <w:rFonts w:ascii="Times New Roman" w:hAnsi="Times New Roman"/>
          <w:noProof/>
          <w:sz w:val="24"/>
          <w:lang w:val="bg-BG"/>
        </w:rPr>
        <w:t>, възстановяването на природата</w:t>
      </w:r>
      <w:r w:rsidRPr="006E6596">
        <w:rPr>
          <w:rStyle w:val="FootnoteReference"/>
          <w:rFonts w:ascii="Times New Roman" w:hAnsi="Times New Roman" w:cs="Times New Roman"/>
          <w:noProof/>
          <w:sz w:val="24"/>
          <w:lang w:val="bg-BG"/>
        </w:rPr>
        <w:footnoteReference w:id="107"/>
      </w:r>
      <w:r w:rsidRPr="006E6596">
        <w:rPr>
          <w:rFonts w:ascii="Times New Roman" w:hAnsi="Times New Roman"/>
          <w:noProof/>
          <w:sz w:val="24"/>
          <w:lang w:val="bg-BG"/>
        </w:rPr>
        <w:t xml:space="preserve"> и </w:t>
      </w:r>
      <w:r w:rsidRPr="006E6596">
        <w:rPr>
          <w:rFonts w:ascii="Times New Roman" w:hAnsi="Times New Roman"/>
          <w:b/>
          <w:noProof/>
          <w:sz w:val="24"/>
          <w:lang w:val="bg-BG"/>
        </w:rPr>
        <w:t>директивата относно декларациите за безвредност за околната среда</w:t>
      </w:r>
      <w:r w:rsidRPr="006E6596">
        <w:rPr>
          <w:rStyle w:val="FootnoteReference"/>
          <w:rFonts w:ascii="Times New Roman" w:hAnsi="Times New Roman" w:cs="Times New Roman"/>
          <w:noProof/>
          <w:sz w:val="24"/>
          <w:lang w:val="bg-BG"/>
        </w:rPr>
        <w:footnoteReference w:id="108"/>
      </w:r>
      <w:r w:rsidRPr="006E6596">
        <w:rPr>
          <w:rFonts w:ascii="Times New Roman" w:hAnsi="Times New Roman"/>
          <w:noProof/>
          <w:sz w:val="24"/>
          <w:lang w:val="bg-BG"/>
        </w:rPr>
        <w:t xml:space="preserve"> също се укрепва правото на ефективна защита, чрез въвеждане на правото да се използват правни средства за защита при нарушение на съответните разпоредби на правото на ЕС</w:t>
      </w:r>
      <w:r w:rsidRPr="006E6596">
        <w:rPr>
          <w:rStyle w:val="FootnoteReference"/>
          <w:rFonts w:ascii="Times New Roman" w:hAnsi="Times New Roman" w:cs="Times New Roman"/>
          <w:noProof/>
          <w:sz w:val="24"/>
          <w:lang w:val="bg-BG"/>
        </w:rPr>
        <w:footnoteReference w:id="109"/>
      </w:r>
      <w:r w:rsidRPr="006E6596">
        <w:rPr>
          <w:rFonts w:ascii="Times New Roman" w:hAnsi="Times New Roman"/>
          <w:noProof/>
          <w:sz w:val="24"/>
          <w:lang w:val="bg-BG"/>
        </w:rPr>
        <w:t>.</w:t>
      </w:r>
    </w:p>
    <w:p w14:paraId="1D506908" w14:textId="5695E56D" w:rsidR="009814A4" w:rsidRPr="006E6596" w:rsidRDefault="00F16CD3" w:rsidP="00D02AC1">
      <w:pPr>
        <w:pStyle w:val="ListParagraph"/>
        <w:numPr>
          <w:ilvl w:val="1"/>
          <w:numId w:val="13"/>
        </w:numPr>
        <w:ind w:left="900" w:hanging="540"/>
        <w:outlineLvl w:val="0"/>
        <w:rPr>
          <w:rFonts w:cs="Times New Roman"/>
          <w:b/>
          <w:noProof/>
          <w:lang w:val="bg-BG"/>
        </w:rPr>
      </w:pPr>
      <w:bookmarkStart w:id="39" w:name="_Toc147916070"/>
      <w:bookmarkStart w:id="40" w:name="_Toc152859057"/>
      <w:r w:rsidRPr="006E6596">
        <w:rPr>
          <w:b/>
          <w:noProof/>
          <w:lang w:val="bg-BG"/>
        </w:rPr>
        <w:t>Права на потребителите</w:t>
      </w:r>
      <w:bookmarkEnd w:id="39"/>
      <w:r w:rsidRPr="006E6596">
        <w:rPr>
          <w:b/>
          <w:noProof/>
          <w:lang w:val="bg-BG"/>
        </w:rPr>
        <w:t xml:space="preserve"> и механизми за алтернативно разрешаване на спорове</w:t>
      </w:r>
      <w:bookmarkEnd w:id="40"/>
    </w:p>
    <w:p w14:paraId="30DA1FB0" w14:textId="24485357" w:rsidR="009814A4" w:rsidRPr="006E6596" w:rsidRDefault="00083ECE" w:rsidP="009814A4">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Механизъм </w:t>
      </w:r>
      <w:r w:rsidRPr="006E6596">
        <w:rPr>
          <w:rFonts w:ascii="Times New Roman" w:hAnsi="Times New Roman"/>
          <w:b/>
          <w:noProof/>
          <w:sz w:val="24"/>
          <w:lang w:val="bg-BG"/>
        </w:rPr>
        <w:t>за получаване на колективно обезщетение</w:t>
      </w:r>
      <w:r w:rsidRPr="006E6596">
        <w:rPr>
          <w:rStyle w:val="FootnoteReference"/>
          <w:rFonts w:ascii="Times New Roman" w:hAnsi="Times New Roman" w:cs="Times New Roman"/>
          <w:noProof/>
          <w:sz w:val="24"/>
          <w:lang w:val="bg-BG"/>
        </w:rPr>
        <w:footnoteReference w:id="110"/>
      </w:r>
      <w:r w:rsidRPr="006E6596">
        <w:rPr>
          <w:rFonts w:ascii="Times New Roman" w:hAnsi="Times New Roman"/>
          <w:noProof/>
          <w:sz w:val="24"/>
          <w:lang w:val="bg-BG"/>
        </w:rPr>
        <w:t xml:space="preserve"> осигурява възможност на определени организации на потребителите и публични органи да заведат представителни искове пред националните съдилища, включително трансгранични искове, засягащи няколко държави членки, от името на групи на потребители. Тези колективни искове може да бъдат насочени към спиране на незаконни практики и към претендиране на обезщетение, като компенсация, замяна или ремонт. Освен това онлайн инструмент улеснява сътрудничеството между държавите членки, съдиите и представителите на интересите на потребителите при прилагането на правата на потребителите в ЕС</w:t>
      </w:r>
      <w:r w:rsidRPr="006E6596">
        <w:rPr>
          <w:rStyle w:val="FootnoteReference"/>
          <w:rFonts w:ascii="Times New Roman" w:hAnsi="Times New Roman" w:cs="Times New Roman"/>
          <w:noProof/>
          <w:sz w:val="24"/>
          <w:lang w:val="bg-BG"/>
        </w:rPr>
        <w:footnoteReference w:id="111"/>
      </w:r>
      <w:r w:rsidRPr="006E6596">
        <w:rPr>
          <w:rFonts w:ascii="Times New Roman" w:hAnsi="Times New Roman"/>
          <w:noProof/>
          <w:sz w:val="24"/>
          <w:lang w:val="bg-BG"/>
        </w:rPr>
        <w:t xml:space="preserve">. С Директивата </w:t>
      </w:r>
      <w:r w:rsidRPr="006E6596">
        <w:rPr>
          <w:rFonts w:ascii="Times New Roman" w:hAnsi="Times New Roman"/>
          <w:b/>
          <w:noProof/>
          <w:sz w:val="24"/>
          <w:lang w:val="bg-BG"/>
        </w:rPr>
        <w:t>относно неравноправните клаузи в потребителските договори</w:t>
      </w:r>
      <w:r w:rsidRPr="006E6596">
        <w:rPr>
          <w:rFonts w:ascii="Times New Roman" w:hAnsi="Times New Roman" w:cs="Times New Roman"/>
          <w:noProof/>
          <w:sz w:val="24"/>
          <w:vertAlign w:val="superscript"/>
          <w:lang w:val="bg-BG"/>
        </w:rPr>
        <w:footnoteReference w:id="112"/>
      </w:r>
      <w:r w:rsidRPr="006E6596">
        <w:rPr>
          <w:rFonts w:ascii="Times New Roman" w:hAnsi="Times New Roman"/>
          <w:noProof/>
          <w:sz w:val="24"/>
          <w:lang w:val="bg-BG"/>
        </w:rPr>
        <w:t xml:space="preserve"> също така се изисква от търговците да предоставят на потребителите ефективни средства за защита срещу използването на неравноправни клаузи в потребителските договори. </w:t>
      </w:r>
    </w:p>
    <w:p w14:paraId="6DD0D67F" w14:textId="361E7287" w:rsidR="002B7A08" w:rsidRPr="006E6596" w:rsidRDefault="00C76DDF" w:rsidP="009814A4">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С неотдавнашното </w:t>
      </w:r>
      <w:r w:rsidRPr="006E6596">
        <w:rPr>
          <w:rFonts w:ascii="Times New Roman" w:hAnsi="Times New Roman"/>
          <w:b/>
          <w:noProof/>
          <w:sz w:val="24"/>
          <w:lang w:val="bg-BG"/>
        </w:rPr>
        <w:t>предложение за изменение на Директивата относно алтернативното разрешаване на спорове (ADR)</w:t>
      </w:r>
      <w:r w:rsidRPr="006E6596">
        <w:rPr>
          <w:rStyle w:val="FootnoteReference"/>
          <w:rFonts w:ascii="Times New Roman" w:hAnsi="Times New Roman" w:cs="Times New Roman"/>
          <w:noProof/>
          <w:sz w:val="24"/>
          <w:lang w:val="bg-BG"/>
        </w:rPr>
        <w:footnoteReference w:id="113"/>
      </w:r>
      <w:r w:rsidRPr="006E6596">
        <w:rPr>
          <w:rFonts w:ascii="Times New Roman" w:hAnsi="Times New Roman"/>
          <w:b/>
          <w:noProof/>
          <w:sz w:val="24"/>
          <w:lang w:val="bg-BG"/>
        </w:rPr>
        <w:t xml:space="preserve"> </w:t>
      </w:r>
      <w:r w:rsidRPr="006E6596">
        <w:rPr>
          <w:rFonts w:ascii="Times New Roman" w:hAnsi="Times New Roman"/>
          <w:noProof/>
          <w:sz w:val="24"/>
          <w:lang w:val="bg-BG"/>
        </w:rPr>
        <w:t>се предвижда възможност за потребителите за по-бързо и по-лесно извънсъдебно разрешаване на спорове, което ще подобри наличието на персонализирана подкрепа за тях, най-вече за уязвимите потребители. С точките за контакт в държавите членки се улеснява комуникацията между потребители и търговци, като се подпомага процеса на АРС и се предоставя информация относно правата на потребителите и обезщетенията.</w:t>
      </w:r>
    </w:p>
    <w:p w14:paraId="3850E75E" w14:textId="491C6D59" w:rsidR="00B83CAB" w:rsidRPr="006E6596" w:rsidRDefault="00083ECE" w:rsidP="00B83CAB">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Освен това със </w:t>
      </w:r>
      <w:r w:rsidRPr="006E6596">
        <w:rPr>
          <w:rFonts w:ascii="Times New Roman" w:hAnsi="Times New Roman"/>
          <w:b/>
          <w:noProof/>
          <w:sz w:val="24"/>
          <w:lang w:val="bg-BG"/>
        </w:rPr>
        <w:t>SOLVIT</w:t>
      </w:r>
      <w:r w:rsidRPr="006E6596">
        <w:rPr>
          <w:rFonts w:ascii="Times New Roman" w:hAnsi="Times New Roman"/>
          <w:noProof/>
          <w:sz w:val="24"/>
          <w:lang w:val="bg-BG"/>
        </w:rPr>
        <w:t>, мрежа на ЕС за решаване на проблеми в рамките на вътрешния пазар, се предоставя алтернативен подход за разрешаване на спорове, без да е необходима консултация с адвокат или оспорване в съда</w:t>
      </w:r>
      <w:r w:rsidRPr="006E6596">
        <w:rPr>
          <w:rFonts w:ascii="Times New Roman" w:hAnsi="Times New Roman" w:cs="Times New Roman"/>
          <w:noProof/>
          <w:sz w:val="24"/>
          <w:vertAlign w:val="superscript"/>
          <w:lang w:val="bg-BG"/>
        </w:rPr>
        <w:footnoteReference w:id="114"/>
      </w:r>
      <w:r w:rsidRPr="006E6596">
        <w:rPr>
          <w:rFonts w:ascii="Times New Roman" w:hAnsi="Times New Roman"/>
          <w:noProof/>
          <w:sz w:val="24"/>
          <w:lang w:val="bg-BG"/>
        </w:rPr>
        <w:t>. В транспортния сектор, инициативата „</w:t>
      </w:r>
      <w:r w:rsidRPr="006E6596">
        <w:rPr>
          <w:rFonts w:ascii="Times New Roman" w:hAnsi="Times New Roman"/>
          <w:b/>
          <w:noProof/>
          <w:sz w:val="24"/>
          <w:lang w:val="bg-BG"/>
        </w:rPr>
        <w:t>По-добра защита на пътниците и техните права</w:t>
      </w:r>
      <w:r w:rsidRPr="006E6596">
        <w:rPr>
          <w:rFonts w:ascii="Times New Roman" w:hAnsi="Times New Roman"/>
          <w:noProof/>
          <w:sz w:val="24"/>
          <w:lang w:val="bg-BG"/>
        </w:rPr>
        <w:t>“ е насочена към осигуряване на по-добра информация за пътниците относно техните права, по-ефективна система за разглеждане на жалби, по-добро реализиране на правата на пътниците, както и разширяване на обхвата на правата на пътниците с пътувания с различни видове транспорт (когато пътник използва различни видове транспорт по време на едно и също пътуване)</w:t>
      </w:r>
      <w:r w:rsidRPr="006E6596">
        <w:rPr>
          <w:rStyle w:val="FootnoteReference"/>
          <w:rFonts w:ascii="Times New Roman" w:hAnsi="Times New Roman" w:cs="Times New Roman"/>
          <w:noProof/>
          <w:sz w:val="24"/>
          <w:lang w:val="bg-BG"/>
        </w:rPr>
        <w:footnoteReference w:id="115"/>
      </w:r>
      <w:r w:rsidRPr="006E6596">
        <w:rPr>
          <w:rFonts w:ascii="Times New Roman" w:hAnsi="Times New Roman"/>
          <w:noProof/>
          <w:sz w:val="24"/>
          <w:lang w:val="bg-BG"/>
        </w:rPr>
        <w:t>.</w:t>
      </w:r>
    </w:p>
    <w:p w14:paraId="4EB55335" w14:textId="0758D408" w:rsidR="009814A4" w:rsidRPr="006E6596" w:rsidRDefault="00AE1E2B" w:rsidP="00D02AC1">
      <w:pPr>
        <w:pStyle w:val="ListParagraph"/>
        <w:numPr>
          <w:ilvl w:val="1"/>
          <w:numId w:val="13"/>
        </w:numPr>
        <w:ind w:left="990" w:hanging="630"/>
        <w:outlineLvl w:val="0"/>
        <w:rPr>
          <w:rFonts w:cs="Times New Roman"/>
          <w:b/>
          <w:noProof/>
          <w:lang w:val="bg-BG"/>
        </w:rPr>
      </w:pPr>
      <w:bookmarkStart w:id="41" w:name="_Toc147916071"/>
      <w:bookmarkStart w:id="42" w:name="_Toc152859058"/>
      <w:r w:rsidRPr="006E6596">
        <w:rPr>
          <w:b/>
          <w:noProof/>
          <w:lang w:val="bg-BG"/>
        </w:rPr>
        <w:t>Регулиране на онлайн съдържанието и защита на личните данни</w:t>
      </w:r>
      <w:bookmarkEnd w:id="41"/>
      <w:bookmarkEnd w:id="42"/>
    </w:p>
    <w:p w14:paraId="254402DC" w14:textId="0F223BE8" w:rsidR="003A06CE" w:rsidRPr="006E6596" w:rsidRDefault="00EC65C2" w:rsidP="00B83CAB">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Непрекъснатото развитие на цифровизацията подчертава значението на осигуряването на ефективна правна защита във връзка с осъществяването на онлайн дейности. Що се отнася до модерирането на онлайн съдържание, със </w:t>
      </w:r>
      <w:r w:rsidRPr="006E6596">
        <w:rPr>
          <w:rFonts w:ascii="Times New Roman" w:hAnsi="Times New Roman"/>
          <w:b/>
          <w:noProof/>
          <w:sz w:val="24"/>
          <w:lang w:val="bg-BG"/>
        </w:rPr>
        <w:t>Законодателния акт за цифровите услуги</w:t>
      </w:r>
      <w:r w:rsidRPr="006E6596">
        <w:rPr>
          <w:rFonts w:ascii="Times New Roman" w:hAnsi="Times New Roman"/>
          <w:noProof/>
          <w:sz w:val="24"/>
          <w:lang w:val="bg-BG"/>
        </w:rPr>
        <w:t xml:space="preserve"> (DSA)</w:t>
      </w:r>
      <w:r w:rsidRPr="006E6596">
        <w:rPr>
          <w:rStyle w:val="FootnoteReference"/>
          <w:rFonts w:ascii="Times New Roman" w:hAnsi="Times New Roman" w:cs="Times New Roman"/>
          <w:noProof/>
          <w:sz w:val="24"/>
          <w:lang w:val="bg-BG"/>
        </w:rPr>
        <w:footnoteReference w:id="116"/>
      </w:r>
      <w:r w:rsidRPr="006E6596">
        <w:rPr>
          <w:rFonts w:ascii="Times New Roman" w:hAnsi="Times New Roman"/>
          <w:noProof/>
          <w:sz w:val="24"/>
          <w:lang w:val="bg-BG"/>
        </w:rPr>
        <w:t xml:space="preserve"> се предвижда право на обезщетение за получателите на онлайн посреднически услуги. С DSA се установява механизъм за уведомяване и действие, който позволява на потребителите да подават сигнали и да поискат премахване на незаконно съдържание. Съгласно този акт от онлайн платформите се изисква да създадат вътрешна система за обработване на жалби, за да могат потребителите да подават жалби по електронен път и безплатно, както и механизъм за извънсъдебно уреждане на спорове</w:t>
      </w:r>
      <w:r w:rsidRPr="006E6596">
        <w:rPr>
          <w:rStyle w:val="FootnoteReference"/>
          <w:rFonts w:ascii="Times New Roman" w:hAnsi="Times New Roman" w:cs="Times New Roman"/>
          <w:noProof/>
          <w:sz w:val="24"/>
          <w:lang w:val="bg-BG"/>
        </w:rPr>
        <w:footnoteReference w:id="117"/>
      </w:r>
      <w:r w:rsidRPr="006E6596">
        <w:rPr>
          <w:rFonts w:ascii="Times New Roman" w:hAnsi="Times New Roman"/>
          <w:noProof/>
          <w:sz w:val="24"/>
          <w:lang w:val="bg-BG"/>
        </w:rPr>
        <w:t xml:space="preserve">. С него също така се установява право на жалба срещу доставчици на услуги в държавата членка, в която се намира или е установен получателят на услугата. Потребителите могат да упълномощят орган, организация или сдружение, които да упражняват това право от тяхно име. Потребителите могат да претендират обезщетение от доставчиците на посреднически услуги за всякакви вреди или загуби, понесени в резултат на нарушение от страна на тези доставчици на задълженията им съгласно DSA. Директивата </w:t>
      </w:r>
      <w:r w:rsidRPr="006E6596">
        <w:rPr>
          <w:rFonts w:ascii="Times New Roman" w:hAnsi="Times New Roman"/>
          <w:b/>
          <w:noProof/>
          <w:sz w:val="24"/>
          <w:lang w:val="bg-BG"/>
        </w:rPr>
        <w:t>за електронната търговия</w:t>
      </w:r>
      <w:r w:rsidRPr="006E6596">
        <w:rPr>
          <w:rStyle w:val="FootnoteReference"/>
          <w:rFonts w:ascii="Times New Roman" w:hAnsi="Times New Roman" w:cs="Times New Roman"/>
          <w:noProof/>
          <w:sz w:val="24"/>
          <w:lang w:val="bg-BG"/>
        </w:rPr>
        <w:footnoteReference w:id="118"/>
      </w:r>
      <w:r w:rsidRPr="006E6596">
        <w:rPr>
          <w:rFonts w:ascii="Times New Roman" w:hAnsi="Times New Roman"/>
          <w:noProof/>
          <w:sz w:val="24"/>
          <w:lang w:val="bg-BG"/>
        </w:rPr>
        <w:t xml:space="preserve"> съдържа процесуални гаранции за извънсъдебно уреждане на спорове и правни средства за защита във връзка с услугите на информационното общество.</w:t>
      </w:r>
    </w:p>
    <w:p w14:paraId="423D7ADC" w14:textId="26A67ABB" w:rsidR="00B83CAB" w:rsidRPr="006E6596" w:rsidRDefault="004E4815" w:rsidP="00B83CAB">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С </w:t>
      </w:r>
      <w:r w:rsidRPr="006E6596">
        <w:rPr>
          <w:rFonts w:ascii="Times New Roman" w:hAnsi="Times New Roman"/>
          <w:b/>
          <w:noProof/>
          <w:sz w:val="24"/>
          <w:lang w:val="bg-BG"/>
        </w:rPr>
        <w:t>Регламента относно терористичното съдържание онлайн</w:t>
      </w:r>
      <w:r w:rsidRPr="006E6596">
        <w:rPr>
          <w:rStyle w:val="FootnoteReference"/>
          <w:rFonts w:ascii="Times New Roman" w:hAnsi="Times New Roman" w:cs="Times New Roman"/>
          <w:noProof/>
          <w:sz w:val="24"/>
          <w:lang w:val="bg-BG"/>
        </w:rPr>
        <w:footnoteReference w:id="119"/>
      </w:r>
      <w:r w:rsidRPr="006E6596">
        <w:rPr>
          <w:rFonts w:ascii="Times New Roman" w:hAnsi="Times New Roman"/>
          <w:noProof/>
          <w:sz w:val="24"/>
          <w:lang w:val="bg-BG"/>
        </w:rPr>
        <w:t xml:space="preserve"> от доставчиците на хостинг услуги се изисква да информират доставчиците на съдържание, ако тяхното съдържание бъде премахнато или достъпът бъде блокиран след заповед за премахване, изпратена от национален компетентен орган. От доставчиците на хостинг услуги се изисква да създадат ефективни механизми за подаване на жалби от потребители, чието съдържание е премахнато или чийто достъп е блокиран в ЕС. </w:t>
      </w:r>
    </w:p>
    <w:p w14:paraId="3A124C81" w14:textId="4FFCBA1C" w:rsidR="009D6645" w:rsidRPr="006E6596" w:rsidRDefault="009814A4" w:rsidP="00B83CAB">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С </w:t>
      </w:r>
      <w:r w:rsidRPr="006E6596">
        <w:rPr>
          <w:rFonts w:ascii="Times New Roman" w:hAnsi="Times New Roman"/>
          <w:b/>
          <w:noProof/>
          <w:sz w:val="24"/>
          <w:lang w:val="bg-BG"/>
        </w:rPr>
        <w:t>Общия регламент относно защита на данните (GDPR)</w:t>
      </w:r>
      <w:r w:rsidRPr="006E6596">
        <w:rPr>
          <w:rStyle w:val="FootnoteReference"/>
          <w:rFonts w:ascii="Times New Roman" w:hAnsi="Times New Roman" w:cs="Times New Roman"/>
          <w:b/>
          <w:noProof/>
          <w:sz w:val="24"/>
          <w:lang w:val="bg-BG"/>
        </w:rPr>
        <w:footnoteReference w:id="120"/>
      </w:r>
      <w:r w:rsidRPr="006E6596">
        <w:rPr>
          <w:rFonts w:ascii="Times New Roman" w:hAnsi="Times New Roman"/>
          <w:noProof/>
          <w:sz w:val="24"/>
          <w:lang w:val="bg-BG"/>
        </w:rPr>
        <w:t xml:space="preserve"> се предоставя</w:t>
      </w:r>
      <w:r w:rsidRPr="006E6596">
        <w:rPr>
          <w:noProof/>
          <w:lang w:val="bg-BG"/>
        </w:rPr>
        <w:t xml:space="preserve"> </w:t>
      </w:r>
      <w:r w:rsidRPr="006E6596">
        <w:rPr>
          <w:rFonts w:ascii="Times New Roman" w:hAnsi="Times New Roman"/>
          <w:noProof/>
          <w:sz w:val="24"/>
          <w:lang w:val="bg-BG"/>
        </w:rPr>
        <w:t xml:space="preserve">право на субектите на данни да подават жалба срещу администратор или обработващ лични данни до националния надзорен орган или компетентен съд, ако смятат, че техните лични данни са обработвани в нарушение на правилата на GDPR. Субектите на данни могат също така да упълномощят орган с нестопанска цел, организация или сдружение, които да подават жалби от тяхно име и да имат право да получават обезщетение за материални или нематериални вреди, причинени от нарушение. С GDPR на националните надзорни органи се предоставят ясни правомощия за разследване на нарушения и предприемане на коригиращи мерки, включително чрез налагане на административни глоби. </w:t>
      </w:r>
    </w:p>
    <w:p w14:paraId="298D6B01" w14:textId="6476BBDF" w:rsidR="009814A4" w:rsidRPr="006E6596" w:rsidRDefault="00FE0155" w:rsidP="00B83CAB">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Без да се засягат правомощията на тези надзорни органи и в допълнение към правата, гарантирани от GDPR, с </w:t>
      </w:r>
      <w:r w:rsidRPr="006E6596">
        <w:rPr>
          <w:rFonts w:ascii="Times New Roman" w:hAnsi="Times New Roman"/>
          <w:b/>
          <w:noProof/>
          <w:sz w:val="24"/>
          <w:lang w:val="bg-BG"/>
        </w:rPr>
        <w:t>предложението за</w:t>
      </w:r>
      <w:r w:rsidRPr="006E6596">
        <w:rPr>
          <w:rFonts w:ascii="Times New Roman" w:hAnsi="Times New Roman"/>
          <w:noProof/>
          <w:sz w:val="24"/>
          <w:lang w:val="bg-BG"/>
        </w:rPr>
        <w:t xml:space="preserve"> </w:t>
      </w:r>
      <w:r w:rsidRPr="006E6596">
        <w:rPr>
          <w:rFonts w:ascii="Times New Roman" w:hAnsi="Times New Roman"/>
          <w:b/>
          <w:noProof/>
          <w:sz w:val="24"/>
          <w:lang w:val="bg-BG"/>
        </w:rPr>
        <w:t>европейско пространство на здравни данни</w:t>
      </w:r>
      <w:r w:rsidRPr="006E6596">
        <w:rPr>
          <w:rStyle w:val="FootnoteReference"/>
          <w:rFonts w:ascii="Times New Roman" w:hAnsi="Times New Roman" w:cs="Times New Roman"/>
          <w:noProof/>
          <w:sz w:val="24"/>
          <w:lang w:val="bg-BG"/>
        </w:rPr>
        <w:footnoteReference w:id="121"/>
      </w:r>
      <w:r w:rsidRPr="006E6596">
        <w:rPr>
          <w:rFonts w:ascii="Times New Roman" w:hAnsi="Times New Roman"/>
          <w:noProof/>
          <w:sz w:val="24"/>
          <w:lang w:val="bg-BG"/>
        </w:rPr>
        <w:t xml:space="preserve"> се създава правото на жалба до органи в областта на цифровото здравеопазване, публични органи, които ще бъдат създадени от държавите членки.</w:t>
      </w:r>
    </w:p>
    <w:p w14:paraId="55E54B68" w14:textId="7E07F7CF" w:rsidR="009814A4" w:rsidRPr="006E6596" w:rsidRDefault="00AE1E2B" w:rsidP="00D02AC1">
      <w:pPr>
        <w:pStyle w:val="ListParagraph"/>
        <w:numPr>
          <w:ilvl w:val="1"/>
          <w:numId w:val="13"/>
        </w:numPr>
        <w:tabs>
          <w:tab w:val="left" w:pos="1080"/>
        </w:tabs>
        <w:outlineLvl w:val="0"/>
        <w:rPr>
          <w:rFonts w:cs="Times New Roman"/>
          <w:b/>
          <w:noProof/>
          <w:lang w:val="bg-BG"/>
        </w:rPr>
      </w:pPr>
      <w:bookmarkStart w:id="43" w:name="_Toc152859059"/>
      <w:bookmarkStart w:id="44" w:name="_Toc147916072"/>
      <w:r w:rsidRPr="006E6596">
        <w:rPr>
          <w:b/>
          <w:noProof/>
          <w:lang w:val="bg-BG"/>
        </w:rPr>
        <w:t>Убежище и миграция</w:t>
      </w:r>
      <w:bookmarkEnd w:id="43"/>
      <w:r w:rsidRPr="006E6596">
        <w:rPr>
          <w:b/>
          <w:noProof/>
          <w:lang w:val="bg-BG"/>
        </w:rPr>
        <w:t xml:space="preserve"> </w:t>
      </w:r>
      <w:bookmarkEnd w:id="44"/>
    </w:p>
    <w:p w14:paraId="751B6B98" w14:textId="0E17EB8E" w:rsidR="001A5752" w:rsidRPr="006E6596" w:rsidRDefault="00C6506E" w:rsidP="000838D0">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Правото на ЕС относно </w:t>
      </w:r>
      <w:r w:rsidRPr="006E6596">
        <w:rPr>
          <w:rFonts w:ascii="Times New Roman" w:hAnsi="Times New Roman"/>
          <w:b/>
          <w:noProof/>
          <w:sz w:val="24"/>
          <w:lang w:val="bg-BG"/>
        </w:rPr>
        <w:t>убежището и миграцията</w:t>
      </w:r>
      <w:r w:rsidRPr="006E6596">
        <w:rPr>
          <w:rFonts w:ascii="Times New Roman" w:hAnsi="Times New Roman"/>
          <w:noProof/>
          <w:sz w:val="24"/>
          <w:lang w:val="bg-BG"/>
        </w:rPr>
        <w:t xml:space="preserve"> предвижда набор от защитни мерки за осигуряване на правна защита на лицата, пристигащи в ЕС, търсещи убежище или статус на постоянно пребиваващи. Директивите и регламентите, които попадат в обхвата на общата европейска система за убежище, предвиждат възможността кандидатите за убежище да оспорват решенията, взети от административните органи. </w:t>
      </w:r>
    </w:p>
    <w:p w14:paraId="736937CF" w14:textId="1FB87E65" w:rsidR="000838D0" w:rsidRPr="006E6596" w:rsidRDefault="00122019" w:rsidP="000838D0">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Съгласно </w:t>
      </w:r>
      <w:r w:rsidRPr="006E6596">
        <w:rPr>
          <w:rFonts w:ascii="Times New Roman" w:hAnsi="Times New Roman"/>
          <w:b/>
          <w:noProof/>
          <w:sz w:val="24"/>
          <w:lang w:val="bg-BG"/>
        </w:rPr>
        <w:t>Директивата относно процедурата за убежище</w:t>
      </w:r>
      <w:r w:rsidRPr="006E6596">
        <w:rPr>
          <w:rStyle w:val="FootnoteReference"/>
          <w:rFonts w:ascii="Times New Roman" w:hAnsi="Times New Roman" w:cs="Times New Roman"/>
          <w:noProof/>
          <w:sz w:val="24"/>
          <w:lang w:val="bg-BG"/>
        </w:rPr>
        <w:footnoteReference w:id="122"/>
      </w:r>
      <w:r w:rsidRPr="006E6596">
        <w:rPr>
          <w:rFonts w:ascii="Times New Roman" w:hAnsi="Times New Roman"/>
          <w:noProof/>
          <w:sz w:val="24"/>
          <w:lang w:val="bg-BG"/>
        </w:rPr>
        <w:t xml:space="preserve">, лицата, търсещи убежище, които подадат жалба срещу отхвърлянето на тяхната молба, обикновено имат право да останат на територията на държавата членка в очакване на резултата от жалбата или до произнасянето на съд или трибунал. Държавите членки трябва да осигурят правото на кандидатите на ефективна правна защита срещу всяко решение, взето по тяхната молба за международна закрила, както и срещу откази за повторно разглеждане на прекратена процедура за разглеждане на молба и решения за отнемане на международна закрила. Освен това кандидатите, които са признати за такива, които отговарят на изискванията за субсидиарна закрила, могат да обжалват решението, с което молбата им се отхвърля като неоснователна във връзка със статута на бежанец. И накрая, трябва да се осигурят процесуални гаранции за жалбоподателите, които са еквивалентни на тези, прилагани при разглеждане на първа инстанция, като безплатна правна помощ и представителство, предоставени от лица, които разполагат със съответната компетентност съгласно националното законодателство. С </w:t>
      </w:r>
      <w:r w:rsidRPr="006E6596">
        <w:rPr>
          <w:rFonts w:ascii="Times New Roman" w:hAnsi="Times New Roman"/>
          <w:b/>
          <w:noProof/>
          <w:sz w:val="24"/>
          <w:lang w:val="bg-BG"/>
        </w:rPr>
        <w:t>Регламента „Дъблин III“</w:t>
      </w:r>
      <w:r w:rsidRPr="006E6596">
        <w:rPr>
          <w:rStyle w:val="FootnoteReference"/>
          <w:rFonts w:ascii="Times New Roman" w:hAnsi="Times New Roman" w:cs="Times New Roman"/>
          <w:noProof/>
          <w:sz w:val="24"/>
          <w:lang w:val="bg-BG"/>
        </w:rPr>
        <w:footnoteReference w:id="123"/>
      </w:r>
      <w:r w:rsidRPr="006E6596">
        <w:rPr>
          <w:rFonts w:ascii="Times New Roman" w:hAnsi="Times New Roman"/>
          <w:noProof/>
          <w:sz w:val="24"/>
          <w:lang w:val="bg-BG"/>
        </w:rPr>
        <w:t xml:space="preserve"> на кандидатите, на които е издадено решение за прехвърляне, се предоставя възможност за обжалване или преразглеждане, като се осигуряват няколко процесуални гаранции, включително правото да останат на територията на държавата членка, в която се намира кандидатът, спиране на прехвърлянето до приключване на обжалването или преразглеждането и достъп до безплатна правна и езикова помощ в рамките на процедурата по обжалване или преразглеждане.</w:t>
      </w:r>
    </w:p>
    <w:p w14:paraId="3C2BEED1" w14:textId="62131356" w:rsidR="004C50F1" w:rsidRPr="006E6596" w:rsidRDefault="004C50F1" w:rsidP="004C50F1">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Всички директиви </w:t>
      </w:r>
      <w:r w:rsidRPr="006E6596">
        <w:rPr>
          <w:rFonts w:ascii="Times New Roman" w:hAnsi="Times New Roman"/>
          <w:b/>
          <w:noProof/>
          <w:sz w:val="24"/>
          <w:lang w:val="bg-BG"/>
        </w:rPr>
        <w:t>относно законната миграция</w:t>
      </w:r>
      <w:r w:rsidRPr="006E6596">
        <w:rPr>
          <w:rFonts w:ascii="Times New Roman" w:hAnsi="Times New Roman"/>
          <w:noProof/>
          <w:sz w:val="24"/>
          <w:lang w:val="bg-BG"/>
        </w:rPr>
        <w:t xml:space="preserve"> включват изискване към държавите членки, при запазване на значителна свобода на преценка, да гарантират, че решенията за отхвърляне на молба, отнемане на разрешение или отхвърляне на подновяване на разрешение подлежат на оспорване пред съд или обжалване</w:t>
      </w:r>
      <w:r w:rsidRPr="006E6596">
        <w:rPr>
          <w:rStyle w:val="FootnoteReference"/>
          <w:rFonts w:ascii="Times New Roman" w:hAnsi="Times New Roman" w:cs="Times New Roman"/>
          <w:noProof/>
          <w:sz w:val="24"/>
          <w:lang w:val="bg-BG"/>
        </w:rPr>
        <w:footnoteReference w:id="124"/>
      </w:r>
      <w:r w:rsidRPr="006E6596">
        <w:rPr>
          <w:rFonts w:ascii="Times New Roman" w:hAnsi="Times New Roman"/>
          <w:noProof/>
          <w:sz w:val="24"/>
          <w:lang w:val="bg-BG"/>
        </w:rPr>
        <w:t xml:space="preserve">. В допълнение, с </w:t>
      </w:r>
      <w:r w:rsidRPr="006E6596">
        <w:rPr>
          <w:rFonts w:ascii="Times New Roman" w:hAnsi="Times New Roman"/>
          <w:b/>
          <w:noProof/>
          <w:sz w:val="24"/>
          <w:lang w:val="bg-BG"/>
        </w:rPr>
        <w:t xml:space="preserve">Директивата относно връщането </w:t>
      </w:r>
      <w:r w:rsidRPr="006E6596">
        <w:rPr>
          <w:rFonts w:ascii="Times New Roman" w:hAnsi="Times New Roman"/>
          <w:noProof/>
          <w:sz w:val="24"/>
          <w:lang w:val="bg-BG"/>
        </w:rPr>
        <w:t>се осигурява възможност</w:t>
      </w:r>
      <w:r w:rsidRPr="006E6596">
        <w:rPr>
          <w:rFonts w:ascii="Times New Roman" w:hAnsi="Times New Roman"/>
          <w:b/>
          <w:noProof/>
          <w:sz w:val="24"/>
          <w:lang w:val="bg-BG"/>
        </w:rPr>
        <w:t xml:space="preserve"> </w:t>
      </w:r>
      <w:r w:rsidRPr="006E6596">
        <w:rPr>
          <w:rFonts w:ascii="Times New Roman" w:hAnsi="Times New Roman"/>
          <w:noProof/>
          <w:sz w:val="24"/>
          <w:lang w:val="bg-BG"/>
        </w:rPr>
        <w:t>за граждани на трети държави, които нямат право да останат в държава членка, да поискат преразглеждане на решенията относно тяхното връщане пред компетентен съдебен или административен орган или орган, съставен от безпристрастни и независими членове</w:t>
      </w:r>
      <w:r w:rsidRPr="006E6596">
        <w:rPr>
          <w:rStyle w:val="FootnoteReference"/>
          <w:rFonts w:ascii="Times New Roman" w:hAnsi="Times New Roman" w:cs="Times New Roman"/>
          <w:noProof/>
          <w:sz w:val="24"/>
          <w:lang w:val="bg-BG"/>
        </w:rPr>
        <w:footnoteReference w:id="125"/>
      </w:r>
      <w:r w:rsidRPr="006E6596">
        <w:rPr>
          <w:rFonts w:ascii="Times New Roman" w:hAnsi="Times New Roman"/>
          <w:noProof/>
          <w:sz w:val="24"/>
          <w:lang w:val="bg-BG"/>
        </w:rPr>
        <w:t xml:space="preserve">. Освен това, в контекста на </w:t>
      </w:r>
      <w:r w:rsidRPr="006E6596">
        <w:rPr>
          <w:rFonts w:ascii="Times New Roman" w:hAnsi="Times New Roman"/>
          <w:b/>
          <w:noProof/>
          <w:sz w:val="24"/>
          <w:lang w:val="bg-BG"/>
        </w:rPr>
        <w:t>европейското интегрирано управление на границите,</w:t>
      </w:r>
      <w:r w:rsidRPr="006E6596">
        <w:rPr>
          <w:rFonts w:ascii="Times New Roman" w:hAnsi="Times New Roman"/>
          <w:noProof/>
          <w:sz w:val="24"/>
          <w:lang w:val="bg-BG"/>
        </w:rPr>
        <w:t xml:space="preserve"> Комисията препоръча, че „държавите членки следва да разработят и поддържат в оперативна готовност национален механизъм за мониторинг на основните права във връзка с управлението на границите и връщането“, който следва да разполага с капацитет за „наблюдаване или допринасяне за съществуващите механизми за правна защита“, като например механизми за докладване на инциденти или за подаване на жалби</w:t>
      </w:r>
      <w:r w:rsidRPr="006E6596">
        <w:rPr>
          <w:rStyle w:val="FootnoteReference"/>
          <w:rFonts w:ascii="Times New Roman" w:hAnsi="Times New Roman" w:cs="Times New Roman"/>
          <w:noProof/>
          <w:sz w:val="24"/>
          <w:lang w:val="bg-BG"/>
        </w:rPr>
        <w:footnoteReference w:id="126"/>
      </w:r>
      <w:r w:rsidRPr="006E6596">
        <w:rPr>
          <w:rFonts w:ascii="Times New Roman" w:hAnsi="Times New Roman"/>
          <w:noProof/>
          <w:sz w:val="24"/>
          <w:lang w:val="bg-BG"/>
        </w:rPr>
        <w:t xml:space="preserve">. </w:t>
      </w:r>
    </w:p>
    <w:p w14:paraId="50B7F111" w14:textId="1F670767" w:rsidR="003E1510" w:rsidRDefault="004C50F1" w:rsidP="009F6A5B">
      <w:pPr>
        <w:spacing w:after="120" w:line="276" w:lineRule="auto"/>
        <w:jc w:val="both"/>
        <w:rPr>
          <w:rFonts w:ascii="Times New Roman" w:hAnsi="Times New Roman"/>
          <w:noProof/>
          <w:sz w:val="24"/>
          <w:lang w:val="bg-BG"/>
        </w:rPr>
      </w:pPr>
      <w:r w:rsidRPr="006E6596">
        <w:rPr>
          <w:rFonts w:ascii="Times New Roman" w:hAnsi="Times New Roman"/>
          <w:noProof/>
          <w:sz w:val="24"/>
          <w:lang w:val="bg-BG"/>
        </w:rPr>
        <w:t xml:space="preserve">При наемането на работа на граждани на трети държави, с </w:t>
      </w:r>
      <w:r w:rsidRPr="006E6596">
        <w:rPr>
          <w:rFonts w:ascii="Times New Roman" w:hAnsi="Times New Roman"/>
          <w:b/>
          <w:noProof/>
          <w:sz w:val="24"/>
          <w:lang w:val="bg-BG"/>
        </w:rPr>
        <w:t>Директивата за санкциите срещу работодатели</w:t>
      </w:r>
      <w:r w:rsidRPr="006E6596">
        <w:rPr>
          <w:rStyle w:val="FootnoteReference"/>
          <w:rFonts w:ascii="Times New Roman" w:hAnsi="Times New Roman" w:cs="Times New Roman"/>
          <w:noProof/>
          <w:sz w:val="24"/>
          <w:lang w:val="bg-BG"/>
        </w:rPr>
        <w:footnoteReference w:id="127"/>
      </w:r>
      <w:r w:rsidRPr="006E6596">
        <w:rPr>
          <w:rFonts w:ascii="Times New Roman" w:hAnsi="Times New Roman"/>
          <w:noProof/>
          <w:sz w:val="24"/>
          <w:lang w:val="bg-BG"/>
        </w:rPr>
        <w:t xml:space="preserve"> на</w:t>
      </w:r>
      <w:r w:rsidRPr="006E6596">
        <w:rPr>
          <w:rFonts w:ascii="Times New Roman" w:hAnsi="Times New Roman"/>
          <w:b/>
          <w:noProof/>
          <w:sz w:val="24"/>
          <w:lang w:val="bg-BG"/>
        </w:rPr>
        <w:t xml:space="preserve"> </w:t>
      </w:r>
      <w:r w:rsidRPr="006E6596">
        <w:rPr>
          <w:rFonts w:ascii="Times New Roman" w:hAnsi="Times New Roman"/>
          <w:noProof/>
          <w:sz w:val="24"/>
          <w:lang w:val="bg-BG"/>
        </w:rPr>
        <w:t>гражданите на трети държави, които нямат право да останат в държава членка, се предоставя правото да предявят иск за неизплатени заплати и да подават жалби срещу работодатели в случаи на експлоатация</w:t>
      </w:r>
      <w:r w:rsidRPr="006E6596">
        <w:rPr>
          <w:rStyle w:val="FootnoteReference"/>
          <w:rFonts w:ascii="Times New Roman" w:hAnsi="Times New Roman" w:cs="Times New Roman"/>
          <w:noProof/>
          <w:sz w:val="24"/>
          <w:lang w:val="bg-BG"/>
        </w:rPr>
        <w:footnoteReference w:id="128"/>
      </w:r>
      <w:r w:rsidRPr="006E6596">
        <w:rPr>
          <w:rFonts w:ascii="Times New Roman" w:hAnsi="Times New Roman"/>
          <w:noProof/>
          <w:sz w:val="24"/>
          <w:lang w:val="bg-BG"/>
        </w:rPr>
        <w:t xml:space="preserve">. Директивата </w:t>
      </w:r>
      <w:r w:rsidRPr="006E6596">
        <w:rPr>
          <w:rFonts w:ascii="Times New Roman" w:hAnsi="Times New Roman"/>
          <w:b/>
          <w:noProof/>
          <w:sz w:val="24"/>
          <w:lang w:val="bg-BG"/>
        </w:rPr>
        <w:t>за сезонните работници</w:t>
      </w:r>
      <w:r w:rsidRPr="006E6596">
        <w:rPr>
          <w:rStyle w:val="FootnoteReference"/>
          <w:rFonts w:ascii="Times New Roman" w:hAnsi="Times New Roman" w:cs="Times New Roman"/>
          <w:b/>
          <w:noProof/>
          <w:sz w:val="24"/>
          <w:lang w:val="bg-BG"/>
        </w:rPr>
        <w:footnoteReference w:id="129"/>
      </w:r>
      <w:r w:rsidRPr="006E6596">
        <w:rPr>
          <w:rFonts w:ascii="Times New Roman" w:hAnsi="Times New Roman"/>
          <w:noProof/>
          <w:sz w:val="24"/>
          <w:lang w:val="bg-BG"/>
        </w:rPr>
        <w:t xml:space="preserve"> включва разпоредби, с които на сезонните работници от трети държави се предоставя право да подават жалби срещу своите работодатели. Предложение за разширяване на това право за всички работници от трети държави е включено в </w:t>
      </w:r>
      <w:r w:rsidRPr="006E6596">
        <w:rPr>
          <w:rFonts w:ascii="Times New Roman" w:hAnsi="Times New Roman"/>
          <w:b/>
          <w:noProof/>
          <w:sz w:val="24"/>
          <w:lang w:val="bg-BG"/>
        </w:rPr>
        <w:t>предложението за преразглеждане на Директивата за единното разрешение</w:t>
      </w:r>
      <w:r w:rsidRPr="006E6596">
        <w:rPr>
          <w:rStyle w:val="FootnoteReference"/>
          <w:rFonts w:ascii="Times New Roman" w:hAnsi="Times New Roman" w:cs="Times New Roman"/>
          <w:noProof/>
          <w:sz w:val="24"/>
          <w:lang w:val="bg-BG"/>
        </w:rPr>
        <w:footnoteReference w:id="130"/>
      </w:r>
      <w:r w:rsidRPr="006E6596">
        <w:rPr>
          <w:rFonts w:ascii="Times New Roman" w:hAnsi="Times New Roman"/>
          <w:noProof/>
          <w:sz w:val="24"/>
          <w:lang w:val="bg-BG"/>
        </w:rPr>
        <w:t xml:space="preserve">. Комисията също така преразгледа </w:t>
      </w:r>
      <w:r w:rsidRPr="006E6596">
        <w:rPr>
          <w:rFonts w:ascii="Times New Roman" w:hAnsi="Times New Roman"/>
          <w:b/>
          <w:noProof/>
          <w:sz w:val="24"/>
          <w:lang w:val="bg-BG"/>
        </w:rPr>
        <w:t>Директивата за синята карта</w:t>
      </w:r>
      <w:r w:rsidRPr="006E6596">
        <w:rPr>
          <w:noProof/>
          <w:lang w:val="bg-BG"/>
        </w:rPr>
        <w:t xml:space="preserve"> </w:t>
      </w:r>
      <w:r w:rsidRPr="006E6596">
        <w:rPr>
          <w:rFonts w:ascii="Times New Roman" w:hAnsi="Times New Roman"/>
          <w:noProof/>
          <w:sz w:val="24"/>
          <w:lang w:val="bg-BG"/>
        </w:rPr>
        <w:t>с оглед на въвеждане на изискване за държавите членки да предоставят ефективни средства за правна защита срещу всички решения за отказ за предоставяне на разрешения за пребиваване и работа, издадени на висококвалифицирани работници</w:t>
      </w:r>
      <w:r w:rsidRPr="006E6596">
        <w:rPr>
          <w:rStyle w:val="FootnoteReference"/>
          <w:rFonts w:ascii="Times New Roman" w:hAnsi="Times New Roman" w:cs="Times New Roman"/>
          <w:noProof/>
          <w:sz w:val="24"/>
          <w:lang w:val="bg-BG"/>
        </w:rPr>
        <w:footnoteReference w:id="131"/>
      </w:r>
      <w:r w:rsidRPr="006E6596">
        <w:rPr>
          <w:rFonts w:ascii="Times New Roman" w:hAnsi="Times New Roman"/>
          <w:noProof/>
          <w:sz w:val="24"/>
          <w:lang w:val="bg-BG"/>
        </w:rPr>
        <w:t xml:space="preserve">. </w:t>
      </w:r>
      <w:bookmarkStart w:id="45" w:name="_Hlk147830420"/>
    </w:p>
    <w:p w14:paraId="4E93B131" w14:textId="77777777" w:rsidR="00587A19" w:rsidRPr="006E6596" w:rsidRDefault="00587A19" w:rsidP="009F6A5B">
      <w:pPr>
        <w:spacing w:after="120" w:line="276" w:lineRule="auto"/>
        <w:jc w:val="both"/>
        <w:rPr>
          <w:rFonts w:cs="Times New Roman"/>
          <w:b/>
          <w:noProof/>
          <w:lang w:val="bg-BG"/>
        </w:rPr>
      </w:pPr>
    </w:p>
    <w:p w14:paraId="7A634375" w14:textId="382AFBF4" w:rsidR="00D73988" w:rsidRPr="006E6596" w:rsidRDefault="00C13AF3" w:rsidP="000B2520">
      <w:pPr>
        <w:pStyle w:val="ListParagraph"/>
        <w:numPr>
          <w:ilvl w:val="0"/>
          <w:numId w:val="1"/>
        </w:numPr>
        <w:ind w:left="567" w:hanging="567"/>
        <w:outlineLvl w:val="0"/>
        <w:rPr>
          <w:rFonts w:cs="Times New Roman"/>
          <w:b/>
          <w:noProof/>
          <w:lang w:val="bg-BG"/>
        </w:rPr>
      </w:pPr>
      <w:bookmarkStart w:id="46" w:name="_Toc152859060"/>
      <w:r w:rsidRPr="006E6596">
        <w:rPr>
          <w:b/>
          <w:noProof/>
          <w:lang w:val="bg-BG"/>
        </w:rPr>
        <w:t>Мерките на държавите членки за осигуряване на ефективна правна защита</w:t>
      </w:r>
      <w:bookmarkEnd w:id="46"/>
    </w:p>
    <w:p w14:paraId="5788DA85" w14:textId="2EC15B37" w:rsidR="00D73988" w:rsidRPr="006E6596" w:rsidRDefault="00D73988" w:rsidP="00D73988">
      <w:pPr>
        <w:pStyle w:val="Style1"/>
        <w:rPr>
          <w:noProof/>
          <w:lang w:val="bg-BG"/>
        </w:rPr>
      </w:pPr>
      <w:r w:rsidRPr="006E6596">
        <w:rPr>
          <w:noProof/>
          <w:lang w:val="bg-BG"/>
        </w:rPr>
        <w:t>Държавите членки са длъжни да гарантират, че основните права се прилагат на практика от различните участници във веригата за прилагане на Хартата в полза на всички</w:t>
      </w:r>
      <w:r w:rsidRPr="006E6596">
        <w:rPr>
          <w:rStyle w:val="FootnoteReference"/>
          <w:noProof/>
          <w:lang w:val="bg-BG"/>
        </w:rPr>
        <w:footnoteReference w:id="132"/>
      </w:r>
      <w:r w:rsidRPr="006E6596">
        <w:rPr>
          <w:noProof/>
          <w:lang w:val="bg-BG"/>
        </w:rPr>
        <w:t>. В съответствие с член 19 от ДЕС те носят отговорност за осигуряването на ефективна правна защита на своите територии, било то чрез съдебната система или извънсъдебни органи. Всички държави членки, които са взели участие в консултациите за изготвяне на настоящия доклад, посочват различни налични съдебни и извънсъдебни средства за защита. В настоящата глава се прави преглед на последните събития, посочени от няколко държави членки.</w:t>
      </w:r>
    </w:p>
    <w:p w14:paraId="1192407A" w14:textId="769CA069" w:rsidR="00213DB5" w:rsidRPr="006E6596" w:rsidRDefault="00213DB5" w:rsidP="00D02AC1">
      <w:pPr>
        <w:pStyle w:val="ListParagraph"/>
        <w:numPr>
          <w:ilvl w:val="1"/>
          <w:numId w:val="15"/>
        </w:numPr>
        <w:ind w:left="990" w:hanging="630"/>
        <w:outlineLvl w:val="0"/>
        <w:rPr>
          <w:rFonts w:cs="Times New Roman"/>
          <w:b/>
          <w:noProof/>
          <w:lang w:val="bg-BG"/>
        </w:rPr>
      </w:pPr>
      <w:bookmarkStart w:id="47" w:name="_Toc152859061"/>
      <w:r w:rsidRPr="006E6596">
        <w:rPr>
          <w:b/>
          <w:noProof/>
          <w:lang w:val="bg-BG"/>
        </w:rPr>
        <w:t>Улесняване на достъпа до правосъдие чрез усилия за преминаване към цифрова технология</w:t>
      </w:r>
      <w:bookmarkEnd w:id="47"/>
    </w:p>
    <w:p w14:paraId="04FA0F98" w14:textId="58CD26F6" w:rsidR="005E7D4A" w:rsidRPr="006E6596" w:rsidRDefault="005E7D4A" w:rsidP="005E7D4A">
      <w:pPr>
        <w:spacing w:after="80" w:line="276" w:lineRule="auto"/>
        <w:jc w:val="both"/>
        <w:rPr>
          <w:rFonts w:ascii="Times New Roman" w:hAnsi="Times New Roman" w:cs="Times New Roman"/>
          <w:noProof/>
          <w:sz w:val="24"/>
          <w:lang w:val="bg-BG"/>
        </w:rPr>
      </w:pPr>
      <w:r w:rsidRPr="006E6596">
        <w:rPr>
          <w:rFonts w:ascii="Times New Roman" w:hAnsi="Times New Roman"/>
          <w:noProof/>
          <w:sz w:val="24"/>
          <w:lang w:val="bg-BG"/>
        </w:rPr>
        <w:t>Няколко държави членки считат, че решенията за електронно правосъдие са от основно значение за подобряване на достъпа до правосъдие. Те осигуряват възможност на потребителите да упражняват правата си по-бързо и лесно</w:t>
      </w:r>
      <w:r w:rsidRPr="006E6596">
        <w:rPr>
          <w:rStyle w:val="FootnoteReference"/>
          <w:rFonts w:ascii="Times New Roman" w:hAnsi="Times New Roman" w:cs="Times New Roman"/>
          <w:noProof/>
          <w:sz w:val="24"/>
          <w:lang w:val="bg-BG"/>
        </w:rPr>
        <w:footnoteReference w:id="133"/>
      </w:r>
      <w:r w:rsidRPr="006E6596">
        <w:rPr>
          <w:rFonts w:ascii="Times New Roman" w:hAnsi="Times New Roman"/>
          <w:noProof/>
          <w:sz w:val="24"/>
          <w:lang w:val="bg-BG"/>
        </w:rPr>
        <w:t>. Услугите в областта на цифровото правосъдие са модерни и осигуряват по-голяма достъпност и дори персонализиране на съдебните услуги, както и непрекъснатото им предоставяне по време на кризи</w:t>
      </w:r>
      <w:r w:rsidRPr="006E6596">
        <w:rPr>
          <w:rStyle w:val="FootnoteReference"/>
          <w:rFonts w:ascii="Times New Roman" w:hAnsi="Times New Roman" w:cs="Times New Roman"/>
          <w:noProof/>
          <w:sz w:val="24"/>
          <w:lang w:val="bg-BG"/>
        </w:rPr>
        <w:footnoteReference w:id="134"/>
      </w:r>
      <w:r w:rsidRPr="006E6596">
        <w:rPr>
          <w:rFonts w:ascii="Times New Roman" w:hAnsi="Times New Roman"/>
          <w:noProof/>
          <w:sz w:val="24"/>
          <w:lang w:val="bg-BG"/>
        </w:rPr>
        <w:t xml:space="preserve">. </w:t>
      </w:r>
    </w:p>
    <w:p w14:paraId="4ADFEBC1" w14:textId="764D4BDD" w:rsidR="005E7D4A" w:rsidRPr="006E6596" w:rsidRDefault="005E7D4A" w:rsidP="005E7D4A">
      <w:pPr>
        <w:spacing w:after="80" w:line="276" w:lineRule="auto"/>
        <w:jc w:val="both"/>
        <w:rPr>
          <w:rFonts w:ascii="Times New Roman" w:hAnsi="Times New Roman" w:cs="Times New Roman"/>
          <w:noProof/>
          <w:sz w:val="24"/>
          <w:lang w:val="bg-BG"/>
        </w:rPr>
      </w:pPr>
      <w:r w:rsidRPr="006E6596">
        <w:rPr>
          <w:rFonts w:ascii="Times New Roman" w:hAnsi="Times New Roman"/>
          <w:noProof/>
          <w:sz w:val="24"/>
          <w:lang w:val="bg-BG"/>
        </w:rPr>
        <w:t>Много държави членки полагат усилия за подобряване на цифровата достъпност на правосъдието</w:t>
      </w:r>
      <w:r w:rsidRPr="006E6596">
        <w:rPr>
          <w:rStyle w:val="FootnoteReference"/>
          <w:rFonts w:ascii="Times New Roman" w:hAnsi="Times New Roman" w:cs="Times New Roman"/>
          <w:noProof/>
          <w:sz w:val="24"/>
          <w:lang w:val="bg-BG"/>
        </w:rPr>
        <w:footnoteReference w:id="135"/>
      </w:r>
      <w:r w:rsidRPr="006E6596">
        <w:rPr>
          <w:rFonts w:ascii="Times New Roman" w:hAnsi="Times New Roman"/>
          <w:noProof/>
          <w:sz w:val="24"/>
          <w:lang w:val="bg-BG"/>
        </w:rPr>
        <w:t xml:space="preserve">. Например, в </w:t>
      </w:r>
      <w:r w:rsidRPr="006E6596">
        <w:rPr>
          <w:rFonts w:ascii="Times New Roman" w:hAnsi="Times New Roman"/>
          <w:b/>
          <w:noProof/>
          <w:sz w:val="24"/>
          <w:lang w:val="bg-BG"/>
        </w:rPr>
        <w:t>Румъния</w:t>
      </w:r>
      <w:r w:rsidRPr="006E6596">
        <w:rPr>
          <w:rFonts w:ascii="Times New Roman" w:hAnsi="Times New Roman"/>
          <w:noProof/>
          <w:sz w:val="24"/>
          <w:lang w:val="bg-BG"/>
        </w:rPr>
        <w:t>, цифровизацията на съдебната система беше ускорена по време на пандемията от COVID-19</w:t>
      </w:r>
      <w:r w:rsidRPr="006E6596">
        <w:rPr>
          <w:rStyle w:val="FootnoteReference"/>
          <w:rFonts w:ascii="Times New Roman" w:eastAsia="Calibri" w:hAnsi="Times New Roman" w:cs="Times New Roman"/>
          <w:noProof/>
          <w:sz w:val="24"/>
          <w:lang w:val="bg-BG"/>
        </w:rPr>
        <w:footnoteReference w:id="136"/>
      </w:r>
      <w:r w:rsidRPr="006E6596">
        <w:rPr>
          <w:rFonts w:ascii="Times New Roman" w:hAnsi="Times New Roman"/>
          <w:noProof/>
          <w:sz w:val="24"/>
          <w:lang w:val="bg-BG"/>
        </w:rPr>
        <w:t xml:space="preserve">. </w:t>
      </w:r>
      <w:r w:rsidRPr="006E6596">
        <w:rPr>
          <w:rFonts w:ascii="Times New Roman" w:hAnsi="Times New Roman"/>
          <w:b/>
          <w:noProof/>
          <w:sz w:val="24"/>
          <w:lang w:val="bg-BG"/>
        </w:rPr>
        <w:t xml:space="preserve">Словакия </w:t>
      </w:r>
      <w:r w:rsidRPr="006E6596">
        <w:rPr>
          <w:rFonts w:ascii="Times New Roman" w:hAnsi="Times New Roman"/>
          <w:noProof/>
          <w:sz w:val="24"/>
          <w:lang w:val="bg-BG"/>
        </w:rPr>
        <w:t xml:space="preserve">финансира действия за напредък в цифровизацията на правосъдието по линия на Механизма за възстановяване и устойчивост, който подготвя държавата за присъединяване към системата eCodex </w:t>
      </w:r>
      <w:r w:rsidRPr="006E6596">
        <w:rPr>
          <w:rStyle w:val="FootnoteReference"/>
          <w:rFonts w:ascii="Times New Roman" w:hAnsi="Times New Roman" w:cs="Times New Roman"/>
          <w:noProof/>
          <w:sz w:val="24"/>
          <w:lang w:val="bg-BG"/>
        </w:rPr>
        <w:footnoteReference w:id="137"/>
      </w:r>
      <w:r w:rsidRPr="006E6596">
        <w:rPr>
          <w:rFonts w:ascii="Times New Roman" w:hAnsi="Times New Roman"/>
          <w:noProof/>
          <w:sz w:val="24"/>
          <w:lang w:val="bg-BG"/>
        </w:rPr>
        <w:t xml:space="preserve">. </w:t>
      </w:r>
    </w:p>
    <w:p w14:paraId="1BE3B2A8" w14:textId="7E302580" w:rsidR="005E7D4A" w:rsidRPr="006E6596" w:rsidRDefault="005E7D4A" w:rsidP="005E7D4A">
      <w:pPr>
        <w:jc w:val="both"/>
        <w:rPr>
          <w:rFonts w:ascii="Times New Roman" w:hAnsi="Times New Roman" w:cs="Times New Roman"/>
          <w:noProof/>
          <w:sz w:val="24"/>
          <w:lang w:val="bg-BG"/>
        </w:rPr>
      </w:pPr>
      <w:r w:rsidRPr="006E6596">
        <w:rPr>
          <w:rFonts w:ascii="Times New Roman" w:hAnsi="Times New Roman"/>
          <w:noProof/>
          <w:sz w:val="24"/>
          <w:lang w:val="bg-BG"/>
        </w:rPr>
        <w:t>Липсата на цифрови умения, проблемите, свързани с оперативната съвместимост на информационните системи и цифровата безопасност, се споменават като основните предизвикателства в това отношение</w:t>
      </w:r>
      <w:r w:rsidRPr="006E6596">
        <w:rPr>
          <w:rStyle w:val="FootnoteReference"/>
          <w:rFonts w:ascii="Times New Roman" w:hAnsi="Times New Roman" w:cs="Times New Roman"/>
          <w:noProof/>
          <w:sz w:val="24"/>
          <w:lang w:val="bg-BG"/>
        </w:rPr>
        <w:footnoteReference w:id="138"/>
      </w:r>
      <w:r w:rsidRPr="006E6596">
        <w:rPr>
          <w:rFonts w:ascii="Times New Roman" w:hAnsi="Times New Roman"/>
          <w:noProof/>
          <w:sz w:val="24"/>
          <w:lang w:val="bg-BG"/>
        </w:rPr>
        <w:t xml:space="preserve">. </w:t>
      </w:r>
      <w:r w:rsidRPr="006E6596">
        <w:rPr>
          <w:rFonts w:ascii="Times New Roman" w:hAnsi="Times New Roman"/>
          <w:b/>
          <w:noProof/>
          <w:sz w:val="24"/>
          <w:lang w:val="bg-BG"/>
        </w:rPr>
        <w:t xml:space="preserve">Швеция </w:t>
      </w:r>
      <w:r w:rsidRPr="006E6596">
        <w:rPr>
          <w:rFonts w:ascii="Times New Roman" w:hAnsi="Times New Roman"/>
          <w:noProof/>
          <w:sz w:val="24"/>
          <w:lang w:val="bg-BG"/>
        </w:rPr>
        <w:t>също</w:t>
      </w:r>
      <w:r w:rsidRPr="006E6596">
        <w:rPr>
          <w:rFonts w:ascii="Times New Roman" w:hAnsi="Times New Roman"/>
          <w:b/>
          <w:noProof/>
          <w:sz w:val="24"/>
          <w:lang w:val="bg-BG"/>
        </w:rPr>
        <w:t xml:space="preserve"> </w:t>
      </w:r>
      <w:r w:rsidRPr="006E6596">
        <w:rPr>
          <w:rFonts w:ascii="Times New Roman" w:hAnsi="Times New Roman"/>
          <w:noProof/>
          <w:sz w:val="24"/>
          <w:lang w:val="bg-BG"/>
        </w:rPr>
        <w:t>счита, че някои аспекти на цифровизацията, като например изслушванията чрез видеовръзка, може да не са подходящи във всички случаи</w:t>
      </w:r>
      <w:r w:rsidRPr="006E6596">
        <w:rPr>
          <w:rStyle w:val="FootnoteReference"/>
          <w:rFonts w:ascii="Times New Roman" w:hAnsi="Times New Roman" w:cs="Times New Roman"/>
          <w:noProof/>
          <w:sz w:val="24"/>
          <w:lang w:val="bg-BG"/>
        </w:rPr>
        <w:footnoteReference w:id="139"/>
      </w:r>
      <w:r w:rsidRPr="006E6596">
        <w:rPr>
          <w:rFonts w:ascii="Times New Roman" w:hAnsi="Times New Roman"/>
          <w:noProof/>
          <w:sz w:val="24"/>
          <w:lang w:val="bg-BG"/>
        </w:rPr>
        <w:t xml:space="preserve">. </w:t>
      </w:r>
    </w:p>
    <w:p w14:paraId="06320116" w14:textId="3E205BA5" w:rsidR="00DA6489" w:rsidRPr="006E6596" w:rsidRDefault="00DA6489" w:rsidP="005E7D4A">
      <w:pPr>
        <w:jc w:val="both"/>
        <w:rPr>
          <w:rFonts w:ascii="Times New Roman" w:hAnsi="Times New Roman" w:cs="Times New Roman"/>
          <w:noProof/>
          <w:sz w:val="24"/>
          <w:lang w:val="bg-BG"/>
        </w:rPr>
      </w:pPr>
      <w:r w:rsidRPr="006E6596">
        <w:rPr>
          <w:rFonts w:ascii="Times New Roman" w:hAnsi="Times New Roman"/>
          <w:noProof/>
          <w:sz w:val="24"/>
          <w:lang w:val="bg-BG"/>
        </w:rPr>
        <w:t>Консултациите също така показват различните функции, които се определят в рамките на инициативите за електронно правосъдие</w:t>
      </w:r>
      <w:r w:rsidRPr="006E6596">
        <w:rPr>
          <w:rFonts w:ascii="Times New Roman" w:hAnsi="Times New Roman" w:cs="Times New Roman"/>
          <w:noProof/>
          <w:sz w:val="24"/>
          <w:vertAlign w:val="superscript"/>
          <w:lang w:val="bg-BG"/>
        </w:rPr>
        <w:footnoteReference w:id="140"/>
      </w:r>
      <w:r w:rsidRPr="006E6596">
        <w:rPr>
          <w:rFonts w:ascii="Times New Roman" w:hAnsi="Times New Roman"/>
          <w:noProof/>
          <w:sz w:val="24"/>
          <w:lang w:val="bg-BG"/>
        </w:rPr>
        <w:t xml:space="preserve">. В </w:t>
      </w:r>
      <w:r w:rsidRPr="006E6596">
        <w:rPr>
          <w:rFonts w:ascii="Times New Roman" w:hAnsi="Times New Roman"/>
          <w:b/>
          <w:noProof/>
          <w:sz w:val="24"/>
          <w:lang w:val="bg-BG"/>
        </w:rPr>
        <w:t>Германия</w:t>
      </w:r>
      <w:r w:rsidRPr="006E6596">
        <w:rPr>
          <w:rFonts w:ascii="Times New Roman" w:hAnsi="Times New Roman"/>
          <w:noProof/>
          <w:sz w:val="24"/>
          <w:lang w:val="bg-BG"/>
        </w:rPr>
        <w:t>,изпращането на документи чрез онлайн инструмент е задължително за адвокати, органи и обществени организации. Всички останали могат доброволно да използват електронни средства за осъществяване на правни действия</w:t>
      </w:r>
      <w:r w:rsidRPr="006E6596">
        <w:rPr>
          <w:rFonts w:ascii="Times New Roman" w:hAnsi="Times New Roman" w:cs="Times New Roman"/>
          <w:noProof/>
          <w:sz w:val="24"/>
          <w:vertAlign w:val="superscript"/>
          <w:lang w:val="bg-BG"/>
        </w:rPr>
        <w:footnoteReference w:id="141"/>
      </w:r>
      <w:r w:rsidRPr="006E6596">
        <w:rPr>
          <w:rFonts w:ascii="Times New Roman" w:hAnsi="Times New Roman"/>
          <w:noProof/>
          <w:sz w:val="24"/>
          <w:lang w:val="bg-BG"/>
        </w:rPr>
        <w:t xml:space="preserve">. Във </w:t>
      </w:r>
      <w:r w:rsidRPr="006E6596">
        <w:rPr>
          <w:rFonts w:ascii="Times New Roman" w:hAnsi="Times New Roman"/>
          <w:b/>
          <w:noProof/>
          <w:sz w:val="24"/>
          <w:lang w:val="bg-BG"/>
        </w:rPr>
        <w:t>Франция</w:t>
      </w:r>
      <w:r w:rsidRPr="006E6596">
        <w:rPr>
          <w:rFonts w:ascii="Times New Roman" w:hAnsi="Times New Roman"/>
          <w:noProof/>
          <w:sz w:val="24"/>
          <w:lang w:val="bg-BG"/>
        </w:rPr>
        <w:t>, мобилно приложение помага на обществеността за намиране на съдилища, адвокати и нотариуси</w:t>
      </w:r>
      <w:r w:rsidRPr="006E6596">
        <w:rPr>
          <w:rFonts w:ascii="Times New Roman" w:hAnsi="Times New Roman" w:cs="Times New Roman"/>
          <w:noProof/>
          <w:sz w:val="24"/>
          <w:vertAlign w:val="superscript"/>
          <w:lang w:val="bg-BG"/>
        </w:rPr>
        <w:footnoteReference w:id="142"/>
      </w:r>
      <w:r w:rsidRPr="006E6596">
        <w:rPr>
          <w:rFonts w:ascii="Times New Roman" w:hAnsi="Times New Roman"/>
          <w:noProof/>
          <w:sz w:val="24"/>
          <w:lang w:val="bg-BG"/>
        </w:rPr>
        <w:t xml:space="preserve">. Някои респонденти в проучването на </w:t>
      </w:r>
      <w:r w:rsidRPr="006E6596">
        <w:rPr>
          <w:rFonts w:ascii="Times New Roman" w:hAnsi="Times New Roman"/>
          <w:b/>
          <w:noProof/>
          <w:sz w:val="24"/>
          <w:lang w:val="bg-BG"/>
        </w:rPr>
        <w:t>Платформата за основните права</w:t>
      </w:r>
      <w:r w:rsidRPr="006E6596">
        <w:rPr>
          <w:rFonts w:ascii="Times New Roman" w:hAnsi="Times New Roman"/>
          <w:noProof/>
          <w:sz w:val="24"/>
          <w:lang w:val="bg-BG"/>
        </w:rPr>
        <w:t xml:space="preserve"> обаче коментират сложността и частичната недостъпност на цифровите инструменти, например поради увеличени разходи за адвокати и клиенти, системни повреди или защото наличността е ограничена до дипломирани адвокати</w:t>
      </w:r>
      <w:r w:rsidRPr="006E6596">
        <w:rPr>
          <w:rFonts w:ascii="Times New Roman" w:hAnsi="Times New Roman" w:cs="Times New Roman"/>
          <w:noProof/>
          <w:sz w:val="24"/>
          <w:vertAlign w:val="superscript"/>
          <w:lang w:val="bg-BG"/>
        </w:rPr>
        <w:footnoteReference w:id="143"/>
      </w:r>
      <w:r w:rsidRPr="006E6596">
        <w:rPr>
          <w:rFonts w:ascii="Times New Roman" w:hAnsi="Times New Roman"/>
          <w:noProof/>
          <w:sz w:val="24"/>
          <w:lang w:val="bg-BG"/>
        </w:rPr>
        <w:t>.</w:t>
      </w:r>
    </w:p>
    <w:p w14:paraId="1FE4FF01" w14:textId="79DD88FC" w:rsidR="00C31091" w:rsidRPr="006E6596" w:rsidRDefault="0000475A" w:rsidP="00D02AC1">
      <w:pPr>
        <w:pStyle w:val="ListParagraph"/>
        <w:numPr>
          <w:ilvl w:val="1"/>
          <w:numId w:val="15"/>
        </w:numPr>
        <w:ind w:left="990" w:hanging="630"/>
        <w:outlineLvl w:val="0"/>
        <w:rPr>
          <w:rFonts w:cs="Times New Roman"/>
          <w:b/>
          <w:noProof/>
          <w:lang w:val="bg-BG"/>
        </w:rPr>
      </w:pPr>
      <w:bookmarkStart w:id="48" w:name="_Toc147916074"/>
      <w:bookmarkStart w:id="49" w:name="_Toc152859062"/>
      <w:r w:rsidRPr="006E6596">
        <w:rPr>
          <w:b/>
          <w:noProof/>
          <w:lang w:val="bg-BG"/>
        </w:rPr>
        <w:t>Процесуални права</w:t>
      </w:r>
      <w:bookmarkEnd w:id="48"/>
      <w:bookmarkEnd w:id="49"/>
    </w:p>
    <w:p w14:paraId="6C4F6458" w14:textId="4A412CAC" w:rsidR="00B160AD" w:rsidRPr="006E6596" w:rsidRDefault="00B160AD" w:rsidP="00B160AD">
      <w:pPr>
        <w:pStyle w:val="Style1"/>
        <w:rPr>
          <w:noProof/>
          <w:lang w:val="bg-BG"/>
        </w:rPr>
      </w:pPr>
      <w:r w:rsidRPr="006E6596">
        <w:rPr>
          <w:noProof/>
          <w:lang w:val="bg-BG"/>
        </w:rPr>
        <w:t xml:space="preserve">Както е отбелязано в </w:t>
      </w:r>
      <w:r w:rsidR="00703916">
        <w:rPr>
          <w:noProof/>
          <w:lang w:val="bg-BG"/>
        </w:rPr>
        <w:t>г</w:t>
      </w:r>
      <w:r w:rsidRPr="006E6596">
        <w:rPr>
          <w:noProof/>
          <w:lang w:val="bg-BG"/>
        </w:rPr>
        <w:t xml:space="preserve">лава 2, </w:t>
      </w:r>
      <w:r w:rsidRPr="006E6596">
        <w:rPr>
          <w:b/>
          <w:noProof/>
          <w:lang w:val="bg-BG"/>
        </w:rPr>
        <w:t>наличието на достатъчно информация</w:t>
      </w:r>
      <w:r w:rsidRPr="006E6596">
        <w:rPr>
          <w:noProof/>
          <w:lang w:val="bg-BG"/>
        </w:rPr>
        <w:t xml:space="preserve"> за съдебните и извънсъдебните средства за защита и за това как те могат да бъдат използвани е от основно значение за улесняване на достъпа до правосъдие на всяко лице. По отношение на предоставянето на информация на обществеността относно съдебната система и наличните средства за правна защита, всички държави членки</w:t>
      </w:r>
      <w:r w:rsidRPr="006E6596">
        <w:rPr>
          <w:b/>
          <w:noProof/>
          <w:lang w:val="bg-BG"/>
        </w:rPr>
        <w:t xml:space="preserve"> </w:t>
      </w:r>
      <w:r w:rsidRPr="006E6596">
        <w:rPr>
          <w:noProof/>
          <w:lang w:val="bg-BG"/>
        </w:rPr>
        <w:t>се позовават на информация на специален официален уебсайт на съдебната администрация или на съответното министерство</w:t>
      </w:r>
      <w:r w:rsidRPr="006E6596">
        <w:rPr>
          <w:rStyle w:val="FootnoteReference"/>
          <w:noProof/>
          <w:lang w:val="bg-BG"/>
        </w:rPr>
        <w:footnoteReference w:id="144"/>
      </w:r>
      <w:r w:rsidRPr="006E6596">
        <w:rPr>
          <w:noProof/>
          <w:lang w:val="bg-BG"/>
        </w:rPr>
        <w:t xml:space="preserve">. Например, в </w:t>
      </w:r>
      <w:r w:rsidRPr="006E6596">
        <w:rPr>
          <w:b/>
          <w:noProof/>
          <w:lang w:val="bg-BG"/>
        </w:rPr>
        <w:t>Люксембург</w:t>
      </w:r>
      <w:r w:rsidRPr="006E6596">
        <w:rPr>
          <w:noProof/>
          <w:lang w:val="bg-BG"/>
        </w:rPr>
        <w:t>, информация за правна помощ, съдебни такси, процесуални права и публикувани съдебни решения е достъпна онлайн, заедно с формуляри за контакт или адреси на електронна поща за запитвания от страна на обществеността</w:t>
      </w:r>
      <w:r w:rsidRPr="006E6596">
        <w:rPr>
          <w:rStyle w:val="FootnoteReference"/>
          <w:noProof/>
          <w:lang w:val="bg-BG"/>
        </w:rPr>
        <w:footnoteReference w:id="145"/>
      </w:r>
      <w:r w:rsidRPr="006E6596">
        <w:rPr>
          <w:noProof/>
          <w:lang w:val="bg-BG"/>
        </w:rPr>
        <w:t>.</w:t>
      </w:r>
    </w:p>
    <w:p w14:paraId="3CC96FB7" w14:textId="418248A8" w:rsidR="00B160AD" w:rsidRPr="006E6596" w:rsidRDefault="00B160AD" w:rsidP="00B160AD">
      <w:pPr>
        <w:pStyle w:val="Style1"/>
        <w:rPr>
          <w:noProof/>
          <w:lang w:val="bg-BG"/>
        </w:rPr>
      </w:pPr>
      <w:r w:rsidRPr="006E6596">
        <w:rPr>
          <w:noProof/>
          <w:lang w:val="bg-BG"/>
        </w:rPr>
        <w:t>Отговорите на проучването на Платформата за основните права</w:t>
      </w:r>
      <w:r w:rsidRPr="006E6596">
        <w:rPr>
          <w:b/>
          <w:noProof/>
          <w:lang w:val="bg-BG"/>
        </w:rPr>
        <w:t xml:space="preserve"> </w:t>
      </w:r>
      <w:r w:rsidRPr="006E6596">
        <w:rPr>
          <w:noProof/>
          <w:lang w:val="bg-BG"/>
        </w:rPr>
        <w:t>показват, че информацията се предоставя предимно на страните в наказателни производства (59 от 115 респонденти) и административни производства (45), но значително по-малко на страни в граждански производства (36) или на лица, които се опитват да използват извънсъдебни средства за защита (31)</w:t>
      </w:r>
      <w:r w:rsidRPr="006E6596">
        <w:rPr>
          <w:rStyle w:val="FootnoteReference"/>
          <w:noProof/>
          <w:lang w:val="bg-BG"/>
        </w:rPr>
        <w:footnoteReference w:id="146"/>
      </w:r>
      <w:r w:rsidRPr="006E6596">
        <w:rPr>
          <w:noProof/>
          <w:lang w:val="bg-BG"/>
        </w:rPr>
        <w:t>.</w:t>
      </w:r>
    </w:p>
    <w:p w14:paraId="16CFA11D" w14:textId="7A688F25" w:rsidR="00B160AD" w:rsidRPr="006E6596" w:rsidRDefault="00B160AD" w:rsidP="00B160AD">
      <w:pPr>
        <w:pStyle w:val="Style1"/>
        <w:rPr>
          <w:noProof/>
          <w:lang w:val="bg-BG"/>
        </w:rPr>
      </w:pPr>
      <w:r w:rsidRPr="006E6596">
        <w:rPr>
          <w:noProof/>
          <w:lang w:val="bg-BG"/>
        </w:rPr>
        <w:t xml:space="preserve">Достъпът до </w:t>
      </w:r>
      <w:r w:rsidRPr="006E6596">
        <w:rPr>
          <w:b/>
          <w:noProof/>
          <w:lang w:val="bg-BG"/>
        </w:rPr>
        <w:t>устен и писмен превод</w:t>
      </w:r>
      <w:r w:rsidRPr="006E6596">
        <w:rPr>
          <w:noProof/>
          <w:lang w:val="bg-BG"/>
        </w:rPr>
        <w:t xml:space="preserve"> също е от съществено значение за избягване на създаването на бариери пред достъпа до правосъдие на лица, които не владеят достатъчно добре официалния език на съответната държава. Няколко държави членки, които участваха в консултациите, предоставят безплатен устен и писмен превод за заподозрени и обвиняеми лица в наказателни производства</w:t>
      </w:r>
      <w:r w:rsidRPr="006E6596">
        <w:rPr>
          <w:rStyle w:val="FootnoteReference"/>
          <w:noProof/>
          <w:lang w:val="bg-BG"/>
        </w:rPr>
        <w:footnoteReference w:id="147"/>
      </w:r>
      <w:r w:rsidRPr="006E6596">
        <w:rPr>
          <w:noProof/>
          <w:lang w:val="bg-BG"/>
        </w:rPr>
        <w:t xml:space="preserve">. </w:t>
      </w:r>
    </w:p>
    <w:p w14:paraId="3664A303" w14:textId="647BA1F7" w:rsidR="00B160AD" w:rsidRPr="006E6596" w:rsidRDefault="00B160AD" w:rsidP="00B160AD">
      <w:pPr>
        <w:pStyle w:val="Style1"/>
        <w:rPr>
          <w:noProof/>
          <w:lang w:val="bg-BG"/>
        </w:rPr>
      </w:pPr>
      <w:r w:rsidRPr="006E6596">
        <w:rPr>
          <w:noProof/>
          <w:lang w:val="bg-BG"/>
        </w:rPr>
        <w:t>Обхватът на това право обаче се различава в отделните държави членки. Освен в наказателното производство, устен и писмен превод на съответните съдебни документи е достъпен в някои държави членки и по граждански дела или за гражданския ищец в наказателното производство</w:t>
      </w:r>
      <w:r w:rsidRPr="006E6596">
        <w:rPr>
          <w:rStyle w:val="FootnoteReference"/>
          <w:noProof/>
          <w:lang w:val="bg-BG"/>
        </w:rPr>
        <w:footnoteReference w:id="148"/>
      </w:r>
      <w:r w:rsidRPr="006E6596">
        <w:rPr>
          <w:noProof/>
          <w:lang w:val="bg-BG"/>
        </w:rPr>
        <w:t>. Някои държави членки разширяват достъпа до устен и писмен превод за жертвите</w:t>
      </w:r>
      <w:r w:rsidRPr="006E6596">
        <w:rPr>
          <w:rStyle w:val="FootnoteReference"/>
          <w:noProof/>
          <w:lang w:val="bg-BG"/>
        </w:rPr>
        <w:footnoteReference w:id="149"/>
      </w:r>
      <w:r w:rsidRPr="006E6596">
        <w:rPr>
          <w:noProof/>
          <w:lang w:val="bg-BG"/>
        </w:rPr>
        <w:t xml:space="preserve"> на престъпления и за административните производства</w:t>
      </w:r>
      <w:r w:rsidRPr="006E6596">
        <w:rPr>
          <w:rStyle w:val="FootnoteReference"/>
          <w:noProof/>
          <w:lang w:val="bg-BG"/>
        </w:rPr>
        <w:footnoteReference w:id="150"/>
      </w:r>
      <w:r w:rsidRPr="006E6596">
        <w:rPr>
          <w:noProof/>
          <w:lang w:val="bg-BG"/>
        </w:rPr>
        <w:t>. В това отношение някои посочват конкретно случаи, свързани с имиграция</w:t>
      </w:r>
      <w:r w:rsidRPr="006E6596">
        <w:rPr>
          <w:rStyle w:val="FootnoteReference"/>
          <w:noProof/>
          <w:lang w:val="bg-BG"/>
        </w:rPr>
        <w:footnoteReference w:id="151"/>
      </w:r>
      <w:r w:rsidRPr="006E6596">
        <w:rPr>
          <w:noProof/>
          <w:lang w:val="bg-BG"/>
        </w:rPr>
        <w:t xml:space="preserve"> или непридружени малолетни или непълнолетни лице и техните настойници</w:t>
      </w:r>
      <w:r w:rsidRPr="006E6596">
        <w:rPr>
          <w:rStyle w:val="FootnoteReference"/>
          <w:noProof/>
          <w:lang w:val="bg-BG"/>
        </w:rPr>
        <w:footnoteReference w:id="152"/>
      </w:r>
      <w:r w:rsidRPr="006E6596">
        <w:rPr>
          <w:noProof/>
          <w:lang w:val="bg-BG"/>
        </w:rPr>
        <w:t xml:space="preserve">. В </w:t>
      </w:r>
      <w:r w:rsidRPr="006E6596">
        <w:rPr>
          <w:b/>
          <w:noProof/>
          <w:lang w:val="bg-BG"/>
        </w:rPr>
        <w:t>Хърватия</w:t>
      </w:r>
      <w:r w:rsidRPr="006E6596">
        <w:rPr>
          <w:noProof/>
          <w:lang w:val="bg-BG"/>
        </w:rPr>
        <w:t xml:space="preserve"> омбудсманът препоръча да се осигури устен и писмен превод на няколко езика в случаи, засягащи правата на работниците или при търсене на международна закрила</w:t>
      </w:r>
      <w:r w:rsidRPr="006E6596">
        <w:rPr>
          <w:rStyle w:val="FootnoteReference"/>
          <w:noProof/>
          <w:lang w:val="bg-BG"/>
        </w:rPr>
        <w:footnoteReference w:id="153"/>
      </w:r>
      <w:r w:rsidRPr="006E6596">
        <w:rPr>
          <w:noProof/>
          <w:lang w:val="bg-BG"/>
        </w:rPr>
        <w:t xml:space="preserve">. </w:t>
      </w:r>
    </w:p>
    <w:p w14:paraId="4DCE7CE3" w14:textId="74B694BB" w:rsidR="00B160AD" w:rsidRPr="006E6596" w:rsidRDefault="00B160AD" w:rsidP="00B160AD">
      <w:pPr>
        <w:pStyle w:val="Style1"/>
        <w:rPr>
          <w:noProof/>
          <w:lang w:val="bg-BG"/>
        </w:rPr>
      </w:pPr>
      <w:r w:rsidRPr="006E6596">
        <w:rPr>
          <w:noProof/>
          <w:lang w:val="bg-BG"/>
        </w:rPr>
        <w:t xml:space="preserve">При граждански дела държавите членки обикновено изискват лицата, чиито език не е роден, сами да покриват разходите за устен и писмен превод. В зависимост от финансовото състояние може да съществува възможност за покриване на тези разходи с предоставяне на </w:t>
      </w:r>
      <w:r w:rsidRPr="006E6596">
        <w:rPr>
          <w:b/>
          <w:noProof/>
          <w:lang w:val="bg-BG"/>
        </w:rPr>
        <w:t>правна помощ</w:t>
      </w:r>
      <w:r w:rsidRPr="006E6596">
        <w:rPr>
          <w:noProof/>
          <w:lang w:val="bg-BG"/>
        </w:rPr>
        <w:t>, в зависимост от условията, определени в националното законодателство. Правната помощ обикновено се предоставя на лица без средства за покриване на разходите за устен и писмен превод</w:t>
      </w:r>
      <w:r w:rsidRPr="006E6596">
        <w:rPr>
          <w:rStyle w:val="FootnoteReference"/>
          <w:noProof/>
          <w:lang w:val="bg-BG"/>
        </w:rPr>
        <w:footnoteReference w:id="154"/>
      </w:r>
      <w:r w:rsidRPr="006E6596">
        <w:rPr>
          <w:noProof/>
          <w:lang w:val="bg-BG"/>
        </w:rPr>
        <w:t xml:space="preserve">. Във </w:t>
      </w:r>
      <w:r w:rsidRPr="006E6596">
        <w:rPr>
          <w:b/>
          <w:noProof/>
          <w:lang w:val="bg-BG"/>
        </w:rPr>
        <w:t>Финландия</w:t>
      </w:r>
      <w:r w:rsidRPr="006E6596">
        <w:rPr>
          <w:noProof/>
          <w:lang w:val="bg-BG"/>
        </w:rPr>
        <w:t>, може да бъдат направени предварителни изчисления във връзка с правото на използване и молбите за правна помощ чрез система за управление на правната помощ по дела</w:t>
      </w:r>
      <w:r w:rsidRPr="006E6596">
        <w:rPr>
          <w:rStyle w:val="FootnoteReference"/>
          <w:noProof/>
          <w:lang w:val="bg-BG"/>
        </w:rPr>
        <w:footnoteReference w:id="155"/>
      </w:r>
      <w:r w:rsidRPr="006E6596">
        <w:rPr>
          <w:noProof/>
          <w:lang w:val="bg-BG"/>
        </w:rPr>
        <w:t xml:space="preserve">. </w:t>
      </w:r>
    </w:p>
    <w:p w14:paraId="7B17F704" w14:textId="4F33AF8C" w:rsidR="00B160AD" w:rsidRPr="006E6596" w:rsidRDefault="00B160AD" w:rsidP="00E425FB">
      <w:pPr>
        <w:pStyle w:val="Style1"/>
        <w:rPr>
          <w:noProof/>
          <w:lang w:val="bg-BG"/>
        </w:rPr>
      </w:pPr>
      <w:r w:rsidRPr="006E6596">
        <w:rPr>
          <w:noProof/>
          <w:lang w:val="bg-BG"/>
        </w:rPr>
        <w:t>В проучването на Платформата за основните права, 82 от 115 респонденти потвърдиха, че услугите за устен и писмен превод са най-широко използваните мерки за премахване на бариерите за достъп до съдебни и извънсъдебни средства за защита в съответните държави членки, следвани от правната помощ (79/115)</w:t>
      </w:r>
      <w:r w:rsidRPr="006E6596">
        <w:rPr>
          <w:rStyle w:val="FootnoteReference"/>
          <w:noProof/>
          <w:lang w:val="bg-BG"/>
        </w:rPr>
        <w:footnoteReference w:id="156"/>
      </w:r>
      <w:r w:rsidRPr="006E6596">
        <w:rPr>
          <w:noProof/>
          <w:lang w:val="bg-BG"/>
        </w:rPr>
        <w:t>.</w:t>
      </w:r>
    </w:p>
    <w:p w14:paraId="38341701" w14:textId="3A44E9FD" w:rsidR="00D73988" w:rsidRPr="006E6596" w:rsidRDefault="00D73988" w:rsidP="00D02AC1">
      <w:pPr>
        <w:pStyle w:val="ListParagraph"/>
        <w:numPr>
          <w:ilvl w:val="1"/>
          <w:numId w:val="15"/>
        </w:numPr>
        <w:ind w:left="1080" w:hanging="720"/>
        <w:outlineLvl w:val="0"/>
        <w:rPr>
          <w:rFonts w:cs="Times New Roman"/>
          <w:b/>
          <w:noProof/>
          <w:lang w:val="bg-BG"/>
        </w:rPr>
      </w:pPr>
      <w:bookmarkStart w:id="50" w:name="_Toc147916075"/>
      <w:bookmarkStart w:id="51" w:name="_Toc152859063"/>
      <w:r w:rsidRPr="006E6596">
        <w:rPr>
          <w:b/>
          <w:noProof/>
          <w:lang w:val="bg-BG"/>
        </w:rPr>
        <w:t>Права на жертвите</w:t>
      </w:r>
      <w:bookmarkEnd w:id="50"/>
      <w:bookmarkEnd w:id="51"/>
    </w:p>
    <w:p w14:paraId="4163506A" w14:textId="7C2AB9D7" w:rsidR="00D73988" w:rsidRPr="006E6596" w:rsidRDefault="00D73988" w:rsidP="00D73988">
      <w:pPr>
        <w:pStyle w:val="Style1"/>
        <w:rPr>
          <w:noProof/>
          <w:lang w:val="bg-BG"/>
        </w:rPr>
      </w:pPr>
      <w:r w:rsidRPr="006E6596">
        <w:rPr>
          <w:noProof/>
          <w:lang w:val="bg-BG"/>
        </w:rPr>
        <w:t xml:space="preserve">При консултациите, проведени за набиране на информация за настоящия доклад, повечето държави членки посочват нови мерки, предприети за защита на жертвите на престъпления. Например, в </w:t>
      </w:r>
      <w:r w:rsidRPr="006E6596">
        <w:rPr>
          <w:b/>
          <w:noProof/>
          <w:lang w:val="bg-BG"/>
        </w:rPr>
        <w:t>Румъния</w:t>
      </w:r>
      <w:r w:rsidRPr="006E6596">
        <w:rPr>
          <w:noProof/>
          <w:lang w:val="bg-BG"/>
        </w:rPr>
        <w:t>, целевите служби за подкрепа на жертви на престъпления предоставят услуги за подкрепа на жертви чрез мрежа от 47 офиса в цялата държава</w:t>
      </w:r>
      <w:r w:rsidRPr="006E6596">
        <w:rPr>
          <w:rStyle w:val="FootnoteReference"/>
          <w:noProof/>
          <w:lang w:val="bg-BG"/>
        </w:rPr>
        <w:footnoteReference w:id="157"/>
      </w:r>
      <w:r w:rsidRPr="006E6596">
        <w:rPr>
          <w:noProof/>
          <w:lang w:val="bg-BG"/>
        </w:rPr>
        <w:t xml:space="preserve">. Две от най-големите първоинстанционни съдилища в </w:t>
      </w:r>
      <w:r w:rsidRPr="006E6596">
        <w:rPr>
          <w:b/>
          <w:noProof/>
          <w:lang w:val="bg-BG"/>
        </w:rPr>
        <w:t>Словения</w:t>
      </w:r>
      <w:r w:rsidRPr="006E6596">
        <w:rPr>
          <w:noProof/>
          <w:lang w:val="bg-BG"/>
        </w:rPr>
        <w:t xml:space="preserve"> имат специализирани отдели за подкрепа на жертвите на престъпления, обединяващи съдии и жертви (предимно на насилие, основано на пола или на домашно насилие), с цел избягване на ненужен контакт с предполагаемия извършител и вземане на решение за мерки за защита</w:t>
      </w:r>
      <w:r w:rsidRPr="006E6596">
        <w:rPr>
          <w:rStyle w:val="FootnoteReference"/>
          <w:noProof/>
          <w:lang w:val="bg-BG"/>
        </w:rPr>
        <w:footnoteReference w:id="158"/>
      </w:r>
      <w:r w:rsidRPr="006E6596">
        <w:rPr>
          <w:noProof/>
          <w:lang w:val="bg-BG"/>
        </w:rPr>
        <w:t>.</w:t>
      </w:r>
    </w:p>
    <w:p w14:paraId="0F5CFC73" w14:textId="51051122" w:rsidR="00D73988" w:rsidRPr="006E6596" w:rsidRDefault="00D73988" w:rsidP="00D73988">
      <w:pPr>
        <w:pStyle w:val="Style1"/>
        <w:rPr>
          <w:noProof/>
          <w:lang w:val="bg-BG"/>
        </w:rPr>
      </w:pPr>
      <w:r w:rsidRPr="006E6596">
        <w:rPr>
          <w:b/>
          <w:noProof/>
          <w:lang w:val="bg-BG"/>
        </w:rPr>
        <w:t>Австрия</w:t>
      </w:r>
      <w:r w:rsidRPr="006E6596">
        <w:rPr>
          <w:noProof/>
          <w:lang w:val="bg-BG"/>
        </w:rPr>
        <w:t xml:space="preserve"> предоставя безплатна психосоциална подкрепа на жертви в рамките на наказателни и граждански производства</w:t>
      </w:r>
      <w:r w:rsidRPr="006E6596">
        <w:rPr>
          <w:rStyle w:val="FootnoteReference"/>
          <w:noProof/>
          <w:lang w:val="bg-BG"/>
        </w:rPr>
        <w:footnoteReference w:id="159"/>
      </w:r>
      <w:r w:rsidRPr="006E6596">
        <w:rPr>
          <w:noProof/>
          <w:lang w:val="bg-BG"/>
        </w:rPr>
        <w:t xml:space="preserve">. В </w:t>
      </w:r>
      <w:r w:rsidRPr="006E6596">
        <w:rPr>
          <w:b/>
          <w:noProof/>
          <w:lang w:val="bg-BG"/>
        </w:rPr>
        <w:t>Германия</w:t>
      </w:r>
      <w:r w:rsidRPr="006E6596">
        <w:rPr>
          <w:noProof/>
          <w:lang w:val="bg-BG"/>
        </w:rPr>
        <w:t>, в Наказателно-процесуалният кодекс е предвидено задължение за съдилищата да предоставят психосоциална подкрепа. Жертвите на тежко насилие или на сексуални престъпления могат също така да поискат безвъзмездно назначаване на психосоциален асистент по тяхното дело</w:t>
      </w:r>
      <w:r w:rsidRPr="006E6596">
        <w:rPr>
          <w:rStyle w:val="FootnoteReference"/>
          <w:noProof/>
          <w:lang w:val="bg-BG"/>
        </w:rPr>
        <w:footnoteReference w:id="160"/>
      </w:r>
      <w:r w:rsidRPr="006E6596">
        <w:rPr>
          <w:noProof/>
          <w:lang w:val="bg-BG"/>
        </w:rPr>
        <w:t xml:space="preserve">. В </w:t>
      </w:r>
      <w:r w:rsidRPr="006E6596">
        <w:rPr>
          <w:b/>
          <w:noProof/>
          <w:lang w:val="bg-BG"/>
        </w:rPr>
        <w:t>Швеция</w:t>
      </w:r>
      <w:r w:rsidRPr="006E6596">
        <w:rPr>
          <w:noProof/>
          <w:lang w:val="bg-BG"/>
        </w:rPr>
        <w:t xml:space="preserve"> може и безвъзмездно да бъде назначен адвокат, който да защитава интересите на жертвите и да предявява иск за обезщетение по наказателни дела</w:t>
      </w:r>
      <w:r w:rsidRPr="006E6596">
        <w:rPr>
          <w:rStyle w:val="FootnoteReference"/>
          <w:noProof/>
          <w:lang w:val="bg-BG"/>
        </w:rPr>
        <w:footnoteReference w:id="161"/>
      </w:r>
      <w:r w:rsidRPr="006E6596">
        <w:rPr>
          <w:noProof/>
          <w:lang w:val="bg-BG"/>
        </w:rPr>
        <w:t xml:space="preserve">. В </w:t>
      </w:r>
      <w:r w:rsidRPr="006E6596">
        <w:rPr>
          <w:b/>
          <w:noProof/>
          <w:lang w:val="bg-BG"/>
        </w:rPr>
        <w:t>Гърция</w:t>
      </w:r>
      <w:r w:rsidRPr="006E6596">
        <w:rPr>
          <w:noProof/>
          <w:lang w:val="bg-BG"/>
        </w:rPr>
        <w:t>, психосоциалната подкрепа е достъпна само за жертви на трафик на хора</w:t>
      </w:r>
      <w:r w:rsidRPr="006E6596">
        <w:rPr>
          <w:rStyle w:val="FootnoteReference"/>
          <w:noProof/>
          <w:lang w:val="bg-BG"/>
        </w:rPr>
        <w:footnoteReference w:id="162"/>
      </w:r>
      <w:r w:rsidRPr="006E6596">
        <w:rPr>
          <w:noProof/>
          <w:lang w:val="bg-BG"/>
        </w:rPr>
        <w:t xml:space="preserve">. В </w:t>
      </w:r>
      <w:r w:rsidRPr="006E6596">
        <w:rPr>
          <w:b/>
          <w:noProof/>
          <w:lang w:val="bg-BG"/>
        </w:rPr>
        <w:t>Хърватия,</w:t>
      </w:r>
      <w:r w:rsidRPr="006E6596">
        <w:rPr>
          <w:noProof/>
          <w:lang w:val="bg-BG"/>
        </w:rPr>
        <w:t xml:space="preserve"> омбудсманът</w:t>
      </w:r>
      <w:r w:rsidRPr="006E6596">
        <w:rPr>
          <w:b/>
          <w:noProof/>
          <w:lang w:val="bg-BG"/>
        </w:rPr>
        <w:t xml:space="preserve"> </w:t>
      </w:r>
      <w:r w:rsidRPr="006E6596">
        <w:rPr>
          <w:noProof/>
          <w:lang w:val="bg-BG"/>
        </w:rPr>
        <w:t>препоръча целенасочени обучения относно правата на жертвите на престъпления и създаването на специални отдели за подкрепа на жертви и свидетели във всички съдилища</w:t>
      </w:r>
      <w:r w:rsidRPr="006E6596">
        <w:rPr>
          <w:rStyle w:val="FootnoteReference"/>
          <w:noProof/>
          <w:lang w:val="bg-BG"/>
        </w:rPr>
        <w:footnoteReference w:id="163"/>
      </w:r>
      <w:r w:rsidRPr="006E6596">
        <w:rPr>
          <w:noProof/>
          <w:lang w:val="bg-BG"/>
        </w:rPr>
        <w:t>.</w:t>
      </w:r>
    </w:p>
    <w:p w14:paraId="7D4D866A" w14:textId="7E401511" w:rsidR="00D73988" w:rsidRPr="006E6596" w:rsidRDefault="00277F79" w:rsidP="00D73988">
      <w:pPr>
        <w:pStyle w:val="Style1"/>
        <w:rPr>
          <w:noProof/>
          <w:lang w:val="bg-BG"/>
        </w:rPr>
      </w:pPr>
      <w:r w:rsidRPr="006E6596">
        <w:rPr>
          <w:noProof/>
          <w:lang w:val="bg-BG"/>
        </w:rPr>
        <w:t>Освен това почти една трета от респондентите в проучването на Платформата за основните права (31/115) изразяват съгласие, че уязвимите страни могат да се възползват от бързи производства</w:t>
      </w:r>
      <w:r w:rsidRPr="006E6596">
        <w:rPr>
          <w:rStyle w:val="FootnoteReference"/>
          <w:noProof/>
          <w:lang w:val="bg-BG"/>
        </w:rPr>
        <w:footnoteReference w:id="164"/>
      </w:r>
      <w:r w:rsidRPr="006E6596">
        <w:rPr>
          <w:noProof/>
          <w:lang w:val="bg-BG"/>
        </w:rPr>
        <w:t xml:space="preserve">. В </w:t>
      </w:r>
      <w:r w:rsidRPr="006E6596">
        <w:rPr>
          <w:b/>
          <w:noProof/>
          <w:lang w:val="bg-BG"/>
        </w:rPr>
        <w:t>Кипър</w:t>
      </w:r>
      <w:r w:rsidRPr="006E6596">
        <w:rPr>
          <w:noProof/>
          <w:lang w:val="bg-BG"/>
        </w:rPr>
        <w:t xml:space="preserve"> и</w:t>
      </w:r>
      <w:r w:rsidRPr="006E6596">
        <w:rPr>
          <w:b/>
          <w:noProof/>
          <w:lang w:val="bg-BG"/>
        </w:rPr>
        <w:t xml:space="preserve"> Германия</w:t>
      </w:r>
      <w:r w:rsidRPr="006E6596">
        <w:rPr>
          <w:noProof/>
          <w:lang w:val="bg-BG"/>
        </w:rPr>
        <w:t>, например, делата, които се отнасят до сексуално насилие или деца, могат да бъдат разглеждани с приоритет</w:t>
      </w:r>
      <w:r w:rsidRPr="006E6596">
        <w:rPr>
          <w:rStyle w:val="FootnoteReference"/>
          <w:noProof/>
          <w:lang w:val="bg-BG"/>
        </w:rPr>
        <w:footnoteReference w:id="165"/>
      </w:r>
      <w:r w:rsidRPr="006E6596">
        <w:rPr>
          <w:noProof/>
          <w:lang w:val="bg-BG"/>
        </w:rPr>
        <w:t xml:space="preserve">. В </w:t>
      </w:r>
      <w:r w:rsidRPr="006E6596">
        <w:rPr>
          <w:b/>
          <w:noProof/>
          <w:lang w:val="bg-BG"/>
        </w:rPr>
        <w:t>Белгия</w:t>
      </w:r>
      <w:r w:rsidRPr="006E6596">
        <w:rPr>
          <w:noProof/>
          <w:lang w:val="bg-BG"/>
        </w:rPr>
        <w:t>, в Съдебния кодекс е предвидена ускорена мярка в случаи на трансгранична родителска отговорност и закрила на детето (като например в случаи на международно отвличане на деца)</w:t>
      </w:r>
      <w:r w:rsidRPr="006E6596">
        <w:rPr>
          <w:rStyle w:val="FootnoteReference"/>
          <w:noProof/>
          <w:lang w:val="bg-BG"/>
        </w:rPr>
        <w:footnoteReference w:id="166"/>
      </w:r>
      <w:r w:rsidRPr="006E6596">
        <w:rPr>
          <w:noProof/>
          <w:lang w:val="bg-BG"/>
        </w:rPr>
        <w:t>.</w:t>
      </w:r>
    </w:p>
    <w:p w14:paraId="678C3BF9" w14:textId="114EEECA" w:rsidR="00093CBD" w:rsidRPr="006E6596" w:rsidRDefault="00D73988" w:rsidP="00093CBD">
      <w:pPr>
        <w:pStyle w:val="Style1"/>
        <w:rPr>
          <w:noProof/>
          <w:lang w:val="bg-BG"/>
        </w:rPr>
      </w:pPr>
      <w:r w:rsidRPr="006E6596">
        <w:rPr>
          <w:noProof/>
          <w:lang w:val="bg-BG"/>
        </w:rPr>
        <w:t xml:space="preserve">Що се отнася до справянето с </w:t>
      </w:r>
      <w:r w:rsidRPr="006E6596">
        <w:rPr>
          <w:b/>
          <w:noProof/>
          <w:lang w:val="bg-BG"/>
        </w:rPr>
        <w:t>насилието, основано на пола, и домашното насилие</w:t>
      </w:r>
      <w:r w:rsidRPr="006E6596">
        <w:rPr>
          <w:noProof/>
          <w:lang w:val="bg-BG"/>
        </w:rPr>
        <w:t>, някои държави членки неотдавна допуснаха, след подаване на сигнал за престъплението, правоприлагащите органи да споделят информацията за контакт на жертвите с център за подкрепа, който се свързва с жертвите по своя собствена инициатива, за да предложи подкрепа</w:t>
      </w:r>
      <w:r w:rsidRPr="006E6596">
        <w:rPr>
          <w:rStyle w:val="FootnoteReference"/>
          <w:noProof/>
          <w:lang w:val="bg-BG"/>
        </w:rPr>
        <w:footnoteReference w:id="167"/>
      </w:r>
      <w:r w:rsidRPr="006E6596">
        <w:rPr>
          <w:noProof/>
          <w:lang w:val="bg-BG"/>
        </w:rPr>
        <w:t xml:space="preserve">. Полагат се и известни усилия за осигуряване на предоставянето на целева подкрепа. </w:t>
      </w:r>
      <w:r w:rsidRPr="006E6596">
        <w:rPr>
          <w:b/>
          <w:noProof/>
          <w:lang w:val="bg-BG"/>
        </w:rPr>
        <w:t xml:space="preserve">Във Финландия </w:t>
      </w:r>
      <w:r w:rsidRPr="006E6596">
        <w:rPr>
          <w:noProof/>
          <w:lang w:val="bg-BG"/>
        </w:rPr>
        <w:t>например</w:t>
      </w:r>
      <w:r w:rsidRPr="006E6596">
        <w:rPr>
          <w:b/>
          <w:noProof/>
          <w:lang w:val="bg-BG"/>
        </w:rPr>
        <w:t xml:space="preserve"> </w:t>
      </w:r>
      <w:r w:rsidRPr="006E6596">
        <w:rPr>
          <w:noProof/>
          <w:lang w:val="bg-BG"/>
        </w:rPr>
        <w:t>е създадена мрежа от 24 центъра за подкрепа на жертви на сексуално насилие на територията на цялата държава</w:t>
      </w:r>
      <w:r w:rsidRPr="006E6596">
        <w:rPr>
          <w:rStyle w:val="FootnoteReference"/>
          <w:noProof/>
          <w:lang w:val="bg-BG"/>
        </w:rPr>
        <w:footnoteReference w:id="168"/>
      </w:r>
      <w:r w:rsidRPr="006E6596">
        <w:rPr>
          <w:noProof/>
          <w:lang w:val="bg-BG"/>
        </w:rPr>
        <w:t xml:space="preserve">. В </w:t>
      </w:r>
      <w:r w:rsidRPr="006E6596">
        <w:rPr>
          <w:b/>
          <w:noProof/>
          <w:lang w:val="bg-BG"/>
        </w:rPr>
        <w:t>Швеция</w:t>
      </w:r>
      <w:r w:rsidRPr="006E6596">
        <w:rPr>
          <w:noProof/>
          <w:lang w:val="bg-BG"/>
        </w:rPr>
        <w:t xml:space="preserve"> са създадени отделения за специални грижи за жертвите на сексуално насилие и експлоатация</w:t>
      </w:r>
      <w:r w:rsidRPr="006E6596">
        <w:rPr>
          <w:rStyle w:val="FootnoteReference"/>
          <w:noProof/>
          <w:lang w:val="bg-BG"/>
        </w:rPr>
        <w:footnoteReference w:id="169"/>
      </w:r>
      <w:r w:rsidRPr="006E6596">
        <w:rPr>
          <w:noProof/>
          <w:lang w:val="bg-BG"/>
        </w:rPr>
        <w:t>. В</w:t>
      </w:r>
      <w:r w:rsidRPr="006E6596">
        <w:rPr>
          <w:b/>
          <w:noProof/>
          <w:lang w:val="bg-BG"/>
        </w:rPr>
        <w:t xml:space="preserve"> Хърватия,</w:t>
      </w:r>
      <w:r w:rsidRPr="006E6596">
        <w:rPr>
          <w:noProof/>
          <w:lang w:val="bg-BG"/>
        </w:rPr>
        <w:t xml:space="preserve"> Службата</w:t>
      </w:r>
      <w:r w:rsidRPr="006E6596">
        <w:rPr>
          <w:b/>
          <w:noProof/>
          <w:lang w:val="bg-BG"/>
        </w:rPr>
        <w:t xml:space="preserve"> </w:t>
      </w:r>
      <w:r w:rsidRPr="006E6596">
        <w:rPr>
          <w:noProof/>
          <w:lang w:val="bg-BG"/>
        </w:rPr>
        <w:t>за равенство между половете изготви насоки относно работата по сексуални престъпления, предназначени за специалисти от правоприлагащите органи и съдилищата</w:t>
      </w:r>
      <w:r w:rsidRPr="006E6596">
        <w:rPr>
          <w:rStyle w:val="FootnoteReference"/>
          <w:noProof/>
          <w:lang w:val="bg-BG"/>
        </w:rPr>
        <w:footnoteReference w:id="170"/>
      </w:r>
      <w:r w:rsidRPr="006E6596">
        <w:rPr>
          <w:noProof/>
          <w:lang w:val="bg-BG"/>
        </w:rPr>
        <w:t>.</w:t>
      </w:r>
    </w:p>
    <w:p w14:paraId="75FD0586" w14:textId="18B640A3" w:rsidR="00294A96" w:rsidRPr="006E6596" w:rsidRDefault="00294A96" w:rsidP="00294A96">
      <w:pPr>
        <w:pStyle w:val="Style1"/>
        <w:rPr>
          <w:noProof/>
          <w:lang w:val="bg-BG"/>
        </w:rPr>
      </w:pPr>
      <w:r w:rsidRPr="006E6596">
        <w:rPr>
          <w:noProof/>
          <w:lang w:val="bg-BG"/>
        </w:rPr>
        <w:t xml:space="preserve">Както е отбелязано в стратегията за Хартата и доклада относно прилагането на Хартата за 2022 г. </w:t>
      </w:r>
      <w:r w:rsidRPr="006E6596">
        <w:rPr>
          <w:b/>
          <w:noProof/>
          <w:lang w:val="bg-BG"/>
        </w:rPr>
        <w:t>организациите на гражданското общество</w:t>
      </w:r>
      <w:r w:rsidRPr="006E6596">
        <w:rPr>
          <w:noProof/>
          <w:lang w:val="bg-BG"/>
        </w:rPr>
        <w:t xml:space="preserve"> (ОГО) са централни партньори във веригата за прилагане на Хартата. При консултациите, проведени във връзка със стратегията за Хартата, 80 % от отговорилите ОГО потвърждават, че хората се обръщат към тях за информация относно правата, с които разполагат. Преобладаващото мнозинство (85 %) от ОГО също са извършвали дейности за повишаване на информираността относно основните права</w:t>
      </w:r>
      <w:r w:rsidRPr="006E6596">
        <w:rPr>
          <w:noProof/>
          <w:vertAlign w:val="superscript"/>
          <w:lang w:val="bg-BG"/>
        </w:rPr>
        <w:footnoteReference w:id="171"/>
      </w:r>
      <w:r w:rsidRPr="006E6596">
        <w:rPr>
          <w:noProof/>
          <w:lang w:val="bg-BG"/>
        </w:rPr>
        <w:t>. При консултациите, проведени за набиране на информация за настоящия доклад, няколко държави членки посочват съществения принос на ОГО при предоставянето на правна и друга помощ на нуждаещите се</w:t>
      </w:r>
      <w:r w:rsidRPr="006E6596">
        <w:rPr>
          <w:rStyle w:val="FootnoteReference"/>
          <w:noProof/>
          <w:lang w:val="bg-BG"/>
        </w:rPr>
        <w:footnoteReference w:id="172"/>
      </w:r>
      <w:r w:rsidRPr="006E6596">
        <w:rPr>
          <w:noProof/>
          <w:lang w:val="bg-BG"/>
        </w:rPr>
        <w:t xml:space="preserve">. Например, в </w:t>
      </w:r>
      <w:r w:rsidRPr="006E6596">
        <w:rPr>
          <w:b/>
          <w:noProof/>
          <w:lang w:val="bg-BG"/>
        </w:rPr>
        <w:t>Германия</w:t>
      </w:r>
      <w:r w:rsidRPr="006E6596">
        <w:rPr>
          <w:noProof/>
          <w:lang w:val="bg-BG"/>
        </w:rPr>
        <w:t xml:space="preserve">, </w:t>
      </w:r>
      <w:r w:rsidR="00686C21">
        <w:rPr>
          <w:noProof/>
          <w:lang w:val="bg-BG"/>
        </w:rPr>
        <w:t>властите</w:t>
      </w:r>
      <w:r w:rsidRPr="006E6596">
        <w:rPr>
          <w:noProof/>
          <w:lang w:val="bg-BG"/>
        </w:rPr>
        <w:t xml:space="preserve"> имат сключени споразумения за сътрудничество с центрове за консултиране, управлявани от ОГО, които предоставят подкрепа в случаи на трафик на хора в почти всички федерални провинции</w:t>
      </w:r>
      <w:r w:rsidRPr="006E6596">
        <w:rPr>
          <w:rStyle w:val="FootnoteReference"/>
          <w:noProof/>
          <w:lang w:val="bg-BG"/>
        </w:rPr>
        <w:footnoteReference w:id="173"/>
      </w:r>
      <w:r w:rsidRPr="006E6596">
        <w:rPr>
          <w:noProof/>
          <w:lang w:val="bg-BG"/>
        </w:rPr>
        <w:t xml:space="preserve">. </w:t>
      </w:r>
    </w:p>
    <w:tbl>
      <w:tblPr>
        <w:tblStyle w:val="TableGrid"/>
        <w:tblW w:w="0" w:type="auto"/>
        <w:tblLook w:val="04A0" w:firstRow="1" w:lastRow="0" w:firstColumn="1" w:lastColumn="0" w:noHBand="0" w:noVBand="1"/>
      </w:tblPr>
      <w:tblGrid>
        <w:gridCol w:w="9576"/>
      </w:tblGrid>
      <w:tr w:rsidR="00093CBD" w:rsidRPr="00FF7825" w14:paraId="7B858C99" w14:textId="77777777" w:rsidTr="0094717F">
        <w:tc>
          <w:tcPr>
            <w:tcW w:w="9576" w:type="dxa"/>
          </w:tcPr>
          <w:p w14:paraId="09E5A91C" w14:textId="6D636804" w:rsidR="00093CBD" w:rsidRPr="006E6596" w:rsidRDefault="00093CBD" w:rsidP="0094717F">
            <w:pPr>
              <w:pStyle w:val="Style1"/>
              <w:rPr>
                <w:i/>
                <w:noProof/>
                <w:lang w:val="bg-BG"/>
              </w:rPr>
            </w:pPr>
            <w:r w:rsidRPr="006E6596">
              <w:rPr>
                <w:i/>
                <w:noProof/>
                <w:lang w:val="bg-BG"/>
              </w:rPr>
              <w:t>Предоставяне на редовни, целеви обучения на юристи.</w:t>
            </w:r>
          </w:p>
          <w:p w14:paraId="1C7EDC05" w14:textId="77777777" w:rsidR="00DC3303" w:rsidRPr="006E6596" w:rsidRDefault="00DC3303" w:rsidP="0094717F">
            <w:pPr>
              <w:pStyle w:val="Style1"/>
              <w:rPr>
                <w:noProof/>
                <w:lang w:val="bg-BG"/>
              </w:rPr>
            </w:pPr>
          </w:p>
          <w:p w14:paraId="5653C319" w14:textId="2F0CB45A" w:rsidR="00922B0C" w:rsidRPr="006E6596" w:rsidRDefault="00093CBD" w:rsidP="00922B0C">
            <w:pPr>
              <w:pStyle w:val="Style1"/>
              <w:rPr>
                <w:noProof/>
                <w:lang w:val="bg-BG"/>
              </w:rPr>
            </w:pPr>
            <w:r w:rsidRPr="006E6596">
              <w:rPr>
                <w:noProof/>
                <w:lang w:val="bg-BG"/>
              </w:rPr>
              <w:t>В повечето държави членки се провежда съдебно обучение относно начините на общуване с различни групи жертви или лица от различен културен, религиозен, расов, етнически или езиков произход, както и относно мерките за защита, по-специално в случаи на насилие над жени и домашно насилие или относно чувствителни към аспектите на пола практики в съдебните производства</w:t>
            </w:r>
            <w:r w:rsidRPr="006E6596">
              <w:rPr>
                <w:rStyle w:val="FootnoteReference"/>
                <w:noProof/>
                <w:lang w:val="bg-BG"/>
              </w:rPr>
              <w:footnoteReference w:id="174"/>
            </w:r>
            <w:r w:rsidRPr="006E6596">
              <w:rPr>
                <w:noProof/>
                <w:lang w:val="bg-BG"/>
              </w:rPr>
              <w:t xml:space="preserve">. Например, в </w:t>
            </w:r>
            <w:r w:rsidRPr="006E6596">
              <w:rPr>
                <w:b/>
                <w:noProof/>
                <w:lang w:val="bg-BG"/>
              </w:rPr>
              <w:t xml:space="preserve">Унгария, </w:t>
            </w:r>
            <w:r w:rsidRPr="006E6596">
              <w:rPr>
                <w:noProof/>
                <w:lang w:val="bg-BG"/>
              </w:rPr>
              <w:t>обученията за задоволяване на нуждите на уязвимите групи се водят от психолози в рамките на годишната програма за обучение на съдилищата</w:t>
            </w:r>
            <w:r w:rsidRPr="006E6596">
              <w:rPr>
                <w:rStyle w:val="FootnoteReference"/>
                <w:noProof/>
                <w:lang w:val="bg-BG"/>
              </w:rPr>
              <w:footnoteReference w:id="175"/>
            </w:r>
            <w:r w:rsidRPr="006E6596">
              <w:rPr>
                <w:noProof/>
                <w:lang w:val="bg-BG"/>
              </w:rPr>
              <w:t xml:space="preserve">. В </w:t>
            </w:r>
            <w:r w:rsidRPr="006E6596">
              <w:rPr>
                <w:b/>
                <w:noProof/>
                <w:lang w:val="bg-BG"/>
              </w:rPr>
              <w:t>Испания</w:t>
            </w:r>
            <w:r w:rsidRPr="006E6596">
              <w:rPr>
                <w:noProof/>
                <w:lang w:val="bg-BG"/>
              </w:rPr>
              <w:t xml:space="preserve"> ново законодателство изисква адвокатските колегии да организират обучение относно правата на децата в светлината на Конвенцията за правата на детето и насилието над деца</w:t>
            </w:r>
            <w:r w:rsidRPr="006E6596">
              <w:rPr>
                <w:rStyle w:val="FootnoteReference"/>
                <w:noProof/>
                <w:lang w:val="bg-BG"/>
              </w:rPr>
              <w:footnoteReference w:id="176"/>
            </w:r>
            <w:r w:rsidRPr="006E6596">
              <w:rPr>
                <w:noProof/>
                <w:lang w:val="bg-BG"/>
              </w:rPr>
              <w:t xml:space="preserve">. В </w:t>
            </w:r>
            <w:r w:rsidRPr="006E6596">
              <w:rPr>
                <w:b/>
                <w:noProof/>
                <w:lang w:val="bg-BG"/>
              </w:rPr>
              <w:t>Швеция</w:t>
            </w:r>
            <w:r w:rsidRPr="006E6596">
              <w:rPr>
                <w:noProof/>
                <w:lang w:val="bg-BG"/>
              </w:rPr>
              <w:t xml:space="preserve"> прокурорите, които работят по дела, включващи участието на деца, преминават целево обучение и представляват детето в рамките на производството</w:t>
            </w:r>
            <w:r w:rsidRPr="006E6596">
              <w:rPr>
                <w:rStyle w:val="FootnoteReference"/>
                <w:noProof/>
                <w:lang w:val="bg-BG"/>
              </w:rPr>
              <w:footnoteReference w:id="177"/>
            </w:r>
            <w:r w:rsidRPr="006E6596">
              <w:rPr>
                <w:noProof/>
                <w:lang w:val="bg-BG"/>
              </w:rPr>
              <w:t>. Освен това някои държави членки посочват усилията, положени за подобряване на ефективната правна защита на жертвите чрез предоставяне на целево обучение на други заинтересовани специалисти. Въпреки това беше предоставена недостатъчна информация относно момента на преминаване на подходящо обучение (при поемане на функции или непрекъснато обучение на работното място) и дали то е задължително. Обучението също така може да се организира само в най-големите съдилища или да обхваща една уязвима група или един вид престъпление.</w:t>
            </w:r>
          </w:p>
          <w:p w14:paraId="08F6B4DF" w14:textId="09D6AADD" w:rsidR="00093CBD" w:rsidRPr="006E6596" w:rsidRDefault="00093CBD" w:rsidP="0094717F">
            <w:pPr>
              <w:pStyle w:val="Style1"/>
              <w:rPr>
                <w:noProof/>
                <w:lang w:val="bg-BG"/>
              </w:rPr>
            </w:pPr>
          </w:p>
        </w:tc>
      </w:tr>
    </w:tbl>
    <w:p w14:paraId="61AA3649" w14:textId="77777777" w:rsidR="00093CBD" w:rsidRPr="006E6596" w:rsidRDefault="00093CBD" w:rsidP="00D73988">
      <w:pPr>
        <w:pStyle w:val="Style1"/>
        <w:rPr>
          <w:rStyle w:val="FootnoteReference"/>
          <w:noProof/>
          <w:lang w:val="bg-BG"/>
        </w:rPr>
      </w:pPr>
    </w:p>
    <w:p w14:paraId="357FB6FA" w14:textId="08923F56" w:rsidR="00B160AD" w:rsidRPr="006E6596" w:rsidRDefault="00B160AD" w:rsidP="0074254C">
      <w:pPr>
        <w:pStyle w:val="ListParagraph"/>
        <w:numPr>
          <w:ilvl w:val="1"/>
          <w:numId w:val="15"/>
        </w:numPr>
        <w:ind w:left="990" w:hanging="630"/>
        <w:outlineLvl w:val="0"/>
        <w:rPr>
          <w:rFonts w:cs="Times New Roman"/>
          <w:b/>
          <w:noProof/>
          <w:lang w:val="bg-BG"/>
        </w:rPr>
      </w:pPr>
      <w:bookmarkStart w:id="53" w:name="_Toc147916076"/>
      <w:bookmarkStart w:id="54" w:name="_Toc152859064"/>
      <w:r w:rsidRPr="006E6596">
        <w:rPr>
          <w:b/>
          <w:noProof/>
          <w:lang w:val="bg-BG"/>
        </w:rPr>
        <w:t>Правосъдие, съобразено с интересите на децата</w:t>
      </w:r>
      <w:bookmarkEnd w:id="53"/>
      <w:bookmarkEnd w:id="54"/>
    </w:p>
    <w:p w14:paraId="5EFBF9F3" w14:textId="7A372CBB" w:rsidR="00D73988" w:rsidRPr="006E6596" w:rsidRDefault="00D73988" w:rsidP="00B160AD">
      <w:pPr>
        <w:pStyle w:val="Style1"/>
        <w:rPr>
          <w:noProof/>
          <w:lang w:val="bg-BG"/>
        </w:rPr>
      </w:pPr>
      <w:r w:rsidRPr="006E6596">
        <w:rPr>
          <w:noProof/>
          <w:lang w:val="bg-BG"/>
        </w:rPr>
        <w:t>Консултациите показват, че държавите членки все повече предприемат специални мерки за гарантиране на правна защита специфично адаптирана към нуждите на децата</w:t>
      </w:r>
      <w:r w:rsidRPr="006E6596">
        <w:rPr>
          <w:rStyle w:val="FootnoteReference"/>
          <w:noProof/>
          <w:lang w:val="bg-BG"/>
        </w:rPr>
        <w:footnoteReference w:id="178"/>
      </w:r>
      <w:r w:rsidRPr="006E6596">
        <w:rPr>
          <w:noProof/>
          <w:lang w:val="bg-BG"/>
        </w:rPr>
        <w:t>. Неотдавнашни инициативи за правосъдие, съобразено с интересите на децата, се съсредоточават върху създаването на специални стаи за изслушване на деца, наличието на правна помощ и представителство на децата, както и организирането на специализирано обучение на специалисти в областта на правосъдието, насочено към осигуряване на гаранции, че децата които са заподозрени, обвиняеми, жертви и свидетели могат ефективно да участват в производството по начин, съответстващ на тяхната зрялост. В повечето държави членки</w:t>
      </w:r>
      <w:r w:rsidRPr="006E6596">
        <w:rPr>
          <w:rStyle w:val="FootnoteReference"/>
          <w:noProof/>
          <w:lang w:val="bg-BG"/>
        </w:rPr>
        <w:footnoteReference w:id="179"/>
      </w:r>
      <w:r w:rsidRPr="006E6596">
        <w:rPr>
          <w:noProof/>
          <w:lang w:val="bg-BG"/>
        </w:rPr>
        <w:t>, от съдилищата се изисква да информират детето за производството и да обяснят последиците от него по подходящ за детето начин</w:t>
      </w:r>
      <w:r w:rsidRPr="006E6596">
        <w:rPr>
          <w:rStyle w:val="FootnoteReference"/>
          <w:noProof/>
          <w:lang w:val="bg-BG"/>
        </w:rPr>
        <w:footnoteReference w:id="180"/>
      </w:r>
      <w:r w:rsidRPr="006E6596">
        <w:rPr>
          <w:noProof/>
          <w:lang w:val="bg-BG"/>
        </w:rPr>
        <w:t xml:space="preserve">. </w:t>
      </w:r>
    </w:p>
    <w:p w14:paraId="03B0D9A4" w14:textId="1506C653" w:rsidR="00D73988" w:rsidRPr="006E6596" w:rsidRDefault="00D73988" w:rsidP="00D73988">
      <w:pPr>
        <w:pStyle w:val="Style1"/>
        <w:rPr>
          <w:noProof/>
          <w:lang w:val="bg-BG"/>
        </w:rPr>
      </w:pPr>
      <w:r w:rsidRPr="006E6596">
        <w:rPr>
          <w:noProof/>
          <w:lang w:val="bg-BG"/>
        </w:rPr>
        <w:t xml:space="preserve">Някои държави членки са създали специализирани съдилища или функции на прокурори за дела с участието на деца. През 2021 г. </w:t>
      </w:r>
      <w:r w:rsidRPr="006E6596">
        <w:rPr>
          <w:b/>
          <w:noProof/>
          <w:lang w:val="bg-BG"/>
        </w:rPr>
        <w:t>в Кипър</w:t>
      </w:r>
      <w:r w:rsidRPr="006E6596">
        <w:rPr>
          <w:noProof/>
          <w:lang w:val="bg-BG"/>
        </w:rPr>
        <w:t xml:space="preserve"> са приети изменения в законодателството насочени към приоритизиране на извънсъдебните процедури за ненавършили пълнолетие правонарушители и създаване на специализирани съдилища за деца</w:t>
      </w:r>
      <w:r w:rsidRPr="006E6596">
        <w:rPr>
          <w:rStyle w:val="FootnoteReference"/>
          <w:noProof/>
          <w:lang w:val="bg-BG"/>
        </w:rPr>
        <w:footnoteReference w:id="181"/>
      </w:r>
      <w:r w:rsidRPr="006E6596">
        <w:rPr>
          <w:noProof/>
          <w:lang w:val="bg-BG"/>
        </w:rPr>
        <w:t xml:space="preserve">. В </w:t>
      </w:r>
      <w:r w:rsidRPr="006E6596">
        <w:rPr>
          <w:b/>
          <w:noProof/>
          <w:lang w:val="bg-BG"/>
        </w:rPr>
        <w:t>Германия</w:t>
      </w:r>
      <w:r w:rsidRPr="006E6596">
        <w:rPr>
          <w:noProof/>
          <w:lang w:val="bg-BG"/>
        </w:rPr>
        <w:t xml:space="preserve"> съдилищата и прокурорите за непълнолетни гарантират, че делата с участие на ненавършили пълнолетие лица, се разглеждат от практикуващи юристи с подходящо образование и обучение</w:t>
      </w:r>
      <w:r w:rsidRPr="006E6596">
        <w:rPr>
          <w:rStyle w:val="FootnoteReference"/>
          <w:noProof/>
          <w:lang w:val="bg-BG"/>
        </w:rPr>
        <w:footnoteReference w:id="182"/>
      </w:r>
      <w:r w:rsidRPr="006E6596">
        <w:rPr>
          <w:noProof/>
          <w:lang w:val="bg-BG"/>
        </w:rPr>
        <w:t xml:space="preserve">. </w:t>
      </w:r>
    </w:p>
    <w:p w14:paraId="329A0D72" w14:textId="3FF32DBA" w:rsidR="00D73988" w:rsidRPr="006E6596" w:rsidRDefault="00D73988" w:rsidP="00D73988">
      <w:pPr>
        <w:pStyle w:val="Style1"/>
        <w:rPr>
          <w:noProof/>
          <w:lang w:val="bg-BG"/>
        </w:rPr>
      </w:pPr>
      <w:r w:rsidRPr="006E6596">
        <w:rPr>
          <w:noProof/>
          <w:lang w:val="bg-BG"/>
        </w:rPr>
        <w:t xml:space="preserve">През последните години са предприети и инициативи за подобряване на възможностите на децата да подават сигнали за престъпления. В </w:t>
      </w:r>
      <w:r w:rsidRPr="006E6596">
        <w:rPr>
          <w:b/>
          <w:noProof/>
          <w:lang w:val="bg-BG"/>
        </w:rPr>
        <w:t>Испания</w:t>
      </w:r>
      <w:r w:rsidRPr="006E6596">
        <w:rPr>
          <w:noProof/>
          <w:lang w:val="bg-BG"/>
        </w:rPr>
        <w:t xml:space="preserve"> са въведени мерки за ранно разкриване насочени към установяване на насилие над деца, включително засилено задължение за лицата, които са в контакт с деца, да подават сигнали при съмнение за насилие. Освен това в училищата е задължително да бъде назначен координатор по благосъстоянието и закрилата</w:t>
      </w:r>
      <w:r w:rsidRPr="006E6596">
        <w:rPr>
          <w:rStyle w:val="FootnoteReference"/>
          <w:noProof/>
          <w:lang w:val="bg-BG"/>
        </w:rPr>
        <w:footnoteReference w:id="183"/>
      </w:r>
      <w:r w:rsidRPr="006E6596">
        <w:rPr>
          <w:noProof/>
          <w:lang w:val="bg-BG"/>
        </w:rPr>
        <w:t>.</w:t>
      </w:r>
    </w:p>
    <w:p w14:paraId="5B028FFA" w14:textId="54F55E48" w:rsidR="00D73988" w:rsidRPr="006E6596" w:rsidRDefault="00D73988" w:rsidP="00D73988">
      <w:pPr>
        <w:pStyle w:val="Style1"/>
        <w:rPr>
          <w:noProof/>
          <w:lang w:val="bg-BG"/>
        </w:rPr>
      </w:pPr>
      <w:r w:rsidRPr="006E6596">
        <w:rPr>
          <w:noProof/>
          <w:lang w:val="bg-BG"/>
        </w:rPr>
        <w:t>По същия начин много държави членки са увеличили възможностите за децата да подават сигнали за престъпления и да участват в съдебни производства, подпомагани от законен представител, назначен от съд</w:t>
      </w:r>
      <w:r w:rsidRPr="006E6596">
        <w:rPr>
          <w:rStyle w:val="FootnoteReference"/>
          <w:noProof/>
          <w:lang w:val="bg-BG"/>
        </w:rPr>
        <w:footnoteReference w:id="184"/>
      </w:r>
      <w:r w:rsidRPr="006E6596">
        <w:rPr>
          <w:noProof/>
          <w:lang w:val="bg-BG"/>
        </w:rPr>
        <w:t xml:space="preserve">. Предоставяне на съдействие от неутрална трета страна е особено важно, когато родителят се явява заподозряно или обвиняемо лице. В </w:t>
      </w:r>
      <w:r w:rsidRPr="006E6596">
        <w:rPr>
          <w:b/>
          <w:noProof/>
          <w:lang w:val="bg-BG"/>
        </w:rPr>
        <w:t>Австрия</w:t>
      </w:r>
      <w:r w:rsidRPr="006E6596">
        <w:rPr>
          <w:noProof/>
          <w:lang w:val="bg-BG"/>
        </w:rPr>
        <w:t xml:space="preserve"> се назначава адвокат на детето, за да му бъде осигурена възможност да участва в производството без да бъде натоварвано и да се намалят конфликтите на лоялност</w:t>
      </w:r>
      <w:r w:rsidRPr="006E6596">
        <w:rPr>
          <w:rStyle w:val="FootnoteReference"/>
          <w:noProof/>
          <w:lang w:val="bg-BG"/>
        </w:rPr>
        <w:footnoteReference w:id="185"/>
      </w:r>
      <w:r w:rsidRPr="006E6596">
        <w:rPr>
          <w:noProof/>
          <w:lang w:val="bg-BG"/>
        </w:rPr>
        <w:t xml:space="preserve">. По същия начин, в </w:t>
      </w:r>
      <w:r w:rsidRPr="006E6596">
        <w:rPr>
          <w:b/>
          <w:noProof/>
          <w:lang w:val="bg-BG"/>
        </w:rPr>
        <w:t>Нидерландия</w:t>
      </w:r>
      <w:r w:rsidRPr="006E6596">
        <w:rPr>
          <w:noProof/>
          <w:lang w:val="bg-BG"/>
        </w:rPr>
        <w:t xml:space="preserve"> попечител който да защити най-добрия интерес на детето може да бъде назначен съгласно Гражданския кодекс или по изрично искане на детето</w:t>
      </w:r>
      <w:r w:rsidRPr="006E6596">
        <w:rPr>
          <w:rStyle w:val="FootnoteReference"/>
          <w:noProof/>
          <w:lang w:val="bg-BG"/>
        </w:rPr>
        <w:footnoteReference w:id="186"/>
      </w:r>
      <w:r w:rsidRPr="006E6596">
        <w:rPr>
          <w:noProof/>
          <w:lang w:val="bg-BG"/>
        </w:rPr>
        <w:t xml:space="preserve">. </w:t>
      </w:r>
    </w:p>
    <w:p w14:paraId="0C5A4131" w14:textId="0968648C" w:rsidR="00D73988" w:rsidRPr="006E6596" w:rsidRDefault="00735AD4" w:rsidP="00D73988">
      <w:pPr>
        <w:pStyle w:val="Style1"/>
        <w:rPr>
          <w:noProof/>
          <w:lang w:val="bg-BG"/>
        </w:rPr>
      </w:pPr>
      <w:r w:rsidRPr="006E6596">
        <w:rPr>
          <w:noProof/>
          <w:lang w:val="bg-BG"/>
        </w:rPr>
        <w:t>Няколко държави членки посочват създаването и използването на специални детски стаи в съдилищата</w:t>
      </w:r>
      <w:r w:rsidRPr="006E6596">
        <w:rPr>
          <w:rStyle w:val="FootnoteReference"/>
          <w:noProof/>
          <w:lang w:val="bg-BG"/>
        </w:rPr>
        <w:footnoteReference w:id="187"/>
      </w:r>
      <w:r w:rsidRPr="006E6596">
        <w:rPr>
          <w:noProof/>
          <w:lang w:val="bg-BG"/>
        </w:rPr>
        <w:t xml:space="preserve">. В </w:t>
      </w:r>
      <w:r w:rsidRPr="006E6596">
        <w:rPr>
          <w:b/>
          <w:noProof/>
          <w:lang w:val="bg-BG"/>
        </w:rPr>
        <w:t>Словакия</w:t>
      </w:r>
      <w:r w:rsidRPr="006E6596">
        <w:rPr>
          <w:noProof/>
          <w:lang w:val="bg-BG"/>
        </w:rPr>
        <w:t xml:space="preserve"> се създават семейни стаи, за да се улеснят разпитите на деца или други уязвими лица</w:t>
      </w:r>
      <w:r w:rsidRPr="006E6596">
        <w:rPr>
          <w:rStyle w:val="FootnoteReference"/>
          <w:noProof/>
          <w:lang w:val="bg-BG"/>
        </w:rPr>
        <w:footnoteReference w:id="188"/>
      </w:r>
      <w:r w:rsidRPr="006E6596">
        <w:rPr>
          <w:noProof/>
          <w:lang w:val="bg-BG"/>
        </w:rPr>
        <w:t xml:space="preserve">. Във </w:t>
      </w:r>
      <w:r w:rsidRPr="006E6596">
        <w:rPr>
          <w:b/>
          <w:noProof/>
          <w:lang w:val="bg-BG"/>
        </w:rPr>
        <w:t>Франция</w:t>
      </w:r>
      <w:r w:rsidRPr="006E6596">
        <w:rPr>
          <w:noProof/>
          <w:lang w:val="bg-BG"/>
        </w:rPr>
        <w:t xml:space="preserve"> разпитите на деца жертви могат да се провеждат от следователи в цивилно облекло в стая, оборудвана с играчки, микрофони и камери. Детски психиатър наблюдава и тълкува поведението на детето от контролна зала</w:t>
      </w:r>
      <w:r w:rsidRPr="006E6596">
        <w:rPr>
          <w:rStyle w:val="FootnoteReference"/>
          <w:noProof/>
          <w:lang w:val="bg-BG"/>
        </w:rPr>
        <w:footnoteReference w:id="189"/>
      </w:r>
      <w:r w:rsidRPr="006E6596">
        <w:rPr>
          <w:noProof/>
          <w:lang w:val="bg-BG"/>
        </w:rPr>
        <w:t xml:space="preserve">. </w:t>
      </w:r>
    </w:p>
    <w:p w14:paraId="7D83A055" w14:textId="55CDE1D2" w:rsidR="00D73988" w:rsidRPr="006E6596" w:rsidRDefault="00D73988" w:rsidP="00D73988">
      <w:pPr>
        <w:pStyle w:val="Style1"/>
        <w:rPr>
          <w:noProof/>
          <w:lang w:val="bg-BG"/>
        </w:rPr>
      </w:pPr>
      <w:r w:rsidRPr="006E6596">
        <w:rPr>
          <w:noProof/>
          <w:lang w:val="bg-BG"/>
        </w:rPr>
        <w:t xml:space="preserve">Държавите членки също все повече вземат предвид нуждите на децата при организиране на услуги за подкрепа на жертвите. В </w:t>
      </w:r>
      <w:r w:rsidRPr="006E6596">
        <w:rPr>
          <w:b/>
          <w:noProof/>
          <w:lang w:val="bg-BG"/>
        </w:rPr>
        <w:t>Испания</w:t>
      </w:r>
      <w:r w:rsidRPr="006E6596">
        <w:rPr>
          <w:noProof/>
          <w:lang w:val="bg-BG"/>
        </w:rPr>
        <w:t xml:space="preserve"> в рамките на наказателно производство, което се отнася до насилие над дете или юноша, детето жертва трябва да бъде насочено към служба за подпомагане на жертвите</w:t>
      </w:r>
      <w:r w:rsidRPr="006E6596">
        <w:rPr>
          <w:rStyle w:val="FootnoteReference"/>
          <w:noProof/>
          <w:lang w:val="bg-BG"/>
        </w:rPr>
        <w:footnoteReference w:id="190"/>
      </w:r>
      <w:r w:rsidRPr="006E6596">
        <w:rPr>
          <w:noProof/>
          <w:lang w:val="bg-BG"/>
        </w:rPr>
        <w:t xml:space="preserve">. В сътрудничество с FRA </w:t>
      </w:r>
      <w:r w:rsidRPr="006E6596">
        <w:rPr>
          <w:b/>
          <w:noProof/>
          <w:lang w:val="bg-BG"/>
        </w:rPr>
        <w:t>Румъния</w:t>
      </w:r>
      <w:r w:rsidRPr="006E6596">
        <w:rPr>
          <w:noProof/>
          <w:lang w:val="bg-BG"/>
        </w:rPr>
        <w:t xml:space="preserve"> започна изпълнението на проект за осигуряване на достъпно наказателно правосъдие за деца жертви</w:t>
      </w:r>
      <w:r w:rsidRPr="006E6596">
        <w:rPr>
          <w:rStyle w:val="FootnoteReference"/>
          <w:noProof/>
          <w:lang w:val="bg-BG"/>
        </w:rPr>
        <w:footnoteReference w:id="191"/>
      </w:r>
      <w:r w:rsidRPr="006E6596">
        <w:rPr>
          <w:noProof/>
          <w:lang w:val="bg-BG"/>
        </w:rPr>
        <w:t>. По същия начин, в сътрудничество с UNICEF</w:t>
      </w:r>
      <w:r w:rsidRPr="006E6596">
        <w:rPr>
          <w:rStyle w:val="FootnoteReference"/>
          <w:noProof/>
          <w:lang w:val="bg-BG"/>
        </w:rPr>
        <w:footnoteReference w:id="192"/>
      </w:r>
      <w:r w:rsidRPr="006E6596">
        <w:rPr>
          <w:noProof/>
          <w:lang w:val="bg-BG"/>
        </w:rPr>
        <w:t xml:space="preserve"> </w:t>
      </w:r>
      <w:r w:rsidRPr="006E6596">
        <w:rPr>
          <w:b/>
          <w:noProof/>
          <w:lang w:val="bg-BG"/>
        </w:rPr>
        <w:t>Полша</w:t>
      </w:r>
      <w:r w:rsidRPr="006E6596">
        <w:rPr>
          <w:noProof/>
          <w:lang w:val="bg-BG"/>
        </w:rPr>
        <w:t xml:space="preserve"> е разработила телефонна линия, обслужвана от дежурни правни специалисти, за разговори с деца, включително с деца бежанци от Украйна</w:t>
      </w:r>
      <w:r w:rsidRPr="006E6596">
        <w:rPr>
          <w:rStyle w:val="FootnoteReference"/>
          <w:noProof/>
          <w:lang w:val="bg-BG"/>
        </w:rPr>
        <w:footnoteReference w:id="193"/>
      </w:r>
      <w:r w:rsidRPr="006E6596">
        <w:rPr>
          <w:noProof/>
          <w:lang w:val="bg-BG"/>
        </w:rPr>
        <w:t>.</w:t>
      </w:r>
    </w:p>
    <w:p w14:paraId="3DAACB2C" w14:textId="3E4503D5" w:rsidR="00D73988" w:rsidRPr="006E6596" w:rsidRDefault="00D73988" w:rsidP="00D73988">
      <w:pPr>
        <w:pStyle w:val="Style1"/>
        <w:rPr>
          <w:noProof/>
          <w:lang w:val="bg-BG"/>
        </w:rPr>
      </w:pPr>
      <w:r w:rsidRPr="006E6596">
        <w:rPr>
          <w:noProof/>
          <w:lang w:val="bg-BG"/>
        </w:rPr>
        <w:t>В допълнение към тези положителни примери обаче, някои респонденти участващи в консултацията посочват липсата на подходяща за децата информация и подходящи за възрастта възможности за настаняване, за да се улесни участието на децата в производствата; специализирани съдилища или юристи с подходяща специализация; и закрила на непридружени малолетни или непълнолетни чужденци</w:t>
      </w:r>
      <w:r w:rsidRPr="006E6596">
        <w:rPr>
          <w:rStyle w:val="FootnoteReference"/>
          <w:noProof/>
          <w:lang w:val="bg-BG"/>
        </w:rPr>
        <w:footnoteReference w:id="194"/>
      </w:r>
      <w:r w:rsidRPr="006E6596">
        <w:rPr>
          <w:noProof/>
          <w:lang w:val="bg-BG"/>
        </w:rPr>
        <w:t>. Предложените подобрения включват по-добро наблюдение на прилагането на благоприятни за децата закони, укрепване на правото на децата да подават жалби и предоставяне на протоколи за съдебните специалисти, които разглеждат дела с участието на деца</w:t>
      </w:r>
      <w:r w:rsidRPr="006E6596">
        <w:rPr>
          <w:rStyle w:val="FootnoteReference"/>
          <w:noProof/>
          <w:lang w:val="bg-BG"/>
        </w:rPr>
        <w:footnoteReference w:id="195"/>
      </w:r>
      <w:r w:rsidRPr="006E6596">
        <w:rPr>
          <w:noProof/>
          <w:lang w:val="bg-BG"/>
        </w:rPr>
        <w:t xml:space="preserve">.  </w:t>
      </w:r>
    </w:p>
    <w:p w14:paraId="5C413F35" w14:textId="6A3122AF" w:rsidR="00D73988" w:rsidRPr="006E6596" w:rsidRDefault="00D73988" w:rsidP="00D73988">
      <w:pPr>
        <w:pStyle w:val="Style1"/>
        <w:rPr>
          <w:noProof/>
          <w:lang w:val="bg-BG"/>
        </w:rPr>
      </w:pPr>
      <w:r w:rsidRPr="006E6596">
        <w:rPr>
          <w:noProof/>
          <w:lang w:val="bg-BG"/>
        </w:rPr>
        <w:t>Децата мигранти са изправени пред особени предизвикателства при осъществяване на достъп до механизмите за подаване на жалби</w:t>
      </w:r>
      <w:r w:rsidRPr="006E6596">
        <w:rPr>
          <w:rStyle w:val="FootnoteReference"/>
          <w:noProof/>
          <w:lang w:val="bg-BG"/>
        </w:rPr>
        <w:footnoteReference w:id="196"/>
      </w:r>
      <w:r w:rsidRPr="006E6596">
        <w:rPr>
          <w:noProof/>
          <w:lang w:val="bg-BG"/>
        </w:rPr>
        <w:t xml:space="preserve">. Комитетът на ООН по правата на детето </w:t>
      </w:r>
      <w:r w:rsidR="00703916">
        <w:rPr>
          <w:noProof/>
          <w:lang w:val="bg-BG"/>
        </w:rPr>
        <w:t>подчерта, че деца</w:t>
      </w:r>
      <w:r w:rsidRPr="006E6596">
        <w:rPr>
          <w:noProof/>
          <w:lang w:val="bg-BG"/>
        </w:rPr>
        <w:t>, търсещи убежище, деца бежанци и мигранти, включително деца без документи и отделени от своите семейства деца</w:t>
      </w:r>
      <w:r w:rsidR="00703916">
        <w:rPr>
          <w:noProof/>
          <w:lang w:val="bg-BG"/>
        </w:rPr>
        <w:t>, се нуждаят от</w:t>
      </w:r>
      <w:r w:rsidR="00703916" w:rsidRPr="00703916">
        <w:rPr>
          <w:noProof/>
          <w:lang w:val="bg-BG"/>
        </w:rPr>
        <w:t xml:space="preserve"> </w:t>
      </w:r>
      <w:r w:rsidR="00703916" w:rsidRPr="006E6596">
        <w:rPr>
          <w:noProof/>
          <w:lang w:val="bg-BG"/>
        </w:rPr>
        <w:t>безплатна правна помощ, устен превод и друг вид съдействие</w:t>
      </w:r>
      <w:r w:rsidR="00703916">
        <w:rPr>
          <w:noProof/>
          <w:lang w:val="bg-BG"/>
        </w:rPr>
        <w:t>, за да се</w:t>
      </w:r>
      <w:r w:rsidRPr="006E6596">
        <w:rPr>
          <w:noProof/>
          <w:lang w:val="bg-BG"/>
        </w:rPr>
        <w:t xml:space="preserve"> гарантира, че техните мнения са надлежно взети предвид при вземане на решения, които ги засягат</w:t>
      </w:r>
      <w:r w:rsidRPr="006E6596">
        <w:rPr>
          <w:rStyle w:val="FootnoteReference"/>
          <w:noProof/>
          <w:lang w:val="bg-BG"/>
        </w:rPr>
        <w:footnoteReference w:id="197"/>
      </w:r>
      <w:r w:rsidRPr="006E6596">
        <w:rPr>
          <w:noProof/>
          <w:lang w:val="bg-BG"/>
        </w:rPr>
        <w:t xml:space="preserve">. </w:t>
      </w:r>
      <w:r w:rsidR="00703916">
        <w:rPr>
          <w:noProof/>
          <w:lang w:val="bg-BG"/>
        </w:rPr>
        <w:t>Трябва също също</w:t>
      </w:r>
      <w:r w:rsidRPr="006E6596">
        <w:rPr>
          <w:noProof/>
          <w:lang w:val="bg-BG"/>
        </w:rPr>
        <w:t xml:space="preserve"> да </w:t>
      </w:r>
      <w:r w:rsidR="00703916">
        <w:rPr>
          <w:noProof/>
          <w:lang w:val="bg-BG"/>
        </w:rPr>
        <w:t xml:space="preserve">съществува </w:t>
      </w:r>
      <w:r w:rsidRPr="006E6596">
        <w:rPr>
          <w:noProof/>
          <w:lang w:val="bg-BG"/>
        </w:rPr>
        <w:t>обучение и наличие на адвокати, по-специално за деца, живеещи в лагери и приемни центрове (за бежанци)</w:t>
      </w:r>
      <w:r w:rsidR="00703916">
        <w:rPr>
          <w:noProof/>
          <w:lang w:val="bg-BG"/>
        </w:rPr>
        <w:t>, за да се</w:t>
      </w:r>
      <w:r w:rsidRPr="006E6596">
        <w:rPr>
          <w:noProof/>
          <w:lang w:val="bg-BG"/>
        </w:rPr>
        <w:t xml:space="preserve"> гарантира достъп до правосъдие, съобразено с възрастта и с интересите на децата и до средства за защита</w:t>
      </w:r>
      <w:r w:rsidRPr="006E6596">
        <w:rPr>
          <w:b/>
          <w:noProof/>
          <w:lang w:val="bg-BG"/>
        </w:rPr>
        <w:t xml:space="preserve"> </w:t>
      </w:r>
      <w:r w:rsidRPr="006E6596">
        <w:rPr>
          <w:noProof/>
          <w:lang w:val="bg-BG"/>
        </w:rPr>
        <w:t>за оспорване на всички решения, свързани с техния миграционен статут</w:t>
      </w:r>
      <w:r w:rsidRPr="006E6596">
        <w:rPr>
          <w:rStyle w:val="FootnoteReference"/>
          <w:noProof/>
          <w:lang w:val="bg-BG"/>
        </w:rPr>
        <w:footnoteReference w:id="198"/>
      </w:r>
      <w:r w:rsidRPr="006E6596">
        <w:rPr>
          <w:noProof/>
          <w:lang w:val="bg-BG"/>
        </w:rPr>
        <w:t>.</w:t>
      </w:r>
    </w:p>
    <w:p w14:paraId="4E22C77E" w14:textId="49C3CE00" w:rsidR="00D73988" w:rsidRPr="006E6596" w:rsidRDefault="009B6543" w:rsidP="0074254C">
      <w:pPr>
        <w:pStyle w:val="ListParagraph"/>
        <w:numPr>
          <w:ilvl w:val="1"/>
          <w:numId w:val="15"/>
        </w:numPr>
        <w:ind w:left="990" w:hanging="630"/>
        <w:outlineLvl w:val="0"/>
        <w:rPr>
          <w:rFonts w:cs="Times New Roman"/>
          <w:b/>
          <w:noProof/>
          <w:lang w:val="bg-BG"/>
        </w:rPr>
      </w:pPr>
      <w:bookmarkStart w:id="55" w:name="_Toc147916077"/>
      <w:bookmarkStart w:id="56" w:name="_Toc152859065"/>
      <w:r w:rsidRPr="006E6596">
        <w:rPr>
          <w:b/>
          <w:noProof/>
          <w:lang w:val="bg-BG"/>
        </w:rPr>
        <w:t>Права на жертвите на дискриминация</w:t>
      </w:r>
      <w:bookmarkEnd w:id="55"/>
      <w:bookmarkEnd w:id="56"/>
    </w:p>
    <w:p w14:paraId="2CBD2EA7" w14:textId="2D7C9446" w:rsidR="00D73988" w:rsidRPr="006E6596" w:rsidRDefault="00D73988" w:rsidP="00D73988">
      <w:pPr>
        <w:pStyle w:val="Style1"/>
        <w:rPr>
          <w:noProof/>
          <w:lang w:val="bg-BG"/>
        </w:rPr>
      </w:pPr>
      <w:r w:rsidRPr="006E6596">
        <w:rPr>
          <w:b/>
          <w:noProof/>
          <w:lang w:val="bg-BG"/>
        </w:rPr>
        <w:t>Националните институции по правата на човека (НИПЧ),</w:t>
      </w:r>
      <w:r w:rsidRPr="006E6596">
        <w:rPr>
          <w:noProof/>
          <w:lang w:val="bg-BG"/>
        </w:rPr>
        <w:t xml:space="preserve"> </w:t>
      </w:r>
      <w:r w:rsidRPr="006E6596">
        <w:rPr>
          <w:b/>
          <w:noProof/>
          <w:lang w:val="bg-BG"/>
        </w:rPr>
        <w:t xml:space="preserve">органите по въпросите на равенството и омбудсманите </w:t>
      </w:r>
      <w:r w:rsidRPr="006E6596">
        <w:rPr>
          <w:noProof/>
          <w:lang w:val="bg-BG"/>
        </w:rPr>
        <w:t>насърчават упражняването на основните права</w:t>
      </w:r>
      <w:r w:rsidRPr="006E6596">
        <w:rPr>
          <w:noProof/>
          <w:vertAlign w:val="superscript"/>
          <w:lang w:val="bg-BG"/>
        </w:rPr>
        <w:footnoteReference w:id="199"/>
      </w:r>
      <w:r w:rsidRPr="006E6596">
        <w:rPr>
          <w:noProof/>
          <w:lang w:val="bg-BG"/>
        </w:rPr>
        <w:t xml:space="preserve"> и често са първите точки за контакт с жертвите на дискриминация</w:t>
      </w:r>
      <w:r w:rsidRPr="006E6596">
        <w:rPr>
          <w:rStyle w:val="FootnoteReference"/>
          <w:noProof/>
          <w:lang w:val="bg-BG"/>
        </w:rPr>
        <w:footnoteReference w:id="200"/>
      </w:r>
      <w:r w:rsidRPr="006E6596">
        <w:rPr>
          <w:noProof/>
          <w:lang w:val="bg-BG"/>
        </w:rPr>
        <w:t>. Те предоставят насоки и безплатна правна помощ на лица, за които се предполага, че са преживели дискриминация, наблюдават прилагането на законите по въпросите на равенството и недискриминацията и на Хартата и полагат усилия за повишаване на информираността</w:t>
      </w:r>
      <w:r w:rsidRPr="006E6596">
        <w:rPr>
          <w:rStyle w:val="FootnoteReference"/>
          <w:noProof/>
          <w:lang w:val="bg-BG"/>
        </w:rPr>
        <w:footnoteReference w:id="201"/>
      </w:r>
      <w:r w:rsidRPr="006E6596">
        <w:rPr>
          <w:noProof/>
          <w:lang w:val="bg-BG"/>
        </w:rPr>
        <w:t>. Те могат също така да разследват случаи на дискриминация и да провеждат обучения</w:t>
      </w:r>
      <w:r w:rsidRPr="006E6596">
        <w:rPr>
          <w:rStyle w:val="FootnoteReference"/>
          <w:noProof/>
          <w:lang w:val="bg-BG"/>
        </w:rPr>
        <w:footnoteReference w:id="202"/>
      </w:r>
      <w:r w:rsidRPr="006E6596">
        <w:rPr>
          <w:noProof/>
          <w:lang w:val="bg-BG"/>
        </w:rPr>
        <w:t>. В една трета от държавите членки органите по въпросите на равенството са упълномощени да вземат обвързващи решения при случаи на дискриминация</w:t>
      </w:r>
      <w:r w:rsidRPr="006E6596">
        <w:rPr>
          <w:rStyle w:val="FootnoteReference"/>
          <w:noProof/>
          <w:lang w:val="bg-BG"/>
        </w:rPr>
        <w:footnoteReference w:id="203"/>
      </w:r>
      <w:r w:rsidRPr="006E6596">
        <w:rPr>
          <w:noProof/>
          <w:lang w:val="bg-BG"/>
        </w:rPr>
        <w:t>. Освен това повечето НИПЧ и органи по въпросите на равенството имат правна легитимация да предоставят подкрепа или представляват жертвите в съда</w:t>
      </w:r>
      <w:r w:rsidRPr="006E6596">
        <w:rPr>
          <w:rStyle w:val="FootnoteReference"/>
          <w:noProof/>
          <w:lang w:val="bg-BG"/>
        </w:rPr>
        <w:footnoteReference w:id="204"/>
      </w:r>
      <w:r w:rsidRPr="006E6596">
        <w:rPr>
          <w:noProof/>
          <w:lang w:val="bg-BG"/>
        </w:rPr>
        <w:t>. Някои НИПЧ също имат право да образуват стратегически съдебни производства в съдилищата и да участват в производства пред конституционните съдилища за оспорване на конституционността на правни актове</w:t>
      </w:r>
      <w:r w:rsidRPr="006E6596">
        <w:rPr>
          <w:rStyle w:val="FootnoteReference"/>
          <w:noProof/>
          <w:lang w:val="bg-BG"/>
        </w:rPr>
        <w:footnoteReference w:id="205"/>
      </w:r>
      <w:r w:rsidRPr="006E6596">
        <w:rPr>
          <w:noProof/>
          <w:lang w:val="bg-BG"/>
        </w:rPr>
        <w:t xml:space="preserve">. </w:t>
      </w:r>
    </w:p>
    <w:p w14:paraId="70B396CE" w14:textId="1F50FB94" w:rsidR="00D73988" w:rsidRPr="006E6596" w:rsidRDefault="00D73988" w:rsidP="00D73988">
      <w:pPr>
        <w:pStyle w:val="Style1"/>
        <w:rPr>
          <w:noProof/>
          <w:lang w:val="bg-BG"/>
        </w:rPr>
      </w:pPr>
      <w:r w:rsidRPr="006E6596">
        <w:rPr>
          <w:noProof/>
          <w:lang w:val="bg-BG"/>
        </w:rPr>
        <w:t xml:space="preserve">През 2022 г. и 2023 г., </w:t>
      </w:r>
      <w:r w:rsidRPr="006E6596">
        <w:rPr>
          <w:b/>
          <w:noProof/>
          <w:lang w:val="bg-BG"/>
        </w:rPr>
        <w:t>Европейската мрежа на националните институции по правата на човека</w:t>
      </w:r>
      <w:r w:rsidRPr="006E6596">
        <w:rPr>
          <w:noProof/>
          <w:lang w:val="bg-BG"/>
        </w:rPr>
        <w:t xml:space="preserve"> установи наличието на пречки пред уязвими групи до достъпа до правосъдие в ЕС, включително за хора с ниски доходи, деца, жени, жертви на домашно насилие, на трафик и експлоатация на труда, мигранти и кандидати за международна закрила, както и за етнически малцинства</w:t>
      </w:r>
      <w:r w:rsidRPr="006E6596">
        <w:rPr>
          <w:rStyle w:val="FootnoteReference"/>
          <w:noProof/>
          <w:lang w:val="bg-BG"/>
        </w:rPr>
        <w:footnoteReference w:id="206"/>
      </w:r>
      <w:r w:rsidRPr="006E6596">
        <w:rPr>
          <w:noProof/>
          <w:lang w:val="bg-BG"/>
        </w:rPr>
        <w:t>. Липсата на подаване на сигнали е основен проблем; жертвите често не са склонни да завеждат дела в съда поради разходите, свързани с воденето на съдебни спорове, сложността на процедурите и ограниченото време</w:t>
      </w:r>
      <w:r w:rsidRPr="006E6596">
        <w:rPr>
          <w:noProof/>
          <w:vertAlign w:val="superscript"/>
          <w:lang w:val="bg-BG"/>
        </w:rPr>
        <w:footnoteReference w:id="207"/>
      </w:r>
      <w:r w:rsidRPr="006E6596">
        <w:rPr>
          <w:noProof/>
          <w:lang w:val="bg-BG"/>
        </w:rPr>
        <w:t xml:space="preserve">.  </w:t>
      </w:r>
    </w:p>
    <w:p w14:paraId="34AD4A62" w14:textId="3B876D07" w:rsidR="00D73988" w:rsidRPr="006E6596" w:rsidRDefault="00D73988" w:rsidP="00D73988">
      <w:pPr>
        <w:pStyle w:val="Style1"/>
        <w:rPr>
          <w:noProof/>
          <w:lang w:val="bg-BG"/>
        </w:rPr>
      </w:pPr>
      <w:r w:rsidRPr="006E6596">
        <w:rPr>
          <w:noProof/>
          <w:lang w:val="bg-BG"/>
        </w:rPr>
        <w:t>Някои държави членки посочват мерки, въведени неотдавна с цел подобряване на достъпа до средствата за защита</w:t>
      </w:r>
      <w:r w:rsidRPr="006E6596">
        <w:rPr>
          <w:rStyle w:val="FootnoteReference"/>
          <w:noProof/>
          <w:lang w:val="bg-BG"/>
        </w:rPr>
        <w:footnoteReference w:id="208"/>
      </w:r>
      <w:r w:rsidRPr="006E6596">
        <w:rPr>
          <w:noProof/>
          <w:lang w:val="bg-BG"/>
        </w:rPr>
        <w:t xml:space="preserve">. Например, в </w:t>
      </w:r>
      <w:r w:rsidRPr="006E6596">
        <w:rPr>
          <w:b/>
          <w:noProof/>
          <w:lang w:val="bg-BG"/>
        </w:rPr>
        <w:t>България</w:t>
      </w:r>
      <w:r w:rsidRPr="006E6596">
        <w:rPr>
          <w:noProof/>
          <w:lang w:val="bg-BG"/>
        </w:rPr>
        <w:t xml:space="preserve"> са създадени регионални служби за защита от дискриминация, които повишават информираността на обществеността по въпросите на защитата от дискриминация и правната помощ</w:t>
      </w:r>
      <w:r w:rsidRPr="006E6596">
        <w:rPr>
          <w:rStyle w:val="FootnoteReference"/>
          <w:noProof/>
          <w:lang w:val="bg-BG"/>
        </w:rPr>
        <w:footnoteReference w:id="209"/>
      </w:r>
      <w:r w:rsidRPr="006E6596">
        <w:rPr>
          <w:noProof/>
          <w:lang w:val="bg-BG"/>
        </w:rPr>
        <w:t xml:space="preserve">. </w:t>
      </w:r>
    </w:p>
    <w:p w14:paraId="346FA1B1" w14:textId="0C7C641E" w:rsidR="00F41127" w:rsidRPr="006E6596" w:rsidRDefault="00D73988" w:rsidP="00F41127">
      <w:pPr>
        <w:pStyle w:val="Style1"/>
        <w:rPr>
          <w:noProof/>
          <w:lang w:val="bg-BG"/>
        </w:rPr>
      </w:pPr>
      <w:r w:rsidRPr="006E6596">
        <w:rPr>
          <w:noProof/>
          <w:lang w:val="bg-BG"/>
        </w:rPr>
        <w:t xml:space="preserve">Някои държави членки са въвели </w:t>
      </w:r>
      <w:r w:rsidRPr="006E6596">
        <w:rPr>
          <w:b/>
          <w:noProof/>
          <w:lang w:val="bg-BG"/>
        </w:rPr>
        <w:t>механизми за колективна защита</w:t>
      </w:r>
      <w:r w:rsidRPr="006E6596">
        <w:rPr>
          <w:noProof/>
          <w:lang w:val="bg-BG"/>
        </w:rPr>
        <w:t xml:space="preserve"> в областта на борбата с дискриминацията. Например, във </w:t>
      </w:r>
      <w:r w:rsidRPr="006E6596">
        <w:rPr>
          <w:b/>
          <w:noProof/>
          <w:lang w:val="bg-BG"/>
        </w:rPr>
        <w:t>Франция</w:t>
      </w:r>
      <w:r w:rsidRPr="006E6596">
        <w:rPr>
          <w:noProof/>
          <w:lang w:val="bg-BG"/>
        </w:rPr>
        <w:t xml:space="preserve"> представителните синдикални организации и антидискриминационни сдружения могат да предявяват групови искове срещу дискриминационни практики</w:t>
      </w:r>
      <w:r w:rsidRPr="006E6596">
        <w:rPr>
          <w:rStyle w:val="FootnoteReference"/>
          <w:noProof/>
          <w:lang w:val="bg-BG"/>
        </w:rPr>
        <w:footnoteReference w:id="210"/>
      </w:r>
      <w:r w:rsidRPr="006E6596">
        <w:rPr>
          <w:noProof/>
          <w:lang w:val="bg-BG"/>
        </w:rPr>
        <w:t xml:space="preserve">. В </w:t>
      </w:r>
      <w:r w:rsidRPr="006E6596">
        <w:rPr>
          <w:b/>
          <w:noProof/>
          <w:lang w:val="bg-BG"/>
        </w:rPr>
        <w:t>Унгария</w:t>
      </w:r>
      <w:r w:rsidRPr="006E6596">
        <w:rPr>
          <w:noProof/>
          <w:lang w:val="bg-BG"/>
        </w:rPr>
        <w:t xml:space="preserve"> гражданското общество и представителните организации за защита на интереси могат да поискат разследване на потенциални нарушения на равното третиране</w:t>
      </w:r>
      <w:r w:rsidRPr="006E6596">
        <w:rPr>
          <w:rStyle w:val="FootnoteReference"/>
          <w:noProof/>
          <w:lang w:val="bg-BG"/>
        </w:rPr>
        <w:footnoteReference w:id="211"/>
      </w:r>
      <w:r w:rsidRPr="006E6596">
        <w:rPr>
          <w:noProof/>
          <w:lang w:val="bg-BG"/>
        </w:rPr>
        <w:t xml:space="preserve">. </w:t>
      </w:r>
    </w:p>
    <w:tbl>
      <w:tblPr>
        <w:tblStyle w:val="TableGrid"/>
        <w:tblW w:w="0" w:type="auto"/>
        <w:tblLook w:val="04A0" w:firstRow="1" w:lastRow="0" w:firstColumn="1" w:lastColumn="0" w:noHBand="0" w:noVBand="1"/>
      </w:tblPr>
      <w:tblGrid>
        <w:gridCol w:w="9576"/>
      </w:tblGrid>
      <w:tr w:rsidR="00F41127" w:rsidRPr="00FF7825" w14:paraId="216BC895" w14:textId="77777777" w:rsidTr="0094717F">
        <w:tc>
          <w:tcPr>
            <w:tcW w:w="9576" w:type="dxa"/>
          </w:tcPr>
          <w:p w14:paraId="399ACA8F" w14:textId="33101D86" w:rsidR="00F41127" w:rsidRPr="006E6596" w:rsidRDefault="00F41127" w:rsidP="0094717F">
            <w:pPr>
              <w:pStyle w:val="Style1"/>
              <w:rPr>
                <w:i/>
                <w:noProof/>
                <w:lang w:val="bg-BG"/>
              </w:rPr>
            </w:pPr>
            <w:r w:rsidRPr="006E6596">
              <w:rPr>
                <w:i/>
                <w:noProof/>
                <w:lang w:val="bg-BG"/>
              </w:rPr>
              <w:t>Усилия за осигуряване на ефективна правна защита на хората с увреждания</w:t>
            </w:r>
          </w:p>
          <w:p w14:paraId="0C497221" w14:textId="77777777" w:rsidR="00BC6DE4" w:rsidRPr="006E6596" w:rsidRDefault="00BC6DE4" w:rsidP="0094717F">
            <w:pPr>
              <w:pStyle w:val="Style1"/>
              <w:rPr>
                <w:i/>
                <w:noProof/>
                <w:lang w:val="bg-BG"/>
              </w:rPr>
            </w:pPr>
          </w:p>
          <w:p w14:paraId="63E02C13" w14:textId="7C95268D" w:rsidR="00F41127" w:rsidRPr="006E6596" w:rsidRDefault="00F41127" w:rsidP="00F41127">
            <w:pPr>
              <w:pStyle w:val="Style1"/>
              <w:rPr>
                <w:noProof/>
                <w:lang w:val="bg-BG"/>
              </w:rPr>
            </w:pPr>
            <w:r w:rsidRPr="006E6596">
              <w:rPr>
                <w:noProof/>
                <w:lang w:val="bg-BG"/>
              </w:rPr>
              <w:t>Достъпът до правосъдие означава и достъпност на производствата за хора с увреждания. Около половината от респондентите в проучването на Платформата за основните права съобщават, че в тяхната държава членка са въведени мерки за улесняване на достъпа на хората с увреждания до съдебни и извънсъдебни средства за защита. Респондентите обаче също така посочват, че са необходими допълнителни подобрения</w:t>
            </w:r>
            <w:r w:rsidRPr="006E6596">
              <w:rPr>
                <w:rStyle w:val="FootnoteReference"/>
                <w:noProof/>
                <w:lang w:val="bg-BG"/>
              </w:rPr>
              <w:footnoteReference w:id="212"/>
            </w:r>
            <w:r w:rsidRPr="006E6596">
              <w:rPr>
                <w:noProof/>
                <w:lang w:val="bg-BG"/>
              </w:rPr>
              <w:t>.</w:t>
            </w:r>
          </w:p>
          <w:p w14:paraId="2A07BA82" w14:textId="3D0FBF4C" w:rsidR="00F41127" w:rsidRPr="006E6596" w:rsidRDefault="00F41127" w:rsidP="00F41127">
            <w:pPr>
              <w:pStyle w:val="Style1"/>
              <w:rPr>
                <w:noProof/>
                <w:lang w:val="bg-BG"/>
              </w:rPr>
            </w:pPr>
            <w:r w:rsidRPr="006E6596">
              <w:rPr>
                <w:noProof/>
                <w:lang w:val="bg-BG"/>
              </w:rPr>
              <w:t xml:space="preserve">Основен елемент в това отношение е физическата достъпност на сградите. В </w:t>
            </w:r>
            <w:r w:rsidRPr="006E6596">
              <w:rPr>
                <w:b/>
                <w:noProof/>
                <w:lang w:val="bg-BG"/>
              </w:rPr>
              <w:t>Словения</w:t>
            </w:r>
            <w:r w:rsidRPr="006E6596">
              <w:rPr>
                <w:noProof/>
                <w:lang w:val="bg-BG"/>
              </w:rPr>
              <w:t>, Институтът за градско планиране посети всички съдебни сгради за анализ на достъпността, с който се осигурява основа за бъдещи инвестиции и се предоставят съвети на хората с увреждания, посещаващи съдилищата</w:t>
            </w:r>
            <w:r w:rsidRPr="006E6596">
              <w:rPr>
                <w:rStyle w:val="FootnoteReference"/>
                <w:noProof/>
                <w:lang w:val="bg-BG"/>
              </w:rPr>
              <w:footnoteReference w:id="213"/>
            </w:r>
            <w:r w:rsidRPr="006E6596">
              <w:rPr>
                <w:noProof/>
                <w:lang w:val="bg-BG"/>
              </w:rPr>
              <w:t xml:space="preserve">. </w:t>
            </w:r>
          </w:p>
          <w:p w14:paraId="058ACC65" w14:textId="1BA7C9DB" w:rsidR="00F41127" w:rsidRPr="006E6596" w:rsidRDefault="00F41127" w:rsidP="00F41127">
            <w:pPr>
              <w:pStyle w:val="Style1"/>
              <w:rPr>
                <w:noProof/>
                <w:lang w:val="bg-BG"/>
              </w:rPr>
            </w:pPr>
            <w:r w:rsidRPr="006E6596">
              <w:rPr>
                <w:noProof/>
                <w:lang w:val="bg-BG"/>
              </w:rPr>
              <w:t xml:space="preserve">В няколко държави членки обаче съдебните сгради не са напълно достъпни. В </w:t>
            </w:r>
            <w:r w:rsidRPr="006E6596">
              <w:rPr>
                <w:b/>
                <w:noProof/>
                <w:lang w:val="bg-BG"/>
              </w:rPr>
              <w:t xml:space="preserve">Германия, </w:t>
            </w:r>
            <w:r w:rsidRPr="006E6596">
              <w:rPr>
                <w:noProof/>
                <w:lang w:val="bg-BG"/>
              </w:rPr>
              <w:t>някои федерални провинции са приели разпоредби относно достъпа без бариери с оглед на непрекъснатото подобряване на достъпа, включително чрез асансьори, достъпни тоалетни, мултисензорни домофонни системи, висококонтрастни повърхности за ходене или маркировки на стъпалата, тактилни знаци и системи с индукционна верига</w:t>
            </w:r>
            <w:r w:rsidRPr="006E6596">
              <w:rPr>
                <w:rStyle w:val="FootnoteReference"/>
                <w:noProof/>
                <w:lang w:val="bg-BG"/>
              </w:rPr>
              <w:footnoteReference w:id="214"/>
            </w:r>
            <w:r w:rsidRPr="006E6596">
              <w:rPr>
                <w:noProof/>
                <w:lang w:val="bg-BG"/>
              </w:rPr>
              <w:t xml:space="preserve">. </w:t>
            </w:r>
            <w:r w:rsidRPr="006E6596">
              <w:rPr>
                <w:b/>
                <w:noProof/>
                <w:lang w:val="bg-BG"/>
              </w:rPr>
              <w:t>Белгия</w:t>
            </w:r>
            <w:r w:rsidRPr="006E6596">
              <w:rPr>
                <w:noProof/>
                <w:lang w:val="bg-BG"/>
              </w:rPr>
              <w:t xml:space="preserve"> съобщава, че въпреки че значителен брой обществени сгради са адаптирани към изискванията на законодателството за достъпност, правилата не се спазват във всички съдебни сгради. В много случаи това се дължи на строителните работи, които трябва да бъдат приведени в съответствие с изискванията за опазване на сградите, включени в списъка</w:t>
            </w:r>
            <w:r w:rsidRPr="006E6596">
              <w:rPr>
                <w:rStyle w:val="FootnoteReference"/>
                <w:noProof/>
                <w:lang w:val="bg-BG"/>
              </w:rPr>
              <w:footnoteReference w:id="215"/>
            </w:r>
            <w:r w:rsidRPr="006E6596">
              <w:rPr>
                <w:noProof/>
                <w:lang w:val="bg-BG"/>
              </w:rPr>
              <w:t xml:space="preserve">. В </w:t>
            </w:r>
            <w:r w:rsidRPr="006E6596">
              <w:rPr>
                <w:b/>
                <w:noProof/>
                <w:lang w:val="bg-BG"/>
              </w:rPr>
              <w:t>Полша</w:t>
            </w:r>
            <w:r w:rsidRPr="006E6596">
              <w:rPr>
                <w:noProof/>
                <w:lang w:val="bg-BG"/>
              </w:rPr>
              <w:t>, проект за осигуряване на достъп до правосъдие на хора с увреждания включва прилагане на мерки за адаптация и осъществяване на строителни работи в 35 съдебни сгради</w:t>
            </w:r>
            <w:r w:rsidRPr="006E6596">
              <w:rPr>
                <w:rStyle w:val="FootnoteReference"/>
                <w:noProof/>
                <w:lang w:val="bg-BG"/>
              </w:rPr>
              <w:footnoteReference w:id="216"/>
            </w:r>
            <w:r w:rsidRPr="006E6596">
              <w:rPr>
                <w:noProof/>
                <w:lang w:val="bg-BG"/>
              </w:rPr>
              <w:t xml:space="preserve">. В </w:t>
            </w:r>
            <w:r w:rsidRPr="006E6596">
              <w:rPr>
                <w:b/>
                <w:noProof/>
                <w:lang w:val="bg-BG"/>
              </w:rPr>
              <w:t>Унгария,</w:t>
            </w:r>
            <w:r w:rsidRPr="006E6596">
              <w:rPr>
                <w:noProof/>
                <w:lang w:val="bg-BG"/>
              </w:rPr>
              <w:t xml:space="preserve"> работите по осигуряване на достъпност на съдебните сгради се финансират с подкрепа по линия на ЕС</w:t>
            </w:r>
            <w:r w:rsidRPr="006E6596">
              <w:rPr>
                <w:rStyle w:val="FootnoteReference"/>
                <w:noProof/>
                <w:lang w:val="bg-BG"/>
              </w:rPr>
              <w:footnoteReference w:id="217"/>
            </w:r>
            <w:r w:rsidRPr="006E6596">
              <w:rPr>
                <w:noProof/>
                <w:lang w:val="bg-BG"/>
              </w:rPr>
              <w:t>. През 2022 г. обаче Комитетът на ООН за правата на хората с увреждания отбеляза със загриженост, че пречките пред достъпа на хора с увреждания до правосъдие продължават да съществуват поради различни причини, включително недостъпността на сградите</w:t>
            </w:r>
            <w:r w:rsidRPr="006E6596">
              <w:rPr>
                <w:rStyle w:val="FootnoteReference"/>
                <w:noProof/>
                <w:lang w:val="bg-BG"/>
              </w:rPr>
              <w:footnoteReference w:id="218"/>
            </w:r>
            <w:r w:rsidRPr="006E6596">
              <w:rPr>
                <w:noProof/>
                <w:lang w:val="bg-BG"/>
              </w:rPr>
              <w:t xml:space="preserve">. </w:t>
            </w:r>
          </w:p>
          <w:p w14:paraId="35B5FB05" w14:textId="00F2BAD7" w:rsidR="00761820" w:rsidRPr="006E6596" w:rsidRDefault="00F41127" w:rsidP="00F41127">
            <w:pPr>
              <w:pStyle w:val="Style1"/>
              <w:rPr>
                <w:noProof/>
                <w:lang w:val="bg-BG"/>
              </w:rPr>
            </w:pPr>
            <w:r w:rsidRPr="006E6596">
              <w:rPr>
                <w:noProof/>
                <w:lang w:val="bg-BG"/>
              </w:rPr>
              <w:t>Държавите членки също така въведоха решения, за да гарантират, че лицата с увредено зрение, с увреден слух и слабо грамотните или неграмотни лица получават съдебна информация наравно с останалите</w:t>
            </w:r>
            <w:r w:rsidRPr="006E6596">
              <w:rPr>
                <w:rStyle w:val="FootnoteReference"/>
                <w:noProof/>
                <w:lang w:val="bg-BG"/>
              </w:rPr>
              <w:footnoteReference w:id="219"/>
            </w:r>
            <w:r w:rsidRPr="006E6596">
              <w:rPr>
                <w:noProof/>
                <w:lang w:val="bg-BG"/>
              </w:rPr>
              <w:t xml:space="preserve">. Например, в </w:t>
            </w:r>
            <w:r w:rsidRPr="006E6596">
              <w:rPr>
                <w:b/>
                <w:noProof/>
                <w:lang w:val="bg-BG"/>
              </w:rPr>
              <w:t>Ирландия</w:t>
            </w:r>
            <w:r w:rsidRPr="006E6596">
              <w:rPr>
                <w:noProof/>
                <w:lang w:val="bg-BG"/>
              </w:rPr>
              <w:t>, Трибуналът за присъждане на обезщетения за увреждания, причинени в резултат на извършени престъпления предоставя безплатен превод на ирландски жестомимичен език при поискване</w:t>
            </w:r>
            <w:r w:rsidRPr="006E6596">
              <w:rPr>
                <w:rStyle w:val="FootnoteReference"/>
                <w:noProof/>
                <w:lang w:val="bg-BG"/>
              </w:rPr>
              <w:footnoteReference w:id="220"/>
            </w:r>
            <w:r w:rsidRPr="006E6596">
              <w:rPr>
                <w:noProof/>
                <w:lang w:val="bg-BG"/>
              </w:rPr>
              <w:t xml:space="preserve">. В </w:t>
            </w:r>
            <w:r w:rsidRPr="006E6596">
              <w:rPr>
                <w:b/>
                <w:noProof/>
                <w:lang w:val="bg-BG"/>
              </w:rPr>
              <w:t>България</w:t>
            </w:r>
            <w:r w:rsidRPr="006E6596">
              <w:rPr>
                <w:noProof/>
                <w:lang w:val="bg-BG"/>
              </w:rPr>
              <w:t>, повечето съдилища използват софтуер за синтез на реч, за да превеждат съдебни документи на естествен език</w:t>
            </w:r>
            <w:r w:rsidRPr="006E6596">
              <w:rPr>
                <w:rStyle w:val="FootnoteReference"/>
                <w:noProof/>
                <w:lang w:val="bg-BG"/>
              </w:rPr>
              <w:footnoteReference w:id="221"/>
            </w:r>
            <w:r w:rsidRPr="006E6596">
              <w:rPr>
                <w:noProof/>
                <w:lang w:val="bg-BG"/>
              </w:rPr>
              <w:t xml:space="preserve">. Върховният съд </w:t>
            </w:r>
            <w:r w:rsidRPr="006E6596">
              <w:rPr>
                <w:b/>
                <w:noProof/>
                <w:lang w:val="bg-BG"/>
              </w:rPr>
              <w:t>на</w:t>
            </w:r>
            <w:r w:rsidRPr="006E6596">
              <w:rPr>
                <w:noProof/>
                <w:lang w:val="bg-BG"/>
              </w:rPr>
              <w:t xml:space="preserve"> </w:t>
            </w:r>
            <w:r w:rsidRPr="006E6596">
              <w:rPr>
                <w:b/>
                <w:noProof/>
                <w:lang w:val="bg-BG"/>
              </w:rPr>
              <w:t>Испания</w:t>
            </w:r>
            <w:r w:rsidRPr="006E6596">
              <w:rPr>
                <w:noProof/>
                <w:lang w:val="bg-BG"/>
              </w:rPr>
              <w:t xml:space="preserve"> неотдавна разпореди две съдебни решения да бъдат адаптирани към лесен за четене формат, така че да могат да бъдат разбрани от лицата с интелектуални увреждания, участващи в делото</w:t>
            </w:r>
            <w:r w:rsidRPr="006E6596">
              <w:rPr>
                <w:rStyle w:val="FootnoteReference"/>
                <w:noProof/>
                <w:lang w:val="bg-BG"/>
              </w:rPr>
              <w:footnoteReference w:id="222"/>
            </w:r>
            <w:r w:rsidRPr="006E6596">
              <w:rPr>
                <w:noProof/>
                <w:lang w:val="bg-BG"/>
              </w:rPr>
              <w:t xml:space="preserve">. </w:t>
            </w:r>
          </w:p>
        </w:tc>
      </w:tr>
    </w:tbl>
    <w:p w14:paraId="3900A7FD" w14:textId="67F855D6" w:rsidR="00397E3E" w:rsidRPr="006E6596" w:rsidRDefault="00397E3E" w:rsidP="00E425FB">
      <w:pPr>
        <w:pStyle w:val="Style1"/>
        <w:rPr>
          <w:noProof/>
          <w:highlight w:val="yellow"/>
          <w:lang w:val="bg-BG"/>
        </w:rPr>
      </w:pPr>
    </w:p>
    <w:p w14:paraId="7494F154" w14:textId="06C65633" w:rsidR="00D73988" w:rsidRPr="006E6596" w:rsidRDefault="00D73988" w:rsidP="0074254C">
      <w:pPr>
        <w:pStyle w:val="ListParagraph"/>
        <w:numPr>
          <w:ilvl w:val="1"/>
          <w:numId w:val="15"/>
        </w:numPr>
        <w:ind w:left="990" w:hanging="630"/>
        <w:outlineLvl w:val="0"/>
        <w:rPr>
          <w:rFonts w:cs="Times New Roman"/>
          <w:b/>
          <w:noProof/>
          <w:lang w:val="bg-BG"/>
        </w:rPr>
      </w:pPr>
      <w:bookmarkStart w:id="57" w:name="_Toc147916078"/>
      <w:bookmarkStart w:id="58" w:name="_Toc152859066"/>
      <w:r w:rsidRPr="006E6596">
        <w:rPr>
          <w:b/>
          <w:noProof/>
          <w:lang w:val="bg-BG"/>
        </w:rPr>
        <w:t>Права на потребителите</w:t>
      </w:r>
      <w:bookmarkEnd w:id="57"/>
      <w:r w:rsidRPr="006E6596">
        <w:rPr>
          <w:b/>
          <w:noProof/>
          <w:lang w:val="bg-BG"/>
        </w:rPr>
        <w:t xml:space="preserve"> и алтернативно разрешаване на спорове</w:t>
      </w:r>
      <w:bookmarkEnd w:id="58"/>
      <w:r w:rsidRPr="006E6596">
        <w:rPr>
          <w:b/>
          <w:noProof/>
          <w:lang w:val="bg-BG"/>
        </w:rPr>
        <w:t xml:space="preserve"> </w:t>
      </w:r>
    </w:p>
    <w:p w14:paraId="2916A019" w14:textId="0EF792A8" w:rsidR="00E225AB" w:rsidRPr="006E6596" w:rsidRDefault="00D73988" w:rsidP="00D73988">
      <w:pPr>
        <w:pStyle w:val="Style1"/>
        <w:rPr>
          <w:noProof/>
          <w:lang w:val="bg-BG"/>
        </w:rPr>
      </w:pPr>
      <w:r w:rsidRPr="006E6596">
        <w:rPr>
          <w:noProof/>
          <w:lang w:val="bg-BG"/>
        </w:rPr>
        <w:t xml:space="preserve">В </w:t>
      </w:r>
      <w:r w:rsidRPr="006E6596">
        <w:rPr>
          <w:b/>
          <w:noProof/>
          <w:lang w:val="bg-BG"/>
        </w:rPr>
        <w:t>законодателството за защита на потребителите</w:t>
      </w:r>
      <w:r w:rsidRPr="006E6596">
        <w:rPr>
          <w:noProof/>
          <w:lang w:val="bg-BG"/>
        </w:rPr>
        <w:t xml:space="preserve"> държавите членки се позовават на наличието на комбинация от граждански, наказателни и административни средства за защита от съдилища и служби за защита на потребителите</w:t>
      </w:r>
      <w:r w:rsidRPr="006E6596">
        <w:rPr>
          <w:rStyle w:val="FootnoteReference"/>
          <w:noProof/>
          <w:lang w:val="bg-BG"/>
        </w:rPr>
        <w:footnoteReference w:id="223"/>
      </w:r>
      <w:r w:rsidRPr="006E6596">
        <w:rPr>
          <w:noProof/>
          <w:lang w:val="bg-BG"/>
        </w:rPr>
        <w:t>, както и на важната роля на сдруженията на потребителите и организациите на гражданското общество</w:t>
      </w:r>
      <w:r w:rsidRPr="006E6596">
        <w:rPr>
          <w:rStyle w:val="FootnoteReference"/>
          <w:noProof/>
          <w:lang w:val="bg-BG"/>
        </w:rPr>
        <w:footnoteReference w:id="224"/>
      </w:r>
      <w:r w:rsidRPr="006E6596">
        <w:rPr>
          <w:noProof/>
          <w:lang w:val="bg-BG"/>
        </w:rPr>
        <w:t xml:space="preserve">. Например, в </w:t>
      </w:r>
      <w:r w:rsidRPr="006E6596">
        <w:rPr>
          <w:b/>
          <w:noProof/>
          <w:lang w:val="bg-BG"/>
        </w:rPr>
        <w:t>Германия</w:t>
      </w:r>
      <w:r w:rsidRPr="006E6596">
        <w:rPr>
          <w:noProof/>
          <w:lang w:val="bg-BG"/>
        </w:rPr>
        <w:t>, потребителските организации могат да заведат дело —пример за спор срещу търговец, за да определят основните фактически или правни проблеми, когато те са предпоставките за искове на няколко потребители</w:t>
      </w:r>
      <w:r w:rsidRPr="006E6596">
        <w:rPr>
          <w:rStyle w:val="FootnoteReference"/>
          <w:noProof/>
          <w:lang w:val="bg-BG"/>
        </w:rPr>
        <w:footnoteReference w:id="225"/>
      </w:r>
      <w:r w:rsidRPr="006E6596">
        <w:rPr>
          <w:noProof/>
          <w:lang w:val="bg-BG"/>
        </w:rPr>
        <w:t xml:space="preserve">. Във </w:t>
      </w:r>
      <w:r w:rsidRPr="006E6596">
        <w:rPr>
          <w:b/>
          <w:noProof/>
          <w:lang w:val="bg-BG"/>
        </w:rPr>
        <w:t>Франция</w:t>
      </w:r>
      <w:r w:rsidRPr="006E6596">
        <w:rPr>
          <w:noProof/>
          <w:lang w:val="bg-BG"/>
        </w:rPr>
        <w:t xml:space="preserve"> груповите искове са отворени за жертви, претърпели една и съща вреда</w:t>
      </w:r>
      <w:r w:rsidRPr="006E6596">
        <w:rPr>
          <w:rStyle w:val="FootnoteReference"/>
          <w:noProof/>
          <w:lang w:val="bg-BG"/>
        </w:rPr>
        <w:footnoteReference w:id="226"/>
      </w:r>
      <w:r w:rsidRPr="006E6596">
        <w:rPr>
          <w:noProof/>
          <w:lang w:val="bg-BG"/>
        </w:rPr>
        <w:t xml:space="preserve">. В </w:t>
      </w:r>
      <w:r w:rsidRPr="006E6596">
        <w:rPr>
          <w:b/>
          <w:noProof/>
          <w:lang w:val="bg-BG"/>
        </w:rPr>
        <w:t>Латвия</w:t>
      </w:r>
      <w:r w:rsidRPr="006E6596">
        <w:rPr>
          <w:noProof/>
          <w:lang w:val="bg-BG"/>
        </w:rPr>
        <w:t>, е създаден Икономически съд за разглеждане на сложни търговски спорове, икономически и финансови престъпления и случаи на корупция</w:t>
      </w:r>
      <w:r w:rsidRPr="006E6596">
        <w:rPr>
          <w:rStyle w:val="FootnoteReference"/>
          <w:noProof/>
          <w:lang w:val="bg-BG"/>
        </w:rPr>
        <w:footnoteReference w:id="227"/>
      </w:r>
      <w:r w:rsidRPr="006E6596">
        <w:rPr>
          <w:noProof/>
          <w:lang w:val="bg-BG"/>
        </w:rPr>
        <w:t>.</w:t>
      </w:r>
    </w:p>
    <w:p w14:paraId="0D832368" w14:textId="00D00E73" w:rsidR="00D73988" w:rsidRPr="006E6596" w:rsidRDefault="00947E57" w:rsidP="00D73988">
      <w:pPr>
        <w:pStyle w:val="Style1"/>
        <w:rPr>
          <w:noProof/>
          <w:lang w:val="bg-BG"/>
        </w:rPr>
      </w:pPr>
      <w:r w:rsidRPr="006E6596">
        <w:rPr>
          <w:b/>
          <w:noProof/>
          <w:lang w:val="bg-BG"/>
        </w:rPr>
        <w:t>Механизмите за алтернативно разрешаване на спорове</w:t>
      </w:r>
      <w:r w:rsidRPr="006E6596">
        <w:rPr>
          <w:noProof/>
          <w:lang w:val="bg-BG"/>
        </w:rPr>
        <w:t xml:space="preserve"> (AРС) са създадени или подобрени чрез законодателни реформи, осъществени през последните години в някои държави членки</w:t>
      </w:r>
      <w:r w:rsidRPr="006E6596">
        <w:rPr>
          <w:rStyle w:val="FootnoteReference"/>
          <w:noProof/>
          <w:lang w:val="bg-BG"/>
        </w:rPr>
        <w:footnoteReference w:id="228"/>
      </w:r>
      <w:r w:rsidRPr="006E6596">
        <w:rPr>
          <w:noProof/>
          <w:lang w:val="bg-BG"/>
        </w:rPr>
        <w:t>. Методите за АРС се насърчават чрез специални стимули, като например предоставяне на информация за АРС на правителствени уебсайтове или в медийни кампании, предоставяне на частична или пълна правна помощ за разходите за АРС и използване на технология за улесняване на подаването на исковете и разрешаването на спорове</w:t>
      </w:r>
      <w:r w:rsidRPr="006E6596">
        <w:rPr>
          <w:rStyle w:val="FootnoteReference"/>
          <w:noProof/>
          <w:lang w:val="bg-BG"/>
        </w:rPr>
        <w:footnoteReference w:id="229"/>
      </w:r>
      <w:r w:rsidRPr="006E6596">
        <w:rPr>
          <w:noProof/>
          <w:lang w:val="bg-BG"/>
        </w:rPr>
        <w:t xml:space="preserve">. В </w:t>
      </w:r>
      <w:r w:rsidRPr="006E6596">
        <w:rPr>
          <w:b/>
          <w:noProof/>
          <w:lang w:val="bg-BG"/>
        </w:rPr>
        <w:t>Люксембург</w:t>
      </w:r>
      <w:r w:rsidRPr="006E6596">
        <w:rPr>
          <w:noProof/>
          <w:lang w:val="bg-BG"/>
        </w:rPr>
        <w:t>, при водене на наказателни дела Службата за възстановително правосъдие се стреми да започне диалог между жертвата и извършителя относно всички материални и емоционални последици от престъплението</w:t>
      </w:r>
      <w:r w:rsidRPr="006E6596">
        <w:rPr>
          <w:rStyle w:val="FootnoteReference"/>
          <w:noProof/>
          <w:lang w:val="bg-BG"/>
        </w:rPr>
        <w:footnoteReference w:id="230"/>
      </w:r>
      <w:r w:rsidRPr="006E6596">
        <w:rPr>
          <w:noProof/>
          <w:lang w:val="bg-BG"/>
        </w:rPr>
        <w:t xml:space="preserve">. В </w:t>
      </w:r>
      <w:r w:rsidRPr="006E6596">
        <w:rPr>
          <w:b/>
          <w:noProof/>
          <w:lang w:val="bg-BG"/>
        </w:rPr>
        <w:t>Швеция</w:t>
      </w:r>
      <w:r w:rsidRPr="006E6596">
        <w:rPr>
          <w:noProof/>
          <w:lang w:val="bg-BG"/>
        </w:rPr>
        <w:t>, макар съдиите да разполагат с процесуална автономия по отношение на АРС, стремежът към доброволно уреждане на спора е задължителен, освен ако това е неуместно поради естеството на делото</w:t>
      </w:r>
      <w:r w:rsidRPr="006E6596">
        <w:rPr>
          <w:rStyle w:val="FootnoteReference"/>
          <w:noProof/>
          <w:lang w:val="bg-BG"/>
        </w:rPr>
        <w:footnoteReference w:id="231"/>
      </w:r>
      <w:r w:rsidRPr="006E6596">
        <w:rPr>
          <w:noProof/>
          <w:lang w:val="bg-BG"/>
        </w:rPr>
        <w:t xml:space="preserve">. От месец март 2023 г., в </w:t>
      </w:r>
      <w:r w:rsidRPr="006E6596">
        <w:rPr>
          <w:b/>
          <w:noProof/>
          <w:lang w:val="bg-BG"/>
        </w:rPr>
        <w:t>Нидерландия</w:t>
      </w:r>
      <w:r w:rsidRPr="006E6596">
        <w:rPr>
          <w:noProof/>
          <w:lang w:val="bg-BG"/>
        </w:rPr>
        <w:t>, първите два часа и половина медиация са безплатни за страните по делото, които не отговарят на условията за правна помощ, докато отговарящите на условията за получаване на правна помощ се ползват от медиация безплатно</w:t>
      </w:r>
      <w:r w:rsidRPr="006E6596">
        <w:rPr>
          <w:rStyle w:val="FootnoteReference"/>
          <w:noProof/>
          <w:lang w:val="bg-BG"/>
        </w:rPr>
        <w:footnoteReference w:id="232"/>
      </w:r>
      <w:r w:rsidRPr="006E6596">
        <w:rPr>
          <w:noProof/>
          <w:lang w:val="bg-BG"/>
        </w:rPr>
        <w:t xml:space="preserve">. </w:t>
      </w:r>
    </w:p>
    <w:tbl>
      <w:tblPr>
        <w:tblStyle w:val="TableGrid"/>
        <w:tblW w:w="0" w:type="auto"/>
        <w:tblLook w:val="04A0" w:firstRow="1" w:lastRow="0" w:firstColumn="1" w:lastColumn="0" w:noHBand="0" w:noVBand="1"/>
      </w:tblPr>
      <w:tblGrid>
        <w:gridCol w:w="9576"/>
      </w:tblGrid>
      <w:tr w:rsidR="00D73988" w:rsidRPr="00FF7825" w14:paraId="32F1C308" w14:textId="77777777" w:rsidTr="002E0219">
        <w:tc>
          <w:tcPr>
            <w:tcW w:w="9576" w:type="dxa"/>
          </w:tcPr>
          <w:p w14:paraId="7AF2007A" w14:textId="77624914" w:rsidR="00D73988" w:rsidRPr="006E6596" w:rsidRDefault="00D73988" w:rsidP="002E0219">
            <w:pPr>
              <w:pStyle w:val="Style1"/>
              <w:rPr>
                <w:i/>
                <w:noProof/>
                <w:lang w:val="bg-BG"/>
              </w:rPr>
            </w:pPr>
            <w:r w:rsidRPr="006E6596">
              <w:rPr>
                <w:i/>
                <w:noProof/>
                <w:lang w:val="bg-BG"/>
              </w:rPr>
              <w:t>Оценка на въздействието на националното законодателство върху ефективната правна защита</w:t>
            </w:r>
            <w:r w:rsidRPr="006E6596">
              <w:rPr>
                <w:rStyle w:val="FootnoteReference"/>
                <w:i/>
                <w:noProof/>
                <w:lang w:val="bg-BG"/>
              </w:rPr>
              <w:footnoteReference w:id="233"/>
            </w:r>
            <w:r w:rsidRPr="006E6596">
              <w:rPr>
                <w:i/>
                <w:noProof/>
                <w:lang w:val="bg-BG"/>
              </w:rPr>
              <w:t xml:space="preserve"> </w:t>
            </w:r>
          </w:p>
          <w:p w14:paraId="109A6A9F" w14:textId="77777777" w:rsidR="007C1A81" w:rsidRPr="006E6596" w:rsidRDefault="007C1A81" w:rsidP="002E0219">
            <w:pPr>
              <w:pStyle w:val="Style1"/>
              <w:rPr>
                <w:i/>
                <w:noProof/>
                <w:lang w:val="bg-BG"/>
              </w:rPr>
            </w:pPr>
          </w:p>
          <w:p w14:paraId="31095543" w14:textId="1AD93053" w:rsidR="00D73988" w:rsidRPr="006E6596" w:rsidRDefault="00D73988" w:rsidP="002E0219">
            <w:pPr>
              <w:pStyle w:val="Style1"/>
              <w:rPr>
                <w:noProof/>
                <w:lang w:val="bg-BG"/>
              </w:rPr>
            </w:pPr>
            <w:r w:rsidRPr="006E6596">
              <w:rPr>
                <w:noProof/>
                <w:lang w:val="bg-BG"/>
              </w:rPr>
              <w:t>В стратегията за Хартата Комисията прикани държавите членки да използват оценки на въздействието, за да гарантират, че инициативите за прилагане на правото на ЕС са в съответствие с Хартата</w:t>
            </w:r>
            <w:r w:rsidRPr="006E6596">
              <w:rPr>
                <w:rStyle w:val="FootnoteReference"/>
                <w:noProof/>
                <w:lang w:val="bg-BG"/>
              </w:rPr>
              <w:footnoteReference w:id="234"/>
            </w:r>
            <w:r w:rsidRPr="006E6596">
              <w:rPr>
                <w:noProof/>
                <w:lang w:val="bg-BG"/>
              </w:rPr>
              <w:t>. Въпреки че съществуват някои примери за това как е оценено въздействието на законодателни предложения свързани с ефективна правна защита върху основните права, в повечето случаи необходимостта да се вземат предвид основните права е подчертана от участници, различни от правителствата на държавите членки.</w:t>
            </w:r>
          </w:p>
          <w:p w14:paraId="4E18B871" w14:textId="77777777" w:rsidR="00D73988" w:rsidRPr="006E6596" w:rsidRDefault="00D73988" w:rsidP="002E0219">
            <w:pPr>
              <w:pStyle w:val="Style1"/>
              <w:rPr>
                <w:noProof/>
                <w:lang w:val="bg-BG"/>
              </w:rPr>
            </w:pPr>
          </w:p>
          <w:p w14:paraId="396A0294" w14:textId="5AF35211" w:rsidR="00D73988" w:rsidRPr="006E6596" w:rsidRDefault="00D73988" w:rsidP="002E0219">
            <w:pPr>
              <w:pStyle w:val="Style1"/>
              <w:rPr>
                <w:noProof/>
                <w:lang w:val="bg-BG"/>
              </w:rPr>
            </w:pPr>
            <w:r w:rsidRPr="006E6596">
              <w:rPr>
                <w:noProof/>
                <w:lang w:val="bg-BG"/>
              </w:rPr>
              <w:t xml:space="preserve">Във </w:t>
            </w:r>
            <w:r w:rsidRPr="006E6596">
              <w:rPr>
                <w:b/>
                <w:noProof/>
                <w:lang w:val="bg-BG"/>
              </w:rPr>
              <w:t>Финландия</w:t>
            </w:r>
            <w:r w:rsidRPr="006E6596">
              <w:rPr>
                <w:noProof/>
                <w:lang w:val="bg-BG"/>
              </w:rPr>
              <w:t>, парламентарната комисия по конституционно право отбеляза, че тъй като със законопроекта за изменение на Закона за чужденците се прилага правото на ЕС, спазването на основните права изисква няколко елемента от законопроекта да бъдат дефинирани по-подробно. Тя също така насочи вниманието към необходимостта да се гарантира съвместимостта на законопроекта с правото на ЕС от гледна точка на прилагането на процедурата на границата по отношение на малолетни или непълнолетни лица</w:t>
            </w:r>
            <w:r w:rsidRPr="006E6596">
              <w:rPr>
                <w:noProof/>
                <w:vertAlign w:val="superscript"/>
                <w:lang w:val="bg-BG"/>
              </w:rPr>
              <w:footnoteReference w:id="235"/>
            </w:r>
            <w:r w:rsidRPr="006E6596">
              <w:rPr>
                <w:noProof/>
                <w:lang w:val="bg-BG"/>
              </w:rPr>
              <w:t xml:space="preserve">. В </w:t>
            </w:r>
            <w:r w:rsidRPr="006E6596">
              <w:rPr>
                <w:b/>
                <w:noProof/>
                <w:lang w:val="bg-BG"/>
              </w:rPr>
              <w:t>Литва</w:t>
            </w:r>
            <w:r w:rsidRPr="006E6596">
              <w:rPr>
                <w:noProof/>
                <w:lang w:val="bg-BG"/>
              </w:rPr>
              <w:t>, са предложени изменения в националното законодателство с оглед на прилагане на Директива (ЕС) 2016/680, тъй като то не гарантира в достатъчна степен правото на ефективна правна защита, залегнало в член 47 от Хартата. Националният парламент счете, че съществуващите средства за защита са твърде сложни и водят до неприложимост на практика на правото на използване на средства за правна защита и до създаване на неравни процесуални права</w:t>
            </w:r>
            <w:r w:rsidRPr="006E6596">
              <w:rPr>
                <w:noProof/>
                <w:vertAlign w:val="superscript"/>
                <w:lang w:val="bg-BG"/>
              </w:rPr>
              <w:footnoteReference w:id="236"/>
            </w:r>
            <w:r w:rsidRPr="006E6596">
              <w:rPr>
                <w:noProof/>
                <w:lang w:val="bg-BG"/>
              </w:rPr>
              <w:t>.</w:t>
            </w:r>
          </w:p>
        </w:tc>
      </w:tr>
    </w:tbl>
    <w:p w14:paraId="7FD3C685" w14:textId="77777777" w:rsidR="00D73988" w:rsidRPr="006E6596" w:rsidRDefault="00D73988" w:rsidP="00D73988">
      <w:pPr>
        <w:pStyle w:val="Style1"/>
        <w:rPr>
          <w:noProof/>
          <w:lang w:val="bg-BG"/>
        </w:rPr>
      </w:pPr>
    </w:p>
    <w:p w14:paraId="7A84A9CD" w14:textId="2EE526BB" w:rsidR="00F711FA" w:rsidRPr="006E6596" w:rsidRDefault="00F711FA" w:rsidP="000B2520">
      <w:pPr>
        <w:pStyle w:val="ListParagraph"/>
        <w:numPr>
          <w:ilvl w:val="0"/>
          <w:numId w:val="1"/>
        </w:numPr>
        <w:ind w:left="567" w:hanging="567"/>
        <w:outlineLvl w:val="0"/>
        <w:rPr>
          <w:rFonts w:cs="Times New Roman"/>
          <w:b/>
          <w:noProof/>
          <w:lang w:val="bg-BG"/>
        </w:rPr>
      </w:pPr>
      <w:bookmarkStart w:id="59" w:name="_Toc152859067"/>
      <w:bookmarkStart w:id="60" w:name="_Hlk144715065"/>
      <w:bookmarkStart w:id="61" w:name="_Hlk146031750"/>
      <w:bookmarkEnd w:id="24"/>
      <w:bookmarkEnd w:id="45"/>
      <w:r w:rsidRPr="006E6596">
        <w:rPr>
          <w:b/>
          <w:noProof/>
          <w:lang w:val="bg-BG"/>
        </w:rPr>
        <w:t>Осигуряване на ефективна правна защита чрез съдилищата</w:t>
      </w:r>
      <w:bookmarkEnd w:id="59"/>
      <w:r w:rsidRPr="006E6596">
        <w:rPr>
          <w:b/>
          <w:noProof/>
          <w:lang w:val="bg-BG"/>
        </w:rPr>
        <w:t xml:space="preserve"> </w:t>
      </w:r>
    </w:p>
    <w:p w14:paraId="17C6D5B4" w14:textId="57F637EA" w:rsidR="00BB59FD" w:rsidRPr="006E6596" w:rsidRDefault="00F711FA"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Съдът на ЕС и националните съдилища прилагат и тълкуват правото на ЕС и следователно играят основна роля при гарантирането на ефективна правна защита. Чрез механизма за преюдициално заключение</w:t>
      </w:r>
      <w:r w:rsidRPr="006E6596">
        <w:rPr>
          <w:rStyle w:val="FootnoteReference"/>
          <w:rFonts w:ascii="Times New Roman" w:hAnsi="Times New Roman" w:cs="Times New Roman"/>
          <w:noProof/>
          <w:sz w:val="24"/>
          <w:lang w:val="bg-BG"/>
        </w:rPr>
        <w:footnoteReference w:id="237"/>
      </w:r>
      <w:r w:rsidRPr="006E6596">
        <w:rPr>
          <w:rFonts w:ascii="Times New Roman" w:hAnsi="Times New Roman"/>
          <w:noProof/>
          <w:sz w:val="24"/>
          <w:lang w:val="bg-BG"/>
        </w:rPr>
        <w:t xml:space="preserve"> и производството за установяване на нарушение</w:t>
      </w:r>
      <w:r w:rsidRPr="006E6596">
        <w:rPr>
          <w:rStyle w:val="FootnoteReference"/>
          <w:rFonts w:ascii="Times New Roman" w:hAnsi="Times New Roman" w:cs="Times New Roman"/>
          <w:noProof/>
          <w:sz w:val="24"/>
          <w:lang w:val="bg-BG"/>
        </w:rPr>
        <w:footnoteReference w:id="238"/>
      </w:r>
      <w:r w:rsidRPr="006E6596">
        <w:rPr>
          <w:rFonts w:ascii="Times New Roman" w:hAnsi="Times New Roman"/>
          <w:noProof/>
          <w:sz w:val="24"/>
          <w:lang w:val="bg-BG"/>
        </w:rPr>
        <w:t xml:space="preserve"> Съдът на ЕС пояснява съответните разпоредби от правото на ЕС, като често тълкува правата, определени във вторичното право на ЕС в светлината на членове 47 и 48 от Хартата.</w:t>
      </w:r>
    </w:p>
    <w:p w14:paraId="47143EE3" w14:textId="5F725D9C" w:rsidR="00E4462B" w:rsidRPr="006E6596" w:rsidRDefault="0046007A"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Въпреки това, както следва от член 47 от Хартата, ефективната съдебна защита е нещо повече от индивидуалното право на съдебен контрол. В съответствие с член 19, параграф 1, втора алинея от ДЕС, държавите членки трябва да осигурят достатъчни гаранции за ефективна правна защита, предоставяна от националните съдилища и трибунали, без да изискват нови средства за правна защита. Чрез преглед на дела за ефективна правна защита, настоящата глава подчертава съществената роля на Съда на ЕС и националните съдилища за осигуряване на ефективна правна защита и достъп до правосъдие съгласно правото на ЕС.</w:t>
      </w:r>
    </w:p>
    <w:p w14:paraId="5C68085E" w14:textId="495241A7" w:rsidR="00F711FA" w:rsidRPr="006E6596" w:rsidRDefault="002264A9" w:rsidP="0074254C">
      <w:pPr>
        <w:pStyle w:val="ListParagraph"/>
        <w:numPr>
          <w:ilvl w:val="1"/>
          <w:numId w:val="1"/>
        </w:numPr>
        <w:ind w:left="1080" w:hanging="720"/>
        <w:outlineLvl w:val="0"/>
        <w:rPr>
          <w:rFonts w:cs="Times New Roman"/>
          <w:b/>
          <w:noProof/>
          <w:lang w:val="bg-BG"/>
        </w:rPr>
      </w:pPr>
      <w:bookmarkStart w:id="62" w:name="_Toc147916081"/>
      <w:bookmarkStart w:id="63" w:name="_Toc152859068"/>
      <w:r w:rsidRPr="006E6596">
        <w:rPr>
          <w:b/>
          <w:noProof/>
          <w:lang w:val="bg-BG"/>
        </w:rPr>
        <w:t>Съдебна практика на Съда на ЕС относно ефективните средства за правна защита</w:t>
      </w:r>
      <w:bookmarkEnd w:id="62"/>
      <w:bookmarkEnd w:id="63"/>
    </w:p>
    <w:p w14:paraId="1814CEDE" w14:textId="7BB17591" w:rsidR="00A6164F" w:rsidRPr="006E6596" w:rsidRDefault="00F711FA"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Правото на ефективна правна защита често е било във фокуса на исканията за преюдициално заключение, свързани с различни области на правото на ЕС, включително изискването държавите членки да спазват изцяло правото на ЕС и съдебната практика на Съда на ЕС, за да осигуряват право на справедлив съдебен процес пред независим и безпристрастен съд, установен със закон</w:t>
      </w:r>
      <w:r w:rsidRPr="006E6596">
        <w:rPr>
          <w:rStyle w:val="FootnoteReference"/>
          <w:rFonts w:ascii="Times New Roman" w:hAnsi="Times New Roman" w:cs="Times New Roman"/>
          <w:noProof/>
          <w:sz w:val="24"/>
          <w:lang w:val="bg-BG"/>
        </w:rPr>
        <w:footnoteReference w:id="239"/>
      </w:r>
      <w:r w:rsidRPr="006E6596">
        <w:rPr>
          <w:rFonts w:ascii="Times New Roman" w:hAnsi="Times New Roman"/>
          <w:noProof/>
          <w:sz w:val="24"/>
          <w:lang w:val="bg-BG"/>
        </w:rPr>
        <w:t>. Добре функциониращите и напълно независими съдебни системи са от решаващо значение, за да се гарантира, че правосъдието работи в полза на лицата и предприятията</w:t>
      </w:r>
      <w:r w:rsidRPr="006E6596">
        <w:rPr>
          <w:rStyle w:val="FootnoteReference"/>
          <w:rFonts w:ascii="Times New Roman" w:hAnsi="Times New Roman" w:cs="Times New Roman"/>
          <w:noProof/>
          <w:sz w:val="24"/>
          <w:lang w:val="bg-BG"/>
        </w:rPr>
        <w:footnoteReference w:id="240"/>
      </w:r>
      <w:r w:rsidRPr="006E6596">
        <w:rPr>
          <w:rFonts w:ascii="Times New Roman" w:hAnsi="Times New Roman"/>
          <w:noProof/>
          <w:sz w:val="24"/>
          <w:lang w:val="bg-BG"/>
        </w:rPr>
        <w:t xml:space="preserve">, тъй като те трябва да могат да реализират всички права, предоставени им от правото на ЕС, чрез ефективни средства за правна защита. </w:t>
      </w:r>
    </w:p>
    <w:p w14:paraId="74A3D0B2" w14:textId="4E6FD7C6" w:rsidR="00F711FA" w:rsidRPr="006E6596" w:rsidRDefault="00F711FA"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Съдът на ЕС последователно е постановявал, че при липса на точни правила на ЕС, всяка държава членка трябва да установи процесуални правила за защита на правата, предоставени от правото на ЕС, в съответствие с принципа на процесуална автономия. Въпреки това, при установяването на такива правила, държавите членки трябва да гарантират, че тези правила не са по-малко благоприятни от правилата, приложими по отношение на подобни ситуации съгласно националното право (принцип на еквивалентност), и не правят упражняването на законните права на ЕС практически невъзможно или прекомерно трудно (принцип на ефективност)</w:t>
      </w:r>
      <w:r w:rsidRPr="006E6596">
        <w:rPr>
          <w:rFonts w:ascii="Times New Roman" w:hAnsi="Times New Roman" w:cs="Times New Roman"/>
          <w:noProof/>
          <w:sz w:val="24"/>
          <w:vertAlign w:val="superscript"/>
          <w:lang w:val="bg-BG"/>
        </w:rPr>
        <w:footnoteReference w:id="241"/>
      </w:r>
      <w:r w:rsidRPr="006E6596">
        <w:rPr>
          <w:rFonts w:ascii="Times New Roman" w:hAnsi="Times New Roman"/>
          <w:noProof/>
          <w:sz w:val="24"/>
          <w:lang w:val="bg-BG"/>
        </w:rPr>
        <w:t>. При оценката дали държавите членки са осигурили ефективни средства за правна защита на правата, предоставени от правото на ЕС, Съдът на ЕС обикновено се позовава на същността и целта на тези права във връзка с член 47 от Хартата</w:t>
      </w:r>
    </w:p>
    <w:p w14:paraId="18164D29" w14:textId="1B7C885A" w:rsidR="004941AF" w:rsidRPr="006E6596" w:rsidRDefault="004C47C9"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В контекста на преюдициалното производство възникват въпроси относно тълкуването на правото на ефективни средства за правна защита в различни области на правото на ЕС</w:t>
      </w:r>
      <w:r w:rsidRPr="006E6596">
        <w:rPr>
          <w:rStyle w:val="FootnoteReference"/>
          <w:rFonts w:ascii="Times New Roman" w:hAnsi="Times New Roman" w:cs="Times New Roman"/>
          <w:noProof/>
          <w:sz w:val="24"/>
          <w:lang w:val="bg-BG"/>
        </w:rPr>
        <w:footnoteReference w:id="242"/>
      </w:r>
      <w:r w:rsidRPr="006E6596">
        <w:rPr>
          <w:rFonts w:ascii="Times New Roman" w:hAnsi="Times New Roman"/>
          <w:noProof/>
          <w:sz w:val="24"/>
          <w:lang w:val="bg-BG"/>
        </w:rPr>
        <w:t xml:space="preserve">. </w:t>
      </w:r>
    </w:p>
    <w:p w14:paraId="668AC4B7" w14:textId="6ED39487" w:rsidR="007F7DFC" w:rsidRPr="006E6596" w:rsidRDefault="004C47C9"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Значителна част от съдебната практика на Съда на ЕС относно правото на ефективни средства за правна защита засяга тълкуването на директивите относно процесуалните права по наказателни дела и изясняването на гаранциите, посочени в директивите. Например, въпросите, по които се иска преюдициално заключение се отнасят до тълкуването на:</w:t>
      </w:r>
    </w:p>
    <w:p w14:paraId="42CA35B8" w14:textId="11140C38" w:rsidR="007F7DFC" w:rsidRPr="006E6596" w:rsidRDefault="007F7DFC" w:rsidP="00D73988">
      <w:pPr>
        <w:pStyle w:val="ListParagraph"/>
        <w:numPr>
          <w:ilvl w:val="0"/>
          <w:numId w:val="2"/>
        </w:numPr>
        <w:spacing w:after="120" w:line="276" w:lineRule="auto"/>
        <w:jc w:val="both"/>
        <w:rPr>
          <w:rFonts w:cs="Times New Roman"/>
          <w:noProof/>
          <w:lang w:val="bg-BG"/>
        </w:rPr>
      </w:pPr>
      <w:r w:rsidRPr="006E6596">
        <w:rPr>
          <w:noProof/>
          <w:lang w:val="bg-BG"/>
        </w:rPr>
        <w:t>правото на справедлив съдебен процес в наказателното производство, включително забраната за публично позоваване на вина</w:t>
      </w:r>
      <w:r w:rsidRPr="006E6596">
        <w:rPr>
          <w:rFonts w:cs="Times New Roman"/>
          <w:noProof/>
          <w:vertAlign w:val="superscript"/>
          <w:lang w:val="bg-BG"/>
        </w:rPr>
        <w:footnoteReference w:id="243"/>
      </w:r>
      <w:r w:rsidRPr="006E6596">
        <w:rPr>
          <w:noProof/>
          <w:lang w:val="bg-BG"/>
        </w:rPr>
        <w:t>, правото на участие в съдебен процес в контекста на изслушвания чрез видеоконферентна технология</w:t>
      </w:r>
      <w:r w:rsidRPr="006E6596">
        <w:rPr>
          <w:rStyle w:val="FootnoteReference"/>
          <w:rFonts w:cs="Times New Roman"/>
          <w:noProof/>
          <w:lang w:val="bg-BG"/>
        </w:rPr>
        <w:footnoteReference w:id="244"/>
      </w:r>
      <w:r w:rsidRPr="006E6596">
        <w:rPr>
          <w:noProof/>
          <w:lang w:val="bg-BG"/>
        </w:rPr>
        <w:t xml:space="preserve"> и дерогации от правото на участие в съдебен процес</w:t>
      </w:r>
      <w:r w:rsidRPr="006E6596">
        <w:rPr>
          <w:rStyle w:val="FootnoteReference"/>
          <w:rFonts w:cs="Times New Roman"/>
          <w:noProof/>
          <w:lang w:val="bg-BG"/>
        </w:rPr>
        <w:footnoteReference w:id="245"/>
      </w:r>
      <w:r w:rsidRPr="006E6596">
        <w:rPr>
          <w:noProof/>
          <w:lang w:val="bg-BG"/>
        </w:rPr>
        <w:t xml:space="preserve">; </w:t>
      </w:r>
    </w:p>
    <w:p w14:paraId="55188B0C" w14:textId="59CDAE2E" w:rsidR="007F7DFC" w:rsidRPr="006E6596" w:rsidRDefault="00F711FA" w:rsidP="00D73988">
      <w:pPr>
        <w:pStyle w:val="ListParagraph"/>
        <w:numPr>
          <w:ilvl w:val="0"/>
          <w:numId w:val="2"/>
        </w:numPr>
        <w:spacing w:after="120" w:line="276" w:lineRule="auto"/>
        <w:jc w:val="both"/>
        <w:rPr>
          <w:rFonts w:cs="Times New Roman"/>
          <w:noProof/>
          <w:lang w:val="bg-BG"/>
        </w:rPr>
      </w:pPr>
      <w:r w:rsidRPr="006E6596">
        <w:rPr>
          <w:noProof/>
          <w:lang w:val="bg-BG"/>
        </w:rPr>
        <w:t xml:space="preserve">процесуални права на лицата, засегнати от </w:t>
      </w:r>
      <w:r w:rsidRPr="006E6596">
        <w:rPr>
          <w:i/>
          <w:noProof/>
          <w:lang w:val="bg-BG"/>
        </w:rPr>
        <w:t>производство за конфискация</w:t>
      </w:r>
      <w:r w:rsidRPr="006E6596">
        <w:rPr>
          <w:noProof/>
          <w:lang w:val="bg-BG"/>
        </w:rPr>
        <w:t xml:space="preserve"> на вещи</w:t>
      </w:r>
      <w:r w:rsidRPr="006E6596">
        <w:rPr>
          <w:rStyle w:val="FootnoteReference"/>
          <w:rFonts w:cs="Times New Roman"/>
          <w:noProof/>
          <w:lang w:val="bg-BG"/>
        </w:rPr>
        <w:footnoteReference w:id="246"/>
      </w:r>
      <w:r w:rsidRPr="006E6596">
        <w:rPr>
          <w:noProof/>
          <w:lang w:val="bg-BG"/>
        </w:rPr>
        <w:t xml:space="preserve">; </w:t>
      </w:r>
    </w:p>
    <w:p w14:paraId="32F53331" w14:textId="745F6D29" w:rsidR="007F7DFC" w:rsidRPr="006E6596" w:rsidRDefault="00F711FA" w:rsidP="00D73988">
      <w:pPr>
        <w:pStyle w:val="ListParagraph"/>
        <w:numPr>
          <w:ilvl w:val="0"/>
          <w:numId w:val="2"/>
        </w:numPr>
        <w:spacing w:after="120" w:line="276" w:lineRule="auto"/>
        <w:jc w:val="both"/>
        <w:rPr>
          <w:rFonts w:cs="Times New Roman"/>
          <w:noProof/>
          <w:lang w:val="bg-BG"/>
        </w:rPr>
      </w:pPr>
      <w:r w:rsidRPr="006E6596">
        <w:rPr>
          <w:noProof/>
          <w:lang w:val="bg-BG"/>
        </w:rPr>
        <w:t>правото на децата да получат ефективна помощ от адвокат в наказателното производство</w:t>
      </w:r>
      <w:r w:rsidRPr="006E6596">
        <w:rPr>
          <w:rStyle w:val="FootnoteReference"/>
          <w:rFonts w:cs="Times New Roman"/>
          <w:noProof/>
          <w:lang w:val="bg-BG"/>
        </w:rPr>
        <w:footnoteReference w:id="247"/>
      </w:r>
      <w:r w:rsidRPr="006E6596">
        <w:rPr>
          <w:noProof/>
          <w:lang w:val="bg-BG"/>
        </w:rPr>
        <w:t xml:space="preserve">; </w:t>
      </w:r>
    </w:p>
    <w:p w14:paraId="037ED578" w14:textId="4DF5836A" w:rsidR="007F7DFC" w:rsidRPr="00056C22" w:rsidRDefault="00F711FA" w:rsidP="00056C22">
      <w:pPr>
        <w:pStyle w:val="ListParagraph"/>
        <w:numPr>
          <w:ilvl w:val="0"/>
          <w:numId w:val="2"/>
        </w:numPr>
        <w:spacing w:after="120" w:line="276" w:lineRule="auto"/>
        <w:jc w:val="both"/>
        <w:rPr>
          <w:rFonts w:cs="Times New Roman"/>
          <w:noProof/>
          <w:lang w:val="bg-BG"/>
        </w:rPr>
      </w:pPr>
      <w:r w:rsidRPr="006E6596">
        <w:rPr>
          <w:noProof/>
          <w:lang w:val="bg-BG"/>
        </w:rPr>
        <w:t>право на превод на основни документи за заподозряно или обвиняемо лице</w:t>
      </w:r>
      <w:r w:rsidRPr="00056C22">
        <w:rPr>
          <w:noProof/>
          <w:lang w:val="bg-BG"/>
        </w:rPr>
        <w:t xml:space="preserve">, което не разбира езика на </w:t>
      </w:r>
      <w:r w:rsidR="00056C22">
        <w:rPr>
          <w:noProof/>
          <w:lang w:val="bg-BG"/>
        </w:rPr>
        <w:t xml:space="preserve">наказателното </w:t>
      </w:r>
      <w:r w:rsidRPr="00056C22">
        <w:rPr>
          <w:noProof/>
          <w:lang w:val="bg-BG"/>
        </w:rPr>
        <w:t>производство</w:t>
      </w:r>
      <w:r w:rsidRPr="006E6596">
        <w:rPr>
          <w:rStyle w:val="FootnoteReference"/>
          <w:rFonts w:cs="Times New Roman"/>
          <w:noProof/>
          <w:lang w:val="bg-BG"/>
        </w:rPr>
        <w:footnoteReference w:id="248"/>
      </w:r>
      <w:r w:rsidRPr="00056C22">
        <w:rPr>
          <w:noProof/>
          <w:lang w:val="bg-BG"/>
        </w:rPr>
        <w:t>, включително срока, в рамките на който се упражнява това право</w:t>
      </w:r>
      <w:r w:rsidRPr="006E6596">
        <w:rPr>
          <w:noProof/>
          <w:vertAlign w:val="superscript"/>
          <w:lang w:val="bg-BG"/>
        </w:rPr>
        <w:footnoteReference w:id="249"/>
      </w:r>
      <w:r w:rsidRPr="00056C22">
        <w:rPr>
          <w:noProof/>
          <w:lang w:val="bg-BG"/>
        </w:rPr>
        <w:t>, кои документи се считат за основни за целите на осигуряване на ефективна защита, във връзка с които се прилага правото на превод</w:t>
      </w:r>
      <w:r w:rsidRPr="006E6596">
        <w:rPr>
          <w:noProof/>
          <w:vertAlign w:val="superscript"/>
          <w:lang w:val="bg-BG"/>
        </w:rPr>
        <w:footnoteReference w:id="250"/>
      </w:r>
      <w:r w:rsidRPr="00056C22">
        <w:rPr>
          <w:noProof/>
          <w:lang w:val="bg-BG"/>
        </w:rPr>
        <w:t>, и кога може да се потърси защита срещу нарушения на това право</w:t>
      </w:r>
      <w:r w:rsidRPr="006E6596">
        <w:rPr>
          <w:rStyle w:val="FootnoteReference"/>
          <w:rFonts w:cs="Times New Roman"/>
          <w:noProof/>
          <w:lang w:val="bg-BG"/>
        </w:rPr>
        <w:footnoteReference w:id="251"/>
      </w:r>
      <w:r w:rsidRPr="00056C22">
        <w:rPr>
          <w:noProof/>
          <w:lang w:val="bg-BG"/>
        </w:rPr>
        <w:t xml:space="preserve">; </w:t>
      </w:r>
    </w:p>
    <w:p w14:paraId="44306179" w14:textId="28BB73D1" w:rsidR="007F7DFC" w:rsidRPr="006E6596" w:rsidRDefault="00F711FA" w:rsidP="00D73988">
      <w:pPr>
        <w:pStyle w:val="ListParagraph"/>
        <w:numPr>
          <w:ilvl w:val="0"/>
          <w:numId w:val="2"/>
        </w:numPr>
        <w:spacing w:after="120" w:line="276" w:lineRule="auto"/>
        <w:jc w:val="both"/>
        <w:rPr>
          <w:rFonts w:cs="Times New Roman"/>
          <w:noProof/>
          <w:lang w:val="bg-BG"/>
        </w:rPr>
      </w:pPr>
      <w:r w:rsidRPr="006E6596">
        <w:rPr>
          <w:noProof/>
          <w:lang w:val="bg-BG"/>
        </w:rPr>
        <w:t xml:space="preserve">правото да не бъдеш съден или наказван два пъти за едно и също престъпление (принципът </w:t>
      </w:r>
      <w:r w:rsidRPr="006E6596">
        <w:rPr>
          <w:i/>
          <w:noProof/>
          <w:lang w:val="bg-BG"/>
        </w:rPr>
        <w:t>ne bis in idem</w:t>
      </w:r>
      <w:r w:rsidRPr="006E6596">
        <w:rPr>
          <w:noProof/>
          <w:lang w:val="bg-BG"/>
        </w:rPr>
        <w:t>)</w:t>
      </w:r>
      <w:r w:rsidRPr="006E6596">
        <w:rPr>
          <w:rStyle w:val="FootnoteReference"/>
          <w:rFonts w:cs="Times New Roman"/>
          <w:noProof/>
          <w:lang w:val="bg-BG"/>
        </w:rPr>
        <w:footnoteReference w:id="252"/>
      </w:r>
      <w:r w:rsidRPr="006E6596">
        <w:rPr>
          <w:noProof/>
          <w:lang w:val="bg-BG"/>
        </w:rPr>
        <w:t xml:space="preserve">; </w:t>
      </w:r>
    </w:p>
    <w:p w14:paraId="427FAF84" w14:textId="349882AF" w:rsidR="007F7DFC" w:rsidRPr="006E6596" w:rsidRDefault="007F7DFC" w:rsidP="00D73988">
      <w:pPr>
        <w:pStyle w:val="ListParagraph"/>
        <w:numPr>
          <w:ilvl w:val="0"/>
          <w:numId w:val="2"/>
        </w:numPr>
        <w:spacing w:after="120" w:line="276" w:lineRule="auto"/>
        <w:jc w:val="both"/>
        <w:rPr>
          <w:rFonts w:cs="Times New Roman"/>
          <w:noProof/>
          <w:lang w:val="bg-BG"/>
        </w:rPr>
      </w:pPr>
      <w:r w:rsidRPr="006E6596">
        <w:rPr>
          <w:noProof/>
          <w:lang w:val="bg-BG"/>
        </w:rPr>
        <w:t>ефективността на средствата за правна защита при нарушения на правата на заподозряното или обвиняемото лице, включително възможността съдът да установява служебно нарушения на правото на защита</w:t>
      </w:r>
      <w:r w:rsidRPr="006E6596">
        <w:rPr>
          <w:noProof/>
          <w:vertAlign w:val="superscript"/>
          <w:lang w:val="bg-BG"/>
        </w:rPr>
        <w:footnoteReference w:id="253"/>
      </w:r>
      <w:r w:rsidRPr="006E6596">
        <w:rPr>
          <w:noProof/>
          <w:lang w:val="bg-BG"/>
        </w:rPr>
        <w:t>;</w:t>
      </w:r>
    </w:p>
    <w:p w14:paraId="1704DC5E" w14:textId="78FA2303" w:rsidR="007F7DFC" w:rsidRPr="006E6596" w:rsidRDefault="007F7DFC" w:rsidP="00D73988">
      <w:pPr>
        <w:pStyle w:val="ListParagraph"/>
        <w:numPr>
          <w:ilvl w:val="0"/>
          <w:numId w:val="2"/>
        </w:numPr>
        <w:spacing w:after="120" w:line="276" w:lineRule="auto"/>
        <w:jc w:val="both"/>
        <w:rPr>
          <w:rFonts w:cs="Times New Roman"/>
          <w:noProof/>
          <w:lang w:val="bg-BG"/>
        </w:rPr>
      </w:pPr>
      <w:r w:rsidRPr="006E6596">
        <w:rPr>
          <w:noProof/>
          <w:lang w:val="bg-BG"/>
        </w:rPr>
        <w:t>правото на достъп до адвокат и дерогациите от това право</w:t>
      </w:r>
      <w:r w:rsidRPr="006E6596">
        <w:rPr>
          <w:rFonts w:cs="Times New Roman"/>
          <w:noProof/>
          <w:vertAlign w:val="superscript"/>
          <w:lang w:val="bg-BG"/>
        </w:rPr>
        <w:footnoteReference w:id="254"/>
      </w:r>
      <w:r w:rsidRPr="006E6596">
        <w:rPr>
          <w:noProof/>
          <w:lang w:val="bg-BG"/>
        </w:rPr>
        <w:t xml:space="preserve">; и </w:t>
      </w:r>
    </w:p>
    <w:p w14:paraId="7FD8E9DB" w14:textId="113F73B4" w:rsidR="00F711FA" w:rsidRPr="006E6596" w:rsidRDefault="007F7DFC" w:rsidP="00D73988">
      <w:pPr>
        <w:pStyle w:val="ListParagraph"/>
        <w:numPr>
          <w:ilvl w:val="0"/>
          <w:numId w:val="2"/>
        </w:numPr>
        <w:spacing w:after="120" w:line="276" w:lineRule="auto"/>
        <w:jc w:val="both"/>
        <w:rPr>
          <w:rFonts w:cs="Times New Roman"/>
          <w:noProof/>
          <w:lang w:val="bg-BG"/>
        </w:rPr>
      </w:pPr>
      <w:r w:rsidRPr="006E6596">
        <w:rPr>
          <w:noProof/>
          <w:lang w:val="bg-BG"/>
        </w:rPr>
        <w:t>право на информация в наказателното производство</w:t>
      </w:r>
      <w:r w:rsidRPr="006E6596">
        <w:rPr>
          <w:rFonts w:cs="Times New Roman"/>
          <w:noProof/>
          <w:vertAlign w:val="superscript"/>
          <w:lang w:val="bg-BG"/>
        </w:rPr>
        <w:footnoteReference w:id="255"/>
      </w:r>
      <w:r w:rsidRPr="006E6596">
        <w:rPr>
          <w:noProof/>
          <w:lang w:val="bg-BG"/>
        </w:rPr>
        <w:t>, включително момента, в който следва да бъде предоставена информация относно обвиненията, за да се даде възможност на заподозряното или обвиняемото лице ефективно да подготви своята защита</w:t>
      </w:r>
      <w:r w:rsidRPr="006E6596">
        <w:rPr>
          <w:rStyle w:val="FootnoteReference"/>
          <w:rFonts w:cs="Times New Roman"/>
          <w:noProof/>
          <w:lang w:val="bg-BG"/>
        </w:rPr>
        <w:footnoteReference w:id="256"/>
      </w:r>
      <w:r w:rsidRPr="006E6596">
        <w:rPr>
          <w:noProof/>
          <w:lang w:val="bg-BG"/>
        </w:rPr>
        <w:t>.</w:t>
      </w:r>
    </w:p>
    <w:p w14:paraId="5420C843" w14:textId="34868263" w:rsidR="00545E5E" w:rsidRPr="006E6596" w:rsidRDefault="00F711FA" w:rsidP="00F711FA">
      <w:pPr>
        <w:jc w:val="both"/>
        <w:rPr>
          <w:rFonts w:ascii="Times New Roman" w:hAnsi="Times New Roman" w:cs="Times New Roman"/>
          <w:noProof/>
          <w:sz w:val="24"/>
          <w:lang w:val="bg-BG"/>
        </w:rPr>
      </w:pPr>
      <w:r w:rsidRPr="006E6596">
        <w:rPr>
          <w:rFonts w:ascii="Times New Roman" w:hAnsi="Times New Roman"/>
          <w:noProof/>
          <w:sz w:val="24"/>
          <w:lang w:val="bg-BG"/>
        </w:rPr>
        <w:t xml:space="preserve">Съдът на ЕС също така разглежда ефективната правна защита в контекста на европейското съдебно сътрудничество, където </w:t>
      </w:r>
      <w:r w:rsidRPr="006E6596">
        <w:rPr>
          <w:rFonts w:ascii="Times New Roman" w:hAnsi="Times New Roman"/>
          <w:b/>
          <w:noProof/>
          <w:sz w:val="24"/>
          <w:lang w:val="bg-BG"/>
        </w:rPr>
        <w:t>европейската заповед за разследване („ЕЗР“)</w:t>
      </w:r>
      <w:r w:rsidRPr="006E6596">
        <w:rPr>
          <w:rStyle w:val="FootnoteReference"/>
          <w:rFonts w:ascii="Times New Roman" w:hAnsi="Times New Roman" w:cs="Times New Roman"/>
          <w:noProof/>
          <w:sz w:val="24"/>
          <w:lang w:val="bg-BG"/>
        </w:rPr>
        <w:footnoteReference w:id="257"/>
      </w:r>
      <w:r w:rsidRPr="006E6596">
        <w:rPr>
          <w:rFonts w:ascii="Times New Roman" w:hAnsi="Times New Roman"/>
          <w:noProof/>
          <w:sz w:val="24"/>
          <w:lang w:val="bg-BG"/>
        </w:rPr>
        <w:t xml:space="preserve"> и </w:t>
      </w:r>
      <w:r w:rsidRPr="006E6596">
        <w:rPr>
          <w:rFonts w:ascii="Times New Roman" w:hAnsi="Times New Roman"/>
          <w:b/>
          <w:noProof/>
          <w:sz w:val="24"/>
          <w:lang w:val="bg-BG"/>
        </w:rPr>
        <w:t>ЕЗА</w:t>
      </w:r>
      <w:r w:rsidRPr="006E6596">
        <w:rPr>
          <w:rStyle w:val="FootnoteReference"/>
          <w:rFonts w:ascii="Times New Roman" w:hAnsi="Times New Roman" w:cs="Times New Roman"/>
          <w:noProof/>
          <w:sz w:val="24"/>
          <w:lang w:val="bg-BG"/>
        </w:rPr>
        <w:footnoteReference w:id="258"/>
      </w:r>
      <w:r w:rsidRPr="006E6596">
        <w:rPr>
          <w:rFonts w:ascii="Times New Roman" w:hAnsi="Times New Roman"/>
          <w:noProof/>
          <w:sz w:val="24"/>
          <w:lang w:val="bg-BG"/>
        </w:rPr>
        <w:t xml:space="preserve"> са отлични примери. За да се осигури наличието на ефективни средства за правна защита, от съществено значение е да се гарантира, че държавите членки разполагат със средства за защита, еквивалентни на наличните в подобни вътрешни дела. </w:t>
      </w:r>
    </w:p>
    <w:p w14:paraId="24971009" w14:textId="2744D4C0" w:rsidR="00F711FA" w:rsidRPr="006E6596" w:rsidRDefault="00665467" w:rsidP="00F711FA">
      <w:pPr>
        <w:jc w:val="both"/>
        <w:rPr>
          <w:rFonts w:ascii="Times New Roman" w:hAnsi="Times New Roman" w:cs="Times New Roman"/>
          <w:noProof/>
          <w:sz w:val="24"/>
          <w:lang w:val="bg-BG"/>
        </w:rPr>
      </w:pPr>
      <w:r w:rsidRPr="006E6596">
        <w:rPr>
          <w:rFonts w:ascii="Times New Roman" w:hAnsi="Times New Roman"/>
          <w:noProof/>
          <w:sz w:val="24"/>
          <w:lang w:val="bg-BG"/>
        </w:rPr>
        <w:t>Съдът на ЕС също така потвърди, че Рамковото решение относно ЕЗА предвижда всеобхватни гаранции за ефективна съдебна защита. Например относно наличните средства за правна защита в издаващата държава членка и достъпа до материалите по делото след предаването</w:t>
      </w:r>
      <w:r w:rsidRPr="006E6596">
        <w:rPr>
          <w:rStyle w:val="FootnoteReference"/>
          <w:rFonts w:ascii="Times New Roman" w:hAnsi="Times New Roman" w:cs="Times New Roman"/>
          <w:noProof/>
          <w:sz w:val="24"/>
          <w:lang w:val="bg-BG"/>
        </w:rPr>
        <w:footnoteReference w:id="259"/>
      </w:r>
      <w:r w:rsidRPr="006E6596">
        <w:rPr>
          <w:rFonts w:ascii="Times New Roman" w:hAnsi="Times New Roman"/>
          <w:noProof/>
          <w:sz w:val="24"/>
          <w:lang w:val="bg-BG"/>
        </w:rPr>
        <w:t>. Освен това, в поредица от дела относно върховенството на закона, Съдът на ЕС изясни критериите за отказ или временно спиране на изпълнението на ЕЗА в ситуации, в които се твърди, че правото на издирваното лице на справедлив съдебен процес е изложено на риск поради системни или общи недостатъци по отношение на независимостта на съдебната власт на издаващата държава членка</w:t>
      </w:r>
      <w:r w:rsidRPr="006E6596">
        <w:rPr>
          <w:rStyle w:val="FootnoteReference"/>
          <w:rFonts w:ascii="Times New Roman" w:hAnsi="Times New Roman" w:cs="Times New Roman"/>
          <w:noProof/>
          <w:sz w:val="24"/>
          <w:lang w:val="bg-BG"/>
        </w:rPr>
        <w:footnoteReference w:id="260"/>
      </w:r>
      <w:r w:rsidRPr="006E6596">
        <w:rPr>
          <w:rFonts w:ascii="Times New Roman" w:hAnsi="Times New Roman"/>
          <w:noProof/>
          <w:sz w:val="24"/>
          <w:lang w:val="bg-BG"/>
        </w:rPr>
        <w:t>.</w:t>
      </w:r>
    </w:p>
    <w:p w14:paraId="37D32D69" w14:textId="607ECAD0" w:rsidR="00F711FA" w:rsidRPr="006E6596" w:rsidRDefault="00071DA9" w:rsidP="00F711FA">
      <w:pPr>
        <w:spacing w:after="200" w:line="276" w:lineRule="auto"/>
        <w:jc w:val="both"/>
        <w:rPr>
          <w:rFonts w:ascii="Times New Roman" w:eastAsia="Calibri" w:hAnsi="Times New Roman" w:cs="Times New Roman"/>
          <w:noProof/>
          <w:sz w:val="24"/>
          <w:shd w:val="clear" w:color="auto" w:fill="FFFFFF"/>
          <w:lang w:val="bg-BG"/>
        </w:rPr>
      </w:pPr>
      <w:r w:rsidRPr="006E6596">
        <w:rPr>
          <w:rFonts w:ascii="Times New Roman" w:hAnsi="Times New Roman"/>
          <w:noProof/>
          <w:sz w:val="24"/>
          <w:lang w:val="bg-BG"/>
        </w:rPr>
        <w:t xml:space="preserve">Борбата с </w:t>
      </w:r>
      <w:r w:rsidRPr="006E6596">
        <w:rPr>
          <w:rFonts w:ascii="Times New Roman" w:hAnsi="Times New Roman"/>
          <w:b/>
          <w:noProof/>
          <w:sz w:val="24"/>
          <w:lang w:val="bg-BG"/>
        </w:rPr>
        <w:t>дискриминацията</w:t>
      </w:r>
      <w:r w:rsidRPr="006E6596">
        <w:rPr>
          <w:rFonts w:ascii="Times New Roman" w:hAnsi="Times New Roman"/>
          <w:noProof/>
          <w:sz w:val="24"/>
          <w:lang w:val="bg-BG"/>
        </w:rPr>
        <w:t xml:space="preserve"> също е област, в която се повдигат въпроси относно тълкуването на правото на ефективна съдебна защита</w:t>
      </w:r>
      <w:r w:rsidRPr="006E6596">
        <w:rPr>
          <w:rFonts w:ascii="Times New Roman" w:hAnsi="Times New Roman"/>
          <w:noProof/>
          <w:sz w:val="24"/>
          <w:shd w:val="clear" w:color="auto" w:fill="FFFFFF"/>
          <w:lang w:val="bg-BG"/>
        </w:rPr>
        <w:t>. Санкциите трябва да гарантират реална и ефективна съдебна защита</w:t>
      </w:r>
      <w:r w:rsidRPr="006E6596">
        <w:rPr>
          <w:rFonts w:ascii="Times New Roman" w:eastAsia="Calibri" w:hAnsi="Times New Roman" w:cs="Times New Roman"/>
          <w:noProof/>
          <w:sz w:val="24"/>
          <w:vertAlign w:val="superscript"/>
          <w:lang w:val="bg-BG"/>
        </w:rPr>
        <w:footnoteReference w:id="261"/>
      </w:r>
      <w:r w:rsidRPr="006E6596">
        <w:rPr>
          <w:rFonts w:ascii="Times New Roman" w:hAnsi="Times New Roman"/>
          <w:noProof/>
          <w:sz w:val="24"/>
          <w:shd w:val="clear" w:color="auto" w:fill="FFFFFF"/>
          <w:lang w:val="bg-BG"/>
        </w:rPr>
        <w:t xml:space="preserve"> и </w:t>
      </w:r>
      <w:r w:rsidRPr="006E6596">
        <w:rPr>
          <w:rFonts w:ascii="Times New Roman" w:hAnsi="Times New Roman"/>
          <w:noProof/>
          <w:sz w:val="24"/>
          <w:lang w:val="bg-BG"/>
        </w:rPr>
        <w:t>да осигуряват истински възпиращ ефект с цел предотвратяване на по-нататъшна дискриминация. Това включва налагане на санкции дори при липса на разпознаваема жертва</w:t>
      </w:r>
      <w:r w:rsidRPr="006E6596">
        <w:rPr>
          <w:rFonts w:ascii="Times New Roman" w:eastAsia="Calibri" w:hAnsi="Times New Roman" w:cs="Times New Roman"/>
          <w:noProof/>
          <w:sz w:val="24"/>
          <w:vertAlign w:val="superscript"/>
          <w:lang w:val="bg-BG"/>
        </w:rPr>
        <w:footnoteReference w:id="262"/>
      </w:r>
      <w:r w:rsidRPr="006E6596">
        <w:rPr>
          <w:rFonts w:ascii="Times New Roman" w:hAnsi="Times New Roman"/>
          <w:noProof/>
          <w:sz w:val="24"/>
          <w:lang w:val="bg-BG"/>
        </w:rPr>
        <w:t>. Една</w:t>
      </w:r>
      <w:r w:rsidRPr="006E6596">
        <w:rPr>
          <w:rFonts w:ascii="Times New Roman" w:hAnsi="Times New Roman"/>
          <w:noProof/>
          <w:sz w:val="24"/>
          <w:shd w:val="clear" w:color="auto" w:fill="FFFFFF"/>
          <w:lang w:val="bg-BG"/>
        </w:rPr>
        <w:t xml:space="preserve"> напълно символична санкция не може да бъде приета за достатъчна</w:t>
      </w:r>
      <w:r w:rsidRPr="006E6596">
        <w:rPr>
          <w:rFonts w:ascii="Times New Roman" w:eastAsia="Calibri" w:hAnsi="Times New Roman" w:cs="Times New Roman"/>
          <w:noProof/>
          <w:sz w:val="24"/>
          <w:shd w:val="clear" w:color="auto" w:fill="FFFFFF"/>
          <w:vertAlign w:val="superscript"/>
          <w:lang w:val="bg-BG"/>
        </w:rPr>
        <w:footnoteReference w:id="263"/>
      </w:r>
      <w:r w:rsidRPr="006E6596">
        <w:rPr>
          <w:rFonts w:ascii="Times New Roman" w:hAnsi="Times New Roman"/>
          <w:noProof/>
          <w:sz w:val="24"/>
          <w:shd w:val="clear" w:color="auto" w:fill="FFFFFF"/>
          <w:lang w:val="bg-BG"/>
        </w:rPr>
        <w:t>.</w:t>
      </w:r>
    </w:p>
    <w:p w14:paraId="0EED2B49" w14:textId="7309F388" w:rsidR="00F711FA" w:rsidRPr="006E6596" w:rsidRDefault="00B33F16" w:rsidP="00071DA9">
      <w:pPr>
        <w:spacing w:after="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В областта на </w:t>
      </w:r>
      <w:r w:rsidRPr="006E6596">
        <w:rPr>
          <w:rFonts w:ascii="Times New Roman" w:hAnsi="Times New Roman"/>
          <w:b/>
          <w:noProof/>
          <w:sz w:val="24"/>
          <w:lang w:val="bg-BG"/>
        </w:rPr>
        <w:t>възлагане на обществени поръчки</w:t>
      </w:r>
      <w:r w:rsidRPr="006E6596">
        <w:rPr>
          <w:rFonts w:ascii="Times New Roman" w:hAnsi="Times New Roman"/>
          <w:noProof/>
          <w:sz w:val="24"/>
          <w:lang w:val="bg-BG"/>
        </w:rPr>
        <w:t>, Съдът на ЕС изразява становище, че в случаите, когато процедура за възлагане на обществена поръчка е започната без публикуване на обявление за поръчка, държавите членки не могат да изискват от страните по делото да идентифицират процедурата или решението в своята молба за преразглеждане или налагане на временни мерки съгласно Директива 89/665/ЕО</w:t>
      </w:r>
      <w:r w:rsidRPr="006E6596">
        <w:rPr>
          <w:rStyle w:val="FootnoteReference"/>
          <w:rFonts w:ascii="Times New Roman" w:hAnsi="Times New Roman" w:cs="Times New Roman"/>
          <w:noProof/>
          <w:sz w:val="24"/>
          <w:lang w:val="bg-BG"/>
        </w:rPr>
        <w:footnoteReference w:id="264"/>
      </w:r>
      <w:r w:rsidRPr="006E6596">
        <w:rPr>
          <w:rFonts w:ascii="Times New Roman" w:hAnsi="Times New Roman"/>
          <w:noProof/>
          <w:sz w:val="24"/>
          <w:lang w:val="bg-BG"/>
        </w:rPr>
        <w:t>. Държавите членки обаче могат да изискват участниците в процедура за възлагане на обществена поръчка, да не могат да оспорват решение на най-висшия административен съд чрез обжалване пред върховен съд по отношение на съответствието му с правото на ЕС</w:t>
      </w:r>
      <w:r w:rsidRPr="006E6596">
        <w:rPr>
          <w:rStyle w:val="FootnoteReference"/>
          <w:rFonts w:ascii="Times New Roman" w:hAnsi="Times New Roman" w:cs="Times New Roman"/>
          <w:noProof/>
          <w:sz w:val="24"/>
          <w:lang w:val="bg-BG"/>
        </w:rPr>
        <w:footnoteReference w:id="265"/>
      </w:r>
      <w:r w:rsidRPr="006E6596">
        <w:rPr>
          <w:rFonts w:ascii="Times New Roman" w:hAnsi="Times New Roman"/>
          <w:noProof/>
          <w:sz w:val="24"/>
          <w:lang w:val="bg-BG"/>
        </w:rPr>
        <w:t>. Освен това, в национални процедури по отношение на потенциални неверни изявления, направени от спечелил участник възлагащият орган е длъжен да претегли правото на обжалващия участник на ефективна правна защита срещу правото на конкурентния участник на защита на неговата поверителна търговска информация и търговски тайни</w:t>
      </w:r>
      <w:r w:rsidRPr="006E6596">
        <w:rPr>
          <w:rStyle w:val="FootnoteReference"/>
          <w:rFonts w:ascii="Times New Roman" w:hAnsi="Times New Roman" w:cs="Times New Roman"/>
          <w:noProof/>
          <w:sz w:val="24"/>
          <w:lang w:val="bg-BG"/>
        </w:rPr>
        <w:footnoteReference w:id="266"/>
      </w:r>
      <w:r w:rsidRPr="006E6596">
        <w:rPr>
          <w:rFonts w:ascii="Times New Roman" w:hAnsi="Times New Roman"/>
          <w:noProof/>
          <w:sz w:val="24"/>
          <w:lang w:val="bg-BG"/>
        </w:rPr>
        <w:t>. Трябва да има възможност за съдебен контрол по отношение на решението на възлагащия орган да не започне процедура за проверка дали офертите са били необичайно ниски</w:t>
      </w:r>
      <w:r w:rsidRPr="006E6596">
        <w:rPr>
          <w:rStyle w:val="FootnoteReference"/>
          <w:rFonts w:ascii="Times New Roman" w:hAnsi="Times New Roman" w:cs="Times New Roman"/>
          <w:noProof/>
          <w:sz w:val="24"/>
          <w:lang w:val="bg-BG"/>
        </w:rPr>
        <w:footnoteReference w:id="267"/>
      </w:r>
      <w:r w:rsidRPr="006E6596">
        <w:rPr>
          <w:rFonts w:ascii="Times New Roman" w:hAnsi="Times New Roman"/>
          <w:noProof/>
          <w:sz w:val="24"/>
          <w:lang w:val="bg-BG"/>
        </w:rPr>
        <w:t>.</w:t>
      </w:r>
    </w:p>
    <w:p w14:paraId="783CB363" w14:textId="77777777" w:rsidR="00D2695F" w:rsidRPr="006E6596" w:rsidRDefault="00D2695F" w:rsidP="00071DA9">
      <w:pPr>
        <w:spacing w:after="0" w:line="240" w:lineRule="auto"/>
        <w:rPr>
          <w:rFonts w:ascii="Times New Roman" w:hAnsi="Times New Roman" w:cs="Times New Roman"/>
          <w:noProof/>
          <w:sz w:val="24"/>
          <w:lang w:val="bg-BG"/>
        </w:rPr>
      </w:pPr>
    </w:p>
    <w:p w14:paraId="3BA23583" w14:textId="5FD09221" w:rsidR="00F711FA" w:rsidRPr="006E6596" w:rsidRDefault="0008495C"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Директивата </w:t>
      </w:r>
      <w:r w:rsidRPr="006E6596">
        <w:rPr>
          <w:rFonts w:ascii="Times New Roman" w:hAnsi="Times New Roman"/>
          <w:b/>
          <w:noProof/>
          <w:sz w:val="24"/>
          <w:lang w:val="bg-BG"/>
        </w:rPr>
        <w:t>относно неравноправните клаузи в потребителските договори</w:t>
      </w:r>
      <w:r w:rsidRPr="006E6596">
        <w:rPr>
          <w:rFonts w:ascii="Times New Roman" w:hAnsi="Times New Roman" w:cs="Times New Roman"/>
          <w:noProof/>
          <w:sz w:val="24"/>
          <w:vertAlign w:val="superscript"/>
          <w:lang w:val="bg-BG"/>
        </w:rPr>
        <w:footnoteReference w:id="268"/>
      </w:r>
      <w:r w:rsidRPr="006E6596">
        <w:rPr>
          <w:rFonts w:ascii="Times New Roman" w:hAnsi="Times New Roman"/>
          <w:noProof/>
          <w:sz w:val="24"/>
          <w:lang w:val="bg-BG"/>
        </w:rPr>
        <w:t xml:space="preserve"> доведе до развитието на богата съдебна практика, осигуряваща защита срещу неравноправни клаузи, която също включва изискване за ефективна съдебна защита</w:t>
      </w:r>
      <w:r w:rsidRPr="006E6596">
        <w:rPr>
          <w:rFonts w:ascii="Times New Roman" w:hAnsi="Times New Roman" w:cs="Times New Roman"/>
          <w:noProof/>
          <w:sz w:val="24"/>
          <w:vertAlign w:val="superscript"/>
          <w:lang w:val="bg-BG"/>
        </w:rPr>
        <w:footnoteReference w:id="269"/>
      </w:r>
      <w:r w:rsidRPr="006E6596">
        <w:rPr>
          <w:rFonts w:ascii="Times New Roman" w:hAnsi="Times New Roman"/>
          <w:noProof/>
          <w:sz w:val="24"/>
          <w:lang w:val="bg-BG"/>
        </w:rPr>
        <w:t>. Например задължението на националните съдилища служебно да оценяват справедливостта на договорните условия, които са в основата на потребителските спорове</w:t>
      </w:r>
      <w:r w:rsidRPr="006E6596">
        <w:rPr>
          <w:rFonts w:ascii="Times New Roman" w:hAnsi="Times New Roman" w:cs="Times New Roman"/>
          <w:noProof/>
          <w:sz w:val="24"/>
          <w:vertAlign w:val="superscript"/>
          <w:lang w:val="bg-BG"/>
        </w:rPr>
        <w:footnoteReference w:id="270"/>
      </w:r>
      <w:r w:rsidRPr="006E6596">
        <w:rPr>
          <w:rFonts w:ascii="Times New Roman" w:hAnsi="Times New Roman"/>
          <w:noProof/>
          <w:sz w:val="24"/>
          <w:lang w:val="bg-BG"/>
        </w:rPr>
        <w:t>, наличието и началото на давностни срокове за искове на потребителите, основани на неравноправни клаузи</w:t>
      </w:r>
      <w:r w:rsidRPr="006E6596">
        <w:rPr>
          <w:rFonts w:ascii="Times New Roman" w:hAnsi="Times New Roman" w:cs="Times New Roman"/>
          <w:noProof/>
          <w:sz w:val="24"/>
          <w:vertAlign w:val="superscript"/>
          <w:lang w:val="bg-BG"/>
        </w:rPr>
        <w:footnoteReference w:id="271"/>
      </w:r>
      <w:r w:rsidRPr="006E6596">
        <w:rPr>
          <w:rFonts w:ascii="Times New Roman" w:hAnsi="Times New Roman"/>
          <w:noProof/>
          <w:sz w:val="24"/>
          <w:lang w:val="bg-BG"/>
        </w:rPr>
        <w:t xml:space="preserve">, задължението на съдилищата мотивирано да оценяват справедливостта на конкретно договорно условие, за да се предотврати последващото му повторно разглеждане съгласно принципа за </w:t>
      </w:r>
      <w:r w:rsidRPr="006E6596">
        <w:rPr>
          <w:rFonts w:ascii="Times New Roman" w:hAnsi="Times New Roman"/>
          <w:i/>
          <w:noProof/>
          <w:sz w:val="24"/>
          <w:lang w:val="bg-BG"/>
        </w:rPr>
        <w:t>res judicata (сила на пресъдено нещо)</w:t>
      </w:r>
      <w:r w:rsidRPr="006E6596">
        <w:rPr>
          <w:rFonts w:ascii="Times New Roman" w:hAnsi="Times New Roman" w:cs="Times New Roman"/>
          <w:noProof/>
          <w:sz w:val="24"/>
          <w:vertAlign w:val="superscript"/>
          <w:lang w:val="bg-BG"/>
        </w:rPr>
        <w:footnoteReference w:id="272"/>
      </w:r>
      <w:r w:rsidRPr="006E6596">
        <w:rPr>
          <w:rFonts w:ascii="Times New Roman" w:hAnsi="Times New Roman"/>
          <w:i/>
          <w:noProof/>
          <w:sz w:val="24"/>
          <w:lang w:val="bg-BG"/>
        </w:rPr>
        <w:t xml:space="preserve"> </w:t>
      </w:r>
      <w:r w:rsidRPr="006E6596">
        <w:rPr>
          <w:rFonts w:ascii="Times New Roman" w:hAnsi="Times New Roman"/>
          <w:noProof/>
          <w:sz w:val="24"/>
          <w:lang w:val="bg-BG"/>
        </w:rPr>
        <w:t>и разпределението на разходите</w:t>
      </w:r>
      <w:r w:rsidRPr="006E6596">
        <w:rPr>
          <w:rFonts w:ascii="Times New Roman" w:hAnsi="Times New Roman" w:cs="Times New Roman"/>
          <w:noProof/>
          <w:sz w:val="24"/>
          <w:vertAlign w:val="superscript"/>
          <w:lang w:val="bg-BG"/>
        </w:rPr>
        <w:footnoteReference w:id="273"/>
      </w:r>
      <w:r w:rsidRPr="006E6596">
        <w:rPr>
          <w:rFonts w:ascii="Times New Roman" w:hAnsi="Times New Roman"/>
          <w:noProof/>
          <w:sz w:val="24"/>
          <w:lang w:val="bg-BG"/>
        </w:rPr>
        <w:t>.</w:t>
      </w:r>
    </w:p>
    <w:p w14:paraId="79FF0CE9" w14:textId="125086D1" w:rsidR="00E639D8" w:rsidRPr="006E6596" w:rsidRDefault="00CE59A0" w:rsidP="00F711FA">
      <w:pPr>
        <w:spacing w:after="12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По същия начин, в областта на </w:t>
      </w:r>
      <w:r w:rsidRPr="006E6596">
        <w:rPr>
          <w:rFonts w:ascii="Times New Roman" w:hAnsi="Times New Roman"/>
          <w:b/>
          <w:noProof/>
          <w:sz w:val="24"/>
          <w:lang w:val="bg-BG"/>
        </w:rPr>
        <w:t>миграцията и убежището</w:t>
      </w:r>
      <w:r w:rsidRPr="006E6596">
        <w:rPr>
          <w:rFonts w:ascii="Times New Roman" w:hAnsi="Times New Roman"/>
          <w:noProof/>
          <w:sz w:val="24"/>
          <w:lang w:val="bg-BG"/>
        </w:rPr>
        <w:t>, ефективната съдебна защита играе важна роля</w:t>
      </w:r>
      <w:r w:rsidR="00056C22">
        <w:rPr>
          <w:rFonts w:ascii="Times New Roman" w:hAnsi="Times New Roman"/>
          <w:noProof/>
          <w:sz w:val="24"/>
          <w:lang w:val="bg-BG"/>
        </w:rPr>
        <w:t xml:space="preserve"> и Съдът на ЕС постанови, че</w:t>
      </w:r>
      <w:r w:rsidRPr="006E6596">
        <w:rPr>
          <w:rFonts w:ascii="Times New Roman" w:hAnsi="Times New Roman"/>
          <w:noProof/>
          <w:sz w:val="24"/>
          <w:lang w:val="bg-BG"/>
        </w:rPr>
        <w:t xml:space="preserve"> държавите членки трябва да предоставят определени гаранции във връзка с решенията за връщане, забраните за влизане, извежданията и издаването на заповеди за задържане</w:t>
      </w:r>
      <w:r w:rsidR="00986C65">
        <w:rPr>
          <w:rFonts w:ascii="Times New Roman" w:hAnsi="Times New Roman"/>
          <w:noProof/>
          <w:sz w:val="24"/>
          <w:lang w:val="bg-BG"/>
        </w:rPr>
        <w:t>,</w:t>
      </w:r>
      <w:r w:rsidRPr="006E6596">
        <w:rPr>
          <w:rFonts w:ascii="Times New Roman" w:hAnsi="Times New Roman"/>
          <w:noProof/>
          <w:sz w:val="24"/>
          <w:lang w:val="bg-BG"/>
        </w:rPr>
        <w:t xml:space="preserve"> правото на </w:t>
      </w:r>
      <w:r w:rsidR="00986C65">
        <w:rPr>
          <w:rFonts w:ascii="Times New Roman" w:hAnsi="Times New Roman"/>
          <w:noProof/>
          <w:sz w:val="24"/>
          <w:lang w:val="bg-BG"/>
        </w:rPr>
        <w:t xml:space="preserve">изслушване и </w:t>
      </w:r>
      <w:r w:rsidRPr="006E6596">
        <w:rPr>
          <w:rFonts w:ascii="Times New Roman" w:hAnsi="Times New Roman"/>
          <w:noProof/>
          <w:sz w:val="24"/>
          <w:lang w:val="bg-BG"/>
        </w:rPr>
        <w:t>правото на достъп до материалите по делото</w:t>
      </w:r>
      <w:r w:rsidR="00986C65">
        <w:rPr>
          <w:rStyle w:val="FootnoteReference"/>
          <w:rFonts w:ascii="Times New Roman" w:hAnsi="Times New Roman"/>
          <w:noProof/>
          <w:sz w:val="24"/>
          <w:lang w:val="bg-BG"/>
        </w:rPr>
        <w:footnoteReference w:id="274"/>
      </w:r>
      <w:r w:rsidRPr="006E6596">
        <w:rPr>
          <w:rFonts w:ascii="Times New Roman" w:hAnsi="Times New Roman"/>
          <w:noProof/>
          <w:sz w:val="24"/>
          <w:lang w:val="bg-BG"/>
        </w:rPr>
        <w:t>.</w:t>
      </w:r>
    </w:p>
    <w:p w14:paraId="04C9F841" w14:textId="51AA5065" w:rsidR="00E62543" w:rsidRPr="006E6596" w:rsidRDefault="00E62543" w:rsidP="00285A4D">
      <w:pPr>
        <w:spacing w:after="120" w:line="276" w:lineRule="auto"/>
        <w:jc w:val="both"/>
        <w:rPr>
          <w:rFonts w:ascii="Times New Roman" w:eastAsia="Calibri" w:hAnsi="Times New Roman" w:cs="Times New Roman"/>
          <w:noProof/>
          <w:sz w:val="24"/>
          <w:lang w:val="bg-BG"/>
        </w:rPr>
      </w:pPr>
    </w:p>
    <w:p w14:paraId="0488165E" w14:textId="77777777" w:rsidR="00F14706" w:rsidRPr="006E6596" w:rsidRDefault="00F14706" w:rsidP="0074254C">
      <w:pPr>
        <w:pStyle w:val="ListParagraph"/>
        <w:numPr>
          <w:ilvl w:val="1"/>
          <w:numId w:val="1"/>
        </w:numPr>
        <w:ind w:left="1080" w:hanging="720"/>
        <w:outlineLvl w:val="0"/>
        <w:rPr>
          <w:rFonts w:cs="Times New Roman"/>
          <w:b/>
          <w:noProof/>
          <w:lang w:val="bg-BG"/>
        </w:rPr>
      </w:pPr>
      <w:bookmarkStart w:id="64" w:name="_Toc147916082"/>
      <w:bookmarkStart w:id="65" w:name="_Toc152859069"/>
      <w:r w:rsidRPr="006E6596">
        <w:rPr>
          <w:b/>
          <w:noProof/>
          <w:lang w:val="bg-BG"/>
        </w:rPr>
        <w:t>Национална съдебна практика относно ефективните средства за правна защита</w:t>
      </w:r>
      <w:bookmarkEnd w:id="64"/>
      <w:bookmarkEnd w:id="65"/>
      <w:r w:rsidRPr="006E6596">
        <w:rPr>
          <w:b/>
          <w:noProof/>
          <w:lang w:val="bg-BG"/>
        </w:rPr>
        <w:t xml:space="preserve"> </w:t>
      </w:r>
    </w:p>
    <w:p w14:paraId="6DB85FD4" w14:textId="658AF548" w:rsidR="00285A4D" w:rsidRPr="006E6596" w:rsidRDefault="002264A9" w:rsidP="00C21C0E">
      <w:pPr>
        <w:jc w:val="both"/>
        <w:rPr>
          <w:rFonts w:ascii="Times New Roman" w:hAnsi="Times New Roman" w:cs="Times New Roman"/>
          <w:noProof/>
          <w:sz w:val="24"/>
          <w:lang w:val="bg-BG"/>
        </w:rPr>
      </w:pPr>
      <w:r w:rsidRPr="006E6596">
        <w:rPr>
          <w:rFonts w:ascii="Times New Roman" w:hAnsi="Times New Roman"/>
          <w:noProof/>
          <w:sz w:val="24"/>
          <w:lang w:val="bg-BG"/>
        </w:rPr>
        <w:t>Освен Съда на ЕС, националните съдилища и трибунали също носят отговорност за осигуряване на съдебна защита в ЕС съгласно член 19 от ДЕС</w:t>
      </w:r>
      <w:r w:rsidRPr="006E6596">
        <w:rPr>
          <w:rStyle w:val="FootnoteReference"/>
          <w:rFonts w:ascii="Times New Roman" w:hAnsi="Times New Roman" w:cs="Times New Roman"/>
          <w:noProof/>
          <w:sz w:val="24"/>
          <w:lang w:val="bg-BG"/>
        </w:rPr>
        <w:footnoteReference w:id="275"/>
      </w:r>
      <w:r w:rsidRPr="006E6596">
        <w:rPr>
          <w:rFonts w:ascii="Times New Roman" w:hAnsi="Times New Roman"/>
          <w:noProof/>
          <w:sz w:val="24"/>
          <w:lang w:val="bg-BG"/>
        </w:rPr>
        <w:t xml:space="preserve">. </w:t>
      </w:r>
    </w:p>
    <w:p w14:paraId="748925F5" w14:textId="0DDB1035" w:rsidR="001C5913" w:rsidRPr="006E6596" w:rsidRDefault="001C5913" w:rsidP="00C21C0E">
      <w:pPr>
        <w:jc w:val="both"/>
        <w:rPr>
          <w:rFonts w:ascii="Times New Roman" w:hAnsi="Times New Roman" w:cs="Times New Roman"/>
          <w:noProof/>
          <w:sz w:val="24"/>
          <w:lang w:val="bg-BG"/>
        </w:rPr>
      </w:pPr>
      <w:r w:rsidRPr="006E6596">
        <w:rPr>
          <w:rFonts w:ascii="Times New Roman" w:hAnsi="Times New Roman"/>
          <w:noProof/>
          <w:sz w:val="24"/>
          <w:lang w:val="bg-BG"/>
        </w:rPr>
        <w:t>В това си качество, държавите членки прилагат Хартата в случаи, които се отнасят до прилагането на правото на ЕС</w:t>
      </w:r>
      <w:r w:rsidR="00986C65">
        <w:rPr>
          <w:rStyle w:val="FootnoteReference"/>
          <w:rFonts w:ascii="Times New Roman" w:hAnsi="Times New Roman"/>
          <w:noProof/>
          <w:sz w:val="24"/>
          <w:lang w:val="bg-BG"/>
        </w:rPr>
        <w:footnoteReference w:id="276"/>
      </w:r>
      <w:r w:rsidRPr="006E6596">
        <w:rPr>
          <w:rFonts w:ascii="Times New Roman" w:hAnsi="Times New Roman"/>
          <w:noProof/>
          <w:sz w:val="24"/>
          <w:lang w:val="bg-BG"/>
        </w:rPr>
        <w:t>. Хартата е най-често цитирана в случаи, постановени от върховни административни съдилища, свързани по-специално с данъчно облагане, конфискация на имущество, дискриминация при наемане на работа, енергетика и конкуренция, достъп до информация, запазване на данни, убежище, както и ЕЗА и взаимно признаване на наказания с лишаване от свобода</w:t>
      </w:r>
      <w:r w:rsidRPr="006E6596">
        <w:rPr>
          <w:rStyle w:val="FootnoteReference"/>
          <w:rFonts w:ascii="Times New Roman" w:hAnsi="Times New Roman" w:cs="Times New Roman"/>
          <w:noProof/>
          <w:sz w:val="24"/>
          <w:lang w:val="bg-BG"/>
        </w:rPr>
        <w:footnoteReference w:id="277"/>
      </w:r>
      <w:r w:rsidRPr="006E6596">
        <w:rPr>
          <w:rFonts w:ascii="Times New Roman" w:hAnsi="Times New Roman"/>
          <w:noProof/>
          <w:sz w:val="24"/>
          <w:lang w:val="bg-BG"/>
        </w:rPr>
        <w:t>. По-долу се подчертават някои дела от последните години, които имат отношение към тази проблематика и при които националните съдилища се позовават на Хартата, често в комбинация с разпоредби на конституционното или международното право.</w:t>
      </w:r>
    </w:p>
    <w:p w14:paraId="74A2CB63" w14:textId="6D53B366" w:rsidR="00285A4D" w:rsidRPr="006E6596" w:rsidRDefault="00C21C0E" w:rsidP="00C21C0E">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При липсата на национални разпоредби, с които изрично се въвеждат и прилагат процедурните гаранции на Хартата, исковете, засягащи основни права по дела, включващи правото на ЕС, се основават пряко на Хартата. В това отношение Съдът на ЕС е предоставил пряко действие на член 47 от Хартата, което позволява на лицата пряко да се позовават на това право пред националния съд</w:t>
      </w:r>
      <w:r w:rsidRPr="006E6596">
        <w:rPr>
          <w:rStyle w:val="FootnoteReference"/>
          <w:rFonts w:ascii="Times New Roman" w:hAnsi="Times New Roman" w:cs="Times New Roman"/>
          <w:noProof/>
          <w:sz w:val="24"/>
          <w:lang w:val="bg-BG"/>
        </w:rPr>
        <w:footnoteReference w:id="278"/>
      </w:r>
      <w:r w:rsidRPr="006E6596">
        <w:rPr>
          <w:rFonts w:ascii="Times New Roman" w:hAnsi="Times New Roman"/>
          <w:noProof/>
          <w:sz w:val="24"/>
          <w:lang w:val="bg-BG"/>
        </w:rPr>
        <w:t>.</w:t>
      </w:r>
    </w:p>
    <w:p w14:paraId="0B5126ED" w14:textId="14D21227" w:rsidR="00C21C0E" w:rsidRPr="006E6596" w:rsidRDefault="00062E45" w:rsidP="00C21C0E">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Например по две дела </w:t>
      </w:r>
      <w:r w:rsidRPr="006E6596">
        <w:rPr>
          <w:rFonts w:ascii="Times New Roman" w:hAnsi="Times New Roman"/>
          <w:b/>
          <w:noProof/>
          <w:sz w:val="24"/>
          <w:lang w:val="bg-BG"/>
        </w:rPr>
        <w:t>Конституционният съд на Австрия</w:t>
      </w:r>
      <w:r w:rsidRPr="006E6596">
        <w:rPr>
          <w:rStyle w:val="FootnoteReference"/>
          <w:rFonts w:ascii="Times New Roman" w:hAnsi="Times New Roman" w:cs="Times New Roman"/>
          <w:b/>
          <w:noProof/>
          <w:sz w:val="24"/>
          <w:lang w:val="bg-BG"/>
        </w:rPr>
        <w:footnoteReference w:id="279"/>
      </w:r>
      <w:r w:rsidRPr="006E6596">
        <w:rPr>
          <w:rFonts w:ascii="Times New Roman" w:hAnsi="Times New Roman"/>
          <w:noProof/>
          <w:sz w:val="24"/>
          <w:lang w:val="bg-BG"/>
        </w:rPr>
        <w:t xml:space="preserve"> установява, че правото на кандидатите за убежище на ефективна защита и по-специално правото им на изслушване съгласно член 47, параграф 2 от Хартата е било нарушено. В друг пример, свързан с производство по ДДС, </w:t>
      </w:r>
      <w:r w:rsidRPr="006E6596">
        <w:rPr>
          <w:rFonts w:ascii="Times New Roman" w:hAnsi="Times New Roman"/>
          <w:b/>
          <w:noProof/>
          <w:sz w:val="24"/>
          <w:lang w:val="bg-BG"/>
        </w:rPr>
        <w:t>Върховният административен съд на Австрия</w:t>
      </w:r>
      <w:r w:rsidR="008D7A05">
        <w:rPr>
          <w:rStyle w:val="FootnoteReference"/>
          <w:rFonts w:ascii="Times New Roman" w:hAnsi="Times New Roman"/>
          <w:b/>
          <w:noProof/>
          <w:sz w:val="24"/>
          <w:lang w:val="bg-BG"/>
        </w:rPr>
        <w:footnoteReference w:id="280"/>
      </w:r>
      <w:r w:rsidRPr="006E6596">
        <w:rPr>
          <w:rFonts w:ascii="Times New Roman" w:hAnsi="Times New Roman"/>
          <w:noProof/>
          <w:sz w:val="24"/>
          <w:lang w:val="bg-BG"/>
        </w:rPr>
        <w:t xml:space="preserve"> постановява, че при липса на национални разпоредби за прилагане на правото на ефективна правна защита, включително правото на правна помощ, жалбоподателят може да аргументира нарушение на основните си права като се позове на член 47 от Хартата. </w:t>
      </w:r>
    </w:p>
    <w:p w14:paraId="434F16CF" w14:textId="63765A2B" w:rsidR="00C21C0E" w:rsidRPr="006E6596" w:rsidRDefault="00C21C0E" w:rsidP="00C21C0E">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Хартата се прилага и в случаите, когато националните съдилища са преразглеждали законосъобразността на националните закони. Позовавайки се на членове 7 и 47 от Хартата,</w:t>
      </w:r>
      <w:r w:rsidRPr="006E6596">
        <w:rPr>
          <w:rFonts w:ascii="Times New Roman" w:hAnsi="Times New Roman"/>
          <w:b/>
          <w:noProof/>
          <w:sz w:val="24"/>
          <w:lang w:val="bg-BG"/>
        </w:rPr>
        <w:t xml:space="preserve"> Конституционният съд на Белгия</w:t>
      </w:r>
      <w:r w:rsidRPr="006E6596">
        <w:rPr>
          <w:rFonts w:ascii="Times New Roman" w:hAnsi="Times New Roman"/>
          <w:noProof/>
          <w:sz w:val="24"/>
          <w:lang w:val="bg-BG"/>
        </w:rPr>
        <w:t xml:space="preserve"> установи, че няколко разпоредби от националния Закон за предотвратяване на изпирането на пари и финансирането на тероризма са в противоречие с професионалната тайна на адвокатите, която той счита за защитена от съществени части от правото на личен живот и на справедлив съдебен процес. Този закон, с който се прилага Директива (ЕС) 2015/849</w:t>
      </w:r>
      <w:r w:rsidRPr="006E6596">
        <w:rPr>
          <w:rStyle w:val="FootnoteReference"/>
          <w:rFonts w:ascii="Times New Roman" w:hAnsi="Times New Roman" w:cs="Times New Roman"/>
          <w:noProof/>
          <w:sz w:val="24"/>
          <w:lang w:val="bg-BG"/>
        </w:rPr>
        <w:footnoteReference w:id="281"/>
      </w:r>
      <w:r w:rsidRPr="006E6596">
        <w:rPr>
          <w:rFonts w:ascii="Times New Roman" w:hAnsi="Times New Roman"/>
          <w:noProof/>
          <w:sz w:val="24"/>
          <w:lang w:val="bg-BG"/>
        </w:rPr>
        <w:t>, е частично отменен</w:t>
      </w:r>
      <w:r w:rsidRPr="006E6596">
        <w:rPr>
          <w:rStyle w:val="FootnoteReference"/>
          <w:rFonts w:ascii="Times New Roman" w:hAnsi="Times New Roman" w:cs="Times New Roman"/>
          <w:noProof/>
          <w:sz w:val="24"/>
          <w:lang w:val="bg-BG"/>
        </w:rPr>
        <w:footnoteReference w:id="282"/>
      </w:r>
      <w:r w:rsidRPr="006E6596">
        <w:rPr>
          <w:rFonts w:ascii="Times New Roman" w:hAnsi="Times New Roman"/>
          <w:noProof/>
          <w:sz w:val="24"/>
          <w:lang w:val="bg-BG"/>
        </w:rPr>
        <w:t>.</w:t>
      </w:r>
    </w:p>
    <w:p w14:paraId="4C2ACC54" w14:textId="676118ED" w:rsidR="00C21C0E" w:rsidRPr="006E6596" w:rsidRDefault="00C21C0E" w:rsidP="00C21C0E">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По същия начин, </w:t>
      </w:r>
      <w:r w:rsidRPr="006E6596">
        <w:rPr>
          <w:rFonts w:ascii="Times New Roman" w:hAnsi="Times New Roman"/>
          <w:b/>
          <w:noProof/>
          <w:sz w:val="24"/>
          <w:lang w:val="bg-BG"/>
        </w:rPr>
        <w:t>Върховният съд на Естония</w:t>
      </w:r>
      <w:r w:rsidRPr="006E6596">
        <w:rPr>
          <w:rStyle w:val="FootnoteReference"/>
          <w:rFonts w:ascii="Times New Roman" w:hAnsi="Times New Roman" w:cs="Times New Roman"/>
          <w:noProof/>
          <w:sz w:val="24"/>
          <w:lang w:val="bg-BG"/>
        </w:rPr>
        <w:footnoteReference w:id="283"/>
      </w:r>
      <w:r w:rsidRPr="006E6596">
        <w:rPr>
          <w:rFonts w:ascii="Times New Roman" w:hAnsi="Times New Roman"/>
          <w:noProof/>
          <w:sz w:val="24"/>
          <w:lang w:val="bg-BG"/>
        </w:rPr>
        <w:t xml:space="preserve"> преразгледа законосъобразността на националния Закон за чужденците, според който решенията за предсрочно прекратяване на безвизовия престой не могат да бъдат обжалвани в съда. Правото на гражданите на трети държави да влизат и остават в Естония без виза произтича от Регламент 2018/1806 и следователно гарантирането на правото на съдебно обжалване е въпрос на защита на субективно право съгласно правото на ЕС. Съгласно член 32, параграф 3 от Визовия кодекс на Съюза във връзка с член 47 от Хартата Естония се изисква да предвиди процедура за оспорване на решения за отказ на визи. Позовавайки се на принципите на еквивалентност и ефективност, съдът постановява, че същото тълкуване трябва да се прилага и по отношение на безвизовия престой. </w:t>
      </w:r>
    </w:p>
    <w:p w14:paraId="5D259CB8" w14:textId="77777777" w:rsidR="007E7C3E" w:rsidRPr="006E6596" w:rsidRDefault="007E7C3E" w:rsidP="00C90740">
      <w:pPr>
        <w:jc w:val="both"/>
        <w:rPr>
          <w:rFonts w:ascii="Times New Roman" w:hAnsi="Times New Roman" w:cs="Times New Roman"/>
          <w:noProof/>
          <w:sz w:val="24"/>
          <w:lang w:val="bg-BG"/>
        </w:rPr>
      </w:pPr>
      <w:bookmarkStart w:id="66" w:name="_Hlk140234482"/>
      <w:bookmarkEnd w:id="60"/>
    </w:p>
    <w:p w14:paraId="779BB87B" w14:textId="492889D0" w:rsidR="00C46B73" w:rsidRPr="006E6596" w:rsidRDefault="000B2166" w:rsidP="000B2520">
      <w:pPr>
        <w:pStyle w:val="ListParagraph"/>
        <w:numPr>
          <w:ilvl w:val="0"/>
          <w:numId w:val="1"/>
        </w:numPr>
        <w:ind w:left="567" w:hanging="567"/>
        <w:outlineLvl w:val="0"/>
        <w:rPr>
          <w:rFonts w:cs="Times New Roman"/>
          <w:b/>
          <w:noProof/>
          <w:lang w:val="bg-BG"/>
        </w:rPr>
      </w:pPr>
      <w:bookmarkStart w:id="67" w:name="_Toc152859070"/>
      <w:bookmarkEnd w:id="61"/>
      <w:r w:rsidRPr="006E6596">
        <w:rPr>
          <w:b/>
          <w:noProof/>
          <w:lang w:val="bg-BG"/>
        </w:rPr>
        <w:t>Финансиране от Съюза за ефективна правна защита</w:t>
      </w:r>
      <w:bookmarkEnd w:id="67"/>
    </w:p>
    <w:p w14:paraId="15C8488A" w14:textId="7F599178" w:rsidR="00DC31D1" w:rsidRPr="006E6596" w:rsidRDefault="000F1AC7" w:rsidP="00762055">
      <w:pPr>
        <w:spacing w:line="276" w:lineRule="auto"/>
        <w:jc w:val="both"/>
        <w:rPr>
          <w:rFonts w:ascii="Times New Roman" w:hAnsi="Times New Roman" w:cs="Times New Roman"/>
          <w:noProof/>
          <w:sz w:val="24"/>
          <w:lang w:val="bg-BG"/>
        </w:rPr>
      </w:pPr>
      <w:bookmarkStart w:id="68" w:name="_Hlk145691347"/>
      <w:r w:rsidRPr="006E6596">
        <w:rPr>
          <w:rFonts w:ascii="Times New Roman" w:hAnsi="Times New Roman"/>
          <w:noProof/>
          <w:sz w:val="24"/>
          <w:lang w:val="bg-BG"/>
        </w:rPr>
        <w:t xml:space="preserve">Финансирането за изграждане на капацитет на заинтересованите страни е съществена част от усилията на ЕС и неговите международни партньори в подкрепа на ефективната правна защита. Европейската комисия допринася за укрепването на съдебната защита чрез програмата „Правосъдие“ и програмата „Граждани, равенство, права и ценности“ (CERV). </w:t>
      </w:r>
    </w:p>
    <w:p w14:paraId="1B9705E3" w14:textId="00D04832" w:rsidR="00DC31D1" w:rsidRPr="006E6596" w:rsidRDefault="00DC31D1" w:rsidP="0074254C">
      <w:pPr>
        <w:pStyle w:val="ListParagraph"/>
        <w:numPr>
          <w:ilvl w:val="1"/>
          <w:numId w:val="1"/>
        </w:numPr>
        <w:ind w:left="1080" w:hanging="720"/>
        <w:outlineLvl w:val="0"/>
        <w:rPr>
          <w:rFonts w:cs="Times New Roman"/>
          <w:b/>
          <w:noProof/>
          <w:lang w:val="bg-BG"/>
        </w:rPr>
      </w:pPr>
      <w:bookmarkStart w:id="69" w:name="_Toc147916084"/>
      <w:bookmarkStart w:id="70" w:name="_Toc152859071"/>
      <w:r w:rsidRPr="006E6596">
        <w:rPr>
          <w:b/>
          <w:noProof/>
          <w:lang w:val="bg-BG"/>
        </w:rPr>
        <w:t>Програма „Правосъдие“</w:t>
      </w:r>
      <w:bookmarkEnd w:id="69"/>
      <w:bookmarkEnd w:id="70"/>
      <w:r w:rsidRPr="006E6596">
        <w:rPr>
          <w:b/>
          <w:noProof/>
          <w:lang w:val="bg-BG"/>
        </w:rPr>
        <w:t xml:space="preserve"> </w:t>
      </w:r>
    </w:p>
    <w:p w14:paraId="50631705" w14:textId="14A073B7" w:rsidR="00DC31D1" w:rsidRPr="006E6596" w:rsidRDefault="00DC31D1"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Чрез програмата „Правосъдие“</w:t>
      </w:r>
      <w:r w:rsidRPr="006E6596">
        <w:rPr>
          <w:rFonts w:ascii="Times New Roman" w:hAnsi="Times New Roman" w:cs="Times New Roman"/>
          <w:noProof/>
          <w:sz w:val="24"/>
          <w:vertAlign w:val="superscript"/>
          <w:lang w:val="bg-BG"/>
        </w:rPr>
        <w:footnoteReference w:id="284"/>
      </w:r>
      <w:r w:rsidRPr="006E6596">
        <w:rPr>
          <w:rFonts w:ascii="Times New Roman" w:hAnsi="Times New Roman"/>
          <w:noProof/>
          <w:sz w:val="24"/>
          <w:lang w:val="bg-BG"/>
        </w:rPr>
        <w:t xml:space="preserve"> Европейската комисия подкрепя европейско пространство на правосъдие, основано на </w:t>
      </w:r>
      <w:r w:rsidRPr="006E6596">
        <w:rPr>
          <w:rFonts w:ascii="Times New Roman" w:hAnsi="Times New Roman"/>
          <w:b/>
          <w:noProof/>
          <w:sz w:val="24"/>
          <w:lang w:val="bg-BG"/>
        </w:rPr>
        <w:t>ефективни и независими правосъдни системи</w:t>
      </w:r>
      <w:r w:rsidRPr="006E6596">
        <w:rPr>
          <w:rFonts w:ascii="Times New Roman" w:hAnsi="Times New Roman" w:cs="Times New Roman"/>
          <w:noProof/>
          <w:sz w:val="24"/>
          <w:vertAlign w:val="superscript"/>
          <w:lang w:val="bg-BG"/>
        </w:rPr>
        <w:footnoteReference w:id="285"/>
      </w:r>
      <w:r w:rsidRPr="006E6596">
        <w:rPr>
          <w:rFonts w:ascii="Times New Roman" w:hAnsi="Times New Roman"/>
          <w:noProof/>
          <w:sz w:val="24"/>
          <w:lang w:val="bg-BG"/>
        </w:rPr>
        <w:t>. Финансирането</w:t>
      </w:r>
      <w:r w:rsidRPr="006E6596">
        <w:rPr>
          <w:rStyle w:val="FootnoteReference"/>
          <w:rFonts w:ascii="Times New Roman" w:hAnsi="Times New Roman" w:cs="Times New Roman"/>
          <w:noProof/>
          <w:sz w:val="24"/>
          <w:lang w:val="bg-BG"/>
        </w:rPr>
        <w:footnoteReference w:id="286"/>
      </w:r>
      <w:r w:rsidRPr="006E6596">
        <w:rPr>
          <w:rFonts w:ascii="Times New Roman" w:hAnsi="Times New Roman"/>
          <w:noProof/>
          <w:sz w:val="24"/>
          <w:lang w:val="bg-BG"/>
        </w:rPr>
        <w:t xml:space="preserve"> се отпуска за справяне с трансгранични предизвикателства, като липса на доверие между съдебните системи по отношение на взаимното признаване и съдебното сътрудничество, пропуски в цифровата комуникация, процедурите и предаването на правна информация и недостиг на ресурси за обучение по в въпросите на правото на ЕС. Едно от трите направления на програмата</w:t>
      </w:r>
      <w:r w:rsidRPr="006E6596">
        <w:rPr>
          <w:rStyle w:val="FootnoteReference"/>
          <w:rFonts w:ascii="Times New Roman" w:hAnsi="Times New Roman" w:cs="Times New Roman"/>
          <w:noProof/>
          <w:sz w:val="24"/>
          <w:lang w:val="bg-BG"/>
        </w:rPr>
        <w:footnoteReference w:id="287"/>
      </w:r>
      <w:r w:rsidRPr="006E6596">
        <w:rPr>
          <w:rFonts w:ascii="Times New Roman" w:hAnsi="Times New Roman"/>
          <w:noProof/>
          <w:sz w:val="24"/>
          <w:lang w:val="bg-BG"/>
        </w:rPr>
        <w:t xml:space="preserve"> е насочено към улесняване на </w:t>
      </w:r>
      <w:r w:rsidRPr="006E6596">
        <w:rPr>
          <w:rFonts w:ascii="Times New Roman" w:hAnsi="Times New Roman"/>
          <w:b/>
          <w:noProof/>
          <w:sz w:val="24"/>
          <w:lang w:val="bg-BG"/>
        </w:rPr>
        <w:t>ефективния и недискриминационен достъп до правосъдие и правна защита за всички</w:t>
      </w:r>
      <w:r w:rsidRPr="006E6596">
        <w:rPr>
          <w:rFonts w:ascii="Times New Roman" w:hAnsi="Times New Roman" w:cs="Times New Roman"/>
          <w:noProof/>
          <w:sz w:val="24"/>
          <w:vertAlign w:val="superscript"/>
          <w:lang w:val="bg-BG"/>
        </w:rPr>
        <w:footnoteReference w:id="288"/>
      </w:r>
      <w:r w:rsidRPr="006E6596">
        <w:rPr>
          <w:rFonts w:ascii="Times New Roman" w:hAnsi="Times New Roman"/>
          <w:noProof/>
          <w:sz w:val="24"/>
          <w:lang w:val="bg-BG"/>
        </w:rPr>
        <w:t xml:space="preserve">, включително чрез </w:t>
      </w:r>
      <w:r w:rsidRPr="006E6596">
        <w:rPr>
          <w:rFonts w:ascii="Times New Roman" w:hAnsi="Times New Roman"/>
          <w:b/>
          <w:noProof/>
          <w:sz w:val="24"/>
          <w:lang w:val="bg-BG"/>
        </w:rPr>
        <w:t>електронни средства</w:t>
      </w:r>
      <w:r w:rsidRPr="006E6596">
        <w:rPr>
          <w:rFonts w:ascii="Times New Roman" w:hAnsi="Times New Roman"/>
          <w:noProof/>
          <w:sz w:val="24"/>
          <w:lang w:val="bg-BG"/>
        </w:rPr>
        <w:t>, с приоритетни области като правата на всички жертви на престъпления и процесуалните права на заподозрените и обвиняеми лица в наказателните производства</w:t>
      </w:r>
      <w:r w:rsidRPr="006E6596">
        <w:rPr>
          <w:rFonts w:ascii="Times New Roman" w:hAnsi="Times New Roman" w:cs="Times New Roman"/>
          <w:noProof/>
          <w:sz w:val="24"/>
          <w:vertAlign w:val="superscript"/>
          <w:lang w:val="bg-BG"/>
        </w:rPr>
        <w:footnoteReference w:id="289"/>
      </w:r>
      <w:r w:rsidRPr="006E6596">
        <w:rPr>
          <w:rFonts w:ascii="Times New Roman" w:hAnsi="Times New Roman"/>
          <w:noProof/>
          <w:sz w:val="24"/>
          <w:lang w:val="bg-BG"/>
        </w:rPr>
        <w:t>.</w:t>
      </w:r>
    </w:p>
    <w:tbl>
      <w:tblPr>
        <w:tblStyle w:val="TableGrid"/>
        <w:tblW w:w="0" w:type="auto"/>
        <w:tblLook w:val="04A0" w:firstRow="1" w:lastRow="0" w:firstColumn="1" w:lastColumn="0" w:noHBand="0" w:noVBand="1"/>
      </w:tblPr>
      <w:tblGrid>
        <w:gridCol w:w="9576"/>
      </w:tblGrid>
      <w:tr w:rsidR="00DC31D1" w:rsidRPr="00FF7825" w14:paraId="2B4FC6B2" w14:textId="77777777" w:rsidTr="00A13A3D">
        <w:tc>
          <w:tcPr>
            <w:tcW w:w="9576" w:type="dxa"/>
          </w:tcPr>
          <w:p w14:paraId="0476FDE0" w14:textId="77777777" w:rsidR="00DC31D1" w:rsidRPr="006E6596" w:rsidRDefault="00DC31D1" w:rsidP="00A13A3D">
            <w:pPr>
              <w:spacing w:after="120"/>
              <w:jc w:val="both"/>
              <w:rPr>
                <w:rFonts w:ascii="Times New Roman" w:hAnsi="Times New Roman" w:cs="Times New Roman"/>
                <w:noProof/>
                <w:sz w:val="24"/>
                <w:lang w:val="bg-BG"/>
              </w:rPr>
            </w:pPr>
            <w:r w:rsidRPr="006E6596">
              <w:rPr>
                <w:rFonts w:ascii="Times New Roman" w:hAnsi="Times New Roman"/>
                <w:i/>
                <w:noProof/>
                <w:sz w:val="24"/>
                <w:lang w:val="bg-BG"/>
              </w:rPr>
              <w:t>Примери за проекти по програма „Правосъдие“:</w:t>
            </w:r>
          </w:p>
          <w:p w14:paraId="4EC3097C" w14:textId="4CEC6548" w:rsidR="00DC31D1" w:rsidRPr="006E6596" w:rsidRDefault="00DC31D1" w:rsidP="00A13A3D">
            <w:pPr>
              <w:pStyle w:val="FootnoteText"/>
              <w:jc w:val="both"/>
              <w:rPr>
                <w:noProof/>
                <w:sz w:val="24"/>
                <w:lang w:val="bg-BG"/>
              </w:rPr>
            </w:pPr>
            <w:r w:rsidRPr="006E6596">
              <w:rPr>
                <w:noProof/>
                <w:sz w:val="24"/>
                <w:lang w:val="bg-BG"/>
              </w:rPr>
              <w:t>В рамките на проекта „</w:t>
            </w:r>
            <w:r w:rsidRPr="006E6596">
              <w:rPr>
                <w:b/>
                <w:noProof/>
                <w:sz w:val="24"/>
                <w:lang w:val="bg-BG"/>
              </w:rPr>
              <w:t>Въвеждане на обучение за свободата на словото във връзка с борбата срещу стратегическите съдебни производства, насочени срещу участието на обществеността</w:t>
            </w:r>
            <w:r w:rsidRPr="006E6596">
              <w:rPr>
                <w:noProof/>
                <w:sz w:val="24"/>
                <w:lang w:val="bg-BG"/>
              </w:rPr>
              <w:t>“, изпълняван от организации на гражданското общество, се предоставя обучение за 200 адвокати, които е вероятно да представляват журналисти и правозащитници, обект на стратегически съдебни спорове срещу участието на обществеността в 11 държави членки</w:t>
            </w:r>
            <w:r w:rsidRPr="006E6596">
              <w:rPr>
                <w:rStyle w:val="FootnoteReference"/>
                <w:noProof/>
                <w:sz w:val="24"/>
                <w:lang w:val="bg-BG"/>
              </w:rPr>
              <w:footnoteReference w:id="290"/>
            </w:r>
            <w:r w:rsidRPr="006E6596">
              <w:rPr>
                <w:noProof/>
                <w:sz w:val="24"/>
                <w:lang w:val="bg-BG"/>
              </w:rPr>
              <w:t>. С изпълнението на проекта „</w:t>
            </w:r>
            <w:r w:rsidRPr="006E6596">
              <w:rPr>
                <w:b/>
                <w:noProof/>
                <w:sz w:val="24"/>
                <w:lang w:val="bg-BG"/>
              </w:rPr>
              <w:t>Ефективен електронен достъп до съдебни решения</w:t>
            </w:r>
            <w:r w:rsidRPr="006E6596">
              <w:rPr>
                <w:noProof/>
                <w:sz w:val="24"/>
                <w:lang w:val="bg-BG"/>
              </w:rPr>
              <w:t>“ се подобрява достъпът до националната съдебна практика и съдебната практика на ЕС в Литва</w:t>
            </w:r>
            <w:r w:rsidRPr="006E6596">
              <w:rPr>
                <w:rStyle w:val="FootnoteReference"/>
                <w:noProof/>
                <w:sz w:val="24"/>
                <w:lang w:val="bg-BG"/>
              </w:rPr>
              <w:footnoteReference w:id="291"/>
            </w:r>
            <w:r w:rsidRPr="006E6596">
              <w:rPr>
                <w:noProof/>
                <w:sz w:val="24"/>
                <w:lang w:val="bg-BG"/>
              </w:rPr>
              <w:t>. С изпълнението на проекта „</w:t>
            </w:r>
            <w:r w:rsidRPr="006E6596">
              <w:rPr>
                <w:b/>
                <w:noProof/>
                <w:sz w:val="24"/>
                <w:lang w:val="bg-BG"/>
              </w:rPr>
              <w:t>Подобряване на услугите за подкрепа на жертвите на основано на пола насилие и достъпа до правосъдие чрез съобразена с травмата грижа</w:t>
            </w:r>
            <w:r w:rsidRPr="006E6596">
              <w:rPr>
                <w:noProof/>
                <w:sz w:val="24"/>
                <w:lang w:val="bg-BG"/>
              </w:rPr>
              <w:t>“ се укрепва предоставянето на услуги за подкрепа за травматизираните жертви и се повишава информираността за съобразен с травмата подход в пет държави членки</w:t>
            </w:r>
            <w:r w:rsidRPr="006E6596">
              <w:rPr>
                <w:rStyle w:val="FootnoteReference"/>
                <w:noProof/>
                <w:sz w:val="24"/>
                <w:lang w:val="bg-BG"/>
              </w:rPr>
              <w:footnoteReference w:id="292"/>
            </w:r>
            <w:r w:rsidRPr="006E6596">
              <w:rPr>
                <w:noProof/>
                <w:sz w:val="24"/>
                <w:lang w:val="bg-BG"/>
              </w:rPr>
              <w:t>.</w:t>
            </w:r>
          </w:p>
        </w:tc>
      </w:tr>
    </w:tbl>
    <w:p w14:paraId="75D102AC" w14:textId="77777777" w:rsidR="0016755C" w:rsidRPr="006E6596" w:rsidRDefault="0016755C" w:rsidP="00DC31D1">
      <w:pPr>
        <w:spacing w:line="276" w:lineRule="auto"/>
        <w:jc w:val="both"/>
        <w:rPr>
          <w:rFonts w:ascii="Times New Roman" w:hAnsi="Times New Roman" w:cs="Times New Roman"/>
          <w:noProof/>
          <w:sz w:val="24"/>
          <w:lang w:val="bg-BG"/>
        </w:rPr>
      </w:pPr>
    </w:p>
    <w:p w14:paraId="6827D7ED" w14:textId="197C3AAE" w:rsidR="00DC31D1" w:rsidRPr="006E6596" w:rsidRDefault="00DC31D1"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Оперативни безвъзмездни средства се предоставят на европейски мрежи, работещи по въпросите на достъпа до правосъдие и съдебното сътрудничество по граждански и наказателни дела, както и на </w:t>
      </w:r>
      <w:r w:rsidRPr="006E6596">
        <w:rPr>
          <w:rFonts w:ascii="Times New Roman" w:hAnsi="Times New Roman"/>
          <w:b/>
          <w:noProof/>
          <w:sz w:val="24"/>
          <w:lang w:val="bg-BG"/>
        </w:rPr>
        <w:t>Европейската мрежа за съдебно обучение</w:t>
      </w:r>
      <w:r w:rsidRPr="006E6596">
        <w:rPr>
          <w:rFonts w:ascii="Times New Roman" w:hAnsi="Times New Roman"/>
          <w:noProof/>
          <w:sz w:val="24"/>
          <w:lang w:val="bg-BG"/>
        </w:rPr>
        <w:t xml:space="preserve">. По линия на програмата се финансира и </w:t>
      </w:r>
      <w:r w:rsidRPr="006E6596">
        <w:rPr>
          <w:rFonts w:ascii="Times New Roman" w:hAnsi="Times New Roman"/>
          <w:b/>
          <w:noProof/>
          <w:sz w:val="24"/>
          <w:lang w:val="bg-BG"/>
        </w:rPr>
        <w:t>Европейския портал за електронно правосъдие</w:t>
      </w:r>
      <w:r w:rsidRPr="006E6596">
        <w:rPr>
          <w:rFonts w:ascii="Times New Roman" w:hAnsi="Times New Roman" w:cs="Times New Roman"/>
          <w:noProof/>
          <w:sz w:val="24"/>
          <w:vertAlign w:val="superscript"/>
          <w:lang w:val="bg-BG"/>
        </w:rPr>
        <w:footnoteReference w:id="293"/>
      </w:r>
      <w:r w:rsidRPr="006E6596">
        <w:rPr>
          <w:rFonts w:ascii="Times New Roman" w:hAnsi="Times New Roman"/>
          <w:noProof/>
          <w:sz w:val="24"/>
          <w:lang w:val="bg-BG"/>
        </w:rPr>
        <w:t xml:space="preserve">, който предоставя информация за националните съдебни системи на 23 езика, за да улесни достъпа до правосъдие в целия ЕС. Програмата „Правосъдие“ се използва и за финансиране на дейностите за сътрудничество на ЕС със </w:t>
      </w:r>
      <w:r w:rsidRPr="006E6596">
        <w:rPr>
          <w:rFonts w:ascii="Times New Roman" w:hAnsi="Times New Roman"/>
          <w:b/>
          <w:noProof/>
          <w:sz w:val="24"/>
          <w:lang w:val="bg-BG"/>
        </w:rPr>
        <w:t>Съвета на Европа</w:t>
      </w:r>
      <w:r w:rsidRPr="006E6596">
        <w:rPr>
          <w:rFonts w:ascii="Times New Roman" w:hAnsi="Times New Roman"/>
          <w:noProof/>
          <w:sz w:val="24"/>
          <w:lang w:val="bg-BG"/>
        </w:rPr>
        <w:t xml:space="preserve">, включително дейности за </w:t>
      </w:r>
      <w:r w:rsidRPr="006E6596">
        <w:rPr>
          <w:rFonts w:ascii="Times New Roman" w:hAnsi="Times New Roman"/>
          <w:b/>
          <w:noProof/>
          <w:sz w:val="24"/>
          <w:lang w:val="bg-BG"/>
        </w:rPr>
        <w:t>правосъдие, съобразено с интересите на децата</w:t>
      </w:r>
      <w:r w:rsidRPr="006E6596">
        <w:rPr>
          <w:rStyle w:val="FootnoteReference"/>
          <w:rFonts w:ascii="Times New Roman" w:hAnsi="Times New Roman" w:cs="Times New Roman"/>
          <w:noProof/>
          <w:sz w:val="24"/>
          <w:lang w:val="bg-BG"/>
        </w:rPr>
        <w:footnoteReference w:id="294"/>
      </w:r>
      <w:r w:rsidRPr="006E6596">
        <w:rPr>
          <w:rFonts w:ascii="Times New Roman" w:hAnsi="Times New Roman"/>
          <w:noProof/>
          <w:sz w:val="24"/>
          <w:lang w:val="bg-BG"/>
        </w:rPr>
        <w:t xml:space="preserve">. </w:t>
      </w:r>
    </w:p>
    <w:tbl>
      <w:tblPr>
        <w:tblStyle w:val="TableGrid"/>
        <w:tblW w:w="0" w:type="auto"/>
        <w:tblLook w:val="04A0" w:firstRow="1" w:lastRow="0" w:firstColumn="1" w:lastColumn="0" w:noHBand="0" w:noVBand="1"/>
      </w:tblPr>
      <w:tblGrid>
        <w:gridCol w:w="9576"/>
      </w:tblGrid>
      <w:tr w:rsidR="00DC31D1" w:rsidRPr="00FF7825" w14:paraId="496C6463" w14:textId="77777777" w:rsidTr="00A13A3D">
        <w:tc>
          <w:tcPr>
            <w:tcW w:w="9576" w:type="dxa"/>
          </w:tcPr>
          <w:p w14:paraId="5B9394CF" w14:textId="77777777" w:rsidR="00DC31D1" w:rsidRPr="006E6596" w:rsidRDefault="00DC31D1" w:rsidP="00A13A3D">
            <w:pPr>
              <w:spacing w:after="120"/>
              <w:jc w:val="both"/>
              <w:rPr>
                <w:rFonts w:ascii="Times New Roman" w:hAnsi="Times New Roman" w:cs="Times New Roman"/>
                <w:noProof/>
                <w:lang w:val="bg-BG"/>
              </w:rPr>
            </w:pPr>
            <w:r w:rsidRPr="006E6596">
              <w:rPr>
                <w:rFonts w:ascii="Times New Roman" w:hAnsi="Times New Roman"/>
                <w:i/>
                <w:noProof/>
                <w:lang w:val="bg-BG"/>
              </w:rPr>
              <w:t>Програма „HELP“</w:t>
            </w:r>
          </w:p>
          <w:p w14:paraId="47C0B0C0" w14:textId="60041803" w:rsidR="00DC31D1" w:rsidRPr="006E6596" w:rsidRDefault="00DC31D1" w:rsidP="00A13A3D">
            <w:pPr>
              <w:pStyle w:val="FootnoteText"/>
              <w:jc w:val="both"/>
              <w:rPr>
                <w:noProof/>
                <w:sz w:val="24"/>
                <w:lang w:val="bg-BG"/>
              </w:rPr>
            </w:pPr>
            <w:r w:rsidRPr="006E6596">
              <w:rPr>
                <w:noProof/>
                <w:sz w:val="24"/>
                <w:lang w:val="bg-BG"/>
              </w:rPr>
              <w:t xml:space="preserve">Разработен в сътрудничество между Съвета на Европа, Европейската комисия и FRA, </w:t>
            </w:r>
            <w:r w:rsidRPr="006E6596">
              <w:rPr>
                <w:b/>
                <w:noProof/>
                <w:sz w:val="24"/>
                <w:lang w:val="bg-BG"/>
              </w:rPr>
              <w:t>нов курс за електронно обучение относно взаимодействието между Хартата и Европейската конвенция за правата на човека</w:t>
            </w:r>
            <w:r w:rsidRPr="006E6596">
              <w:rPr>
                <w:noProof/>
                <w:sz w:val="24"/>
                <w:vertAlign w:val="superscript"/>
                <w:lang w:val="bg-BG"/>
              </w:rPr>
              <w:footnoteReference w:id="295"/>
            </w:r>
            <w:r w:rsidRPr="006E6596">
              <w:rPr>
                <w:noProof/>
                <w:sz w:val="24"/>
                <w:lang w:val="bg-BG"/>
              </w:rPr>
              <w:t xml:space="preserve"> предоставя обучение на съдии, прокурори и други юристи относно европейските стандарти за основните права и тяхното прилагане на национално равнище. </w:t>
            </w:r>
          </w:p>
          <w:p w14:paraId="464990A3" w14:textId="77777777" w:rsidR="00DC31D1" w:rsidRPr="006E6596" w:rsidRDefault="00DC31D1" w:rsidP="00A13A3D">
            <w:pPr>
              <w:pStyle w:val="FootnoteText"/>
              <w:jc w:val="both"/>
              <w:rPr>
                <w:noProof/>
                <w:sz w:val="24"/>
                <w:lang w:val="bg-BG"/>
              </w:rPr>
            </w:pPr>
          </w:p>
          <w:p w14:paraId="0F3EA3B8" w14:textId="74A3EAE3" w:rsidR="00DC31D1" w:rsidRPr="006E6596" w:rsidRDefault="00DC31D1" w:rsidP="00A13A3D">
            <w:pPr>
              <w:pStyle w:val="FootnoteText"/>
              <w:jc w:val="both"/>
              <w:rPr>
                <w:noProof/>
                <w:sz w:val="24"/>
                <w:lang w:val="bg-BG"/>
              </w:rPr>
            </w:pPr>
            <w:r w:rsidRPr="006E6596">
              <w:rPr>
                <w:noProof/>
                <w:sz w:val="24"/>
                <w:lang w:val="bg-BG"/>
              </w:rPr>
              <w:t xml:space="preserve">Курсът е насочен към укрепване на защитата на основните права и върховенството на закона в ЕС чрез повишаване на знанията на юристите относно основните права и върховенството на закона. Онлайн курсовете за обучение обединяват юристи от няколко държави членки, което създава възможности за обмен на мнения между практикуващи специалисти и изгражда взаимно доверие. </w:t>
            </w:r>
          </w:p>
          <w:p w14:paraId="711B8FE6" w14:textId="77777777" w:rsidR="00DC31D1" w:rsidRPr="006E6596" w:rsidRDefault="004252D6" w:rsidP="00A13A3D">
            <w:pPr>
              <w:pStyle w:val="FootnoteText"/>
              <w:jc w:val="both"/>
              <w:rPr>
                <w:noProof/>
                <w:lang w:val="bg-BG"/>
              </w:rPr>
            </w:pPr>
            <w:hyperlink w:history="1"/>
          </w:p>
        </w:tc>
      </w:tr>
    </w:tbl>
    <w:p w14:paraId="5E54114A" w14:textId="77777777" w:rsidR="00DC31D1" w:rsidRPr="006E6596" w:rsidRDefault="00DC31D1" w:rsidP="00DC31D1">
      <w:pPr>
        <w:spacing w:line="276" w:lineRule="auto"/>
        <w:contextualSpacing/>
        <w:jc w:val="both"/>
        <w:rPr>
          <w:rFonts w:ascii="Times New Roman" w:hAnsi="Times New Roman" w:cs="Times New Roman"/>
          <w:noProof/>
          <w:sz w:val="24"/>
          <w:lang w:val="bg-BG"/>
        </w:rPr>
      </w:pPr>
    </w:p>
    <w:p w14:paraId="52CF13EF" w14:textId="4534365C" w:rsidR="00DC31D1" w:rsidRPr="006E6596" w:rsidRDefault="00DC31D1" w:rsidP="0074254C">
      <w:pPr>
        <w:pStyle w:val="ListParagraph"/>
        <w:numPr>
          <w:ilvl w:val="1"/>
          <w:numId w:val="1"/>
        </w:numPr>
        <w:ind w:left="1080" w:hanging="720"/>
        <w:outlineLvl w:val="0"/>
        <w:rPr>
          <w:rFonts w:cs="Times New Roman"/>
          <w:b/>
          <w:noProof/>
          <w:lang w:val="bg-BG"/>
        </w:rPr>
      </w:pPr>
      <w:bookmarkStart w:id="71" w:name="_Toc147916085"/>
      <w:bookmarkStart w:id="72" w:name="_Toc152859072"/>
      <w:r w:rsidRPr="006E6596">
        <w:rPr>
          <w:b/>
          <w:noProof/>
          <w:lang w:val="bg-BG"/>
        </w:rPr>
        <w:t>Програма „Граждани, равенство, права и ценности“</w:t>
      </w:r>
      <w:bookmarkEnd w:id="71"/>
      <w:bookmarkEnd w:id="72"/>
    </w:p>
    <w:p w14:paraId="6D3CA31E" w14:textId="4B034CB7" w:rsidR="00DC31D1" w:rsidRPr="006E6596" w:rsidRDefault="00DC31D1"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Чрез своята програма „Граждани, равенство, права и ценности“</w:t>
      </w:r>
      <w:r w:rsidRPr="006E6596">
        <w:rPr>
          <w:rFonts w:ascii="Times New Roman" w:hAnsi="Times New Roman" w:cs="Times New Roman"/>
          <w:noProof/>
          <w:sz w:val="24"/>
          <w:vertAlign w:val="superscript"/>
          <w:lang w:val="bg-BG"/>
        </w:rPr>
        <w:footnoteReference w:id="296"/>
      </w:r>
      <w:r w:rsidRPr="006E6596">
        <w:rPr>
          <w:rFonts w:ascii="Times New Roman" w:hAnsi="Times New Roman"/>
          <w:noProof/>
          <w:sz w:val="24"/>
          <w:lang w:val="bg-BG"/>
        </w:rPr>
        <w:t xml:space="preserve"> Комисията насърчава прилагането на правата и ценностите, заложени в Договорите, Хартата и международните конвенции, чрез финансиране на дейности в подкрепа на основани на права, демократични, равни и приобщаващи европейски общества, основани на върховенството на закона.</w:t>
      </w:r>
    </w:p>
    <w:p w14:paraId="4A4ABA4C" w14:textId="77777777" w:rsidR="00DC31D1" w:rsidRPr="006E6596" w:rsidRDefault="00DC31D1"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i/>
          <w:noProof/>
          <w:sz w:val="24"/>
          <w:lang w:val="bg-BG"/>
        </w:rPr>
      </w:pPr>
      <w:r w:rsidRPr="006E6596">
        <w:rPr>
          <w:rFonts w:ascii="Times New Roman" w:hAnsi="Times New Roman"/>
          <w:i/>
          <w:noProof/>
          <w:sz w:val="24"/>
          <w:lang w:val="bg-BG"/>
        </w:rPr>
        <w:t>Направление „Ценности на Съюза“</w:t>
      </w:r>
    </w:p>
    <w:p w14:paraId="2FD9CDF3" w14:textId="4D35C8A8" w:rsidR="00DC31D1" w:rsidRPr="006E6596" w:rsidRDefault="00DC31D1"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Програмата „Граждани, равенство, права и ценности“ за периода 2021—2027 г. е организиран в четири направления, а именно 1) ценности на Съюза; 2) Равенство, права и равенство между половете; 3) Ангажираност и участие на гражданското общество; и 4) Борба с насилието, основано на пола и насилието над деца.</w:t>
      </w:r>
    </w:p>
    <w:p w14:paraId="51BEC309" w14:textId="311760BE" w:rsidR="00DC31D1" w:rsidRPr="006E6596" w:rsidRDefault="00DC31D1"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За насърчаване на ценностите, залегнали в член 2 от ДЕС, работната програма „Граждани, равенство, права и ценности“ за периода 2023—2024 г. обхваща набор от дейности за изграждане на капацитета на организациите на гражданското общество да гарантират спазването на Хартата. Финансирането по линия на направление „Ценности на Съюза“ може да се използва за подкрепа на дейности, свързани с основните права, включително за отстояване на </w:t>
      </w:r>
      <w:r w:rsidRPr="006E6596">
        <w:rPr>
          <w:rFonts w:ascii="Times New Roman" w:hAnsi="Times New Roman"/>
          <w:b/>
          <w:noProof/>
          <w:sz w:val="24"/>
          <w:lang w:val="bg-BG"/>
        </w:rPr>
        <w:t>върховенството на закона</w:t>
      </w:r>
      <w:r w:rsidRPr="006E6596">
        <w:rPr>
          <w:rFonts w:ascii="Times New Roman" w:hAnsi="Times New Roman"/>
          <w:noProof/>
          <w:sz w:val="24"/>
          <w:lang w:val="bg-BG"/>
        </w:rPr>
        <w:t xml:space="preserve"> и укрепване на </w:t>
      </w:r>
      <w:r w:rsidRPr="006E6596">
        <w:rPr>
          <w:rFonts w:ascii="Times New Roman" w:hAnsi="Times New Roman"/>
          <w:b/>
          <w:noProof/>
          <w:sz w:val="24"/>
          <w:lang w:val="bg-BG"/>
        </w:rPr>
        <w:t>независимостта на съдебната власт</w:t>
      </w:r>
      <w:r w:rsidRPr="006E6596">
        <w:rPr>
          <w:rFonts w:ascii="Times New Roman" w:hAnsi="Times New Roman"/>
          <w:noProof/>
          <w:sz w:val="24"/>
          <w:lang w:val="bg-BG"/>
        </w:rPr>
        <w:t xml:space="preserve">; защита на основните права в ерата на </w:t>
      </w:r>
      <w:r w:rsidRPr="006E6596">
        <w:rPr>
          <w:rFonts w:ascii="Times New Roman" w:hAnsi="Times New Roman"/>
          <w:b/>
          <w:noProof/>
          <w:sz w:val="24"/>
          <w:lang w:val="bg-BG"/>
        </w:rPr>
        <w:t>цифровите технологии</w:t>
      </w:r>
      <w:r w:rsidRPr="006E6596">
        <w:rPr>
          <w:rFonts w:ascii="Times New Roman" w:hAnsi="Times New Roman"/>
          <w:noProof/>
          <w:sz w:val="24"/>
          <w:lang w:val="bg-BG"/>
        </w:rPr>
        <w:t xml:space="preserve">; изграждане на капацитет за защита на </w:t>
      </w:r>
      <w:r w:rsidRPr="006E6596">
        <w:rPr>
          <w:rFonts w:ascii="Times New Roman" w:hAnsi="Times New Roman"/>
          <w:b/>
          <w:noProof/>
          <w:sz w:val="24"/>
          <w:lang w:val="bg-BG"/>
        </w:rPr>
        <w:t>лицата, сигнализиращи за нередности</w:t>
      </w:r>
      <w:r w:rsidRPr="006E6596">
        <w:rPr>
          <w:rFonts w:ascii="Times New Roman" w:hAnsi="Times New Roman"/>
          <w:noProof/>
          <w:sz w:val="24"/>
          <w:lang w:val="bg-BG"/>
        </w:rPr>
        <w:t xml:space="preserve">; предоставяне на права на гражданското пространство; и борба с </w:t>
      </w:r>
      <w:r w:rsidRPr="006E6596">
        <w:rPr>
          <w:rFonts w:ascii="Times New Roman" w:hAnsi="Times New Roman"/>
          <w:b/>
          <w:noProof/>
          <w:sz w:val="24"/>
          <w:lang w:val="bg-BG"/>
        </w:rPr>
        <w:t>речта на омразата и престъпленията от омраза</w:t>
      </w:r>
      <w:r w:rsidRPr="006E6596">
        <w:rPr>
          <w:rStyle w:val="FootnoteReference"/>
          <w:rFonts w:ascii="Times New Roman" w:hAnsi="Times New Roman" w:cs="Times New Roman"/>
          <w:noProof/>
          <w:sz w:val="24"/>
          <w:lang w:val="bg-BG"/>
        </w:rPr>
        <w:footnoteReference w:id="297"/>
      </w:r>
      <w:r w:rsidRPr="006E6596">
        <w:rPr>
          <w:rFonts w:ascii="Times New Roman" w:hAnsi="Times New Roman"/>
          <w:noProof/>
          <w:sz w:val="24"/>
          <w:lang w:val="bg-BG"/>
        </w:rPr>
        <w:t xml:space="preserve">.  </w:t>
      </w:r>
    </w:p>
    <w:p w14:paraId="1E4D0F5B" w14:textId="4F770278" w:rsidR="00DC31D1" w:rsidRPr="006E6596" w:rsidRDefault="00AB7A38"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lang w:val="bg-BG"/>
        </w:rPr>
      </w:pPr>
      <w:r w:rsidRPr="006E6596">
        <w:rPr>
          <w:rFonts w:ascii="Times New Roman" w:hAnsi="Times New Roman"/>
          <w:noProof/>
          <w:sz w:val="24"/>
          <w:lang w:val="bg-BG"/>
        </w:rPr>
        <w:t>Както се отбелязва в Стратегията за Хартата, ефективната съдебна защита включва стратегически съдебни производства, които могат да допринесат за по-последователно изпълнение и прилагане на правото на ЕС и за упражняването на правата</w:t>
      </w:r>
      <w:r w:rsidRPr="006E6596">
        <w:rPr>
          <w:rStyle w:val="FootnoteReference"/>
          <w:rFonts w:ascii="Times New Roman" w:hAnsi="Times New Roman" w:cs="Times New Roman"/>
          <w:noProof/>
          <w:sz w:val="24"/>
          <w:lang w:val="bg-BG"/>
        </w:rPr>
        <w:footnoteReference w:id="298"/>
      </w:r>
      <w:r w:rsidRPr="006E6596">
        <w:rPr>
          <w:rFonts w:ascii="Times New Roman" w:hAnsi="Times New Roman"/>
          <w:noProof/>
          <w:sz w:val="24"/>
          <w:lang w:val="bg-BG"/>
        </w:rPr>
        <w:t xml:space="preserve">. Направлението „Ценности на Съюза“ също така включва финансиране за изграждане на капацитет за </w:t>
      </w:r>
      <w:r w:rsidRPr="006E6596">
        <w:rPr>
          <w:rFonts w:ascii="Times New Roman" w:hAnsi="Times New Roman"/>
          <w:b/>
          <w:noProof/>
          <w:sz w:val="24"/>
          <w:lang w:val="bg-BG"/>
        </w:rPr>
        <w:t>стратегически съдебни производства</w:t>
      </w:r>
      <w:r w:rsidRPr="006E6596">
        <w:rPr>
          <w:rFonts w:ascii="Times New Roman" w:hAnsi="Times New Roman"/>
          <w:noProof/>
          <w:sz w:val="24"/>
          <w:lang w:val="bg-BG"/>
        </w:rPr>
        <w:t xml:space="preserve">, </w:t>
      </w:r>
      <w:r w:rsidRPr="006E6596">
        <w:rPr>
          <w:rFonts w:ascii="Times New Roman" w:hAnsi="Times New Roman"/>
          <w:b/>
          <w:noProof/>
          <w:sz w:val="24"/>
          <w:lang w:val="bg-BG"/>
        </w:rPr>
        <w:t>за да се гарантира защитата на правата по Хартата</w:t>
      </w:r>
      <w:r w:rsidRPr="006E6596">
        <w:rPr>
          <w:rFonts w:ascii="Times New Roman" w:hAnsi="Times New Roman" w:cs="Times New Roman"/>
          <w:noProof/>
          <w:sz w:val="24"/>
          <w:vertAlign w:val="superscript"/>
          <w:lang w:val="bg-BG"/>
        </w:rPr>
        <w:footnoteReference w:id="299"/>
      </w:r>
      <w:r w:rsidRPr="006E6596">
        <w:rPr>
          <w:rFonts w:ascii="Times New Roman" w:hAnsi="Times New Roman"/>
          <w:b/>
          <w:noProof/>
          <w:sz w:val="24"/>
          <w:lang w:val="bg-BG"/>
        </w:rPr>
        <w:t xml:space="preserve">, </w:t>
      </w:r>
      <w:r w:rsidRPr="006E6596">
        <w:rPr>
          <w:rFonts w:ascii="Times New Roman" w:hAnsi="Times New Roman"/>
          <w:noProof/>
          <w:sz w:val="24"/>
          <w:lang w:val="bg-BG"/>
        </w:rPr>
        <w:t>например чрез подобряване на знанията и способността за водене на съдебни производства на практикуващи специалисти, юристи, независими органи по правата на човека и гражданското общество.</w:t>
      </w:r>
    </w:p>
    <w:p w14:paraId="0D52DCCB" w14:textId="2A67D878" w:rsidR="00DC31D1" w:rsidRPr="006E6596" w:rsidRDefault="00DC31D1"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Проектите, финансирани по линията на направление „Ценности на Съюза“, могат също така да бъдат насочени към насърчаване на </w:t>
      </w:r>
      <w:r w:rsidRPr="006E6596">
        <w:rPr>
          <w:rFonts w:ascii="Times New Roman" w:hAnsi="Times New Roman"/>
          <w:b/>
          <w:noProof/>
          <w:sz w:val="24"/>
          <w:lang w:val="bg-BG"/>
        </w:rPr>
        <w:t>изграждането на капацитет и повишаването на информираността относно Хартата</w:t>
      </w:r>
      <w:r w:rsidRPr="006E6596">
        <w:rPr>
          <w:rFonts w:ascii="Times New Roman" w:hAnsi="Times New Roman"/>
          <w:noProof/>
          <w:sz w:val="24"/>
          <w:lang w:val="bg-BG"/>
        </w:rPr>
        <w:t xml:space="preserve"> чрез обучение и дейности за обучение на обучители (като например за експерти, адвокати и правни съветници, комуникационни експерти, съветници по политиката и застъпничеството), както и практически насоки и инструменти за обучение</w:t>
      </w:r>
      <w:r w:rsidRPr="006E6596">
        <w:rPr>
          <w:rFonts w:ascii="Times New Roman" w:hAnsi="Times New Roman" w:cs="Times New Roman"/>
          <w:noProof/>
          <w:sz w:val="24"/>
          <w:vertAlign w:val="superscript"/>
          <w:lang w:val="bg-BG"/>
        </w:rPr>
        <w:footnoteReference w:id="300"/>
      </w:r>
      <w:r w:rsidRPr="006E6596">
        <w:rPr>
          <w:rFonts w:ascii="Times New Roman" w:hAnsi="Times New Roman"/>
          <w:noProof/>
          <w:sz w:val="24"/>
          <w:lang w:val="bg-BG"/>
        </w:rPr>
        <w:t xml:space="preserve">. </w:t>
      </w:r>
    </w:p>
    <w:p w14:paraId="3EED1D34" w14:textId="685E9FA6" w:rsidR="00DC31D1" w:rsidRPr="006E6596" w:rsidRDefault="00DC31D1"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По линия на направление </w:t>
      </w:r>
      <w:r w:rsidRPr="006E6596">
        <w:rPr>
          <w:rFonts w:ascii="Times New Roman" w:hAnsi="Times New Roman"/>
          <w:b/>
          <w:noProof/>
          <w:sz w:val="24"/>
          <w:lang w:val="bg-BG"/>
        </w:rPr>
        <w:t>„Дафне“</w:t>
      </w:r>
      <w:r w:rsidRPr="006E6596">
        <w:rPr>
          <w:rFonts w:ascii="Times New Roman" w:hAnsi="Times New Roman"/>
          <w:noProof/>
          <w:sz w:val="24"/>
          <w:lang w:val="bg-BG"/>
        </w:rPr>
        <w:t xml:space="preserve"> се отпуска финансова подкрепа за проекти за предотвратяване и борба с насилието, основано на пола, включително в контекста на миграцията, както и насилието над деца</w:t>
      </w:r>
      <w:r w:rsidRPr="006E6596">
        <w:rPr>
          <w:rFonts w:ascii="Times New Roman" w:hAnsi="Times New Roman" w:cs="Times New Roman"/>
          <w:noProof/>
          <w:sz w:val="24"/>
          <w:vertAlign w:val="superscript"/>
          <w:lang w:val="bg-BG"/>
        </w:rPr>
        <w:footnoteReference w:id="301"/>
      </w:r>
      <w:r w:rsidRPr="006E6596">
        <w:rPr>
          <w:rFonts w:ascii="Times New Roman" w:hAnsi="Times New Roman"/>
          <w:noProof/>
          <w:sz w:val="24"/>
          <w:lang w:val="bg-BG"/>
        </w:rPr>
        <w:t>.</w:t>
      </w:r>
    </w:p>
    <w:p w14:paraId="29863C58" w14:textId="111F9ABE" w:rsidR="00DC31D1" w:rsidRPr="006E6596" w:rsidRDefault="00DC31D1"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Като част от сътрудничеството с международни организации, Комисията също предоставя финансова подкрепа по линия на програмата „Граждани, равенство, права и ценности“ на </w:t>
      </w:r>
      <w:r w:rsidRPr="006E6596">
        <w:rPr>
          <w:rFonts w:ascii="Times New Roman" w:hAnsi="Times New Roman"/>
          <w:b/>
          <w:noProof/>
          <w:sz w:val="24"/>
          <w:lang w:val="bg-BG"/>
        </w:rPr>
        <w:t>ОССЕ/БДИПЧ</w:t>
      </w:r>
      <w:r w:rsidRPr="006E6596">
        <w:rPr>
          <w:rFonts w:ascii="Times New Roman" w:hAnsi="Times New Roman"/>
          <w:noProof/>
          <w:sz w:val="24"/>
          <w:lang w:val="bg-BG"/>
        </w:rPr>
        <w:t xml:space="preserve"> за дейността им по споделяне на знания и определяне на стандарти относно престъпленията от омраза</w:t>
      </w:r>
      <w:r w:rsidRPr="006E6596">
        <w:rPr>
          <w:rFonts w:ascii="Times New Roman" w:hAnsi="Times New Roman" w:cs="Times New Roman"/>
          <w:noProof/>
          <w:sz w:val="24"/>
          <w:vertAlign w:val="superscript"/>
          <w:lang w:val="bg-BG"/>
        </w:rPr>
        <w:footnoteReference w:id="302"/>
      </w:r>
      <w:r w:rsidRPr="006E6596">
        <w:rPr>
          <w:rFonts w:ascii="Times New Roman" w:hAnsi="Times New Roman"/>
          <w:noProof/>
          <w:sz w:val="24"/>
          <w:lang w:val="bg-BG"/>
        </w:rPr>
        <w:t>.</w:t>
      </w:r>
    </w:p>
    <w:p w14:paraId="45192C61" w14:textId="519446E0" w:rsidR="00DC31D1" w:rsidRPr="006E6596" w:rsidRDefault="00DC31D1" w:rsidP="0074254C">
      <w:pPr>
        <w:pStyle w:val="ListParagraph"/>
        <w:numPr>
          <w:ilvl w:val="1"/>
          <w:numId w:val="1"/>
        </w:numPr>
        <w:ind w:left="1170" w:hanging="810"/>
        <w:outlineLvl w:val="0"/>
        <w:rPr>
          <w:rFonts w:cs="Times New Roman"/>
          <w:b/>
          <w:noProof/>
          <w:lang w:val="bg-BG"/>
        </w:rPr>
      </w:pPr>
      <w:bookmarkStart w:id="73" w:name="_Toc147916086"/>
      <w:bookmarkStart w:id="74" w:name="_Toc152859073"/>
      <w:r w:rsidRPr="006E6596">
        <w:rPr>
          <w:b/>
          <w:noProof/>
          <w:lang w:val="bg-BG"/>
        </w:rPr>
        <w:t>Подкрепа по линия на други програми за финансиране от Съюза</w:t>
      </w:r>
      <w:bookmarkEnd w:id="73"/>
      <w:bookmarkEnd w:id="74"/>
    </w:p>
    <w:p w14:paraId="2CA9EE52" w14:textId="398A4C83" w:rsidR="00DC31D1" w:rsidRPr="006E6596" w:rsidRDefault="00B067E5"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Финансиране с цел подобряване на ефективната правна защита е налично и по линия на други програми за финансиране. Проектите, финансирани по линия на програма </w:t>
      </w:r>
      <w:r w:rsidRPr="006E6596">
        <w:rPr>
          <w:rFonts w:ascii="Times New Roman" w:hAnsi="Times New Roman"/>
          <w:b/>
          <w:noProof/>
          <w:sz w:val="24"/>
          <w:lang w:val="bg-BG"/>
        </w:rPr>
        <w:t>„Цифрова Европа“</w:t>
      </w:r>
      <w:r w:rsidRPr="006E6596">
        <w:rPr>
          <w:rFonts w:ascii="Times New Roman" w:hAnsi="Times New Roman" w:cs="Times New Roman"/>
          <w:noProof/>
          <w:sz w:val="24"/>
          <w:vertAlign w:val="superscript"/>
          <w:lang w:val="bg-BG"/>
        </w:rPr>
        <w:footnoteReference w:id="303"/>
      </w:r>
      <w:r w:rsidRPr="006E6596">
        <w:rPr>
          <w:rFonts w:ascii="Times New Roman" w:hAnsi="Times New Roman"/>
          <w:noProof/>
          <w:sz w:val="24"/>
          <w:lang w:val="bg-BG"/>
        </w:rPr>
        <w:t xml:space="preserve"> включват проекти свързани с електронното правосъдие</w:t>
      </w:r>
      <w:r w:rsidRPr="006E6596">
        <w:rPr>
          <w:rStyle w:val="FootnoteReference"/>
          <w:rFonts w:ascii="Times New Roman" w:hAnsi="Times New Roman" w:cs="Times New Roman"/>
          <w:noProof/>
          <w:sz w:val="24"/>
          <w:lang w:val="bg-BG"/>
        </w:rPr>
        <w:footnoteReference w:id="304"/>
      </w:r>
      <w:r w:rsidRPr="006E6596">
        <w:rPr>
          <w:rFonts w:ascii="Times New Roman" w:hAnsi="Times New Roman"/>
          <w:noProof/>
          <w:sz w:val="24"/>
          <w:lang w:val="bg-BG"/>
        </w:rPr>
        <w:t>, които се съсредоточават върху поддръжката и развитието на информационни системи, цифровизацията на връчването на документи и събирането на доказателства по граждански и търговски дела и цифровизацията на съдебното сътрудничество по граждански, търговски и наказателни дела</w:t>
      </w:r>
      <w:r w:rsidRPr="006E6596">
        <w:rPr>
          <w:rFonts w:ascii="Times New Roman" w:hAnsi="Times New Roman" w:cs="Times New Roman"/>
          <w:noProof/>
          <w:sz w:val="24"/>
          <w:vertAlign w:val="superscript"/>
          <w:lang w:val="bg-BG"/>
        </w:rPr>
        <w:footnoteReference w:id="305"/>
      </w:r>
      <w:r w:rsidRPr="006E6596">
        <w:rPr>
          <w:rFonts w:ascii="Times New Roman" w:hAnsi="Times New Roman"/>
          <w:noProof/>
          <w:sz w:val="24"/>
          <w:lang w:val="bg-BG"/>
        </w:rPr>
        <w:t>. По същия начин, като част от финансирането, предоставено за осигуряване на обществеността на знанията, необходими в едно цифрово общество, проекти свързани с ефективна съдебна защита</w:t>
      </w:r>
      <w:r w:rsidRPr="006E6596">
        <w:rPr>
          <w:rStyle w:val="FootnoteReference"/>
          <w:rFonts w:ascii="Times New Roman" w:hAnsi="Times New Roman" w:cs="Times New Roman"/>
          <w:noProof/>
          <w:sz w:val="24"/>
          <w:lang w:val="bg-BG"/>
        </w:rPr>
        <w:footnoteReference w:id="306"/>
      </w:r>
      <w:r w:rsidRPr="006E6596">
        <w:rPr>
          <w:rFonts w:ascii="Times New Roman" w:hAnsi="Times New Roman"/>
          <w:noProof/>
          <w:sz w:val="24"/>
          <w:lang w:val="bg-BG"/>
        </w:rPr>
        <w:t>, алтернативно разрешаване на спорове</w:t>
      </w:r>
      <w:r w:rsidRPr="006E6596">
        <w:rPr>
          <w:rStyle w:val="FootnoteReference"/>
          <w:rFonts w:ascii="Times New Roman" w:hAnsi="Times New Roman" w:cs="Times New Roman"/>
          <w:noProof/>
          <w:sz w:val="24"/>
          <w:lang w:val="bg-BG"/>
        </w:rPr>
        <w:footnoteReference w:id="307"/>
      </w:r>
      <w:r w:rsidRPr="006E6596">
        <w:rPr>
          <w:rFonts w:ascii="Times New Roman" w:hAnsi="Times New Roman"/>
          <w:noProof/>
          <w:sz w:val="24"/>
          <w:lang w:val="bg-BG"/>
        </w:rPr>
        <w:t xml:space="preserve"> и правосъдие, съобразено с интересите на децата</w:t>
      </w:r>
      <w:r w:rsidRPr="006E6596">
        <w:rPr>
          <w:rStyle w:val="FootnoteReference"/>
          <w:rFonts w:ascii="Times New Roman" w:hAnsi="Times New Roman" w:cs="Times New Roman"/>
          <w:noProof/>
          <w:sz w:val="24"/>
          <w:lang w:val="bg-BG"/>
        </w:rPr>
        <w:footnoteReference w:id="308"/>
      </w:r>
      <w:r w:rsidRPr="006E6596">
        <w:rPr>
          <w:rFonts w:ascii="Times New Roman" w:hAnsi="Times New Roman"/>
          <w:noProof/>
          <w:sz w:val="24"/>
          <w:lang w:val="bg-BG"/>
        </w:rPr>
        <w:t xml:space="preserve"> са получили финансиране по линия на </w:t>
      </w:r>
      <w:r w:rsidRPr="006E6596">
        <w:rPr>
          <w:rFonts w:ascii="Times New Roman" w:hAnsi="Times New Roman"/>
          <w:b/>
          <w:noProof/>
          <w:sz w:val="24"/>
          <w:lang w:val="bg-BG"/>
        </w:rPr>
        <w:t>програмата</w:t>
      </w:r>
      <w:r w:rsidRPr="006E6596">
        <w:rPr>
          <w:rFonts w:ascii="Times New Roman" w:hAnsi="Times New Roman"/>
          <w:noProof/>
          <w:sz w:val="24"/>
          <w:lang w:val="bg-BG"/>
        </w:rPr>
        <w:t xml:space="preserve"> </w:t>
      </w:r>
      <w:r w:rsidRPr="006E6596">
        <w:rPr>
          <w:rFonts w:ascii="Times New Roman" w:hAnsi="Times New Roman"/>
          <w:b/>
          <w:noProof/>
          <w:sz w:val="24"/>
          <w:lang w:val="bg-BG"/>
        </w:rPr>
        <w:t xml:space="preserve">„Еразъм+“ </w:t>
      </w:r>
      <w:r w:rsidRPr="006E6596">
        <w:rPr>
          <w:rStyle w:val="FootnoteReference"/>
          <w:rFonts w:ascii="Times New Roman" w:hAnsi="Times New Roman" w:cs="Times New Roman"/>
          <w:noProof/>
          <w:sz w:val="24"/>
          <w:lang w:val="bg-BG"/>
        </w:rPr>
        <w:footnoteReference w:id="309"/>
      </w:r>
      <w:r w:rsidRPr="006E6596">
        <w:rPr>
          <w:rFonts w:ascii="Times New Roman" w:hAnsi="Times New Roman"/>
          <w:noProof/>
          <w:sz w:val="24"/>
          <w:lang w:val="bg-BG"/>
        </w:rPr>
        <w:t xml:space="preserve">. Освен това по линия на </w:t>
      </w:r>
      <w:r w:rsidRPr="006E6596">
        <w:rPr>
          <w:rFonts w:ascii="Times New Roman" w:hAnsi="Times New Roman"/>
          <w:b/>
          <w:noProof/>
          <w:sz w:val="24"/>
          <w:lang w:val="bg-BG"/>
        </w:rPr>
        <w:t>фонд „Вътрешна сигурност“</w:t>
      </w:r>
      <w:r w:rsidRPr="006E6596">
        <w:rPr>
          <w:rStyle w:val="FootnoteReference"/>
          <w:rFonts w:ascii="Times New Roman" w:hAnsi="Times New Roman" w:cs="Times New Roman"/>
          <w:noProof/>
          <w:sz w:val="24"/>
          <w:lang w:val="bg-BG"/>
        </w:rPr>
        <w:footnoteReference w:id="310"/>
      </w:r>
      <w:r w:rsidRPr="006E6596">
        <w:rPr>
          <w:rFonts w:ascii="Times New Roman" w:hAnsi="Times New Roman"/>
          <w:noProof/>
          <w:sz w:val="24"/>
          <w:lang w:val="bg-BG"/>
        </w:rPr>
        <w:t xml:space="preserve"> се финансират действия срещу тероризма и радикализацията, тежката и организирана престъпност, киберпрестъпността и защитата на жертвите. </w:t>
      </w:r>
    </w:p>
    <w:p w14:paraId="46108D5E" w14:textId="77777777" w:rsidR="00DC31D1" w:rsidRPr="006E6596" w:rsidRDefault="00DC31D1"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i/>
          <w:noProof/>
          <w:sz w:val="24"/>
          <w:lang w:val="bg-BG"/>
        </w:rPr>
      </w:pPr>
      <w:r w:rsidRPr="006E6596">
        <w:rPr>
          <w:rFonts w:ascii="Times New Roman" w:hAnsi="Times New Roman"/>
          <w:i/>
          <w:noProof/>
          <w:sz w:val="24"/>
          <w:lang w:val="bg-BG"/>
        </w:rPr>
        <w:t>Подобряване на правната защита с финансиране по линия на Механизма за възстановяване и устойчивост</w:t>
      </w:r>
    </w:p>
    <w:p w14:paraId="040C2E89" w14:textId="5BFFD3E7" w:rsidR="00DC31D1" w:rsidRPr="006E6596" w:rsidRDefault="0029311F"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Няколко държави членки използват финансиране по линия на </w:t>
      </w:r>
      <w:r w:rsidRPr="006E6596">
        <w:rPr>
          <w:rFonts w:ascii="Times New Roman" w:hAnsi="Times New Roman"/>
          <w:b/>
          <w:noProof/>
          <w:sz w:val="24"/>
          <w:lang w:val="bg-BG"/>
        </w:rPr>
        <w:t>Механизма за възстановяване и устойчивост (RRF)</w:t>
      </w:r>
      <w:r w:rsidRPr="006E6596">
        <w:rPr>
          <w:rStyle w:val="FootnoteReference"/>
          <w:rFonts w:ascii="Times New Roman" w:hAnsi="Times New Roman" w:cs="Times New Roman"/>
          <w:noProof/>
          <w:sz w:val="24"/>
          <w:lang w:val="bg-BG"/>
        </w:rPr>
        <w:footnoteReference w:id="311"/>
      </w:r>
      <w:r w:rsidRPr="006E6596">
        <w:rPr>
          <w:rFonts w:ascii="Times New Roman" w:hAnsi="Times New Roman"/>
          <w:noProof/>
          <w:sz w:val="24"/>
          <w:lang w:val="bg-BG"/>
        </w:rPr>
        <w:t xml:space="preserve"> за повишаване на ефективността на своите съдебни системи, реформиране на гражданското и наказателното правосъдие и насърчаване на цифровизацията на правосъдието. </w:t>
      </w:r>
    </w:p>
    <w:p w14:paraId="6261FA03" w14:textId="18C2645A" w:rsidR="00DC31D1" w:rsidRPr="006E6596" w:rsidRDefault="00DC31D1" w:rsidP="00DC31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Задоволително изпълнените основни етапи и цели от семестриалния цикъл 2022—2023 г. включват инициативи за насърчаване на достъпността, ефективността и предвидимостта на съдебната система в </w:t>
      </w:r>
      <w:r w:rsidRPr="006E6596">
        <w:rPr>
          <w:rFonts w:ascii="Times New Roman" w:hAnsi="Times New Roman"/>
          <w:b/>
          <w:noProof/>
          <w:sz w:val="24"/>
          <w:lang w:val="bg-BG"/>
        </w:rPr>
        <w:t>България</w:t>
      </w:r>
      <w:r w:rsidRPr="006E6596">
        <w:rPr>
          <w:rFonts w:ascii="Times New Roman" w:hAnsi="Times New Roman"/>
          <w:noProof/>
          <w:sz w:val="24"/>
          <w:lang w:val="bg-BG"/>
        </w:rPr>
        <w:t xml:space="preserve">; повишаване на ефективността на съдебната система в </w:t>
      </w:r>
      <w:r w:rsidRPr="006E6596">
        <w:rPr>
          <w:rFonts w:ascii="Times New Roman" w:hAnsi="Times New Roman"/>
          <w:b/>
          <w:noProof/>
          <w:sz w:val="24"/>
          <w:lang w:val="bg-BG"/>
        </w:rPr>
        <w:t>Хърватия</w:t>
      </w:r>
      <w:r w:rsidRPr="006E6596">
        <w:rPr>
          <w:rFonts w:ascii="Times New Roman" w:hAnsi="Times New Roman"/>
          <w:noProof/>
          <w:sz w:val="24"/>
          <w:lang w:val="bg-BG"/>
        </w:rPr>
        <w:t xml:space="preserve">; предоставяне на подкрепа за цифровизацията на съдебната система в </w:t>
      </w:r>
      <w:r w:rsidRPr="006E6596">
        <w:rPr>
          <w:rFonts w:ascii="Times New Roman" w:hAnsi="Times New Roman"/>
          <w:b/>
          <w:noProof/>
          <w:sz w:val="24"/>
          <w:lang w:val="bg-BG"/>
        </w:rPr>
        <w:t>Чехия</w:t>
      </w:r>
      <w:r w:rsidRPr="006E6596">
        <w:rPr>
          <w:rFonts w:ascii="Times New Roman" w:hAnsi="Times New Roman"/>
          <w:noProof/>
          <w:sz w:val="24"/>
          <w:lang w:val="bg-BG"/>
        </w:rPr>
        <w:t xml:space="preserve"> и </w:t>
      </w:r>
      <w:r w:rsidRPr="006E6596">
        <w:rPr>
          <w:rFonts w:ascii="Times New Roman" w:hAnsi="Times New Roman"/>
          <w:b/>
          <w:noProof/>
          <w:sz w:val="24"/>
          <w:lang w:val="bg-BG"/>
        </w:rPr>
        <w:t>Малта</w:t>
      </w:r>
      <w:r w:rsidRPr="006E6596">
        <w:rPr>
          <w:rFonts w:ascii="Times New Roman" w:hAnsi="Times New Roman"/>
          <w:noProof/>
          <w:sz w:val="24"/>
          <w:lang w:val="bg-BG"/>
        </w:rPr>
        <w:t xml:space="preserve">; реформиране на наказателното и гражданското правосъдие в </w:t>
      </w:r>
      <w:r w:rsidRPr="006E6596">
        <w:rPr>
          <w:rFonts w:ascii="Times New Roman" w:hAnsi="Times New Roman"/>
          <w:b/>
          <w:noProof/>
          <w:sz w:val="24"/>
          <w:lang w:val="bg-BG"/>
        </w:rPr>
        <w:t>Италия</w:t>
      </w:r>
      <w:r w:rsidRPr="006E6596">
        <w:rPr>
          <w:rFonts w:ascii="Times New Roman" w:hAnsi="Times New Roman"/>
          <w:noProof/>
          <w:sz w:val="24"/>
          <w:lang w:val="bg-BG"/>
        </w:rPr>
        <w:t xml:space="preserve">; укрепване на интегритета и независимостта на съдебната система в </w:t>
      </w:r>
      <w:r w:rsidRPr="006E6596">
        <w:rPr>
          <w:rFonts w:ascii="Times New Roman" w:hAnsi="Times New Roman"/>
          <w:b/>
          <w:noProof/>
          <w:sz w:val="24"/>
          <w:lang w:val="bg-BG"/>
        </w:rPr>
        <w:t>Словакия</w:t>
      </w:r>
      <w:r w:rsidRPr="006E6596">
        <w:rPr>
          <w:rFonts w:ascii="Times New Roman" w:hAnsi="Times New Roman"/>
          <w:noProof/>
          <w:sz w:val="24"/>
          <w:lang w:val="bg-BG"/>
        </w:rPr>
        <w:t xml:space="preserve">; и укрепване на върховенството на закона и ефективността на съдебната система в </w:t>
      </w:r>
      <w:r w:rsidRPr="006E6596">
        <w:rPr>
          <w:rFonts w:ascii="Times New Roman" w:hAnsi="Times New Roman"/>
          <w:b/>
          <w:noProof/>
          <w:sz w:val="24"/>
          <w:lang w:val="bg-BG"/>
        </w:rPr>
        <w:t>Испания</w:t>
      </w:r>
      <w:r w:rsidRPr="006E6596">
        <w:rPr>
          <w:rStyle w:val="FootnoteReference"/>
          <w:rFonts w:ascii="Times New Roman" w:hAnsi="Times New Roman" w:cs="Times New Roman"/>
          <w:noProof/>
          <w:sz w:val="24"/>
          <w:lang w:val="bg-BG"/>
        </w:rPr>
        <w:footnoteReference w:id="312"/>
      </w:r>
      <w:r w:rsidRPr="006E6596">
        <w:rPr>
          <w:rFonts w:ascii="Times New Roman" w:hAnsi="Times New Roman"/>
          <w:noProof/>
          <w:sz w:val="24"/>
          <w:lang w:val="bg-BG"/>
        </w:rPr>
        <w:t xml:space="preserve">. </w:t>
      </w:r>
    </w:p>
    <w:p w14:paraId="63C1206D" w14:textId="368AD10C" w:rsidR="00DC31D1" w:rsidRPr="006E6596" w:rsidRDefault="001217BA"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В допълнение към RRF, реформите на държавите членки получават подкрепа чрез </w:t>
      </w:r>
      <w:r w:rsidRPr="006E6596">
        <w:rPr>
          <w:rFonts w:ascii="Times New Roman" w:hAnsi="Times New Roman"/>
          <w:b/>
          <w:noProof/>
          <w:sz w:val="24"/>
          <w:lang w:val="bg-BG"/>
        </w:rPr>
        <w:t>Инструмента за техническа подкрепа</w:t>
      </w:r>
      <w:r w:rsidRPr="006E6596">
        <w:rPr>
          <w:rFonts w:ascii="Times New Roman" w:hAnsi="Times New Roman"/>
          <w:noProof/>
          <w:sz w:val="24"/>
          <w:lang w:val="bg-BG"/>
        </w:rPr>
        <w:t xml:space="preserve"> „за повишаване на ефективността на съдебните системи“</w:t>
      </w:r>
      <w:r w:rsidRPr="006E6596">
        <w:rPr>
          <w:rStyle w:val="FootnoteReference"/>
          <w:rFonts w:ascii="Times New Roman" w:hAnsi="Times New Roman" w:cs="Times New Roman"/>
          <w:noProof/>
          <w:sz w:val="24"/>
          <w:lang w:val="bg-BG"/>
        </w:rPr>
        <w:footnoteReference w:id="313"/>
      </w:r>
      <w:r w:rsidRPr="006E6596">
        <w:rPr>
          <w:rFonts w:ascii="Times New Roman" w:hAnsi="Times New Roman"/>
          <w:noProof/>
          <w:sz w:val="24"/>
          <w:lang w:val="bg-BG"/>
        </w:rPr>
        <w:t xml:space="preserve">. Финансираните проекти са насочени към подобряване на достъпа до съдилища, предоставяне на подкрепа за независимостта на съдебните системи и повишаване на ефективността на съдебните системи чрез намаляване на продължителността на производствата и преработване на разпределението на делата в съдилищата. Няколко проекта са насочени към </w:t>
      </w:r>
      <w:r w:rsidRPr="006E6596">
        <w:rPr>
          <w:rFonts w:ascii="Times New Roman" w:hAnsi="Times New Roman"/>
          <w:b/>
          <w:noProof/>
          <w:sz w:val="24"/>
          <w:lang w:val="bg-BG"/>
        </w:rPr>
        <w:t>укрепване на правосъдието, съобразено с интересите на децата чрез модела „Barnahus“</w:t>
      </w:r>
      <w:r w:rsidRPr="006E6596">
        <w:rPr>
          <w:rStyle w:val="FootnoteReference"/>
          <w:rFonts w:ascii="Times New Roman" w:hAnsi="Times New Roman" w:cs="Times New Roman"/>
          <w:noProof/>
          <w:sz w:val="24"/>
          <w:lang w:val="bg-BG"/>
        </w:rPr>
        <w:footnoteReference w:id="314"/>
      </w:r>
      <w:r w:rsidRPr="006E6596">
        <w:rPr>
          <w:rFonts w:ascii="Times New Roman" w:hAnsi="Times New Roman"/>
          <w:noProof/>
          <w:sz w:val="24"/>
          <w:lang w:val="bg-BG"/>
        </w:rPr>
        <w:t xml:space="preserve">, подобряване на включването на деца с увреждания в </w:t>
      </w:r>
      <w:r w:rsidRPr="006E6596">
        <w:rPr>
          <w:rFonts w:ascii="Times New Roman" w:hAnsi="Times New Roman"/>
          <w:b/>
          <w:noProof/>
          <w:sz w:val="24"/>
          <w:lang w:val="bg-BG"/>
        </w:rPr>
        <w:t>Словакия</w:t>
      </w:r>
      <w:r w:rsidRPr="006E6596">
        <w:rPr>
          <w:rStyle w:val="FootnoteReference"/>
          <w:rFonts w:ascii="Times New Roman" w:hAnsi="Times New Roman" w:cs="Times New Roman"/>
          <w:noProof/>
          <w:sz w:val="24"/>
          <w:lang w:val="bg-BG"/>
        </w:rPr>
        <w:footnoteReference w:id="315"/>
      </w:r>
      <w:r w:rsidRPr="006E6596">
        <w:rPr>
          <w:rFonts w:ascii="Times New Roman" w:hAnsi="Times New Roman"/>
          <w:noProof/>
          <w:sz w:val="24"/>
          <w:lang w:val="bg-BG"/>
        </w:rPr>
        <w:t xml:space="preserve">, качеството на образователната система в </w:t>
      </w:r>
      <w:r w:rsidRPr="006E6596">
        <w:rPr>
          <w:rFonts w:ascii="Times New Roman" w:hAnsi="Times New Roman"/>
          <w:b/>
          <w:noProof/>
          <w:sz w:val="24"/>
          <w:lang w:val="bg-BG"/>
        </w:rPr>
        <w:t>Румъния</w:t>
      </w:r>
      <w:r w:rsidRPr="006E6596">
        <w:rPr>
          <w:rStyle w:val="FootnoteReference"/>
          <w:rFonts w:ascii="Times New Roman" w:hAnsi="Times New Roman" w:cs="Times New Roman"/>
          <w:noProof/>
          <w:sz w:val="24"/>
          <w:lang w:val="bg-BG"/>
        </w:rPr>
        <w:footnoteReference w:id="316"/>
      </w:r>
      <w:r w:rsidRPr="006E6596">
        <w:rPr>
          <w:rFonts w:ascii="Times New Roman" w:hAnsi="Times New Roman"/>
          <w:noProof/>
          <w:sz w:val="24"/>
          <w:lang w:val="bg-BG"/>
        </w:rPr>
        <w:t xml:space="preserve"> и укрепване на правосъдието по отношение на ненавършили пълнолетие лица в </w:t>
      </w:r>
      <w:r w:rsidRPr="006E6596">
        <w:rPr>
          <w:rFonts w:ascii="Times New Roman" w:hAnsi="Times New Roman"/>
          <w:b/>
          <w:noProof/>
          <w:sz w:val="24"/>
          <w:lang w:val="bg-BG"/>
        </w:rPr>
        <w:t>Словения</w:t>
      </w:r>
      <w:r w:rsidRPr="006E6596">
        <w:rPr>
          <w:rStyle w:val="FootnoteReference"/>
          <w:rFonts w:ascii="Times New Roman" w:hAnsi="Times New Roman" w:cs="Times New Roman"/>
          <w:noProof/>
          <w:sz w:val="24"/>
          <w:lang w:val="bg-BG"/>
        </w:rPr>
        <w:footnoteReference w:id="317"/>
      </w:r>
      <w:r w:rsidRPr="006E6596">
        <w:rPr>
          <w:rFonts w:ascii="Times New Roman" w:hAnsi="Times New Roman"/>
          <w:noProof/>
          <w:sz w:val="24"/>
          <w:lang w:val="bg-BG"/>
        </w:rPr>
        <w:t>. Други проекти са насочени към модернизацията на съдебния сектор</w:t>
      </w:r>
      <w:r w:rsidRPr="006E6596">
        <w:rPr>
          <w:rStyle w:val="FootnoteReference"/>
          <w:rFonts w:ascii="Times New Roman" w:hAnsi="Times New Roman" w:cs="Times New Roman"/>
          <w:noProof/>
          <w:sz w:val="24"/>
          <w:lang w:val="bg-BG"/>
        </w:rPr>
        <w:footnoteReference w:id="318"/>
      </w:r>
      <w:r w:rsidRPr="006E6596">
        <w:rPr>
          <w:rFonts w:ascii="Times New Roman" w:hAnsi="Times New Roman"/>
          <w:noProof/>
          <w:sz w:val="24"/>
          <w:lang w:val="bg-BG"/>
        </w:rPr>
        <w:t>.</w:t>
      </w:r>
    </w:p>
    <w:p w14:paraId="135DD18F" w14:textId="41B5C177" w:rsidR="00DC31D1" w:rsidRPr="006E6596" w:rsidRDefault="00DC31D1"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Съгласно своите </w:t>
      </w:r>
      <w:r w:rsidRPr="006E6596">
        <w:rPr>
          <w:rFonts w:ascii="Times New Roman" w:hAnsi="Times New Roman"/>
          <w:b/>
          <w:noProof/>
          <w:sz w:val="24"/>
          <w:lang w:val="bg-BG"/>
        </w:rPr>
        <w:t>инструменти за финансиране на външната дейност</w:t>
      </w:r>
      <w:r w:rsidRPr="006E6596">
        <w:rPr>
          <w:rFonts w:ascii="Times New Roman" w:hAnsi="Times New Roman"/>
          <w:noProof/>
          <w:sz w:val="24"/>
          <w:lang w:val="bg-BG"/>
        </w:rPr>
        <w:t>, ЕС финансира проекти за привеждане на съдебната практика в трети държави в съответствие с най-добрите практики от ЕС и международните стандарти за правата на човека, както и за подобряване на техническия капацитет на съдебната власт</w:t>
      </w:r>
      <w:r w:rsidRPr="006E6596">
        <w:rPr>
          <w:rFonts w:ascii="Times New Roman" w:hAnsi="Times New Roman" w:cs="Times New Roman"/>
          <w:noProof/>
          <w:sz w:val="24"/>
          <w:vertAlign w:val="superscript"/>
          <w:lang w:val="bg-BG"/>
        </w:rPr>
        <w:footnoteReference w:id="319"/>
      </w:r>
      <w:r w:rsidRPr="006E6596">
        <w:rPr>
          <w:rFonts w:ascii="Times New Roman" w:hAnsi="Times New Roman"/>
          <w:noProof/>
          <w:sz w:val="24"/>
          <w:lang w:val="bg-BG"/>
        </w:rPr>
        <w:t xml:space="preserve">. Освен това насърчаването на правосъдието, основано на правата и съобразено с пола, както и достъпът до правосъдие и правна помощ са сред приоритетите на </w:t>
      </w:r>
      <w:r w:rsidRPr="006E6596">
        <w:rPr>
          <w:rFonts w:ascii="Times New Roman" w:hAnsi="Times New Roman"/>
          <w:b/>
          <w:noProof/>
          <w:sz w:val="24"/>
          <w:lang w:val="bg-BG"/>
        </w:rPr>
        <w:t>плана за действие на ЕС относно правата на човека и демокрацията за периода 2020—2024 г.</w:t>
      </w:r>
      <w:r w:rsidRPr="006E6596">
        <w:rPr>
          <w:rStyle w:val="FootnoteReference"/>
          <w:rFonts w:ascii="Times New Roman" w:hAnsi="Times New Roman" w:cs="Times New Roman"/>
          <w:noProof/>
          <w:sz w:val="24"/>
          <w:lang w:val="bg-BG"/>
        </w:rPr>
        <w:footnoteReference w:id="320"/>
      </w:r>
      <w:r w:rsidRPr="006E6596">
        <w:rPr>
          <w:rFonts w:ascii="Times New Roman" w:hAnsi="Times New Roman"/>
          <w:noProof/>
          <w:sz w:val="24"/>
          <w:lang w:val="bg-BG"/>
        </w:rPr>
        <w:t xml:space="preserve"> Планът за действие се изпълнява чрез многостранно, глобално, регионално и двустранно сътрудничество и глобално сътрудничество</w:t>
      </w:r>
      <w:r w:rsidRPr="006E6596">
        <w:rPr>
          <w:rStyle w:val="FootnoteReference"/>
          <w:rFonts w:ascii="Times New Roman" w:hAnsi="Times New Roman" w:cs="Times New Roman"/>
          <w:noProof/>
          <w:sz w:val="24"/>
          <w:lang w:val="bg-BG"/>
        </w:rPr>
        <w:footnoteReference w:id="321"/>
      </w:r>
      <w:r w:rsidRPr="006E6596">
        <w:rPr>
          <w:rFonts w:ascii="Times New Roman" w:hAnsi="Times New Roman"/>
          <w:noProof/>
          <w:sz w:val="24"/>
          <w:lang w:val="bg-BG"/>
        </w:rPr>
        <w:t xml:space="preserve"> с партньорски държави и международни и регионални организации. В този контекст ЕС също така насърчава </w:t>
      </w:r>
      <w:r w:rsidRPr="006E6596">
        <w:rPr>
          <w:rFonts w:ascii="Times New Roman" w:hAnsi="Times New Roman"/>
          <w:b/>
          <w:noProof/>
          <w:sz w:val="24"/>
          <w:lang w:val="bg-BG"/>
        </w:rPr>
        <w:t>диалога относно</w:t>
      </w:r>
      <w:r w:rsidRPr="006E6596">
        <w:rPr>
          <w:rFonts w:ascii="Times New Roman" w:hAnsi="Times New Roman"/>
          <w:noProof/>
          <w:sz w:val="24"/>
          <w:lang w:val="bg-BG"/>
        </w:rPr>
        <w:t xml:space="preserve"> </w:t>
      </w:r>
      <w:r w:rsidRPr="006E6596">
        <w:rPr>
          <w:rFonts w:ascii="Times New Roman" w:hAnsi="Times New Roman"/>
          <w:b/>
          <w:noProof/>
          <w:sz w:val="24"/>
          <w:lang w:val="bg-BG"/>
        </w:rPr>
        <w:t>правосъдието в условията на преход</w:t>
      </w:r>
      <w:r w:rsidRPr="006E6596">
        <w:rPr>
          <w:rFonts w:ascii="Times New Roman" w:hAnsi="Times New Roman"/>
          <w:noProof/>
          <w:sz w:val="24"/>
          <w:lang w:val="bg-BG"/>
        </w:rPr>
        <w:t xml:space="preserve"> с Африканския съюз</w:t>
      </w:r>
      <w:r w:rsidRPr="006E6596">
        <w:rPr>
          <w:rStyle w:val="FootnoteReference"/>
          <w:rFonts w:ascii="Times New Roman" w:hAnsi="Times New Roman" w:cs="Times New Roman"/>
          <w:noProof/>
          <w:sz w:val="24"/>
          <w:lang w:val="bg-BG"/>
        </w:rPr>
        <w:footnoteReference w:id="322"/>
      </w:r>
      <w:r w:rsidRPr="006E6596">
        <w:rPr>
          <w:rFonts w:ascii="Times New Roman" w:hAnsi="Times New Roman"/>
          <w:noProof/>
          <w:sz w:val="24"/>
          <w:lang w:val="bg-BG"/>
        </w:rPr>
        <w:t xml:space="preserve"> и прилага програма за сътрудничество, насочена към два региона, относно сигурността на </w:t>
      </w:r>
      <w:r w:rsidRPr="006E6596">
        <w:rPr>
          <w:rFonts w:ascii="Times New Roman" w:hAnsi="Times New Roman"/>
          <w:b/>
          <w:noProof/>
          <w:sz w:val="24"/>
          <w:lang w:val="bg-BG"/>
        </w:rPr>
        <w:t>гражданите и правосъдието</w:t>
      </w:r>
      <w:r w:rsidRPr="006E6596">
        <w:rPr>
          <w:rFonts w:ascii="Times New Roman" w:hAnsi="Times New Roman"/>
          <w:noProof/>
          <w:sz w:val="24"/>
          <w:lang w:val="bg-BG"/>
        </w:rPr>
        <w:t xml:space="preserve"> в Латинска Америка</w:t>
      </w:r>
      <w:r w:rsidRPr="006E6596">
        <w:rPr>
          <w:rStyle w:val="FootnoteReference"/>
          <w:rFonts w:ascii="Times New Roman" w:hAnsi="Times New Roman" w:cs="Times New Roman"/>
          <w:noProof/>
          <w:sz w:val="24"/>
          <w:lang w:val="bg-BG"/>
        </w:rPr>
        <w:footnoteReference w:id="323"/>
      </w:r>
      <w:r w:rsidRPr="006E6596">
        <w:rPr>
          <w:rFonts w:ascii="Times New Roman" w:hAnsi="Times New Roman"/>
          <w:noProof/>
          <w:sz w:val="24"/>
          <w:lang w:val="bg-BG"/>
        </w:rPr>
        <w:t xml:space="preserve">.  </w:t>
      </w:r>
    </w:p>
    <w:p w14:paraId="7890907E" w14:textId="74CBBD3B" w:rsidR="00765A81" w:rsidRPr="006E6596" w:rsidRDefault="00DC31D1" w:rsidP="00DC31D1">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Осигуряването на ефективна правна защита и предприемането на мерки за насърчаване на достъпа до правосъдие също представляват важен аспект от </w:t>
      </w:r>
      <w:r w:rsidRPr="006E6596">
        <w:rPr>
          <w:rFonts w:ascii="Times New Roman" w:hAnsi="Times New Roman"/>
          <w:b/>
          <w:noProof/>
          <w:sz w:val="24"/>
          <w:lang w:val="bg-BG"/>
        </w:rPr>
        <w:t>наблюдението на държавите кандидатки за членство в ЕС</w:t>
      </w:r>
      <w:r w:rsidRPr="006E6596">
        <w:rPr>
          <w:rFonts w:ascii="Times New Roman" w:hAnsi="Times New Roman"/>
          <w:noProof/>
          <w:sz w:val="24"/>
          <w:lang w:val="bg-BG"/>
        </w:rPr>
        <w:t xml:space="preserve"> и потенциалните кандидатки</w:t>
      </w:r>
      <w:r w:rsidRPr="006E6596">
        <w:rPr>
          <w:rStyle w:val="FootnoteReference"/>
          <w:rFonts w:ascii="Times New Roman" w:hAnsi="Times New Roman" w:cs="Times New Roman"/>
          <w:noProof/>
          <w:sz w:val="24"/>
          <w:lang w:val="bg-BG"/>
        </w:rPr>
        <w:footnoteReference w:id="324"/>
      </w:r>
      <w:r w:rsidRPr="006E6596">
        <w:rPr>
          <w:rFonts w:ascii="Times New Roman" w:hAnsi="Times New Roman"/>
          <w:noProof/>
          <w:sz w:val="24"/>
          <w:lang w:val="bg-BG"/>
        </w:rPr>
        <w:t>. Комисията ги насърчава да създадат ефективни механизми за осигуряване на съдебна защита чрез програми, финансирани от ЕС</w:t>
      </w:r>
      <w:r w:rsidRPr="006E6596">
        <w:rPr>
          <w:rStyle w:val="FootnoteReference"/>
          <w:rFonts w:ascii="Times New Roman" w:hAnsi="Times New Roman" w:cs="Times New Roman"/>
          <w:noProof/>
          <w:sz w:val="24"/>
          <w:lang w:val="bg-BG"/>
        </w:rPr>
        <w:footnoteReference w:id="325"/>
      </w:r>
      <w:r w:rsidRPr="006E6596">
        <w:rPr>
          <w:rFonts w:ascii="Times New Roman" w:hAnsi="Times New Roman"/>
          <w:noProof/>
          <w:sz w:val="24"/>
          <w:lang w:val="bg-BG"/>
        </w:rPr>
        <w:t xml:space="preserve">. </w:t>
      </w:r>
    </w:p>
    <w:p w14:paraId="2BDD8A5D" w14:textId="7F50BF2B" w:rsidR="00405FC7" w:rsidRPr="006E6596" w:rsidRDefault="009F0972" w:rsidP="00300698">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Подпомагането на съдебните системи на държавите партньори и насърчаването на върховенството на закона също се покрива от общите фондове за външна политика и сигурност (ОВППС), разпределени за </w:t>
      </w:r>
      <w:r w:rsidRPr="006E6596">
        <w:rPr>
          <w:rFonts w:ascii="Times New Roman" w:hAnsi="Times New Roman"/>
          <w:b/>
          <w:noProof/>
          <w:sz w:val="24"/>
          <w:lang w:val="bg-BG"/>
        </w:rPr>
        <w:t>граждански</w:t>
      </w:r>
      <w:r w:rsidRPr="006E6596">
        <w:rPr>
          <w:rFonts w:ascii="Times New Roman" w:hAnsi="Times New Roman"/>
          <w:noProof/>
          <w:sz w:val="24"/>
          <w:lang w:val="bg-BG"/>
        </w:rPr>
        <w:t xml:space="preserve"> мисии на </w:t>
      </w:r>
      <w:r w:rsidRPr="006E6596">
        <w:rPr>
          <w:rFonts w:ascii="Times New Roman" w:hAnsi="Times New Roman"/>
          <w:b/>
          <w:noProof/>
          <w:sz w:val="24"/>
          <w:lang w:val="bg-BG"/>
        </w:rPr>
        <w:t>Общата политика за сигурност и отбрана (ОПСО)</w:t>
      </w:r>
      <w:r w:rsidRPr="006E6596">
        <w:rPr>
          <w:rFonts w:ascii="Times New Roman" w:hAnsi="Times New Roman" w:cs="Times New Roman"/>
          <w:noProof/>
          <w:sz w:val="24"/>
          <w:vertAlign w:val="superscript"/>
          <w:lang w:val="bg-BG"/>
        </w:rPr>
        <w:footnoteReference w:id="326"/>
      </w:r>
      <w:r w:rsidRPr="006E6596">
        <w:rPr>
          <w:rFonts w:ascii="Times New Roman" w:hAnsi="Times New Roman"/>
          <w:b/>
          <w:noProof/>
          <w:sz w:val="24"/>
          <w:lang w:val="bg-BG"/>
        </w:rPr>
        <w:t xml:space="preserve">, </w:t>
      </w:r>
      <w:r w:rsidRPr="006E6596">
        <w:rPr>
          <w:rFonts w:ascii="Times New Roman" w:hAnsi="Times New Roman"/>
          <w:noProof/>
          <w:sz w:val="24"/>
          <w:lang w:val="bg-BG"/>
        </w:rPr>
        <w:t xml:space="preserve">както и от правомощията на някои </w:t>
      </w:r>
      <w:r w:rsidRPr="006E6596">
        <w:rPr>
          <w:rFonts w:ascii="Times New Roman" w:hAnsi="Times New Roman"/>
          <w:b/>
          <w:noProof/>
          <w:sz w:val="24"/>
          <w:lang w:val="bg-BG"/>
        </w:rPr>
        <w:t>специални представители</w:t>
      </w:r>
      <w:r w:rsidRPr="006E6596">
        <w:rPr>
          <w:rFonts w:ascii="Times New Roman" w:hAnsi="Times New Roman" w:cs="Times New Roman"/>
          <w:noProof/>
          <w:sz w:val="24"/>
          <w:vertAlign w:val="superscript"/>
          <w:lang w:val="bg-BG"/>
        </w:rPr>
        <w:footnoteReference w:id="327"/>
      </w:r>
      <w:r w:rsidRPr="006E6596">
        <w:rPr>
          <w:rFonts w:ascii="Times New Roman" w:hAnsi="Times New Roman"/>
          <w:noProof/>
          <w:sz w:val="24"/>
          <w:lang w:val="bg-BG"/>
        </w:rPr>
        <w:t xml:space="preserve"> на ЕС, които се финансират от бюджета на ОВППС. Някои граждански мисии по линия на ОПСО също така, наред с други задачи, подкрепят властите в укрепването на съдебните системи и разширяването на достъпа до правосъдие</w:t>
      </w:r>
      <w:r w:rsidRPr="006E6596">
        <w:rPr>
          <w:rFonts w:ascii="Times New Roman" w:hAnsi="Times New Roman" w:cs="Times New Roman"/>
          <w:noProof/>
          <w:sz w:val="24"/>
          <w:vertAlign w:val="superscript"/>
          <w:lang w:val="bg-BG"/>
        </w:rPr>
        <w:footnoteReference w:id="328"/>
      </w:r>
      <w:r w:rsidRPr="006E6596">
        <w:rPr>
          <w:rFonts w:ascii="Times New Roman" w:hAnsi="Times New Roman"/>
          <w:noProof/>
          <w:sz w:val="24"/>
          <w:lang w:val="bg-BG"/>
        </w:rPr>
        <w:t xml:space="preserve">. </w:t>
      </w:r>
    </w:p>
    <w:p w14:paraId="08118C56" w14:textId="53A1B62D" w:rsidR="00F47756" w:rsidRPr="006E6596" w:rsidRDefault="00DC31D1" w:rsidP="00762055">
      <w:pPr>
        <w:spacing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Що се отнася до осигуряването на финансиране в подкрепа на ефективна правна защита от други международни организации, със </w:t>
      </w:r>
      <w:r w:rsidRPr="006E6596">
        <w:rPr>
          <w:rFonts w:ascii="Times New Roman" w:hAnsi="Times New Roman"/>
          <w:b/>
          <w:noProof/>
          <w:sz w:val="24"/>
          <w:lang w:val="bg-BG"/>
        </w:rPr>
        <w:t>субсидии от ЕИП и Норвегия</w:t>
      </w:r>
      <w:r w:rsidRPr="006E6596">
        <w:rPr>
          <w:rFonts w:ascii="Times New Roman" w:hAnsi="Times New Roman"/>
          <w:noProof/>
          <w:sz w:val="24"/>
          <w:lang w:val="bg-BG"/>
        </w:rPr>
        <w:t xml:space="preserve"> се насърчават партньорства за справяне с предизвикателствата, пред които са изправени европейските съдебни системи</w:t>
      </w:r>
      <w:r w:rsidRPr="006E6596">
        <w:rPr>
          <w:rStyle w:val="FootnoteReference"/>
          <w:rFonts w:ascii="Times New Roman" w:hAnsi="Times New Roman" w:cs="Times New Roman"/>
          <w:noProof/>
          <w:sz w:val="24"/>
          <w:lang w:val="bg-BG"/>
        </w:rPr>
        <w:footnoteReference w:id="329"/>
      </w:r>
      <w:r w:rsidRPr="006E6596">
        <w:rPr>
          <w:rFonts w:ascii="Times New Roman" w:hAnsi="Times New Roman"/>
          <w:noProof/>
          <w:sz w:val="24"/>
          <w:lang w:val="bg-BG"/>
        </w:rPr>
        <w:t xml:space="preserve">. </w:t>
      </w:r>
      <w:bookmarkEnd w:id="66"/>
      <w:bookmarkEnd w:id="68"/>
    </w:p>
    <w:p w14:paraId="6CC7BBFB" w14:textId="0493E9F2" w:rsidR="00C358DF" w:rsidRPr="006E6596" w:rsidRDefault="506C0460" w:rsidP="000B2520">
      <w:pPr>
        <w:pStyle w:val="ListParagraph"/>
        <w:numPr>
          <w:ilvl w:val="0"/>
          <w:numId w:val="1"/>
        </w:numPr>
        <w:ind w:left="567" w:hanging="567"/>
        <w:outlineLvl w:val="0"/>
        <w:rPr>
          <w:rFonts w:cs="Times New Roman"/>
          <w:b/>
          <w:noProof/>
          <w:lang w:val="bg-BG"/>
        </w:rPr>
      </w:pPr>
      <w:bookmarkStart w:id="75" w:name="_Toc152859074"/>
      <w:r w:rsidRPr="006E6596">
        <w:rPr>
          <w:b/>
          <w:noProof/>
          <w:lang w:val="bg-BG"/>
        </w:rPr>
        <w:t>Заключение</w:t>
      </w:r>
      <w:bookmarkEnd w:id="75"/>
      <w:r w:rsidRPr="006E6596">
        <w:rPr>
          <w:b/>
          <w:noProof/>
          <w:lang w:val="bg-BG"/>
        </w:rPr>
        <w:t xml:space="preserve"> </w:t>
      </w:r>
    </w:p>
    <w:p w14:paraId="7978132E" w14:textId="3D742C5E" w:rsidR="00065B87" w:rsidRPr="006E6596" w:rsidRDefault="00065B87" w:rsidP="00065B87">
      <w:pPr>
        <w:jc w:val="both"/>
        <w:rPr>
          <w:rFonts w:ascii="Times New Roman" w:hAnsi="Times New Roman" w:cs="Times New Roman"/>
          <w:noProof/>
          <w:sz w:val="24"/>
          <w:lang w:val="bg-BG"/>
        </w:rPr>
      </w:pPr>
      <w:r w:rsidRPr="006E6596">
        <w:rPr>
          <w:rFonts w:ascii="Times New Roman" w:hAnsi="Times New Roman"/>
          <w:noProof/>
          <w:sz w:val="24"/>
          <w:lang w:val="bg-BG"/>
        </w:rPr>
        <w:t xml:space="preserve">Ефективната правна защита и достъпът до правосъдие са съществена част от принципите на взаимозависимост и взаимоограничаване на демокрацията и са инструмент за поддържането на основополагащите ценности на ЕС. Ефективните съдебни и извънсъдебни средства за защита позволяват на лицата да упражняват правата си съгласно правото на ЕС, включително основните права, и предотвратяват възможността тези права да </w:t>
      </w:r>
      <w:r w:rsidR="00DE20C6">
        <w:rPr>
          <w:rFonts w:ascii="Times New Roman" w:hAnsi="Times New Roman"/>
          <w:noProof/>
          <w:sz w:val="24"/>
          <w:lang w:val="bg-BG"/>
        </w:rPr>
        <w:t>се превърнат в</w:t>
      </w:r>
      <w:r w:rsidRPr="006E6596">
        <w:rPr>
          <w:rFonts w:ascii="Times New Roman" w:hAnsi="Times New Roman"/>
          <w:noProof/>
          <w:sz w:val="24"/>
          <w:lang w:val="bg-BG"/>
        </w:rPr>
        <w:t xml:space="preserve"> илюзорни. Въпреки че достъпът до правосъдие е важен за отделните лица, техните дела представляват също и значителен принос за тълкуването на правото на ЕС и националното право. Успешните резултати от съдебни производства имат потенциал да оформят сферата на правото и да гарантират, че съдилищата и законодателите тълкуват законите в съответствие с основните права. </w:t>
      </w:r>
    </w:p>
    <w:p w14:paraId="0E84BF67" w14:textId="5EB596A2" w:rsidR="00065B87" w:rsidRPr="006E6596" w:rsidRDefault="00065B87" w:rsidP="00065B87">
      <w:pPr>
        <w:jc w:val="both"/>
        <w:rPr>
          <w:rFonts w:ascii="Times New Roman" w:eastAsia="Times New Roman" w:hAnsi="Times New Roman" w:cs="Times New Roman"/>
          <w:noProof/>
          <w:sz w:val="24"/>
          <w:lang w:val="bg-BG"/>
        </w:rPr>
      </w:pPr>
      <w:r w:rsidRPr="006E6596">
        <w:rPr>
          <w:rFonts w:ascii="Times New Roman" w:hAnsi="Times New Roman"/>
          <w:noProof/>
          <w:sz w:val="24"/>
          <w:lang w:val="bg-BG"/>
        </w:rPr>
        <w:t>С настоящия доклад се подчертават многобройните съдебни и извънсъдебни средства за защита, съществуващи съгласно правото на ЕС, и усилията, полагани през последните години за укрепване на ефективната правна защита чрез приемането на няколко висящи законодателни предложения. По този начин правото</w:t>
      </w:r>
      <w:r w:rsidR="00F1579C">
        <w:rPr>
          <w:rFonts w:ascii="Times New Roman" w:hAnsi="Times New Roman"/>
          <w:noProof/>
          <w:sz w:val="24"/>
          <w:lang w:val="bg-BG"/>
        </w:rPr>
        <w:t xml:space="preserve"> </w:t>
      </w:r>
      <w:r w:rsidRPr="006E6596">
        <w:rPr>
          <w:rFonts w:ascii="Times New Roman" w:hAnsi="Times New Roman"/>
          <w:noProof/>
          <w:sz w:val="24"/>
          <w:lang w:val="bg-BG"/>
        </w:rPr>
        <w:t xml:space="preserve">на ЕС допринася за осигуряването на ефективна правна защита и достъп до правосъдие за всички и подчертава необходимостта от продължаване на съвместните усилия на ЕС и държавите членки в тази област. В тази връзка Комисията призовава Европейския парламент и Съвета да гарантират, че в тези предложения се поддържат високи стандарти за ефективна правна защита. </w:t>
      </w:r>
    </w:p>
    <w:p w14:paraId="15AF9748" w14:textId="7E414463" w:rsidR="00065B87" w:rsidRPr="006E6596" w:rsidRDefault="00065B87" w:rsidP="00065B87">
      <w:pPr>
        <w:jc w:val="both"/>
        <w:rPr>
          <w:rFonts w:ascii="Times New Roman" w:hAnsi="Times New Roman" w:cs="Times New Roman"/>
          <w:noProof/>
          <w:sz w:val="24"/>
          <w:lang w:val="bg-BG"/>
        </w:rPr>
      </w:pPr>
      <w:r w:rsidRPr="006E6596">
        <w:rPr>
          <w:rFonts w:ascii="Times New Roman" w:hAnsi="Times New Roman"/>
          <w:noProof/>
          <w:sz w:val="24"/>
          <w:lang w:val="bg-BG"/>
        </w:rPr>
        <w:t xml:space="preserve">Комисията също така продължава </w:t>
      </w:r>
      <w:r w:rsidR="00F1579C" w:rsidRPr="006E6596">
        <w:rPr>
          <w:rFonts w:ascii="Times New Roman" w:hAnsi="Times New Roman"/>
          <w:noProof/>
          <w:sz w:val="24"/>
          <w:lang w:val="bg-BG"/>
        </w:rPr>
        <w:t xml:space="preserve">чрез финансиране </w:t>
      </w:r>
      <w:r w:rsidRPr="006E6596">
        <w:rPr>
          <w:rFonts w:ascii="Times New Roman" w:hAnsi="Times New Roman"/>
          <w:noProof/>
          <w:sz w:val="24"/>
          <w:lang w:val="bg-BG"/>
        </w:rPr>
        <w:t xml:space="preserve">да изгражда капацитета на съдебните специалисти, организациите на гражданското общество и други заинтересовани страни да прилагат Хартата в ежедневната си работа, да поддържа редовен диалог с експерти и заинтересовани страни и продължава да наблюдава наличието на ефективна правна защита </w:t>
      </w:r>
      <w:r w:rsidR="00F1579C">
        <w:rPr>
          <w:rFonts w:ascii="Times New Roman" w:hAnsi="Times New Roman"/>
          <w:noProof/>
          <w:sz w:val="24"/>
          <w:lang w:val="bg-BG"/>
        </w:rPr>
        <w:t>в</w:t>
      </w:r>
      <w:r w:rsidRPr="006E6596">
        <w:rPr>
          <w:rFonts w:ascii="Times New Roman" w:hAnsi="Times New Roman"/>
          <w:noProof/>
          <w:sz w:val="24"/>
          <w:lang w:val="bg-BG"/>
        </w:rPr>
        <w:t xml:space="preserve"> цикъла </w:t>
      </w:r>
      <w:r w:rsidR="00F1579C">
        <w:rPr>
          <w:rFonts w:ascii="Times New Roman" w:hAnsi="Times New Roman"/>
          <w:noProof/>
          <w:sz w:val="24"/>
          <w:lang w:val="bg-BG"/>
        </w:rPr>
        <w:t>н</w:t>
      </w:r>
      <w:r w:rsidRPr="006E6596">
        <w:rPr>
          <w:rFonts w:ascii="Times New Roman" w:hAnsi="Times New Roman"/>
          <w:noProof/>
          <w:sz w:val="24"/>
          <w:lang w:val="bg-BG"/>
        </w:rPr>
        <w:t>а изготвяне на доклади относно върховенството на закона.</w:t>
      </w:r>
    </w:p>
    <w:p w14:paraId="45F5C03A" w14:textId="39E5589B" w:rsidR="000A4FCF" w:rsidRPr="006E6596" w:rsidRDefault="00065B87" w:rsidP="00065B87">
      <w:pPr>
        <w:spacing w:after="240" w:line="276" w:lineRule="auto"/>
        <w:jc w:val="both"/>
        <w:rPr>
          <w:rFonts w:ascii="Times New Roman" w:eastAsia="Times New Roman" w:hAnsi="Times New Roman" w:cs="Times New Roman"/>
          <w:noProof/>
          <w:sz w:val="24"/>
          <w:lang w:val="bg-BG"/>
        </w:rPr>
      </w:pPr>
      <w:r w:rsidRPr="006E6596">
        <w:rPr>
          <w:rFonts w:ascii="Times New Roman" w:hAnsi="Times New Roman"/>
          <w:noProof/>
          <w:sz w:val="24"/>
          <w:lang w:val="bg-BG"/>
        </w:rPr>
        <w:t>Както беше отбелязано и от Съвета</w:t>
      </w:r>
      <w:r w:rsidRPr="006E6596">
        <w:rPr>
          <w:rStyle w:val="FootnoteReference"/>
          <w:rFonts w:ascii="Times New Roman" w:eastAsia="Times New Roman" w:hAnsi="Times New Roman" w:cs="Times New Roman"/>
          <w:noProof/>
          <w:sz w:val="24"/>
          <w:lang w:val="bg-BG"/>
        </w:rPr>
        <w:footnoteReference w:id="330"/>
      </w:r>
      <w:r w:rsidRPr="006E6596">
        <w:rPr>
          <w:rFonts w:ascii="Times New Roman" w:hAnsi="Times New Roman"/>
          <w:noProof/>
          <w:sz w:val="24"/>
          <w:lang w:val="bg-BG"/>
        </w:rPr>
        <w:t>, ролята на държавите членки за защитата на основните права при осигуряване на ефективна правна защита и достъп до правосъдие е централна. От тях се изисква да установяват правните средства, необходими за осигуряването на ефективна правна защита в областите, обхванати от правото на Съюза</w:t>
      </w:r>
      <w:r w:rsidRPr="006E6596">
        <w:rPr>
          <w:rStyle w:val="FootnoteReference"/>
          <w:rFonts w:ascii="Times New Roman" w:eastAsia="Times New Roman" w:hAnsi="Times New Roman" w:cs="Times New Roman"/>
          <w:noProof/>
          <w:sz w:val="24"/>
          <w:lang w:val="bg-BG"/>
        </w:rPr>
        <w:footnoteReference w:id="331"/>
      </w:r>
      <w:r w:rsidRPr="006E6596">
        <w:rPr>
          <w:rFonts w:ascii="Times New Roman" w:hAnsi="Times New Roman"/>
          <w:noProof/>
          <w:sz w:val="24"/>
          <w:lang w:val="bg-BG"/>
        </w:rPr>
        <w:t>. Вътрешните мерки и съдебната практика, подчертани в настоящия доклад, показват съществената роля на националните съдии и компетентните органи в това отношение. Националните органи гарантират, че мерките за правна защита са въведени на национално равнище, но в същото време продължават да съществуват предизвикателства. Въпреки че извадката, използвана при осъществяване на консултациите, не е достатъчно голяма, за да се направят окончателни заключения, заинтересованите страни се позовават на различни оставащи пречки в допълнение към предизвикателствата пред ефективната съдебна защита, описани в доклада относно върховенството на закона за 2023 г. Тези бариери</w:t>
      </w:r>
      <w:r w:rsidR="00DE20C6">
        <w:rPr>
          <w:rFonts w:ascii="Times New Roman" w:hAnsi="Times New Roman"/>
          <w:noProof/>
          <w:sz w:val="24"/>
          <w:lang w:val="bg-BG"/>
        </w:rPr>
        <w:t>, като недостатъчно предоставяне на информация, особено относно извънсъдебни средства за защита, практически трудности при използването на възможностите за решение на проблемите, предостав</w:t>
      </w:r>
      <w:r w:rsidR="00EC54D4">
        <w:rPr>
          <w:rFonts w:ascii="Times New Roman" w:hAnsi="Times New Roman"/>
          <w:noProof/>
          <w:sz w:val="24"/>
          <w:lang w:val="bg-BG"/>
        </w:rPr>
        <w:t>я</w:t>
      </w:r>
      <w:r w:rsidR="00DE20C6">
        <w:rPr>
          <w:rFonts w:ascii="Times New Roman" w:hAnsi="Times New Roman"/>
          <w:noProof/>
          <w:sz w:val="24"/>
          <w:lang w:val="bg-BG"/>
        </w:rPr>
        <w:t>ни от електронното правосъдие, недостатъчно следене за спазване на правата на децата в съдебното производство и различни степен</w:t>
      </w:r>
      <w:r w:rsidR="00EC54D4">
        <w:rPr>
          <w:rFonts w:ascii="Times New Roman" w:hAnsi="Times New Roman"/>
          <w:noProof/>
          <w:sz w:val="24"/>
          <w:lang w:val="bg-BG"/>
        </w:rPr>
        <w:t>и</w:t>
      </w:r>
      <w:r w:rsidR="00DE20C6">
        <w:rPr>
          <w:rFonts w:ascii="Times New Roman" w:hAnsi="Times New Roman"/>
          <w:noProof/>
          <w:sz w:val="24"/>
          <w:lang w:val="bg-BG"/>
        </w:rPr>
        <w:t xml:space="preserve"> на липса на достъп до правосъдие за представителни на уязв</w:t>
      </w:r>
      <w:r w:rsidR="00EC54D4">
        <w:rPr>
          <w:rFonts w:ascii="Times New Roman" w:hAnsi="Times New Roman"/>
          <w:noProof/>
          <w:sz w:val="24"/>
          <w:lang w:val="bg-BG"/>
        </w:rPr>
        <w:t>ими</w:t>
      </w:r>
      <w:r w:rsidR="00DE20C6">
        <w:rPr>
          <w:rFonts w:ascii="Times New Roman" w:hAnsi="Times New Roman"/>
          <w:noProof/>
          <w:sz w:val="24"/>
          <w:lang w:val="bg-BG"/>
        </w:rPr>
        <w:t xml:space="preserve"> групи, включително на икономически основания</w:t>
      </w:r>
      <w:r w:rsidR="00DE20C6">
        <w:rPr>
          <w:rStyle w:val="FootnoteReference"/>
          <w:rFonts w:ascii="Times New Roman" w:hAnsi="Times New Roman"/>
          <w:noProof/>
          <w:sz w:val="24"/>
          <w:lang w:val="bg-BG"/>
        </w:rPr>
        <w:footnoteReference w:id="332"/>
      </w:r>
      <w:r w:rsidR="00DE20C6">
        <w:rPr>
          <w:rFonts w:ascii="Times New Roman" w:hAnsi="Times New Roman"/>
          <w:noProof/>
          <w:sz w:val="24"/>
          <w:lang w:val="bg-BG"/>
        </w:rPr>
        <w:t>,</w:t>
      </w:r>
      <w:r w:rsidRPr="006E6596">
        <w:rPr>
          <w:rFonts w:ascii="Times New Roman" w:hAnsi="Times New Roman"/>
          <w:noProof/>
          <w:sz w:val="24"/>
          <w:lang w:val="bg-BG"/>
        </w:rPr>
        <w:t xml:space="preserve"> могат да попречат на заинтересованите страни да се възползват от правни средства за защита.</w:t>
      </w:r>
    </w:p>
    <w:p w14:paraId="4129B54F" w14:textId="52240DD6" w:rsidR="00065B87" w:rsidRPr="006E6596" w:rsidRDefault="00065B87" w:rsidP="00C743EF">
      <w:pPr>
        <w:spacing w:after="240" w:line="276" w:lineRule="auto"/>
        <w:jc w:val="both"/>
        <w:rPr>
          <w:rFonts w:ascii="Times New Roman" w:hAnsi="Times New Roman" w:cs="Times New Roman"/>
          <w:noProof/>
          <w:sz w:val="24"/>
          <w:lang w:val="bg-BG"/>
        </w:rPr>
      </w:pPr>
      <w:r w:rsidRPr="006E6596">
        <w:rPr>
          <w:rFonts w:ascii="Times New Roman" w:hAnsi="Times New Roman"/>
          <w:noProof/>
          <w:sz w:val="24"/>
          <w:lang w:val="bg-BG"/>
        </w:rPr>
        <w:t xml:space="preserve">Освен това, въпреки че с нарастващите препратки към Хартата в съдебната практика на Съда на ЕС и </w:t>
      </w:r>
      <w:r w:rsidR="00E26BE5">
        <w:rPr>
          <w:rFonts w:ascii="Times New Roman" w:hAnsi="Times New Roman"/>
          <w:noProof/>
          <w:sz w:val="24"/>
          <w:lang w:val="bg-BG"/>
        </w:rPr>
        <w:t>тази</w:t>
      </w:r>
      <w:r w:rsidRPr="006E6596">
        <w:rPr>
          <w:rFonts w:ascii="Times New Roman" w:hAnsi="Times New Roman"/>
          <w:noProof/>
          <w:sz w:val="24"/>
          <w:lang w:val="bg-BG"/>
        </w:rPr>
        <w:t xml:space="preserve"> на националните съдилища се показва значителен интерес към формулирането на ефективна правна защита през призмата на основните права, в съдилищата може да има по-голям брой образувани дела, по които Хартата да бъде прилагана с оглед на укрепване на правната защита на засегнатото лице. Това подчертава необходимостта от осигуряване на гаранции, че юристите получават редовно обучение относно основните права и ефективната правна защита</w:t>
      </w:r>
      <w:r w:rsidRPr="006E6596">
        <w:rPr>
          <w:rStyle w:val="FootnoteReference"/>
          <w:rFonts w:ascii="Times New Roman" w:eastAsia="Times New Roman" w:hAnsi="Times New Roman" w:cs="Times New Roman"/>
          <w:noProof/>
          <w:sz w:val="24"/>
          <w:lang w:val="bg-BG"/>
        </w:rPr>
        <w:footnoteReference w:id="333"/>
      </w:r>
      <w:r w:rsidRPr="006E6596">
        <w:rPr>
          <w:rFonts w:ascii="Times New Roman" w:hAnsi="Times New Roman"/>
          <w:noProof/>
          <w:sz w:val="24"/>
          <w:lang w:val="bg-BG"/>
        </w:rPr>
        <w:t xml:space="preserve"> и от предоставяне на възможност на организациите на гражданското общество и защитниците на правата на човека да водят стратегически съдебни производства на национално равнище и на равнище ЕС.</w:t>
      </w:r>
    </w:p>
    <w:p w14:paraId="48C406A6" w14:textId="34D861BA" w:rsidR="00A76010" w:rsidRPr="006E6596" w:rsidRDefault="00065B87" w:rsidP="006D182F">
      <w:pPr>
        <w:spacing w:after="240" w:line="276" w:lineRule="auto"/>
        <w:jc w:val="both"/>
        <w:rPr>
          <w:rFonts w:ascii="Times New Roman" w:eastAsia="Times New Roman" w:hAnsi="Times New Roman" w:cs="Times New Roman"/>
          <w:noProof/>
          <w:sz w:val="24"/>
          <w:lang w:val="bg-BG"/>
        </w:rPr>
      </w:pPr>
      <w:bookmarkStart w:id="76" w:name="_Hlk114568968"/>
      <w:r w:rsidRPr="006E6596">
        <w:rPr>
          <w:rFonts w:ascii="Times New Roman" w:hAnsi="Times New Roman"/>
          <w:noProof/>
          <w:sz w:val="24"/>
          <w:lang w:val="bg-BG"/>
        </w:rPr>
        <w:t>Комисията</w:t>
      </w:r>
      <w:bookmarkEnd w:id="76"/>
      <w:r w:rsidRPr="006E6596">
        <w:rPr>
          <w:rFonts w:ascii="Times New Roman" w:hAnsi="Times New Roman"/>
          <w:noProof/>
          <w:sz w:val="24"/>
          <w:lang w:val="bg-BG"/>
        </w:rPr>
        <w:t xml:space="preserve"> приветства активната ангажираност и приноса на заинтересованите страни и Агенцията за основните права при изготвянето на настоящия доклад. Тя насърчава практикуващите юристи, националните органи (включително звената за връзка по въпросите на Хартата), организациите на гражданското общество, защитниците на правата на човека и други заинтересовани страни да използват настоящия доклад като част от усилията, които полагат за подобряване на ефективността на правната защита в контекста на отстояването на основните права в съответните държави членки . Комисията също така приканва Европейския парламент и Съвета да организират специални обсъждания на доклада и остава на разположение за предоставяне на подкрепа във връзка с този обмен. </w:t>
      </w:r>
    </w:p>
    <w:sectPr w:rsidR="00A76010" w:rsidRPr="006E6596" w:rsidSect="003D063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5EE36" w14:textId="77777777" w:rsidR="00F05D62" w:rsidRPr="00732F40" w:rsidRDefault="00F05D62" w:rsidP="0095171F">
      <w:pPr>
        <w:spacing w:after="0" w:line="240" w:lineRule="auto"/>
      </w:pPr>
      <w:r>
        <w:separator/>
      </w:r>
    </w:p>
  </w:endnote>
  <w:endnote w:type="continuationSeparator" w:id="0">
    <w:p w14:paraId="677DAE78" w14:textId="77777777" w:rsidR="00F05D62" w:rsidRPr="00732F40" w:rsidRDefault="00F05D62" w:rsidP="0095171F">
      <w:pPr>
        <w:spacing w:after="0" w:line="240" w:lineRule="auto"/>
      </w:pPr>
      <w:r>
        <w:continuationSeparator/>
      </w:r>
    </w:p>
  </w:endnote>
  <w:endnote w:type="continuationNotice" w:id="1">
    <w:p w14:paraId="693A2EA7" w14:textId="77777777" w:rsidR="00F05D62" w:rsidRPr="00732F40" w:rsidRDefault="00F05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6394" w14:textId="3C89D742" w:rsidR="00FF7825" w:rsidRPr="004252D6" w:rsidRDefault="00FF7825" w:rsidP="00425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C2A70" w14:textId="1773B0D7" w:rsidR="00FF7825" w:rsidRPr="004252D6" w:rsidRDefault="004252D6" w:rsidP="004252D6">
    <w:pPr>
      <w:pStyle w:val="FooterCoverPage"/>
      <w:rPr>
        <w:rFonts w:ascii="Arial" w:hAnsi="Arial" w:cs="Arial"/>
        <w:b/>
        <w:sz w:val="48"/>
      </w:rPr>
    </w:pPr>
    <w:r w:rsidRPr="004252D6">
      <w:rPr>
        <w:rFonts w:ascii="Arial" w:hAnsi="Arial" w:cs="Arial"/>
        <w:b/>
        <w:sz w:val="48"/>
      </w:rPr>
      <w:t>BG</w:t>
    </w:r>
    <w:r w:rsidRPr="004252D6">
      <w:rPr>
        <w:rFonts w:ascii="Arial" w:hAnsi="Arial" w:cs="Arial"/>
        <w:b/>
        <w:sz w:val="48"/>
      </w:rPr>
      <w:tab/>
    </w:r>
    <w:r w:rsidRPr="004252D6">
      <w:rPr>
        <w:rFonts w:ascii="Arial" w:hAnsi="Arial" w:cs="Arial"/>
        <w:b/>
        <w:sz w:val="48"/>
      </w:rPr>
      <w:tab/>
    </w:r>
    <w:r w:rsidRPr="004252D6">
      <w:tab/>
    </w:r>
    <w:r w:rsidRPr="004252D6">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DC87" w14:textId="77777777" w:rsidR="004252D6" w:rsidRPr="004252D6" w:rsidRDefault="004252D6" w:rsidP="004252D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6E1C4" w14:textId="77777777" w:rsidR="00110B4D" w:rsidRPr="00732F40" w:rsidRDefault="00110B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806977"/>
      <w:docPartObj>
        <w:docPartGallery w:val="Page Numbers (Bottom of Page)"/>
        <w:docPartUnique/>
      </w:docPartObj>
    </w:sdtPr>
    <w:sdtEndPr/>
    <w:sdtContent>
      <w:p w14:paraId="55494170" w14:textId="084A3FFC" w:rsidR="00110B4D" w:rsidRPr="00732F40" w:rsidRDefault="00110B4D">
        <w:pPr>
          <w:pStyle w:val="Footer"/>
          <w:jc w:val="right"/>
        </w:pPr>
        <w:r>
          <w:fldChar w:fldCharType="begin"/>
        </w:r>
        <w:r>
          <w:instrText xml:space="preserve"> PAGE   \* MERGEFORMAT </w:instrText>
        </w:r>
        <w:r>
          <w:fldChar w:fldCharType="separate"/>
        </w:r>
        <w:r w:rsidR="004252D6">
          <w:rPr>
            <w:noProof/>
          </w:rPr>
          <w:t>18</w:t>
        </w:r>
        <w:r>
          <w:fldChar w:fldCharType="end"/>
        </w:r>
      </w:p>
    </w:sdtContent>
  </w:sdt>
  <w:p w14:paraId="76603675" w14:textId="77777777" w:rsidR="00110B4D" w:rsidRPr="00732F40" w:rsidRDefault="00110B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3FD94" w14:textId="77777777" w:rsidR="00110B4D" w:rsidRPr="00732F40" w:rsidRDefault="00110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C14B" w14:textId="77777777" w:rsidR="00F05D62" w:rsidRPr="00732F40" w:rsidRDefault="00F05D62" w:rsidP="0095171F">
      <w:pPr>
        <w:spacing w:after="0" w:line="240" w:lineRule="auto"/>
      </w:pPr>
      <w:r>
        <w:separator/>
      </w:r>
    </w:p>
  </w:footnote>
  <w:footnote w:type="continuationSeparator" w:id="0">
    <w:p w14:paraId="0E20CC04" w14:textId="77777777" w:rsidR="007A20FA" w:rsidRPr="00732F40" w:rsidRDefault="007A20FA" w:rsidP="007A20FA">
      <w:pPr>
        <w:spacing w:after="0" w:line="240" w:lineRule="auto"/>
      </w:pPr>
      <w:r>
        <w:separator/>
      </w:r>
    </w:p>
    <w:p w14:paraId="2226CA9B" w14:textId="6CB2457D" w:rsidR="00F05D62" w:rsidRPr="007A20FA" w:rsidRDefault="00F05D62" w:rsidP="007A20FA">
      <w:pPr>
        <w:pStyle w:val="Footer"/>
        <w:rPr>
          <w:lang w:val="bg-BG"/>
        </w:rPr>
      </w:pPr>
    </w:p>
  </w:footnote>
  <w:footnote w:type="continuationNotice" w:id="1">
    <w:p w14:paraId="7949BDAB" w14:textId="77777777" w:rsidR="00F05D62" w:rsidRPr="00732F40" w:rsidRDefault="00F05D62">
      <w:pPr>
        <w:spacing w:after="0" w:line="240" w:lineRule="auto"/>
      </w:pPr>
    </w:p>
  </w:footnote>
  <w:footnote w:id="2">
    <w:p w14:paraId="5910953E" w14:textId="6C7D9593" w:rsidR="00110B4D" w:rsidRPr="006E6596" w:rsidRDefault="00110B4D" w:rsidP="00CB6206">
      <w:pPr>
        <w:pStyle w:val="FootnoteText"/>
        <w:jc w:val="both"/>
        <w:rPr>
          <w:lang w:val="bg-BG"/>
        </w:rPr>
      </w:pPr>
      <w:r w:rsidRPr="006E6596">
        <w:rPr>
          <w:rStyle w:val="FootnoteReference"/>
          <w:lang w:val="bg-BG"/>
        </w:rPr>
        <w:footnoteRef/>
      </w:r>
      <w:r w:rsidRPr="006E6596">
        <w:rPr>
          <w:lang w:val="bg-BG"/>
        </w:rPr>
        <w:t xml:space="preserve"> Член 6 от ДЕС.</w:t>
      </w:r>
    </w:p>
  </w:footnote>
  <w:footnote w:id="3">
    <w:p w14:paraId="6C3A540C" w14:textId="77777777" w:rsidR="00110B4D" w:rsidRPr="006E6596" w:rsidRDefault="00110B4D" w:rsidP="00CB6206">
      <w:pPr>
        <w:pStyle w:val="FootnoteText"/>
        <w:jc w:val="both"/>
        <w:rPr>
          <w:lang w:val="bg-BG"/>
        </w:rPr>
      </w:pPr>
      <w:r w:rsidRPr="006E6596">
        <w:rPr>
          <w:rStyle w:val="FootnoteReference"/>
          <w:lang w:val="bg-BG"/>
        </w:rPr>
        <w:footnoteRef/>
      </w:r>
      <w:r w:rsidRPr="006E6596">
        <w:rPr>
          <w:lang w:val="bg-BG"/>
        </w:rPr>
        <w:t xml:space="preserve"> Член 51, параграф 1 от Хартата.</w:t>
      </w:r>
    </w:p>
  </w:footnote>
  <w:footnote w:id="4">
    <w:p w14:paraId="4369EC64" w14:textId="77777777" w:rsidR="00EF15DB" w:rsidRPr="006E6596" w:rsidRDefault="00EF15DB" w:rsidP="00EF15DB">
      <w:pPr>
        <w:pStyle w:val="FootnoteText"/>
        <w:jc w:val="both"/>
        <w:rPr>
          <w:lang w:val="bg-BG"/>
        </w:rPr>
      </w:pPr>
      <w:r w:rsidRPr="006E6596">
        <w:rPr>
          <w:rStyle w:val="FootnoteReference"/>
          <w:lang w:val="bg-BG"/>
        </w:rPr>
        <w:footnoteRef/>
      </w:r>
      <w:r w:rsidRPr="006E6596">
        <w:rPr>
          <w:lang w:val="bg-BG"/>
        </w:rPr>
        <w:t xml:space="preserve"> В случаите когато държавите членки приемат закони в област извън компетентността на ЕС и когато няма действащо право на Съюза, те не прилагат правото на Съюза и Хартата не е приложима за тях. Същевременно обаче много от основните права, залегнали в Хартата, са установени и в националните конституции и съдебната практика, както и в Европейската конвенция за правата на човека, която е подписана от всички държави членки.</w:t>
      </w:r>
    </w:p>
  </w:footnote>
  <w:footnote w:id="5">
    <w:p w14:paraId="4A52B645" w14:textId="0A3673A3" w:rsidR="00CF55B9" w:rsidRPr="006E6596" w:rsidRDefault="00CF55B9" w:rsidP="00CB6206">
      <w:pPr>
        <w:pStyle w:val="FootnoteText"/>
        <w:jc w:val="both"/>
        <w:rPr>
          <w:lang w:val="bg-BG"/>
        </w:rPr>
      </w:pPr>
      <w:r w:rsidRPr="006E6596">
        <w:rPr>
          <w:rStyle w:val="FootnoteReference"/>
          <w:lang w:val="bg-BG"/>
        </w:rPr>
        <w:footnoteRef/>
      </w:r>
      <w:r w:rsidRPr="006E6596">
        <w:rPr>
          <w:lang w:val="bg-BG"/>
        </w:rPr>
        <w:t xml:space="preserve"> </w:t>
      </w:r>
      <w:bookmarkStart w:id="5" w:name="_Hlk110344068"/>
      <w:r w:rsidRPr="006E6596">
        <w:rPr>
          <w:lang w:val="bg-BG"/>
        </w:rPr>
        <w:t>COM(2020) 711 final</w:t>
      </w:r>
      <w:bookmarkEnd w:id="5"/>
    </w:p>
  </w:footnote>
  <w:footnote w:id="6">
    <w:p w14:paraId="75C42C51" w14:textId="4C046BD0" w:rsidR="00B37C32" w:rsidRPr="006E6596" w:rsidRDefault="00B37C32" w:rsidP="00CB6206">
      <w:pPr>
        <w:pStyle w:val="FootnoteText"/>
        <w:jc w:val="both"/>
        <w:rPr>
          <w:lang w:val="bg-BG"/>
        </w:rPr>
      </w:pPr>
      <w:r w:rsidRPr="006E6596">
        <w:rPr>
          <w:rStyle w:val="FootnoteReference"/>
          <w:lang w:val="bg-BG"/>
        </w:rPr>
        <w:footnoteRef/>
      </w:r>
      <w:r w:rsidRPr="006E6596">
        <w:rPr>
          <w:lang w:val="bg-BG"/>
        </w:rPr>
        <w:t xml:space="preserve"> </w:t>
      </w:r>
      <w:bookmarkStart w:id="6" w:name="OLE_LINK1"/>
      <w:r w:rsidRPr="006E6596">
        <w:rPr>
          <w:lang w:val="bg-BG"/>
        </w:rPr>
        <w:t xml:space="preserve">Вж. предишни доклади: </w:t>
      </w:r>
      <w:hyperlink r:id="rId1" w:history="1">
        <w:r w:rsidRPr="006E6596">
          <w:rPr>
            <w:rStyle w:val="Hyperlink"/>
            <w:lang w:val="bg-BG"/>
          </w:rPr>
          <w:t>Процъфтяващо гражданско пространство за отстояването на основните права в ЕС</w:t>
        </w:r>
        <w:bookmarkEnd w:id="6"/>
      </w:hyperlink>
      <w:r w:rsidRPr="006E6596">
        <w:rPr>
          <w:lang w:val="bg-BG"/>
        </w:rPr>
        <w:t xml:space="preserve"> — Годишен доклад за 2022 г. относно прилагането на Хартата на основните права на ЕС, COM/2022/716; </w:t>
      </w:r>
      <w:hyperlink r:id="rId2" w:history="1">
        <w:r w:rsidRPr="006E6596">
          <w:rPr>
            <w:rStyle w:val="Hyperlink"/>
            <w:lang w:val="bg-BG"/>
          </w:rPr>
          <w:t>Защита на основните права в ерата на цифровите технологии</w:t>
        </w:r>
      </w:hyperlink>
      <w:r w:rsidRPr="006E6596">
        <w:rPr>
          <w:lang w:val="bg-BG"/>
        </w:rPr>
        <w:t xml:space="preserve"> — Годишен доклад за 2021 г. относно прилагането на Хартата на основните права на ЕС, COM/2021/819; </w:t>
      </w:r>
    </w:p>
  </w:footnote>
  <w:footnote w:id="7">
    <w:p w14:paraId="0866DE6D" w14:textId="2383F160" w:rsidR="00CB6206" w:rsidRPr="006E6596" w:rsidRDefault="00CB6206" w:rsidP="001F2779">
      <w:pPr>
        <w:pStyle w:val="FootnoteText"/>
        <w:jc w:val="both"/>
        <w:rPr>
          <w:lang w:val="bg-BG"/>
        </w:rPr>
      </w:pPr>
      <w:r w:rsidRPr="006E6596">
        <w:rPr>
          <w:rStyle w:val="FootnoteReference"/>
          <w:lang w:val="bg-BG"/>
        </w:rPr>
        <w:footnoteRef/>
      </w:r>
      <w:r w:rsidRPr="006E6596">
        <w:rPr>
          <w:lang w:val="bg-BG"/>
        </w:rPr>
        <w:t>Стратегия за Хартата, стр. 1.</w:t>
      </w:r>
    </w:p>
  </w:footnote>
  <w:footnote w:id="8">
    <w:p w14:paraId="079B65E7" w14:textId="5BD55BC0" w:rsidR="00110B4D" w:rsidRPr="006E6596" w:rsidRDefault="00110B4D" w:rsidP="00633442">
      <w:pPr>
        <w:pStyle w:val="FootnoteText"/>
        <w:jc w:val="both"/>
        <w:rPr>
          <w:lang w:val="bg-BG"/>
        </w:rPr>
      </w:pPr>
      <w:r w:rsidRPr="006E6596">
        <w:rPr>
          <w:rStyle w:val="FootnoteReference"/>
          <w:lang w:val="bg-BG"/>
        </w:rPr>
        <w:footnoteRef/>
      </w:r>
      <w:r w:rsidRPr="006E6596">
        <w:rPr>
          <w:lang w:val="bg-BG"/>
        </w:rPr>
        <w:t xml:space="preserve"> COM(2022)716 final; COM(2021) 819 final</w:t>
      </w:r>
    </w:p>
  </w:footnote>
  <w:footnote w:id="9">
    <w:p w14:paraId="6A996F44" w14:textId="17CFBEB4" w:rsidR="00E114B2" w:rsidRPr="006E6596" w:rsidRDefault="00E114B2" w:rsidP="00BF23E9">
      <w:pPr>
        <w:pStyle w:val="FootnoteText"/>
        <w:jc w:val="both"/>
        <w:rPr>
          <w:lang w:val="bg-BG"/>
        </w:rPr>
      </w:pPr>
      <w:r w:rsidRPr="006E6596">
        <w:rPr>
          <w:rStyle w:val="FootnoteReference"/>
          <w:lang w:val="bg-BG"/>
        </w:rPr>
        <w:footnoteRef/>
      </w:r>
      <w:r w:rsidRPr="006E6596">
        <w:rPr>
          <w:lang w:val="bg-BG"/>
        </w:rPr>
        <w:t xml:space="preserve"> Гарантиране на справедливост в ЕС — европейска стратегия за съдебно обучение за периода 2021—2024 г. COM(2020)</w:t>
      </w:r>
    </w:p>
  </w:footnote>
  <w:footnote w:id="10">
    <w:p w14:paraId="01D22168" w14:textId="77777777" w:rsidR="00EC2369" w:rsidRPr="006E6596" w:rsidRDefault="00EC2369" w:rsidP="00BF23E9">
      <w:pPr>
        <w:pStyle w:val="FootnoteText"/>
        <w:jc w:val="both"/>
        <w:rPr>
          <w:lang w:val="bg-BG"/>
        </w:rPr>
      </w:pPr>
      <w:r w:rsidRPr="006E6596">
        <w:rPr>
          <w:rStyle w:val="FootnoteReference"/>
          <w:lang w:val="bg-BG"/>
        </w:rPr>
        <w:footnoteRef/>
      </w:r>
      <w:r w:rsidRPr="006E6596">
        <w:rPr>
          <w:lang w:val="bg-BG"/>
        </w:rPr>
        <w:t xml:space="preserve"> </w:t>
      </w:r>
      <w:hyperlink r:id="rId3" w:history="1">
        <w:r w:rsidRPr="006E6596">
          <w:rPr>
            <w:rStyle w:val="Hyperlink"/>
            <w:lang w:val="bg-BG"/>
          </w:rPr>
          <w:t>https://e-justice.europa.eu/european-training-platform/home_en</w:t>
        </w:r>
      </w:hyperlink>
    </w:p>
  </w:footnote>
  <w:footnote w:id="11">
    <w:p w14:paraId="2207CE6B" w14:textId="17D3B62A" w:rsidR="00196639" w:rsidRPr="006E6596" w:rsidRDefault="00196639" w:rsidP="00BF23E9">
      <w:pPr>
        <w:pStyle w:val="FootnoteText"/>
        <w:jc w:val="both"/>
        <w:rPr>
          <w:lang w:val="bg-BG"/>
        </w:rPr>
      </w:pPr>
      <w:r w:rsidRPr="006E6596">
        <w:rPr>
          <w:rStyle w:val="FootnoteReference"/>
          <w:lang w:val="bg-BG"/>
        </w:rPr>
        <w:footnoteRef/>
      </w:r>
      <w:r w:rsidRPr="006E6596">
        <w:rPr>
          <w:lang w:val="bg-BG"/>
        </w:rPr>
        <w:t xml:space="preserve"> Член 9, параграф 1 от Регламент (ЕС) 2021/1060 (Регламент за общоприложимите разпоредби).</w:t>
      </w:r>
    </w:p>
  </w:footnote>
  <w:footnote w:id="12">
    <w:p w14:paraId="438E7694" w14:textId="1350BB09" w:rsidR="00304F1D" w:rsidRPr="006E6596" w:rsidRDefault="00304F1D" w:rsidP="00C743EF">
      <w:pPr>
        <w:pStyle w:val="FootnoteText"/>
        <w:jc w:val="both"/>
        <w:rPr>
          <w:lang w:val="bg-BG"/>
        </w:rPr>
      </w:pPr>
      <w:r w:rsidRPr="006E6596">
        <w:rPr>
          <w:rStyle w:val="FootnoteReference"/>
          <w:lang w:val="bg-BG"/>
        </w:rPr>
        <w:footnoteRef/>
      </w:r>
      <w:r w:rsidRPr="006E6596">
        <w:rPr>
          <w:lang w:val="bg-BG"/>
        </w:rPr>
        <w:t xml:space="preserve"> Самата Полша декларира, че не изпълнява ХОУ за Хартата, а Комисията установи, че Унгария все още не е изпълнила ХОУ за Хартата по отношение на всички фондове, обхванати от Регламент за общоприложимите разпоредби. След първоначална декларация на Кипър, че не изпълнява ХОУ за Хартата по отношение на Фонда за убежище, миграция и интеграция и Инструмента за управление на границите и визите, в настоящия доклад Комисията оценява нова декларация, че Кипър изпълнява ХОУ за Хартата.</w:t>
      </w:r>
    </w:p>
  </w:footnote>
  <w:footnote w:id="13">
    <w:p w14:paraId="48894240" w14:textId="2A16B90B" w:rsidR="002278DD" w:rsidRPr="006E6596" w:rsidRDefault="002278DD" w:rsidP="000968FC">
      <w:pPr>
        <w:pStyle w:val="FootnoteText"/>
        <w:jc w:val="both"/>
        <w:rPr>
          <w:lang w:val="bg-BG"/>
        </w:rPr>
      </w:pPr>
      <w:r w:rsidRPr="006E6596">
        <w:rPr>
          <w:rStyle w:val="FootnoteReference"/>
          <w:lang w:val="bg-BG"/>
        </w:rPr>
        <w:footnoteRef/>
      </w:r>
      <w:r w:rsidRPr="006E6596">
        <w:rPr>
          <w:lang w:val="bg-BG"/>
        </w:rPr>
        <w:t xml:space="preserve"> Вж. например производството за установяване на нарушение, започнато през юли 2022 г. във връзка с унгарски закон, който съдържа разпоредби, които водят до дискриминация въз основа на сексуална ориентация и полова идентичност. Комисията счита, че с унгарския закон се нарушават систематично няколко основни права. Нарушените основни права включват неприкосновеността на човешкото достойнство, правото на свобода на изразяване на мнение и на информация, правото на личен и семеен живот, както и правото на недискриминация. Поради сериозността на тези нарушения оспорваните разпоредби накърняват също така и общите ценности, установени в член 2 от ДЕС. </w:t>
      </w:r>
      <w:hyperlink r:id="rId4" w:history="1">
        <w:r w:rsidRPr="006E6596">
          <w:rPr>
            <w:rStyle w:val="Hyperlink"/>
            <w:lang w:val="bg-BG"/>
          </w:rPr>
          <w:t>https://ec.europa.eu/commission/presscorner/detail/en/ip_22_2689</w:t>
        </w:r>
      </w:hyperlink>
      <w:r w:rsidRPr="006E6596">
        <w:rPr>
          <w:lang w:val="bg-BG"/>
        </w:rPr>
        <w:t xml:space="preserve">. </w:t>
      </w:r>
    </w:p>
  </w:footnote>
  <w:footnote w:id="14">
    <w:p w14:paraId="2257B9F9" w14:textId="62BE3F14" w:rsidR="00D00C0D" w:rsidRPr="006E6596" w:rsidRDefault="00D00C0D" w:rsidP="003B76A9">
      <w:pPr>
        <w:pStyle w:val="FootnoteText"/>
        <w:jc w:val="both"/>
        <w:rPr>
          <w:lang w:val="bg-BG"/>
        </w:rPr>
      </w:pPr>
      <w:r w:rsidRPr="006E6596">
        <w:rPr>
          <w:rStyle w:val="FootnoteReference"/>
          <w:lang w:val="bg-BG"/>
        </w:rPr>
        <w:footnoteRef/>
      </w:r>
      <w:r w:rsidRPr="006E6596">
        <w:rPr>
          <w:lang w:val="bg-BG"/>
        </w:rPr>
        <w:t xml:space="preserve"> Кампанията </w:t>
      </w:r>
      <w:hyperlink r:id="rId5" w:anchor="paragraph_128" w:history="1">
        <w:r w:rsidRPr="006E6596">
          <w:rPr>
            <w:rStyle w:val="Hyperlink"/>
            <w:lang w:val="bg-BG"/>
          </w:rPr>
          <w:t>#RightHereRightNow (europa.eu)</w:t>
        </w:r>
      </w:hyperlink>
      <w:r w:rsidRPr="006E6596">
        <w:rPr>
          <w:lang w:val="bg-BG"/>
        </w:rPr>
        <w:t xml:space="preserve"> се проведе от декември 2021 г. до декември 2022 г. в социалните мрежи и чрез медийни събития. Партньорите включваха организации на гражданското общество (ОГО), национални институции по правата на човека (НИПЧ) и органи по въпросите на равенството, FRA и други органи и агенции на ЕС.</w:t>
      </w:r>
    </w:p>
  </w:footnote>
  <w:footnote w:id="15">
    <w:p w14:paraId="1A863BA2" w14:textId="5BEBF865" w:rsidR="00D00C0D" w:rsidRPr="006E6596" w:rsidRDefault="00D00C0D" w:rsidP="00AD07E5">
      <w:pPr>
        <w:pStyle w:val="FootnoteText"/>
        <w:jc w:val="both"/>
        <w:rPr>
          <w:lang w:val="bg-BG"/>
        </w:rPr>
      </w:pPr>
      <w:r w:rsidRPr="006E6596">
        <w:rPr>
          <w:rStyle w:val="FootnoteReference"/>
          <w:lang w:val="bg-BG"/>
        </w:rPr>
        <w:footnoteRef/>
      </w:r>
      <w:r w:rsidRPr="006E6596">
        <w:rPr>
          <w:lang w:val="bg-BG"/>
        </w:rPr>
        <w:t xml:space="preserve"> </w:t>
      </w:r>
      <w:hyperlink r:id="rId6" w:history="1">
        <w:r w:rsidRPr="006E6596">
          <w:rPr>
            <w:rStyle w:val="Hyperlink"/>
            <w:lang w:val="bg-BG"/>
          </w:rPr>
          <w:t>https://e-justice.europa.eu/512/BG/your_rights</w:t>
        </w:r>
      </w:hyperlink>
      <w:r w:rsidRPr="006E6596">
        <w:rPr>
          <w:rStyle w:val="Hyperlink"/>
          <w:lang w:val="bg-BG"/>
        </w:rPr>
        <w:t>.</w:t>
      </w:r>
    </w:p>
  </w:footnote>
  <w:footnote w:id="16">
    <w:p w14:paraId="2AAA75D8" w14:textId="1E411629" w:rsidR="00D00C0D" w:rsidRPr="006E6596" w:rsidRDefault="00D00C0D" w:rsidP="00AD07E5">
      <w:pPr>
        <w:pStyle w:val="FootnoteText"/>
        <w:jc w:val="both"/>
        <w:rPr>
          <w:lang w:val="bg-BG"/>
        </w:rPr>
      </w:pPr>
      <w:r w:rsidRPr="006E6596">
        <w:rPr>
          <w:rStyle w:val="FootnoteReference"/>
          <w:lang w:val="bg-BG"/>
        </w:rPr>
        <w:footnoteRef/>
      </w:r>
      <w:r w:rsidRPr="006E6596">
        <w:rPr>
          <w:lang w:val="bg-BG"/>
        </w:rPr>
        <w:t xml:space="preserve"> </w:t>
      </w:r>
      <w:hyperlink r:id="rId7" w:history="1">
        <w:r w:rsidRPr="006E6596">
          <w:rPr>
            <w:rStyle w:val="Hyperlink"/>
            <w:lang w:val="bg-BG"/>
          </w:rPr>
          <w:t>https://ec.europa.eu/info/aid-development-cooperation-fundamental-rights/your-rights-eu/eu-charter-fundamental-rights_bg</w:t>
        </w:r>
      </w:hyperlink>
      <w:r w:rsidRPr="006E6596">
        <w:rPr>
          <w:rStyle w:val="Hyperlink"/>
          <w:lang w:val="bg-BG"/>
        </w:rPr>
        <w:t>.</w:t>
      </w:r>
    </w:p>
  </w:footnote>
  <w:footnote w:id="17">
    <w:p w14:paraId="35715773" w14:textId="48A4D56E" w:rsidR="00110B4D" w:rsidRPr="006E6596" w:rsidRDefault="00110B4D" w:rsidP="00AD07E5">
      <w:pPr>
        <w:pStyle w:val="FootnoteText"/>
        <w:jc w:val="both"/>
        <w:rPr>
          <w:lang w:val="bg-BG"/>
        </w:rPr>
      </w:pPr>
      <w:r w:rsidRPr="006E6596">
        <w:rPr>
          <w:rStyle w:val="FootnoteReference"/>
          <w:lang w:val="bg-BG"/>
        </w:rPr>
        <w:footnoteRef/>
      </w:r>
      <w:r w:rsidRPr="006E6596">
        <w:rPr>
          <w:lang w:val="bg-BG"/>
        </w:rPr>
        <w:t xml:space="preserve"> То съдържа </w:t>
      </w:r>
      <w:hyperlink r:id="rId8" w:history="1">
        <w:r w:rsidRPr="006E6596">
          <w:rPr>
            <w:rStyle w:val="Hyperlink"/>
            <w:lang w:val="bg-BG"/>
          </w:rPr>
          <w:t>съществено количество информация относно Хартата</w:t>
        </w:r>
      </w:hyperlink>
      <w:r w:rsidRPr="006E6596">
        <w:rPr>
          <w:lang w:val="bg-BG"/>
        </w:rPr>
        <w:t xml:space="preserve">, включително съдебната практика на националните съдилища, в която са направени позовавания на Хартата. FRA осигури достъп до този инструмент и в приложение за Хартата. </w:t>
      </w:r>
    </w:p>
  </w:footnote>
  <w:footnote w:id="18">
    <w:p w14:paraId="235AB8D0" w14:textId="39FFAB98" w:rsidR="002A30D0" w:rsidRPr="006E6596" w:rsidRDefault="002A30D0" w:rsidP="00AD07E5">
      <w:pPr>
        <w:pStyle w:val="FootnoteText"/>
        <w:jc w:val="both"/>
        <w:rPr>
          <w:lang w:val="bg-BG"/>
        </w:rPr>
      </w:pPr>
      <w:r w:rsidRPr="006E6596">
        <w:rPr>
          <w:rStyle w:val="FootnoteReference"/>
          <w:lang w:val="bg-BG"/>
        </w:rPr>
        <w:footnoteRef/>
      </w:r>
      <w:r w:rsidRPr="006E6596">
        <w:rPr>
          <w:lang w:val="bg-BG"/>
        </w:rPr>
        <w:t xml:space="preserve"> </w:t>
      </w:r>
      <w:hyperlink r:id="rId9" w:history="1">
        <w:r w:rsidRPr="006E6596">
          <w:rPr>
            <w:rStyle w:val="Hyperlink"/>
            <w:lang w:val="bg-BG"/>
          </w:rPr>
          <w:t>https://fra.europa.eu/bg/publication/2022/charter-case-studies-trainers-manual</w:t>
        </w:r>
      </w:hyperlink>
      <w:r w:rsidRPr="006E6596">
        <w:rPr>
          <w:lang w:val="bg-BG"/>
        </w:rPr>
        <w:t>.</w:t>
      </w:r>
    </w:p>
  </w:footnote>
  <w:footnote w:id="19">
    <w:p w14:paraId="011236FB" w14:textId="567A89D8" w:rsidR="00070FD2" w:rsidRPr="006E6596" w:rsidRDefault="00070FD2" w:rsidP="00070FD2">
      <w:pPr>
        <w:pStyle w:val="FootnoteText"/>
        <w:jc w:val="both"/>
        <w:rPr>
          <w:lang w:val="bg-BG"/>
        </w:rPr>
      </w:pPr>
      <w:r w:rsidRPr="006E6596">
        <w:rPr>
          <w:rStyle w:val="FootnoteReference"/>
          <w:lang w:val="bg-BG"/>
        </w:rPr>
        <w:footnoteRef/>
      </w:r>
      <w:r w:rsidRPr="006E6596">
        <w:rPr>
          <w:lang w:val="bg-BG"/>
        </w:rPr>
        <w:t xml:space="preserve"> Вж. </w:t>
      </w:r>
      <w:hyperlink r:id="rId10" w:history="1">
        <w:r w:rsidRPr="006E6596">
          <w:rPr>
            <w:rStyle w:val="Hyperlink"/>
            <w:lang w:val="bg-BG"/>
          </w:rPr>
          <w:t>Годишните доклади относно върховенството на закона</w:t>
        </w:r>
      </w:hyperlink>
      <w:r w:rsidRPr="006E6596">
        <w:rPr>
          <w:lang w:val="bg-BG"/>
        </w:rPr>
        <w:t>.</w:t>
      </w:r>
    </w:p>
  </w:footnote>
  <w:footnote w:id="20">
    <w:p w14:paraId="308B8D91" w14:textId="4D10A330" w:rsidR="00070FD2" w:rsidRPr="006E6596" w:rsidRDefault="00070FD2" w:rsidP="00070FD2">
      <w:pPr>
        <w:pStyle w:val="FootnoteText"/>
        <w:jc w:val="both"/>
        <w:rPr>
          <w:lang w:val="bg-BG"/>
        </w:rPr>
      </w:pPr>
      <w:r w:rsidRPr="006E6596">
        <w:rPr>
          <w:rStyle w:val="FootnoteReference"/>
          <w:lang w:val="bg-BG"/>
        </w:rPr>
        <w:footnoteRef/>
      </w:r>
      <w:r w:rsidRPr="006E6596">
        <w:rPr>
          <w:lang w:val="bg-BG"/>
        </w:rPr>
        <w:t xml:space="preserve"> Вж. Становище 1/09 </w:t>
      </w:r>
      <w:r w:rsidRPr="006E6596">
        <w:rPr>
          <w:i/>
          <w:lang w:val="bg-BG"/>
        </w:rPr>
        <w:t>(Споразумение за създаване на унифицирана система за патентно съдопроизводство)</w:t>
      </w:r>
      <w:r w:rsidRPr="006E6596">
        <w:rPr>
          <w:lang w:val="bg-BG"/>
        </w:rPr>
        <w:t xml:space="preserve"> от 8 март 2011 г., EU:C:2011:123, т. 68; Становище 2/13 </w:t>
      </w:r>
      <w:r w:rsidRPr="006E6596">
        <w:rPr>
          <w:i/>
          <w:lang w:val="bg-BG"/>
        </w:rPr>
        <w:t>(Присъединяване на Съюза към ЕКЧП )</w:t>
      </w:r>
      <w:r w:rsidRPr="006E6596">
        <w:rPr>
          <w:lang w:val="bg-BG"/>
        </w:rPr>
        <w:t xml:space="preserve"> от 18 декември 2014 г., EU:C:2014:2454, т. 175; решение от 27 февруари 2018 г., </w:t>
      </w:r>
      <w:r w:rsidRPr="006E6596">
        <w:rPr>
          <w:i/>
          <w:lang w:val="bg-BG"/>
        </w:rPr>
        <w:t>Associação Sindical dos Juízes Portugueses</w:t>
      </w:r>
      <w:r w:rsidRPr="006E6596">
        <w:rPr>
          <w:lang w:val="bg-BG"/>
        </w:rPr>
        <w:t xml:space="preserve">, C‑64/16, EU:C:2018:117, т. 33; и решение от 6 март 2018 г., </w:t>
      </w:r>
      <w:r w:rsidRPr="006E6596">
        <w:rPr>
          <w:i/>
          <w:lang w:val="bg-BG"/>
        </w:rPr>
        <w:t>Achmea</w:t>
      </w:r>
      <w:r w:rsidRPr="006E6596">
        <w:rPr>
          <w:lang w:val="bg-BG"/>
        </w:rPr>
        <w:t>, C-284/16, EU:C:2018:158, т. 36.</w:t>
      </w:r>
    </w:p>
  </w:footnote>
  <w:footnote w:id="21">
    <w:p w14:paraId="74C2C51F" w14:textId="3786C5B2" w:rsidR="00070FD2" w:rsidRPr="006E6596" w:rsidRDefault="00070FD2" w:rsidP="00070FD2">
      <w:pPr>
        <w:pStyle w:val="FootnoteText"/>
        <w:jc w:val="both"/>
        <w:rPr>
          <w:lang w:val="bg-BG"/>
        </w:rPr>
      </w:pPr>
      <w:r w:rsidRPr="006E6596">
        <w:rPr>
          <w:rStyle w:val="FootnoteReference"/>
          <w:lang w:val="bg-BG"/>
        </w:rPr>
        <w:footnoteRef/>
      </w:r>
      <w:r w:rsidRPr="006E6596">
        <w:rPr>
          <w:lang w:val="bg-BG"/>
        </w:rPr>
        <w:t xml:space="preserve"> Решение от 27 февруари 2018 г., </w:t>
      </w:r>
      <w:r w:rsidRPr="006E6596">
        <w:rPr>
          <w:i/>
          <w:lang w:val="bg-BG"/>
        </w:rPr>
        <w:t>Associação Sindical dos Juízes Portugueses</w:t>
      </w:r>
      <w:r w:rsidRPr="006E6596">
        <w:rPr>
          <w:lang w:val="bg-BG"/>
        </w:rPr>
        <w:t>, C‑64/16, EU:C:2018:117, т. 34.</w:t>
      </w:r>
    </w:p>
  </w:footnote>
  <w:footnote w:id="22">
    <w:p w14:paraId="443CFB33" w14:textId="49C86255" w:rsidR="0035208C" w:rsidRPr="006E6596" w:rsidRDefault="0035208C" w:rsidP="0035208C">
      <w:pPr>
        <w:pStyle w:val="FootnoteText"/>
        <w:jc w:val="both"/>
        <w:rPr>
          <w:lang w:val="bg-BG"/>
        </w:rPr>
      </w:pPr>
      <w:r w:rsidRPr="006E6596">
        <w:rPr>
          <w:rStyle w:val="FootnoteReference"/>
          <w:lang w:val="bg-BG"/>
        </w:rPr>
        <w:footnoteRef/>
      </w:r>
      <w:r w:rsidRPr="006E6596">
        <w:rPr>
          <w:lang w:val="bg-BG"/>
        </w:rPr>
        <w:t xml:space="preserve"> В годишните доклади за върховенството на закона се разглежда ситуацията в държавите членки в четири ключови области. В рамките на стълба на правосъдието ефективността и независимостта на съдебните системи се оценяват като основни елементи на правната защита и утвърждаването на върховенството на закона. Комисията оценява ситуацията с оглед на усещането за съдебна независимост, назначаването и освобождаването на съдии, автономията и независимостта на прокуратурата и дисциплинарните процедури за съдии и прокурори. Оценката на качеството и ефективността на правосъдието обхваща продължителността на производствата, ролята на адвокатите в съдебната система и инвестициите във физическата и техническата инфраструктура на съдебните органи. </w:t>
      </w:r>
      <w:r w:rsidR="006E6596">
        <w:rPr>
          <w:lang w:val="bg-BG"/>
        </w:rPr>
        <w:t>Тези основни елементи</w:t>
      </w:r>
      <w:r w:rsidRPr="006E6596">
        <w:rPr>
          <w:lang w:val="bg-BG"/>
        </w:rPr>
        <w:t xml:space="preserve"> за гарантирането на ефективна правна защита</w:t>
      </w:r>
      <w:r w:rsidR="006E6596">
        <w:rPr>
          <w:lang w:val="bg-BG"/>
        </w:rPr>
        <w:t xml:space="preserve"> бяха разгледани подробно в Доклада за върховенството на закона</w:t>
      </w:r>
      <w:r w:rsidRPr="006E6596">
        <w:rPr>
          <w:lang w:val="bg-BG"/>
        </w:rPr>
        <w:t>.</w:t>
      </w:r>
    </w:p>
  </w:footnote>
  <w:footnote w:id="23">
    <w:p w14:paraId="085AA315" w14:textId="5AABF42A" w:rsidR="00472AC4" w:rsidRPr="006E6596" w:rsidRDefault="00472AC4" w:rsidP="00283EC5">
      <w:pPr>
        <w:pStyle w:val="FootnoteText"/>
        <w:jc w:val="both"/>
        <w:rPr>
          <w:lang w:val="bg-BG"/>
        </w:rPr>
      </w:pPr>
      <w:r w:rsidRPr="006E6596">
        <w:rPr>
          <w:rStyle w:val="FootnoteReference"/>
          <w:lang w:val="bg-BG"/>
        </w:rPr>
        <w:footnoteRef/>
      </w:r>
      <w:r w:rsidRPr="006E6596">
        <w:rPr>
          <w:lang w:val="bg-BG"/>
        </w:rPr>
        <w:t xml:space="preserve"> Вж. ОИСР, Препоръка на Съвета относно достъпа до правосъдие и съдебните системи, ориентирани към хората (2023 г.) и </w:t>
      </w:r>
      <w:hyperlink r:id="rId11" w:history="1">
        <w:r w:rsidRPr="006E6596">
          <w:rPr>
            <w:rStyle w:val="Hyperlink"/>
            <w:lang w:val="bg-BG"/>
          </w:rPr>
          <w:t>Рамка и принципи на добра практика на ОИСР за правосъдие, ориентирано към хората</w:t>
        </w:r>
      </w:hyperlink>
      <w:r w:rsidRPr="006E6596">
        <w:rPr>
          <w:lang w:val="bg-BG"/>
        </w:rPr>
        <w:t xml:space="preserve"> (2021 г.). Принос на ОИСР, стр. 1—2. </w:t>
      </w:r>
    </w:p>
  </w:footnote>
  <w:footnote w:id="24">
    <w:p w14:paraId="2E7C2F16" w14:textId="3FEB655F" w:rsidR="00472AC4" w:rsidRPr="006E6596" w:rsidRDefault="00472AC4" w:rsidP="00472AC4">
      <w:pPr>
        <w:pStyle w:val="FootnoteText"/>
        <w:jc w:val="both"/>
        <w:rPr>
          <w:lang w:val="bg-BG"/>
        </w:rPr>
      </w:pPr>
      <w:r w:rsidRPr="006E6596">
        <w:rPr>
          <w:rStyle w:val="FootnoteReference"/>
          <w:lang w:val="bg-BG"/>
        </w:rPr>
        <w:footnoteRef/>
      </w:r>
      <w:r w:rsidRPr="006E6596">
        <w:rPr>
          <w:lang w:val="bg-BG"/>
        </w:rPr>
        <w:t xml:space="preserve"> Правото на достъп до правосъдие позволява на хората да се защитят при нарушаване на техните права и изисква от правителствата да зачитат и защитават правата на лицата, които са под тяхната юрисдикция. Това право включва няколко основни права, като правото на справедлив съдебен процес и правото на ефективна правна защита. Наръчник по европейско право в областта на достъпа до правосъдие, </w:t>
      </w:r>
      <w:hyperlink r:id="rId12" w:history="1">
        <w:r w:rsidRPr="006E6596">
          <w:rPr>
            <w:rStyle w:val="Hyperlink"/>
            <w:lang w:val="bg-BG"/>
          </w:rPr>
          <w:t>съвместно изготвен от FRA и Съвета на Европа</w:t>
        </w:r>
      </w:hyperlink>
      <w:r w:rsidRPr="006E6596">
        <w:rPr>
          <w:lang w:val="bg-BG"/>
        </w:rPr>
        <w:t xml:space="preserve"> (2016 г.), стр. 15—16. Становище на OHCHR, стр. 1.</w:t>
      </w:r>
    </w:p>
  </w:footnote>
  <w:footnote w:id="25">
    <w:p w14:paraId="442C5788" w14:textId="392E97F6" w:rsidR="002872CE" w:rsidRPr="006E6596" w:rsidRDefault="002872CE">
      <w:pPr>
        <w:pStyle w:val="FootnoteText"/>
        <w:rPr>
          <w:lang w:val="bg-BG"/>
        </w:rPr>
      </w:pPr>
      <w:r w:rsidRPr="006E6596">
        <w:rPr>
          <w:rStyle w:val="FootnoteReference"/>
          <w:lang w:val="bg-BG"/>
        </w:rPr>
        <w:footnoteRef/>
      </w:r>
      <w:r w:rsidRPr="006E6596">
        <w:rPr>
          <w:lang w:val="bg-BG"/>
        </w:rPr>
        <w:t xml:space="preserve"> Достъп до правосъдие |Поглед върху правителството 2021 г. | Интернет библиотека на ОИСР (oecd-ilibrary.org).</w:t>
      </w:r>
    </w:p>
  </w:footnote>
  <w:footnote w:id="26">
    <w:p w14:paraId="0C65104F" w14:textId="77777777" w:rsidR="00070FD2" w:rsidRPr="006E6596" w:rsidRDefault="00070FD2" w:rsidP="00070FD2">
      <w:pPr>
        <w:pStyle w:val="FootnoteText"/>
        <w:jc w:val="both"/>
        <w:rPr>
          <w:lang w:val="bg-BG"/>
        </w:rPr>
      </w:pPr>
      <w:r w:rsidRPr="006E6596">
        <w:rPr>
          <w:rStyle w:val="FootnoteReference"/>
          <w:lang w:val="bg-BG"/>
        </w:rPr>
        <w:footnoteRef/>
      </w:r>
      <w:r w:rsidRPr="006E6596">
        <w:rPr>
          <w:lang w:val="bg-BG"/>
        </w:rPr>
        <w:t xml:space="preserve"> </w:t>
      </w:r>
      <w:hyperlink r:id="rId13" w:history="1">
        <w:r w:rsidRPr="006E6596">
          <w:rPr>
            <w:rStyle w:val="Hyperlink"/>
            <w:lang w:val="bg-BG"/>
          </w:rPr>
          <w:t>Информационно табло на ЕС в областта на правосъдието</w:t>
        </w:r>
      </w:hyperlink>
      <w:r w:rsidRPr="006E6596">
        <w:rPr>
          <w:rStyle w:val="Hyperlink"/>
          <w:lang w:val="bg-BG"/>
        </w:rPr>
        <w:t>.</w:t>
      </w:r>
    </w:p>
  </w:footnote>
  <w:footnote w:id="27">
    <w:p w14:paraId="1C2F7168" w14:textId="6153BF86" w:rsidR="00070FD2" w:rsidRPr="006E6596" w:rsidRDefault="00070FD2" w:rsidP="00070FD2">
      <w:pPr>
        <w:pStyle w:val="FootnoteText"/>
        <w:jc w:val="both"/>
        <w:rPr>
          <w:lang w:val="bg-BG"/>
        </w:rPr>
      </w:pPr>
      <w:r w:rsidRPr="006E6596">
        <w:rPr>
          <w:rStyle w:val="FootnoteReference"/>
          <w:lang w:val="bg-BG"/>
        </w:rPr>
        <w:footnoteRef/>
      </w:r>
      <w:r w:rsidRPr="006E6596">
        <w:rPr>
          <w:lang w:val="bg-BG"/>
        </w:rPr>
        <w:t xml:space="preserve"> </w:t>
      </w:r>
      <w:hyperlink r:id="rId14" w:history="1">
        <w:r w:rsidRPr="006E6596">
          <w:rPr>
            <w:rStyle w:val="Hyperlink"/>
            <w:lang w:val="bg-BG"/>
          </w:rPr>
          <w:t>Стратегиите за Съюз на равенство</w:t>
        </w:r>
      </w:hyperlink>
      <w:r w:rsidRPr="006E6596">
        <w:rPr>
          <w:lang w:val="bg-BG"/>
        </w:rPr>
        <w:t xml:space="preserve">. </w:t>
      </w:r>
    </w:p>
  </w:footnote>
  <w:footnote w:id="28">
    <w:p w14:paraId="631E59ED" w14:textId="77777777" w:rsidR="00070FD2" w:rsidRPr="006E6596" w:rsidRDefault="00070FD2" w:rsidP="00070FD2">
      <w:pPr>
        <w:pStyle w:val="FootnoteText"/>
        <w:jc w:val="both"/>
        <w:rPr>
          <w:lang w:val="bg-BG"/>
        </w:rPr>
      </w:pPr>
      <w:r w:rsidRPr="006E6596">
        <w:rPr>
          <w:rStyle w:val="FootnoteReference"/>
          <w:lang w:val="bg-BG"/>
        </w:rPr>
        <w:footnoteRef/>
      </w:r>
      <w:r w:rsidRPr="006E6596">
        <w:rPr>
          <w:lang w:val="bg-BG"/>
        </w:rPr>
        <w:t xml:space="preserve"> COM (2020) 790.</w:t>
      </w:r>
    </w:p>
  </w:footnote>
  <w:footnote w:id="29">
    <w:p w14:paraId="52F15927" w14:textId="58CBE061" w:rsidR="007B2561" w:rsidRPr="006E6596" w:rsidRDefault="007B2561" w:rsidP="00633442">
      <w:pPr>
        <w:pStyle w:val="FootnoteText"/>
        <w:jc w:val="both"/>
        <w:rPr>
          <w:lang w:val="bg-BG"/>
        </w:rPr>
      </w:pPr>
      <w:r w:rsidRPr="006E6596">
        <w:rPr>
          <w:rStyle w:val="FootnoteReference"/>
          <w:lang w:val="bg-BG"/>
        </w:rPr>
        <w:footnoteRef/>
      </w:r>
      <w:r w:rsidRPr="006E6596">
        <w:rPr>
          <w:lang w:val="bg-BG"/>
        </w:rPr>
        <w:t xml:space="preserve"> </w:t>
      </w:r>
      <w:r w:rsidR="00587A19">
        <w:rPr>
          <w:lang w:val="bg-BG"/>
        </w:rPr>
        <w:t xml:space="preserve">Приносът на държавите членки може да бъде намерен в годишните доклади за прилагането на Хартата </w:t>
      </w:r>
      <w:r w:rsidR="00587A19" w:rsidRPr="00587A19">
        <w:rPr>
          <w:lang w:val="bg-BG"/>
        </w:rPr>
        <w:t>(europa.eu)</w:t>
      </w:r>
      <w:r w:rsidR="00587A19">
        <w:rPr>
          <w:lang w:val="bg-BG"/>
        </w:rPr>
        <w:t>.</w:t>
      </w:r>
    </w:p>
  </w:footnote>
  <w:footnote w:id="30">
    <w:p w14:paraId="5C966E57" w14:textId="145A69D2" w:rsidR="00110B4D" w:rsidRPr="006E6596" w:rsidDel="000F3634" w:rsidRDefault="00110B4D" w:rsidP="00CF4C18">
      <w:pPr>
        <w:pStyle w:val="FootnoteText"/>
        <w:jc w:val="both"/>
        <w:rPr>
          <w:lang w:val="bg-BG"/>
        </w:rPr>
      </w:pPr>
      <w:r w:rsidRPr="006E6596">
        <w:rPr>
          <w:rStyle w:val="FootnoteReference"/>
          <w:lang w:val="bg-BG"/>
        </w:rPr>
        <w:footnoteRef/>
      </w:r>
      <w:r w:rsidRPr="006E6596">
        <w:rPr>
          <w:lang w:val="bg-BG"/>
        </w:rPr>
        <w:t xml:space="preserve"> 23 от 27-те държави членки предоставиха отговори на целевата консултация.</w:t>
      </w:r>
    </w:p>
  </w:footnote>
  <w:footnote w:id="31">
    <w:p w14:paraId="06E360D3" w14:textId="7E5C03E0" w:rsidR="00133BE1" w:rsidRPr="006E6596" w:rsidRDefault="00133BE1">
      <w:pPr>
        <w:pStyle w:val="FootnoteText"/>
        <w:rPr>
          <w:lang w:val="bg-BG"/>
        </w:rPr>
      </w:pPr>
      <w:r w:rsidRPr="006E6596">
        <w:rPr>
          <w:rStyle w:val="FootnoteReference"/>
          <w:lang w:val="bg-BG"/>
        </w:rPr>
        <w:footnoteRef/>
      </w:r>
      <w:r w:rsidRPr="006E6596">
        <w:rPr>
          <w:lang w:val="bg-BG"/>
        </w:rPr>
        <w:t xml:space="preserve"> Съвет на Европа, Организация на обединените нации и Служба за икономическо сътрудничество и развитие. </w:t>
      </w:r>
    </w:p>
  </w:footnote>
  <w:footnote w:id="32">
    <w:p w14:paraId="7B490F43" w14:textId="6E8D129E" w:rsidR="00110B4D" w:rsidRPr="006E6596" w:rsidRDefault="00110B4D" w:rsidP="00B83CAB">
      <w:pPr>
        <w:pStyle w:val="FootnoteText"/>
        <w:jc w:val="both"/>
        <w:rPr>
          <w:lang w:val="bg-BG"/>
        </w:rPr>
      </w:pPr>
      <w:r w:rsidRPr="006E6596">
        <w:rPr>
          <w:rStyle w:val="FootnoteReference"/>
          <w:lang w:val="bg-BG"/>
        </w:rPr>
        <w:footnoteRef/>
      </w:r>
      <w:r w:rsidRPr="006E6596">
        <w:rPr>
          <w:lang w:val="bg-BG"/>
        </w:rPr>
        <w:t xml:space="preserve"> </w:t>
      </w:r>
      <w:hyperlink r:id="rId15" w:history="1">
        <w:r w:rsidRPr="006E6596">
          <w:rPr>
            <w:rStyle w:val="Hyperlink"/>
            <w:lang w:val="bg-BG"/>
          </w:rPr>
          <w:t>https://fra.europa.eu/bg/cooperation/civil-society</w:t>
        </w:r>
      </w:hyperlink>
      <w:r w:rsidRPr="006E6596">
        <w:rPr>
          <w:rStyle w:val="Hyperlink"/>
          <w:lang w:val="bg-BG"/>
        </w:rPr>
        <w:t xml:space="preserve"> (запазено място за онлайн резюме на FRA).</w:t>
      </w:r>
    </w:p>
  </w:footnote>
  <w:footnote w:id="33">
    <w:p w14:paraId="394CD2D6" w14:textId="1E2893B3" w:rsidR="00FB50DB" w:rsidRPr="006E6596" w:rsidRDefault="00FB50DB" w:rsidP="00B83CAB">
      <w:pPr>
        <w:pStyle w:val="FootnoteText"/>
        <w:jc w:val="both"/>
        <w:rPr>
          <w:lang w:val="bg-BG"/>
        </w:rPr>
      </w:pPr>
      <w:r w:rsidRPr="006E6596">
        <w:rPr>
          <w:rStyle w:val="FootnoteReference"/>
          <w:lang w:val="bg-BG"/>
        </w:rPr>
        <w:footnoteRef/>
      </w:r>
      <w:r w:rsidRPr="006E6596">
        <w:rPr>
          <w:lang w:val="bg-BG"/>
        </w:rPr>
        <w:t xml:space="preserve"> Онлайн консултацията беше насочена към неправителствени организации и институции на гражданското общество, които осъществяват дейност в областта на основните права чрез платформата за основните права (която достига до 743 получатели) в 27-те държави — членки на ЕС, и Албания, Северна Македония и Сърбия, както и други организации на гражданското общество и съдебни мрежи. При тази консултация са събрани общо 115 отговора предимно от организации на гражданското общество, осъществяващи дейност на местно, национално, европейско и международно равнище, заедно с НИПЧ, омбудсмани, правни асоциации, адвокатски кантори, изследователи и институции за съдебно обучение.</w:t>
      </w:r>
    </w:p>
  </w:footnote>
  <w:footnote w:id="34">
    <w:p w14:paraId="3C967FC7" w14:textId="21AC05D3" w:rsidR="00F33401" w:rsidRPr="006E6596" w:rsidRDefault="00F33401" w:rsidP="00633442">
      <w:pPr>
        <w:pStyle w:val="FootnoteText"/>
        <w:jc w:val="both"/>
        <w:rPr>
          <w:lang w:val="bg-BG"/>
        </w:rPr>
      </w:pPr>
      <w:r w:rsidRPr="006E6596">
        <w:rPr>
          <w:rStyle w:val="FootnoteReference"/>
          <w:lang w:val="bg-BG"/>
        </w:rPr>
        <w:footnoteRef/>
      </w:r>
      <w:r w:rsidRPr="006E6596">
        <w:rPr>
          <w:lang w:val="bg-BG"/>
        </w:rPr>
        <w:t xml:space="preserve"> Компетентността на ЕС се разшири в областта на свободата, сигурността и правосъдието (дял V от Договора за функционирането на Европейския съюз (ДФЕС).</w:t>
      </w:r>
    </w:p>
  </w:footnote>
  <w:footnote w:id="35">
    <w:p w14:paraId="106BB708" w14:textId="766F0FBE" w:rsidR="007F06C0" w:rsidRPr="006E6596" w:rsidRDefault="007F06C0" w:rsidP="00E425FB">
      <w:pPr>
        <w:pStyle w:val="FootnoteText"/>
        <w:jc w:val="both"/>
        <w:rPr>
          <w:lang w:val="bg-BG"/>
        </w:rPr>
      </w:pPr>
      <w:r w:rsidRPr="006E6596">
        <w:rPr>
          <w:rStyle w:val="FootnoteReference"/>
          <w:lang w:val="bg-BG"/>
        </w:rPr>
        <w:footnoteRef/>
      </w:r>
      <w:r w:rsidRPr="006E6596">
        <w:rPr>
          <w:lang w:val="bg-BG"/>
        </w:rPr>
        <w:t xml:space="preserve"> Стратегия за Хартата, стр. 4.</w:t>
      </w:r>
    </w:p>
  </w:footnote>
  <w:footnote w:id="36">
    <w:p w14:paraId="66567C46" w14:textId="4DC191DE" w:rsidR="00C42C66" w:rsidRPr="006E6596" w:rsidRDefault="00C42C66" w:rsidP="00C42C66">
      <w:pPr>
        <w:pStyle w:val="FootnoteText"/>
        <w:jc w:val="both"/>
        <w:rPr>
          <w:lang w:val="bg-BG"/>
        </w:rPr>
      </w:pPr>
      <w:r w:rsidRPr="006E6596">
        <w:rPr>
          <w:rStyle w:val="FootnoteReference"/>
          <w:lang w:val="bg-BG"/>
        </w:rPr>
        <w:footnoteRef/>
      </w:r>
      <w:r w:rsidRPr="006E6596">
        <w:rPr>
          <w:lang w:val="bg-BG"/>
        </w:rPr>
        <w:t xml:space="preserve"> Предложение за регламент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COM(2021) </w:t>
      </w:r>
      <w:r w:rsidR="00587A19">
        <w:rPr>
          <w:lang w:val="bg-BG"/>
        </w:rPr>
        <w:t xml:space="preserve">. </w:t>
      </w:r>
      <w:r w:rsidRPr="006E6596">
        <w:rPr>
          <w:lang w:val="bg-BG"/>
        </w:rPr>
        <w:t>По силата на регламента ще бъде създадена европейска точка за електронен достъп, която физическите и юридическите лица могат да използват за комуникация със съдилища и други съдебни органи по определени граждански и търговски дела. Също така и предложение за изменение на Директива (ЕС) 2003/8/ЕО на Съвета, на рамкови решения 2002/465/ПВР, 2002/584/ПВР, 2003/577/ПВР, 2005/214/ПВР, 2006/783/ПВР, 2008/909/ПВР, 2008/947/ПВР, 2009/829/ПВР и 2009/948/ПВР на Съвета и на Директива 2014/41/ЕС по отношение на цифровизацията на съдебното сътрудничество, COM(2021)760.</w:t>
      </w:r>
    </w:p>
  </w:footnote>
  <w:footnote w:id="37">
    <w:p w14:paraId="5F577118" w14:textId="7D7C545E" w:rsidR="00C42C66" w:rsidRPr="006E6596" w:rsidRDefault="00C42C66" w:rsidP="00C42C66">
      <w:pPr>
        <w:pStyle w:val="FootnoteText"/>
        <w:jc w:val="both"/>
        <w:rPr>
          <w:lang w:val="bg-BG"/>
        </w:rPr>
      </w:pPr>
      <w:r w:rsidRPr="006E6596">
        <w:rPr>
          <w:rStyle w:val="FootnoteReference"/>
          <w:lang w:val="bg-BG"/>
        </w:rPr>
        <w:footnoteRef/>
      </w:r>
      <w:r w:rsidRPr="006E6596">
        <w:rPr>
          <w:lang w:val="bg-BG"/>
        </w:rPr>
        <w:t xml:space="preserve"> Цифровизацията на правосъдието в ЕС Инструментариум от възможности, COM(2020) 710; Стратегия за Хартата, стр. 13.</w:t>
      </w:r>
    </w:p>
  </w:footnote>
  <w:footnote w:id="38">
    <w:p w14:paraId="2A5D2B92" w14:textId="0CCACAF5" w:rsidR="001E5566" w:rsidRPr="006E6596" w:rsidRDefault="001E5566" w:rsidP="004C19D6">
      <w:pPr>
        <w:pStyle w:val="FootnoteText"/>
        <w:jc w:val="both"/>
        <w:rPr>
          <w:lang w:val="bg-BG"/>
        </w:rPr>
      </w:pPr>
      <w:r w:rsidRPr="006E6596">
        <w:rPr>
          <w:rStyle w:val="FootnoteReference"/>
          <w:lang w:val="bg-BG"/>
        </w:rPr>
        <w:footnoteRef/>
      </w:r>
      <w:r w:rsidRPr="006E6596">
        <w:rPr>
          <w:lang w:val="bg-BG"/>
        </w:rPr>
        <w:t xml:space="preserve"> Съобщение на Комисията относно цифровизацията на правосъдието, стр. 2—3, 5, за необходимостта да се вземат предвид нуждите на лицата в напреднала възраст, малолетните или непълнолетните лица и лицата в неравностойно положение и да се осигури достъпността на цифровите технологии за лицата с увреждания. </w:t>
      </w:r>
    </w:p>
  </w:footnote>
  <w:footnote w:id="39">
    <w:p w14:paraId="138FFB71" w14:textId="77777777" w:rsidR="007B534A" w:rsidRPr="006E6596" w:rsidRDefault="007B534A" w:rsidP="004C19D6">
      <w:pPr>
        <w:pStyle w:val="FootnoteText"/>
        <w:jc w:val="both"/>
        <w:rPr>
          <w:lang w:val="bg-BG"/>
        </w:rPr>
      </w:pPr>
      <w:r w:rsidRPr="006E6596">
        <w:rPr>
          <w:rStyle w:val="FootnoteReference"/>
          <w:lang w:val="bg-BG"/>
        </w:rPr>
        <w:footnoteRef/>
      </w:r>
      <w:r w:rsidRPr="006E6596">
        <w:rPr>
          <w:lang w:val="bg-BG"/>
        </w:rPr>
        <w:t xml:space="preserve"> Използването на термина „раса“ в Договора за функционирането на ЕС и в Директива 2000/43/ЕО на Съвета не означава приемането от страна на Европейския съюз на теориите, които се опитват да определят съществуването на отделни човешки раси.</w:t>
      </w:r>
      <w:r w:rsidRPr="006E6596">
        <w:rPr>
          <w:rFonts w:ascii="Arial" w:hAnsi="Arial"/>
          <w:lang w:val="bg-BG"/>
        </w:rPr>
        <w:t xml:space="preserve"> </w:t>
      </w:r>
    </w:p>
  </w:footnote>
  <w:footnote w:id="40">
    <w:p w14:paraId="15ADCAB6" w14:textId="59025B91" w:rsidR="007B534A" w:rsidRPr="006E6596" w:rsidRDefault="007B534A" w:rsidP="004C19D6">
      <w:pPr>
        <w:pStyle w:val="FootnoteText"/>
        <w:jc w:val="both"/>
        <w:rPr>
          <w:lang w:val="bg-BG"/>
        </w:rPr>
      </w:pPr>
      <w:r w:rsidRPr="006E6596">
        <w:rPr>
          <w:rStyle w:val="FootnoteReference"/>
          <w:lang w:val="bg-BG"/>
        </w:rPr>
        <w:footnoteRef/>
      </w:r>
      <w:r w:rsidRPr="006E6596">
        <w:rPr>
          <w:lang w:val="bg-BG"/>
        </w:rPr>
        <w:t xml:space="preserve"> Съобщение на Комисията относно цифровизацията на правосъдието, стр. 10—11. Също така доклад на FRA от 2020 г., Правилно прогнозиране и подготовка за бъдещето — изкуственият интелект и основните права; относно достъпа до правосъдие в съответствие с член 47 от Хартата като проблем в контекста на изкуствения интелект; FRA (2022 г.), Предубеждения в алгоритмите — Изкуствен интелект и дискриминация.</w:t>
      </w:r>
    </w:p>
  </w:footnote>
  <w:footnote w:id="41">
    <w:p w14:paraId="2C4763CA" w14:textId="4011CDC7" w:rsidR="006B29DB" w:rsidRPr="006E6596" w:rsidRDefault="006B29DB" w:rsidP="006B29DB">
      <w:pPr>
        <w:pStyle w:val="FootnoteText"/>
        <w:jc w:val="both"/>
        <w:rPr>
          <w:lang w:val="bg-BG"/>
        </w:rPr>
      </w:pPr>
      <w:r w:rsidRPr="006E6596">
        <w:rPr>
          <w:rStyle w:val="FootnoteReference"/>
          <w:lang w:val="bg-BG"/>
        </w:rPr>
        <w:footnoteRef/>
      </w:r>
      <w:r w:rsidRPr="006E6596">
        <w:rPr>
          <w:lang w:val="bg-BG"/>
        </w:rPr>
        <w:t xml:space="preserve"> Тези права се основават на стандартите, изложени в Хартата, Европейската конвенция за правата на човека (ЕКПЧ) и относимата съдебна практика.</w:t>
      </w:r>
    </w:p>
  </w:footnote>
  <w:footnote w:id="42">
    <w:p w14:paraId="7F89F9D8" w14:textId="76AB3A5D" w:rsidR="00BD43C9" w:rsidRPr="006E6596" w:rsidRDefault="00BD43C9" w:rsidP="00BD43C9">
      <w:pPr>
        <w:pStyle w:val="FootnoteText"/>
        <w:jc w:val="both"/>
        <w:rPr>
          <w:lang w:val="bg-BG"/>
        </w:rPr>
      </w:pPr>
      <w:r w:rsidRPr="006E6596">
        <w:rPr>
          <w:rStyle w:val="FootnoteReference"/>
          <w:lang w:val="bg-BG"/>
        </w:rPr>
        <w:footnoteRef/>
      </w:r>
      <w:r w:rsidRPr="006E6596">
        <w:rPr>
          <w:lang w:val="bg-BG"/>
        </w:rPr>
        <w:t xml:space="preserve"> Директива 2010/64/EС, OВ L 280, 26.10.2010 г.; Директива 2012/13/EС, OВ L 142, 1.6.2012 г. Директива 2013/48/ЕС, ОВ L 294, 6.11.2013 г., стр. 1—12; Директива (ЕС) 2016/343, ОВ L 65, 11.3.2016 г.; Директива (ЕС) 2016/1919 от 26 октомври 2016 г., ОВ L 297, 4.11.2016 г., Директива (ЕС) 2016/800, ОВ L 132, 21.5.2016 г., стр. 1—20 („</w:t>
      </w:r>
      <w:r w:rsidRPr="006E6596">
        <w:rPr>
          <w:b/>
          <w:lang w:val="bg-BG"/>
        </w:rPr>
        <w:t>наказателно процесуални директиви</w:t>
      </w:r>
      <w:r w:rsidRPr="006E6596">
        <w:rPr>
          <w:lang w:val="bg-BG"/>
        </w:rPr>
        <w:t>“).</w:t>
      </w:r>
    </w:p>
  </w:footnote>
  <w:footnote w:id="43">
    <w:p w14:paraId="6B42CD60" w14:textId="4C00A363" w:rsidR="00BD43C9" w:rsidRPr="006E6596" w:rsidRDefault="00BD43C9" w:rsidP="004C4328">
      <w:pPr>
        <w:pStyle w:val="FootnoteText"/>
        <w:jc w:val="both"/>
        <w:rPr>
          <w:lang w:val="bg-BG"/>
        </w:rPr>
      </w:pPr>
      <w:r w:rsidRPr="006E6596">
        <w:rPr>
          <w:rStyle w:val="FootnoteReference"/>
          <w:lang w:val="bg-BG"/>
        </w:rPr>
        <w:footnoteRef/>
      </w:r>
      <w:r w:rsidRPr="006E6596">
        <w:rPr>
          <w:lang w:val="bg-BG"/>
        </w:rPr>
        <w:t xml:space="preserve"> Директива 2016/343/ЕС.</w:t>
      </w:r>
    </w:p>
  </w:footnote>
  <w:footnote w:id="44">
    <w:p w14:paraId="7CCDCA17" w14:textId="54201632" w:rsidR="00BD43C9" w:rsidRPr="006E6596" w:rsidRDefault="00BD43C9" w:rsidP="004C4328">
      <w:pPr>
        <w:pStyle w:val="FootnoteText"/>
        <w:jc w:val="both"/>
        <w:rPr>
          <w:lang w:val="bg-BG"/>
        </w:rPr>
      </w:pPr>
      <w:r w:rsidRPr="006E6596">
        <w:rPr>
          <w:rStyle w:val="FootnoteReference"/>
          <w:lang w:val="bg-BG"/>
        </w:rPr>
        <w:footnoteRef/>
      </w:r>
      <w:r w:rsidRPr="006E6596">
        <w:rPr>
          <w:lang w:val="bg-BG"/>
        </w:rPr>
        <w:t xml:space="preserve"> Директива 2012/13/ЕС. </w:t>
      </w:r>
    </w:p>
  </w:footnote>
  <w:footnote w:id="45">
    <w:p w14:paraId="2DD29FB2" w14:textId="2A6FD7B3" w:rsidR="003759B6" w:rsidRPr="006E6596" w:rsidRDefault="003759B6" w:rsidP="004C4328">
      <w:pPr>
        <w:pStyle w:val="FootnoteText"/>
        <w:jc w:val="both"/>
        <w:rPr>
          <w:lang w:val="bg-BG"/>
        </w:rPr>
      </w:pPr>
      <w:r w:rsidRPr="006E6596">
        <w:rPr>
          <w:rStyle w:val="FootnoteReference"/>
          <w:lang w:val="bg-BG"/>
        </w:rPr>
        <w:footnoteRef/>
      </w:r>
      <w:r w:rsidRPr="006E6596">
        <w:rPr>
          <w:lang w:val="bg-BG"/>
        </w:rPr>
        <w:t xml:space="preserve"> Директива 2013/48/ЕО и Директива (ЕС) 2016/1919.</w:t>
      </w:r>
    </w:p>
  </w:footnote>
  <w:footnote w:id="46">
    <w:p w14:paraId="3DB5A118" w14:textId="77777777" w:rsidR="003B7926" w:rsidRPr="006E6596" w:rsidRDefault="003B7926" w:rsidP="004C4328">
      <w:pPr>
        <w:pStyle w:val="FootnoteText"/>
        <w:jc w:val="both"/>
        <w:rPr>
          <w:lang w:val="bg-BG"/>
        </w:rPr>
      </w:pPr>
      <w:r w:rsidRPr="006E6596">
        <w:rPr>
          <w:rStyle w:val="FootnoteReference"/>
          <w:lang w:val="bg-BG"/>
        </w:rPr>
        <w:footnoteRef/>
      </w:r>
      <w:r w:rsidRPr="006E6596">
        <w:rPr>
          <w:lang w:val="bg-BG"/>
        </w:rPr>
        <w:t xml:space="preserve"> ОВ С 378, 24.12.2013 г., стр. 8.</w:t>
      </w:r>
    </w:p>
  </w:footnote>
  <w:footnote w:id="47">
    <w:p w14:paraId="7BF1EC1C" w14:textId="77777777" w:rsidR="003B7926" w:rsidRPr="006E6596" w:rsidRDefault="003B7926" w:rsidP="004C4328">
      <w:pPr>
        <w:pStyle w:val="FootnoteText"/>
        <w:jc w:val="both"/>
        <w:rPr>
          <w:lang w:val="bg-BG"/>
        </w:rPr>
      </w:pPr>
      <w:r w:rsidRPr="006E6596">
        <w:rPr>
          <w:rStyle w:val="FootnoteReference"/>
          <w:lang w:val="bg-BG"/>
        </w:rPr>
        <w:footnoteRef/>
      </w:r>
      <w:r w:rsidRPr="006E6596">
        <w:rPr>
          <w:lang w:val="bg-BG"/>
        </w:rPr>
        <w:t xml:space="preserve"> ОВ С 378, 24.12.2013 г., стр. 11.</w:t>
      </w:r>
    </w:p>
  </w:footnote>
  <w:footnote w:id="48">
    <w:p w14:paraId="0AFBD893" w14:textId="77777777" w:rsidR="003B7926" w:rsidRPr="006E6596" w:rsidRDefault="003B7926" w:rsidP="004C4328">
      <w:pPr>
        <w:pStyle w:val="FootnoteText"/>
        <w:jc w:val="both"/>
        <w:rPr>
          <w:lang w:val="bg-BG"/>
        </w:rPr>
      </w:pPr>
      <w:r w:rsidRPr="006E6596">
        <w:rPr>
          <w:rStyle w:val="FootnoteReference"/>
          <w:lang w:val="bg-BG"/>
        </w:rPr>
        <w:footnoteRef/>
      </w:r>
      <w:r w:rsidRPr="006E6596">
        <w:rPr>
          <w:lang w:val="bg-BG"/>
        </w:rPr>
        <w:t xml:space="preserve"> ОВ L 86 , 24.3.2023 г., стр. 44—57.</w:t>
      </w:r>
    </w:p>
  </w:footnote>
  <w:footnote w:id="49">
    <w:p w14:paraId="1481F0ED" w14:textId="77777777" w:rsidR="002831A2" w:rsidRPr="006E6596" w:rsidRDefault="002831A2" w:rsidP="00531682">
      <w:pPr>
        <w:pStyle w:val="FootnoteText"/>
        <w:jc w:val="both"/>
        <w:rPr>
          <w:lang w:val="bg-BG"/>
        </w:rPr>
      </w:pPr>
      <w:r w:rsidRPr="006E6596">
        <w:rPr>
          <w:rStyle w:val="FootnoteReference"/>
          <w:lang w:val="bg-BG"/>
        </w:rPr>
        <w:footnoteRef/>
      </w:r>
      <w:r w:rsidRPr="006E6596">
        <w:rPr>
          <w:lang w:val="bg-BG"/>
        </w:rPr>
        <w:t xml:space="preserve"> Директива (ЕС) 2016/343.</w:t>
      </w:r>
    </w:p>
  </w:footnote>
  <w:footnote w:id="50">
    <w:p w14:paraId="084E42FD" w14:textId="26143B8D" w:rsidR="001F4204" w:rsidRPr="006E6596" w:rsidRDefault="001F4204" w:rsidP="00531682">
      <w:pPr>
        <w:pStyle w:val="FootnoteText"/>
        <w:jc w:val="both"/>
        <w:rPr>
          <w:lang w:val="bg-BG"/>
        </w:rPr>
      </w:pPr>
      <w:r w:rsidRPr="006E6596">
        <w:rPr>
          <w:rStyle w:val="FootnoteReference"/>
          <w:lang w:val="bg-BG"/>
        </w:rPr>
        <w:footnoteRef/>
      </w:r>
      <w:r w:rsidRPr="006E6596">
        <w:rPr>
          <w:lang w:val="bg-BG"/>
        </w:rPr>
        <w:t xml:space="preserve"> Установени са предизвикателства при прилагането на презумпцията за невиновност в наказателното производство в </w:t>
      </w:r>
      <w:r w:rsidRPr="006E6596">
        <w:rPr>
          <w:b/>
          <w:lang w:val="bg-BG"/>
        </w:rPr>
        <w:t>Австрия</w:t>
      </w:r>
      <w:r w:rsidRPr="006E6596">
        <w:rPr>
          <w:lang w:val="bg-BG"/>
        </w:rPr>
        <w:t xml:space="preserve">, </w:t>
      </w:r>
      <w:r w:rsidRPr="006E6596">
        <w:rPr>
          <w:b/>
          <w:lang w:val="bg-BG"/>
        </w:rPr>
        <w:t>Белгия</w:t>
      </w:r>
      <w:r w:rsidRPr="006E6596">
        <w:rPr>
          <w:lang w:val="bg-BG"/>
        </w:rPr>
        <w:t xml:space="preserve">, </w:t>
      </w:r>
      <w:r w:rsidRPr="006E6596">
        <w:rPr>
          <w:b/>
          <w:lang w:val="bg-BG"/>
        </w:rPr>
        <w:t>България</w:t>
      </w:r>
      <w:r w:rsidRPr="006E6596">
        <w:rPr>
          <w:lang w:val="bg-BG"/>
        </w:rPr>
        <w:t xml:space="preserve">, </w:t>
      </w:r>
      <w:r w:rsidRPr="006E6596">
        <w:rPr>
          <w:b/>
          <w:lang w:val="bg-BG"/>
        </w:rPr>
        <w:t>Кипър</w:t>
      </w:r>
      <w:r w:rsidRPr="006E6596">
        <w:rPr>
          <w:lang w:val="bg-BG"/>
        </w:rPr>
        <w:t xml:space="preserve">, </w:t>
      </w:r>
      <w:r w:rsidRPr="006E6596">
        <w:rPr>
          <w:b/>
          <w:lang w:val="bg-BG"/>
        </w:rPr>
        <w:t>Германия</w:t>
      </w:r>
      <w:r w:rsidRPr="006E6596">
        <w:rPr>
          <w:lang w:val="bg-BG"/>
        </w:rPr>
        <w:t xml:space="preserve">, </w:t>
      </w:r>
      <w:r w:rsidRPr="006E6596">
        <w:rPr>
          <w:b/>
          <w:lang w:val="bg-BG"/>
        </w:rPr>
        <w:t>Италия</w:t>
      </w:r>
      <w:r w:rsidRPr="006E6596">
        <w:rPr>
          <w:lang w:val="bg-BG"/>
        </w:rPr>
        <w:t xml:space="preserve">, </w:t>
      </w:r>
      <w:r w:rsidRPr="006E6596">
        <w:rPr>
          <w:b/>
          <w:lang w:val="bg-BG"/>
        </w:rPr>
        <w:t>Литва</w:t>
      </w:r>
      <w:r w:rsidRPr="006E6596">
        <w:rPr>
          <w:lang w:val="bg-BG"/>
        </w:rPr>
        <w:t xml:space="preserve">, </w:t>
      </w:r>
      <w:r w:rsidRPr="006E6596">
        <w:rPr>
          <w:b/>
          <w:lang w:val="bg-BG"/>
        </w:rPr>
        <w:t>Полша</w:t>
      </w:r>
      <w:r w:rsidRPr="006E6596">
        <w:rPr>
          <w:lang w:val="bg-BG"/>
        </w:rPr>
        <w:t xml:space="preserve"> и </w:t>
      </w:r>
      <w:r w:rsidRPr="006E6596">
        <w:rPr>
          <w:b/>
          <w:lang w:val="bg-BG"/>
        </w:rPr>
        <w:t>Португалия</w:t>
      </w:r>
      <w:r w:rsidRPr="006E6596">
        <w:rPr>
          <w:lang w:val="bg-BG"/>
        </w:rPr>
        <w:t xml:space="preserve"> във връзка с ефективността на средствата за защита, ако обвиняемите лица са публично посочени като виновни. Предизвикателствата са свързани и с потенциално предубеденото поведение на властите спрямо определени обвиняеми лица, както и прекомерното им представяне в медиите. FRA (2021 г.), </w:t>
      </w:r>
      <w:hyperlink r:id="rId16" w:anchor="publication-tab-0" w:history="1">
        <w:r w:rsidRPr="006E6596">
          <w:rPr>
            <w:rStyle w:val="Hyperlink"/>
            <w:lang w:val="bg-BG"/>
          </w:rPr>
          <w:t>Презумпция за невиновност и свързани права — Професионални перспективи</w:t>
        </w:r>
      </w:hyperlink>
      <w:r w:rsidRPr="006E6596">
        <w:rPr>
          <w:lang w:val="bg-BG"/>
        </w:rPr>
        <w:t>, стр. 51—52, 92.</w:t>
      </w:r>
    </w:p>
  </w:footnote>
  <w:footnote w:id="51">
    <w:p w14:paraId="455C412A" w14:textId="16BCF68A" w:rsidR="00BD43C9" w:rsidRPr="006E6596" w:rsidRDefault="00BD43C9" w:rsidP="00531682">
      <w:pPr>
        <w:pStyle w:val="FootnoteText"/>
        <w:jc w:val="both"/>
        <w:rPr>
          <w:lang w:val="bg-BG"/>
        </w:rPr>
      </w:pPr>
      <w:r w:rsidRPr="006E6596">
        <w:rPr>
          <w:rStyle w:val="FootnoteReference"/>
          <w:lang w:val="bg-BG"/>
        </w:rPr>
        <w:footnoteRef/>
      </w:r>
      <w:r w:rsidRPr="006E6596">
        <w:rPr>
          <w:lang w:val="bg-BG"/>
        </w:rPr>
        <w:t xml:space="preserve"> Директива (ЕС) 2016/1919, ОВ L 297, 4.11.2016 г. Препоръка на Комисията относно правото на правна помощ за заподозрените или обвиняемите лица в наказателното производство, ОВ C 378, 24.12.2013 г., стр. 11. В допълнение, Директива 2003/8/ЕО. Директива 2013/48/ЕО и Директива (ЕС) 2016/1919.</w:t>
      </w:r>
    </w:p>
  </w:footnote>
  <w:footnote w:id="52">
    <w:p w14:paraId="4F766988" w14:textId="7399E2F8" w:rsidR="00822A7F" w:rsidRPr="006E6596" w:rsidRDefault="00822A7F" w:rsidP="00531682">
      <w:pPr>
        <w:pStyle w:val="FootnoteText"/>
        <w:jc w:val="both"/>
        <w:rPr>
          <w:lang w:val="bg-BG"/>
        </w:rPr>
      </w:pPr>
      <w:r w:rsidRPr="006E6596">
        <w:rPr>
          <w:rStyle w:val="FootnoteReference"/>
          <w:lang w:val="bg-BG"/>
        </w:rPr>
        <w:footnoteRef/>
      </w:r>
      <w:r w:rsidRPr="006E6596">
        <w:rPr>
          <w:lang w:val="bg-BG"/>
        </w:rPr>
        <w:t xml:space="preserve"> Директива (ЕС) 2016/800 се прилага по отношение на лица на възраст под 18 години и предвижда разширяване на заложените в нея гаранции след навършване на 18 години, когато са изпълнени условията, посочени в член 2, параграф 3. </w:t>
      </w:r>
    </w:p>
  </w:footnote>
  <w:footnote w:id="53">
    <w:p w14:paraId="7A7C5932" w14:textId="77777777" w:rsidR="000B08DE" w:rsidRPr="006E6596" w:rsidRDefault="000B08DE" w:rsidP="00531682">
      <w:pPr>
        <w:pStyle w:val="FootnoteText"/>
        <w:jc w:val="both"/>
        <w:rPr>
          <w:lang w:val="bg-BG"/>
        </w:rPr>
      </w:pPr>
      <w:r w:rsidRPr="006E6596">
        <w:rPr>
          <w:rStyle w:val="FootnoteReference"/>
          <w:lang w:val="bg-BG"/>
        </w:rPr>
        <w:footnoteRef/>
      </w:r>
      <w:r w:rsidRPr="006E6596">
        <w:rPr>
          <w:lang w:val="bg-BG"/>
        </w:rPr>
        <w:t xml:space="preserve"> Директива (ЕС) 2016/800.</w:t>
      </w:r>
    </w:p>
  </w:footnote>
  <w:footnote w:id="54">
    <w:p w14:paraId="67C86C90" w14:textId="77777777" w:rsidR="00955D02" w:rsidRPr="006E6596" w:rsidRDefault="00955D02" w:rsidP="00C743EF">
      <w:pPr>
        <w:pStyle w:val="FootnoteText"/>
        <w:jc w:val="both"/>
        <w:rPr>
          <w:lang w:val="bg-BG"/>
        </w:rPr>
      </w:pPr>
      <w:r w:rsidRPr="006E6596">
        <w:rPr>
          <w:rStyle w:val="FootnoteReference"/>
          <w:lang w:val="bg-BG"/>
        </w:rPr>
        <w:footnoteRef/>
      </w:r>
      <w:r w:rsidRPr="006E6596">
        <w:rPr>
          <w:lang w:val="bg-BG"/>
        </w:rPr>
        <w:t xml:space="preserve"> Или при определени обстоятелства от друг подходящ възрастен, посочен от детето и приет като такъв от компетентните органи.</w:t>
      </w:r>
    </w:p>
  </w:footnote>
  <w:footnote w:id="55">
    <w:p w14:paraId="577C3B70" w14:textId="49D2B165" w:rsidR="00BD43C9" w:rsidRPr="006E6596" w:rsidRDefault="00BD43C9" w:rsidP="00531682">
      <w:pPr>
        <w:pStyle w:val="FootnoteText"/>
        <w:jc w:val="both"/>
        <w:rPr>
          <w:lang w:val="bg-BG"/>
        </w:rPr>
      </w:pPr>
      <w:r w:rsidRPr="006E6596">
        <w:rPr>
          <w:rStyle w:val="FootnoteReference"/>
          <w:lang w:val="bg-BG"/>
        </w:rPr>
        <w:footnoteRef/>
      </w:r>
      <w:r w:rsidRPr="006E6596">
        <w:rPr>
          <w:lang w:val="bg-BG"/>
        </w:rPr>
        <w:t xml:space="preserve"> Производството по първо преюдициално запитване (C-603/22) относно обхвата на приложение на директивата (за това кой трябва да бъде считан за дете за целите на директивата) е висящо пред Съда на ЕС. </w:t>
      </w:r>
    </w:p>
  </w:footnote>
  <w:footnote w:id="56">
    <w:p w14:paraId="397FFAA3" w14:textId="7F8F0DCD" w:rsidR="00CA2891" w:rsidRPr="006E6596" w:rsidRDefault="00CA2891" w:rsidP="00531682">
      <w:pPr>
        <w:pStyle w:val="FootnoteText"/>
        <w:jc w:val="both"/>
        <w:rPr>
          <w:lang w:val="bg-BG"/>
        </w:rPr>
      </w:pPr>
      <w:r w:rsidRPr="006E6596">
        <w:rPr>
          <w:rStyle w:val="FootnoteReference"/>
          <w:lang w:val="bg-BG"/>
        </w:rPr>
        <w:footnoteRef/>
      </w:r>
      <w:r w:rsidRPr="006E6596">
        <w:rPr>
          <w:lang w:val="bg-BG"/>
        </w:rPr>
        <w:t xml:space="preserve"> Продължава оценяването на резултатите от оценката за съответствие, включително по отношение на наличието на ефективни средства за защита при нарушаване на процесуалните права на децата. Последният доклад за изпълнение ще бъде публикуван през 2024 г. </w:t>
      </w:r>
    </w:p>
  </w:footnote>
  <w:footnote w:id="57">
    <w:p w14:paraId="4C83AFB8" w14:textId="294C1F29" w:rsidR="003F52F1" w:rsidRPr="006E6596" w:rsidRDefault="003F52F1" w:rsidP="003F52F1">
      <w:pPr>
        <w:pStyle w:val="FootnoteText"/>
        <w:jc w:val="both"/>
        <w:rPr>
          <w:lang w:val="bg-BG"/>
        </w:rPr>
      </w:pPr>
      <w:r w:rsidRPr="006E6596">
        <w:rPr>
          <w:rStyle w:val="FootnoteReference"/>
          <w:lang w:val="bg-BG"/>
        </w:rPr>
        <w:footnoteRef/>
      </w:r>
      <w:r w:rsidRPr="006E6596">
        <w:rPr>
          <w:lang w:val="bg-BG"/>
        </w:rPr>
        <w:t xml:space="preserve"> Рамково решение 2002/584/ПВР на Съвета от 13 юни 2002 г. относно европейската заповед за арест и процедурите за предаване между държавите членки (ОВ L 190 18.7.2002 г., стр. 1). Процесуалните директиви се прилагат по отношение на лица, издирвани с ЕЗА; </w:t>
      </w:r>
      <w:hyperlink r:id="rId17" w:history="1">
        <w:r w:rsidRPr="006E6596">
          <w:rPr>
            <w:rStyle w:val="Hyperlink"/>
            <w:lang w:val="bg-BG"/>
          </w:rPr>
          <w:t>https://commission.europa.eu/law/cross-border-cases/judicial-cooperation/types-judicial-cooperation/european-arrest-warrant_bg</w:t>
        </w:r>
      </w:hyperlink>
      <w:r w:rsidRPr="006E6596">
        <w:rPr>
          <w:lang w:val="bg-BG"/>
        </w:rPr>
        <w:t>.</w:t>
      </w:r>
    </w:p>
  </w:footnote>
  <w:footnote w:id="58">
    <w:p w14:paraId="72F90EE4" w14:textId="7E62D4E7" w:rsidR="003F52F1" w:rsidRPr="006E6596" w:rsidRDefault="003F52F1" w:rsidP="003F52F1">
      <w:pPr>
        <w:pStyle w:val="FootnoteText"/>
        <w:jc w:val="both"/>
        <w:rPr>
          <w:lang w:val="bg-BG"/>
        </w:rPr>
      </w:pPr>
      <w:r w:rsidRPr="006E6596">
        <w:rPr>
          <w:rStyle w:val="FootnoteReference"/>
          <w:lang w:val="bg-BG"/>
        </w:rPr>
        <w:footnoteRef/>
      </w:r>
      <w:r w:rsidRPr="006E6596">
        <w:rPr>
          <w:lang w:val="bg-BG"/>
        </w:rPr>
        <w:t xml:space="preserve"> Държавите членки също така са длъжни да предоставят правни средства за защита срещу признаването и изпълнението на заповеди за обезпечаване или конфискация в трансгранични дела. Вж. Регламент (ЕС) 2018/1805, OВ L 303, 28.11.2018 г., стр. 1—38. </w:t>
      </w:r>
    </w:p>
  </w:footnote>
  <w:footnote w:id="59">
    <w:p w14:paraId="34EA42C5" w14:textId="77777777" w:rsidR="00E53E95" w:rsidRPr="006E6596" w:rsidRDefault="00E53E95" w:rsidP="00E53E95">
      <w:pPr>
        <w:pStyle w:val="FootnoteText"/>
        <w:jc w:val="both"/>
        <w:rPr>
          <w:lang w:val="bg-BG"/>
        </w:rPr>
      </w:pPr>
      <w:r w:rsidRPr="006E6596">
        <w:rPr>
          <w:rStyle w:val="FootnoteReference"/>
          <w:lang w:val="bg-BG"/>
        </w:rPr>
        <w:footnoteRef/>
      </w:r>
      <w:r w:rsidRPr="006E6596">
        <w:rPr>
          <w:lang w:val="bg-BG"/>
        </w:rPr>
        <w:t xml:space="preserve"> Предложение за Регламент относно трансфера на наказателни производства, COM/2023/185.</w:t>
      </w:r>
    </w:p>
  </w:footnote>
  <w:footnote w:id="60">
    <w:p w14:paraId="35A14456" w14:textId="1988ED8E" w:rsidR="00750F1D" w:rsidRPr="00750F1D" w:rsidRDefault="00750F1D">
      <w:pPr>
        <w:pStyle w:val="FootnoteText"/>
        <w:rPr>
          <w:lang w:val="bg-BG"/>
        </w:rPr>
      </w:pPr>
      <w:r>
        <w:rPr>
          <w:rStyle w:val="FootnoteReference"/>
        </w:rPr>
        <w:footnoteRef/>
      </w:r>
      <w:r w:rsidRPr="00750F1D">
        <w:rPr>
          <w:lang w:val="bg-BG"/>
        </w:rPr>
        <w:t xml:space="preserve"> </w:t>
      </w:r>
      <w:r>
        <w:rPr>
          <w:lang w:val="bg-BG"/>
        </w:rPr>
        <w:t xml:space="preserve">Регламент (ЕС) 2023/1543, ОВ </w:t>
      </w:r>
      <w:r>
        <w:rPr>
          <w:lang w:val="en-US"/>
        </w:rPr>
        <w:t>L</w:t>
      </w:r>
      <w:r w:rsidRPr="00587A19">
        <w:rPr>
          <w:lang w:val="bg-BG"/>
        </w:rPr>
        <w:t xml:space="preserve"> </w:t>
      </w:r>
      <w:r>
        <w:rPr>
          <w:lang w:val="bg-BG"/>
        </w:rPr>
        <w:t>191, 28.7.2023 г., стр. 118—180.</w:t>
      </w:r>
    </w:p>
  </w:footnote>
  <w:footnote w:id="61">
    <w:p w14:paraId="25D2EADF" w14:textId="55C9840C" w:rsidR="00D466D7" w:rsidRPr="006E6596" w:rsidRDefault="00D466D7" w:rsidP="00D466D7">
      <w:pPr>
        <w:pStyle w:val="FootnoteText"/>
        <w:jc w:val="both"/>
        <w:rPr>
          <w:lang w:val="bg-BG"/>
        </w:rPr>
      </w:pPr>
      <w:r w:rsidRPr="006E6596">
        <w:rPr>
          <w:rStyle w:val="FootnoteReference"/>
          <w:lang w:val="bg-BG"/>
        </w:rPr>
        <w:footnoteRef/>
      </w:r>
      <w:r w:rsidRPr="006E6596">
        <w:rPr>
          <w:lang w:val="bg-BG"/>
        </w:rPr>
        <w:t xml:space="preserve"> Директива 2012/29/ЕС, ОВ L 315, 14.11.2012 г., стр. 57 </w:t>
      </w:r>
    </w:p>
  </w:footnote>
  <w:footnote w:id="62">
    <w:p w14:paraId="02C02D4D" w14:textId="7EC4658F" w:rsidR="00445D35" w:rsidRPr="006E6596" w:rsidRDefault="00455D35" w:rsidP="00C743EF">
      <w:pPr>
        <w:pStyle w:val="FootnoteText"/>
        <w:jc w:val="both"/>
        <w:rPr>
          <w:lang w:val="bg-BG"/>
        </w:rPr>
      </w:pPr>
      <w:r w:rsidRPr="006E6596">
        <w:rPr>
          <w:rStyle w:val="FootnoteReference"/>
          <w:lang w:val="bg-BG"/>
        </w:rPr>
        <w:footnoteRef/>
      </w:r>
      <w:r w:rsidRPr="006E6596">
        <w:rPr>
          <w:lang w:val="bg-BG"/>
        </w:rPr>
        <w:t xml:space="preserve"> През 2022 г. Комисията прие </w:t>
      </w:r>
      <w:hyperlink r:id="rId18" w:history="1">
        <w:r w:rsidRPr="006E6596">
          <w:rPr>
            <w:rStyle w:val="Hyperlink"/>
            <w:lang w:val="bg-BG"/>
          </w:rPr>
          <w:t>своята оценка на Директивата относно правата на жертвите</w:t>
        </w:r>
      </w:hyperlink>
      <w:r w:rsidRPr="006E6596">
        <w:rPr>
          <w:lang w:val="bg-BG"/>
        </w:rPr>
        <w:t xml:space="preserve">. Тя показва, че през последните десет години прилагането на директивата е допринесло за подобряване на живота на жертвите. Съществуват обаче ситуации, при които не всички жертви могат да реализират напълно правата си поради липса на прецизна формулировка на някои от правата в директивата. Констатирани са недостатъци по отношение на петте основни права. Освен това в някои държави членки е установен недостатъчен напредък при предоставянето на услуги за подкрепа, подаване на сигнали за престъпления и осигуряването на гаранции, че всички жертви могат да се възползват от мерки за защита и разполагат с ефективни правни средства за защита, за да оспорят мерките за защита от вторична и повторна виктимизация. FRA (2023 г.), </w:t>
      </w:r>
      <w:hyperlink r:id="rId19" w:history="1">
        <w:r w:rsidRPr="006E6596">
          <w:rPr>
            <w:rStyle w:val="Hyperlink"/>
            <w:lang w:val="bg-BG"/>
          </w:rPr>
          <w:t>Укрепване на правата на жертвите:</w:t>
        </w:r>
      </w:hyperlink>
      <w:hyperlink r:id="rId20" w:history="1">
        <w:r w:rsidRPr="006E6596">
          <w:rPr>
            <w:rStyle w:val="Hyperlink"/>
            <w:lang w:val="bg-BG"/>
          </w:rPr>
          <w:t xml:space="preserve"> услуги за подкрепа, подаване на сигнали и защита</w:t>
        </w:r>
      </w:hyperlink>
      <w:r w:rsidRPr="006E6596">
        <w:rPr>
          <w:lang w:val="bg-BG"/>
        </w:rPr>
        <w:t>.</w:t>
      </w:r>
    </w:p>
  </w:footnote>
  <w:footnote w:id="63">
    <w:p w14:paraId="27892429" w14:textId="4A79B849" w:rsidR="00D466D7" w:rsidRPr="006E6596" w:rsidRDefault="00D466D7" w:rsidP="00D466D7">
      <w:pPr>
        <w:pStyle w:val="FootnoteText"/>
        <w:jc w:val="both"/>
        <w:rPr>
          <w:lang w:val="bg-BG"/>
        </w:rPr>
      </w:pPr>
      <w:r w:rsidRPr="006E6596">
        <w:rPr>
          <w:rStyle w:val="FootnoteReference"/>
          <w:lang w:val="bg-BG"/>
        </w:rPr>
        <w:footnoteRef/>
      </w:r>
      <w:r w:rsidRPr="006E6596">
        <w:rPr>
          <w:lang w:val="bg-BG"/>
        </w:rPr>
        <w:t xml:space="preserve"> Предложение за директива за изменение на Директива 2012/29/EС, и за замяна на Рамково решение 2001/220/ПВР на Съвета, COM (2023) 424. Преразглеждането е продължение на стратегията на ЕС за правата на жертвите (2020—2025 г.), COM/2020/258, като Комисията отбеляза необходимостта от предоставянето на допълнителни права на жертвите на престъпления, така че те да могат да подават сигнали за престъпления, да участват в наказателното производство, да претендират за обезщетение и да се възстановяват от последствията.</w:t>
      </w:r>
    </w:p>
  </w:footnote>
  <w:footnote w:id="64">
    <w:p w14:paraId="71057CF7" w14:textId="17B485A6" w:rsidR="005358EE" w:rsidRPr="006E6596" w:rsidRDefault="005358EE">
      <w:pPr>
        <w:pStyle w:val="FootnoteText"/>
        <w:rPr>
          <w:lang w:val="bg-BG"/>
        </w:rPr>
      </w:pPr>
      <w:r w:rsidRPr="006E6596">
        <w:rPr>
          <w:rStyle w:val="FootnoteReference"/>
          <w:lang w:val="bg-BG"/>
        </w:rPr>
        <w:footnoteRef/>
      </w:r>
      <w:r w:rsidRPr="006E6596">
        <w:rPr>
          <w:lang w:val="bg-BG"/>
        </w:rPr>
        <w:t xml:space="preserve"> Вж. например Директива 2011/99/EС, ОВ L 338, 21.12.2011 г., стр. 2. Регламент (ЕС) 606/2013, OВ L 181, 29.6.2013 г., стр. 4. Директива 2004/80/ЕО на Съвета, OВ L 261, 6.8.2004 г., стр. 15.</w:t>
      </w:r>
    </w:p>
  </w:footnote>
  <w:footnote w:id="65">
    <w:p w14:paraId="5E4358D4" w14:textId="0378011B" w:rsidR="00D466D7" w:rsidRPr="006E6596" w:rsidRDefault="00D466D7" w:rsidP="00D466D7">
      <w:pPr>
        <w:pStyle w:val="FootnoteText"/>
        <w:jc w:val="both"/>
        <w:rPr>
          <w:lang w:val="bg-BG"/>
        </w:rPr>
      </w:pPr>
      <w:r w:rsidRPr="006E6596">
        <w:rPr>
          <w:rStyle w:val="FootnoteReference"/>
          <w:lang w:val="bg-BG"/>
        </w:rPr>
        <w:footnoteRef/>
      </w:r>
      <w:r w:rsidRPr="006E6596">
        <w:rPr>
          <w:lang w:val="bg-BG"/>
        </w:rPr>
        <w:t xml:space="preserve"> Директива 2011/36/ЕС, ОВ L 101, 15.4.2011 г., стр. 1—11.</w:t>
      </w:r>
    </w:p>
  </w:footnote>
  <w:footnote w:id="66">
    <w:p w14:paraId="7E86A305" w14:textId="77777777" w:rsidR="00D466D7" w:rsidRPr="006E6596" w:rsidRDefault="00D466D7" w:rsidP="00D466D7">
      <w:pPr>
        <w:pStyle w:val="FootnoteText"/>
        <w:jc w:val="both"/>
        <w:rPr>
          <w:lang w:val="bg-BG"/>
        </w:rPr>
      </w:pPr>
      <w:r w:rsidRPr="006E6596">
        <w:rPr>
          <w:rStyle w:val="FootnoteReference"/>
          <w:lang w:val="bg-BG"/>
        </w:rPr>
        <w:footnoteRef/>
      </w:r>
      <w:r w:rsidRPr="006E6596">
        <w:rPr>
          <w:lang w:val="bg-BG"/>
        </w:rPr>
        <w:t xml:space="preserve"> </w:t>
      </w:r>
      <w:hyperlink r:id="rId21" w:history="1">
        <w:r w:rsidRPr="006E6596">
          <w:rPr>
            <w:rStyle w:val="Hyperlink"/>
            <w:lang w:val="bg-BG"/>
          </w:rPr>
          <w:t>https://home-affairs.ec.europa.eu/news/eu-proposes-new-rules-fight-trafficking-human-beings-2022-12-18_en</w:t>
        </w:r>
      </w:hyperlink>
      <w:r w:rsidRPr="006E6596">
        <w:rPr>
          <w:lang w:val="bg-BG"/>
        </w:rPr>
        <w:t xml:space="preserve">. </w:t>
      </w:r>
    </w:p>
  </w:footnote>
  <w:footnote w:id="67">
    <w:p w14:paraId="58496DA1" w14:textId="4D80E1DF" w:rsidR="00EA6844" w:rsidRPr="006E6596" w:rsidRDefault="00EA6844" w:rsidP="00EA6844">
      <w:pPr>
        <w:pStyle w:val="FootnoteText"/>
        <w:rPr>
          <w:lang w:val="bg-BG"/>
        </w:rPr>
      </w:pPr>
      <w:r w:rsidRPr="006E6596">
        <w:rPr>
          <w:rStyle w:val="FootnoteReference"/>
          <w:lang w:val="bg-BG"/>
        </w:rPr>
        <w:footnoteRef/>
      </w:r>
      <w:r w:rsidRPr="006E6596">
        <w:rPr>
          <w:lang w:val="bg-BG"/>
        </w:rPr>
        <w:t xml:space="preserve"> COM (2021) 171.</w:t>
      </w:r>
    </w:p>
  </w:footnote>
  <w:footnote w:id="68">
    <w:p w14:paraId="0E28FC31" w14:textId="000F3094" w:rsidR="00D466D7" w:rsidRPr="006E6596" w:rsidRDefault="00D466D7" w:rsidP="00D466D7">
      <w:pPr>
        <w:pStyle w:val="FootnoteText"/>
        <w:jc w:val="both"/>
        <w:rPr>
          <w:lang w:val="bg-BG"/>
        </w:rPr>
      </w:pPr>
      <w:r w:rsidRPr="006E6596">
        <w:rPr>
          <w:rStyle w:val="FootnoteReference"/>
          <w:lang w:val="bg-BG"/>
        </w:rPr>
        <w:footnoteRef/>
      </w:r>
      <w:r w:rsidRPr="006E6596">
        <w:rPr>
          <w:lang w:val="bg-BG"/>
        </w:rPr>
        <w:t xml:space="preserve"> Директива 2011/93/ЕС, ОВ L 335, 17.12.2011 г., стр. 1—14. Стратегия на ЕС за по-ефективна борба със сексуалното насилие над деца, COM/2020/607.</w:t>
      </w:r>
    </w:p>
  </w:footnote>
  <w:footnote w:id="69">
    <w:p w14:paraId="555FA390" w14:textId="2AFCD332" w:rsidR="00D466D7" w:rsidRPr="006E6596" w:rsidRDefault="00D466D7" w:rsidP="001F2779">
      <w:pPr>
        <w:pStyle w:val="FootnoteText"/>
        <w:rPr>
          <w:lang w:val="bg-BG"/>
        </w:rPr>
      </w:pPr>
      <w:r w:rsidRPr="006E6596">
        <w:rPr>
          <w:rStyle w:val="FootnoteReference"/>
          <w:lang w:val="bg-BG"/>
        </w:rPr>
        <w:footnoteRef/>
      </w:r>
      <w:r w:rsidRPr="006E6596">
        <w:rPr>
          <w:lang w:val="bg-BG"/>
        </w:rPr>
        <w:t xml:space="preserve"> Предложение за регламент за определяне на правила за предотвратяване и борба със сексуалното насилие над деца, COM/2022/209. </w:t>
      </w:r>
    </w:p>
  </w:footnote>
  <w:footnote w:id="70">
    <w:p w14:paraId="56A694B0" w14:textId="56D89FF9" w:rsidR="00D466D7" w:rsidRPr="006E6596" w:rsidRDefault="00D466D7" w:rsidP="00D466D7">
      <w:pPr>
        <w:spacing w:after="0"/>
        <w:jc w:val="both"/>
        <w:rPr>
          <w:rFonts w:ascii="Times New Roman" w:hAnsi="Times New Roman" w:cs="Times New Roman"/>
          <w:sz w:val="20"/>
          <w:lang w:val="bg-BG"/>
        </w:rPr>
      </w:pPr>
      <w:r w:rsidRPr="006E6596">
        <w:rPr>
          <w:rStyle w:val="FootnoteReference"/>
          <w:rFonts w:ascii="Times New Roman" w:hAnsi="Times New Roman" w:cs="Times New Roman"/>
          <w:sz w:val="20"/>
          <w:lang w:val="bg-BG"/>
        </w:rPr>
        <w:footnoteRef/>
      </w:r>
      <w:r w:rsidRPr="006E6596">
        <w:rPr>
          <w:rFonts w:ascii="Times New Roman" w:hAnsi="Times New Roman"/>
          <w:sz w:val="20"/>
          <w:lang w:val="bg-BG"/>
        </w:rPr>
        <w:t xml:space="preserve"> Предложение за Директива относно борбата с насилието над жени и домашното насилие, COM (2022)105.</w:t>
      </w:r>
    </w:p>
  </w:footnote>
  <w:footnote w:id="71">
    <w:p w14:paraId="2387B993" w14:textId="54E616FF" w:rsidR="007E228B" w:rsidRPr="006E6596" w:rsidRDefault="007E228B" w:rsidP="00614769">
      <w:pPr>
        <w:pStyle w:val="FootnoteText"/>
        <w:jc w:val="both"/>
        <w:rPr>
          <w:lang w:val="bg-BG"/>
        </w:rPr>
      </w:pPr>
      <w:r w:rsidRPr="006E6596">
        <w:rPr>
          <w:rStyle w:val="FootnoteReference"/>
          <w:lang w:val="bg-BG"/>
        </w:rPr>
        <w:footnoteRef/>
      </w:r>
      <w:r w:rsidRPr="006E6596">
        <w:rPr>
          <w:lang w:val="bg-BG"/>
        </w:rPr>
        <w:t xml:space="preserve"> Въпреки че повечето прояви на насилие над жени и домашно насилие са криминализирани на национално равнище, съществуват пропуски и различия в националното наказателно право и на равнището на ЕС, например по отношение на кибернасилието над жени и кибернасилието над интимен партньор, като например преследване, улеснено от ИКТ и разпространение на лични изображения без съгласието на заснетата личност. По отношение на сексуалното насилие, в 16 държави членки използването на сила или заплахи се изисква като основен елемент на изнасилването, вместо уредбата да се съсредоточава върху липсата на съгласие, което води до неравностойна защита за жертвите на сексуално насилие в целия ЕС. Съществуват пропуски и по отношение на други форми на насилие над жени и домашно насилие (напр. генитално осакатяване на жени, принудителен брак, принудителен аборт и принудителна стерилизация). За повече информация: Доклад за оценка на въздействието, придружаващ предложението за директива относно борбата с насилието над жени и домашното насилие, SWD(2022) 62 final. Предложението е насочено към осигуряване на ефективен достъп до правосъдие чрез сближаване на равнището на ЕС на наказателните определения и санкции, свързани с конкретни тежки форми на насилие над жени, както и към осигуряване на чувствителност към пола и зачитане на правата на децата жертви и свидетели. </w:t>
      </w:r>
    </w:p>
  </w:footnote>
  <w:footnote w:id="72">
    <w:p w14:paraId="19D86639" w14:textId="70E14BE0" w:rsidR="00635FAD" w:rsidRPr="006E6596" w:rsidRDefault="00635FAD" w:rsidP="00C743EF">
      <w:pPr>
        <w:pStyle w:val="FootnoteText"/>
        <w:jc w:val="both"/>
        <w:rPr>
          <w:lang w:val="bg-BG"/>
        </w:rPr>
      </w:pPr>
      <w:r w:rsidRPr="006E6596">
        <w:rPr>
          <w:rStyle w:val="FootnoteReference"/>
          <w:lang w:val="bg-BG"/>
        </w:rPr>
        <w:footnoteRef/>
      </w:r>
      <w:r w:rsidRPr="006E6596">
        <w:rPr>
          <w:lang w:val="bg-BG"/>
        </w:rPr>
        <w:t xml:space="preserve"> ЕС също така е страна по Конвенцията на Съвета на Европа за превенция и борба с насилието над жени и домашното насилие и следователно е обвързан от нейните всеобхватни стандарти за съдебно сътрудничество по наказателноправни въпроси, убежище и забрана за връщане, както и по отношение на публичната администрация на ЕС.</w:t>
      </w:r>
    </w:p>
  </w:footnote>
  <w:footnote w:id="73">
    <w:p w14:paraId="7A87256F" w14:textId="1A0D1A04" w:rsidR="004F1CE6" w:rsidRPr="006E6596" w:rsidRDefault="004F1CE6" w:rsidP="004F1CE6">
      <w:pPr>
        <w:spacing w:after="0"/>
        <w:jc w:val="both"/>
        <w:rPr>
          <w:rFonts w:ascii="Times New Roman" w:hAnsi="Times New Roman" w:cs="Times New Roman"/>
          <w:sz w:val="20"/>
          <w:lang w:val="bg-BG"/>
        </w:rPr>
      </w:pPr>
      <w:r w:rsidRPr="006E6596">
        <w:rPr>
          <w:rStyle w:val="FootnoteReference"/>
          <w:rFonts w:ascii="Times New Roman" w:hAnsi="Times New Roman" w:cs="Times New Roman"/>
          <w:sz w:val="20"/>
          <w:lang w:val="bg-BG"/>
        </w:rPr>
        <w:footnoteRef/>
      </w:r>
      <w:r w:rsidRPr="006E6596">
        <w:rPr>
          <w:rFonts w:ascii="Times New Roman" w:hAnsi="Times New Roman"/>
          <w:sz w:val="20"/>
          <w:lang w:val="bg-BG"/>
        </w:rPr>
        <w:t xml:space="preserve"> Директива (ЕС) 2019/1937, ОВ L 305, 26.11.2019 г., стр. 17.</w:t>
      </w:r>
    </w:p>
  </w:footnote>
  <w:footnote w:id="74">
    <w:p w14:paraId="3CA6592E" w14:textId="77777777" w:rsidR="00D466D7" w:rsidRPr="006E6596" w:rsidRDefault="00D466D7" w:rsidP="00D466D7">
      <w:pPr>
        <w:pStyle w:val="FootnoteText"/>
        <w:jc w:val="both"/>
        <w:rPr>
          <w:lang w:val="bg-BG"/>
        </w:rPr>
      </w:pPr>
      <w:r w:rsidRPr="006E6596">
        <w:rPr>
          <w:rStyle w:val="FootnoteReference"/>
          <w:lang w:val="bg-BG"/>
        </w:rPr>
        <w:footnoteRef/>
      </w:r>
      <w:r w:rsidRPr="006E6596">
        <w:rPr>
          <w:lang w:val="bg-BG"/>
        </w:rPr>
        <w:t xml:space="preserve"> Предложение за Директива относно защитата на лицата, ангажирани в участието на обществеността, от стратегически съдебни производства („стратегически съдебни производства, насочени срещу участието на обществеността“), COM/2022/177.</w:t>
      </w:r>
    </w:p>
  </w:footnote>
  <w:footnote w:id="75">
    <w:p w14:paraId="54B80264" w14:textId="6B9A57BB" w:rsidR="00D466D7" w:rsidRPr="006E6596" w:rsidRDefault="00D466D7" w:rsidP="00D466D7">
      <w:pPr>
        <w:pStyle w:val="FootnoteText"/>
        <w:jc w:val="both"/>
        <w:rPr>
          <w:lang w:val="bg-BG"/>
        </w:rPr>
      </w:pPr>
      <w:r w:rsidRPr="006E6596">
        <w:rPr>
          <w:rStyle w:val="FootnoteReference"/>
          <w:lang w:val="bg-BG"/>
        </w:rPr>
        <w:footnoteRef/>
      </w:r>
      <w:r w:rsidRPr="006E6596">
        <w:rPr>
          <w:lang w:val="bg-BG"/>
        </w:rPr>
        <w:t xml:space="preserve"> С допълнителната препоръка държавите членки се насърчават да осигурят необходимите гаранции за справяне със SLAPPs също и при национални дела и всички производства. Включването в обхвата на директивата срещу ССПНСУО на защитници на околната среда, които може да притежават ценна информация относно нарушения на законодателството в областта на околната среда, допринася за изпълнението на международните задължения на ЕС по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w:t>
      </w:r>
    </w:p>
  </w:footnote>
  <w:footnote w:id="76">
    <w:p w14:paraId="32409783" w14:textId="77777777" w:rsidR="00D466D7" w:rsidRPr="006E6596" w:rsidRDefault="00D466D7" w:rsidP="00633442">
      <w:pPr>
        <w:pStyle w:val="FootnoteText"/>
        <w:jc w:val="both"/>
        <w:rPr>
          <w:lang w:val="bg-BG"/>
        </w:rPr>
      </w:pPr>
      <w:r w:rsidRPr="006E6596">
        <w:rPr>
          <w:rStyle w:val="FootnoteReference"/>
          <w:lang w:val="bg-BG"/>
        </w:rPr>
        <w:footnoteRef/>
      </w:r>
      <w:r w:rsidRPr="006E6596">
        <w:rPr>
          <w:lang w:val="bg-BG"/>
        </w:rPr>
        <w:t xml:space="preserve"> Препоръка на Комисията от 16.9.2021 г. относно гарантирането на защитата, сигурността и овластяването на журналистите и другите медийни специалисти в Европейския съюз, C(2021) 6650.</w:t>
      </w:r>
    </w:p>
  </w:footnote>
  <w:footnote w:id="77">
    <w:p w14:paraId="1EA4903B" w14:textId="7980AA0D" w:rsidR="00DF429A" w:rsidRPr="006E6596" w:rsidRDefault="00DF429A" w:rsidP="00DF429A">
      <w:pPr>
        <w:pStyle w:val="FootnoteText"/>
        <w:jc w:val="both"/>
        <w:rPr>
          <w:lang w:val="bg-BG"/>
        </w:rPr>
      </w:pPr>
      <w:r w:rsidRPr="006E6596">
        <w:rPr>
          <w:rStyle w:val="FootnoteReference"/>
          <w:lang w:val="bg-BG"/>
        </w:rPr>
        <w:footnoteRef/>
      </w:r>
      <w:r w:rsidRPr="006E6596">
        <w:rPr>
          <w:lang w:val="bg-BG"/>
        </w:rPr>
        <w:t xml:space="preserve"> Предложение за Регламент относно компетентността, приложимото право, признаването и изпълнението на мерки и сътрудничеството по въпроси, свързани със защитата на пълнолетни лица, COM(2023) 280.</w:t>
      </w:r>
    </w:p>
  </w:footnote>
  <w:footnote w:id="78">
    <w:p w14:paraId="2A3DF429" w14:textId="77777777" w:rsidR="00DF429A" w:rsidRPr="006E6596" w:rsidRDefault="00DF429A" w:rsidP="00DF429A">
      <w:pPr>
        <w:pStyle w:val="FootnoteText"/>
        <w:jc w:val="both"/>
        <w:rPr>
          <w:lang w:val="bg-BG"/>
        </w:rPr>
      </w:pPr>
      <w:r w:rsidRPr="006E6596">
        <w:rPr>
          <w:rStyle w:val="FootnoteReference"/>
          <w:lang w:val="bg-BG"/>
        </w:rPr>
        <w:footnoteRef/>
      </w:r>
      <w:r w:rsidRPr="006E6596">
        <w:rPr>
          <w:lang w:val="bg-BG"/>
        </w:rPr>
        <w:t xml:space="preserve"> Предложение за регламент на Съвета относно компетентността, приложимото право, признаването на решения и приемането на автентични актове в областта на произхода и относно създаването на европейско удостоверение за произход, COM/2022/695.</w:t>
      </w:r>
    </w:p>
  </w:footnote>
  <w:footnote w:id="79">
    <w:p w14:paraId="16C3A563" w14:textId="409EEEDD" w:rsidR="00F16578" w:rsidRPr="006E6596" w:rsidRDefault="00F16578" w:rsidP="00586D72">
      <w:pPr>
        <w:pStyle w:val="title-bold"/>
        <w:shd w:val="clear" w:color="auto" w:fill="FFFFFF"/>
        <w:spacing w:before="0" w:beforeAutospacing="0" w:after="75" w:afterAutospacing="0"/>
        <w:jc w:val="both"/>
        <w:rPr>
          <w:color w:val="333333"/>
          <w:sz w:val="20"/>
          <w:lang w:val="bg-BG"/>
        </w:rPr>
      </w:pPr>
      <w:r w:rsidRPr="006E6596">
        <w:rPr>
          <w:rStyle w:val="FootnoteReference"/>
          <w:lang w:val="bg-BG"/>
        </w:rPr>
        <w:footnoteRef/>
      </w:r>
      <w:r w:rsidRPr="006E6596">
        <w:rPr>
          <w:lang w:val="bg-BG"/>
        </w:rPr>
        <w:t xml:space="preserve"> </w:t>
      </w:r>
      <w:r w:rsidRPr="006E6596">
        <w:rPr>
          <w:sz w:val="20"/>
          <w:lang w:val="bg-BG"/>
        </w:rPr>
        <w:t>Директива 79/7/ЕИО на Съвета;</w:t>
      </w:r>
      <w:r w:rsidRPr="006E6596">
        <w:rPr>
          <w:lang w:val="bg-BG"/>
        </w:rPr>
        <w:t xml:space="preserve"> </w:t>
      </w:r>
      <w:r w:rsidRPr="006E6596">
        <w:rPr>
          <w:sz w:val="20"/>
          <w:lang w:val="bg-BG"/>
        </w:rPr>
        <w:t xml:space="preserve">Директива 2000/43/ЕО на Съвета, OВ L 180, 19.07.2000 г., стр. 22; </w:t>
      </w:r>
      <w:r w:rsidRPr="006E6596">
        <w:rPr>
          <w:color w:val="333333"/>
          <w:sz w:val="20"/>
          <w:lang w:val="bg-BG"/>
        </w:rPr>
        <w:t xml:space="preserve">Директива 2000/78/ЕО на Съвета, OВ L 303, 2.12.2000 г., стр. 16—22; </w:t>
      </w:r>
      <w:r w:rsidRPr="006E6596">
        <w:rPr>
          <w:sz w:val="20"/>
          <w:lang w:val="bg-BG"/>
        </w:rPr>
        <w:t>Директива 2004/113/ЕО на Съвета, OВ L 373, 21.12.2004 г., стр. 37—43; Директива 2006/54/ЕО, ОВ L 204, 26.7.2006 г., стр. 23—36; Директива 2010/41/ЕС, ОВ L 180, 15.7.2010 г., стр. 1—6.</w:t>
      </w:r>
    </w:p>
  </w:footnote>
  <w:footnote w:id="80">
    <w:p w14:paraId="54954A20" w14:textId="17326016" w:rsidR="00DF429A" w:rsidRPr="006E6596" w:rsidRDefault="00DF429A" w:rsidP="00B43611">
      <w:pPr>
        <w:pStyle w:val="FootnoteText"/>
        <w:jc w:val="both"/>
        <w:rPr>
          <w:lang w:val="bg-BG"/>
        </w:rPr>
      </w:pPr>
      <w:r w:rsidRPr="006E6596">
        <w:rPr>
          <w:rStyle w:val="FootnoteReference"/>
          <w:lang w:val="bg-BG"/>
        </w:rPr>
        <w:footnoteRef/>
      </w:r>
      <w:r w:rsidRPr="006E6596">
        <w:rPr>
          <w:lang w:val="bg-BG"/>
        </w:rPr>
        <w:t xml:space="preserve"> Директива (ЕС) 2023/970, ОВ L 132, 17.5.2023 г., стр. 21—44. С оценката на разпоредбите на ЕС за равно заплащане, извършена през 2020 г., се установява, че правото на равно заплащане на жените и мъжете за равен труд или за труд с равна стойност не се прилага адекватно, нито се прилага на практика и че в много държави членки липсва прозрачност на заплащането, SWD(2020)50.</w:t>
      </w:r>
    </w:p>
  </w:footnote>
  <w:footnote w:id="81">
    <w:p w14:paraId="711D9DF6" w14:textId="10EF6A89" w:rsidR="00F16578" w:rsidRPr="006E6596" w:rsidRDefault="00F16578" w:rsidP="00B43611">
      <w:pPr>
        <w:pStyle w:val="FootnoteText"/>
        <w:ind w:left="284" w:hanging="284"/>
        <w:jc w:val="both"/>
        <w:rPr>
          <w:lang w:val="bg-BG"/>
        </w:rPr>
      </w:pPr>
      <w:r w:rsidRPr="006E6596">
        <w:rPr>
          <w:rStyle w:val="FootnoteReference"/>
          <w:lang w:val="bg-BG"/>
        </w:rPr>
        <w:footnoteRef/>
      </w:r>
      <w:r w:rsidR="00D02AC1">
        <w:rPr>
          <w:lang w:val="bg-BG"/>
        </w:rPr>
        <w:t xml:space="preserve"> </w:t>
      </w:r>
      <w:r w:rsidRPr="006E6596">
        <w:rPr>
          <w:lang w:val="bg-BG"/>
        </w:rPr>
        <w:t xml:space="preserve">Особено когато имат процесуална легитимация, което означава, че имат </w:t>
      </w:r>
      <w:hyperlink r:id="rId22" w:tooltip="right" w:history="1">
        <w:r w:rsidRPr="006E6596">
          <w:rPr>
            <w:lang w:val="bg-BG"/>
          </w:rPr>
          <w:t>правото</w:t>
        </w:r>
      </w:hyperlink>
      <w:r w:rsidRPr="006E6596">
        <w:rPr>
          <w:lang w:val="bg-BG"/>
        </w:rPr>
        <w:t xml:space="preserve"> или </w:t>
      </w:r>
      <w:hyperlink r:id="rId23" w:tooltip="ability" w:history="1">
        <w:r w:rsidRPr="006E6596">
          <w:rPr>
            <w:lang w:val="bg-BG"/>
          </w:rPr>
          <w:t>възможността</w:t>
        </w:r>
      </w:hyperlink>
      <w:r w:rsidRPr="006E6596">
        <w:rPr>
          <w:lang w:val="bg-BG"/>
        </w:rPr>
        <w:t xml:space="preserve"> </w:t>
      </w:r>
      <w:hyperlink r:id="rId24" w:tooltip="bring" w:history="1">
        <w:r w:rsidRPr="006E6596">
          <w:rPr>
            <w:lang w:val="bg-BG"/>
          </w:rPr>
          <w:t>за</w:t>
        </w:r>
      </w:hyperlink>
      <w:r w:rsidRPr="006E6596">
        <w:rPr>
          <w:lang w:val="bg-BG"/>
        </w:rPr>
        <w:t xml:space="preserve"> </w:t>
      </w:r>
      <w:hyperlink r:id="rId25" w:tooltip="legal" w:history="1">
        <w:r w:rsidRPr="006E6596">
          <w:rPr>
            <w:lang w:val="bg-BG"/>
          </w:rPr>
          <w:t>завеждане</w:t>
        </w:r>
      </w:hyperlink>
      <w:r w:rsidRPr="006E6596">
        <w:rPr>
          <w:lang w:val="bg-BG"/>
        </w:rPr>
        <w:t xml:space="preserve"> </w:t>
      </w:r>
      <w:hyperlink r:id="rId26" w:tooltip="action" w:history="1">
        <w:r w:rsidRPr="006E6596">
          <w:rPr>
            <w:lang w:val="bg-BG"/>
          </w:rPr>
          <w:t>на</w:t>
        </w:r>
      </w:hyperlink>
      <w:r w:rsidRPr="006E6596">
        <w:rPr>
          <w:lang w:val="bg-BG"/>
        </w:rPr>
        <w:t xml:space="preserve"> </w:t>
      </w:r>
      <w:hyperlink r:id="rId27" w:tooltip="court" w:history="1">
        <w:r w:rsidRPr="006E6596">
          <w:rPr>
            <w:lang w:val="bg-BG"/>
          </w:rPr>
          <w:t>съдебно</w:t>
        </w:r>
      </w:hyperlink>
      <w:r w:rsidRPr="006E6596">
        <w:rPr>
          <w:lang w:val="bg-BG"/>
        </w:rPr>
        <w:t xml:space="preserve"> </w:t>
      </w:r>
      <w:hyperlink r:id="rId28" w:tooltip="law" w:history="1">
        <w:r w:rsidRPr="006E6596">
          <w:rPr>
            <w:lang w:val="bg-BG"/>
          </w:rPr>
          <w:t>производство</w:t>
        </w:r>
      </w:hyperlink>
      <w:r w:rsidRPr="006E6596">
        <w:rPr>
          <w:lang w:val="bg-BG"/>
        </w:rPr>
        <w:t xml:space="preserve"> или </w:t>
      </w:r>
      <w:hyperlink r:id="rId29" w:tooltip="appear" w:history="1">
        <w:r w:rsidRPr="006E6596">
          <w:rPr>
            <w:lang w:val="bg-BG"/>
          </w:rPr>
          <w:t>участие</w:t>
        </w:r>
      </w:hyperlink>
      <w:r w:rsidRPr="006E6596">
        <w:rPr>
          <w:lang w:val="bg-BG"/>
        </w:rPr>
        <w:t xml:space="preserve"> в </w:t>
      </w:r>
      <w:hyperlink r:id="rId30" w:tooltip="court" w:history="1">
        <w:r w:rsidRPr="006E6596">
          <w:rPr>
            <w:lang w:val="bg-BG"/>
          </w:rPr>
          <w:t>процеса</w:t>
        </w:r>
      </w:hyperlink>
      <w:r w:rsidRPr="006E6596">
        <w:rPr>
          <w:lang w:val="bg-BG"/>
        </w:rPr>
        <w:t>.</w:t>
      </w:r>
    </w:p>
  </w:footnote>
  <w:footnote w:id="82">
    <w:p w14:paraId="1841C72E" w14:textId="77777777" w:rsidR="00F16578" w:rsidRPr="006E6596" w:rsidRDefault="00F16578" w:rsidP="00B43611">
      <w:pPr>
        <w:pStyle w:val="FootnoteText"/>
        <w:jc w:val="both"/>
        <w:rPr>
          <w:rStyle w:val="FootnoteReference"/>
          <w:vertAlign w:val="baseline"/>
          <w:lang w:val="bg-BG"/>
        </w:rPr>
      </w:pPr>
      <w:r w:rsidRPr="006E6596">
        <w:rPr>
          <w:rStyle w:val="FootnoteReference"/>
          <w:lang w:val="bg-BG"/>
        </w:rPr>
        <w:footnoteRef/>
      </w:r>
      <w:r w:rsidRPr="006E6596">
        <w:rPr>
          <w:rStyle w:val="FootnoteReference"/>
          <w:lang w:val="bg-BG"/>
        </w:rPr>
        <w:t xml:space="preserve"> </w:t>
      </w:r>
      <w:r w:rsidRPr="006E6596">
        <w:rPr>
          <w:rStyle w:val="FootnoteReference"/>
          <w:vertAlign w:val="baseline"/>
          <w:lang w:val="bg-BG"/>
        </w:rPr>
        <w:t>„Водене на стратегически съдебни спорове“ се отнася до използването на съдебни стратегии с цел социална, правна или политическа промяна и често се извършва от организации на гражданското общество и/или адвокати.</w:t>
      </w:r>
    </w:p>
  </w:footnote>
  <w:footnote w:id="83">
    <w:p w14:paraId="2E82EDFA" w14:textId="7D39E92A" w:rsidR="00F16578" w:rsidRPr="006E6596" w:rsidRDefault="00F16578" w:rsidP="00B43611">
      <w:pPr>
        <w:pStyle w:val="FootnoteText"/>
        <w:jc w:val="both"/>
        <w:rPr>
          <w:rStyle w:val="FootnoteReference"/>
          <w:vertAlign w:val="baseline"/>
          <w:lang w:val="bg-BG"/>
        </w:rPr>
      </w:pPr>
      <w:r w:rsidRPr="006E6596">
        <w:rPr>
          <w:rStyle w:val="FootnoteReference"/>
          <w:lang w:val="bg-BG"/>
        </w:rPr>
        <w:footnoteRef/>
      </w:r>
      <w:r w:rsidRPr="006E6596">
        <w:rPr>
          <w:rStyle w:val="FootnoteReference"/>
          <w:lang w:val="bg-BG"/>
        </w:rPr>
        <w:t xml:space="preserve"> </w:t>
      </w:r>
      <w:r w:rsidRPr="006E6596">
        <w:rPr>
          <w:rStyle w:val="FootnoteReference"/>
          <w:vertAlign w:val="baseline"/>
          <w:lang w:val="bg-BG"/>
        </w:rPr>
        <w:t>Препоръка 2013/396/ЕС на Комисията за общи принципи на механизмите за колективни искове за преустановяване на нарушения и колективни искове за обезщетение в държавите членки, свързани с нарушения на правата, предоставени съгласно правото на Европейския съюз (ОВ L 201, 26.7.2013 г., стр. 60).</w:t>
      </w:r>
    </w:p>
  </w:footnote>
  <w:footnote w:id="84">
    <w:p w14:paraId="74BEEDD0" w14:textId="0042E437" w:rsidR="00F16578" w:rsidRPr="006E6596" w:rsidRDefault="00F16578" w:rsidP="00B43611">
      <w:pPr>
        <w:pStyle w:val="FootnoteText"/>
        <w:jc w:val="both"/>
        <w:rPr>
          <w:rStyle w:val="FootnoteReference"/>
          <w:vertAlign w:val="baseline"/>
          <w:lang w:val="bg-BG"/>
        </w:rPr>
      </w:pPr>
      <w:r w:rsidRPr="006E6596">
        <w:rPr>
          <w:rStyle w:val="FootnoteReference"/>
          <w:lang w:val="bg-BG"/>
        </w:rPr>
        <w:footnoteRef/>
      </w:r>
      <w:r w:rsidRPr="006E6596">
        <w:rPr>
          <w:rStyle w:val="FootnoteReference"/>
          <w:lang w:val="bg-BG"/>
        </w:rPr>
        <w:t xml:space="preserve"> </w:t>
      </w:r>
      <w:r w:rsidRPr="006E6596">
        <w:rPr>
          <w:rStyle w:val="FootnoteReference"/>
          <w:vertAlign w:val="baseline"/>
          <w:lang w:val="bg-BG"/>
        </w:rPr>
        <w:t>Организациите, действащи в обществен интерес, могат да предявят искове в защита на обществения интерес (</w:t>
      </w:r>
      <w:r w:rsidRPr="006E6596">
        <w:rPr>
          <w:rStyle w:val="FootnoteReference"/>
          <w:i/>
          <w:vertAlign w:val="baseline"/>
          <w:lang w:val="bg-BG"/>
        </w:rPr>
        <w:t>actio popularis</w:t>
      </w:r>
      <w:r w:rsidRPr="006E6596">
        <w:rPr>
          <w:rStyle w:val="FootnoteReference"/>
          <w:vertAlign w:val="baseline"/>
          <w:lang w:val="bg-BG"/>
        </w:rPr>
        <w:t xml:space="preserve">) от свое име, без да има конкретна жертва, която да подкрепят или представляват. Решение от 10 юли 2008 г., C-54/07, </w:t>
      </w:r>
      <w:r w:rsidRPr="006E6596">
        <w:rPr>
          <w:rStyle w:val="FootnoteReference"/>
          <w:i/>
          <w:vertAlign w:val="baseline"/>
          <w:lang w:val="bg-BG"/>
        </w:rPr>
        <w:t>Feryn</w:t>
      </w:r>
      <w:r w:rsidRPr="006E6596">
        <w:rPr>
          <w:rStyle w:val="FootnoteReference"/>
          <w:vertAlign w:val="baseline"/>
          <w:lang w:val="bg-BG"/>
        </w:rPr>
        <w:t>, EU:C:2008:397</w:t>
      </w:r>
      <w:r w:rsidRPr="006E6596">
        <w:rPr>
          <w:lang w:val="bg-BG"/>
        </w:rPr>
        <w:t xml:space="preserve">, </w:t>
      </w:r>
      <w:r w:rsidRPr="006E6596">
        <w:rPr>
          <w:rStyle w:val="FootnoteReference"/>
          <w:vertAlign w:val="baseline"/>
          <w:lang w:val="bg-BG"/>
        </w:rPr>
        <w:t>т.</w:t>
      </w:r>
      <w:r w:rsidRPr="006E6596">
        <w:rPr>
          <w:lang w:val="bg-BG"/>
        </w:rPr>
        <w:t> </w:t>
      </w:r>
      <w:r w:rsidRPr="006E6596">
        <w:rPr>
          <w:rStyle w:val="FootnoteReference"/>
          <w:vertAlign w:val="baseline"/>
          <w:lang w:val="bg-BG"/>
        </w:rPr>
        <w:t>15</w:t>
      </w:r>
      <w:r w:rsidRPr="006E6596">
        <w:rPr>
          <w:lang w:val="bg-BG"/>
        </w:rPr>
        <w:t xml:space="preserve">. </w:t>
      </w:r>
    </w:p>
  </w:footnote>
  <w:footnote w:id="85">
    <w:p w14:paraId="38029DF8" w14:textId="748E7920" w:rsidR="00B43611" w:rsidRPr="006E6596" w:rsidRDefault="00B43611" w:rsidP="00C743EF">
      <w:pPr>
        <w:pStyle w:val="FootnoteText"/>
        <w:jc w:val="both"/>
        <w:rPr>
          <w:lang w:val="bg-BG"/>
        </w:rPr>
      </w:pPr>
      <w:bookmarkStart w:id="36" w:name="_Hlk150362339"/>
      <w:r w:rsidRPr="006E6596">
        <w:rPr>
          <w:rStyle w:val="FootnoteReference"/>
          <w:lang w:val="bg-BG"/>
        </w:rPr>
        <w:footnoteRef/>
      </w:r>
      <w:r w:rsidRPr="006E6596">
        <w:rPr>
          <w:lang w:val="bg-BG"/>
        </w:rPr>
        <w:t xml:space="preserve"> </w:t>
      </w:r>
      <w:hyperlink r:id="rId31" w:history="1">
        <w:r w:rsidRPr="006E6596">
          <w:rPr>
            <w:rStyle w:val="Hyperlink"/>
            <w:lang w:val="bg-BG"/>
          </w:rPr>
          <w:t xml:space="preserve">В доклада на Комисията относно прилагането на Директивата за расовото равенство и Директивата за равното третиране в областта на заетостта, COM (2021)139, </w:t>
        </w:r>
      </w:hyperlink>
      <w:r w:rsidRPr="006E6596">
        <w:rPr>
          <w:lang w:val="bg-BG"/>
        </w:rPr>
        <w:t>са констатирани трудности при прилагането на разпоредбата относно санкциите в случаи на дискриминация. Също така с „</w:t>
      </w:r>
      <w:hyperlink r:id="rId32" w:history="1">
        <w:r w:rsidRPr="006E6596">
          <w:rPr>
            <w:rStyle w:val="Hyperlink"/>
            <w:lang w:val="bg-BG"/>
          </w:rPr>
          <w:t>Проучването в подкрепа на подготовката на инициатива на ЕС за справяне с възможни пропуски в правната защита срещу дискриминация на основата на расов или етнически произход</w:t>
        </w:r>
      </w:hyperlink>
      <w:r w:rsidRPr="006E6596">
        <w:rPr>
          <w:lang w:val="bg-BG"/>
        </w:rPr>
        <w:t>“ са установени потенциални „пропуски“, свързани с прилагането на изискванията за санкции. Комисията ще започне проучване в подкрепа на държавите членки за осъществяване на по-задълбочен мониторинг на прилагането на ефективни, пропорционални и възпиращи санкции.</w:t>
      </w:r>
    </w:p>
    <w:bookmarkEnd w:id="36"/>
  </w:footnote>
  <w:footnote w:id="86">
    <w:p w14:paraId="53012861" w14:textId="77777777" w:rsidR="006D182F" w:rsidRPr="006E6596" w:rsidRDefault="006D182F" w:rsidP="006D182F">
      <w:pPr>
        <w:pStyle w:val="FootnoteText"/>
        <w:jc w:val="both"/>
        <w:rPr>
          <w:lang w:val="bg-BG"/>
        </w:rPr>
      </w:pPr>
      <w:r w:rsidRPr="006E6596">
        <w:rPr>
          <w:rStyle w:val="FootnoteReference"/>
          <w:lang w:val="bg-BG"/>
        </w:rPr>
        <w:footnoteRef/>
      </w:r>
      <w:r w:rsidRPr="006E6596">
        <w:rPr>
          <w:lang w:val="bg-BG"/>
        </w:rPr>
        <w:t xml:space="preserve"> </w:t>
      </w:r>
      <w:hyperlink r:id="rId33" w:history="1">
        <w:r w:rsidRPr="006E6596">
          <w:rPr>
            <w:rStyle w:val="Hyperlink"/>
            <w:lang w:val="bg-BG"/>
          </w:rPr>
          <w:t>COM/2022/688 final</w:t>
        </w:r>
      </w:hyperlink>
      <w:r w:rsidRPr="006E6596">
        <w:rPr>
          <w:lang w:val="bg-BG"/>
        </w:rPr>
        <w:t xml:space="preserve"> и </w:t>
      </w:r>
      <w:hyperlink r:id="rId34" w:history="1">
        <w:r w:rsidRPr="006E6596">
          <w:rPr>
            <w:rStyle w:val="Hyperlink"/>
            <w:lang w:val="bg-BG"/>
          </w:rPr>
          <w:t>COM/2022/689 final</w:t>
        </w:r>
      </w:hyperlink>
      <w:r w:rsidRPr="006E6596">
        <w:rPr>
          <w:rStyle w:val="Hyperlink"/>
          <w:lang w:val="bg-BG"/>
        </w:rPr>
        <w:t>.</w:t>
      </w:r>
    </w:p>
  </w:footnote>
  <w:footnote w:id="87">
    <w:p w14:paraId="6E76FA23" w14:textId="77777777" w:rsidR="006D182F" w:rsidRPr="006E6596" w:rsidRDefault="006D182F" w:rsidP="006D182F">
      <w:pPr>
        <w:pStyle w:val="FootnoteText"/>
        <w:jc w:val="both"/>
        <w:rPr>
          <w:lang w:val="bg-BG"/>
        </w:rPr>
      </w:pPr>
      <w:r w:rsidRPr="006E6596">
        <w:rPr>
          <w:rStyle w:val="FootnoteReference"/>
          <w:lang w:val="bg-BG"/>
        </w:rPr>
        <w:footnoteRef/>
      </w:r>
      <w:r w:rsidRPr="006E6596">
        <w:rPr>
          <w:lang w:val="bg-BG"/>
        </w:rPr>
        <w:t xml:space="preserve"> </w:t>
      </w:r>
      <w:hyperlink r:id="rId35" w:history="1">
        <w:r w:rsidRPr="006E6596">
          <w:rPr>
            <w:rStyle w:val="Hyperlink"/>
            <w:lang w:val="bg-BG"/>
          </w:rPr>
          <w:t>https://www.consilium.europa.eu/en/press/press-releases/2023/06/12/standards-for-equality-bodies-council-agrees-its-positions/</w:t>
        </w:r>
      </w:hyperlink>
      <w:r w:rsidRPr="006E6596">
        <w:rPr>
          <w:lang w:val="bg-BG"/>
        </w:rPr>
        <w:t xml:space="preserve">. </w:t>
      </w:r>
    </w:p>
  </w:footnote>
  <w:footnote w:id="88">
    <w:p w14:paraId="031F7973" w14:textId="18C9AA47" w:rsidR="00C224A4" w:rsidRPr="006E6596" w:rsidRDefault="00C224A4" w:rsidP="00C743EF">
      <w:pPr>
        <w:pStyle w:val="FootnoteText"/>
        <w:jc w:val="both"/>
        <w:rPr>
          <w:lang w:val="bg-BG"/>
        </w:rPr>
      </w:pPr>
      <w:r w:rsidRPr="006E6596">
        <w:rPr>
          <w:rStyle w:val="FootnoteReference"/>
          <w:lang w:val="bg-BG"/>
        </w:rPr>
        <w:footnoteRef/>
      </w:r>
      <w:r w:rsidRPr="006E6596">
        <w:rPr>
          <w:lang w:val="bg-BG"/>
        </w:rPr>
        <w:t xml:space="preserve"> Конвенция на ООН за правата на хората с увреждания, член 13. </w:t>
      </w:r>
    </w:p>
  </w:footnote>
  <w:footnote w:id="89">
    <w:p w14:paraId="3CCA94B4" w14:textId="1900B5FB" w:rsidR="00385FFD" w:rsidRPr="006E6596" w:rsidRDefault="00385FFD" w:rsidP="00385FFD">
      <w:pPr>
        <w:pStyle w:val="FootnoteText"/>
        <w:jc w:val="both"/>
        <w:rPr>
          <w:lang w:val="bg-BG"/>
        </w:rPr>
      </w:pPr>
      <w:r w:rsidRPr="006E6596">
        <w:rPr>
          <w:rStyle w:val="FootnoteReference"/>
          <w:lang w:val="bg-BG"/>
        </w:rPr>
        <w:footnoteRef/>
      </w:r>
      <w:r w:rsidRPr="006E6596">
        <w:rPr>
          <w:lang w:val="bg-BG"/>
        </w:rPr>
        <w:t xml:space="preserve"> Директива (ЕС) 2019/882, ОВ L 151, 7.6.2019 г., стр. 70—115, с която се определят изисквания за достъпност в целия ЕС за определени продукти и услуги. Тези изисквания са посочени в предложението за изменение на Директивата относно правата на жертвите, за да се гарантира, че електронните средства за комуникация, които се използват в съдебните производства, както и процедурите, услугите за подкрепа и мерките за защита са достъпни за хора с увреждания. Предложение за директива за изменение на Директива 2012/29/ЕС, член 26в.</w:t>
      </w:r>
    </w:p>
  </w:footnote>
  <w:footnote w:id="90">
    <w:p w14:paraId="75C6997B" w14:textId="4B52267D" w:rsidR="00181343" w:rsidRPr="006E6596" w:rsidRDefault="00181343" w:rsidP="00181343">
      <w:pPr>
        <w:pStyle w:val="doc-ti"/>
        <w:shd w:val="clear" w:color="auto" w:fill="FFFFFF"/>
        <w:spacing w:before="0" w:beforeAutospacing="0" w:after="0" w:afterAutospacing="0"/>
        <w:jc w:val="both"/>
        <w:rPr>
          <w:sz w:val="20"/>
          <w:lang w:val="bg-BG"/>
        </w:rPr>
      </w:pPr>
      <w:r w:rsidRPr="006E6596">
        <w:rPr>
          <w:rStyle w:val="FootnoteReference"/>
          <w:rFonts w:eastAsiaTheme="minorHAnsi"/>
          <w:sz w:val="20"/>
          <w:lang w:val="bg-BG"/>
        </w:rPr>
        <w:footnoteRef/>
      </w:r>
      <w:r w:rsidRPr="006E6596">
        <w:rPr>
          <w:sz w:val="20"/>
          <w:lang w:val="bg-BG"/>
        </w:rPr>
        <w:t xml:space="preserve"> Директива (ЕС) 2016/2102.</w:t>
      </w:r>
    </w:p>
  </w:footnote>
  <w:footnote w:id="91">
    <w:p w14:paraId="064E918C" w14:textId="77777777" w:rsidR="002F06FC" w:rsidRPr="006E6596" w:rsidRDefault="002F06FC" w:rsidP="002F06FC">
      <w:pPr>
        <w:pStyle w:val="FootnoteText"/>
        <w:rPr>
          <w:lang w:val="bg-BG"/>
        </w:rPr>
      </w:pPr>
      <w:r w:rsidRPr="006E6596">
        <w:rPr>
          <w:rStyle w:val="FootnoteReference"/>
          <w:lang w:val="bg-BG"/>
        </w:rPr>
        <w:footnoteRef/>
      </w:r>
      <w:r w:rsidRPr="006E6596">
        <w:rPr>
          <w:lang w:val="bg-BG"/>
        </w:rPr>
        <w:t xml:space="preserve"> Рамково решение 2008/913/ПВР на Съвета.</w:t>
      </w:r>
    </w:p>
  </w:footnote>
  <w:footnote w:id="92">
    <w:p w14:paraId="0F3249A8" w14:textId="77777777" w:rsidR="002F06FC" w:rsidRPr="006E6596" w:rsidRDefault="002F06FC" w:rsidP="002F06FC">
      <w:pPr>
        <w:pStyle w:val="FootnoteText"/>
        <w:jc w:val="both"/>
        <w:rPr>
          <w:lang w:val="bg-BG"/>
        </w:rPr>
      </w:pPr>
      <w:r w:rsidRPr="006E6596">
        <w:rPr>
          <w:rStyle w:val="FootnoteReference"/>
          <w:lang w:val="bg-BG"/>
        </w:rPr>
        <w:footnoteRef/>
      </w:r>
      <w:r w:rsidRPr="006E6596">
        <w:rPr>
          <w:lang w:val="bg-BG"/>
        </w:rPr>
        <w:t xml:space="preserve"> Комисията наблюдава транспонирането и прилагането на този инструмент от държавите членки. Освен това Комисията работи съвместно с националните правоприлагащи и съдебни органи за подобряване на капацитета им за разпознаване, разследване и наказателно преследване на престъпления от омраза или реч на омразата и предоставяне на подкрепа на жертвите. Групата на високо равнище на ЕС за борба с речта на омразата и престъпленията от омраза разработи съответните насоки и стандарти в сътрудничество с Агенцията на Европейския съюз за обучение в областта на правоприлагането (CEPOL), Бюрото на ОССЕ за демократични институции и права на човека (ODIHR), както и Агенцията на Европейския съюз за основните права (FRA).</w:t>
      </w:r>
    </w:p>
  </w:footnote>
  <w:footnote w:id="93">
    <w:p w14:paraId="17406270" w14:textId="77777777" w:rsidR="002F06FC" w:rsidRPr="006E6596" w:rsidRDefault="002F06FC" w:rsidP="002F06FC">
      <w:pPr>
        <w:pStyle w:val="FootnoteText"/>
        <w:rPr>
          <w:lang w:val="bg-BG"/>
        </w:rPr>
      </w:pPr>
      <w:r w:rsidRPr="006E6596">
        <w:rPr>
          <w:rStyle w:val="FootnoteReference"/>
          <w:lang w:val="bg-BG"/>
        </w:rPr>
        <w:footnoteRef/>
      </w:r>
      <w:r w:rsidRPr="006E6596">
        <w:rPr>
          <w:lang w:val="bg-BG"/>
        </w:rPr>
        <w:t xml:space="preserve"> COM/2021/777.</w:t>
      </w:r>
    </w:p>
  </w:footnote>
  <w:footnote w:id="94">
    <w:p w14:paraId="0D9FE4A8" w14:textId="31EAF9C9" w:rsidR="0004016C" w:rsidRPr="006E6596" w:rsidRDefault="0004016C" w:rsidP="00A7046E">
      <w:pPr>
        <w:pStyle w:val="FootnoteText"/>
        <w:jc w:val="both"/>
        <w:rPr>
          <w:lang w:val="bg-BG"/>
        </w:rPr>
      </w:pPr>
      <w:r w:rsidRPr="006E6596">
        <w:rPr>
          <w:rStyle w:val="FootnoteReference"/>
          <w:lang w:val="bg-BG"/>
        </w:rPr>
        <w:footnoteRef/>
      </w:r>
      <w:r w:rsidRPr="006E6596">
        <w:rPr>
          <w:lang w:val="bg-BG"/>
        </w:rPr>
        <w:t xml:space="preserve"> След констатациите на Комитета за преглед на съответствието с разпоредбите на Конвенцията от Орхус по дело ACCC/C/2008/32 срещу ЕС, обхватът на приложение на Регламента относно Орхуската конвенция е разширен и приведен в съответствие с Конвенцията и член 9 от нея. Комитетът за преглед на съответствието установи, че ЕС не е спазил член 9, параграфи 3 и 4 по отношение на достъпа до правосъдие на членовете на обществото, тъй като задълженията, произтичащи от тези параграфи не се въвеждат и не се спазват нито с Регламента относно Орхуската конвенция, нито в съдебната практика на Съда на ЕС.</w:t>
      </w:r>
    </w:p>
  </w:footnote>
  <w:footnote w:id="95">
    <w:p w14:paraId="32BCA253" w14:textId="27578CD4" w:rsidR="009814A4" w:rsidRPr="006E6596" w:rsidRDefault="009814A4" w:rsidP="00E56E67">
      <w:pPr>
        <w:pStyle w:val="FootnoteText"/>
        <w:jc w:val="both"/>
        <w:rPr>
          <w:lang w:val="bg-BG"/>
        </w:rPr>
      </w:pPr>
      <w:r w:rsidRPr="006E6596">
        <w:rPr>
          <w:rStyle w:val="FootnoteReference"/>
          <w:lang w:val="bg-BG"/>
        </w:rPr>
        <w:footnoteRef/>
      </w:r>
      <w:r w:rsidRPr="006E6596">
        <w:rPr>
          <w:lang w:val="bg-BG"/>
        </w:rPr>
        <w:t xml:space="preserve"> Регламент (ЕС) 2021/1767. През 2022 г. беше избран първият специален докладчик за защитниците на околната среда, за да защитава всяко лице, което е подложено или е обект на непосредствена заплаха от санкциониране, преследване или тормоз във връзка с опит да упражни правата си съгласно Конвенцията.</w:t>
      </w:r>
    </w:p>
  </w:footnote>
  <w:footnote w:id="96">
    <w:p w14:paraId="133FB6C5" w14:textId="0E753458" w:rsidR="00E56E67" w:rsidRPr="006E6596" w:rsidRDefault="00E56E67" w:rsidP="00E56E67">
      <w:pPr>
        <w:pStyle w:val="FootnoteText"/>
        <w:jc w:val="both"/>
        <w:rPr>
          <w:lang w:val="bg-BG"/>
        </w:rPr>
      </w:pPr>
      <w:r w:rsidRPr="006E6596">
        <w:rPr>
          <w:rStyle w:val="FootnoteReference"/>
          <w:lang w:val="bg-BG"/>
        </w:rPr>
        <w:footnoteRef/>
      </w:r>
      <w:r w:rsidRPr="006E6596">
        <w:rPr>
          <w:lang w:val="bg-BG"/>
        </w:rPr>
        <w:t xml:space="preserve"> Това може да бъде направено чрез искане за вътрешно преразглеждане от институцията или органа на ЕС, който е приел административния акт или, в случай на твърдяно административно бездействие, е трябвало да приеме такъв акт, на основание, че такъв акт или такова бездействие противоречи на законодателството в областта на околната среда Същите заявители, които са отправили искане за вътрешно преразглеждане съгласно член 10 от Регламента относно Орхуската конвенция, могат да образуват производство пред Съда, след като решението на институцията на Съюза относно вътрешното преразглеждане им бъде съобщено.</w:t>
      </w:r>
    </w:p>
  </w:footnote>
  <w:footnote w:id="97">
    <w:p w14:paraId="09AC295A" w14:textId="6EC351A9" w:rsidR="009814A4" w:rsidRPr="006E6596" w:rsidRDefault="009814A4" w:rsidP="00E56E67">
      <w:pPr>
        <w:pStyle w:val="FootnoteText"/>
        <w:jc w:val="both"/>
        <w:rPr>
          <w:lang w:val="bg-BG"/>
        </w:rPr>
      </w:pPr>
      <w:r w:rsidRPr="006E6596">
        <w:rPr>
          <w:rStyle w:val="FootnoteReference"/>
          <w:lang w:val="bg-BG"/>
        </w:rPr>
        <w:footnoteRef/>
      </w:r>
      <w:r w:rsidRPr="006E6596">
        <w:rPr>
          <w:lang w:val="bg-BG"/>
        </w:rPr>
        <w:t xml:space="preserve"> Регламент (ЕС) 2021/2116, ОВ L 435, 6.12.2021 г., стр. 187, член 59, параграф 7 изисква от държавите членки да създадат механизъм за подаване на жалби за програмния период 2023—2027 г. и да гарантират ефективното разглеждане на жалбите в рамките на стратегическите планове на общата селскостопанска политика. </w:t>
      </w:r>
    </w:p>
  </w:footnote>
  <w:footnote w:id="98">
    <w:p w14:paraId="2CBB1FB3" w14:textId="77777777" w:rsidR="009814A4" w:rsidRPr="006E6596" w:rsidRDefault="009814A4" w:rsidP="00E56E67">
      <w:pPr>
        <w:pStyle w:val="FootnoteText"/>
        <w:jc w:val="both"/>
        <w:rPr>
          <w:lang w:val="bg-BG"/>
        </w:rPr>
      </w:pPr>
      <w:r w:rsidRPr="006E6596">
        <w:rPr>
          <w:rStyle w:val="FootnoteReference"/>
          <w:lang w:val="bg-BG"/>
        </w:rPr>
        <w:footnoteRef/>
      </w:r>
      <w:r w:rsidRPr="006E6596">
        <w:rPr>
          <w:lang w:val="bg-BG"/>
        </w:rPr>
        <w:t xml:space="preserve"> Съобщение относно подобряване на достъпа до правосъдие по въпросите на околната среда в ЕС и неговите държави членки, COM/2020/643.</w:t>
      </w:r>
    </w:p>
  </w:footnote>
  <w:footnote w:id="99">
    <w:p w14:paraId="21BBE87D" w14:textId="77777777" w:rsidR="009814A4" w:rsidRPr="006E6596" w:rsidRDefault="009814A4" w:rsidP="00E56E67">
      <w:pPr>
        <w:pStyle w:val="FootnoteText"/>
        <w:jc w:val="both"/>
        <w:rPr>
          <w:lang w:val="bg-BG"/>
        </w:rPr>
      </w:pPr>
      <w:r w:rsidRPr="006E6596">
        <w:rPr>
          <w:rStyle w:val="FootnoteReference"/>
          <w:lang w:val="bg-BG"/>
        </w:rPr>
        <w:footnoteRef/>
      </w:r>
      <w:r w:rsidRPr="006E6596">
        <w:rPr>
          <w:lang w:val="bg-BG"/>
        </w:rPr>
        <w:t xml:space="preserve"> https://e-justice.europa.eu/300/EN/access_to_justice_in_environmental_matters.</w:t>
      </w:r>
    </w:p>
  </w:footnote>
  <w:footnote w:id="100">
    <w:p w14:paraId="7323B9B8" w14:textId="03E91741" w:rsidR="00C7297A" w:rsidRPr="006E6596" w:rsidRDefault="00C7297A" w:rsidP="00E56E67">
      <w:pPr>
        <w:pStyle w:val="FootnoteText"/>
        <w:jc w:val="both"/>
        <w:rPr>
          <w:lang w:val="bg-BG"/>
        </w:rPr>
      </w:pPr>
      <w:r w:rsidRPr="006E6596">
        <w:rPr>
          <w:rStyle w:val="FootnoteReference"/>
          <w:lang w:val="bg-BG"/>
        </w:rPr>
        <w:footnoteRef/>
      </w:r>
      <w:r w:rsidRPr="006E6596">
        <w:rPr>
          <w:lang w:val="bg-BG"/>
        </w:rPr>
        <w:t xml:space="preserve"> В съобщението относно прегледа на изпълнението на политиките за околната среда, 2022 г., Обръщане на тенденцията чрез спазване на законодателството в областта на околната среда, (COM/2022/438) се установява, че „(...) въпреки това в повечето държави членки все още съществуват възможности за подобрение по отношение на улесняването на достъпа на обществеността до съдилища с цел оспорване на решения, действия или бездействия, конкретно в областта на планирането, засягащи качеството на водата, природата и/или въздуха“.</w:t>
      </w:r>
    </w:p>
  </w:footnote>
  <w:footnote w:id="101">
    <w:p w14:paraId="40D2C60F" w14:textId="60B2807A" w:rsidR="009814A4" w:rsidRPr="006E6596" w:rsidRDefault="009814A4" w:rsidP="00E56E67">
      <w:pPr>
        <w:pStyle w:val="FootnoteText"/>
        <w:jc w:val="both"/>
        <w:rPr>
          <w:lang w:val="bg-BG"/>
        </w:rPr>
      </w:pPr>
      <w:r w:rsidRPr="006E6596">
        <w:rPr>
          <w:rStyle w:val="FootnoteReference"/>
          <w:lang w:val="bg-BG"/>
        </w:rPr>
        <w:footnoteRef/>
      </w:r>
      <w:r w:rsidRPr="006E6596">
        <w:rPr>
          <w:lang w:val="bg-BG"/>
        </w:rPr>
        <w:t xml:space="preserve"> </w:t>
      </w:r>
      <w:hyperlink r:id="rId36" w:history="1">
        <w:r w:rsidRPr="006E6596">
          <w:rPr>
            <w:rStyle w:val="Hyperlink"/>
            <w:lang w:val="bg-BG"/>
          </w:rPr>
          <w:t>https://environment.ec.europa.eu/law-and-governance/environmental-implementation-review_bg</w:t>
        </w:r>
      </w:hyperlink>
      <w:r w:rsidRPr="006E6596">
        <w:rPr>
          <w:lang w:val="bg-BG"/>
        </w:rPr>
        <w:t>. Допълнителни разпоредби относно достъпа до правосъдие са включени в Регламента относно продукти, свързани с обезлесяването (Регламент (ЕС) 2023/1115, ОВ L 150, 9.6.2023 г.).</w:t>
      </w:r>
    </w:p>
  </w:footnote>
  <w:footnote w:id="102">
    <w:p w14:paraId="695B7F00" w14:textId="77777777"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Предложение за Директива относно защитата на околната среда чрез наказателното право и за замяна на Директива 2008/99/EО, 15.12.2021 г., COM(2021) 851.</w:t>
      </w:r>
    </w:p>
  </w:footnote>
  <w:footnote w:id="103">
    <w:p w14:paraId="76240707" w14:textId="3AF7A9F4"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Директива 2010/75/ЕС, ОВ L 334 17.12.2010 г., стр. 17 За информация относно преразгледаната рамка, вж. COM/2022/156 final/3.</w:t>
      </w:r>
    </w:p>
  </w:footnote>
  <w:footnote w:id="104">
    <w:p w14:paraId="41975676" w14:textId="77777777" w:rsidR="00F11F8A" w:rsidRPr="006E6596" w:rsidRDefault="00F11F8A" w:rsidP="00F11F8A">
      <w:pPr>
        <w:pStyle w:val="FootnoteText"/>
        <w:rPr>
          <w:lang w:val="bg-BG"/>
        </w:rPr>
      </w:pPr>
      <w:r w:rsidRPr="006E6596">
        <w:rPr>
          <w:rStyle w:val="FootnoteReference"/>
          <w:lang w:val="bg-BG"/>
        </w:rPr>
        <w:footnoteRef/>
      </w:r>
      <w:r w:rsidRPr="006E6596">
        <w:rPr>
          <w:lang w:val="bg-BG"/>
        </w:rPr>
        <w:t xml:space="preserve"> Предложение за Директива относно качеството на атмосферния въздух и за по-чист въздух за Европа (преработен текст), COM/2022/542</w:t>
      </w:r>
    </w:p>
  </w:footnote>
  <w:footnote w:id="105">
    <w:p w14:paraId="65DCCF3F" w14:textId="77777777" w:rsidR="00F11F8A" w:rsidRPr="006E6596" w:rsidRDefault="00F11F8A" w:rsidP="00F11F8A">
      <w:pPr>
        <w:pStyle w:val="FootnoteText"/>
        <w:rPr>
          <w:lang w:val="bg-BG"/>
        </w:rPr>
      </w:pPr>
      <w:r w:rsidRPr="006E6596">
        <w:rPr>
          <w:rStyle w:val="FootnoteReference"/>
          <w:lang w:val="bg-BG"/>
        </w:rPr>
        <w:footnoteRef/>
      </w:r>
      <w:r w:rsidRPr="006E6596">
        <w:rPr>
          <w:lang w:val="bg-BG"/>
        </w:rPr>
        <w:t xml:space="preserve"> Предложение за Директива относно пречистването на градските отпадъчни води (преработен текст),</w:t>
      </w:r>
      <w:r w:rsidRPr="006E6596">
        <w:rPr>
          <w:color w:val="333333"/>
          <w:sz w:val="27"/>
          <w:shd w:val="clear" w:color="auto" w:fill="FFFFFF"/>
          <w:lang w:val="bg-BG"/>
        </w:rPr>
        <w:t xml:space="preserve"> </w:t>
      </w:r>
      <w:r w:rsidRPr="006E6596">
        <w:rPr>
          <w:lang w:val="bg-BG"/>
        </w:rPr>
        <w:t>26.10.2022 г., COM(2022)541.</w:t>
      </w:r>
    </w:p>
  </w:footnote>
  <w:footnote w:id="106">
    <w:p w14:paraId="64B09B8B" w14:textId="77777777" w:rsidR="008F22A5" w:rsidRPr="006E6596" w:rsidRDefault="008F22A5" w:rsidP="008F22A5">
      <w:pPr>
        <w:pStyle w:val="FootnoteText"/>
        <w:rPr>
          <w:lang w:val="bg-BG"/>
        </w:rPr>
      </w:pPr>
      <w:r w:rsidRPr="006E6596">
        <w:rPr>
          <w:rStyle w:val="FootnoteReference"/>
          <w:lang w:val="bg-BG"/>
        </w:rPr>
        <w:footnoteRef/>
      </w:r>
      <w:r w:rsidRPr="006E6596">
        <w:rPr>
          <w:lang w:val="bg-BG"/>
        </w:rPr>
        <w:t xml:space="preserve"> Предложение за Директива относно мониторинга и устойчивостта на почвите (Закон за мониторинг на почвите), 5.7.2023 г., COM/2023/416. </w:t>
      </w:r>
    </w:p>
  </w:footnote>
  <w:footnote w:id="107">
    <w:p w14:paraId="664C0F2B" w14:textId="77777777" w:rsidR="008F22A5" w:rsidRPr="006E6596" w:rsidRDefault="008F22A5" w:rsidP="008F22A5">
      <w:pPr>
        <w:pStyle w:val="FootnoteText"/>
        <w:rPr>
          <w:lang w:val="bg-BG"/>
        </w:rPr>
      </w:pPr>
      <w:r w:rsidRPr="006E6596">
        <w:rPr>
          <w:rStyle w:val="FootnoteReference"/>
          <w:lang w:val="bg-BG"/>
        </w:rPr>
        <w:footnoteRef/>
      </w:r>
      <w:r w:rsidRPr="006E6596">
        <w:rPr>
          <w:lang w:val="bg-BG"/>
        </w:rPr>
        <w:t xml:space="preserve"> Предложение за регламент относно възстановяването на природата, 22.6.2022 г., COM (2022)304. </w:t>
      </w:r>
    </w:p>
  </w:footnote>
  <w:footnote w:id="108">
    <w:p w14:paraId="5F2E8430" w14:textId="4A3FC31E"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Предложение за Директива относно обосноваването и съобщаването на изрични твърдения за екологосъобразност (Директива относно твърденията за екологосъобразност), COM(2023)166.</w:t>
      </w:r>
    </w:p>
  </w:footnote>
  <w:footnote w:id="109">
    <w:p w14:paraId="4A1AC8F7" w14:textId="49B5AF8C" w:rsidR="00CE53B1" w:rsidRPr="006E6596" w:rsidRDefault="00CE53B1" w:rsidP="00C743EF">
      <w:pPr>
        <w:pStyle w:val="FootnoteText"/>
        <w:jc w:val="both"/>
        <w:rPr>
          <w:lang w:val="bg-BG"/>
        </w:rPr>
      </w:pPr>
      <w:r w:rsidRPr="006E6596">
        <w:rPr>
          <w:rStyle w:val="FootnoteReference"/>
          <w:lang w:val="bg-BG"/>
        </w:rPr>
        <w:footnoteRef/>
      </w:r>
      <w:r w:rsidRPr="006E6596">
        <w:rPr>
          <w:lang w:val="bg-BG"/>
        </w:rPr>
        <w:t xml:space="preserve"> Въз основа на общото тълкуване на Конвенция за достъпа до информация, участието на обществеността в процеса на вземането на решения и достъпа до правосъдие по въпроси на околната среда и член 47 от Хартата, Съдът в неотдавнашно решение потвърди, че сдружение за опазване на околната среда, упълномощено да завежда съдебни производства в съответствие с националното право, трябва да може да оспорва пред национален съд административно решение за издаване или изменение на одобрение на типа по отношение на емисиите, което може да противоречи на член 5, параграф 2 от Регламент (ЕО) № 715/2007 на Европейския парламент и на Съвета от 20 юни 2007 г. за типово одобрение на моторни превозни средства по отношение на емисиите от леки превозни средства за превоз на пътници и товари (Евро 5 и Евро 6) и за достъпа до информация за ремонт и техническо обслужване на превозни средства. Решение на Съда от 8 ноември 2022 г., </w:t>
      </w:r>
      <w:r w:rsidRPr="006E6596">
        <w:rPr>
          <w:i/>
          <w:lang w:val="bg-BG"/>
        </w:rPr>
        <w:t>Deutsche Umwelthilfe (Réception des véhicules à moteur)</w:t>
      </w:r>
      <w:r w:rsidRPr="006E6596">
        <w:rPr>
          <w:lang w:val="bg-BG"/>
        </w:rPr>
        <w:t xml:space="preserve">, C‑873/19,EU:C:2022:857. </w:t>
      </w:r>
    </w:p>
  </w:footnote>
  <w:footnote w:id="110">
    <w:p w14:paraId="5016EF30" w14:textId="3F2961C6"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Директива (ЕС) 2020/1828 от 25 ноември 2020 г., OВ L 409, 4.12.2020 г., стр. 1—27, </w:t>
      </w:r>
      <w:hyperlink r:id="rId37" w:history="1">
        <w:r w:rsidRPr="006E6596">
          <w:rPr>
            <w:rStyle w:val="Hyperlink"/>
            <w:lang w:val="bg-BG"/>
          </w:rPr>
          <w:t>https://commission.europa.eu/law/law-topic/consumer-protection-law/representative-actions-directive_bg</w:t>
        </w:r>
      </w:hyperlink>
      <w:r w:rsidRPr="006E6596">
        <w:rPr>
          <w:lang w:val="bg-BG"/>
        </w:rPr>
        <w:t>. Директива (ЕС) 2019/2161, ОВ L 328, 18.12.2019 г., стр. 7—28. Директива 2013/11/ЕС, ОВ L 165, 18.6.2013 г., стр. 63</w:t>
      </w:r>
    </w:p>
  </w:footnote>
  <w:footnote w:id="111">
    <w:p w14:paraId="1AE2EB77" w14:textId="77777777"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w:t>
      </w:r>
      <w:hyperlink r:id="rId38" w:history="1">
        <w:r w:rsidRPr="006E6596">
          <w:rPr>
            <w:rStyle w:val="Hyperlink"/>
            <w:lang w:val="bg-BG"/>
          </w:rPr>
          <w:t>https://representative-actions-collaboration.ec.europa.eu/</w:t>
        </w:r>
      </w:hyperlink>
      <w:r w:rsidRPr="006E6596">
        <w:rPr>
          <w:lang w:val="bg-BG"/>
        </w:rPr>
        <w:t xml:space="preserve">. </w:t>
      </w:r>
    </w:p>
  </w:footnote>
  <w:footnote w:id="112">
    <w:p w14:paraId="0E7004B5" w14:textId="77777777"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Директива 93/13/ЕИО на Съвета от 5 април 1993 г. относно неравноправните клаузи в потребителските договори (ОВ 1993 г. L 95, стр. 29). С предложението за директива относно потребителските кредити, COM/2021/347, също така се гарантира, че потребителите не са обект на дискриминация при искане, сключване или изпълнение на договор за кредит.</w:t>
      </w:r>
    </w:p>
  </w:footnote>
  <w:footnote w:id="113">
    <w:p w14:paraId="12FB5B81" w14:textId="3198B32F" w:rsidR="002A559C" w:rsidRPr="006E6596" w:rsidRDefault="002A559C" w:rsidP="00C9110B">
      <w:pPr>
        <w:pStyle w:val="FootnoteText"/>
        <w:jc w:val="both"/>
        <w:rPr>
          <w:lang w:val="bg-BG"/>
        </w:rPr>
      </w:pPr>
      <w:r w:rsidRPr="006E6596">
        <w:rPr>
          <w:rStyle w:val="FootnoteReference"/>
          <w:lang w:val="bg-BG"/>
        </w:rPr>
        <w:footnoteRef/>
      </w:r>
      <w:r w:rsidRPr="006E6596">
        <w:rPr>
          <w:lang w:val="bg-BG"/>
        </w:rPr>
        <w:t xml:space="preserve"> Предложение за директива на Европейския парламент и на Съвета за изменение на Директива 2013/11/ЕС, както и на директиви (ЕС) 2015/2302, (ЕС) 2019/2161 и (ЕС) 2020/1828, COM(2023) 649. Съгласно </w:t>
      </w:r>
      <w:hyperlink r:id="rId39" w:history="1">
        <w:r w:rsidRPr="006E6596">
          <w:rPr>
            <w:rStyle w:val="Hyperlink"/>
            <w:lang w:val="bg-BG"/>
          </w:rPr>
          <w:t>Индексът за развитие на пазарите на дребно за 2023 г.</w:t>
        </w:r>
      </w:hyperlink>
      <w:r w:rsidRPr="006E6596">
        <w:rPr>
          <w:lang w:val="bg-BG"/>
        </w:rPr>
        <w:t>, една четвърт от потребителите са се сблъскали с проблем, заслужаващ подаване на жалба, но една трета от тях не са подали жалба поради продължителни процедури, малки суми или недостатъчно доверие в удовлетворителното разрешение на проблема.</w:t>
      </w:r>
    </w:p>
  </w:footnote>
  <w:footnote w:id="114">
    <w:p w14:paraId="7A714A60" w14:textId="4A1EEC23"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Работен документ на службите на Комисията: „Помощ, оказвана от услугата SOLVIT на единния пазар: отбелязват се 20 години“, SWD(2022) 325. Националните центрове на SOLVIT разполагат с добри възможности за решаване на въпроси, свързани със спазването на Хартата. За да им съдейства при изпълнението на тази роля, Комисията възнамерява през 2024 г. да осигури специално обучение относно Хартата предназначено за центровете на SOLVIT.</w:t>
      </w:r>
    </w:p>
  </w:footnote>
  <w:footnote w:id="115">
    <w:p w14:paraId="673F2EAC" w14:textId="64D997C7" w:rsidR="009814A4" w:rsidRPr="006E6596" w:rsidRDefault="009814A4" w:rsidP="009814A4">
      <w:pPr>
        <w:pStyle w:val="FootnoteText"/>
        <w:jc w:val="both"/>
        <w:rPr>
          <w:lang w:val="bg-BG"/>
        </w:rPr>
      </w:pPr>
      <w:r w:rsidRPr="006E6596">
        <w:rPr>
          <w:rStyle w:val="FootnoteReference"/>
          <w:lang w:val="bg-BG"/>
        </w:rPr>
        <w:footnoteRef/>
      </w:r>
      <w:r w:rsidRPr="006E6596">
        <w:rPr>
          <w:lang w:val="bg-BG"/>
        </w:rPr>
        <w:t xml:space="preserve"> https://ec.europa.eu/info/law/better-regulation/have-your-say/initiatives/13290-Travel-better-protection-for-passengers-and-their-rights</w:t>
      </w:r>
    </w:p>
  </w:footnote>
  <w:footnote w:id="116">
    <w:p w14:paraId="2099AF50" w14:textId="0AA094D9" w:rsidR="00B83CAB" w:rsidRPr="006E6596" w:rsidRDefault="00B83CAB" w:rsidP="009D6645">
      <w:pPr>
        <w:pStyle w:val="FootnoteText"/>
        <w:jc w:val="both"/>
        <w:rPr>
          <w:lang w:val="bg-BG"/>
        </w:rPr>
      </w:pPr>
      <w:r w:rsidRPr="006E6596">
        <w:rPr>
          <w:rStyle w:val="FootnoteReference"/>
          <w:lang w:val="bg-BG"/>
        </w:rPr>
        <w:footnoteRef/>
      </w:r>
      <w:r w:rsidRPr="006E6596">
        <w:rPr>
          <w:lang w:val="bg-BG"/>
        </w:rPr>
        <w:t xml:space="preserve"> Регламент (ЕС) 2022/2065 за изменение на Директива 2000/31/EО (Акт за цифровите услуги), ОВ L 277, 27.10.2022 г., стр. 1—102. В оценката на въздействието се посочва, че осигуряването на справедливо управление и овластяването на потребителите да упражняват правата си се счита за едно от най-съществените въздействия на Акта за цифровите услуги. И трите регулаторни подхода включват механизъм за правна защита в две стъпки: задължение за предлагане на възможност за подаване и обработване на жалби от доставчиците на услуги и наличие на възможност за извънсъдебно уреждане на спорове, която се очаква да бъде използвана във връзка с ескалиралите проблеми и да осигури по-бързото и по-евтиното им разрешаване от съдебните производства. Потребителите винаги разполагат с възможност за обжалване пред съдилищата в съответствие с националното законодателство. Разпоредбите за по-голяма прозрачност, насочени към запознаване на потребителите с политиките, прилагани към съхранявано съдържание, стоки или услуги, и предоставянето на информация на потребителите относно коригиращи действия, предприети срещу тях, също се считат за основни елементи на ефективните средства за защита. Всички варианти на политиката също така включват санкции за системно неизпълнение на задължението на доставчиците на услуги да предоставят обезщетение. Счита се, че засилените надзорни правомощия на съответните органи по отношение на много големи онлайн платформи, в които правата на потребителите могат да бъдат най-сериозно засегнати, осигуряват допълнителна подкрепа за правото на потребителите на ефективна правна защита.</w:t>
      </w:r>
    </w:p>
  </w:footnote>
  <w:footnote w:id="117">
    <w:p w14:paraId="42E74809" w14:textId="02567291" w:rsidR="00B83CAB" w:rsidRPr="006E6596" w:rsidRDefault="00B83CAB" w:rsidP="009D6645">
      <w:pPr>
        <w:pStyle w:val="FootnoteText"/>
        <w:jc w:val="both"/>
        <w:rPr>
          <w:lang w:val="bg-BG"/>
        </w:rPr>
      </w:pPr>
      <w:r w:rsidRPr="006E6596">
        <w:rPr>
          <w:rStyle w:val="FootnoteReference"/>
          <w:lang w:val="bg-BG"/>
        </w:rPr>
        <w:footnoteRef/>
      </w:r>
      <w:r w:rsidRPr="006E6596">
        <w:rPr>
          <w:lang w:val="bg-BG"/>
        </w:rPr>
        <w:t xml:space="preserve"> Вж. </w:t>
      </w:r>
      <w:hyperlink r:id="rId40" w:history="1">
        <w:r w:rsidRPr="006E6596">
          <w:rPr>
            <w:rStyle w:val="Hyperlink"/>
            <w:lang w:val="bg-BG"/>
          </w:rPr>
          <w:t>Документ относно механизма по DSA за извънсъдебно уреждане на спорове</w:t>
        </w:r>
      </w:hyperlink>
      <w:r w:rsidRPr="006E6596">
        <w:rPr>
          <w:lang w:val="bg-BG"/>
        </w:rPr>
        <w:t>. Така нареченият „Регламент за отношенията между платформите и търговците (P2B)“ вече предоставя обезщетение за бизнес ползвателите на доставчици на онлайн услуги: Регламент (ЕС) 2019/1150, OВ L 186, 11.7.2019 г., стр. 57—79.</w:t>
      </w:r>
    </w:p>
  </w:footnote>
  <w:footnote w:id="118">
    <w:p w14:paraId="76C4D1E3" w14:textId="5BD4B1D9" w:rsidR="009D6645" w:rsidRPr="006E6596" w:rsidRDefault="009D6645" w:rsidP="009D6645">
      <w:pPr>
        <w:pStyle w:val="FootnoteText"/>
        <w:jc w:val="both"/>
        <w:rPr>
          <w:lang w:val="bg-BG"/>
        </w:rPr>
      </w:pPr>
      <w:r w:rsidRPr="006E6596">
        <w:rPr>
          <w:rStyle w:val="FootnoteReference"/>
          <w:lang w:val="bg-BG"/>
        </w:rPr>
        <w:footnoteRef/>
      </w:r>
      <w:r w:rsidRPr="006E6596">
        <w:rPr>
          <w:lang w:val="bg-BG"/>
        </w:rPr>
        <w:t xml:space="preserve"> Директива 2000/31/EО, членове 17 и 18.</w:t>
      </w:r>
    </w:p>
  </w:footnote>
  <w:footnote w:id="119">
    <w:p w14:paraId="2917A1F8" w14:textId="09B7B0B2" w:rsidR="004E4815" w:rsidRPr="006E6596" w:rsidRDefault="004E4815" w:rsidP="00C743EF">
      <w:pPr>
        <w:pStyle w:val="FootnoteText"/>
        <w:jc w:val="both"/>
        <w:rPr>
          <w:lang w:val="bg-BG"/>
        </w:rPr>
      </w:pPr>
      <w:r w:rsidRPr="006E6596">
        <w:rPr>
          <w:rStyle w:val="FootnoteReference"/>
          <w:lang w:val="bg-BG"/>
        </w:rPr>
        <w:footnoteRef/>
      </w:r>
      <w:r w:rsidRPr="006E6596">
        <w:rPr>
          <w:lang w:val="bg-BG"/>
        </w:rPr>
        <w:t xml:space="preserve"> Регламент (ЕС) 2021/784, OВ L 172, 17.5.2021 г., стр. 79—109.</w:t>
      </w:r>
    </w:p>
  </w:footnote>
  <w:footnote w:id="120">
    <w:p w14:paraId="1A9C7C19" w14:textId="1CF207D8" w:rsidR="009814A4" w:rsidRPr="006E6596" w:rsidRDefault="009814A4" w:rsidP="009226E7">
      <w:pPr>
        <w:pStyle w:val="FootnoteText"/>
        <w:jc w:val="both"/>
        <w:rPr>
          <w:lang w:val="bg-BG"/>
        </w:rPr>
      </w:pPr>
      <w:r w:rsidRPr="006E6596">
        <w:rPr>
          <w:rStyle w:val="FootnoteReference"/>
          <w:lang w:val="bg-BG"/>
        </w:rPr>
        <w:footnoteRef/>
      </w:r>
      <w:r w:rsidRPr="006E6596">
        <w:rPr>
          <w:lang w:val="bg-BG"/>
        </w:rPr>
        <w:t xml:space="preserve"> Регламент (ЕС) 2016/679 за отмяна на Директива 95/46/EО, ОВ L 119, 4.5.2016 г., стр. 1—88. Жалбите могат да бъдат подавани до независим национален надзорен орган или до съд. Жалби могат да бъдат подавани и от името на субекта на данните от орган с нестопанска цел, организация или сдружение, по искане на субекта на данните или въз основа на националното законодателство. В случай, че субект на данни претърпи материални или нематериални вреди, той има право да получи обезщетение от администратора или обработващия личните данни.</w:t>
      </w:r>
    </w:p>
  </w:footnote>
  <w:footnote w:id="121">
    <w:p w14:paraId="5299184D" w14:textId="37A26C25" w:rsidR="009814A4" w:rsidRPr="006E6596" w:rsidRDefault="009814A4" w:rsidP="009226E7">
      <w:pPr>
        <w:pStyle w:val="FootnoteText"/>
        <w:jc w:val="both"/>
        <w:rPr>
          <w:lang w:val="bg-BG"/>
        </w:rPr>
      </w:pPr>
      <w:r w:rsidRPr="006E6596">
        <w:rPr>
          <w:rStyle w:val="FootnoteReference"/>
          <w:lang w:val="bg-BG"/>
        </w:rPr>
        <w:footnoteRef/>
      </w:r>
      <w:r w:rsidRPr="006E6596">
        <w:rPr>
          <w:lang w:val="bg-BG"/>
        </w:rPr>
        <w:t xml:space="preserve"> Предложение за регламент относно европейското пространство на здравни данни, COM(2022)197, 3.5.2022 г.</w:t>
      </w:r>
    </w:p>
  </w:footnote>
  <w:footnote w:id="122">
    <w:p w14:paraId="7B335CA9" w14:textId="6D1BA074" w:rsidR="00122019" w:rsidRPr="006E6596" w:rsidRDefault="00122019" w:rsidP="00C743EF">
      <w:pPr>
        <w:pStyle w:val="FootnoteText"/>
        <w:jc w:val="both"/>
        <w:rPr>
          <w:lang w:val="bg-BG"/>
        </w:rPr>
      </w:pPr>
      <w:r w:rsidRPr="006E6596">
        <w:rPr>
          <w:rStyle w:val="FootnoteReference"/>
          <w:lang w:val="bg-BG"/>
        </w:rPr>
        <w:footnoteRef/>
      </w:r>
      <w:r w:rsidRPr="006E6596">
        <w:rPr>
          <w:lang w:val="bg-BG"/>
        </w:rPr>
        <w:t xml:space="preserve"> Директива 2013/32/ЕС, ОВ L 180, 29.6.2013 г., стр. 60—95</w:t>
      </w:r>
    </w:p>
  </w:footnote>
  <w:footnote w:id="123">
    <w:p w14:paraId="3115ADFB" w14:textId="37CB0FA6" w:rsidR="009226E7" w:rsidRPr="006E6596" w:rsidRDefault="009226E7" w:rsidP="00C743EF">
      <w:pPr>
        <w:pStyle w:val="FootnoteText"/>
        <w:jc w:val="both"/>
        <w:rPr>
          <w:lang w:val="bg-BG"/>
        </w:rPr>
      </w:pPr>
      <w:r w:rsidRPr="006E6596">
        <w:rPr>
          <w:rStyle w:val="FootnoteReference"/>
          <w:lang w:val="bg-BG"/>
        </w:rPr>
        <w:footnoteRef/>
      </w:r>
      <w:r w:rsidRPr="006E6596">
        <w:rPr>
          <w:lang w:val="bg-BG"/>
        </w:rPr>
        <w:t xml:space="preserve"> Регламент (ЕС) 604/2013, OВ L 180, 29.6.2013 г., стр. 31—59. </w:t>
      </w:r>
    </w:p>
  </w:footnote>
  <w:footnote w:id="124">
    <w:p w14:paraId="7CC54972" w14:textId="0EB37525" w:rsidR="00633442" w:rsidRPr="006E6596" w:rsidRDefault="00633442" w:rsidP="00633442">
      <w:pPr>
        <w:pStyle w:val="FootnoteText"/>
        <w:jc w:val="both"/>
        <w:rPr>
          <w:lang w:val="bg-BG"/>
        </w:rPr>
      </w:pPr>
      <w:r w:rsidRPr="006E6596">
        <w:rPr>
          <w:rStyle w:val="FootnoteReference"/>
          <w:lang w:val="bg-BG"/>
        </w:rPr>
        <w:footnoteRef/>
      </w:r>
      <w:r w:rsidRPr="006E6596">
        <w:rPr>
          <w:lang w:val="bg-BG"/>
        </w:rPr>
        <w:t> Вж.: Директива 2003/86/ЕО на Съвета, ОВ L 251, 3.10.2003 г.; и Директива (ЕС) 2016/801, ОВ L 132, 21.5.2016 г.</w:t>
      </w:r>
    </w:p>
  </w:footnote>
  <w:footnote w:id="125">
    <w:p w14:paraId="69E7F2E0" w14:textId="775B226A" w:rsidR="004C50F1" w:rsidRPr="006E6596" w:rsidRDefault="004C50F1" w:rsidP="004C50F1">
      <w:pPr>
        <w:pStyle w:val="FootnoteText"/>
        <w:jc w:val="both"/>
        <w:rPr>
          <w:lang w:val="bg-BG"/>
        </w:rPr>
      </w:pPr>
      <w:r w:rsidRPr="006E6596">
        <w:rPr>
          <w:rStyle w:val="FootnoteReference"/>
          <w:lang w:val="bg-BG"/>
        </w:rPr>
        <w:footnoteRef/>
      </w:r>
      <w:r w:rsidRPr="006E6596">
        <w:rPr>
          <w:lang w:val="bg-BG"/>
        </w:rPr>
        <w:t xml:space="preserve"> Директива 2008/115/ЕО, ОВ L 348, 24.12.2008 г., стр. 98—107, член 13.</w:t>
      </w:r>
    </w:p>
  </w:footnote>
  <w:footnote w:id="126">
    <w:p w14:paraId="6EC14212" w14:textId="5CACDE9E" w:rsidR="000B6F41" w:rsidRPr="006E6596" w:rsidRDefault="000B6F41" w:rsidP="000B6F41">
      <w:pPr>
        <w:pStyle w:val="FootnoteText"/>
        <w:jc w:val="both"/>
        <w:rPr>
          <w:lang w:val="bg-BG"/>
        </w:rPr>
      </w:pPr>
      <w:r w:rsidRPr="006E6596">
        <w:rPr>
          <w:rStyle w:val="FootnoteReference"/>
          <w:lang w:val="bg-BG"/>
        </w:rPr>
        <w:footnoteRef/>
      </w:r>
      <w:r w:rsidRPr="006E6596">
        <w:rPr>
          <w:lang w:val="bg-BG"/>
        </w:rPr>
        <w:t xml:space="preserve"> Съобщение на Комисията до Европейския парламент и Съвета „Установяване на многогодишната стратегическа политика за европейско интегрирано управление на границите“, </w:t>
      </w:r>
      <w:hyperlink r:id="rId41" w:history="1">
        <w:r w:rsidRPr="006E6596">
          <w:rPr>
            <w:rStyle w:val="Hyperlink"/>
            <w:lang w:val="bg-BG"/>
          </w:rPr>
          <w:t>COM/2023/146</w:t>
        </w:r>
      </w:hyperlink>
      <w:r w:rsidRPr="006E6596">
        <w:rPr>
          <w:lang w:val="bg-BG"/>
        </w:rPr>
        <w:t xml:space="preserve">, „Компонент 13, т. 3“. </w:t>
      </w:r>
    </w:p>
    <w:p w14:paraId="0710B01E" w14:textId="62EB8ACC" w:rsidR="000B6F41" w:rsidRPr="006E6596" w:rsidRDefault="000B6F41" w:rsidP="000B6F41">
      <w:pPr>
        <w:pStyle w:val="FootnoteText"/>
        <w:jc w:val="both"/>
        <w:rPr>
          <w:lang w:val="bg-BG"/>
        </w:rPr>
      </w:pPr>
      <w:r w:rsidRPr="006E6596">
        <w:rPr>
          <w:lang w:val="bg-BG"/>
        </w:rPr>
        <w:t>Освен това, в съответствие с Регламента за европейската гранична и брегова охрана (2019/1896), са назначени всички наблюдатели на основните права на Frontex, с което техният брой достигна 46 (съгласно Регламент за европейската гранична и брегова охрана се изискват 40 наблюдатели). Съгласно Регламента за европейската гранична и брегова охрана на наблюдателите се предоставя същото право на достъп до всички операции на Frontex, каквото се предоставя на всички останали служители на Frontex.</w:t>
      </w:r>
    </w:p>
  </w:footnote>
  <w:footnote w:id="127">
    <w:p w14:paraId="5494AE61" w14:textId="403F4B90" w:rsidR="004C50F1" w:rsidRPr="006E6596" w:rsidRDefault="004C50F1" w:rsidP="004C50F1">
      <w:pPr>
        <w:pStyle w:val="FootnoteText"/>
        <w:jc w:val="both"/>
        <w:rPr>
          <w:lang w:val="bg-BG"/>
        </w:rPr>
      </w:pPr>
      <w:r w:rsidRPr="006E6596">
        <w:rPr>
          <w:rStyle w:val="FootnoteReference"/>
          <w:lang w:val="bg-BG"/>
        </w:rPr>
        <w:footnoteRef/>
      </w:r>
      <w:r w:rsidRPr="006E6596">
        <w:rPr>
          <w:lang w:val="bg-BG"/>
        </w:rPr>
        <w:t xml:space="preserve"> Директива 2009/52/ЕО, ОВ L 168, 30.6.2009 г., стр. 24—32. </w:t>
      </w:r>
    </w:p>
  </w:footnote>
  <w:footnote w:id="128">
    <w:p w14:paraId="66F2AD15" w14:textId="33138D30" w:rsidR="004C50F1" w:rsidRPr="006E6596" w:rsidRDefault="004C50F1" w:rsidP="004C50F1">
      <w:pPr>
        <w:pStyle w:val="FootnoteText"/>
        <w:jc w:val="both"/>
        <w:rPr>
          <w:lang w:val="bg-BG"/>
        </w:rPr>
      </w:pPr>
      <w:r w:rsidRPr="006E6596">
        <w:rPr>
          <w:rStyle w:val="FootnoteReference"/>
          <w:lang w:val="bg-BG"/>
        </w:rPr>
        <w:footnoteRef/>
      </w:r>
      <w:r w:rsidRPr="006E6596">
        <w:rPr>
          <w:lang w:val="bg-BG"/>
        </w:rPr>
        <w:t xml:space="preserve"> Съобщение на Комисията за прилагането на Директива 2009/52/EО от 18 юни 2009 г. за предвиждане на минимални стандарти за санкциите и мерките срещу работодатели на незаконно пребиваващи граждани на трета държава, COM(2021) 592. FRA (2021 г.), Защита на незаконните мигранти от трудова експлоатация — ролята на Директивата за санкциите срещу работодателите . Комисията разработва съвместно с FRA наръчник за обучение на инспекторите по труда относно защитните елементи на директивата.</w:t>
      </w:r>
    </w:p>
  </w:footnote>
  <w:footnote w:id="129">
    <w:p w14:paraId="06E6FA6A" w14:textId="0CFD0F79" w:rsidR="004C50F1" w:rsidRPr="006E6596" w:rsidRDefault="004C50F1" w:rsidP="004C50F1">
      <w:pPr>
        <w:pStyle w:val="FootnoteText"/>
        <w:jc w:val="both"/>
        <w:rPr>
          <w:lang w:val="bg-BG"/>
        </w:rPr>
      </w:pPr>
      <w:r w:rsidRPr="006E6596">
        <w:rPr>
          <w:rStyle w:val="FootnoteReference"/>
          <w:lang w:val="bg-BG"/>
        </w:rPr>
        <w:footnoteRef/>
      </w:r>
      <w:r w:rsidRPr="006E6596">
        <w:rPr>
          <w:lang w:val="bg-BG"/>
        </w:rPr>
        <w:t xml:space="preserve"> Директива 2014/36/ЕС от 26 февруари 2014 г. относно условията за влизане и престой на граждани на трети държави с цел заетост като сезонни работници, ОВ L 94, 28.3.2014 г., стр. 375—390. Комисията също така започна проучване за установяване на пропуски и недостатъци в защитата на сезонните работници от трети държави в ЕС.</w:t>
      </w:r>
    </w:p>
  </w:footnote>
  <w:footnote w:id="130">
    <w:p w14:paraId="66216AAE" w14:textId="77777777" w:rsidR="004C50F1" w:rsidRPr="006E6596" w:rsidRDefault="004C50F1" w:rsidP="004C50F1">
      <w:pPr>
        <w:pStyle w:val="FootnoteText"/>
        <w:jc w:val="both"/>
        <w:rPr>
          <w:lang w:val="bg-BG"/>
        </w:rPr>
      </w:pPr>
      <w:r w:rsidRPr="006E6596">
        <w:rPr>
          <w:rStyle w:val="FootnoteReference"/>
          <w:lang w:val="bg-BG"/>
        </w:rPr>
        <w:footnoteRef/>
      </w:r>
      <w:r w:rsidRPr="006E6596">
        <w:rPr>
          <w:lang w:val="bg-BG"/>
        </w:rPr>
        <w:t xml:space="preserve"> Предложение за Директива относно единна процедура за кандидатстване на граждани на трети държави за единно разрешение за пребиваване и работа на територията на държава членка и относно общ набор от права за работници от трети държави, законно пребиваващи в държава членка (преработен текст), COM/2022/655.</w:t>
      </w:r>
    </w:p>
  </w:footnote>
  <w:footnote w:id="131">
    <w:p w14:paraId="2B067B91" w14:textId="250D0524" w:rsidR="004C50F1" w:rsidRPr="006E6596" w:rsidRDefault="004C50F1" w:rsidP="004C50F1">
      <w:pPr>
        <w:pStyle w:val="FootnoteText"/>
        <w:jc w:val="both"/>
        <w:rPr>
          <w:lang w:val="bg-BG"/>
        </w:rPr>
      </w:pPr>
      <w:r w:rsidRPr="006E6596">
        <w:rPr>
          <w:rStyle w:val="FootnoteReference"/>
          <w:lang w:val="bg-BG"/>
        </w:rPr>
        <w:footnoteRef/>
      </w:r>
      <w:r w:rsidRPr="006E6596">
        <w:rPr>
          <w:lang w:val="bg-BG"/>
        </w:rPr>
        <w:t xml:space="preserve"> Директива (ЕС) 2021/1883, ОВ L 382, 28.10.2021 г., стр. 1—38, член 11, параграф 3.</w:t>
      </w:r>
    </w:p>
  </w:footnote>
  <w:footnote w:id="132">
    <w:p w14:paraId="587A09DC"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Стратегия за Хартата, стр. 19.</w:t>
      </w:r>
    </w:p>
  </w:footnote>
  <w:footnote w:id="133">
    <w:p w14:paraId="0834F484" w14:textId="7F8B0F04" w:rsidR="005E7D4A" w:rsidRPr="006E6596" w:rsidRDefault="005E7D4A" w:rsidP="005E7D4A">
      <w:pPr>
        <w:pStyle w:val="FootnoteText"/>
        <w:jc w:val="both"/>
        <w:rPr>
          <w:lang w:val="bg-BG"/>
        </w:rPr>
      </w:pPr>
      <w:r w:rsidRPr="006E6596">
        <w:rPr>
          <w:rStyle w:val="FootnoteReference"/>
          <w:lang w:val="bg-BG"/>
        </w:rPr>
        <w:footnoteRef/>
      </w:r>
      <w:r w:rsidRPr="006E6596">
        <w:rPr>
          <w:lang w:val="bg-BG"/>
        </w:rPr>
        <w:t xml:space="preserve"> Вж. Информационно табло на ЕС в областта на правосъдието за 2023 г., стр. 31—37.</w:t>
      </w:r>
    </w:p>
  </w:footnote>
  <w:footnote w:id="134">
    <w:p w14:paraId="72952B91" w14:textId="3D945740" w:rsidR="005E7D4A" w:rsidRPr="006E6596" w:rsidRDefault="005E7D4A" w:rsidP="005E7D4A">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Словения</w:t>
      </w:r>
      <w:r w:rsidRPr="006E6596">
        <w:rPr>
          <w:lang w:val="bg-BG"/>
        </w:rPr>
        <w:t xml:space="preserve">, стр. 6—7 и становище на </w:t>
      </w:r>
      <w:r w:rsidRPr="006E6596">
        <w:rPr>
          <w:b/>
          <w:lang w:val="bg-BG"/>
        </w:rPr>
        <w:t>Литва</w:t>
      </w:r>
      <w:r w:rsidRPr="006E6596">
        <w:rPr>
          <w:lang w:val="bg-BG"/>
        </w:rPr>
        <w:t>, стр. 7—8</w:t>
      </w:r>
      <w:r w:rsidR="00005112">
        <w:rPr>
          <w:lang w:val="bg-BG"/>
        </w:rPr>
        <w:t>; становище на Съвета на Европа.</w:t>
      </w:r>
    </w:p>
  </w:footnote>
  <w:footnote w:id="135">
    <w:p w14:paraId="0B641D17" w14:textId="57C2CF5A" w:rsidR="005E7D4A" w:rsidRPr="006E6596" w:rsidRDefault="005E7D4A" w:rsidP="005E7D4A">
      <w:pPr>
        <w:pStyle w:val="FootnoteText"/>
        <w:jc w:val="both"/>
        <w:rPr>
          <w:lang w:val="bg-BG"/>
        </w:rPr>
      </w:pPr>
      <w:r w:rsidRPr="006E6596">
        <w:rPr>
          <w:rStyle w:val="FootnoteReference"/>
          <w:lang w:val="bg-BG"/>
        </w:rPr>
        <w:footnoteRef/>
      </w:r>
      <w:r w:rsidRPr="006E6596">
        <w:rPr>
          <w:lang w:val="bg-BG"/>
        </w:rPr>
        <w:t xml:space="preserve"> В Доклада за върховенството на закона за 2023 г., стр. 9—10, се отбелязва, че инициативите за подобряване на цифровизацията са продължили и държавите членки предприемат допълнителни стъпки в това отношение. Цифровизацията на правосъдната система продължава да е много напреднала като цяло в </w:t>
      </w:r>
      <w:r w:rsidRPr="006E6596">
        <w:rPr>
          <w:b/>
          <w:lang w:val="bg-BG"/>
        </w:rPr>
        <w:t>Естония</w:t>
      </w:r>
      <w:r w:rsidRPr="006E6596">
        <w:rPr>
          <w:lang w:val="bg-BG"/>
        </w:rPr>
        <w:t xml:space="preserve">, </w:t>
      </w:r>
      <w:r w:rsidRPr="006E6596">
        <w:rPr>
          <w:b/>
          <w:lang w:val="bg-BG"/>
        </w:rPr>
        <w:t>Германия</w:t>
      </w:r>
      <w:r w:rsidRPr="006E6596">
        <w:rPr>
          <w:lang w:val="bg-BG"/>
        </w:rPr>
        <w:t xml:space="preserve">, </w:t>
      </w:r>
      <w:r w:rsidRPr="006E6596">
        <w:rPr>
          <w:b/>
          <w:lang w:val="bg-BG"/>
        </w:rPr>
        <w:t>Латвия</w:t>
      </w:r>
      <w:r w:rsidRPr="006E6596">
        <w:rPr>
          <w:lang w:val="bg-BG"/>
        </w:rPr>
        <w:t xml:space="preserve">, </w:t>
      </w:r>
      <w:r w:rsidRPr="006E6596">
        <w:rPr>
          <w:b/>
          <w:lang w:val="bg-BG"/>
        </w:rPr>
        <w:t>Полша</w:t>
      </w:r>
      <w:r w:rsidRPr="006E6596">
        <w:rPr>
          <w:lang w:val="bg-BG"/>
        </w:rPr>
        <w:t xml:space="preserve">, </w:t>
      </w:r>
      <w:r w:rsidRPr="006E6596">
        <w:rPr>
          <w:b/>
          <w:lang w:val="bg-BG"/>
        </w:rPr>
        <w:t>Испания</w:t>
      </w:r>
      <w:r w:rsidRPr="006E6596">
        <w:rPr>
          <w:lang w:val="bg-BG"/>
        </w:rPr>
        <w:t xml:space="preserve">, </w:t>
      </w:r>
      <w:r w:rsidRPr="006E6596">
        <w:rPr>
          <w:b/>
          <w:lang w:val="bg-BG"/>
        </w:rPr>
        <w:t>Словакия</w:t>
      </w:r>
      <w:r w:rsidRPr="006E6596">
        <w:rPr>
          <w:lang w:val="bg-BG"/>
        </w:rPr>
        <w:t xml:space="preserve">, </w:t>
      </w:r>
      <w:r w:rsidRPr="006E6596">
        <w:rPr>
          <w:b/>
          <w:lang w:val="bg-BG"/>
        </w:rPr>
        <w:t>Литва</w:t>
      </w:r>
      <w:r w:rsidRPr="006E6596">
        <w:rPr>
          <w:lang w:val="bg-BG"/>
        </w:rPr>
        <w:t xml:space="preserve">, </w:t>
      </w:r>
      <w:r w:rsidRPr="006E6596">
        <w:rPr>
          <w:b/>
          <w:lang w:val="bg-BG"/>
        </w:rPr>
        <w:t>Унгария</w:t>
      </w:r>
      <w:r w:rsidRPr="006E6596">
        <w:rPr>
          <w:lang w:val="bg-BG"/>
        </w:rPr>
        <w:t xml:space="preserve"> и </w:t>
      </w:r>
      <w:r w:rsidRPr="006E6596">
        <w:rPr>
          <w:b/>
          <w:lang w:val="bg-BG"/>
        </w:rPr>
        <w:t>Австрия</w:t>
      </w:r>
      <w:r w:rsidRPr="006E6596">
        <w:rPr>
          <w:lang w:val="bg-BG"/>
        </w:rPr>
        <w:t xml:space="preserve">. Препоръки за продължаване на подобряването на цифровизацията на правосъдието чрез постоянни усилия са отправени към </w:t>
      </w:r>
      <w:r w:rsidRPr="006E6596">
        <w:rPr>
          <w:b/>
          <w:lang w:val="bg-BG"/>
        </w:rPr>
        <w:t>Франция</w:t>
      </w:r>
      <w:r w:rsidRPr="006E6596">
        <w:rPr>
          <w:lang w:val="bg-BG"/>
        </w:rPr>
        <w:t xml:space="preserve">, </w:t>
      </w:r>
      <w:r w:rsidRPr="006E6596">
        <w:rPr>
          <w:b/>
          <w:lang w:val="bg-BG"/>
        </w:rPr>
        <w:t xml:space="preserve">Италия </w:t>
      </w:r>
      <w:r w:rsidRPr="006E6596">
        <w:rPr>
          <w:lang w:val="bg-BG"/>
        </w:rPr>
        <w:t xml:space="preserve">и </w:t>
      </w:r>
      <w:r w:rsidRPr="006E6596">
        <w:rPr>
          <w:b/>
          <w:lang w:val="bg-BG"/>
        </w:rPr>
        <w:t>Нидерландия</w:t>
      </w:r>
      <w:r w:rsidRPr="006E6596">
        <w:rPr>
          <w:lang w:val="bg-BG"/>
        </w:rPr>
        <w:t xml:space="preserve">. Що се отнася до текущите усилия, становището при консултациите с </w:t>
      </w:r>
      <w:r w:rsidRPr="006E6596">
        <w:rPr>
          <w:b/>
          <w:lang w:val="bg-BG"/>
        </w:rPr>
        <w:t>Люксембург</w:t>
      </w:r>
      <w:r w:rsidRPr="006E6596">
        <w:rPr>
          <w:lang w:val="bg-BG"/>
        </w:rPr>
        <w:t>, стр. 5, се отнася до определена информация, която се предоставя в цифров вид и механизъм за безхартиено правосъдие по административни дела, който влиза в сила след изпълнение на пилотен проект за спешни процедури. Становище на</w:t>
      </w:r>
      <w:r w:rsidRPr="006E6596">
        <w:rPr>
          <w:b/>
          <w:lang w:val="bg-BG"/>
        </w:rPr>
        <w:t xml:space="preserve"> Франция</w:t>
      </w:r>
      <w:r w:rsidRPr="006E6596">
        <w:rPr>
          <w:lang w:val="bg-BG"/>
        </w:rPr>
        <w:t xml:space="preserve">, стр. 6—7, относно укрепване на мрежи, подобряване на бизнес софтуера и набиране на компютърни техници. Становище на </w:t>
      </w:r>
      <w:r w:rsidRPr="006E6596">
        <w:rPr>
          <w:b/>
          <w:lang w:val="bg-BG"/>
        </w:rPr>
        <w:t>Гърция</w:t>
      </w:r>
      <w:r w:rsidRPr="006E6596">
        <w:rPr>
          <w:lang w:val="bg-BG"/>
        </w:rPr>
        <w:t xml:space="preserve">, стр. 10—12, относно осигуряване на подкрепа за цифрово записване на съдебни дела в първоинстанционните и апелативните съдилища в Атина, Пирея и Солун. Становище на </w:t>
      </w:r>
      <w:r w:rsidRPr="006E6596">
        <w:rPr>
          <w:b/>
          <w:lang w:val="bg-BG"/>
        </w:rPr>
        <w:t>Хърватия</w:t>
      </w:r>
      <w:r w:rsidRPr="006E6596">
        <w:rPr>
          <w:lang w:val="bg-BG"/>
        </w:rPr>
        <w:t xml:space="preserve">, стр. 7—8. Становище на </w:t>
      </w:r>
      <w:r w:rsidRPr="006E6596">
        <w:rPr>
          <w:b/>
          <w:lang w:val="bg-BG"/>
        </w:rPr>
        <w:t>Финландия</w:t>
      </w:r>
      <w:r w:rsidRPr="006E6596">
        <w:rPr>
          <w:lang w:val="bg-BG"/>
        </w:rPr>
        <w:t xml:space="preserve">, стр. 5—6. Становище на </w:t>
      </w:r>
      <w:r w:rsidRPr="006E6596">
        <w:rPr>
          <w:b/>
          <w:lang w:val="bg-BG"/>
        </w:rPr>
        <w:t>Полша</w:t>
      </w:r>
      <w:r w:rsidRPr="006E6596">
        <w:rPr>
          <w:lang w:val="bg-BG"/>
        </w:rPr>
        <w:t xml:space="preserve">, стр. 17—18. Становище на </w:t>
      </w:r>
      <w:r w:rsidRPr="006E6596">
        <w:rPr>
          <w:b/>
          <w:lang w:val="bg-BG"/>
        </w:rPr>
        <w:t>Унгария</w:t>
      </w:r>
      <w:r w:rsidRPr="006E6596">
        <w:rPr>
          <w:lang w:val="bg-BG"/>
        </w:rPr>
        <w:t xml:space="preserve">, стр. 10—12. Становище на </w:t>
      </w:r>
      <w:r w:rsidRPr="006E6596">
        <w:rPr>
          <w:b/>
          <w:lang w:val="bg-BG"/>
        </w:rPr>
        <w:t>Латвия</w:t>
      </w:r>
      <w:r w:rsidRPr="006E6596">
        <w:rPr>
          <w:lang w:val="bg-BG"/>
        </w:rPr>
        <w:t>, стр. 6—7.</w:t>
      </w:r>
    </w:p>
  </w:footnote>
  <w:footnote w:id="136">
    <w:p w14:paraId="1ABCA3E5" w14:textId="5A42FC00" w:rsidR="005E7D4A" w:rsidRPr="006E6596" w:rsidRDefault="005E7D4A" w:rsidP="005E7D4A">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Румъния</w:t>
      </w:r>
      <w:r w:rsidRPr="006E6596">
        <w:rPr>
          <w:lang w:val="bg-BG"/>
        </w:rPr>
        <w:t>, стр. 10.</w:t>
      </w:r>
      <w:r w:rsidR="00005112">
        <w:rPr>
          <w:lang w:val="bg-BG"/>
        </w:rPr>
        <w:t xml:space="preserve"> Също становище на Съвета на Европа, в което се разглежда ситуацията като цяло.</w:t>
      </w:r>
    </w:p>
  </w:footnote>
  <w:footnote w:id="137">
    <w:p w14:paraId="51E845EE" w14:textId="77777777" w:rsidR="005E7D4A" w:rsidRPr="006E6596" w:rsidRDefault="005E7D4A" w:rsidP="005E7D4A">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Словакия</w:t>
      </w:r>
      <w:r w:rsidRPr="006E6596">
        <w:rPr>
          <w:lang w:val="bg-BG"/>
        </w:rPr>
        <w:t>, стр. 4, относно системата eCodex, чрез която могат да се изпращат европейски заповеди за разследване, да се отправят искания за правна помощ и да се споделят електронни доказателства.</w:t>
      </w:r>
    </w:p>
  </w:footnote>
  <w:footnote w:id="138">
    <w:p w14:paraId="6689E0EE" w14:textId="1D55551A" w:rsidR="005E7D4A" w:rsidRPr="006E6596" w:rsidRDefault="005E7D4A" w:rsidP="005E7D4A">
      <w:pPr>
        <w:pStyle w:val="FootnoteText"/>
        <w:jc w:val="both"/>
        <w:rPr>
          <w:lang w:val="bg-BG"/>
        </w:rPr>
      </w:pPr>
      <w:r w:rsidRPr="006E6596">
        <w:rPr>
          <w:rStyle w:val="FootnoteReference"/>
          <w:lang w:val="bg-BG"/>
        </w:rPr>
        <w:footnoteRef/>
      </w:r>
      <w:r w:rsidRPr="006E6596">
        <w:rPr>
          <w:lang w:val="bg-BG"/>
        </w:rPr>
        <w:t xml:space="preserve"> Що се отнася до предизвикателствата, в становището на</w:t>
      </w:r>
      <w:r w:rsidR="00005112">
        <w:rPr>
          <w:lang w:val="bg-BG"/>
        </w:rPr>
        <w:t xml:space="preserve"> </w:t>
      </w:r>
      <w:r w:rsidRPr="006E6596">
        <w:rPr>
          <w:b/>
          <w:lang w:val="bg-BG"/>
        </w:rPr>
        <w:t>Румъния</w:t>
      </w:r>
      <w:r w:rsidRPr="006E6596">
        <w:rPr>
          <w:lang w:val="bg-BG"/>
        </w:rPr>
        <w:t xml:space="preserve">, стр. 10, се посочват едновременното съществуване на четири версии на електронното съдебно досие и необходимостта от осигуряване на съвместимост, киберсигурност, модернизация на информационната инфраструктура на местно равнище; Становище на </w:t>
      </w:r>
      <w:r w:rsidRPr="006E6596">
        <w:rPr>
          <w:b/>
          <w:lang w:val="bg-BG"/>
        </w:rPr>
        <w:t>Испания</w:t>
      </w:r>
      <w:r w:rsidRPr="006E6596">
        <w:rPr>
          <w:lang w:val="bg-BG"/>
        </w:rPr>
        <w:t>, стр. 1, 5, относно необходимостта от осигуряване на гаранции за достатъчно цифрови умения. В Доклада за върховенството на закона за 2023 г., стр. 9, се посочва важността на осигуряването на гаранции за ефективно използване на цифровите инструменти на практика, включително чрез достатъчно обучение.</w:t>
      </w:r>
    </w:p>
  </w:footnote>
  <w:footnote w:id="139">
    <w:p w14:paraId="5286F323" w14:textId="19BE2095" w:rsidR="005E7D4A" w:rsidRPr="006E6596" w:rsidRDefault="005E7D4A" w:rsidP="005E7D4A">
      <w:pPr>
        <w:pStyle w:val="FootnoteText"/>
        <w:jc w:val="both"/>
        <w:rPr>
          <w:lang w:val="bg-BG"/>
        </w:rPr>
      </w:pPr>
      <w:r w:rsidRPr="006E6596">
        <w:rPr>
          <w:rStyle w:val="FootnoteReference"/>
          <w:lang w:val="bg-BG"/>
        </w:rPr>
        <w:footnoteRef/>
      </w:r>
      <w:r w:rsidR="006025D7">
        <w:rPr>
          <w:lang w:val="bg-BG"/>
        </w:rPr>
        <w:t xml:space="preserve"> </w:t>
      </w:r>
      <w:r w:rsidRPr="006E6596">
        <w:rPr>
          <w:lang w:val="bg-BG"/>
        </w:rPr>
        <w:t xml:space="preserve">Становище на </w:t>
      </w:r>
      <w:r w:rsidRPr="006E6596">
        <w:rPr>
          <w:b/>
          <w:lang w:val="bg-BG"/>
        </w:rPr>
        <w:t>Швеция</w:t>
      </w:r>
      <w:r w:rsidRPr="006E6596">
        <w:rPr>
          <w:lang w:val="bg-BG"/>
        </w:rPr>
        <w:t>, стр. 6—7.</w:t>
      </w:r>
    </w:p>
  </w:footnote>
  <w:footnote w:id="140">
    <w:p w14:paraId="1975470C" w14:textId="66AF07F3" w:rsidR="00DA6489" w:rsidRPr="006E6596" w:rsidRDefault="00DA6489" w:rsidP="00DA6489">
      <w:pPr>
        <w:pStyle w:val="FootnoteText"/>
        <w:jc w:val="both"/>
        <w:rPr>
          <w:lang w:val="bg-BG"/>
        </w:rPr>
      </w:pPr>
      <w:r w:rsidRPr="006E6596">
        <w:rPr>
          <w:rStyle w:val="FootnoteReference"/>
          <w:lang w:val="bg-BG"/>
        </w:rPr>
        <w:footnoteRef/>
      </w:r>
      <w:r w:rsidRPr="006E6596">
        <w:rPr>
          <w:lang w:val="bg-BG"/>
        </w:rPr>
        <w:t xml:space="preserve"> В допълнение към предоставянето на информация, те включват онлайн подаване на полицейски доклади и молби до съда, администриране на цифрови файлове по дела за преглед и изтегляне на съдебни документи и подаване на документи и съдебни заседания във формат на видеоконферентна връзка и аудио- и видео записи на производства. Например, становището на </w:t>
      </w:r>
      <w:r w:rsidRPr="006E6596">
        <w:rPr>
          <w:b/>
          <w:lang w:val="bg-BG"/>
        </w:rPr>
        <w:t>Белгия</w:t>
      </w:r>
      <w:r w:rsidRPr="006E6596">
        <w:rPr>
          <w:lang w:val="bg-BG"/>
        </w:rPr>
        <w:t>, стр. 6, 20, се отнася до електронно подаване на документи, онлайн съдебни досиета, онлайн решения по въпроси, които се отнасят до уязвими лица и онлайн търсенето на одобрен писмен преводач, устен преводач или експерт. В бъдеще следва също така да бъде осигурена възможност за електронно образуване на съдебни производства, подаване на молби, осъществяване на онлайн комуникация със съдилищата и извършване на електронен преглед на решенията.</w:t>
      </w:r>
    </w:p>
  </w:footnote>
  <w:footnote w:id="141">
    <w:p w14:paraId="4333698E" w14:textId="5AA3BA54" w:rsidR="00DA6489" w:rsidRPr="006E6596" w:rsidRDefault="00DA6489" w:rsidP="00DA6489">
      <w:pPr>
        <w:pStyle w:val="FootnoteText"/>
        <w:jc w:val="both"/>
        <w:rPr>
          <w:rStyle w:val="FootnoteReference"/>
          <w:lang w:val="bg-BG"/>
        </w:rPr>
      </w:pPr>
      <w:r w:rsidRPr="006E6596">
        <w:rPr>
          <w:rStyle w:val="FootnoteReference"/>
          <w:lang w:val="bg-BG"/>
        </w:rPr>
        <w:footnoteRef/>
      </w:r>
      <w:r w:rsidRPr="006E6596">
        <w:rPr>
          <w:lang w:val="bg-BG"/>
        </w:rPr>
        <w:t xml:space="preserve"> Становище на </w:t>
      </w:r>
      <w:r w:rsidRPr="006E6596">
        <w:rPr>
          <w:b/>
          <w:lang w:val="bg-BG"/>
        </w:rPr>
        <w:t>Германия</w:t>
      </w:r>
      <w:r w:rsidRPr="006E6596">
        <w:rPr>
          <w:lang w:val="bg-BG"/>
        </w:rPr>
        <w:t>,</w:t>
      </w:r>
      <w:r w:rsidRPr="006E6596">
        <w:rPr>
          <w:b/>
          <w:lang w:val="bg-BG"/>
        </w:rPr>
        <w:t xml:space="preserve"> </w:t>
      </w:r>
      <w:r w:rsidRPr="006E6596">
        <w:rPr>
          <w:lang w:val="bg-BG"/>
        </w:rPr>
        <w:t>стр. 8.</w:t>
      </w:r>
    </w:p>
  </w:footnote>
  <w:footnote w:id="142">
    <w:p w14:paraId="26655064" w14:textId="65FDCCA3" w:rsidR="00DA6489" w:rsidRPr="006E6596" w:rsidRDefault="00DA6489" w:rsidP="00DA6489">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Франция</w:t>
      </w:r>
      <w:r w:rsidRPr="006E6596">
        <w:rPr>
          <w:lang w:val="bg-BG"/>
        </w:rPr>
        <w:t>, стр. 7.</w:t>
      </w:r>
    </w:p>
  </w:footnote>
  <w:footnote w:id="143">
    <w:p w14:paraId="1DD335CC" w14:textId="1BAA4C71" w:rsidR="00107E44" w:rsidRPr="006E6596" w:rsidRDefault="00107E44" w:rsidP="00107E44">
      <w:pPr>
        <w:pStyle w:val="FootnoteText"/>
        <w:jc w:val="both"/>
        <w:rPr>
          <w:lang w:val="bg-BG"/>
        </w:rPr>
      </w:pPr>
      <w:r w:rsidRPr="006E6596">
        <w:rPr>
          <w:rStyle w:val="FootnoteReference"/>
          <w:lang w:val="bg-BG"/>
        </w:rPr>
        <w:footnoteRef/>
      </w:r>
      <w:r w:rsidRPr="006E6596">
        <w:rPr>
          <w:lang w:val="bg-BG"/>
        </w:rPr>
        <w:t xml:space="preserve"> Онлайн консултация чрез Платформата за основните права, въпрос 3: Използват ли се цифрови инструменти във вашата държава членка за улесняване на достъпа до правосъдие чрез съдебни и извънсъдебни средства за защита? Докладът за върховенството на закона за 2023 г., стр. 9—10, се отнася до по-нататъшното увеличаване на използването на електронната комуникационна система и интегрирането на повечето останали съдилища в единна система в </w:t>
      </w:r>
      <w:r w:rsidRPr="006E6596">
        <w:rPr>
          <w:b/>
          <w:lang w:val="bg-BG"/>
        </w:rPr>
        <w:t>Хърватия</w:t>
      </w:r>
      <w:r w:rsidRPr="006E6596">
        <w:rPr>
          <w:lang w:val="bg-BG"/>
        </w:rPr>
        <w:t xml:space="preserve">. Въпреки това остават нерешени значителни проблеми с ефикасността и качеството, свързани с цифровизацията на правосъдието. В </w:t>
      </w:r>
      <w:r w:rsidRPr="006E6596">
        <w:rPr>
          <w:b/>
          <w:lang w:val="bg-BG"/>
        </w:rPr>
        <w:t>Италия</w:t>
      </w:r>
      <w:r w:rsidRPr="006E6596">
        <w:rPr>
          <w:lang w:val="bg-BG"/>
        </w:rPr>
        <w:t xml:space="preserve"> цифровизацията на системата за гражданско правосъдие е напреднала значително, докато изменените процесуални правила, позволяващи цифровизацията в системата за наказателно правосъдие, все още предстои да бъдат напълно приложени. </w:t>
      </w:r>
    </w:p>
  </w:footnote>
  <w:footnote w:id="144">
    <w:p w14:paraId="56313A30" w14:textId="415BAADC"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w:t>
      </w:r>
      <w:r w:rsidR="00703916">
        <w:rPr>
          <w:lang w:val="bg-BG"/>
        </w:rPr>
        <w:t xml:space="preserve"> </w:t>
      </w:r>
      <w:r w:rsidRPr="006E6596">
        <w:rPr>
          <w:b/>
          <w:lang w:val="bg-BG"/>
        </w:rPr>
        <w:t>Словакия</w:t>
      </w:r>
      <w:r w:rsidRPr="006E6596">
        <w:rPr>
          <w:lang w:val="bg-BG"/>
        </w:rPr>
        <w:t xml:space="preserve">, стр. 4, относно специален уебсайт на Върховния съд; Становище на </w:t>
      </w:r>
      <w:r w:rsidRPr="006E6596">
        <w:rPr>
          <w:b/>
          <w:lang w:val="bg-BG"/>
        </w:rPr>
        <w:t>България</w:t>
      </w:r>
      <w:r w:rsidRPr="006E6596">
        <w:rPr>
          <w:lang w:val="bg-BG"/>
        </w:rPr>
        <w:t xml:space="preserve">, стр. 19, относно портал за електронно правосъдие с безплатен, пряк и постоянен електронен достъп; Становище на </w:t>
      </w:r>
      <w:r w:rsidRPr="006E6596">
        <w:rPr>
          <w:b/>
          <w:lang w:val="bg-BG"/>
        </w:rPr>
        <w:t>Испания</w:t>
      </w:r>
      <w:r w:rsidRPr="006E6596">
        <w:rPr>
          <w:lang w:val="bg-BG"/>
        </w:rPr>
        <w:t xml:space="preserve">, стр. 1, 5, относно предоставяне онлайн на информация за съдебната администрация и съдебните и извънсъдебните средства за защита; Становище на </w:t>
      </w:r>
      <w:r w:rsidRPr="006E6596">
        <w:rPr>
          <w:b/>
          <w:lang w:val="bg-BG"/>
        </w:rPr>
        <w:t>Австрия</w:t>
      </w:r>
      <w:r w:rsidRPr="006E6596">
        <w:rPr>
          <w:lang w:val="bg-BG"/>
        </w:rPr>
        <w:t>, стр. 14—15.</w:t>
      </w:r>
    </w:p>
  </w:footnote>
  <w:footnote w:id="145">
    <w:p w14:paraId="39922512" w14:textId="084EEFB0"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Люксембург</w:t>
      </w:r>
      <w:r w:rsidRPr="006E6596">
        <w:rPr>
          <w:lang w:val="bg-BG"/>
        </w:rPr>
        <w:t xml:space="preserve">. стр. 5. Комисията обаче отправи препоръка към Люксембург във връзка с предстоящата реформа за по-достъпна правна помощ в доклада за върховенството на закона за 2023 г. (стр. 10). </w:t>
      </w:r>
    </w:p>
  </w:footnote>
  <w:footnote w:id="146">
    <w:p w14:paraId="36A4F104" w14:textId="61472E29"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Онлайн консултация чрез </w:t>
      </w:r>
      <w:r w:rsidRPr="006E6596">
        <w:rPr>
          <w:b/>
          <w:lang w:val="bg-BG"/>
        </w:rPr>
        <w:t>Платформата за основните права</w:t>
      </w:r>
      <w:r w:rsidRPr="006E6596">
        <w:rPr>
          <w:lang w:val="bg-BG"/>
        </w:rPr>
        <w:t>, въпрос 2: „Според вашия опит във вашата държава членка на практика предоставя ли се информация относно наличните средства за защита и стъпките, които трябва да се предприемат в рамките на съдебен процес/при осъществяване на достъп до извънсъдебни средства за защита?”.</w:t>
      </w:r>
    </w:p>
  </w:footnote>
  <w:footnote w:id="147">
    <w:p w14:paraId="70BEF93F" w14:textId="54A08226"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Становище на </w:t>
      </w:r>
      <w:r w:rsidRPr="006E6596">
        <w:rPr>
          <w:b/>
          <w:lang w:val="bg-BG"/>
        </w:rPr>
        <w:t>Австрия</w:t>
      </w:r>
      <w:r w:rsidRPr="006E6596">
        <w:rPr>
          <w:lang w:val="bg-BG"/>
        </w:rPr>
        <w:t xml:space="preserve">, стр. 16; Становище на </w:t>
      </w:r>
      <w:r w:rsidRPr="006E6596">
        <w:rPr>
          <w:b/>
          <w:lang w:val="bg-BG"/>
        </w:rPr>
        <w:t>Белгия</w:t>
      </w:r>
      <w:r w:rsidRPr="006E6596">
        <w:rPr>
          <w:lang w:val="bg-BG"/>
        </w:rPr>
        <w:t xml:space="preserve">, стр. 28; Становище на </w:t>
      </w:r>
      <w:r w:rsidRPr="006E6596">
        <w:rPr>
          <w:b/>
          <w:lang w:val="bg-BG"/>
        </w:rPr>
        <w:t>Хърватия</w:t>
      </w:r>
      <w:r w:rsidRPr="006E6596">
        <w:rPr>
          <w:lang w:val="bg-BG"/>
        </w:rPr>
        <w:t xml:space="preserve">, стр. 7; Становище на </w:t>
      </w:r>
      <w:r w:rsidRPr="006E6596">
        <w:rPr>
          <w:b/>
          <w:lang w:val="bg-BG"/>
        </w:rPr>
        <w:t>Финландия</w:t>
      </w:r>
      <w:r w:rsidRPr="006E6596">
        <w:rPr>
          <w:lang w:val="bg-BG"/>
        </w:rPr>
        <w:t xml:space="preserve">, стр. 6—7; Становище на </w:t>
      </w:r>
      <w:r w:rsidRPr="006E6596">
        <w:rPr>
          <w:b/>
          <w:lang w:val="bg-BG"/>
        </w:rPr>
        <w:t>Франция</w:t>
      </w:r>
      <w:r w:rsidRPr="006E6596">
        <w:rPr>
          <w:lang w:val="bg-BG"/>
        </w:rPr>
        <w:t xml:space="preserve">, стр. 8; Становище на </w:t>
      </w:r>
      <w:r w:rsidRPr="006E6596">
        <w:rPr>
          <w:b/>
          <w:lang w:val="bg-BG"/>
        </w:rPr>
        <w:t>Германия</w:t>
      </w:r>
      <w:r w:rsidRPr="006E6596">
        <w:rPr>
          <w:lang w:val="bg-BG"/>
        </w:rPr>
        <w:t xml:space="preserve">, стр. 9; Становище на </w:t>
      </w:r>
      <w:r w:rsidRPr="006E6596">
        <w:rPr>
          <w:b/>
          <w:lang w:val="bg-BG"/>
        </w:rPr>
        <w:t>Гърция</w:t>
      </w:r>
      <w:r w:rsidRPr="006E6596">
        <w:rPr>
          <w:lang w:val="bg-BG"/>
        </w:rPr>
        <w:t xml:space="preserve">, стр. 12—14; Становище на Унгария, стр. 12; Становище на </w:t>
      </w:r>
      <w:r w:rsidRPr="006E6596">
        <w:rPr>
          <w:b/>
          <w:lang w:val="bg-BG"/>
        </w:rPr>
        <w:t>Ирландия</w:t>
      </w:r>
      <w:r w:rsidRPr="006E6596">
        <w:rPr>
          <w:lang w:val="bg-BG"/>
        </w:rPr>
        <w:t xml:space="preserve">, стр. 2; Становище на </w:t>
      </w:r>
      <w:r w:rsidRPr="006E6596">
        <w:rPr>
          <w:b/>
          <w:lang w:val="bg-BG"/>
        </w:rPr>
        <w:t>Латвия</w:t>
      </w:r>
      <w:r w:rsidRPr="006E6596">
        <w:rPr>
          <w:lang w:val="bg-BG"/>
        </w:rPr>
        <w:t xml:space="preserve">, стр. 7; Становище на </w:t>
      </w:r>
      <w:r w:rsidRPr="006E6596">
        <w:rPr>
          <w:b/>
          <w:lang w:val="bg-BG"/>
        </w:rPr>
        <w:t>Литва</w:t>
      </w:r>
      <w:r w:rsidRPr="006E6596">
        <w:rPr>
          <w:lang w:val="bg-BG"/>
        </w:rPr>
        <w:t xml:space="preserve">, стр. 8—9; Становище на </w:t>
      </w:r>
      <w:r w:rsidRPr="006E6596">
        <w:rPr>
          <w:b/>
          <w:lang w:val="bg-BG"/>
        </w:rPr>
        <w:t>Люксембург</w:t>
      </w:r>
      <w:r w:rsidRPr="006E6596">
        <w:rPr>
          <w:lang w:val="bg-BG"/>
        </w:rPr>
        <w:t xml:space="preserve">, стр. 5; Становище на </w:t>
      </w:r>
      <w:r w:rsidRPr="006E6596">
        <w:rPr>
          <w:b/>
          <w:lang w:val="bg-BG"/>
        </w:rPr>
        <w:t>Нидерландия</w:t>
      </w:r>
      <w:r w:rsidRPr="006E6596">
        <w:rPr>
          <w:lang w:val="bg-BG"/>
        </w:rPr>
        <w:t xml:space="preserve">, стр. 3; Становище на </w:t>
      </w:r>
      <w:r w:rsidRPr="006E6596">
        <w:rPr>
          <w:b/>
          <w:lang w:val="bg-BG"/>
        </w:rPr>
        <w:t>Полша</w:t>
      </w:r>
      <w:r w:rsidRPr="006E6596">
        <w:rPr>
          <w:lang w:val="bg-BG"/>
        </w:rPr>
        <w:t xml:space="preserve">, стр. 18; Становище на </w:t>
      </w:r>
      <w:r w:rsidRPr="006E6596">
        <w:rPr>
          <w:b/>
          <w:lang w:val="bg-BG"/>
        </w:rPr>
        <w:t>звеното за връзка по въпросите на Хартата на Португалия</w:t>
      </w:r>
      <w:r w:rsidRPr="006E6596">
        <w:rPr>
          <w:lang w:val="bg-BG"/>
        </w:rPr>
        <w:t xml:space="preserve">, стр. 6; Становище на </w:t>
      </w:r>
      <w:r w:rsidRPr="006E6596">
        <w:rPr>
          <w:b/>
          <w:lang w:val="bg-BG"/>
        </w:rPr>
        <w:t>Румъния</w:t>
      </w:r>
      <w:r w:rsidRPr="006E6596">
        <w:rPr>
          <w:lang w:val="bg-BG"/>
        </w:rPr>
        <w:t xml:space="preserve">, стр. 11; Становище на </w:t>
      </w:r>
      <w:r w:rsidRPr="006E6596">
        <w:rPr>
          <w:b/>
          <w:lang w:val="bg-BG"/>
        </w:rPr>
        <w:t>Швеция</w:t>
      </w:r>
      <w:r w:rsidRPr="006E6596">
        <w:rPr>
          <w:lang w:val="bg-BG"/>
        </w:rPr>
        <w:t xml:space="preserve">, стр. 7; Становище на </w:t>
      </w:r>
      <w:r w:rsidRPr="006E6596">
        <w:rPr>
          <w:b/>
          <w:lang w:val="bg-BG"/>
        </w:rPr>
        <w:t>Словакия</w:t>
      </w:r>
      <w:r w:rsidRPr="006E6596">
        <w:rPr>
          <w:lang w:val="bg-BG"/>
        </w:rPr>
        <w:t xml:space="preserve">, стр. 4—5; Становище на </w:t>
      </w:r>
      <w:r w:rsidRPr="006E6596">
        <w:rPr>
          <w:b/>
          <w:lang w:val="bg-BG"/>
        </w:rPr>
        <w:t>Словения</w:t>
      </w:r>
      <w:r w:rsidRPr="006E6596">
        <w:rPr>
          <w:lang w:val="bg-BG"/>
        </w:rPr>
        <w:t>, стр. 7; Въпреки това в момента се водят производства за установяване на нарушения срещу четири държави членки за неправилно транспониране на Директива 2010/64/ЕС.</w:t>
      </w:r>
    </w:p>
  </w:footnote>
  <w:footnote w:id="148">
    <w:p w14:paraId="696CDB13" w14:textId="37D69308"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Гърция</w:t>
      </w:r>
      <w:r w:rsidRPr="006E6596">
        <w:rPr>
          <w:lang w:val="bg-BG"/>
        </w:rPr>
        <w:t xml:space="preserve">, стр. 12—14. Становище на </w:t>
      </w:r>
      <w:r w:rsidRPr="006E6596">
        <w:rPr>
          <w:b/>
          <w:lang w:val="bg-BG"/>
        </w:rPr>
        <w:t>Франция</w:t>
      </w:r>
      <w:r w:rsidRPr="006E6596">
        <w:rPr>
          <w:lang w:val="bg-BG"/>
        </w:rPr>
        <w:t xml:space="preserve">, стр. 3—4. Становище на </w:t>
      </w:r>
      <w:r w:rsidRPr="006E6596">
        <w:rPr>
          <w:b/>
          <w:lang w:val="bg-BG"/>
        </w:rPr>
        <w:t>Белгия</w:t>
      </w:r>
      <w:r w:rsidRPr="006E6596">
        <w:rPr>
          <w:lang w:val="bg-BG"/>
        </w:rPr>
        <w:t xml:space="preserve">, стр. 28. Становище при консултациите с </w:t>
      </w:r>
      <w:r w:rsidRPr="006E6596">
        <w:rPr>
          <w:b/>
          <w:lang w:val="bg-BG"/>
        </w:rPr>
        <w:t>Финландия</w:t>
      </w:r>
      <w:r w:rsidRPr="006E6596">
        <w:rPr>
          <w:lang w:val="bg-BG"/>
        </w:rPr>
        <w:t>, стр. 6—7.</w:t>
      </w:r>
    </w:p>
  </w:footnote>
  <w:footnote w:id="149">
    <w:p w14:paraId="101D450B" w14:textId="77777777"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Франция</w:t>
      </w:r>
      <w:r w:rsidRPr="006E6596">
        <w:rPr>
          <w:lang w:val="bg-BG"/>
        </w:rPr>
        <w:t xml:space="preserve">, стр. 3—4, свързано с правото на жертва на престъпление, която не разбира френски език, да получи устен и писмен превод на информацията, необходима за упражняване на правата, с които разполага. Жертвите на престъпления имат право да поискат писмени преводи или устни резюмета на съдебните заседания; Становище на </w:t>
      </w:r>
      <w:r w:rsidRPr="006E6596">
        <w:rPr>
          <w:b/>
          <w:lang w:val="bg-BG"/>
        </w:rPr>
        <w:t>Австрия</w:t>
      </w:r>
      <w:r w:rsidRPr="006E6596">
        <w:rPr>
          <w:lang w:val="bg-BG"/>
        </w:rPr>
        <w:t>, стр. 16.</w:t>
      </w:r>
    </w:p>
  </w:footnote>
  <w:footnote w:id="150">
    <w:p w14:paraId="4DEE6201" w14:textId="77777777"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Унгария</w:t>
      </w:r>
      <w:r w:rsidRPr="006E6596">
        <w:rPr>
          <w:lang w:val="bg-BG"/>
        </w:rPr>
        <w:t>, стр. 12—13.</w:t>
      </w:r>
    </w:p>
  </w:footnote>
  <w:footnote w:id="151">
    <w:p w14:paraId="4D32A43E" w14:textId="77777777"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Нидерландия</w:t>
      </w:r>
      <w:r w:rsidRPr="006E6596">
        <w:rPr>
          <w:lang w:val="bg-BG"/>
        </w:rPr>
        <w:t>, стр. 3.</w:t>
      </w:r>
    </w:p>
  </w:footnote>
  <w:footnote w:id="152">
    <w:p w14:paraId="2AD3BD3C" w14:textId="77777777"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Хърватия</w:t>
      </w:r>
      <w:r w:rsidRPr="006E6596">
        <w:rPr>
          <w:lang w:val="bg-BG"/>
        </w:rPr>
        <w:t>, стр. 7.</w:t>
      </w:r>
    </w:p>
  </w:footnote>
  <w:footnote w:id="153">
    <w:p w14:paraId="180F710E" w14:textId="77777777"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Омбудсманът на Хърватия</w:t>
      </w:r>
      <w:r w:rsidRPr="006E6596">
        <w:rPr>
          <w:lang w:val="bg-BG"/>
        </w:rPr>
        <w:t>, стр. 7.</w:t>
      </w:r>
    </w:p>
  </w:footnote>
  <w:footnote w:id="154">
    <w:p w14:paraId="2370D9CA" w14:textId="6EB6FB0A"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Финландия,</w:t>
      </w:r>
      <w:r w:rsidRPr="006E6596">
        <w:rPr>
          <w:lang w:val="bg-BG"/>
        </w:rPr>
        <w:t xml:space="preserve"> стр. 6—7 Становище на </w:t>
      </w:r>
      <w:r w:rsidRPr="006E6596">
        <w:rPr>
          <w:b/>
          <w:lang w:val="bg-BG"/>
        </w:rPr>
        <w:t>Латвия</w:t>
      </w:r>
      <w:r w:rsidRPr="006E6596">
        <w:rPr>
          <w:lang w:val="bg-BG"/>
        </w:rPr>
        <w:t xml:space="preserve">, стр. 7; Становище на </w:t>
      </w:r>
      <w:r w:rsidRPr="006E6596">
        <w:rPr>
          <w:b/>
          <w:lang w:val="bg-BG"/>
        </w:rPr>
        <w:t>Белгия</w:t>
      </w:r>
      <w:r w:rsidRPr="006E6596">
        <w:rPr>
          <w:lang w:val="bg-BG"/>
        </w:rPr>
        <w:t xml:space="preserve">, стр. 21. </w:t>
      </w:r>
    </w:p>
  </w:footnote>
  <w:footnote w:id="155">
    <w:p w14:paraId="3B5FDA99" w14:textId="41F620FA"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В становището на </w:t>
      </w:r>
      <w:r w:rsidRPr="006E6596">
        <w:rPr>
          <w:b/>
          <w:lang w:val="bg-BG"/>
        </w:rPr>
        <w:t>Финландия</w:t>
      </w:r>
      <w:r w:rsidRPr="006E6596">
        <w:rPr>
          <w:lang w:val="bg-BG"/>
        </w:rPr>
        <w:t xml:space="preserve">, стр. 5—6, също така се посочва, че адвокати, защитници, устни и писмени преводачи могат да използват системата, за да кандидатстват за държавни средства, да подават фактури и да имат достъп до дистанционни услуги, свързани с правна помощ. </w:t>
      </w:r>
    </w:p>
  </w:footnote>
  <w:footnote w:id="156">
    <w:p w14:paraId="4CEEEC05" w14:textId="5B9AD7F1" w:rsidR="00B160AD" w:rsidRPr="006E6596" w:rsidRDefault="00B160AD" w:rsidP="00B160AD">
      <w:pPr>
        <w:pStyle w:val="FootnoteText"/>
        <w:jc w:val="both"/>
        <w:rPr>
          <w:lang w:val="bg-BG"/>
        </w:rPr>
      </w:pPr>
      <w:r w:rsidRPr="006E6596">
        <w:rPr>
          <w:rStyle w:val="FootnoteReference"/>
          <w:lang w:val="bg-BG"/>
        </w:rPr>
        <w:footnoteRef/>
      </w:r>
      <w:r w:rsidRPr="006E6596">
        <w:rPr>
          <w:lang w:val="bg-BG"/>
        </w:rPr>
        <w:t xml:space="preserve"> Онлайн консултация чрез Платформата за основните права, вж. въпрос 1.</w:t>
      </w:r>
    </w:p>
  </w:footnote>
  <w:footnote w:id="157">
    <w:p w14:paraId="5CD9346E" w14:textId="5E486100" w:rsidR="00D73988" w:rsidRPr="006E6596" w:rsidRDefault="00D73988" w:rsidP="00D73988">
      <w:pPr>
        <w:pStyle w:val="FootnoteText"/>
        <w:jc w:val="both"/>
        <w:rPr>
          <w:lang w:val="bg-BG"/>
        </w:rPr>
      </w:pPr>
      <w:r w:rsidRPr="006E6596">
        <w:rPr>
          <w:rStyle w:val="FootnoteReference"/>
          <w:lang w:val="bg-BG"/>
        </w:rPr>
        <w:footnoteRef/>
      </w:r>
      <w:r w:rsidR="006025D7">
        <w:rPr>
          <w:lang w:val="bg-BG"/>
        </w:rPr>
        <w:t xml:space="preserve"> </w:t>
      </w:r>
      <w:r w:rsidRPr="006E6596">
        <w:rPr>
          <w:lang w:val="bg-BG"/>
        </w:rPr>
        <w:t xml:space="preserve">Становище на </w:t>
      </w:r>
      <w:r w:rsidRPr="006E6596">
        <w:rPr>
          <w:b/>
          <w:lang w:val="bg-BG"/>
        </w:rPr>
        <w:t>Румъния</w:t>
      </w:r>
      <w:r w:rsidRPr="006E6596">
        <w:rPr>
          <w:lang w:val="bg-BG"/>
        </w:rPr>
        <w:t xml:space="preserve">, стр. 11. В Литва през 2021 г. беше въведена процедура за сътрудничество между лицата, които са реагирали първи, и лицата, които предоставят помощ на жертвите. Становище на </w:t>
      </w:r>
      <w:r w:rsidRPr="006E6596">
        <w:rPr>
          <w:b/>
          <w:lang w:val="bg-BG"/>
        </w:rPr>
        <w:t>Литва</w:t>
      </w:r>
      <w:r w:rsidRPr="006E6596">
        <w:rPr>
          <w:lang w:val="bg-BG"/>
        </w:rPr>
        <w:t>, стр. 9.</w:t>
      </w:r>
    </w:p>
  </w:footnote>
  <w:footnote w:id="158">
    <w:p w14:paraId="13BD554D"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Становище на </w:t>
      </w:r>
      <w:r w:rsidRPr="006E6596">
        <w:rPr>
          <w:b/>
          <w:lang w:val="bg-BG"/>
        </w:rPr>
        <w:t>Словения</w:t>
      </w:r>
      <w:r w:rsidRPr="006E6596">
        <w:rPr>
          <w:lang w:val="bg-BG"/>
        </w:rPr>
        <w:t>, стр. 10.</w:t>
      </w:r>
    </w:p>
  </w:footnote>
  <w:footnote w:id="159">
    <w:p w14:paraId="617E2FAE"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Австрия</w:t>
      </w:r>
      <w:r w:rsidRPr="006E6596">
        <w:rPr>
          <w:lang w:val="bg-BG"/>
        </w:rPr>
        <w:t>, стр. 1—2.</w:t>
      </w:r>
    </w:p>
  </w:footnote>
  <w:footnote w:id="160">
    <w:p w14:paraId="40F815B4"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Германия</w:t>
      </w:r>
      <w:r w:rsidRPr="006E6596">
        <w:rPr>
          <w:lang w:val="bg-BG"/>
        </w:rPr>
        <w:t>, стр. 12—13.</w:t>
      </w:r>
    </w:p>
  </w:footnote>
  <w:footnote w:id="161">
    <w:p w14:paraId="08657F06" w14:textId="67999DEA"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w:t>
      </w:r>
      <w:bookmarkStart w:id="52" w:name="_Hlk148693957"/>
      <w:r w:rsidRPr="006E6596">
        <w:rPr>
          <w:lang w:val="bg-BG"/>
        </w:rPr>
        <w:t xml:space="preserve">Становище на </w:t>
      </w:r>
      <w:r w:rsidRPr="006E6596">
        <w:rPr>
          <w:b/>
          <w:lang w:val="bg-BG"/>
        </w:rPr>
        <w:t>Швеция</w:t>
      </w:r>
      <w:r w:rsidRPr="006E6596">
        <w:rPr>
          <w:lang w:val="bg-BG"/>
        </w:rPr>
        <w:t>, стр.</w:t>
      </w:r>
      <w:bookmarkEnd w:id="52"/>
      <w:r w:rsidRPr="006E6596">
        <w:rPr>
          <w:lang w:val="bg-BG"/>
        </w:rPr>
        <w:t> 8—15.</w:t>
      </w:r>
    </w:p>
  </w:footnote>
  <w:footnote w:id="162">
    <w:p w14:paraId="38C6BA7C"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Гърция</w:t>
      </w:r>
      <w:r w:rsidRPr="006E6596">
        <w:rPr>
          <w:lang w:val="bg-BG"/>
        </w:rPr>
        <w:t>, стр. 15—16.</w:t>
      </w:r>
    </w:p>
  </w:footnote>
  <w:footnote w:id="163">
    <w:p w14:paraId="3AECEE74" w14:textId="64048029"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Хърватия</w:t>
      </w:r>
      <w:r w:rsidRPr="006E6596">
        <w:rPr>
          <w:lang w:val="bg-BG"/>
        </w:rPr>
        <w:t>, стр. 12—15. Становище на ENNHRI, стр. 3, относно пропуски, установени от НИПЧ при гарантирането на правата на жертвите на престъпления (жертви на престъпления от омраза и домашно насилие в</w:t>
      </w:r>
      <w:r w:rsidRPr="006E6596">
        <w:rPr>
          <w:b/>
          <w:lang w:val="bg-BG"/>
        </w:rPr>
        <w:t xml:space="preserve"> Германия</w:t>
      </w:r>
      <w:r w:rsidRPr="006E6596">
        <w:rPr>
          <w:lang w:val="bg-BG"/>
        </w:rPr>
        <w:t xml:space="preserve">, право на обезщетение за жертвите на трафик в </w:t>
      </w:r>
      <w:r w:rsidRPr="006E6596">
        <w:rPr>
          <w:b/>
          <w:lang w:val="bg-BG"/>
        </w:rPr>
        <w:t>Люксембург,</w:t>
      </w:r>
      <w:r w:rsidRPr="006E6596">
        <w:rPr>
          <w:lang w:val="bg-BG"/>
        </w:rPr>
        <w:t xml:space="preserve"> и жертви чужденци в </w:t>
      </w:r>
      <w:r w:rsidRPr="006E6596">
        <w:rPr>
          <w:b/>
          <w:lang w:val="bg-BG"/>
        </w:rPr>
        <w:t>Словения</w:t>
      </w:r>
      <w:r w:rsidRPr="006E6596">
        <w:rPr>
          <w:lang w:val="bg-BG"/>
        </w:rPr>
        <w:t xml:space="preserve">). </w:t>
      </w:r>
    </w:p>
  </w:footnote>
  <w:footnote w:id="164">
    <w:p w14:paraId="2E84B5F4" w14:textId="211012D4"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Онлайн консултация чрез </w:t>
      </w:r>
      <w:r w:rsidRPr="006E6596">
        <w:rPr>
          <w:b/>
          <w:lang w:val="bg-BG"/>
        </w:rPr>
        <w:t>Платформата за основните права</w:t>
      </w:r>
      <w:r w:rsidRPr="006E6596">
        <w:rPr>
          <w:lang w:val="bg-BG"/>
        </w:rPr>
        <w:t>, въпрос 1: Какви мерки се прилагат във вашата държава членка за премахване на езикови/културни/физически/финансови/други бариери пред лицата, които желаят да използват съдебни и извънсъдебни средства за защита? а) Устен и писмен превод (82 положителни отговора); б) Мерки за улесняване на достъпа на хора с увреждания, като например мерки, свързани с физическата достъпност на съдебните сгради (60); в) Правна помощ (79); г) Споразумения за насочване към служби за подкрепа на уязвими жертви, като жертви на домашно насилие или насилие, основано на пола (65); д) Наличие на бързи производства за уязвими страни, като например по дела, които се отнасят до сексуално насилие или деца (31); е) Други мерки (8).</w:t>
      </w:r>
    </w:p>
  </w:footnote>
  <w:footnote w:id="165">
    <w:p w14:paraId="34451501" w14:textId="00AF08F0" w:rsidR="00D73988" w:rsidRPr="006E6596" w:rsidRDefault="00D73988"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звеното за връзка по въпросите на Хартата на Кипър</w:t>
      </w:r>
      <w:r w:rsidRPr="006E6596">
        <w:rPr>
          <w:lang w:val="bg-BG"/>
        </w:rPr>
        <w:t xml:space="preserve">, стр. 3. Становище на </w:t>
      </w:r>
      <w:r w:rsidRPr="006E6596">
        <w:rPr>
          <w:b/>
          <w:lang w:val="bg-BG"/>
        </w:rPr>
        <w:t>Германия</w:t>
      </w:r>
      <w:r w:rsidRPr="006E6596">
        <w:rPr>
          <w:lang w:val="bg-BG"/>
        </w:rPr>
        <w:t xml:space="preserve">, стр. 4, 14, 18, относно опростена процедура за обвиняеми лица, които са малолетни или непълнолетни. Съгласно становището на </w:t>
      </w:r>
      <w:r w:rsidRPr="006E6596">
        <w:rPr>
          <w:b/>
          <w:lang w:val="bg-BG"/>
        </w:rPr>
        <w:t>Литва</w:t>
      </w:r>
      <w:r w:rsidRPr="006E6596">
        <w:rPr>
          <w:lang w:val="bg-BG"/>
        </w:rPr>
        <w:t xml:space="preserve">, стр. 10., разследването в досъдебното производство може да бъде с приоритет, когато заподозряното лице или жертвата са непълнолетни или когато заподозряното лице е задържано. В </w:t>
      </w:r>
      <w:r w:rsidRPr="006E6596">
        <w:rPr>
          <w:b/>
          <w:lang w:val="bg-BG"/>
        </w:rPr>
        <w:t>Латвия</w:t>
      </w:r>
      <w:r w:rsidRPr="006E6596">
        <w:rPr>
          <w:lang w:val="bg-BG"/>
        </w:rPr>
        <w:t xml:space="preserve">, наказателни производства, свързани с насилие или сексуално насилие, включително над деца, се разглеждат с приоритет. Становище на </w:t>
      </w:r>
      <w:r w:rsidRPr="006E6596">
        <w:rPr>
          <w:b/>
          <w:lang w:val="bg-BG"/>
        </w:rPr>
        <w:t>Латвия</w:t>
      </w:r>
      <w:r w:rsidRPr="006E6596">
        <w:rPr>
          <w:lang w:val="bg-BG"/>
        </w:rPr>
        <w:t>, стр. 7.</w:t>
      </w:r>
    </w:p>
  </w:footnote>
  <w:footnote w:id="166">
    <w:p w14:paraId="59438627" w14:textId="2247883A" w:rsidR="00D73988" w:rsidRPr="006E6596" w:rsidRDefault="00D73988"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Белгия</w:t>
      </w:r>
      <w:r w:rsidRPr="006E6596">
        <w:rPr>
          <w:lang w:val="bg-BG"/>
        </w:rPr>
        <w:t xml:space="preserve">, стр. 26. Становище при консултациите с </w:t>
      </w:r>
      <w:r w:rsidRPr="006E6596">
        <w:rPr>
          <w:b/>
          <w:lang w:val="bg-BG"/>
        </w:rPr>
        <w:t>Нидерландия</w:t>
      </w:r>
      <w:r w:rsidRPr="006E6596">
        <w:rPr>
          <w:lang w:val="bg-BG"/>
        </w:rPr>
        <w:t>, стр. 5 се отнася до проект, въвеждащ съкратена правна процедура насочена към намаляване на броя на конфликтите между родителите по време на разводи и предотвратяване на вредните последствия за децата.</w:t>
      </w:r>
    </w:p>
  </w:footnote>
  <w:footnote w:id="167">
    <w:p w14:paraId="0E7E6841" w14:textId="17562122" w:rsidR="00D73988" w:rsidRPr="006E6596" w:rsidRDefault="00D73988"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Литва</w:t>
      </w:r>
      <w:r w:rsidRPr="006E6596">
        <w:rPr>
          <w:lang w:val="bg-BG"/>
        </w:rPr>
        <w:t>, стр. 9.</w:t>
      </w:r>
    </w:p>
    <w:p w14:paraId="2272302D" w14:textId="5DB76442" w:rsidR="00D73988" w:rsidRPr="006E6596" w:rsidRDefault="00D73988" w:rsidP="00F41127">
      <w:pPr>
        <w:pStyle w:val="FootnoteText"/>
        <w:jc w:val="both"/>
        <w:rPr>
          <w:lang w:val="bg-BG"/>
        </w:rPr>
      </w:pPr>
      <w:r w:rsidRPr="006E6596">
        <w:rPr>
          <w:lang w:val="bg-BG"/>
        </w:rPr>
        <w:t xml:space="preserve"> Становище на </w:t>
      </w:r>
      <w:r w:rsidRPr="006E6596">
        <w:rPr>
          <w:b/>
          <w:lang w:val="bg-BG"/>
        </w:rPr>
        <w:t>Австрия</w:t>
      </w:r>
      <w:r w:rsidRPr="006E6596">
        <w:rPr>
          <w:lang w:val="bg-BG"/>
        </w:rPr>
        <w:t xml:space="preserve">, стр. 20. Становище на </w:t>
      </w:r>
      <w:r w:rsidRPr="006E6596">
        <w:rPr>
          <w:b/>
          <w:lang w:val="bg-BG"/>
        </w:rPr>
        <w:t>Белгия</w:t>
      </w:r>
      <w:r w:rsidRPr="006E6596">
        <w:rPr>
          <w:lang w:val="bg-BG"/>
        </w:rPr>
        <w:t xml:space="preserve">, стр. 24—25, становище на </w:t>
      </w:r>
      <w:r w:rsidRPr="006E6596">
        <w:rPr>
          <w:b/>
          <w:lang w:val="bg-BG"/>
        </w:rPr>
        <w:t>Словакия</w:t>
      </w:r>
      <w:r w:rsidRPr="006E6596">
        <w:rPr>
          <w:lang w:val="bg-BG"/>
        </w:rPr>
        <w:t>, стр. 4—5.</w:t>
      </w:r>
    </w:p>
    <w:p w14:paraId="11AEE86C" w14:textId="7F1ACE78" w:rsidR="00D73988" w:rsidRPr="006E6596" w:rsidRDefault="00D73988" w:rsidP="002872CE">
      <w:pPr>
        <w:pStyle w:val="FootnoteText"/>
        <w:jc w:val="both"/>
        <w:rPr>
          <w:lang w:val="bg-BG"/>
        </w:rPr>
      </w:pPr>
      <w:r w:rsidRPr="006E6596">
        <w:rPr>
          <w:lang w:val="bg-BG"/>
        </w:rPr>
        <w:t xml:space="preserve"> Становище на </w:t>
      </w:r>
      <w:r w:rsidRPr="006E6596">
        <w:rPr>
          <w:b/>
          <w:lang w:val="bg-BG"/>
        </w:rPr>
        <w:t>Словения</w:t>
      </w:r>
      <w:r w:rsidRPr="006E6596">
        <w:rPr>
          <w:lang w:val="bg-BG"/>
        </w:rPr>
        <w:t>, стр. 10.</w:t>
      </w:r>
    </w:p>
  </w:footnote>
  <w:footnote w:id="168">
    <w:p w14:paraId="7E1721F1" w14:textId="5BE873C0" w:rsidR="00D73988" w:rsidRPr="006E6596" w:rsidRDefault="00D73988" w:rsidP="002872CE">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Финландия</w:t>
      </w:r>
      <w:r w:rsidRPr="006E6596">
        <w:rPr>
          <w:lang w:val="bg-BG"/>
        </w:rPr>
        <w:t>, стр. 7.</w:t>
      </w:r>
    </w:p>
  </w:footnote>
  <w:footnote w:id="169">
    <w:p w14:paraId="587E08EB" w14:textId="6AEC1276" w:rsidR="00D73988" w:rsidRPr="006E6596" w:rsidRDefault="00D73988" w:rsidP="002872CE">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Швеция</w:t>
      </w:r>
      <w:r w:rsidRPr="006E6596">
        <w:rPr>
          <w:lang w:val="bg-BG"/>
        </w:rPr>
        <w:t>, стр. 9—10. Становище на</w:t>
      </w:r>
      <w:r w:rsidRPr="006E6596">
        <w:rPr>
          <w:b/>
          <w:lang w:val="bg-BG"/>
        </w:rPr>
        <w:t xml:space="preserve"> Португалия</w:t>
      </w:r>
      <w:r w:rsidRPr="006E6596">
        <w:rPr>
          <w:lang w:val="bg-BG"/>
        </w:rPr>
        <w:t>, стр. 6—7, относно служби за подкрепа на жертви на насилие, основано на пола, които са създадени или предстои да бъдат създават в осем града.</w:t>
      </w:r>
    </w:p>
  </w:footnote>
  <w:footnote w:id="170">
    <w:p w14:paraId="76290EA3" w14:textId="730D4AF4" w:rsidR="00D73988" w:rsidRPr="006E6596" w:rsidRDefault="00D73988" w:rsidP="002872CE">
      <w:pPr>
        <w:pStyle w:val="FootnoteText"/>
        <w:jc w:val="both"/>
        <w:rPr>
          <w:lang w:val="bg-BG"/>
        </w:rPr>
      </w:pPr>
      <w:r w:rsidRPr="006E6596">
        <w:rPr>
          <w:rStyle w:val="FootnoteReference"/>
          <w:lang w:val="bg-BG"/>
        </w:rPr>
        <w:footnoteRef/>
      </w:r>
      <w:r w:rsidRPr="006E6596">
        <w:rPr>
          <w:lang w:val="bg-BG"/>
        </w:rPr>
        <w:t xml:space="preserve"> Становище на</w:t>
      </w:r>
      <w:r w:rsidRPr="006E6596">
        <w:rPr>
          <w:b/>
          <w:lang w:val="bg-BG"/>
        </w:rPr>
        <w:t xml:space="preserve"> Хърватия</w:t>
      </w:r>
      <w:r w:rsidRPr="006E6596">
        <w:rPr>
          <w:lang w:val="bg-BG"/>
        </w:rPr>
        <w:t>, стр. 5—6, относно процедурата по дела за сексуално насилие.</w:t>
      </w:r>
    </w:p>
  </w:footnote>
  <w:footnote w:id="171">
    <w:p w14:paraId="53F9B46C" w14:textId="77777777" w:rsidR="00294A96" w:rsidRPr="006E6596" w:rsidRDefault="00294A96" w:rsidP="00294A96">
      <w:pPr>
        <w:pStyle w:val="FootnoteText"/>
        <w:jc w:val="both"/>
        <w:rPr>
          <w:lang w:val="bg-BG"/>
        </w:rPr>
      </w:pPr>
      <w:r w:rsidRPr="006E6596">
        <w:rPr>
          <w:rStyle w:val="FootnoteReference"/>
          <w:lang w:val="bg-BG"/>
        </w:rPr>
        <w:footnoteRef/>
      </w:r>
      <w:r w:rsidRPr="006E6596">
        <w:rPr>
          <w:lang w:val="bg-BG"/>
        </w:rPr>
        <w:t xml:space="preserve"> Стратегия за Хартата, стр. 10, 18, относно анализа в подкрепа на консултациите със заинтересованите страни, стр. 31.</w:t>
      </w:r>
    </w:p>
  </w:footnote>
  <w:footnote w:id="172">
    <w:p w14:paraId="2D8B7FE2" w14:textId="77777777" w:rsidR="00294A96" w:rsidRPr="006E6596" w:rsidRDefault="00294A96" w:rsidP="00294A96">
      <w:pPr>
        <w:pStyle w:val="FootnoteText"/>
        <w:jc w:val="both"/>
        <w:rPr>
          <w:lang w:val="bg-BG"/>
        </w:rPr>
      </w:pPr>
      <w:r w:rsidRPr="006E6596">
        <w:rPr>
          <w:rStyle w:val="FootnoteReference"/>
          <w:lang w:val="bg-BG"/>
        </w:rPr>
        <w:footnoteRef/>
      </w:r>
      <w:r w:rsidRPr="006E6596">
        <w:rPr>
          <w:lang w:val="bg-BG"/>
        </w:rPr>
        <w:t xml:space="preserve"> </w:t>
      </w:r>
      <w:r w:rsidRPr="006E6596">
        <w:rPr>
          <w:b/>
          <w:lang w:val="bg-BG"/>
        </w:rPr>
        <w:t>16 държави членки</w:t>
      </w:r>
      <w:r w:rsidRPr="006E6596">
        <w:rPr>
          <w:lang w:val="bg-BG"/>
        </w:rPr>
        <w:t xml:space="preserve"> предвиждат като специфична уредба за достъп до правосъдие на лица, изложени на риск от дискриминация, и на възрастни хора, правото на ОГО и/или органите по въпросите на равенството да започват или да участват в съдебни производства от името или в подкрепа на една или няколко жертви. Информационно табло на ЕС в областта на правосъдието за 2023 г., стр. 25. Различни ОГО в </w:t>
      </w:r>
      <w:r w:rsidRPr="006E6596">
        <w:rPr>
          <w:b/>
          <w:lang w:val="bg-BG"/>
        </w:rPr>
        <w:t>Словения</w:t>
      </w:r>
      <w:r w:rsidRPr="006E6596">
        <w:rPr>
          <w:lang w:val="bg-BG"/>
        </w:rPr>
        <w:t xml:space="preserve"> се борят с дискриминацията и предоставят подкрепа на жертвите, включително на жертви от уязвими групи. Те предоставят правни съвети, застъпничество и помощ при търсене на средства за защита по дела за дискриминация. Становище на Словения, стр. 3—4. Становище на </w:t>
      </w:r>
      <w:r w:rsidRPr="006E6596">
        <w:rPr>
          <w:b/>
          <w:lang w:val="bg-BG"/>
        </w:rPr>
        <w:t>звеното за връзка по въпросите на Хартата на Словения</w:t>
      </w:r>
      <w:r w:rsidRPr="006E6596">
        <w:rPr>
          <w:lang w:val="bg-BG"/>
        </w:rPr>
        <w:t>, стр. 3.</w:t>
      </w:r>
    </w:p>
  </w:footnote>
  <w:footnote w:id="173">
    <w:p w14:paraId="5BB5C31D" w14:textId="77777777" w:rsidR="00294A96" w:rsidRPr="006E6596" w:rsidRDefault="00294A96" w:rsidP="00294A96">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Германия</w:t>
      </w:r>
      <w:r w:rsidRPr="006E6596">
        <w:rPr>
          <w:lang w:val="bg-BG"/>
        </w:rPr>
        <w:t xml:space="preserve">, стр. 12—13. </w:t>
      </w:r>
    </w:p>
  </w:footnote>
  <w:footnote w:id="174">
    <w:p w14:paraId="34029B49" w14:textId="77777777" w:rsidR="00093CBD" w:rsidRPr="006E6596" w:rsidRDefault="00093CBD" w:rsidP="002872CE">
      <w:pPr>
        <w:pStyle w:val="FootnoteText"/>
        <w:jc w:val="both"/>
        <w:rPr>
          <w:lang w:val="bg-BG"/>
        </w:rPr>
      </w:pPr>
      <w:r w:rsidRPr="006E6596">
        <w:rPr>
          <w:rStyle w:val="FootnoteReference"/>
          <w:lang w:val="bg-BG"/>
        </w:rPr>
        <w:footnoteRef/>
      </w:r>
      <w:r w:rsidRPr="006E6596">
        <w:rPr>
          <w:lang w:val="bg-BG"/>
        </w:rPr>
        <w:t xml:space="preserve"> Информационно табло на ЕС в областта на правосъдието за 2023 г., стр. 24—25, 31.</w:t>
      </w:r>
    </w:p>
  </w:footnote>
  <w:footnote w:id="175">
    <w:p w14:paraId="62F9274C" w14:textId="5B83EEB9" w:rsidR="00093CBD" w:rsidRPr="006E6596" w:rsidRDefault="00093CBD" w:rsidP="002872CE">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Унгария</w:t>
      </w:r>
      <w:r w:rsidRPr="006E6596">
        <w:rPr>
          <w:lang w:val="bg-BG"/>
        </w:rPr>
        <w:t xml:space="preserve">, стр. 16—17, относно участието на 932 съдии, 601 помощник-съдии и 102 стажанти. Обхванатите уязвими групи включват деца, възрастни хора, хора с увреждания и жертви на домашно насилие и трафик на хора. Становище на </w:t>
      </w:r>
      <w:r w:rsidRPr="006E6596">
        <w:rPr>
          <w:b/>
          <w:lang w:val="bg-BG"/>
        </w:rPr>
        <w:t>Литва</w:t>
      </w:r>
      <w:r w:rsidRPr="006E6596">
        <w:rPr>
          <w:lang w:val="bg-BG"/>
        </w:rPr>
        <w:t xml:space="preserve">, стр. 8, 13, относно обучение и целеви препоръки, отправени към адвокати, които предоставят правна защита и съдействие по линия на правна помощ; Становище на </w:t>
      </w:r>
      <w:r w:rsidRPr="006E6596">
        <w:rPr>
          <w:b/>
          <w:lang w:val="bg-BG"/>
        </w:rPr>
        <w:t>България</w:t>
      </w:r>
      <w:r w:rsidRPr="006E6596">
        <w:rPr>
          <w:lang w:val="bg-BG"/>
        </w:rPr>
        <w:t>, стр. 19, свързано с обучение на магистрати относно ефективна защита от дискриминация, организирано от Националния институт на правосъдието на България.</w:t>
      </w:r>
    </w:p>
  </w:footnote>
  <w:footnote w:id="176">
    <w:p w14:paraId="7E041D45" w14:textId="71930192" w:rsidR="00093CBD" w:rsidRPr="006E6596" w:rsidRDefault="00093CBD" w:rsidP="00093CB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Испания</w:t>
      </w:r>
      <w:r w:rsidRPr="006E6596">
        <w:rPr>
          <w:lang w:val="bg-BG"/>
        </w:rPr>
        <w:t xml:space="preserve">, стр. 2,4, също свързано с обучение на специалисти в службите за помощ на жертви на престъпления относно нуждите на хората с увреждания, което включва сесия относно достъпността. Становище на </w:t>
      </w:r>
      <w:r w:rsidRPr="006E6596">
        <w:rPr>
          <w:b/>
          <w:lang w:val="bg-BG"/>
        </w:rPr>
        <w:t>Франция</w:t>
      </w:r>
      <w:r w:rsidRPr="006E6596">
        <w:rPr>
          <w:lang w:val="bg-BG"/>
        </w:rPr>
        <w:t xml:space="preserve">, стр. 9, относно организиране на междурегионално обучение за приемане на хора с увреждания; Становище на </w:t>
      </w:r>
      <w:r w:rsidRPr="006E6596">
        <w:rPr>
          <w:b/>
          <w:lang w:val="bg-BG"/>
        </w:rPr>
        <w:t>Литва</w:t>
      </w:r>
      <w:r w:rsidRPr="006E6596">
        <w:rPr>
          <w:lang w:val="bg-BG"/>
        </w:rPr>
        <w:t xml:space="preserve">, стр. 8, 13, относно обучение на съдии за общуване с хора с увреждания. </w:t>
      </w:r>
    </w:p>
  </w:footnote>
  <w:footnote w:id="177">
    <w:p w14:paraId="45E0C4D0" w14:textId="77777777" w:rsidR="00093CBD" w:rsidRPr="006E6596" w:rsidRDefault="00093CBD" w:rsidP="00093CBD">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Швеция</w:t>
      </w:r>
      <w:r w:rsidRPr="006E6596">
        <w:rPr>
          <w:lang w:val="bg-BG"/>
        </w:rPr>
        <w:t>, стр. 11—12.</w:t>
      </w:r>
    </w:p>
  </w:footnote>
  <w:footnote w:id="178">
    <w:p w14:paraId="2023794E" w14:textId="4A591721" w:rsidR="00D73988" w:rsidRPr="006E6596" w:rsidRDefault="00D73988" w:rsidP="00E425FB">
      <w:pPr>
        <w:pStyle w:val="FootnoteText"/>
        <w:jc w:val="both"/>
        <w:rPr>
          <w:lang w:val="bg-BG"/>
        </w:rPr>
      </w:pPr>
      <w:r w:rsidRPr="006E6596">
        <w:rPr>
          <w:rStyle w:val="FootnoteReference"/>
          <w:lang w:val="bg-BG"/>
        </w:rPr>
        <w:footnoteRef/>
      </w:r>
      <w:r w:rsidRPr="006E6596">
        <w:rPr>
          <w:lang w:val="bg-BG"/>
        </w:rPr>
        <w:t xml:space="preserve"> Позоваване на правосъдие, което е достъпно, подходящо за възрастта, бързо, надлежно, адаптирано към и фокусирано върху нуждите и правата на детето. Вж.: Насоки на Комитета на министрите на Съвета на Европа относно правосъдие, съобразено с интересите на детето (приети от Комитета на министрите на 17 ноември 2010 г. по време на 1098-ото събрание на членовете на министрите); 17/11/2010.</w:t>
      </w:r>
    </w:p>
  </w:footnote>
  <w:footnote w:id="179">
    <w:p w14:paraId="0BF16301" w14:textId="4EFDDDA8" w:rsidR="00D73988" w:rsidRPr="006E6596" w:rsidRDefault="00D73988" w:rsidP="00E425FB">
      <w:pPr>
        <w:pStyle w:val="FootnoteText"/>
        <w:jc w:val="both"/>
        <w:rPr>
          <w:lang w:val="bg-BG"/>
        </w:rPr>
      </w:pPr>
      <w:r w:rsidRPr="006E6596">
        <w:rPr>
          <w:rStyle w:val="FootnoteReference"/>
          <w:lang w:val="bg-BG"/>
        </w:rPr>
        <w:footnoteRef/>
      </w:r>
      <w:r w:rsidRPr="006E6596">
        <w:rPr>
          <w:lang w:val="bg-BG"/>
        </w:rPr>
        <w:t xml:space="preserve"> Информационно табло на ЕС в областта на правосъдието за 2023 г., графика 32, стр. 28.</w:t>
      </w:r>
    </w:p>
  </w:footnote>
  <w:footnote w:id="180">
    <w:p w14:paraId="466FE3A5" w14:textId="1B74CFD5" w:rsidR="00D73988" w:rsidRPr="006E6596" w:rsidRDefault="00D73988" w:rsidP="00F41127">
      <w:pPr>
        <w:pStyle w:val="FootnoteText"/>
        <w:jc w:val="both"/>
        <w:rPr>
          <w:lang w:val="bg-BG"/>
        </w:rPr>
      </w:pPr>
      <w:r w:rsidRPr="006E6596">
        <w:rPr>
          <w:rStyle w:val="FootnoteReference"/>
          <w:lang w:val="bg-BG"/>
        </w:rPr>
        <w:footnoteRef/>
      </w:r>
      <w:r w:rsidRPr="006E6596">
        <w:rPr>
          <w:lang w:val="bg-BG"/>
        </w:rPr>
        <w:t xml:space="preserve"> Становище на</w:t>
      </w:r>
      <w:r w:rsidR="00703916">
        <w:rPr>
          <w:lang w:val="bg-BG"/>
        </w:rPr>
        <w:t xml:space="preserve"> </w:t>
      </w:r>
      <w:r w:rsidRPr="006E6596">
        <w:rPr>
          <w:b/>
          <w:lang w:val="bg-BG"/>
        </w:rPr>
        <w:t>Словакия</w:t>
      </w:r>
      <w:r w:rsidRPr="006E6596">
        <w:rPr>
          <w:lang w:val="bg-BG"/>
        </w:rPr>
        <w:t xml:space="preserve">, стр. 7; Становище на </w:t>
      </w:r>
      <w:r w:rsidRPr="006E6596">
        <w:rPr>
          <w:b/>
          <w:lang w:val="bg-BG"/>
        </w:rPr>
        <w:t>Люксембург</w:t>
      </w:r>
      <w:r w:rsidRPr="006E6596">
        <w:rPr>
          <w:lang w:val="bg-BG"/>
        </w:rPr>
        <w:t>, стр. 8.</w:t>
      </w:r>
    </w:p>
  </w:footnote>
  <w:footnote w:id="181">
    <w:p w14:paraId="4D7D1951" w14:textId="04119ABB"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звеното за връзка по въпросите на Хартата на Кипър</w:t>
      </w:r>
      <w:r w:rsidRPr="006E6596">
        <w:rPr>
          <w:lang w:val="bg-BG"/>
        </w:rPr>
        <w:t>, стр. 4, в което се отбелязва, че задържането на деца се налага като санкция в краен случай. Съдилищата за деца могат също да налагат алтернативни наказания, като порицание, глоба, общественополезен труд за деца на възраст над 16 години, насочване към център за лечение на злоупотреба с вещества и др.</w:t>
      </w:r>
    </w:p>
  </w:footnote>
  <w:footnote w:id="182">
    <w:p w14:paraId="5341133D" w14:textId="6FE5609F"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w:t>
      </w:r>
      <w:r w:rsidRPr="006E6596">
        <w:rPr>
          <w:b/>
          <w:lang w:val="bg-BG"/>
        </w:rPr>
        <w:t xml:space="preserve"> Германия</w:t>
      </w:r>
      <w:r w:rsidRPr="006E6596">
        <w:rPr>
          <w:lang w:val="bg-BG"/>
        </w:rPr>
        <w:t>, стр. 6, 14, 16, относно Закона за съдилищата за младежи. OHCHR в своето становище, стр. 5—6, обаче се позовава на Заключителните бележки на Комитета на ООН по правата на детето, където Комитетът отправя препоръка към Германия да гарантира, че всички деца, включително деца на възраст под 14 години, могат да изразяват своето мнение и да бъдат изслушвани във връзка с решенията, които ги засягат, както и да установи правни стандарти, с които се гарантира, че производствата са съобразени с интересите на децата. Комитетът също така отбеляза с признателност мерките, предприети за привеждане на системата за правораздаване по въпроси, свързани с деца в съответствие с Конвенцията, включително чрез транспониране в националното законодателство на Директива (ЕС) 2016/800 (CRC/C/DEU/CO/5-6, т. 17, буква a).</w:t>
      </w:r>
    </w:p>
  </w:footnote>
  <w:footnote w:id="183">
    <w:p w14:paraId="028BEAB3" w14:textId="4DB8B65C"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Испания</w:t>
      </w:r>
      <w:r w:rsidRPr="006E6596">
        <w:rPr>
          <w:lang w:val="bg-BG"/>
        </w:rPr>
        <w:t>, стр. 3.</w:t>
      </w:r>
    </w:p>
  </w:footnote>
  <w:footnote w:id="184">
    <w:p w14:paraId="4CB778D8" w14:textId="4238D85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Информационно табло на ЕС в областта на правосъдието за 2023 г., графика 31, стр. 28.</w:t>
      </w:r>
    </w:p>
  </w:footnote>
  <w:footnote w:id="185">
    <w:p w14:paraId="67789B03" w14:textId="17B008B6"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Австрия</w:t>
      </w:r>
      <w:r w:rsidRPr="006E6596">
        <w:rPr>
          <w:lang w:val="bg-BG"/>
        </w:rPr>
        <w:t xml:space="preserve">, стр. 21—25; Становище на </w:t>
      </w:r>
      <w:r w:rsidRPr="006E6596">
        <w:rPr>
          <w:b/>
          <w:lang w:val="bg-BG"/>
        </w:rPr>
        <w:t>Франция</w:t>
      </w:r>
      <w:r w:rsidRPr="006E6596">
        <w:rPr>
          <w:lang w:val="bg-BG"/>
        </w:rPr>
        <w:t>, стр. 12, в което се посочва, че децата могат да бъдат придружени в съда от техен законен представител, възрастен по техен избор или сертифицирано сдружение за подкрепа на жертви.</w:t>
      </w:r>
    </w:p>
  </w:footnote>
  <w:footnote w:id="186">
    <w:p w14:paraId="18DFAC0B" w14:textId="59EAE15C"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Нидерландия</w:t>
      </w:r>
      <w:r w:rsidRPr="006E6596">
        <w:rPr>
          <w:lang w:val="bg-BG"/>
        </w:rPr>
        <w:t xml:space="preserve">, стр. 7; Становище на </w:t>
      </w:r>
      <w:r w:rsidRPr="006E6596">
        <w:rPr>
          <w:b/>
          <w:lang w:val="bg-BG"/>
        </w:rPr>
        <w:t>Швеция</w:t>
      </w:r>
      <w:r w:rsidRPr="006E6596">
        <w:rPr>
          <w:lang w:val="bg-BG"/>
        </w:rPr>
        <w:t xml:space="preserve">, стр. 12, относно Закона за специалните представители на децата. Становище на </w:t>
      </w:r>
      <w:r w:rsidRPr="006E6596">
        <w:rPr>
          <w:b/>
          <w:lang w:val="bg-BG"/>
        </w:rPr>
        <w:t>Финландия</w:t>
      </w:r>
      <w:r w:rsidRPr="006E6596">
        <w:rPr>
          <w:lang w:val="bg-BG"/>
        </w:rPr>
        <w:t>, стр. 9, относно текущия законодателен преглед, който съдържа предложени изменения, свързани с назначаването на попечители на деца.</w:t>
      </w:r>
    </w:p>
  </w:footnote>
  <w:footnote w:id="187">
    <w:p w14:paraId="57D7CF54" w14:textId="22D472B2"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Информационно табло на ЕС в областта на правосъдието за 2023 г., графика 31, стр. 28. Например в Люксембург децата трябва да бъдат изслушвани в подходяща за тях среда, Становище при консултациите с </w:t>
      </w:r>
      <w:r w:rsidRPr="006E6596">
        <w:rPr>
          <w:b/>
          <w:lang w:val="bg-BG"/>
        </w:rPr>
        <w:t>Люксембург</w:t>
      </w:r>
      <w:r w:rsidRPr="006E6596">
        <w:rPr>
          <w:lang w:val="bg-BG"/>
        </w:rPr>
        <w:t xml:space="preserve">, стр. 8. </w:t>
      </w:r>
    </w:p>
  </w:footnote>
  <w:footnote w:id="188">
    <w:p w14:paraId="0D399F3D" w14:textId="6B55E8A1"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w:t>
      </w:r>
      <w:r w:rsidR="00703916">
        <w:rPr>
          <w:lang w:val="bg-BG"/>
        </w:rPr>
        <w:t xml:space="preserve"> </w:t>
      </w:r>
      <w:r w:rsidRPr="006E6596">
        <w:rPr>
          <w:b/>
          <w:lang w:val="bg-BG"/>
        </w:rPr>
        <w:t>Словакия</w:t>
      </w:r>
      <w:r w:rsidRPr="006E6596">
        <w:rPr>
          <w:lang w:val="bg-BG"/>
        </w:rPr>
        <w:t xml:space="preserve">, стр. 7. </w:t>
      </w:r>
    </w:p>
  </w:footnote>
  <w:footnote w:id="189">
    <w:p w14:paraId="769E92D7"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Франция,</w:t>
      </w:r>
      <w:r w:rsidRPr="006E6596">
        <w:rPr>
          <w:lang w:val="bg-BG"/>
        </w:rPr>
        <w:t xml:space="preserve"> стр. 12, в което се посочва, че разпитите на деца трябва да се провеждат в присъствието на психолог, педиатър, член на семейството, ad hoc администратор или лице, упълномощено от съдията, който разглежда делото, в което участва детето.</w:t>
      </w:r>
    </w:p>
  </w:footnote>
  <w:footnote w:id="190">
    <w:p w14:paraId="3C743E56" w14:textId="4B40DC32"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Испания</w:t>
      </w:r>
      <w:r w:rsidRPr="006E6596">
        <w:rPr>
          <w:lang w:val="bg-BG"/>
        </w:rPr>
        <w:t>, стр. 4.</w:t>
      </w:r>
    </w:p>
  </w:footnote>
  <w:footnote w:id="191">
    <w:p w14:paraId="52884960"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Румъния</w:t>
      </w:r>
      <w:r w:rsidRPr="006E6596">
        <w:rPr>
          <w:lang w:val="bg-BG"/>
        </w:rPr>
        <w:t xml:space="preserve">, стр. 13. Становище на </w:t>
      </w:r>
      <w:r w:rsidRPr="006E6596">
        <w:rPr>
          <w:b/>
          <w:lang w:val="bg-BG"/>
        </w:rPr>
        <w:t>звеното за връзка по въпросите на Хартата на Португалия</w:t>
      </w:r>
      <w:r w:rsidRPr="006E6596">
        <w:rPr>
          <w:lang w:val="bg-BG"/>
        </w:rPr>
        <w:t xml:space="preserve">, стр. 10—12, относно плановете за оборудване на 117 сгради с детски приемни и зали за изслушване. </w:t>
      </w:r>
    </w:p>
  </w:footnote>
  <w:footnote w:id="192">
    <w:p w14:paraId="09CA36D4" w14:textId="386BDA82" w:rsidR="000F0A02" w:rsidRPr="006E6596" w:rsidRDefault="000F0A02">
      <w:pPr>
        <w:pStyle w:val="FootnoteText"/>
        <w:rPr>
          <w:lang w:val="bg-BG"/>
        </w:rPr>
      </w:pPr>
      <w:r w:rsidRPr="006E6596">
        <w:rPr>
          <w:rStyle w:val="FootnoteReference"/>
          <w:lang w:val="bg-BG"/>
        </w:rPr>
        <w:footnoteRef/>
      </w:r>
      <w:r w:rsidRPr="006E6596">
        <w:rPr>
          <w:lang w:val="bg-BG"/>
        </w:rPr>
        <w:t xml:space="preserve"> Фонд на ООН за децата (УНИЦЕФ), https://www.unicef.org/.</w:t>
      </w:r>
    </w:p>
  </w:footnote>
  <w:footnote w:id="193">
    <w:p w14:paraId="5173C370"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Полша</w:t>
      </w:r>
      <w:r w:rsidRPr="006E6596">
        <w:rPr>
          <w:lang w:val="bg-BG"/>
        </w:rPr>
        <w:t>, стр. 27.</w:t>
      </w:r>
    </w:p>
  </w:footnote>
  <w:footnote w:id="194">
    <w:p w14:paraId="611D782D"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Онлайн консултация чрез Платформата за основните права на FRA, въпрос 4: „Според вашия опит във вашата държава членка съществуват ли мерки за улесняване на достъпа на децата до правосъдие чрез съдебни и извънсъдебни средства за защита?“ Становище на Европейската мрежа на националните институции по правата на човека, стр. 3, по сходен начин се отнася до пропуски, установени от НИПЧ в правната защита на всички търсещи убежище лица и мигранти в </w:t>
      </w:r>
      <w:r w:rsidRPr="006E6596">
        <w:rPr>
          <w:b/>
          <w:lang w:val="bg-BG"/>
        </w:rPr>
        <w:t>Белгия</w:t>
      </w:r>
      <w:r w:rsidRPr="006E6596">
        <w:rPr>
          <w:lang w:val="bg-BG"/>
        </w:rPr>
        <w:t xml:space="preserve">, </w:t>
      </w:r>
      <w:r w:rsidRPr="006E6596">
        <w:rPr>
          <w:b/>
          <w:lang w:val="bg-BG"/>
        </w:rPr>
        <w:t>Чехия</w:t>
      </w:r>
      <w:r w:rsidRPr="006E6596">
        <w:rPr>
          <w:lang w:val="bg-BG"/>
        </w:rPr>
        <w:t xml:space="preserve">, </w:t>
      </w:r>
      <w:r w:rsidRPr="006E6596">
        <w:rPr>
          <w:b/>
          <w:lang w:val="bg-BG"/>
        </w:rPr>
        <w:t>Гърция</w:t>
      </w:r>
      <w:r w:rsidRPr="006E6596">
        <w:rPr>
          <w:lang w:val="bg-BG"/>
        </w:rPr>
        <w:t xml:space="preserve"> и</w:t>
      </w:r>
      <w:r w:rsidRPr="006E6596">
        <w:rPr>
          <w:b/>
          <w:lang w:val="bg-BG"/>
        </w:rPr>
        <w:t xml:space="preserve"> Латвия</w:t>
      </w:r>
      <w:r w:rsidRPr="006E6596">
        <w:rPr>
          <w:lang w:val="bg-BG"/>
        </w:rPr>
        <w:t>.</w:t>
      </w:r>
    </w:p>
  </w:footnote>
  <w:footnote w:id="195">
    <w:p w14:paraId="4298440B"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звеното за връзка по въпросите на Хартата на Словения</w:t>
      </w:r>
      <w:r w:rsidRPr="006E6596">
        <w:rPr>
          <w:lang w:val="bg-BG"/>
        </w:rPr>
        <w:t>, стр. 5—6.</w:t>
      </w:r>
    </w:p>
  </w:footnote>
  <w:footnote w:id="196">
    <w:p w14:paraId="667730D6" w14:textId="479CD440"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Становище на ENNHRI, стр. 3, относно пропуски, установени от НИПЧ в производствата по семейно право и производствата, в които участват деца в</w:t>
      </w:r>
      <w:r w:rsidRPr="006E6596">
        <w:rPr>
          <w:b/>
          <w:lang w:val="bg-BG"/>
        </w:rPr>
        <w:t>България</w:t>
      </w:r>
      <w:r w:rsidRPr="006E6596">
        <w:rPr>
          <w:lang w:val="bg-BG"/>
        </w:rPr>
        <w:t xml:space="preserve">, </w:t>
      </w:r>
      <w:r w:rsidRPr="006E6596">
        <w:rPr>
          <w:b/>
          <w:lang w:val="bg-BG"/>
        </w:rPr>
        <w:t>Германия</w:t>
      </w:r>
      <w:r w:rsidRPr="006E6596">
        <w:rPr>
          <w:lang w:val="bg-BG"/>
        </w:rPr>
        <w:t xml:space="preserve">, </w:t>
      </w:r>
      <w:r w:rsidRPr="006E6596">
        <w:rPr>
          <w:b/>
          <w:lang w:val="bg-BG"/>
        </w:rPr>
        <w:t>Ирландия</w:t>
      </w:r>
      <w:r w:rsidRPr="006E6596">
        <w:rPr>
          <w:lang w:val="bg-BG"/>
        </w:rPr>
        <w:t xml:space="preserve">, </w:t>
      </w:r>
      <w:r w:rsidRPr="006E6596">
        <w:rPr>
          <w:b/>
          <w:lang w:val="bg-BG"/>
        </w:rPr>
        <w:t>Люксембург</w:t>
      </w:r>
      <w:r w:rsidRPr="006E6596">
        <w:rPr>
          <w:lang w:val="bg-BG"/>
        </w:rPr>
        <w:t xml:space="preserve"> и </w:t>
      </w:r>
      <w:r w:rsidRPr="006E6596">
        <w:rPr>
          <w:b/>
          <w:lang w:val="bg-BG"/>
        </w:rPr>
        <w:t>Словения</w:t>
      </w:r>
      <w:r w:rsidRPr="006E6596">
        <w:rPr>
          <w:lang w:val="bg-BG"/>
        </w:rPr>
        <w:t>.</w:t>
      </w:r>
    </w:p>
  </w:footnote>
  <w:footnote w:id="197">
    <w:p w14:paraId="05996F97"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OHCHR, стр. 4, относно CRC/C/HRV/CO/5—6; стр. 17, 25, 41. </w:t>
      </w:r>
    </w:p>
  </w:footnote>
  <w:footnote w:id="198">
    <w:p w14:paraId="6A5AB245" w14:textId="44A22DBA"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OHCHR, стр. 6, относно CRC/C/GRC/CO/4-6, т. 40, букви е)—ж). Становище на </w:t>
      </w:r>
      <w:r w:rsidRPr="006E6596">
        <w:rPr>
          <w:b/>
          <w:lang w:val="bg-BG"/>
        </w:rPr>
        <w:t>Гърция</w:t>
      </w:r>
      <w:r w:rsidRPr="006E6596">
        <w:rPr>
          <w:lang w:val="bg-BG"/>
        </w:rPr>
        <w:t xml:space="preserve">, стр. 19—20, относно правото на деца жертви на сексуално насилие, експлоатация и детска порнография да получат правна помощ, както и процесуални гаранции за заподозрени или обвиняеми лица в наказателни производства. (CRC/C/CYP/CO/5—6, т. 19—20 и т. 37—38), където Комитетът отправя препоръка към </w:t>
      </w:r>
      <w:r w:rsidRPr="006E6596">
        <w:rPr>
          <w:b/>
          <w:lang w:val="bg-BG"/>
        </w:rPr>
        <w:t>Кипър</w:t>
      </w:r>
      <w:r w:rsidRPr="006E6596">
        <w:rPr>
          <w:lang w:val="bg-BG"/>
        </w:rPr>
        <w:t xml:space="preserve"> да осигури гаранции, че правото на детето да бъде изслушано в съдебно производство е предвидено в законодателството и се прилага. Комитетът също така препоръча отделените от своите семейства и непридружените деца да бъдат представлявани от компетентни адвокати в производствата за предоставяне на убежище и да бъде въведена официална процедура за определяне на най-добрия интерес на детето. </w:t>
      </w:r>
    </w:p>
  </w:footnote>
  <w:footnote w:id="199">
    <w:p w14:paraId="3475E6AC"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Стратегия за Хартата, стр. 11―12.</w:t>
      </w:r>
    </w:p>
  </w:footnote>
  <w:footnote w:id="200">
    <w:p w14:paraId="2A1F13A7" w14:textId="4C57EFF4"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Определени като публични институции, създадени съгласно съответните директиви за борба с дискриминацията, основана на раса, етнически произход и пол. </w:t>
      </w:r>
      <w:r w:rsidR="00703916">
        <w:rPr>
          <w:lang w:val="bg-BG"/>
        </w:rPr>
        <w:t>В</w:t>
      </w:r>
      <w:r w:rsidRPr="006E6596">
        <w:rPr>
          <w:lang w:val="bg-BG"/>
        </w:rPr>
        <w:t xml:space="preserve"> много държави членки правомощията на органите по въпросите на равенството обхващат и други основания за забрана, като възраст, увреждане, религия и убеждения, сексуална ориентация или други основания. Становище на Equinet, стр. 1.</w:t>
      </w:r>
    </w:p>
  </w:footnote>
  <w:footnote w:id="201">
    <w:p w14:paraId="76223970" w14:textId="77777777" w:rsidR="007F19C1" w:rsidRPr="006E6596" w:rsidRDefault="007F19C1" w:rsidP="007F19C1">
      <w:pPr>
        <w:pStyle w:val="FootnoteText"/>
        <w:jc w:val="both"/>
        <w:rPr>
          <w:lang w:val="bg-BG"/>
        </w:rPr>
      </w:pPr>
      <w:r w:rsidRPr="006E6596">
        <w:rPr>
          <w:rStyle w:val="FootnoteReference"/>
          <w:lang w:val="bg-BG"/>
        </w:rPr>
        <w:footnoteRef/>
      </w:r>
      <w:r w:rsidRPr="006E6596">
        <w:rPr>
          <w:lang w:val="bg-BG"/>
        </w:rPr>
        <w:t xml:space="preserve"> Становище на ENNHRI, стр. 4, относно кампании за повишаване на информираността по въпросите на достъпа до правосъдие, организирани от НИПЧ от </w:t>
      </w:r>
      <w:r w:rsidRPr="006E6596">
        <w:rPr>
          <w:b/>
          <w:lang w:val="bg-BG"/>
        </w:rPr>
        <w:t>Австрия</w:t>
      </w:r>
      <w:r w:rsidRPr="006E6596">
        <w:rPr>
          <w:lang w:val="bg-BG"/>
        </w:rPr>
        <w:t xml:space="preserve">, </w:t>
      </w:r>
      <w:r w:rsidRPr="006E6596">
        <w:rPr>
          <w:b/>
          <w:lang w:val="bg-BG"/>
        </w:rPr>
        <w:t>Белгия</w:t>
      </w:r>
      <w:r w:rsidRPr="006E6596">
        <w:rPr>
          <w:lang w:val="bg-BG"/>
        </w:rPr>
        <w:t xml:space="preserve">, </w:t>
      </w:r>
      <w:r w:rsidRPr="006E6596">
        <w:rPr>
          <w:b/>
          <w:lang w:val="bg-BG"/>
        </w:rPr>
        <w:t>България</w:t>
      </w:r>
      <w:r w:rsidRPr="006E6596">
        <w:rPr>
          <w:lang w:val="bg-BG"/>
        </w:rPr>
        <w:t xml:space="preserve">, </w:t>
      </w:r>
      <w:r w:rsidRPr="006E6596">
        <w:rPr>
          <w:b/>
          <w:lang w:val="bg-BG"/>
        </w:rPr>
        <w:t>Хърватия</w:t>
      </w:r>
      <w:r w:rsidRPr="006E6596">
        <w:rPr>
          <w:lang w:val="bg-BG"/>
        </w:rPr>
        <w:t xml:space="preserve">, </w:t>
      </w:r>
      <w:r w:rsidRPr="006E6596">
        <w:rPr>
          <w:b/>
          <w:lang w:val="bg-BG"/>
        </w:rPr>
        <w:t>Кипър</w:t>
      </w:r>
      <w:r w:rsidRPr="006E6596">
        <w:rPr>
          <w:lang w:val="bg-BG"/>
        </w:rPr>
        <w:t xml:space="preserve">, </w:t>
      </w:r>
      <w:r w:rsidRPr="006E6596">
        <w:rPr>
          <w:b/>
          <w:lang w:val="bg-BG"/>
        </w:rPr>
        <w:t>Чехия</w:t>
      </w:r>
      <w:r w:rsidRPr="006E6596">
        <w:rPr>
          <w:lang w:val="bg-BG"/>
        </w:rPr>
        <w:t xml:space="preserve">, </w:t>
      </w:r>
      <w:r w:rsidRPr="006E6596">
        <w:rPr>
          <w:b/>
          <w:lang w:val="bg-BG"/>
        </w:rPr>
        <w:t>Дания</w:t>
      </w:r>
      <w:r w:rsidRPr="006E6596">
        <w:rPr>
          <w:lang w:val="bg-BG"/>
        </w:rPr>
        <w:t xml:space="preserve">, </w:t>
      </w:r>
      <w:r w:rsidRPr="006E6596">
        <w:rPr>
          <w:b/>
          <w:lang w:val="bg-BG"/>
        </w:rPr>
        <w:t>Естония</w:t>
      </w:r>
      <w:r w:rsidRPr="006E6596">
        <w:rPr>
          <w:lang w:val="bg-BG"/>
        </w:rPr>
        <w:t xml:space="preserve">, </w:t>
      </w:r>
      <w:r w:rsidRPr="006E6596">
        <w:rPr>
          <w:b/>
          <w:lang w:val="bg-BG"/>
        </w:rPr>
        <w:t>Финландия</w:t>
      </w:r>
      <w:r w:rsidRPr="006E6596">
        <w:rPr>
          <w:lang w:val="bg-BG"/>
        </w:rPr>
        <w:t xml:space="preserve">, </w:t>
      </w:r>
      <w:r w:rsidRPr="006E6596">
        <w:rPr>
          <w:b/>
          <w:lang w:val="bg-BG"/>
        </w:rPr>
        <w:t>Франция</w:t>
      </w:r>
      <w:r w:rsidRPr="006E6596">
        <w:rPr>
          <w:lang w:val="bg-BG"/>
        </w:rPr>
        <w:t xml:space="preserve">, </w:t>
      </w:r>
      <w:r w:rsidRPr="006E6596">
        <w:rPr>
          <w:b/>
          <w:lang w:val="bg-BG"/>
        </w:rPr>
        <w:t>Германия</w:t>
      </w:r>
      <w:r w:rsidRPr="006E6596">
        <w:rPr>
          <w:lang w:val="bg-BG"/>
        </w:rPr>
        <w:t xml:space="preserve">, </w:t>
      </w:r>
      <w:r w:rsidRPr="006E6596">
        <w:rPr>
          <w:b/>
          <w:lang w:val="bg-BG"/>
        </w:rPr>
        <w:t>Гърция</w:t>
      </w:r>
      <w:r w:rsidRPr="006E6596">
        <w:rPr>
          <w:lang w:val="bg-BG"/>
        </w:rPr>
        <w:t xml:space="preserve">, </w:t>
      </w:r>
      <w:r w:rsidRPr="006E6596">
        <w:rPr>
          <w:b/>
          <w:lang w:val="bg-BG"/>
        </w:rPr>
        <w:t>Унгария</w:t>
      </w:r>
      <w:r w:rsidRPr="006E6596">
        <w:rPr>
          <w:lang w:val="bg-BG"/>
        </w:rPr>
        <w:t xml:space="preserve">, </w:t>
      </w:r>
      <w:r w:rsidRPr="006E6596">
        <w:rPr>
          <w:b/>
          <w:lang w:val="bg-BG"/>
        </w:rPr>
        <w:t>Ирландия</w:t>
      </w:r>
      <w:r w:rsidRPr="006E6596">
        <w:rPr>
          <w:lang w:val="bg-BG"/>
        </w:rPr>
        <w:t xml:space="preserve">, </w:t>
      </w:r>
      <w:r w:rsidRPr="006E6596">
        <w:rPr>
          <w:b/>
          <w:lang w:val="bg-BG"/>
        </w:rPr>
        <w:t>Латвия</w:t>
      </w:r>
      <w:r w:rsidRPr="006E6596">
        <w:rPr>
          <w:lang w:val="bg-BG"/>
        </w:rPr>
        <w:t xml:space="preserve">, </w:t>
      </w:r>
      <w:r w:rsidRPr="006E6596">
        <w:rPr>
          <w:b/>
          <w:lang w:val="bg-BG"/>
        </w:rPr>
        <w:t>Люксембург</w:t>
      </w:r>
      <w:r w:rsidRPr="006E6596">
        <w:rPr>
          <w:lang w:val="bg-BG"/>
        </w:rPr>
        <w:t xml:space="preserve">, </w:t>
      </w:r>
      <w:r w:rsidRPr="006E6596">
        <w:rPr>
          <w:b/>
          <w:lang w:val="bg-BG"/>
        </w:rPr>
        <w:t>Португалия</w:t>
      </w:r>
      <w:r w:rsidRPr="006E6596">
        <w:rPr>
          <w:lang w:val="bg-BG"/>
        </w:rPr>
        <w:t xml:space="preserve">, </w:t>
      </w:r>
      <w:r w:rsidRPr="006E6596">
        <w:rPr>
          <w:b/>
          <w:lang w:val="bg-BG"/>
        </w:rPr>
        <w:t>Румъния</w:t>
      </w:r>
      <w:r w:rsidRPr="006E6596">
        <w:rPr>
          <w:lang w:val="bg-BG"/>
        </w:rPr>
        <w:t xml:space="preserve">, </w:t>
      </w:r>
      <w:r w:rsidRPr="006E6596">
        <w:rPr>
          <w:b/>
          <w:lang w:val="bg-BG"/>
        </w:rPr>
        <w:t>Словакия</w:t>
      </w:r>
      <w:r w:rsidRPr="006E6596">
        <w:rPr>
          <w:lang w:val="bg-BG"/>
        </w:rPr>
        <w:t xml:space="preserve">, </w:t>
      </w:r>
      <w:r w:rsidRPr="006E6596">
        <w:rPr>
          <w:b/>
          <w:lang w:val="bg-BG"/>
        </w:rPr>
        <w:t>Словения</w:t>
      </w:r>
      <w:r w:rsidRPr="006E6596">
        <w:rPr>
          <w:lang w:val="bg-BG"/>
        </w:rPr>
        <w:t xml:space="preserve"> и </w:t>
      </w:r>
      <w:r w:rsidRPr="006E6596">
        <w:rPr>
          <w:b/>
          <w:lang w:val="bg-BG"/>
        </w:rPr>
        <w:t>Испания</w:t>
      </w:r>
      <w:r w:rsidRPr="006E6596">
        <w:rPr>
          <w:lang w:val="bg-BG"/>
        </w:rPr>
        <w:t>.</w:t>
      </w:r>
    </w:p>
  </w:footnote>
  <w:footnote w:id="202">
    <w:p w14:paraId="4284F1F7" w14:textId="24423503"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Equinet, стр. 1―3, 5, Становище на ENNHRI, стр. 1―2, 5. относно правомощията на органите по въпросите на равенството да предоставят помощ на жертвите на дискриминация. </w:t>
      </w:r>
      <w:r w:rsidRPr="006E6596">
        <w:rPr>
          <w:b/>
          <w:lang w:val="bg-BG"/>
        </w:rPr>
        <w:t>Информационно табло на ЕС в областта на правосъдието за 2023 г.</w:t>
      </w:r>
      <w:r w:rsidRPr="006E6596">
        <w:rPr>
          <w:lang w:val="bg-BG"/>
        </w:rPr>
        <w:t xml:space="preserve">, </w:t>
      </w:r>
      <w:r w:rsidRPr="006E6596">
        <w:rPr>
          <w:b/>
          <w:lang w:val="bg-BG"/>
        </w:rPr>
        <w:t>Фигура 19</w:t>
      </w:r>
      <w:r w:rsidRPr="006E6596">
        <w:rPr>
          <w:lang w:val="bg-BG"/>
        </w:rPr>
        <w:t xml:space="preserve">, отразяваща правомощията на органите по въпросите на равенството, или в определени случаи на други специфични органи във всяка държава членка, за разрешаване на случаи на дискриминация. Те включват, наред с други, предлагане на възможност на страните да потърсят вариант за алтернативно разрешаване на техния спор (например медиация или помирителни процедури), приемане на обвързващи решения по дела за дискриминация, действия в съда по дела за дискриминация от името на жертвата или от собственото име на органа или представяне на становища пред съда като </w:t>
      </w:r>
      <w:r w:rsidRPr="006E6596">
        <w:rPr>
          <w:i/>
          <w:lang w:val="bg-BG"/>
        </w:rPr>
        <w:t>amicus curiae</w:t>
      </w:r>
      <w:r w:rsidRPr="006E6596">
        <w:rPr>
          <w:lang w:val="bg-BG"/>
        </w:rPr>
        <w:t xml:space="preserve"> или експерт по дела за дискриминация.</w:t>
      </w:r>
    </w:p>
  </w:footnote>
  <w:footnote w:id="203">
    <w:p w14:paraId="13A1061A" w14:textId="77777777"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Становище на Equinet, стр. 4.</w:t>
      </w:r>
    </w:p>
  </w:footnote>
  <w:footnote w:id="204">
    <w:p w14:paraId="0B912945" w14:textId="77777777" w:rsidR="00964543" w:rsidRPr="006E6596" w:rsidRDefault="00964543" w:rsidP="00964543">
      <w:pPr>
        <w:pStyle w:val="FootnoteText"/>
        <w:jc w:val="both"/>
        <w:rPr>
          <w:lang w:val="bg-BG"/>
        </w:rPr>
      </w:pPr>
      <w:r w:rsidRPr="006E6596">
        <w:rPr>
          <w:rStyle w:val="FootnoteReference"/>
          <w:lang w:val="bg-BG"/>
        </w:rPr>
        <w:footnoteRef/>
      </w:r>
      <w:r w:rsidRPr="006E6596">
        <w:rPr>
          <w:lang w:val="bg-BG"/>
        </w:rPr>
        <w:t xml:space="preserve"> Становище на Equinet, стр. 2, относно нейното проучване „Правомощия за водене на съдебни спорове на органите по въпросите на равенството“, 2023 г., според което 34 от 47-те изследвани органа по въпросите на равенството са имали някакви правомощия за водене на съдебни спорове. От тях 23 могат да действат като </w:t>
      </w:r>
      <w:r w:rsidRPr="006E6596">
        <w:rPr>
          <w:i/>
          <w:lang w:val="bg-BG"/>
        </w:rPr>
        <w:t>amicus curiae</w:t>
      </w:r>
      <w:r w:rsidRPr="006E6596">
        <w:rPr>
          <w:lang w:val="bg-BG"/>
        </w:rPr>
        <w:t xml:space="preserve"> (трета страна експерт, упълномощена да подпомага съда, като предлага информация или становище), 18 могат да подават анонимни жалби до съдилищата със съгласието на жертвата, 13 могат да образуват производства по </w:t>
      </w:r>
      <w:r w:rsidRPr="006E6596">
        <w:rPr>
          <w:i/>
          <w:lang w:val="bg-BG"/>
        </w:rPr>
        <w:t>actio popularis</w:t>
      </w:r>
      <w:r w:rsidRPr="006E6596">
        <w:rPr>
          <w:lang w:val="bg-BG"/>
        </w:rPr>
        <w:t xml:space="preserve"> от свое име, а 8 могат да подават колективни жалби.</w:t>
      </w:r>
    </w:p>
  </w:footnote>
  <w:footnote w:id="205">
    <w:p w14:paraId="2373C128" w14:textId="77777777"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Становище на Европейската мрежа на националните институции по правата на човека, стр. 2.</w:t>
      </w:r>
    </w:p>
  </w:footnote>
  <w:footnote w:id="206">
    <w:p w14:paraId="2AC5D2DE"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Европейската мрежа на националните институции по правата на човека, стр. 2―3, относно докладите на Европейската мрежа на националните институции по правата на човека за състоянието на върховенството на закона в Европейския съюз за 2022 г. и 2023 г. В съответствие с Парижките принципи на ООН, НИПЧ отговарят и за докладването и консултирането на правителствата и съответните органи относно правата на човека.</w:t>
      </w:r>
    </w:p>
  </w:footnote>
  <w:footnote w:id="207">
    <w:p w14:paraId="5CCB3AD2" w14:textId="3917FB0D" w:rsidR="00237A6C" w:rsidRPr="006E6596" w:rsidRDefault="00237A6C" w:rsidP="00237A6C">
      <w:pPr>
        <w:pStyle w:val="FootnoteText"/>
        <w:jc w:val="both"/>
        <w:rPr>
          <w:lang w:val="bg-BG"/>
        </w:rPr>
      </w:pPr>
      <w:r w:rsidRPr="006E6596">
        <w:rPr>
          <w:rStyle w:val="FootnoteReference"/>
          <w:lang w:val="bg-BG"/>
        </w:rPr>
        <w:footnoteRef/>
      </w:r>
      <w:r w:rsidRPr="006E6596">
        <w:rPr>
          <w:lang w:val="bg-BG"/>
        </w:rPr>
        <w:t xml:space="preserve"> Становище на Equinet, стр. 3, относно Vincenzi Tudisco, Emma Lantschner, Preventing and reacting to discrimination through sanctions and remedies (Предотвратяване и справяне с дискриминацията чрез санкции и средства за защита); и Marie Mercat-Bruns, A comparative study of collective redress in France, Norway and Romania: the challenges of strategic litigation (Сравнително проучване на колективните искове във Франция, Норвегия и Румъния: предизвикателствата на воденето на стратегически съдебни спорове). European Equality Law Review (Преглед на европейското законодателство по въпросите на равенството) ― брой 1/2020 г., стр. 21</w:t>
      </w:r>
      <w:r w:rsidR="00703916">
        <w:rPr>
          <w:lang w:val="bg-BG"/>
        </w:rPr>
        <w:t xml:space="preserve">, </w:t>
      </w:r>
      <w:r w:rsidR="00703916" w:rsidRPr="006E6596">
        <w:rPr>
          <w:lang w:val="bg-BG"/>
        </w:rPr>
        <w:t>Equinet 2013 г., стр. 13</w:t>
      </w:r>
      <w:r w:rsidRPr="006E6596">
        <w:rPr>
          <w:lang w:val="bg-BG"/>
        </w:rPr>
        <w:t xml:space="preserve">. Други причини да не се подават сигнали за дискриминация може да включват съмнения, че съществуват сериозни шансове за успех; непознаване на правата и/или незнание за съществуването на органите по въпросите на равенството; трудности при представяне на доказателства; несигурност за изхода на делото, перспектива за нисък размер на обезщетението и/или страх от отмъщение; </w:t>
      </w:r>
      <w:hyperlink r:id="rId42" w:history="1">
        <w:r w:rsidRPr="006E6596">
          <w:rPr>
            <w:rStyle w:val="Hyperlink"/>
            <w:lang w:val="bg-BG"/>
          </w:rPr>
          <w:t>COM (2021)139</w:t>
        </w:r>
      </w:hyperlink>
      <w:r w:rsidRPr="006E6596">
        <w:rPr>
          <w:lang w:val="bg-BG"/>
        </w:rPr>
        <w:t xml:space="preserve">. </w:t>
      </w:r>
    </w:p>
  </w:footnote>
  <w:footnote w:id="208">
    <w:p w14:paraId="19CCA2A2" w14:textId="031BCE5C" w:rsidR="00237A6C" w:rsidRPr="006E6596" w:rsidRDefault="00237A6C" w:rsidP="00237A6C">
      <w:pPr>
        <w:pStyle w:val="FootnoteText"/>
        <w:rPr>
          <w:lang w:val="bg-BG"/>
        </w:rPr>
      </w:pPr>
      <w:r w:rsidRPr="006E6596">
        <w:rPr>
          <w:rStyle w:val="FootnoteReference"/>
          <w:lang w:val="bg-BG"/>
        </w:rPr>
        <w:footnoteRef/>
      </w:r>
      <w:r w:rsidRPr="006E6596">
        <w:rPr>
          <w:lang w:val="bg-BG"/>
        </w:rPr>
        <w:t xml:space="preserve"> За други примери за добри практики на национално равнище, вж. </w:t>
      </w:r>
      <w:r w:rsidR="00496186">
        <w:rPr>
          <w:lang w:val="bg-BG"/>
        </w:rPr>
        <w:t xml:space="preserve">пак там </w:t>
      </w:r>
      <w:r w:rsidRPr="006E6596">
        <w:rPr>
          <w:lang w:val="bg-BG"/>
        </w:rPr>
        <w:t>, стр. 6.</w:t>
      </w:r>
    </w:p>
  </w:footnote>
  <w:footnote w:id="209">
    <w:p w14:paraId="02375ABE"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България</w:t>
      </w:r>
      <w:r w:rsidRPr="006E6596">
        <w:rPr>
          <w:lang w:val="bg-BG"/>
        </w:rPr>
        <w:t xml:space="preserve">, стр. 3, 17. Становище на </w:t>
      </w:r>
      <w:r w:rsidRPr="006E6596">
        <w:rPr>
          <w:b/>
          <w:lang w:val="bg-BG"/>
        </w:rPr>
        <w:t>Испания</w:t>
      </w:r>
      <w:r w:rsidRPr="006E6596">
        <w:rPr>
          <w:lang w:val="bg-BG"/>
        </w:rPr>
        <w:t xml:space="preserve">, стр. 5, относно общинските съдебни служби, подпомагащи гражданите в отношенията им с правораздаването като цяло; Становище на </w:t>
      </w:r>
      <w:r w:rsidRPr="006E6596">
        <w:rPr>
          <w:b/>
          <w:lang w:val="bg-BG"/>
        </w:rPr>
        <w:t>Люксембург</w:t>
      </w:r>
      <w:r w:rsidRPr="006E6596">
        <w:rPr>
          <w:lang w:val="bg-BG"/>
        </w:rPr>
        <w:t>, стр. 2, относно „</w:t>
      </w:r>
      <w:r w:rsidRPr="006E6596">
        <w:rPr>
          <w:i/>
          <w:lang w:val="bg-BG"/>
        </w:rPr>
        <w:t>Centre d’égalité de traitement“</w:t>
      </w:r>
      <w:r w:rsidRPr="006E6596">
        <w:rPr>
          <w:lang w:val="bg-BG"/>
        </w:rPr>
        <w:t>, който предоставя съвети относно правата на жертвите, законодателството, съдебната практика и средствата за защита.</w:t>
      </w:r>
    </w:p>
  </w:footnote>
  <w:footnote w:id="210">
    <w:p w14:paraId="03E2FFCD"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Франция</w:t>
      </w:r>
      <w:r w:rsidRPr="006E6596">
        <w:rPr>
          <w:lang w:val="bg-BG"/>
        </w:rPr>
        <w:t>, стр. 3—4.</w:t>
      </w:r>
    </w:p>
  </w:footnote>
  <w:footnote w:id="211">
    <w:p w14:paraId="367C13E5"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Унгария</w:t>
      </w:r>
      <w:r w:rsidRPr="006E6596">
        <w:rPr>
          <w:lang w:val="bg-BG"/>
        </w:rPr>
        <w:t>, стр. 4—6.</w:t>
      </w:r>
    </w:p>
  </w:footnote>
  <w:footnote w:id="212">
    <w:p w14:paraId="1F4C7EC0" w14:textId="77E52EBA"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Онлайн консултация чрез Платформата за основните права, въпрос 1 (60 положителни отговора от общо 115).</w:t>
      </w:r>
    </w:p>
  </w:footnote>
  <w:footnote w:id="213">
    <w:p w14:paraId="54A74B37" w14:textId="77777777"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Словения</w:t>
      </w:r>
      <w:r w:rsidRPr="006E6596">
        <w:rPr>
          <w:lang w:val="bg-BG"/>
        </w:rPr>
        <w:t>, стр. 8—9.</w:t>
      </w:r>
    </w:p>
  </w:footnote>
  <w:footnote w:id="214">
    <w:p w14:paraId="30FD510D" w14:textId="77777777"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Германия</w:t>
      </w:r>
      <w:r w:rsidRPr="006E6596">
        <w:rPr>
          <w:lang w:val="bg-BG"/>
        </w:rPr>
        <w:t>, стр. 9—10.</w:t>
      </w:r>
    </w:p>
  </w:footnote>
  <w:footnote w:id="215">
    <w:p w14:paraId="011B31EC" w14:textId="77777777"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Белгия</w:t>
      </w:r>
      <w:r w:rsidRPr="006E6596">
        <w:rPr>
          <w:lang w:val="bg-BG"/>
        </w:rPr>
        <w:t xml:space="preserve">, стр. 21. Становище на </w:t>
      </w:r>
      <w:r w:rsidRPr="006E6596">
        <w:rPr>
          <w:b/>
          <w:lang w:val="bg-BG"/>
        </w:rPr>
        <w:t>звеното за връзка по въпросите на Хартата на Португалия</w:t>
      </w:r>
      <w:r w:rsidRPr="006E6596">
        <w:rPr>
          <w:lang w:val="bg-BG"/>
        </w:rPr>
        <w:t>, стр. 6;</w:t>
      </w:r>
    </w:p>
  </w:footnote>
  <w:footnote w:id="216">
    <w:p w14:paraId="0B56E82E" w14:textId="77777777"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Полша</w:t>
      </w:r>
      <w:r w:rsidRPr="006E6596">
        <w:rPr>
          <w:lang w:val="bg-BG"/>
        </w:rPr>
        <w:t>, стр. 20—21.</w:t>
      </w:r>
    </w:p>
  </w:footnote>
  <w:footnote w:id="217">
    <w:p w14:paraId="2015DE18" w14:textId="731AA84F"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Унгария</w:t>
      </w:r>
      <w:r w:rsidRPr="006E6596">
        <w:rPr>
          <w:lang w:val="bg-BG"/>
        </w:rPr>
        <w:t xml:space="preserve">, стр. 12—13. Становище на </w:t>
      </w:r>
      <w:r w:rsidRPr="006E6596">
        <w:rPr>
          <w:b/>
          <w:lang w:val="bg-BG"/>
        </w:rPr>
        <w:t>Полша</w:t>
      </w:r>
      <w:r w:rsidRPr="006E6596">
        <w:rPr>
          <w:lang w:val="bg-BG"/>
        </w:rPr>
        <w:t>, стр. 20—21.</w:t>
      </w:r>
    </w:p>
  </w:footnote>
  <w:footnote w:id="218">
    <w:p w14:paraId="01F5F23C" w14:textId="77777777"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OHCHR, стр. 6, относно CRPD/C/HUN/CO/2—3, стр. 26—27.</w:t>
      </w:r>
    </w:p>
  </w:footnote>
  <w:footnote w:id="219">
    <w:p w14:paraId="535AA9C5" w14:textId="77777777"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Германия</w:t>
      </w:r>
      <w:r w:rsidRPr="006E6596">
        <w:rPr>
          <w:lang w:val="bg-BG"/>
        </w:rPr>
        <w:t xml:space="preserve">, стр. 9; Становище на </w:t>
      </w:r>
      <w:r w:rsidRPr="006E6596">
        <w:rPr>
          <w:b/>
          <w:lang w:val="bg-BG"/>
        </w:rPr>
        <w:t>Литва</w:t>
      </w:r>
      <w:r w:rsidRPr="006E6596">
        <w:rPr>
          <w:lang w:val="bg-BG"/>
        </w:rPr>
        <w:t xml:space="preserve">, стр. 8—9; Становище на </w:t>
      </w:r>
      <w:r w:rsidRPr="006E6596">
        <w:rPr>
          <w:b/>
          <w:lang w:val="bg-BG"/>
        </w:rPr>
        <w:t>Нидерландия</w:t>
      </w:r>
      <w:r w:rsidRPr="006E6596">
        <w:rPr>
          <w:lang w:val="bg-BG"/>
        </w:rPr>
        <w:t xml:space="preserve">, стр. 3; Становище на </w:t>
      </w:r>
      <w:r w:rsidRPr="006E6596">
        <w:rPr>
          <w:b/>
          <w:lang w:val="bg-BG"/>
        </w:rPr>
        <w:t>Хърватия</w:t>
      </w:r>
      <w:r w:rsidRPr="006E6596">
        <w:rPr>
          <w:lang w:val="bg-BG"/>
        </w:rPr>
        <w:t xml:space="preserve">, стр. 11—12; Становище на </w:t>
      </w:r>
      <w:r w:rsidRPr="006E6596">
        <w:rPr>
          <w:b/>
          <w:lang w:val="bg-BG"/>
        </w:rPr>
        <w:t>Унгария</w:t>
      </w:r>
      <w:r w:rsidRPr="006E6596">
        <w:rPr>
          <w:lang w:val="bg-BG"/>
        </w:rPr>
        <w:t>, стр. 12—13.</w:t>
      </w:r>
    </w:p>
  </w:footnote>
  <w:footnote w:id="220">
    <w:p w14:paraId="582FD514" w14:textId="77777777"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Ирландия</w:t>
      </w:r>
      <w:r w:rsidRPr="006E6596">
        <w:rPr>
          <w:lang w:val="bg-BG"/>
        </w:rPr>
        <w:t>, стр. 2.</w:t>
      </w:r>
    </w:p>
  </w:footnote>
  <w:footnote w:id="221">
    <w:p w14:paraId="3E0E45A5" w14:textId="60B7DCF4" w:rsidR="00F41127" w:rsidRPr="006E6596" w:rsidRDefault="00F41127" w:rsidP="00F41127">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България</w:t>
      </w:r>
      <w:r w:rsidRPr="006E6596">
        <w:rPr>
          <w:lang w:val="bg-BG"/>
        </w:rPr>
        <w:t>, стр. 11, в което се споменава, че обучение относно софтуера се предоставя на повечето съдебни служители.</w:t>
      </w:r>
    </w:p>
  </w:footnote>
  <w:footnote w:id="222">
    <w:p w14:paraId="739BA133" w14:textId="0BA68E95" w:rsidR="00761820" w:rsidRPr="006E6596" w:rsidRDefault="00761820" w:rsidP="00C743EF">
      <w:pPr>
        <w:pStyle w:val="FootnoteText"/>
        <w:jc w:val="both"/>
        <w:rPr>
          <w:lang w:val="bg-BG"/>
        </w:rPr>
      </w:pPr>
      <w:r w:rsidRPr="006E6596">
        <w:rPr>
          <w:rStyle w:val="FootnoteReference"/>
          <w:lang w:val="bg-BG"/>
        </w:rPr>
        <w:footnoteRef/>
      </w:r>
      <w:r w:rsidRPr="006E6596">
        <w:rPr>
          <w:lang w:val="bg-BG"/>
        </w:rPr>
        <w:t xml:space="preserve"> Съдът се позовава на Конвенцията на ООН за правата на хората с увреждания и националното законодателство за равно третиране и недискриминация, които изискват разумни корекции на процедурата за оптимизиране на правата на участие и информация на хората с увреждания. Адаптирането на съдебния език, така че да може да бъде разбираем, е изискване към съдебната система свързано с необходимостта да се информират жалбоподателите за решението, произтичаща от Директивата относно правата на жертвите. </w:t>
      </w:r>
      <w:hyperlink r:id="rId43" w:history="1">
        <w:r w:rsidRPr="006E6596">
          <w:rPr>
            <w:rStyle w:val="Hyperlink"/>
            <w:lang w:val="bg-BG"/>
          </w:rPr>
          <w:t>C.G.P.J - Judicial News (poderjudicial.es)</w:t>
        </w:r>
      </w:hyperlink>
      <w:r w:rsidRPr="006E6596">
        <w:rPr>
          <w:lang w:val="bg-BG"/>
        </w:rPr>
        <w:t>, Становище при консултациите с Испания, стр. 5.</w:t>
      </w:r>
    </w:p>
  </w:footnote>
  <w:footnote w:id="223">
    <w:p w14:paraId="0D3ACB5E" w14:textId="490FECA1" w:rsidR="00D73988" w:rsidRPr="0049618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Кипър</w:t>
      </w:r>
      <w:r w:rsidRPr="006E6596">
        <w:rPr>
          <w:lang w:val="bg-BG"/>
        </w:rPr>
        <w:t xml:space="preserve">, стр. 1, становище на </w:t>
      </w:r>
      <w:r w:rsidRPr="006E6596">
        <w:rPr>
          <w:b/>
          <w:lang w:val="bg-BG"/>
        </w:rPr>
        <w:t>Германия</w:t>
      </w:r>
      <w:r w:rsidRPr="006E6596">
        <w:rPr>
          <w:lang w:val="bg-BG"/>
        </w:rPr>
        <w:t xml:space="preserve">, стр. 4, становище на </w:t>
      </w:r>
      <w:r w:rsidRPr="006E6596">
        <w:rPr>
          <w:b/>
          <w:lang w:val="bg-BG"/>
        </w:rPr>
        <w:t>Гърция</w:t>
      </w:r>
      <w:r w:rsidRPr="006E6596">
        <w:rPr>
          <w:lang w:val="bg-BG"/>
        </w:rPr>
        <w:t>, стр. 5—6, становище на</w:t>
      </w:r>
      <w:r w:rsidRPr="006E6596">
        <w:rPr>
          <w:b/>
          <w:lang w:val="bg-BG"/>
        </w:rPr>
        <w:t xml:space="preserve"> Нидерландия</w:t>
      </w:r>
      <w:r w:rsidRPr="006E6596">
        <w:rPr>
          <w:lang w:val="bg-BG"/>
        </w:rPr>
        <w:t>, стр. 1. Информационно табло на ЕС в областта на правосъдието за 2023 г., стр. 17—18.</w:t>
      </w:r>
      <w:r w:rsidR="00496186">
        <w:rPr>
          <w:lang w:val="bg-BG"/>
        </w:rPr>
        <w:t xml:space="preserve">, също становище на Съвета на Европа, в което се споменава </w:t>
      </w:r>
      <w:r w:rsidR="00496186" w:rsidRPr="00496186">
        <w:rPr>
          <w:lang w:val="bg-BG"/>
        </w:rPr>
        <w:t>Европейската комисия за ефикасност на правосъдието (CEPEJ)</w:t>
      </w:r>
      <w:r w:rsidR="00496186">
        <w:rPr>
          <w:lang w:val="bg-BG"/>
        </w:rPr>
        <w:t>: насърчаване на медиацията за разрешаване на административни спорове в държавите членки на Съвета на Европа — декември 2022 г.</w:t>
      </w:r>
    </w:p>
  </w:footnote>
  <w:footnote w:id="224">
    <w:p w14:paraId="23988328" w14:textId="77777777"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Словения</w:t>
      </w:r>
      <w:r w:rsidRPr="006E6596">
        <w:rPr>
          <w:lang w:val="bg-BG"/>
        </w:rPr>
        <w:t>, стр. 5.</w:t>
      </w:r>
    </w:p>
  </w:footnote>
  <w:footnote w:id="225">
    <w:p w14:paraId="2CEC5D3D" w14:textId="77777777"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Германия</w:t>
      </w:r>
      <w:r w:rsidRPr="006E6596">
        <w:rPr>
          <w:lang w:val="bg-BG"/>
        </w:rPr>
        <w:t>, стр. 18—19.</w:t>
      </w:r>
    </w:p>
  </w:footnote>
  <w:footnote w:id="226">
    <w:p w14:paraId="02C1C07C" w14:textId="68B0A991"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Франция</w:t>
      </w:r>
      <w:r w:rsidRPr="006E6596">
        <w:rPr>
          <w:lang w:val="bg-BG"/>
        </w:rPr>
        <w:t xml:space="preserve">, стр. 3—4; Становище на </w:t>
      </w:r>
      <w:r w:rsidRPr="006E6596">
        <w:rPr>
          <w:b/>
          <w:lang w:val="bg-BG"/>
        </w:rPr>
        <w:t>Люксембург</w:t>
      </w:r>
      <w:r w:rsidRPr="006E6596">
        <w:rPr>
          <w:lang w:val="bg-BG"/>
        </w:rPr>
        <w:t xml:space="preserve">, стр. 3, в което се отбелязва, че се очаква проектозакон за въвеждане на механизъм за колективен иск, който да позволи на голям брой потребители съвместно да заведат дело, ако са били увредени по един и същ или подобен начин; Становище на </w:t>
      </w:r>
      <w:r w:rsidRPr="006E6596">
        <w:rPr>
          <w:b/>
          <w:lang w:val="bg-BG"/>
        </w:rPr>
        <w:t>Швеция</w:t>
      </w:r>
      <w:r w:rsidRPr="006E6596">
        <w:rPr>
          <w:lang w:val="bg-BG"/>
        </w:rPr>
        <w:t>, стр. 2, относно правото на група потребители да предявяват представителни искове срещу търговец.</w:t>
      </w:r>
    </w:p>
  </w:footnote>
  <w:footnote w:id="227">
    <w:p w14:paraId="5E0207EC" w14:textId="77777777"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Латвия</w:t>
      </w:r>
      <w:r w:rsidRPr="006E6596">
        <w:rPr>
          <w:lang w:val="bg-BG"/>
        </w:rPr>
        <w:t>, стр. 1—2.</w:t>
      </w:r>
    </w:p>
  </w:footnote>
  <w:footnote w:id="228">
    <w:p w14:paraId="2D7EF3F7" w14:textId="12D7262F"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Люксембург</w:t>
      </w:r>
      <w:r w:rsidRPr="006E6596">
        <w:rPr>
          <w:lang w:val="bg-BG"/>
        </w:rPr>
        <w:t xml:space="preserve">, стр. 2, становище на </w:t>
      </w:r>
      <w:r w:rsidRPr="006E6596">
        <w:rPr>
          <w:b/>
          <w:lang w:val="bg-BG"/>
        </w:rPr>
        <w:t>Германия</w:t>
      </w:r>
      <w:r w:rsidRPr="006E6596">
        <w:rPr>
          <w:lang w:val="bg-BG"/>
        </w:rPr>
        <w:t xml:space="preserve">, стр. 4, становище на </w:t>
      </w:r>
      <w:r w:rsidRPr="006E6596">
        <w:rPr>
          <w:b/>
          <w:lang w:val="bg-BG"/>
        </w:rPr>
        <w:t>Белгия</w:t>
      </w:r>
      <w:r w:rsidRPr="006E6596">
        <w:rPr>
          <w:lang w:val="bg-BG"/>
        </w:rPr>
        <w:t xml:space="preserve">, стр. 6—7, становище на </w:t>
      </w:r>
      <w:r w:rsidRPr="006E6596">
        <w:rPr>
          <w:b/>
          <w:lang w:val="bg-BG"/>
        </w:rPr>
        <w:t>Литва</w:t>
      </w:r>
      <w:r w:rsidRPr="006E6596">
        <w:rPr>
          <w:lang w:val="bg-BG"/>
        </w:rPr>
        <w:t>, стр. 3—5, становище на</w:t>
      </w:r>
      <w:r w:rsidRPr="006E6596">
        <w:rPr>
          <w:b/>
          <w:lang w:val="bg-BG"/>
        </w:rPr>
        <w:t xml:space="preserve"> звеното за връзка по въпросите на Хартата на Португалия</w:t>
      </w:r>
      <w:r w:rsidRPr="006E6596">
        <w:rPr>
          <w:lang w:val="bg-BG"/>
        </w:rPr>
        <w:t>, стр. 1—4, становище на</w:t>
      </w:r>
      <w:r w:rsidRPr="006E6596">
        <w:rPr>
          <w:b/>
          <w:lang w:val="bg-BG"/>
        </w:rPr>
        <w:t xml:space="preserve"> Финландия,</w:t>
      </w:r>
      <w:r w:rsidRPr="006E6596">
        <w:rPr>
          <w:lang w:val="bg-BG"/>
        </w:rPr>
        <w:t xml:space="preserve"> стр. 1—3, становище на</w:t>
      </w:r>
      <w:r w:rsidRPr="006E6596">
        <w:rPr>
          <w:b/>
          <w:lang w:val="bg-BG"/>
        </w:rPr>
        <w:t xml:space="preserve"> Австрия</w:t>
      </w:r>
      <w:r w:rsidRPr="006E6596">
        <w:rPr>
          <w:lang w:val="bg-BG"/>
        </w:rPr>
        <w:t>, стр. 8, 12—13.</w:t>
      </w:r>
    </w:p>
  </w:footnote>
  <w:footnote w:id="229">
    <w:p w14:paraId="7A620CE4" w14:textId="77777777"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Информационно табло на ЕС в областта на правосъдието за 2023 г., стр. 24.</w:t>
      </w:r>
    </w:p>
  </w:footnote>
  <w:footnote w:id="230">
    <w:p w14:paraId="3C680CF8" w14:textId="77777777" w:rsidR="0035531C" w:rsidRPr="006E6596" w:rsidRDefault="0035531C" w:rsidP="0035531C">
      <w:pPr>
        <w:pStyle w:val="FootnoteText"/>
        <w:jc w:val="both"/>
        <w:rPr>
          <w:lang w:val="bg-BG"/>
        </w:rPr>
      </w:pPr>
      <w:r w:rsidRPr="006E6596">
        <w:rPr>
          <w:rStyle w:val="FootnoteReference"/>
          <w:lang w:val="bg-BG"/>
        </w:rPr>
        <w:footnoteRef/>
      </w:r>
      <w:r w:rsidRPr="006E6596">
        <w:rPr>
          <w:lang w:val="bg-BG"/>
        </w:rPr>
        <w:t xml:space="preserve"> Становище на </w:t>
      </w:r>
      <w:r w:rsidRPr="006E6596">
        <w:rPr>
          <w:b/>
          <w:lang w:val="bg-BG"/>
        </w:rPr>
        <w:t>Люксембург</w:t>
      </w:r>
      <w:r w:rsidRPr="006E6596">
        <w:rPr>
          <w:lang w:val="bg-BG"/>
        </w:rPr>
        <w:t>, стр. 2. По граждански дела медиацията е достъпна в „</w:t>
      </w:r>
      <w:r w:rsidRPr="006E6596">
        <w:rPr>
          <w:i/>
          <w:lang w:val="bg-BG"/>
        </w:rPr>
        <w:t>Centre de Médiation</w:t>
      </w:r>
      <w:r w:rsidRPr="006E6596">
        <w:rPr>
          <w:lang w:val="bg-BG"/>
        </w:rPr>
        <w:t>“, който назначава медиатор съобразно предмета на спора и желанията на страните.</w:t>
      </w:r>
    </w:p>
  </w:footnote>
  <w:footnote w:id="231">
    <w:p w14:paraId="4441AF95" w14:textId="0F76B41C" w:rsidR="006A57D0" w:rsidRPr="006E6596" w:rsidRDefault="00D73988" w:rsidP="006A57D0">
      <w:pPr>
        <w:pStyle w:val="FootnoteText"/>
        <w:jc w:val="both"/>
        <w:rPr>
          <w:lang w:val="bg-BG"/>
        </w:rPr>
      </w:pPr>
      <w:r w:rsidRPr="006E6596">
        <w:rPr>
          <w:rStyle w:val="FootnoteReference"/>
          <w:lang w:val="bg-BG"/>
        </w:rPr>
        <w:footnoteRef/>
      </w:r>
      <w:r w:rsidRPr="006E6596">
        <w:rPr>
          <w:lang w:val="bg-BG"/>
        </w:rPr>
        <w:t xml:space="preserve"> Информационно табло на ЕС в областта на правосъдието за 2023 г., стр. 24. По същия начин, в </w:t>
      </w:r>
      <w:r w:rsidRPr="006E6596">
        <w:rPr>
          <w:b/>
          <w:lang w:val="bg-BG"/>
        </w:rPr>
        <w:t>Словения</w:t>
      </w:r>
      <w:r w:rsidRPr="006E6596">
        <w:rPr>
          <w:lang w:val="bg-BG"/>
        </w:rPr>
        <w:t xml:space="preserve">, АРС от органи, различни от съдилищата, не се използва широко, но значението му нараства. Съдилищата представят алтернативно разрешаване на спорове като потенциална възможност, освен когато съдията сметне това за неподходящо. Становище при консултациите със </w:t>
      </w:r>
      <w:r w:rsidRPr="006E6596">
        <w:rPr>
          <w:b/>
          <w:lang w:val="bg-BG"/>
        </w:rPr>
        <w:t>Словения</w:t>
      </w:r>
      <w:r w:rsidRPr="006E6596">
        <w:rPr>
          <w:lang w:val="bg-BG"/>
        </w:rPr>
        <w:t>, стр. 3. Законът за арбитража дава възможност на страните по граждански производства да упълномощават арбитражен съвет, който да издаде обвързващо решение, еквивалентно на това на съд. Медиацията е уредена в Закона за медиацията по граждански и търговски дела. Законът за алтернативно разрешаване на спорове по съдебни дела разширява използването на алтернативно решаване на спорове в корпоративни, трудови, семейни и други гражданскоправни отношения относно претенции, с които страните могат свободно да се разпореждат и уреждат. Средствата за финансиране на програмите за АРС се осигуряват от бюджетите на съдилищата.</w:t>
      </w:r>
    </w:p>
    <w:p w14:paraId="65E65834" w14:textId="26F9D08E" w:rsidR="00D73988" w:rsidRPr="006E6596" w:rsidRDefault="00D73988" w:rsidP="00633442">
      <w:pPr>
        <w:pStyle w:val="FootnoteText"/>
        <w:jc w:val="both"/>
        <w:rPr>
          <w:lang w:val="bg-BG"/>
        </w:rPr>
      </w:pPr>
    </w:p>
  </w:footnote>
  <w:footnote w:id="232">
    <w:p w14:paraId="549DB86F" w14:textId="09CF2319"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при консултациите с </w:t>
      </w:r>
      <w:r w:rsidRPr="006E6596">
        <w:rPr>
          <w:b/>
          <w:lang w:val="bg-BG"/>
        </w:rPr>
        <w:t>Нидерландия</w:t>
      </w:r>
      <w:r w:rsidRPr="006E6596">
        <w:rPr>
          <w:lang w:val="bg-BG"/>
        </w:rPr>
        <w:t xml:space="preserve">, стр. 1; Информационно табло на ЕС в областта на правосъдието за 2023 г., стр. 24, където се отбелязва, че в </w:t>
      </w:r>
      <w:r w:rsidRPr="006E6596">
        <w:rPr>
          <w:b/>
          <w:lang w:val="bg-BG"/>
        </w:rPr>
        <w:t>Словакия</w:t>
      </w:r>
      <w:r w:rsidRPr="006E6596">
        <w:rPr>
          <w:lang w:val="bg-BG"/>
        </w:rPr>
        <w:t xml:space="preserve"> използването на АРС за административни цели не се прилага и че в </w:t>
      </w:r>
      <w:r w:rsidRPr="006E6596">
        <w:rPr>
          <w:b/>
          <w:lang w:val="bg-BG"/>
        </w:rPr>
        <w:t>Испания</w:t>
      </w:r>
      <w:r w:rsidRPr="006E6596">
        <w:rPr>
          <w:lang w:val="bg-BG"/>
        </w:rPr>
        <w:t xml:space="preserve"> използването на АРС е задължително при трудовоправни дела.</w:t>
      </w:r>
    </w:p>
  </w:footnote>
  <w:footnote w:id="233">
    <w:p w14:paraId="41B94D7F" w14:textId="23B045A2"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Вж. Информационно табло на ЕС в областта на правосъдието за 2023 г., стр. 31—37.</w:t>
      </w:r>
    </w:p>
  </w:footnote>
  <w:footnote w:id="234">
    <w:p w14:paraId="7CDECC70" w14:textId="77777777" w:rsidR="00D73988" w:rsidRPr="006E6596" w:rsidRDefault="00D73988" w:rsidP="00633442">
      <w:pPr>
        <w:pStyle w:val="FootnoteText"/>
        <w:jc w:val="both"/>
        <w:rPr>
          <w:lang w:val="bg-BG"/>
        </w:rPr>
      </w:pPr>
      <w:r w:rsidRPr="006E6596">
        <w:rPr>
          <w:rStyle w:val="FootnoteReference"/>
          <w:lang w:val="bg-BG"/>
        </w:rPr>
        <w:footnoteRef/>
      </w:r>
      <w:r w:rsidRPr="006E6596">
        <w:rPr>
          <w:lang w:val="bg-BG"/>
        </w:rPr>
        <w:t xml:space="preserve"> Стратегия за Хартата, стр. 5, относно ниското равнище на използване и информираност относно Хартата в парламентите. </w:t>
      </w:r>
    </w:p>
  </w:footnote>
  <w:footnote w:id="235">
    <w:p w14:paraId="0A55D396" w14:textId="62E08368"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FRA относно Становище на парламентарната комисия по конституционно право на</w:t>
      </w:r>
      <w:r w:rsidRPr="006E6596">
        <w:rPr>
          <w:b/>
          <w:lang w:val="bg-BG"/>
        </w:rPr>
        <w:t xml:space="preserve"> Финландия </w:t>
      </w:r>
      <w:r w:rsidRPr="006E6596">
        <w:rPr>
          <w:lang w:val="bg-BG"/>
        </w:rPr>
        <w:t xml:space="preserve">(PeVL 44/2022) във връзка със законопроект на правителството 103/2022 за изменение на Закона за чужденците. Парламентарната комисия призова за по-прецизни разпоредби относно евентуалната национална свобода на преценка при прилагането на Директива 2013/32/ЕС, ограниченията на свободата на движение и правото на обжалване на решение по искане за разрешение за напускане на приемния център. </w:t>
      </w:r>
      <w:r w:rsidR="00056C22">
        <w:rPr>
          <w:lang w:val="bg-BG"/>
        </w:rPr>
        <w:t>Също с</w:t>
      </w:r>
      <w:r w:rsidRPr="006E6596">
        <w:rPr>
          <w:lang w:val="bg-BG"/>
        </w:rPr>
        <w:t>тановище на FRA относно предложение на правителството на</w:t>
      </w:r>
      <w:r w:rsidR="00056C22">
        <w:rPr>
          <w:lang w:val="bg-BG"/>
        </w:rPr>
        <w:t xml:space="preserve"> </w:t>
      </w:r>
      <w:r w:rsidRPr="006E6596">
        <w:rPr>
          <w:b/>
          <w:lang w:val="bg-BG"/>
        </w:rPr>
        <w:t>Естония</w:t>
      </w:r>
      <w:r w:rsidRPr="006E6596">
        <w:rPr>
          <w:lang w:val="bg-BG"/>
        </w:rPr>
        <w:t xml:space="preserve"> за изменения на Закона за чужденците (право на обжалване на решение за оспорване на виза), 328 SE (Välismaalaste seaduse muutmise seaduse (viisavaide otsuse kohtukaebeõigus) eelnõu 328 SE), 8 февруари 2021 г.</w:t>
      </w:r>
    </w:p>
  </w:footnote>
  <w:footnote w:id="236">
    <w:p w14:paraId="15D40B26" w14:textId="00C85AEB" w:rsidR="00D73988" w:rsidRPr="006E6596" w:rsidRDefault="00D73988" w:rsidP="00D73988">
      <w:pPr>
        <w:pStyle w:val="FootnoteText"/>
        <w:jc w:val="both"/>
        <w:rPr>
          <w:lang w:val="bg-BG"/>
        </w:rPr>
      </w:pPr>
      <w:r w:rsidRPr="006E6596">
        <w:rPr>
          <w:rStyle w:val="FootnoteReference"/>
          <w:lang w:val="bg-BG"/>
        </w:rPr>
        <w:footnoteRef/>
      </w:r>
      <w:r w:rsidRPr="006E6596">
        <w:rPr>
          <w:lang w:val="bg-BG"/>
        </w:rPr>
        <w:t xml:space="preserve"> Становище на FRA относно </w:t>
      </w:r>
      <w:hyperlink r:id="rId44" w:history="1">
        <w:r w:rsidRPr="006E6596">
          <w:rPr>
            <w:rStyle w:val="Hyperlink"/>
            <w:lang w:val="bg-BG"/>
          </w:rPr>
          <w:t xml:space="preserve">Обяснителна бележка на Сейма на Република </w:t>
        </w:r>
        <w:r w:rsidRPr="006E6596">
          <w:rPr>
            <w:rStyle w:val="Hyperlink"/>
            <w:b/>
            <w:lang w:val="bg-BG"/>
          </w:rPr>
          <w:t>Литва</w:t>
        </w:r>
      </w:hyperlink>
      <w:r w:rsidRPr="006E6596">
        <w:rPr>
          <w:lang w:val="bg-BG"/>
        </w:rPr>
        <w:t xml:space="preserve"> във връзка с изменението на член 5 и параграф 2 на член 22 от Закона за криминалното разузнаване на Република Литва № XI-2234 и изменението на член 10 от Закона за държавната и служебната тайна на Република Литва. </w:t>
      </w:r>
    </w:p>
  </w:footnote>
  <w:footnote w:id="237">
    <w:p w14:paraId="2840F44D" w14:textId="0AEC4618" w:rsidR="00FD7FAB" w:rsidRPr="006E6596" w:rsidRDefault="00FD7FAB" w:rsidP="00E425FB">
      <w:pPr>
        <w:pStyle w:val="FootnoteText"/>
        <w:jc w:val="both"/>
        <w:rPr>
          <w:lang w:val="bg-BG"/>
        </w:rPr>
      </w:pPr>
      <w:r w:rsidRPr="006E6596">
        <w:rPr>
          <w:rStyle w:val="FootnoteReference"/>
          <w:lang w:val="bg-BG"/>
        </w:rPr>
        <w:footnoteRef/>
      </w:r>
      <w:r w:rsidRPr="006E6596">
        <w:rPr>
          <w:lang w:val="bg-BG"/>
        </w:rPr>
        <w:t xml:space="preserve"> Член 267 от ДФЕС.</w:t>
      </w:r>
    </w:p>
  </w:footnote>
  <w:footnote w:id="238">
    <w:p w14:paraId="28A14E80" w14:textId="2CD815EF" w:rsidR="00FD7FAB" w:rsidRPr="006E6596" w:rsidRDefault="00FD7FAB" w:rsidP="00633442">
      <w:pPr>
        <w:pStyle w:val="FootnoteText"/>
        <w:jc w:val="both"/>
        <w:rPr>
          <w:lang w:val="bg-BG"/>
        </w:rPr>
      </w:pPr>
      <w:r w:rsidRPr="006E6596">
        <w:rPr>
          <w:rStyle w:val="FootnoteReference"/>
          <w:lang w:val="bg-BG"/>
        </w:rPr>
        <w:footnoteRef/>
      </w:r>
      <w:r w:rsidRPr="006E6596">
        <w:rPr>
          <w:lang w:val="bg-BG"/>
        </w:rPr>
        <w:t xml:space="preserve"> Член 258 от ДФЕС.</w:t>
      </w:r>
    </w:p>
  </w:footnote>
  <w:footnote w:id="239">
    <w:p w14:paraId="6AA0325C" w14:textId="3B9EBF89" w:rsidR="003B0DE2" w:rsidRPr="006E6596" w:rsidRDefault="003B0DE2" w:rsidP="0007754A">
      <w:pPr>
        <w:pStyle w:val="FootnoteText"/>
        <w:jc w:val="both"/>
        <w:rPr>
          <w:lang w:val="bg-BG"/>
        </w:rPr>
      </w:pPr>
      <w:r w:rsidRPr="006E6596">
        <w:rPr>
          <w:rStyle w:val="FootnoteReference"/>
          <w:lang w:val="bg-BG"/>
        </w:rPr>
        <w:footnoteRef/>
      </w:r>
      <w:r w:rsidRPr="006E6596">
        <w:rPr>
          <w:lang w:val="bg-BG"/>
        </w:rPr>
        <w:t xml:space="preserve"> Вж.: Решение от 18 май 2021 г., </w:t>
      </w:r>
      <w:r w:rsidRPr="006E6596">
        <w:rPr>
          <w:i/>
          <w:lang w:val="bg-BG"/>
        </w:rPr>
        <w:t>Asociaţia ‘Forumul Judecătorilor din România’ and Others</w:t>
      </w:r>
      <w:r w:rsidRPr="006E6596">
        <w:rPr>
          <w:lang w:val="bg-BG"/>
        </w:rPr>
        <w:t xml:space="preserve">, C-83/19, C-127/19, C-195/19, C-291/19, C-355/19, EU:C:2021:393; решение от 20 април 2021 г., </w:t>
      </w:r>
      <w:r w:rsidRPr="006E6596">
        <w:rPr>
          <w:i/>
          <w:lang w:val="bg-BG"/>
        </w:rPr>
        <w:t>Repubblika</w:t>
      </w:r>
      <w:r w:rsidRPr="006E6596">
        <w:rPr>
          <w:lang w:val="bg-BG"/>
        </w:rPr>
        <w:t xml:space="preserve">, C-896/19, EU:C:2021:311; решение от 2 март 2021 г., </w:t>
      </w:r>
      <w:r w:rsidRPr="006E6596">
        <w:rPr>
          <w:i/>
          <w:lang w:val="bg-BG"/>
        </w:rPr>
        <w:t>A.B. and Others (Процедура за назначаване на съдиите във Върховен съд — жалба)</w:t>
      </w:r>
      <w:r w:rsidRPr="006E6596">
        <w:rPr>
          <w:lang w:val="bg-BG"/>
        </w:rPr>
        <w:t xml:space="preserve">, C-824/18, EU:C:2021:153; решение от 19 ноември 2019 г., </w:t>
      </w:r>
      <w:r w:rsidRPr="006E6596">
        <w:rPr>
          <w:i/>
          <w:lang w:val="bg-BG"/>
        </w:rPr>
        <w:t>AK (Независимост на дисциплинарната колегия на Върховния съд)</w:t>
      </w:r>
      <w:r w:rsidRPr="006E6596">
        <w:rPr>
          <w:lang w:val="bg-BG"/>
        </w:rPr>
        <w:t xml:space="preserve">, C-585/18, C-624/18 и C-625/18, EU:C:2019:982; и решение от 27 февруари 2018 г., </w:t>
      </w:r>
      <w:r w:rsidRPr="006E6596">
        <w:rPr>
          <w:i/>
          <w:lang w:val="bg-BG"/>
        </w:rPr>
        <w:t>Associação Sindical dos Juízes Portugueses</w:t>
      </w:r>
      <w:r w:rsidRPr="006E6596">
        <w:rPr>
          <w:lang w:val="bg-BG"/>
        </w:rPr>
        <w:t>, C-64/16, EU:C:2018:117.</w:t>
      </w:r>
    </w:p>
  </w:footnote>
  <w:footnote w:id="240">
    <w:p w14:paraId="3857D415" w14:textId="090B0AB9" w:rsidR="003B0DE2" w:rsidRPr="006E6596" w:rsidRDefault="003B0DE2">
      <w:pPr>
        <w:pStyle w:val="FootnoteText"/>
        <w:rPr>
          <w:lang w:val="bg-BG"/>
        </w:rPr>
      </w:pPr>
      <w:r w:rsidRPr="006E6596">
        <w:rPr>
          <w:rStyle w:val="FootnoteReference"/>
          <w:lang w:val="bg-BG"/>
        </w:rPr>
        <w:footnoteRef/>
      </w:r>
      <w:r w:rsidRPr="006E6596">
        <w:rPr>
          <w:lang w:val="bg-BG"/>
        </w:rPr>
        <w:t xml:space="preserve"> Доклад относно върховенството на закона за 2023 г., стр. 3.</w:t>
      </w:r>
    </w:p>
  </w:footnote>
  <w:footnote w:id="241">
    <w:p w14:paraId="1DF5800A" w14:textId="7DBCF952" w:rsidR="00EB4AA9" w:rsidRPr="006E6596" w:rsidRDefault="00EB4AA9" w:rsidP="00EB4AA9">
      <w:pPr>
        <w:pStyle w:val="FootnoteText"/>
        <w:jc w:val="both"/>
        <w:rPr>
          <w:lang w:val="bg-BG"/>
        </w:rPr>
      </w:pPr>
      <w:r w:rsidRPr="006E6596">
        <w:rPr>
          <w:rStyle w:val="FootnoteReference"/>
          <w:lang w:val="bg-BG"/>
        </w:rPr>
        <w:footnoteRef/>
      </w:r>
      <w:r w:rsidRPr="006E6596">
        <w:rPr>
          <w:lang w:val="bg-BG"/>
        </w:rPr>
        <w:t xml:space="preserve"> Решение от 2 март 2021 г., </w:t>
      </w:r>
      <w:r w:rsidRPr="006E6596">
        <w:rPr>
          <w:i/>
          <w:lang w:val="bg-BG"/>
        </w:rPr>
        <w:t>Prokuratuur (Conditions d’accès aux données relatives aux communications électroniques)</w:t>
      </w:r>
      <w:r w:rsidRPr="006E6596">
        <w:rPr>
          <w:lang w:val="bg-BG"/>
        </w:rPr>
        <w:t xml:space="preserve">, C-746/18, EU:C:2021:152, т. 42. Също Решение от 6 октомври 2020 г., </w:t>
      </w:r>
      <w:r w:rsidRPr="006E6596">
        <w:rPr>
          <w:i/>
          <w:lang w:val="bg-BG"/>
        </w:rPr>
        <w:t>La Quadrature du net and Others</w:t>
      </w:r>
      <w:r w:rsidRPr="006E6596">
        <w:rPr>
          <w:lang w:val="bg-BG"/>
        </w:rPr>
        <w:t>, C-511/18, C-512/18 и C-520/18, ECLI:EU:C:2020:791, т. 223 и цитираната съдебна практика.</w:t>
      </w:r>
    </w:p>
  </w:footnote>
  <w:footnote w:id="242">
    <w:p w14:paraId="1454FBB3" w14:textId="5A1E1EAC" w:rsidR="00895C1C" w:rsidRPr="006E6596" w:rsidRDefault="00895C1C" w:rsidP="00895C1C">
      <w:pPr>
        <w:pStyle w:val="FootnoteText"/>
        <w:jc w:val="both"/>
        <w:rPr>
          <w:lang w:val="bg-BG"/>
        </w:rPr>
      </w:pPr>
      <w:r w:rsidRPr="006E6596">
        <w:rPr>
          <w:rStyle w:val="FootnoteReference"/>
          <w:lang w:val="bg-BG"/>
        </w:rPr>
        <w:footnoteRef/>
      </w:r>
      <w:r w:rsidRPr="006E6596">
        <w:rPr>
          <w:lang w:val="bg-BG"/>
        </w:rPr>
        <w:t xml:space="preserve"> Стратегия за Хартата, стр. 5 и източниците, цитирани в нея, с отбелязване, че нарастващият обем от законодателство на ЕС показва как Хартата се прилага във все по-голям брой случаи и области. Това се вижда най-вече в съдебната практика на Съда на ЕС относно прилагането на правото на ефективни правни средства за защита в области като данъчното облагане, убежището и миграцията или равното третиране в областта на заетостта.  </w:t>
      </w:r>
    </w:p>
  </w:footnote>
  <w:footnote w:id="243">
    <w:p w14:paraId="67F686A8" w14:textId="25CA9963" w:rsidR="007F7DFC" w:rsidRPr="006E6596" w:rsidRDefault="007F7DFC" w:rsidP="00285A4D">
      <w:pPr>
        <w:pStyle w:val="FootnoteText"/>
        <w:jc w:val="both"/>
        <w:rPr>
          <w:lang w:val="bg-BG"/>
        </w:rPr>
      </w:pPr>
      <w:r w:rsidRPr="006E6596">
        <w:rPr>
          <w:rStyle w:val="FootnoteReference"/>
          <w:lang w:val="bg-BG"/>
        </w:rPr>
        <w:footnoteRef/>
      </w:r>
      <w:r w:rsidRPr="006E6596">
        <w:rPr>
          <w:lang w:val="bg-BG"/>
        </w:rPr>
        <w:t xml:space="preserve"> Решение на Съда от 19 септември 2018 г. </w:t>
      </w:r>
      <w:r w:rsidRPr="006E6596">
        <w:rPr>
          <w:i/>
          <w:lang w:val="bg-BG"/>
        </w:rPr>
        <w:t>Милев,</w:t>
      </w:r>
      <w:r w:rsidRPr="006E6596">
        <w:rPr>
          <w:lang w:val="bg-BG"/>
        </w:rPr>
        <w:t xml:space="preserve"> C‑310/18, EU:C:2018:732.</w:t>
      </w:r>
    </w:p>
  </w:footnote>
  <w:footnote w:id="244">
    <w:p w14:paraId="64154E04" w14:textId="686B2AE0" w:rsidR="003D0034" w:rsidRPr="006E6596" w:rsidRDefault="003D0034" w:rsidP="00285A4D">
      <w:pPr>
        <w:pStyle w:val="FootnoteText"/>
        <w:jc w:val="both"/>
        <w:rPr>
          <w:highlight w:val="yellow"/>
          <w:lang w:val="bg-BG"/>
        </w:rPr>
      </w:pPr>
      <w:r w:rsidRPr="006E6596">
        <w:rPr>
          <w:rStyle w:val="FootnoteReference"/>
          <w:lang w:val="bg-BG"/>
        </w:rPr>
        <w:footnoteRef/>
      </w:r>
      <w:r w:rsidRPr="006E6596">
        <w:rPr>
          <w:lang w:val="bg-BG"/>
        </w:rPr>
        <w:t xml:space="preserve"> Висящо дело C-760/22, </w:t>
      </w:r>
      <w:r w:rsidRPr="006E6596">
        <w:rPr>
          <w:i/>
          <w:lang w:val="bg-BG"/>
        </w:rPr>
        <w:t>FP and Others</w:t>
      </w:r>
      <w:r w:rsidRPr="006E6596">
        <w:rPr>
          <w:lang w:val="bg-BG"/>
        </w:rPr>
        <w:t>.</w:t>
      </w:r>
    </w:p>
  </w:footnote>
  <w:footnote w:id="245">
    <w:p w14:paraId="7798DAEE" w14:textId="56F61D1F" w:rsidR="007F7DFC" w:rsidRPr="006E6596" w:rsidRDefault="007F7DFC" w:rsidP="00285A4D">
      <w:pPr>
        <w:pStyle w:val="FootnoteText"/>
        <w:jc w:val="both"/>
        <w:rPr>
          <w:lang w:val="bg-BG"/>
        </w:rPr>
      </w:pPr>
      <w:r w:rsidRPr="006E6596">
        <w:rPr>
          <w:rStyle w:val="FootnoteReference"/>
          <w:lang w:val="bg-BG"/>
        </w:rPr>
        <w:footnoteRef/>
      </w:r>
      <w:r w:rsidRPr="006E6596">
        <w:rPr>
          <w:lang w:val="bg-BG"/>
        </w:rPr>
        <w:t xml:space="preserve"> Решение от 13 февруари 2020 г., </w:t>
      </w:r>
      <w:r w:rsidRPr="006E6596">
        <w:rPr>
          <w:i/>
          <w:lang w:val="bg-BG"/>
        </w:rPr>
        <w:t>Spetsializirana prokuratura (Изслушване в отсъствието на обвиняемия</w:t>
      </w:r>
      <w:r w:rsidRPr="006E6596">
        <w:rPr>
          <w:lang w:val="bg-BG"/>
        </w:rPr>
        <w:t xml:space="preserve">), C-688/18, EU:C:2020:94; решение от 23 ноември 2021 г., </w:t>
      </w:r>
      <w:r w:rsidRPr="006E6596">
        <w:rPr>
          <w:i/>
          <w:lang w:val="bg-BG"/>
        </w:rPr>
        <w:t>IS (Illégalité de l’ordonnance de renvoi)</w:t>
      </w:r>
      <w:r w:rsidRPr="006E6596">
        <w:rPr>
          <w:lang w:val="bg-BG"/>
        </w:rPr>
        <w:t xml:space="preserve">, C-564/19, EU:C:2021:949; решение от 19 май 2022 г., </w:t>
      </w:r>
      <w:r w:rsidRPr="006E6596">
        <w:rPr>
          <w:i/>
          <w:lang w:val="bg-BG"/>
        </w:rPr>
        <w:t>Spetsializirana prokuratura</w:t>
      </w:r>
      <w:r w:rsidRPr="006E6596">
        <w:rPr>
          <w:lang w:val="bg-BG"/>
        </w:rPr>
        <w:t xml:space="preserve">, C-569/20, EU:C:2022:401; решение от 15 септември 2022 г., </w:t>
      </w:r>
      <w:r w:rsidRPr="006E6596">
        <w:rPr>
          <w:i/>
          <w:lang w:val="bg-BG"/>
        </w:rPr>
        <w:t>HN (Procès d’un accusé éloigné du territoire),</w:t>
      </w:r>
      <w:r w:rsidRPr="006E6596">
        <w:rPr>
          <w:lang w:val="bg-BG"/>
        </w:rPr>
        <w:t xml:space="preserve"> C‑420/20, EU:C:2022:679. Също, Решение от 19 май 2022 г, </w:t>
      </w:r>
      <w:r w:rsidRPr="006E6596">
        <w:rPr>
          <w:i/>
          <w:lang w:val="bg-BG"/>
        </w:rPr>
        <w:t>Spetsializirana prokuratura</w:t>
      </w:r>
      <w:r w:rsidRPr="006E6596">
        <w:rPr>
          <w:lang w:val="bg-BG"/>
        </w:rPr>
        <w:t>, C-569/20, EU:C:2022:401.</w:t>
      </w:r>
    </w:p>
  </w:footnote>
  <w:footnote w:id="246">
    <w:p w14:paraId="01777C85" w14:textId="27D5D7B6" w:rsidR="00F711FA" w:rsidRPr="006E6596" w:rsidRDefault="00F711FA" w:rsidP="00285A4D">
      <w:pPr>
        <w:pStyle w:val="FootnoteText"/>
        <w:jc w:val="both"/>
        <w:rPr>
          <w:lang w:val="bg-BG"/>
        </w:rPr>
      </w:pPr>
      <w:r w:rsidRPr="006E6596">
        <w:rPr>
          <w:rStyle w:val="FootnoteReference"/>
          <w:lang w:val="bg-BG"/>
        </w:rPr>
        <w:footnoteRef/>
      </w:r>
      <w:r w:rsidRPr="006E6596">
        <w:rPr>
          <w:lang w:val="bg-BG"/>
        </w:rPr>
        <w:t xml:space="preserve"> Висящи дела C-767/22 и C-49/23, </w:t>
      </w:r>
      <w:r w:rsidRPr="006E6596">
        <w:rPr>
          <w:i/>
          <w:lang w:val="bg-BG"/>
        </w:rPr>
        <w:t>1Dream and Others</w:t>
      </w:r>
      <w:r w:rsidRPr="006E6596">
        <w:rPr>
          <w:lang w:val="bg-BG"/>
        </w:rPr>
        <w:t xml:space="preserve">, и висящо дело C-265/23, </w:t>
      </w:r>
      <w:r w:rsidRPr="006E6596">
        <w:rPr>
          <w:i/>
          <w:lang w:val="bg-BG"/>
        </w:rPr>
        <w:t>Волиева</w:t>
      </w:r>
      <w:r w:rsidRPr="006E6596">
        <w:rPr>
          <w:lang w:val="bg-BG"/>
        </w:rPr>
        <w:t>.</w:t>
      </w:r>
    </w:p>
  </w:footnote>
  <w:footnote w:id="247">
    <w:p w14:paraId="5FF0ADCA" w14:textId="51C11D82" w:rsidR="00F711FA" w:rsidRPr="006E6596" w:rsidRDefault="00F711FA" w:rsidP="00285A4D">
      <w:pPr>
        <w:pStyle w:val="FootnoteText"/>
        <w:jc w:val="both"/>
        <w:rPr>
          <w:highlight w:val="yellow"/>
          <w:lang w:val="bg-BG"/>
        </w:rPr>
      </w:pPr>
      <w:r w:rsidRPr="006E6596">
        <w:rPr>
          <w:rStyle w:val="FootnoteReference"/>
          <w:lang w:val="bg-BG"/>
        </w:rPr>
        <w:footnoteRef/>
      </w:r>
      <w:r w:rsidRPr="006E6596">
        <w:rPr>
          <w:lang w:val="bg-BG"/>
        </w:rPr>
        <w:t xml:space="preserve"> Висящо дело C-603/22, </w:t>
      </w:r>
      <w:r w:rsidRPr="006E6596">
        <w:rPr>
          <w:i/>
          <w:lang w:val="bg-BG"/>
        </w:rPr>
        <w:t>M.S. and Others (Droits procéduraux d’une personne mineure)</w:t>
      </w:r>
      <w:r w:rsidRPr="006E6596">
        <w:rPr>
          <w:lang w:val="bg-BG"/>
        </w:rPr>
        <w:t>.</w:t>
      </w:r>
    </w:p>
  </w:footnote>
  <w:footnote w:id="248">
    <w:p w14:paraId="2F48166C" w14:textId="446E5563" w:rsidR="00F711FA" w:rsidRPr="006E6596" w:rsidRDefault="00F711FA" w:rsidP="00285A4D">
      <w:pPr>
        <w:pStyle w:val="FootnoteText"/>
        <w:jc w:val="both"/>
        <w:rPr>
          <w:highlight w:val="yellow"/>
          <w:lang w:val="bg-BG"/>
        </w:rPr>
      </w:pPr>
      <w:r w:rsidRPr="006E6596">
        <w:rPr>
          <w:rStyle w:val="FootnoteReference"/>
          <w:lang w:val="bg-BG"/>
        </w:rPr>
        <w:footnoteRef/>
      </w:r>
      <w:r w:rsidRPr="006E6596">
        <w:rPr>
          <w:lang w:val="bg-BG"/>
        </w:rPr>
        <w:t xml:space="preserve"> Решение от 1 август 2022 г., </w:t>
      </w:r>
      <w:r w:rsidRPr="006E6596">
        <w:rPr>
          <w:i/>
          <w:lang w:val="bg-BG"/>
        </w:rPr>
        <w:t>TL () and de traduction)</w:t>
      </w:r>
      <w:r w:rsidRPr="006E6596">
        <w:rPr>
          <w:lang w:val="bg-BG"/>
        </w:rPr>
        <w:t>, C-242/22 PPU, EU:C:2022:611.</w:t>
      </w:r>
    </w:p>
  </w:footnote>
  <w:footnote w:id="249">
    <w:p w14:paraId="66FB1244" w14:textId="7153E4B6" w:rsidR="004941AF" w:rsidRPr="006E6596" w:rsidRDefault="004941AF" w:rsidP="00285A4D">
      <w:pPr>
        <w:pStyle w:val="FootnoteText"/>
        <w:jc w:val="both"/>
        <w:rPr>
          <w:lang w:val="bg-BG"/>
        </w:rPr>
      </w:pPr>
      <w:r w:rsidRPr="006E6596">
        <w:rPr>
          <w:rStyle w:val="FootnoteReference"/>
          <w:lang w:val="bg-BG"/>
        </w:rPr>
        <w:footnoteRef/>
      </w:r>
      <w:r w:rsidRPr="006E6596">
        <w:rPr>
          <w:lang w:val="bg-BG"/>
        </w:rPr>
        <w:t xml:space="preserve"> Решение от 9 юни 2016 г., </w:t>
      </w:r>
      <w:r w:rsidRPr="006E6596">
        <w:rPr>
          <w:i/>
          <w:lang w:val="bg-BG"/>
        </w:rPr>
        <w:t>Balogh</w:t>
      </w:r>
      <w:r w:rsidRPr="006E6596">
        <w:rPr>
          <w:lang w:val="bg-BG"/>
        </w:rPr>
        <w:t>, C-25/15, EU:C:2016:423;</w:t>
      </w:r>
    </w:p>
  </w:footnote>
  <w:footnote w:id="250">
    <w:p w14:paraId="5FF0B7F5" w14:textId="57CE8FB7" w:rsidR="004941AF" w:rsidRPr="006E6596" w:rsidRDefault="004941AF" w:rsidP="00285A4D">
      <w:pPr>
        <w:pStyle w:val="FootnoteText"/>
        <w:jc w:val="both"/>
        <w:rPr>
          <w:lang w:val="bg-BG"/>
        </w:rPr>
      </w:pPr>
      <w:r w:rsidRPr="006E6596">
        <w:rPr>
          <w:rStyle w:val="FootnoteReference"/>
          <w:lang w:val="bg-BG"/>
        </w:rPr>
        <w:footnoteRef/>
      </w:r>
      <w:r w:rsidRPr="006E6596">
        <w:rPr>
          <w:lang w:val="bg-BG"/>
        </w:rPr>
        <w:t xml:space="preserve"> Решение от 15 октомври 2015 г., </w:t>
      </w:r>
      <w:r w:rsidRPr="006E6596">
        <w:rPr>
          <w:i/>
          <w:lang w:val="bg-BG"/>
        </w:rPr>
        <w:t>Covaci,</w:t>
      </w:r>
      <w:r w:rsidRPr="006E6596">
        <w:rPr>
          <w:lang w:val="bg-BG"/>
        </w:rPr>
        <w:t xml:space="preserve"> C-216/14, EU:C:2015:686; решение от 12 октомври 2017 г., </w:t>
      </w:r>
      <w:r w:rsidRPr="006E6596">
        <w:rPr>
          <w:i/>
          <w:lang w:val="bg-BG"/>
        </w:rPr>
        <w:t>Sleutjes,</w:t>
      </w:r>
      <w:r w:rsidRPr="006E6596">
        <w:rPr>
          <w:lang w:val="bg-BG"/>
        </w:rPr>
        <w:t xml:space="preserve"> C-278/16, EU:C:2017:757; решение от 1 август 2022 г., </w:t>
      </w:r>
      <w:r w:rsidRPr="006E6596">
        <w:rPr>
          <w:i/>
          <w:lang w:val="bg-BG"/>
        </w:rPr>
        <w:t>TL () and de traduction),</w:t>
      </w:r>
      <w:r w:rsidRPr="006E6596">
        <w:rPr>
          <w:lang w:val="bg-BG"/>
        </w:rPr>
        <w:t xml:space="preserve"> C-242/22, EU:C:2022:611.</w:t>
      </w:r>
    </w:p>
  </w:footnote>
  <w:footnote w:id="251">
    <w:p w14:paraId="0A5CE999" w14:textId="4A19AD7A" w:rsidR="003721EF" w:rsidRPr="006E6596" w:rsidRDefault="003721EF" w:rsidP="00285A4D">
      <w:pPr>
        <w:pStyle w:val="FootnoteText"/>
        <w:jc w:val="both"/>
        <w:rPr>
          <w:lang w:val="bg-BG"/>
        </w:rPr>
      </w:pPr>
      <w:r w:rsidRPr="006E6596">
        <w:rPr>
          <w:rStyle w:val="FootnoteReference"/>
          <w:lang w:val="bg-BG"/>
        </w:rPr>
        <w:footnoteRef/>
      </w:r>
      <w:r w:rsidRPr="006E6596">
        <w:rPr>
          <w:lang w:val="bg-BG"/>
        </w:rPr>
        <w:t xml:space="preserve"> Решение от 1 август 2022 г., </w:t>
      </w:r>
      <w:r w:rsidRPr="006E6596">
        <w:rPr>
          <w:i/>
          <w:lang w:val="bg-BG"/>
        </w:rPr>
        <w:t>TL,</w:t>
      </w:r>
      <w:r w:rsidRPr="006E6596">
        <w:rPr>
          <w:lang w:val="bg-BG"/>
        </w:rPr>
        <w:t xml:space="preserve"> C</w:t>
      </w:r>
      <w:r w:rsidRPr="006E6596">
        <w:rPr>
          <w:lang w:val="bg-BG"/>
        </w:rPr>
        <w:noBreakHyphen/>
        <w:t>242/22, EU:C:2022:611.</w:t>
      </w:r>
    </w:p>
  </w:footnote>
  <w:footnote w:id="252">
    <w:p w14:paraId="7B90EBB9" w14:textId="342CC987" w:rsidR="00F711FA" w:rsidRPr="006E6596" w:rsidRDefault="00F711FA" w:rsidP="00285A4D">
      <w:pPr>
        <w:pStyle w:val="FootnoteText"/>
        <w:jc w:val="both"/>
        <w:rPr>
          <w:lang w:val="bg-BG"/>
        </w:rPr>
      </w:pPr>
      <w:r w:rsidRPr="006E6596">
        <w:rPr>
          <w:rStyle w:val="FootnoteReference"/>
          <w:lang w:val="bg-BG"/>
        </w:rPr>
        <w:footnoteRef/>
      </w:r>
      <w:r w:rsidRPr="006E6596">
        <w:rPr>
          <w:lang w:val="bg-BG"/>
        </w:rPr>
        <w:t xml:space="preserve"> Вж.: решение от 14 септември 2023 г., </w:t>
      </w:r>
      <w:r w:rsidRPr="006E6596">
        <w:rPr>
          <w:i/>
          <w:lang w:val="bg-BG"/>
        </w:rPr>
        <w:t>Bezirkshauptmannschaft Feldkirch</w:t>
      </w:r>
      <w:r w:rsidRPr="006E6596">
        <w:rPr>
          <w:lang w:val="bg-BG"/>
        </w:rPr>
        <w:t>, C-55/22, EU:C:2023:670, и решение от 19 октомври 2023 г., C-147/22, EU:C:2023:790.</w:t>
      </w:r>
    </w:p>
  </w:footnote>
  <w:footnote w:id="253">
    <w:p w14:paraId="65FE2DC5" w14:textId="18A2C524" w:rsidR="007F7DFC" w:rsidRPr="006E6596" w:rsidRDefault="007F7DFC" w:rsidP="00285A4D">
      <w:pPr>
        <w:pStyle w:val="FootnoteText"/>
        <w:jc w:val="both"/>
        <w:rPr>
          <w:lang w:val="bg-BG"/>
        </w:rPr>
      </w:pPr>
      <w:r w:rsidRPr="006E6596">
        <w:rPr>
          <w:rStyle w:val="FootnoteReference"/>
          <w:lang w:val="bg-BG"/>
        </w:rPr>
        <w:footnoteRef/>
      </w:r>
      <w:r w:rsidRPr="006E6596">
        <w:rPr>
          <w:lang w:val="bg-BG"/>
        </w:rPr>
        <w:t xml:space="preserve"> Решение от 22 юни 2023 г., </w:t>
      </w:r>
      <w:r w:rsidRPr="006E6596">
        <w:rPr>
          <w:i/>
          <w:lang w:val="bg-BG"/>
        </w:rPr>
        <w:t>K.B. and F.S. (Relevé d’office dans le domaine pénal)</w:t>
      </w:r>
      <w:r w:rsidRPr="006E6596">
        <w:rPr>
          <w:lang w:val="bg-BG"/>
        </w:rPr>
        <w:t xml:space="preserve">, C-660/21, EU:C:2023:498. </w:t>
      </w:r>
    </w:p>
  </w:footnote>
  <w:footnote w:id="254">
    <w:p w14:paraId="2DF804C6" w14:textId="2332CB94" w:rsidR="007F7DFC" w:rsidRPr="006E6596" w:rsidRDefault="007F7DFC" w:rsidP="007F7DFC">
      <w:pPr>
        <w:pStyle w:val="FootnoteText"/>
        <w:jc w:val="both"/>
        <w:rPr>
          <w:lang w:val="bg-BG"/>
        </w:rPr>
      </w:pPr>
      <w:r w:rsidRPr="006E6596">
        <w:rPr>
          <w:rStyle w:val="FootnoteReference"/>
          <w:lang w:val="bg-BG"/>
        </w:rPr>
        <w:footnoteRef/>
      </w:r>
      <w:r w:rsidRPr="006E6596">
        <w:rPr>
          <w:lang w:val="bg-BG"/>
        </w:rPr>
        <w:t xml:space="preserve"> Решение от 12 март 2020 г., </w:t>
      </w:r>
      <w:r w:rsidRPr="006E6596">
        <w:rPr>
          <w:i/>
          <w:lang w:val="bg-BG"/>
        </w:rPr>
        <w:t>VW (Право на достъп до адвокат в случай на неявяване)</w:t>
      </w:r>
      <w:r w:rsidRPr="006E6596">
        <w:rPr>
          <w:lang w:val="bg-BG"/>
        </w:rPr>
        <w:t xml:space="preserve">, C-659/18, EU:C:2020:201. Съдът на ЕС също така поясни, че директивата се прилага по отношение на съдебни производства за разрешаване на настаняването в психиатрична болница и за допускане на уволнението на адвокат против волята на ответника в случаи на конфликт на интереси, както са определени от националното законодателство (решение от 5 юни 2018 г., </w:t>
      </w:r>
      <w:r w:rsidRPr="006E6596">
        <w:rPr>
          <w:i/>
          <w:lang w:val="bg-BG"/>
        </w:rPr>
        <w:t>Колев и други,</w:t>
      </w:r>
      <w:r w:rsidRPr="006E6596">
        <w:rPr>
          <w:lang w:val="bg-BG"/>
        </w:rPr>
        <w:t xml:space="preserve"> C-612/15, EU:C:2018:392).</w:t>
      </w:r>
    </w:p>
  </w:footnote>
  <w:footnote w:id="255">
    <w:p w14:paraId="531862FF" w14:textId="23DFE2DF" w:rsidR="007F7DFC" w:rsidRPr="006E6596" w:rsidRDefault="007F7DFC" w:rsidP="007F7DFC">
      <w:pPr>
        <w:pStyle w:val="FootnoteText"/>
        <w:jc w:val="both"/>
        <w:rPr>
          <w:lang w:val="bg-BG"/>
        </w:rPr>
      </w:pPr>
      <w:r w:rsidRPr="006E6596">
        <w:rPr>
          <w:rStyle w:val="FootnoteReference"/>
          <w:lang w:val="bg-BG"/>
        </w:rPr>
        <w:footnoteRef/>
      </w:r>
      <w:r w:rsidRPr="006E6596">
        <w:rPr>
          <w:lang w:val="bg-BG"/>
        </w:rPr>
        <w:t xml:space="preserve"> решение от 15 октомври 2015 г., </w:t>
      </w:r>
      <w:r w:rsidRPr="006E6596">
        <w:rPr>
          <w:i/>
          <w:lang w:val="bg-BG"/>
        </w:rPr>
        <w:t>Covaci,</w:t>
      </w:r>
      <w:r w:rsidRPr="006E6596">
        <w:rPr>
          <w:lang w:val="bg-BG"/>
        </w:rPr>
        <w:t xml:space="preserve"> C-216/14, EU:C:2015:686; решение от 13 юни 2019 г., </w:t>
      </w:r>
      <w:r w:rsidRPr="006E6596">
        <w:rPr>
          <w:i/>
          <w:lang w:val="bg-BG"/>
        </w:rPr>
        <w:t>Moro,</w:t>
      </w:r>
      <w:r w:rsidRPr="006E6596">
        <w:rPr>
          <w:lang w:val="bg-BG"/>
        </w:rPr>
        <w:t xml:space="preserve"> C</w:t>
      </w:r>
      <w:r w:rsidRPr="006E6596">
        <w:rPr>
          <w:lang w:val="bg-BG"/>
        </w:rPr>
        <w:noBreakHyphen/>
        <w:t>646/17, EU:C:2019:489.</w:t>
      </w:r>
    </w:p>
  </w:footnote>
  <w:footnote w:id="256">
    <w:p w14:paraId="7823D331" w14:textId="6943FF0F" w:rsidR="007F7DFC" w:rsidRPr="006E6596" w:rsidRDefault="007F7DFC" w:rsidP="007F7DFC">
      <w:pPr>
        <w:pStyle w:val="FootnoteText"/>
        <w:jc w:val="both"/>
        <w:rPr>
          <w:lang w:val="bg-BG"/>
        </w:rPr>
      </w:pPr>
      <w:r w:rsidRPr="006E6596">
        <w:rPr>
          <w:rStyle w:val="FootnoteReference"/>
          <w:lang w:val="bg-BG"/>
        </w:rPr>
        <w:footnoteRef/>
      </w:r>
      <w:r w:rsidRPr="006E6596">
        <w:rPr>
          <w:lang w:val="bg-BG"/>
        </w:rPr>
        <w:t xml:space="preserve"> решение от 5 юни 2018 г., </w:t>
      </w:r>
      <w:r w:rsidRPr="006E6596">
        <w:rPr>
          <w:i/>
          <w:lang w:val="bg-BG"/>
        </w:rPr>
        <w:t>Колев &amp; други,</w:t>
      </w:r>
      <w:r w:rsidRPr="006E6596">
        <w:rPr>
          <w:lang w:val="bg-BG"/>
        </w:rPr>
        <w:t xml:space="preserve"> C-612/15, EU:C:2018:392; решение от 19 септември 2019 г., </w:t>
      </w:r>
      <w:r w:rsidRPr="006E6596">
        <w:rPr>
          <w:i/>
          <w:lang w:val="bg-BG"/>
        </w:rPr>
        <w:t>Районна прокуратура — Лом,</w:t>
      </w:r>
      <w:r w:rsidRPr="006E6596">
        <w:rPr>
          <w:lang w:val="bg-BG"/>
        </w:rPr>
        <w:t xml:space="preserve"> C</w:t>
      </w:r>
      <w:r w:rsidRPr="006E6596">
        <w:rPr>
          <w:lang w:val="bg-BG"/>
        </w:rPr>
        <w:noBreakHyphen/>
        <w:t>467/18, EU:C:2019:765.</w:t>
      </w:r>
    </w:p>
  </w:footnote>
  <w:footnote w:id="257">
    <w:p w14:paraId="4B7EED1B" w14:textId="76F1F3E5" w:rsidR="00F711FA" w:rsidRPr="006E6596" w:rsidRDefault="00F711FA" w:rsidP="00F711FA">
      <w:pPr>
        <w:pStyle w:val="FootnoteText"/>
        <w:jc w:val="both"/>
        <w:rPr>
          <w:lang w:val="bg-BG"/>
        </w:rPr>
      </w:pPr>
      <w:r w:rsidRPr="006E6596">
        <w:rPr>
          <w:rStyle w:val="FootnoteReference"/>
          <w:lang w:val="bg-BG"/>
        </w:rPr>
        <w:footnoteRef/>
      </w:r>
      <w:r w:rsidRPr="006E6596">
        <w:rPr>
          <w:lang w:val="bg-BG"/>
        </w:rPr>
        <w:t xml:space="preserve"> Директива 2014/41/ЕС. </w:t>
      </w:r>
    </w:p>
  </w:footnote>
  <w:footnote w:id="258">
    <w:p w14:paraId="6DEE8ECD" w14:textId="77777777" w:rsidR="003D0034" w:rsidRPr="006E6596" w:rsidRDefault="003D0034" w:rsidP="003D0034">
      <w:pPr>
        <w:pStyle w:val="FootnoteText"/>
        <w:jc w:val="both"/>
        <w:rPr>
          <w:lang w:val="bg-BG"/>
        </w:rPr>
      </w:pPr>
      <w:r w:rsidRPr="006E6596">
        <w:rPr>
          <w:rStyle w:val="FootnoteReference"/>
          <w:lang w:val="bg-BG"/>
        </w:rPr>
        <w:footnoteRef/>
      </w:r>
      <w:r w:rsidRPr="006E6596">
        <w:rPr>
          <w:lang w:val="bg-BG"/>
        </w:rPr>
        <w:t xml:space="preserve"> Рамково решение 2002/584/ПВР на Съвета от 13 юни 2002 г. относно европейската заповед за задържане и процедурите за предаване между държавите членки, ОВ L 190, 18.7.2002 г., стр. 1—20. </w:t>
      </w:r>
    </w:p>
  </w:footnote>
  <w:footnote w:id="259">
    <w:p w14:paraId="3737F75D" w14:textId="535BA2F6" w:rsidR="00F711FA" w:rsidRPr="006E6596" w:rsidRDefault="00F711FA" w:rsidP="00F711FA">
      <w:pPr>
        <w:pStyle w:val="FootnoteText"/>
        <w:jc w:val="both"/>
        <w:rPr>
          <w:lang w:val="bg-BG"/>
        </w:rPr>
      </w:pPr>
      <w:r w:rsidRPr="006E6596">
        <w:rPr>
          <w:rStyle w:val="FootnoteReference"/>
          <w:lang w:val="bg-BG"/>
        </w:rPr>
        <w:footnoteRef/>
      </w:r>
      <w:r w:rsidRPr="006E6596">
        <w:rPr>
          <w:lang w:val="bg-BG"/>
        </w:rPr>
        <w:t xml:space="preserve"> Решение от 28 януари 2021 г., </w:t>
      </w:r>
      <w:r w:rsidRPr="006E6596">
        <w:rPr>
          <w:i/>
          <w:lang w:val="bg-BG"/>
        </w:rPr>
        <w:t>Spetsializirana prokuratura (Déclaration des droits)</w:t>
      </w:r>
      <w:r w:rsidRPr="006E6596">
        <w:rPr>
          <w:lang w:val="bg-BG"/>
        </w:rPr>
        <w:t xml:space="preserve"> C-649/19, EU:C:2021:75.</w:t>
      </w:r>
    </w:p>
  </w:footnote>
  <w:footnote w:id="260">
    <w:p w14:paraId="79196C32" w14:textId="662F8628" w:rsidR="00F711FA" w:rsidRPr="006E6596" w:rsidRDefault="00F711FA" w:rsidP="00F711FA">
      <w:pPr>
        <w:pStyle w:val="FootnoteText"/>
        <w:jc w:val="both"/>
        <w:rPr>
          <w:lang w:val="bg-BG"/>
        </w:rPr>
      </w:pPr>
      <w:r w:rsidRPr="006E6596">
        <w:rPr>
          <w:rStyle w:val="FootnoteReference"/>
          <w:lang w:val="bg-BG"/>
        </w:rPr>
        <w:footnoteRef/>
      </w:r>
      <w:r w:rsidRPr="006E6596">
        <w:rPr>
          <w:lang w:val="bg-BG"/>
        </w:rPr>
        <w:t xml:space="preserve"> Решение от 25 юли 2018 г.</w:t>
      </w:r>
      <w:r w:rsidRPr="006E6596">
        <w:rPr>
          <w:i/>
          <w:lang w:val="bg-BG"/>
        </w:rPr>
        <w:t>, Minister for Justice and Equality (Недостатъци по отношение на съдебната система)</w:t>
      </w:r>
      <w:r w:rsidRPr="006E6596">
        <w:rPr>
          <w:lang w:val="bg-BG"/>
        </w:rPr>
        <w:t xml:space="preserve">, C-216/18 PPU, EU:C:2018:586, и решение от 17 декември 2020 г., </w:t>
      </w:r>
      <w:r w:rsidRPr="006E6596">
        <w:rPr>
          <w:i/>
          <w:lang w:val="bg-BG"/>
        </w:rPr>
        <w:t>Openbaar Ministerie (Indépendance de l’autorité judiciaire d’émission)</w:t>
      </w:r>
      <w:r w:rsidRPr="006E6596">
        <w:rPr>
          <w:lang w:val="bg-BG"/>
        </w:rPr>
        <w:t xml:space="preserve">, C-354/20 PPU, EU:C:2020:1033 и C-412/20 PPU, L and P. Also, решение от 13 януари 2021 г., </w:t>
      </w:r>
      <w:r w:rsidRPr="006E6596">
        <w:rPr>
          <w:i/>
          <w:lang w:val="bg-BG"/>
        </w:rPr>
        <w:t>MM</w:t>
      </w:r>
      <w:r w:rsidRPr="006E6596">
        <w:rPr>
          <w:lang w:val="bg-BG"/>
        </w:rPr>
        <w:t>, C-414/20 PPU, EU:C:2021:4, в което Съдът на ЕС отбелязва, че Рамково решение 2002/584, тълкувано в светлината на член 47 от Хартата, изисква молещият съд да може да извърши преглед на условията, при които е издадена ЕЗА.</w:t>
      </w:r>
    </w:p>
  </w:footnote>
  <w:footnote w:id="261">
    <w:p w14:paraId="677CF624" w14:textId="7B9CEEB8" w:rsidR="00F711FA" w:rsidRPr="006E6596" w:rsidRDefault="00F711FA" w:rsidP="00C90740">
      <w:pPr>
        <w:pStyle w:val="FootnoteText"/>
        <w:ind w:left="284" w:hanging="284"/>
        <w:jc w:val="both"/>
        <w:rPr>
          <w:lang w:val="bg-BG"/>
        </w:rPr>
      </w:pPr>
      <w:r w:rsidRPr="006E6596">
        <w:rPr>
          <w:rStyle w:val="FootnoteReference"/>
          <w:lang w:val="bg-BG"/>
        </w:rPr>
        <w:footnoteRef/>
      </w:r>
      <w:r w:rsidRPr="006E6596">
        <w:rPr>
          <w:lang w:val="bg-BG"/>
        </w:rPr>
        <w:t xml:space="preserve"> </w:t>
      </w:r>
      <w:r w:rsidRPr="006E6596">
        <w:rPr>
          <w:lang w:val="bg-BG"/>
        </w:rPr>
        <w:tab/>
        <w:t xml:space="preserve">Вж., решение от 31 май 2013 г., </w:t>
      </w:r>
      <w:r w:rsidRPr="006E6596">
        <w:rPr>
          <w:i/>
          <w:lang w:val="bg-BG"/>
        </w:rPr>
        <w:t>Asociaţia Accept</w:t>
      </w:r>
      <w:r w:rsidRPr="006E6596">
        <w:rPr>
          <w:lang w:val="bg-BG"/>
        </w:rPr>
        <w:t>, C-81/12, EU:C:2013:275, т. 63.</w:t>
      </w:r>
    </w:p>
  </w:footnote>
  <w:footnote w:id="262">
    <w:p w14:paraId="3FFBB0A0" w14:textId="24CADBD4" w:rsidR="00F711FA" w:rsidRPr="006E6596" w:rsidRDefault="00F711FA" w:rsidP="00C90740">
      <w:pPr>
        <w:pStyle w:val="FootnoteText"/>
        <w:ind w:left="284" w:hanging="284"/>
        <w:jc w:val="both"/>
        <w:rPr>
          <w:lang w:val="bg-BG"/>
        </w:rPr>
      </w:pPr>
      <w:r w:rsidRPr="006E6596">
        <w:rPr>
          <w:rStyle w:val="FootnoteReference"/>
          <w:lang w:val="bg-BG"/>
        </w:rPr>
        <w:footnoteRef/>
      </w:r>
      <w:r w:rsidRPr="006E6596">
        <w:rPr>
          <w:lang w:val="bg-BG"/>
        </w:rPr>
        <w:t xml:space="preserve"> </w:t>
      </w:r>
      <w:r w:rsidRPr="006E6596">
        <w:rPr>
          <w:lang w:val="bg-BG"/>
        </w:rPr>
        <w:tab/>
        <w:t xml:space="preserve">Вж. решение по дело </w:t>
      </w:r>
      <w:r w:rsidRPr="006E6596">
        <w:rPr>
          <w:i/>
          <w:lang w:val="bg-BG"/>
        </w:rPr>
        <w:t xml:space="preserve">Feryn </w:t>
      </w:r>
      <w:r w:rsidRPr="006E6596">
        <w:rPr>
          <w:lang w:val="bg-BG"/>
        </w:rPr>
        <w:t xml:space="preserve">, т. 38; </w:t>
      </w:r>
      <w:r w:rsidRPr="006E6596">
        <w:rPr>
          <w:i/>
          <w:lang w:val="bg-BG"/>
        </w:rPr>
        <w:t>решение по делото Asociaţia Accept</w:t>
      </w:r>
      <w:r w:rsidRPr="006E6596">
        <w:rPr>
          <w:lang w:val="bg-BG"/>
        </w:rPr>
        <w:t>, т. 62. В няколко държави членки (напр. </w:t>
      </w:r>
      <w:r w:rsidRPr="006E6596">
        <w:rPr>
          <w:b/>
          <w:lang w:val="bg-BG"/>
        </w:rPr>
        <w:t>Австрия, Белгия</w:t>
      </w:r>
      <w:r w:rsidRPr="006E6596">
        <w:rPr>
          <w:lang w:val="bg-BG"/>
        </w:rPr>
        <w:t xml:space="preserve">, </w:t>
      </w:r>
      <w:r w:rsidRPr="006E6596">
        <w:rPr>
          <w:b/>
          <w:lang w:val="bg-BG"/>
        </w:rPr>
        <w:t>Чехия</w:t>
      </w:r>
      <w:r w:rsidRPr="006E6596">
        <w:rPr>
          <w:lang w:val="bg-BG"/>
        </w:rPr>
        <w:t>,</w:t>
      </w:r>
      <w:r w:rsidRPr="006E6596">
        <w:rPr>
          <w:b/>
          <w:lang w:val="bg-BG"/>
        </w:rPr>
        <w:t xml:space="preserve"> Италия</w:t>
      </w:r>
      <w:r w:rsidRPr="006E6596">
        <w:rPr>
          <w:lang w:val="bg-BG"/>
        </w:rPr>
        <w:t>,</w:t>
      </w:r>
      <w:r w:rsidRPr="006E6596">
        <w:rPr>
          <w:b/>
          <w:lang w:val="bg-BG"/>
        </w:rPr>
        <w:t xml:space="preserve"> Латвия</w:t>
      </w:r>
      <w:r w:rsidRPr="006E6596">
        <w:rPr>
          <w:lang w:val="bg-BG"/>
        </w:rPr>
        <w:t>,</w:t>
      </w:r>
      <w:r w:rsidRPr="006E6596">
        <w:rPr>
          <w:b/>
          <w:lang w:val="bg-BG"/>
        </w:rPr>
        <w:t xml:space="preserve"> Литва</w:t>
      </w:r>
      <w:r w:rsidRPr="006E6596">
        <w:rPr>
          <w:lang w:val="bg-BG"/>
        </w:rPr>
        <w:t>,</w:t>
      </w:r>
      <w:r w:rsidRPr="006E6596">
        <w:rPr>
          <w:b/>
          <w:lang w:val="bg-BG"/>
        </w:rPr>
        <w:t xml:space="preserve"> Люксембург</w:t>
      </w:r>
      <w:r w:rsidRPr="006E6596">
        <w:rPr>
          <w:lang w:val="bg-BG"/>
        </w:rPr>
        <w:t>,</w:t>
      </w:r>
      <w:r w:rsidRPr="006E6596">
        <w:rPr>
          <w:b/>
          <w:lang w:val="bg-BG"/>
        </w:rPr>
        <w:t xml:space="preserve"> Румъния</w:t>
      </w:r>
      <w:r w:rsidRPr="006E6596">
        <w:rPr>
          <w:lang w:val="bg-BG"/>
        </w:rPr>
        <w:t xml:space="preserve"> и </w:t>
      </w:r>
      <w:r w:rsidRPr="006E6596">
        <w:rPr>
          <w:b/>
          <w:lang w:val="bg-BG"/>
        </w:rPr>
        <w:t>Словения</w:t>
      </w:r>
      <w:r w:rsidRPr="006E6596">
        <w:rPr>
          <w:lang w:val="bg-BG"/>
        </w:rPr>
        <w:t>), националното законодателство допуска налагането на санкции при липса на конкретна жертва при определени условия.</w:t>
      </w:r>
    </w:p>
  </w:footnote>
  <w:footnote w:id="263">
    <w:p w14:paraId="35B3B308" w14:textId="76741C13" w:rsidR="00F711FA" w:rsidRPr="006E6596" w:rsidRDefault="00F711FA" w:rsidP="00C90740">
      <w:pPr>
        <w:pStyle w:val="FootnoteText"/>
        <w:ind w:left="284" w:hanging="284"/>
        <w:jc w:val="both"/>
        <w:rPr>
          <w:lang w:val="bg-BG"/>
        </w:rPr>
      </w:pPr>
      <w:r w:rsidRPr="006E6596">
        <w:rPr>
          <w:rStyle w:val="FootnoteReference"/>
          <w:lang w:val="bg-BG"/>
        </w:rPr>
        <w:footnoteRef/>
      </w:r>
      <w:r w:rsidRPr="006E6596">
        <w:rPr>
          <w:lang w:val="bg-BG"/>
        </w:rPr>
        <w:t xml:space="preserve"> </w:t>
      </w:r>
      <w:r w:rsidRPr="006E6596">
        <w:rPr>
          <w:lang w:val="bg-BG"/>
        </w:rPr>
        <w:tab/>
        <w:t xml:space="preserve">Вж. решение по делото </w:t>
      </w:r>
      <w:r w:rsidRPr="006E6596">
        <w:rPr>
          <w:i/>
          <w:lang w:val="bg-BG"/>
        </w:rPr>
        <w:t>Asociaţia Accept</w:t>
      </w:r>
      <w:r w:rsidRPr="006E6596">
        <w:rPr>
          <w:lang w:val="bg-BG"/>
        </w:rPr>
        <w:t>, т. 64.</w:t>
      </w:r>
    </w:p>
  </w:footnote>
  <w:footnote w:id="264">
    <w:p w14:paraId="49E809A1" w14:textId="711C0433" w:rsidR="00F711FA" w:rsidRPr="006E6596" w:rsidRDefault="00F711FA" w:rsidP="00C90740">
      <w:pPr>
        <w:pStyle w:val="FootnoteText"/>
        <w:jc w:val="both"/>
        <w:rPr>
          <w:lang w:val="bg-BG"/>
        </w:rPr>
      </w:pPr>
      <w:r w:rsidRPr="006E6596">
        <w:rPr>
          <w:rStyle w:val="FootnoteReference"/>
          <w:lang w:val="bg-BG"/>
        </w:rPr>
        <w:footnoteRef/>
      </w:r>
      <w:r w:rsidRPr="006E6596">
        <w:rPr>
          <w:lang w:val="bg-BG"/>
        </w:rPr>
        <w:t xml:space="preserve"> Решение от 14 юли 2022 г., </w:t>
      </w:r>
      <w:r w:rsidRPr="006E6596">
        <w:rPr>
          <w:i/>
          <w:lang w:val="bg-BG"/>
        </w:rPr>
        <w:t>EPIC Financial Consulting,</w:t>
      </w:r>
      <w:r w:rsidRPr="006E6596">
        <w:rPr>
          <w:lang w:val="bg-BG"/>
        </w:rPr>
        <w:t xml:space="preserve"> C-274/21 и C-275/21, EU:C:2022:565. Директива 89/665/ЕИО на Съвета, ОВ L 395, 30.12.1989 г., стр. 33—35. </w:t>
      </w:r>
    </w:p>
  </w:footnote>
  <w:footnote w:id="265">
    <w:p w14:paraId="54043B33" w14:textId="63D424DE" w:rsidR="000E1415" w:rsidRPr="006E6596" w:rsidRDefault="000E1415" w:rsidP="000E1415">
      <w:pPr>
        <w:pStyle w:val="FootnoteText"/>
        <w:rPr>
          <w:lang w:val="bg-BG"/>
        </w:rPr>
      </w:pPr>
      <w:r w:rsidRPr="006E6596">
        <w:rPr>
          <w:rStyle w:val="FootnoteReference"/>
          <w:lang w:val="bg-BG"/>
        </w:rPr>
        <w:footnoteRef/>
      </w:r>
      <w:r w:rsidRPr="006E6596">
        <w:rPr>
          <w:lang w:val="bg-BG"/>
        </w:rPr>
        <w:t xml:space="preserve"> Решение от 21 декември 2021 г., </w:t>
      </w:r>
      <w:r w:rsidRPr="006E6596">
        <w:rPr>
          <w:i/>
          <w:lang w:val="bg-BG"/>
        </w:rPr>
        <w:t>Randstad Italia</w:t>
      </w:r>
      <w:r w:rsidRPr="006E6596">
        <w:rPr>
          <w:lang w:val="bg-BG"/>
        </w:rPr>
        <w:t>, C-497/20, EU:C:2021:1037.</w:t>
      </w:r>
    </w:p>
  </w:footnote>
  <w:footnote w:id="266">
    <w:p w14:paraId="14518AF6" w14:textId="155FB3A2" w:rsidR="00F711FA" w:rsidRPr="006E6596" w:rsidRDefault="00F711FA" w:rsidP="00C90740">
      <w:pPr>
        <w:pStyle w:val="FootnoteText"/>
        <w:jc w:val="both"/>
        <w:rPr>
          <w:lang w:val="bg-BG"/>
        </w:rPr>
      </w:pPr>
      <w:r w:rsidRPr="006E6596">
        <w:rPr>
          <w:rStyle w:val="FootnoteReference"/>
          <w:lang w:val="bg-BG"/>
        </w:rPr>
        <w:footnoteRef/>
      </w:r>
      <w:r w:rsidRPr="006E6596">
        <w:rPr>
          <w:lang w:val="bg-BG"/>
        </w:rPr>
        <w:t xml:space="preserve"> Решение от 7 септември 2021 г., </w:t>
      </w:r>
      <w:r w:rsidRPr="006E6596">
        <w:rPr>
          <w:i/>
          <w:lang w:val="bg-BG"/>
        </w:rPr>
        <w:t>Klaipėdos regiono atliekų tvarkymo centras</w:t>
      </w:r>
      <w:r w:rsidRPr="006E6596">
        <w:rPr>
          <w:lang w:val="bg-BG"/>
        </w:rPr>
        <w:t>, C-927/19, ECLI:EU:C:2021:700.</w:t>
      </w:r>
    </w:p>
  </w:footnote>
  <w:footnote w:id="267">
    <w:p w14:paraId="174CB3D2" w14:textId="22AA0F5C" w:rsidR="00F711FA" w:rsidRPr="006E6596" w:rsidRDefault="00F711FA" w:rsidP="00C90740">
      <w:pPr>
        <w:pStyle w:val="FootnoteText"/>
        <w:jc w:val="both"/>
        <w:rPr>
          <w:lang w:val="bg-BG"/>
        </w:rPr>
      </w:pPr>
      <w:r w:rsidRPr="006E6596">
        <w:rPr>
          <w:rStyle w:val="FootnoteReference"/>
          <w:lang w:val="bg-BG"/>
        </w:rPr>
        <w:footnoteRef/>
      </w:r>
      <w:r w:rsidRPr="006E6596">
        <w:rPr>
          <w:lang w:val="bg-BG"/>
        </w:rPr>
        <w:t xml:space="preserve"> Решение от 15 септември 2022 г., </w:t>
      </w:r>
      <w:r w:rsidRPr="006E6596">
        <w:rPr>
          <w:i/>
          <w:lang w:val="bg-BG"/>
        </w:rPr>
        <w:t>Veridos</w:t>
      </w:r>
      <w:r w:rsidRPr="006E6596">
        <w:rPr>
          <w:lang w:val="bg-BG"/>
        </w:rPr>
        <w:t xml:space="preserve"> C-669/20, EU:C:2022:684 относно производство по Директива 2009/81/EО, ОВ L 216, 20.8.2009 г., стр. 76—136.</w:t>
      </w:r>
    </w:p>
  </w:footnote>
  <w:footnote w:id="268">
    <w:p w14:paraId="749B4F76" w14:textId="185B76E4" w:rsidR="00F711FA" w:rsidRPr="006E6596" w:rsidRDefault="00F711FA" w:rsidP="00C90740">
      <w:pPr>
        <w:pStyle w:val="FootnoteText"/>
        <w:jc w:val="both"/>
        <w:rPr>
          <w:lang w:val="bg-BG"/>
        </w:rPr>
      </w:pPr>
      <w:r w:rsidRPr="006E6596">
        <w:rPr>
          <w:rStyle w:val="FootnoteReference"/>
          <w:lang w:val="bg-BG"/>
        </w:rPr>
        <w:footnoteRef/>
      </w:r>
      <w:r w:rsidRPr="006E6596">
        <w:rPr>
          <w:lang w:val="bg-BG"/>
        </w:rPr>
        <w:t xml:space="preserve"> Директива 93/13/ЕИО на Съвета, ОВ 1993 г. L 95, стр. 29.</w:t>
      </w:r>
    </w:p>
  </w:footnote>
  <w:footnote w:id="269">
    <w:p w14:paraId="05444959" w14:textId="508B89EB" w:rsidR="00F711FA" w:rsidRPr="006E6596" w:rsidRDefault="00F711FA" w:rsidP="00C90740">
      <w:pPr>
        <w:pStyle w:val="FootnoteText"/>
        <w:jc w:val="both"/>
        <w:rPr>
          <w:lang w:val="bg-BG"/>
        </w:rPr>
      </w:pPr>
      <w:r w:rsidRPr="006E6596">
        <w:rPr>
          <w:rStyle w:val="FootnoteReference"/>
          <w:lang w:val="bg-BG"/>
        </w:rPr>
        <w:footnoteRef/>
      </w:r>
      <w:r w:rsidRPr="006E6596">
        <w:rPr>
          <w:lang w:val="bg-BG"/>
        </w:rPr>
        <w:t xml:space="preserve"> </w:t>
      </w:r>
      <w:r w:rsidRPr="0074254C">
        <w:rPr>
          <w:spacing w:val="-2"/>
          <w:lang w:val="bg-BG"/>
        </w:rPr>
        <w:t xml:space="preserve">Решение от 22 април 2021 г., </w:t>
      </w:r>
      <w:r w:rsidRPr="0074254C">
        <w:rPr>
          <w:i/>
          <w:spacing w:val="-2"/>
          <w:lang w:val="bg-BG"/>
        </w:rPr>
        <w:t>Profi Credit Slovakia</w:t>
      </w:r>
      <w:r w:rsidRPr="0074254C">
        <w:rPr>
          <w:spacing w:val="-2"/>
          <w:lang w:val="bg-BG"/>
        </w:rPr>
        <w:t xml:space="preserve">, C‑485/19, EU:C:2021:313, т. 54; решение от 4 юни 2020 г., </w:t>
      </w:r>
      <w:r w:rsidRPr="0074254C">
        <w:rPr>
          <w:i/>
          <w:spacing w:val="-2"/>
          <w:lang w:val="bg-BG"/>
        </w:rPr>
        <w:t>Kancelaria Medius SA</w:t>
      </w:r>
      <w:r w:rsidRPr="0074254C">
        <w:rPr>
          <w:spacing w:val="-2"/>
          <w:lang w:val="bg-BG"/>
        </w:rPr>
        <w:t xml:space="preserve">, C‑495/19, EU:C:2020:431, т. 32; решение от 17 май 2022 г., </w:t>
      </w:r>
      <w:r w:rsidRPr="0074254C">
        <w:rPr>
          <w:i/>
          <w:spacing w:val="-2"/>
          <w:lang w:val="bg-BG"/>
        </w:rPr>
        <w:t>Ibercaja Banco</w:t>
      </w:r>
      <w:r w:rsidRPr="0074254C">
        <w:rPr>
          <w:spacing w:val="-2"/>
          <w:lang w:val="bg-BG"/>
        </w:rPr>
        <w:t xml:space="preserve">, C‑600/19, EU:C:2022:394, т. 45; решение от 17 май 2022 г., </w:t>
      </w:r>
      <w:r w:rsidRPr="0074254C">
        <w:rPr>
          <w:i/>
          <w:spacing w:val="-2"/>
          <w:lang w:val="bg-BG"/>
        </w:rPr>
        <w:t>SPV</w:t>
      </w:r>
      <w:r w:rsidRPr="0074254C">
        <w:rPr>
          <w:spacing w:val="-2"/>
          <w:lang w:val="bg-BG"/>
        </w:rPr>
        <w:t xml:space="preserve"> </w:t>
      </w:r>
      <w:r w:rsidRPr="0074254C">
        <w:rPr>
          <w:i/>
          <w:spacing w:val="-2"/>
          <w:lang w:val="bg-BG"/>
        </w:rPr>
        <w:t>Project 1503 Srl and Banco di Desio e della Brianza SpA</w:t>
      </w:r>
      <w:r w:rsidRPr="0074254C">
        <w:rPr>
          <w:spacing w:val="-2"/>
          <w:lang w:val="bg-BG"/>
        </w:rPr>
        <w:t xml:space="preserve">, C‑693/19 и C‑831/19, EU:C:2022:395, т. 61; 17 май 2022 г., </w:t>
      </w:r>
      <w:r w:rsidRPr="0074254C">
        <w:rPr>
          <w:i/>
          <w:spacing w:val="-2"/>
          <w:lang w:val="bg-BG"/>
        </w:rPr>
        <w:t>Unicaja Banco</w:t>
      </w:r>
      <w:r w:rsidRPr="0074254C">
        <w:rPr>
          <w:spacing w:val="-2"/>
          <w:lang w:val="bg-BG"/>
        </w:rPr>
        <w:t xml:space="preserve">, C‑869/19, EU:C:2022:397 т. 29; решение от 17 май 2022 г., </w:t>
      </w:r>
      <w:r w:rsidRPr="0074254C">
        <w:rPr>
          <w:i/>
          <w:spacing w:val="-2"/>
          <w:lang w:val="bg-BG"/>
        </w:rPr>
        <w:t>Impuls Leasing România IFN SA</w:t>
      </w:r>
      <w:r w:rsidRPr="0074254C">
        <w:rPr>
          <w:spacing w:val="-2"/>
          <w:lang w:val="bg-BG"/>
        </w:rPr>
        <w:t xml:space="preserve">, C‑725/19, EU:C:2022:396, т. 46; решение от 10 юни 2021 г., </w:t>
      </w:r>
      <w:r w:rsidRPr="0074254C">
        <w:rPr>
          <w:i/>
          <w:spacing w:val="-2"/>
          <w:lang w:val="bg-BG"/>
        </w:rPr>
        <w:t>BNP Paribas Personal Finance SA</w:t>
      </w:r>
      <w:r w:rsidRPr="0074254C">
        <w:rPr>
          <w:spacing w:val="-2"/>
          <w:lang w:val="bg-BG"/>
        </w:rPr>
        <w:t xml:space="preserve">, C‑776/19 до C‑782/19, EU:C:2021:470 т. 29; решение от 29 април 2021 г., </w:t>
      </w:r>
      <w:r w:rsidRPr="0074254C">
        <w:rPr>
          <w:i/>
          <w:spacing w:val="-2"/>
          <w:lang w:val="bg-BG"/>
        </w:rPr>
        <w:t>Bank BPH S.A</w:t>
      </w:r>
      <w:r w:rsidRPr="0074254C">
        <w:rPr>
          <w:spacing w:val="-2"/>
          <w:lang w:val="bg-BG"/>
        </w:rPr>
        <w:t xml:space="preserve">, C‑19/20, EU:C:2021:341, т. 92; решение от 8 септември 2022 г., </w:t>
      </w:r>
      <w:r w:rsidRPr="0074254C">
        <w:rPr>
          <w:i/>
          <w:spacing w:val="-2"/>
          <w:lang w:val="bg-BG"/>
        </w:rPr>
        <w:t>D.B.P</w:t>
      </w:r>
      <w:r w:rsidRPr="0074254C">
        <w:rPr>
          <w:spacing w:val="-2"/>
          <w:lang w:val="bg-BG"/>
        </w:rPr>
        <w:t xml:space="preserve">. </w:t>
      </w:r>
      <w:r w:rsidRPr="0074254C">
        <w:rPr>
          <w:i/>
          <w:spacing w:val="-2"/>
          <w:lang w:val="bg-BG"/>
        </w:rPr>
        <w:t>(Crédit hypothécaire libellé en devises étrangères)</w:t>
      </w:r>
      <w:r w:rsidRPr="0074254C">
        <w:rPr>
          <w:spacing w:val="-2"/>
          <w:lang w:val="bg-BG"/>
        </w:rPr>
        <w:t xml:space="preserve"> C‑80/21 to C‑82/21, т. 88; решение от 22 септември 2022 г., </w:t>
      </w:r>
      <w:r w:rsidRPr="0074254C">
        <w:rPr>
          <w:i/>
          <w:spacing w:val="-2"/>
          <w:lang w:val="bg-BG"/>
        </w:rPr>
        <w:t>Servicios Prescriptor y Medios de Pagos EFC SAU</w:t>
      </w:r>
      <w:r w:rsidRPr="0074254C">
        <w:rPr>
          <w:spacing w:val="-2"/>
          <w:lang w:val="bg-BG"/>
        </w:rPr>
        <w:t>, C‑215/21, EU:C:2022:723, т. 36.</w:t>
      </w:r>
    </w:p>
  </w:footnote>
  <w:footnote w:id="270">
    <w:p w14:paraId="27BE88F7" w14:textId="1436E99F" w:rsidR="00F711FA" w:rsidRPr="006E6596" w:rsidRDefault="00F711FA" w:rsidP="00F711FA">
      <w:pPr>
        <w:pStyle w:val="FootnoteText"/>
        <w:jc w:val="both"/>
        <w:rPr>
          <w:lang w:val="bg-BG"/>
        </w:rPr>
      </w:pPr>
      <w:r w:rsidRPr="006E6596">
        <w:rPr>
          <w:rStyle w:val="FootnoteReference"/>
          <w:lang w:val="bg-BG"/>
        </w:rPr>
        <w:footnoteRef/>
      </w:r>
      <w:r w:rsidRPr="006E6596">
        <w:rPr>
          <w:lang w:val="bg-BG"/>
        </w:rPr>
        <w:t xml:space="preserve"> </w:t>
      </w:r>
      <w:r w:rsidRPr="00986C65">
        <w:rPr>
          <w:iCs/>
          <w:lang w:val="bg-BG"/>
        </w:rPr>
        <w:t>Решение по дело</w:t>
      </w:r>
      <w:r w:rsidRPr="006E6596">
        <w:rPr>
          <w:i/>
          <w:lang w:val="bg-BG"/>
        </w:rPr>
        <w:t xml:space="preserve"> </w:t>
      </w:r>
      <w:r w:rsidRPr="00986C65">
        <w:rPr>
          <w:i/>
          <w:iCs/>
          <w:lang w:val="bg-BG"/>
        </w:rPr>
        <w:t>Impuls Leasing România IFN SA</w:t>
      </w:r>
      <w:r w:rsidRPr="006E6596">
        <w:rPr>
          <w:lang w:val="bg-BG"/>
        </w:rPr>
        <w:t xml:space="preserve">; решение от 22 септември 2022 г., </w:t>
      </w:r>
      <w:r w:rsidRPr="006E6596">
        <w:rPr>
          <w:i/>
          <w:lang w:val="bg-BG"/>
        </w:rPr>
        <w:t>Vicente (Action en paiement d’honoraires d’avocat)</w:t>
      </w:r>
      <w:r w:rsidRPr="006E6596">
        <w:rPr>
          <w:lang w:val="bg-BG"/>
        </w:rPr>
        <w:t xml:space="preserve">, C‑335/21, EU:C:2022:720; решение от 4 юни 2020 г., </w:t>
      </w:r>
      <w:r w:rsidRPr="006E6596">
        <w:rPr>
          <w:i/>
          <w:lang w:val="bg-BG"/>
        </w:rPr>
        <w:t>Kancelaria Medius SA</w:t>
      </w:r>
      <w:r w:rsidRPr="006E6596">
        <w:rPr>
          <w:lang w:val="bg-BG"/>
        </w:rPr>
        <w:t>, C‑495/19, EU:C:2020:431</w:t>
      </w:r>
      <w:r w:rsidRPr="006E6596">
        <w:rPr>
          <w:i/>
          <w:lang w:val="bg-BG"/>
        </w:rPr>
        <w:t>.</w:t>
      </w:r>
    </w:p>
  </w:footnote>
  <w:footnote w:id="271">
    <w:p w14:paraId="539936F5" w14:textId="19AD25CC" w:rsidR="00F711FA" w:rsidRPr="006E6596" w:rsidRDefault="00F711FA" w:rsidP="00285A4D">
      <w:pPr>
        <w:pStyle w:val="FootnoteText"/>
        <w:jc w:val="both"/>
        <w:rPr>
          <w:lang w:val="bg-BG"/>
        </w:rPr>
      </w:pPr>
      <w:r w:rsidRPr="006E6596">
        <w:rPr>
          <w:rStyle w:val="FootnoteReference"/>
          <w:lang w:val="bg-BG"/>
        </w:rPr>
        <w:footnoteRef/>
      </w:r>
      <w:r w:rsidRPr="006E6596">
        <w:rPr>
          <w:lang w:val="bg-BG"/>
        </w:rPr>
        <w:t xml:space="preserve"> </w:t>
      </w:r>
      <w:r w:rsidRPr="00986C65">
        <w:rPr>
          <w:iCs/>
          <w:lang w:val="bg-BG"/>
        </w:rPr>
        <w:t>Решение по дело</w:t>
      </w:r>
      <w:r w:rsidRPr="006E6596">
        <w:rPr>
          <w:i/>
          <w:lang w:val="bg-BG"/>
        </w:rPr>
        <w:t xml:space="preserve"> </w:t>
      </w:r>
      <w:r w:rsidRPr="00986C65">
        <w:rPr>
          <w:i/>
          <w:iCs/>
          <w:lang w:val="bg-BG"/>
        </w:rPr>
        <w:t>BNP Paribas Personal Finance SA</w:t>
      </w:r>
      <w:r w:rsidRPr="006E6596">
        <w:rPr>
          <w:lang w:val="bg-BG"/>
        </w:rPr>
        <w:t xml:space="preserve">; </w:t>
      </w:r>
      <w:r w:rsidRPr="00986C65">
        <w:rPr>
          <w:iCs/>
          <w:lang w:val="bg-BG"/>
        </w:rPr>
        <w:t>решение по дело</w:t>
      </w:r>
      <w:r w:rsidRPr="006E6596">
        <w:rPr>
          <w:lang w:val="bg-BG"/>
        </w:rPr>
        <w:t xml:space="preserve"> </w:t>
      </w:r>
      <w:r w:rsidRPr="00986C65">
        <w:rPr>
          <w:i/>
          <w:iCs/>
          <w:lang w:val="bg-BG"/>
        </w:rPr>
        <w:t>Profi Credit Slovakia</w:t>
      </w:r>
      <w:r w:rsidRPr="006E6596">
        <w:rPr>
          <w:lang w:val="bg-BG"/>
        </w:rPr>
        <w:t xml:space="preserve">; </w:t>
      </w:r>
      <w:r w:rsidRPr="006E6596">
        <w:rPr>
          <w:i/>
          <w:lang w:val="bg-BG"/>
        </w:rPr>
        <w:t>D.B.P</w:t>
      </w:r>
      <w:r w:rsidRPr="006E6596">
        <w:rPr>
          <w:lang w:val="bg-BG"/>
        </w:rPr>
        <w:t xml:space="preserve">. </w:t>
      </w:r>
      <w:r w:rsidRPr="00986C65">
        <w:rPr>
          <w:iCs/>
          <w:lang w:val="bg-BG"/>
        </w:rPr>
        <w:t>решение по дел</w:t>
      </w:r>
      <w:r w:rsidR="00986C65">
        <w:rPr>
          <w:iCs/>
          <w:lang w:val="bg-BG"/>
        </w:rPr>
        <w:t>о</w:t>
      </w:r>
      <w:r w:rsidRPr="006E6596">
        <w:rPr>
          <w:i/>
          <w:lang w:val="bg-BG"/>
        </w:rPr>
        <w:t xml:space="preserve"> (Crédit hypothécaire libellé en devises étrangères).</w:t>
      </w:r>
    </w:p>
  </w:footnote>
  <w:footnote w:id="272">
    <w:p w14:paraId="37DE3CEE" w14:textId="41F39296" w:rsidR="00F711FA" w:rsidRPr="006E6596" w:rsidRDefault="00F711FA" w:rsidP="00285A4D">
      <w:pPr>
        <w:pStyle w:val="FootnoteText"/>
        <w:jc w:val="both"/>
        <w:rPr>
          <w:lang w:val="bg-BG"/>
        </w:rPr>
      </w:pPr>
      <w:r w:rsidRPr="006E6596">
        <w:rPr>
          <w:rStyle w:val="FootnoteReference"/>
          <w:lang w:val="bg-BG"/>
        </w:rPr>
        <w:footnoteRef/>
      </w:r>
      <w:r w:rsidRPr="006E6596">
        <w:rPr>
          <w:lang w:val="bg-BG"/>
        </w:rPr>
        <w:t xml:space="preserve"> </w:t>
      </w:r>
      <w:r w:rsidRPr="0074254C">
        <w:rPr>
          <w:iCs/>
          <w:spacing w:val="-4"/>
          <w:lang w:val="bg-BG"/>
        </w:rPr>
        <w:t>Решение по дело</w:t>
      </w:r>
      <w:r w:rsidRPr="0074254C">
        <w:rPr>
          <w:spacing w:val="-4"/>
          <w:lang w:val="bg-BG"/>
        </w:rPr>
        <w:t xml:space="preserve"> </w:t>
      </w:r>
      <w:r w:rsidRPr="0074254C">
        <w:rPr>
          <w:i/>
          <w:iCs/>
          <w:spacing w:val="-4"/>
          <w:lang w:val="bg-BG"/>
        </w:rPr>
        <w:t>Ibercaja Banco</w:t>
      </w:r>
      <w:r w:rsidRPr="0074254C">
        <w:rPr>
          <w:spacing w:val="-4"/>
          <w:lang w:val="bg-BG"/>
        </w:rPr>
        <w:t xml:space="preserve">; </w:t>
      </w:r>
      <w:r w:rsidRPr="0074254C">
        <w:rPr>
          <w:iCs/>
          <w:spacing w:val="-4"/>
          <w:lang w:val="bg-BG"/>
        </w:rPr>
        <w:t>решение по дел</w:t>
      </w:r>
      <w:r w:rsidRPr="0074254C">
        <w:rPr>
          <w:i/>
          <w:spacing w:val="-4"/>
          <w:lang w:val="bg-BG"/>
        </w:rPr>
        <w:t xml:space="preserve">о </w:t>
      </w:r>
      <w:r w:rsidRPr="0074254C">
        <w:rPr>
          <w:i/>
          <w:iCs/>
          <w:spacing w:val="-4"/>
          <w:lang w:val="bg-BG"/>
        </w:rPr>
        <w:t>SPV Project 1503 Srl and Banco di Desio e della Brianza SpA</w:t>
      </w:r>
      <w:r w:rsidRPr="0074254C">
        <w:rPr>
          <w:spacing w:val="-4"/>
          <w:lang w:val="bg-BG"/>
        </w:rPr>
        <w:t>.</w:t>
      </w:r>
    </w:p>
  </w:footnote>
  <w:footnote w:id="273">
    <w:p w14:paraId="63D44DD3" w14:textId="384B4B4D" w:rsidR="00F711FA" w:rsidRPr="006E6596" w:rsidRDefault="00F711FA" w:rsidP="00285A4D">
      <w:pPr>
        <w:pStyle w:val="FootnoteText"/>
        <w:jc w:val="both"/>
        <w:rPr>
          <w:lang w:val="bg-BG"/>
        </w:rPr>
      </w:pPr>
      <w:r w:rsidRPr="006E6596">
        <w:rPr>
          <w:rStyle w:val="FootnoteReference"/>
          <w:lang w:val="bg-BG"/>
        </w:rPr>
        <w:footnoteRef/>
      </w:r>
      <w:r w:rsidRPr="006E6596">
        <w:rPr>
          <w:lang w:val="bg-BG"/>
        </w:rPr>
        <w:t xml:space="preserve"> </w:t>
      </w:r>
      <w:r w:rsidRPr="00986C65">
        <w:rPr>
          <w:iCs/>
          <w:lang w:val="bg-BG"/>
        </w:rPr>
        <w:t>Решение по дело</w:t>
      </w:r>
      <w:r w:rsidRPr="006E6596">
        <w:rPr>
          <w:i/>
          <w:lang w:val="bg-BG"/>
        </w:rPr>
        <w:t xml:space="preserve"> </w:t>
      </w:r>
      <w:r w:rsidRPr="00986C65">
        <w:rPr>
          <w:i/>
          <w:iCs/>
          <w:lang w:val="bg-BG"/>
        </w:rPr>
        <w:t xml:space="preserve">Servicios Prescriptor y Medios de Pagos EFC SAU </w:t>
      </w:r>
      <w:r w:rsidRPr="006E6596">
        <w:rPr>
          <w:i/>
          <w:lang w:val="bg-BG"/>
        </w:rPr>
        <w:t>.</w:t>
      </w:r>
    </w:p>
  </w:footnote>
  <w:footnote w:id="274">
    <w:p w14:paraId="48878578" w14:textId="769CD627" w:rsidR="00986C65" w:rsidRPr="00986C65" w:rsidRDefault="00986C65">
      <w:pPr>
        <w:pStyle w:val="FootnoteText"/>
        <w:rPr>
          <w:lang w:val="bg-BG"/>
        </w:rPr>
      </w:pPr>
      <w:r>
        <w:rPr>
          <w:rStyle w:val="FootnoteReference"/>
        </w:rPr>
        <w:footnoteRef/>
      </w:r>
      <w:r w:rsidRPr="00986C65">
        <w:rPr>
          <w:lang w:val="bg-BG"/>
        </w:rPr>
        <w:t xml:space="preserve"> </w:t>
      </w:r>
      <w:r>
        <w:rPr>
          <w:lang w:val="bg-BG"/>
        </w:rPr>
        <w:t xml:space="preserve">Решение от 10 септември 2023 г., </w:t>
      </w:r>
      <w:r w:rsidRPr="00986C65">
        <w:rPr>
          <w:lang w:val="bg-BG"/>
        </w:rPr>
        <w:t>G. and R., C-383/13 PPU, EU:C:2013:533</w:t>
      </w:r>
      <w:r>
        <w:rPr>
          <w:lang w:val="bg-BG"/>
        </w:rPr>
        <w:t xml:space="preserve"> и решение от 14 декември 2014 г., </w:t>
      </w:r>
      <w:r w:rsidRPr="00986C65">
        <w:rPr>
          <w:lang w:val="bg-BG"/>
        </w:rPr>
        <w:t>Boudjlida, C-249/13, EU:C:2014:2431.</w:t>
      </w:r>
    </w:p>
  </w:footnote>
  <w:footnote w:id="275">
    <w:p w14:paraId="6D748EB5" w14:textId="3F03615F" w:rsidR="002264A9" w:rsidRPr="006E6596" w:rsidRDefault="002264A9" w:rsidP="00285A4D">
      <w:pPr>
        <w:pStyle w:val="FootnoteText"/>
        <w:jc w:val="both"/>
        <w:rPr>
          <w:lang w:val="bg-BG"/>
        </w:rPr>
      </w:pPr>
      <w:r w:rsidRPr="006E6596">
        <w:rPr>
          <w:rStyle w:val="FootnoteReference"/>
          <w:lang w:val="bg-BG"/>
        </w:rPr>
        <w:footnoteRef/>
      </w:r>
      <w:r w:rsidRPr="006E6596">
        <w:rPr>
          <w:lang w:val="bg-BG"/>
        </w:rPr>
        <w:t xml:space="preserve"> Вж.: </w:t>
      </w:r>
      <w:r w:rsidRPr="00986C65">
        <w:rPr>
          <w:iCs/>
          <w:lang w:val="bg-BG"/>
        </w:rPr>
        <w:t>решение по дело</w:t>
      </w:r>
      <w:r w:rsidRPr="006E6596">
        <w:rPr>
          <w:lang w:val="bg-BG"/>
        </w:rPr>
        <w:t xml:space="preserve"> </w:t>
      </w:r>
      <w:r w:rsidRPr="00986C65">
        <w:rPr>
          <w:i/>
          <w:iCs/>
          <w:lang w:val="bg-BG"/>
        </w:rPr>
        <w:t>Randstad Italia</w:t>
      </w:r>
      <w:r w:rsidRPr="006E6596">
        <w:rPr>
          <w:lang w:val="bg-BG"/>
        </w:rPr>
        <w:t xml:space="preserve">, т. 46; </w:t>
      </w:r>
      <w:r w:rsidRPr="00986C65">
        <w:rPr>
          <w:iCs/>
          <w:lang w:val="bg-BG"/>
        </w:rPr>
        <w:t>решение по дело</w:t>
      </w:r>
      <w:r w:rsidRPr="006E6596">
        <w:rPr>
          <w:lang w:val="bg-BG"/>
        </w:rPr>
        <w:t xml:space="preserve"> </w:t>
      </w:r>
      <w:r w:rsidRPr="00986C65">
        <w:rPr>
          <w:i/>
          <w:iCs/>
          <w:lang w:val="bg-BG"/>
        </w:rPr>
        <w:t>Repubblika</w:t>
      </w:r>
      <w:r w:rsidRPr="006E6596">
        <w:rPr>
          <w:lang w:val="bg-BG"/>
        </w:rPr>
        <w:t xml:space="preserve">, т. 49; и решение по дело </w:t>
      </w:r>
      <w:r w:rsidRPr="006E6596">
        <w:rPr>
          <w:i/>
          <w:lang w:val="bg-BG"/>
        </w:rPr>
        <w:t xml:space="preserve">A.B. and Others (Назначаване на съдии от Върховния съд — обжалване) </w:t>
      </w:r>
      <w:r w:rsidRPr="006E6596">
        <w:rPr>
          <w:lang w:val="bg-BG"/>
        </w:rPr>
        <w:t xml:space="preserve">, решение, т. 108.  </w:t>
      </w:r>
    </w:p>
  </w:footnote>
  <w:footnote w:id="276">
    <w:p w14:paraId="280968BE" w14:textId="6D07612A" w:rsidR="00986C65" w:rsidRPr="00986C65" w:rsidRDefault="00986C65">
      <w:pPr>
        <w:pStyle w:val="FootnoteText"/>
        <w:rPr>
          <w:lang w:val="bg-BG"/>
        </w:rPr>
      </w:pPr>
      <w:r>
        <w:rPr>
          <w:rStyle w:val="FootnoteReference"/>
        </w:rPr>
        <w:footnoteRef/>
      </w:r>
      <w:r w:rsidRPr="00986C65">
        <w:rPr>
          <w:lang w:val="bg-BG"/>
        </w:rPr>
        <w:t xml:space="preserve"> </w:t>
      </w:r>
      <w:r>
        <w:rPr>
          <w:lang w:val="bg-BG"/>
        </w:rPr>
        <w:t>В съответствие с член 51, параграф 1 от Хартата</w:t>
      </w:r>
    </w:p>
  </w:footnote>
  <w:footnote w:id="277">
    <w:p w14:paraId="550E0ACC" w14:textId="17B2E091" w:rsidR="00C21C0E" w:rsidRPr="006E6596" w:rsidRDefault="00C21C0E" w:rsidP="00DC31D1">
      <w:pPr>
        <w:pStyle w:val="FootnoteText"/>
        <w:jc w:val="both"/>
        <w:rPr>
          <w:lang w:val="bg-BG"/>
        </w:rPr>
      </w:pPr>
      <w:r w:rsidRPr="006E6596">
        <w:rPr>
          <w:rStyle w:val="FootnoteReference"/>
          <w:lang w:val="bg-BG"/>
        </w:rPr>
        <w:footnoteRef/>
      </w:r>
      <w:r w:rsidRPr="006E6596">
        <w:rPr>
          <w:lang w:val="bg-BG"/>
        </w:rPr>
        <w:t xml:space="preserve"> FRA, Доклад за основните права за 2023 г., стр. 48—50. Доклад за основните права за 2022 г., стр. 33—34 и 37, Доклад за основните права за 2021 г., стр. 46.</w:t>
      </w:r>
    </w:p>
  </w:footnote>
  <w:footnote w:id="278">
    <w:p w14:paraId="529BC99E" w14:textId="5CDC248A" w:rsidR="00AA7B2C" w:rsidRPr="006E6596" w:rsidRDefault="00AA7B2C" w:rsidP="00DC31D1">
      <w:pPr>
        <w:pStyle w:val="FootnoteText"/>
        <w:jc w:val="both"/>
        <w:rPr>
          <w:lang w:val="bg-BG"/>
        </w:rPr>
      </w:pPr>
      <w:r w:rsidRPr="006E6596">
        <w:rPr>
          <w:rStyle w:val="FootnoteReference"/>
          <w:lang w:val="bg-BG"/>
        </w:rPr>
        <w:footnoteRef/>
      </w:r>
      <w:r w:rsidRPr="006E6596">
        <w:rPr>
          <w:lang w:val="bg-BG"/>
        </w:rPr>
        <w:t xml:space="preserve"> В своето решение от 17 април 2018 г., </w:t>
      </w:r>
      <w:r w:rsidRPr="006E6596">
        <w:rPr>
          <w:i/>
          <w:lang w:val="bg-BG"/>
        </w:rPr>
        <w:t>Egenberger</w:t>
      </w:r>
      <w:r w:rsidRPr="006E6596">
        <w:rPr>
          <w:lang w:val="bg-BG"/>
        </w:rPr>
        <w:t xml:space="preserve">, C-414/16, EU:C:2018:257, т. 78, Съдът на ЕС установи прякото действие на член 47 от Хартата, което е потвърдено например в: решение от 6 октомври 2020 г., </w:t>
      </w:r>
      <w:r w:rsidRPr="006E6596">
        <w:rPr>
          <w:i/>
          <w:lang w:val="bg-BG"/>
        </w:rPr>
        <w:t>État luxembourgeois (Съдебна защита срещу искания за информация в данъчното право)</w:t>
      </w:r>
      <w:r w:rsidRPr="006E6596">
        <w:rPr>
          <w:lang w:val="bg-BG"/>
        </w:rPr>
        <w:t xml:space="preserve">, C-245/19 и C-246/19, EU:C:2020:795, т. 55; </w:t>
      </w:r>
      <w:r w:rsidRPr="006E6596">
        <w:rPr>
          <w:i/>
          <w:lang w:val="bg-BG"/>
        </w:rPr>
        <w:t xml:space="preserve">решение по дело </w:t>
      </w:r>
      <w:r w:rsidRPr="006E6596">
        <w:rPr>
          <w:lang w:val="bg-BG"/>
        </w:rPr>
        <w:t xml:space="preserve">AK (Независимост на дисциплинарната колегия на Върховния съд), т. 162; решение от 29 юли 2019 г., </w:t>
      </w:r>
      <w:r w:rsidRPr="006E6596">
        <w:rPr>
          <w:i/>
          <w:lang w:val="bg-BG"/>
        </w:rPr>
        <w:t>Torubarov</w:t>
      </w:r>
      <w:r w:rsidRPr="006E6596">
        <w:rPr>
          <w:lang w:val="bg-BG"/>
        </w:rPr>
        <w:t>, C-556/17, EU:C:2019:626, т. 56.</w:t>
      </w:r>
    </w:p>
  </w:footnote>
  <w:footnote w:id="279">
    <w:p w14:paraId="4A364E0B" w14:textId="0CB5C0C9" w:rsidR="001812FA" w:rsidRPr="006E6596" w:rsidRDefault="001812FA" w:rsidP="001812FA">
      <w:pPr>
        <w:pStyle w:val="FootnoteText"/>
        <w:jc w:val="both"/>
        <w:rPr>
          <w:lang w:val="bg-BG"/>
        </w:rPr>
      </w:pPr>
      <w:r w:rsidRPr="006E6596">
        <w:rPr>
          <w:rStyle w:val="FootnoteReference"/>
          <w:lang w:val="bg-BG"/>
        </w:rPr>
        <w:footnoteRef/>
      </w:r>
      <w:r w:rsidRPr="006E6596">
        <w:rPr>
          <w:lang w:val="bg-BG"/>
        </w:rPr>
        <w:t xml:space="preserve"> Становище на FRA, относно Конституционния съд на Австрия, E4359/2021, решение от 17.3.2022 г., и E4123/2020, решение от 8.6.2021 г. По първото дело Федералният административен съд не е изслушал жалбоподателя и погрешно е приел, че жалбоподателят принадлежи към шиитската вяра. Решението на Федералния административен съд е отменено. По второто дело отказът за провеждане на устно изслушване е бил произволен, тъй като не е било възможно фактите по делото да бъдат установени достатъчно точно. Конституционният съд отмени решението.</w:t>
      </w:r>
    </w:p>
  </w:footnote>
  <w:footnote w:id="280">
    <w:p w14:paraId="5A0F1677" w14:textId="47B11B99" w:rsidR="008D7A05" w:rsidRPr="008D7A05" w:rsidRDefault="008D7A05">
      <w:pPr>
        <w:pStyle w:val="FootnoteText"/>
        <w:rPr>
          <w:lang w:val="bg-BG"/>
        </w:rPr>
      </w:pPr>
      <w:r>
        <w:rPr>
          <w:rStyle w:val="FootnoteReference"/>
        </w:rPr>
        <w:footnoteRef/>
      </w:r>
      <w:r w:rsidRPr="008D7A05">
        <w:rPr>
          <w:lang w:val="bg-BG"/>
        </w:rPr>
        <w:t xml:space="preserve"> </w:t>
      </w:r>
      <w:r>
        <w:rPr>
          <w:lang w:val="bg-BG"/>
        </w:rPr>
        <w:t xml:space="preserve">Становище на </w:t>
      </w:r>
      <w:r>
        <w:rPr>
          <w:lang w:val="en-US"/>
        </w:rPr>
        <w:t>FRA</w:t>
      </w:r>
      <w:r>
        <w:rPr>
          <w:lang w:val="bg-BG"/>
        </w:rPr>
        <w:t xml:space="preserve">, в което се споменава Върховният административен съд на Австрия, решение от 23.6.2021 г., </w:t>
      </w:r>
      <w:r w:rsidRPr="008D7A05">
        <w:rPr>
          <w:lang w:val="bg-BG"/>
        </w:rPr>
        <w:t xml:space="preserve">Mag. B; </w:t>
      </w:r>
      <w:r>
        <w:rPr>
          <w:lang w:val="bg-BG"/>
        </w:rPr>
        <w:t>Федерален финансов съд</w:t>
      </w:r>
      <w:r w:rsidRPr="008D7A05">
        <w:rPr>
          <w:lang w:val="bg-BG"/>
        </w:rPr>
        <w:t>, Ra 2019/13/0111.</w:t>
      </w:r>
    </w:p>
  </w:footnote>
  <w:footnote w:id="281">
    <w:p w14:paraId="7263E291" w14:textId="4B16C949" w:rsidR="00C21C0E" w:rsidRPr="006E6596" w:rsidRDefault="00C21C0E" w:rsidP="00C21C0E">
      <w:pPr>
        <w:pStyle w:val="FootnoteText"/>
        <w:jc w:val="both"/>
        <w:rPr>
          <w:lang w:val="bg-BG"/>
        </w:rPr>
      </w:pPr>
      <w:r w:rsidRPr="006E6596">
        <w:rPr>
          <w:rStyle w:val="FootnoteReference"/>
          <w:lang w:val="bg-BG"/>
        </w:rPr>
        <w:footnoteRef/>
      </w:r>
      <w:r w:rsidRPr="006E6596">
        <w:rPr>
          <w:lang w:val="bg-BG"/>
        </w:rPr>
        <w:t xml:space="preserve"> Директива (ЕС) 2015/849.</w:t>
      </w:r>
    </w:p>
  </w:footnote>
  <w:footnote w:id="282">
    <w:p w14:paraId="7CF7C092" w14:textId="743B6115" w:rsidR="00C21C0E" w:rsidRPr="006E6596" w:rsidRDefault="00C21C0E" w:rsidP="00C21C0E">
      <w:pPr>
        <w:pStyle w:val="FootnoteText"/>
        <w:jc w:val="both"/>
        <w:rPr>
          <w:lang w:val="bg-BG"/>
        </w:rPr>
      </w:pPr>
      <w:r w:rsidRPr="006E6596">
        <w:rPr>
          <w:rStyle w:val="FootnoteReference"/>
          <w:lang w:val="bg-BG"/>
        </w:rPr>
        <w:footnoteRef/>
      </w:r>
      <w:r w:rsidRPr="006E6596">
        <w:rPr>
          <w:lang w:val="bg-BG"/>
        </w:rPr>
        <w:t xml:space="preserve"> Становище на FRA относно Конституционния съд на Белгия, 114/2020, решение от 24.9 2020 г., Орден на франкофонските и германофонските адвокатури, Орден на фламандските адвокатури и Института на счетоводителите и данъчните консултанти и др.</w:t>
      </w:r>
    </w:p>
  </w:footnote>
  <w:footnote w:id="283">
    <w:p w14:paraId="68E9B63D" w14:textId="02A416CF" w:rsidR="00C21C0E" w:rsidRPr="006E6596" w:rsidRDefault="00C21C0E" w:rsidP="006E5EBF">
      <w:pPr>
        <w:pStyle w:val="FootnoteText"/>
        <w:jc w:val="both"/>
        <w:rPr>
          <w:lang w:val="bg-BG"/>
        </w:rPr>
      </w:pPr>
      <w:r w:rsidRPr="006E6596">
        <w:rPr>
          <w:rStyle w:val="FootnoteReference"/>
          <w:lang w:val="bg-BG"/>
        </w:rPr>
        <w:footnoteRef/>
      </w:r>
      <w:r w:rsidRPr="006E6596">
        <w:rPr>
          <w:lang w:val="bg-BG"/>
        </w:rPr>
        <w:t xml:space="preserve"> Становище на FRA относно Върховния съд на Естония, решение от 20 април 2021 г., канцлер на правосъдието, министър на правосъдието, министър на вътрешните работи, министър на външните работи, Съвет на полицията и граничната охрана, Rostyslav Polishchuk, Mykola Ishchenko, Tulundusühistu Loreta, Hobulane OÜ. </w:t>
      </w:r>
    </w:p>
  </w:footnote>
  <w:footnote w:id="284">
    <w:p w14:paraId="5EDB4913" w14:textId="6FF1C93E"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Регламент (ЕС) 2021/693 за отмяна на Регламент (ЕО) 1382/2013. </w:t>
      </w:r>
    </w:p>
  </w:footnote>
  <w:footnote w:id="285">
    <w:p w14:paraId="1D8F4A8D"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45" w:history="1">
        <w:r w:rsidRPr="006E6596">
          <w:rPr>
            <w:rStyle w:val="Hyperlink"/>
            <w:lang w:val="bg-BG"/>
          </w:rPr>
          <w:t>https://ec.europa.eu/info/funding-tenders/opportunities/portal/screen/programmes/just2027</w:t>
        </w:r>
      </w:hyperlink>
      <w:r w:rsidRPr="006E6596">
        <w:rPr>
          <w:rStyle w:val="Hyperlink"/>
          <w:lang w:val="bg-BG"/>
        </w:rPr>
        <w:t>.</w:t>
      </w:r>
      <w:r w:rsidRPr="006E6596">
        <w:rPr>
          <w:lang w:val="bg-BG"/>
        </w:rPr>
        <w:t xml:space="preserve"> </w:t>
      </w:r>
    </w:p>
  </w:footnote>
  <w:footnote w:id="286">
    <w:p w14:paraId="1D2BC53D"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Наличният бюджет за периода 2021—2027 г. е приблизително 305 милиона евро. Бюджетът за 2023 г. е 41 125 000 евро, а за 2024 г. — 40 691 000 евро, със следното разпределение между направленията на програмата: съдебно сътрудничество по граждански и наказателни дела (27 %), съдебно обучение (36 %) и достъп до правосъдие (27 %) (процентно разпределение въз основа на правното основание на програмата).</w:t>
      </w:r>
    </w:p>
  </w:footnote>
  <w:footnote w:id="287">
    <w:p w14:paraId="3452166A" w14:textId="19E4B282" w:rsidR="00DC4A7B" w:rsidRPr="006E6596" w:rsidRDefault="00DC4A7B" w:rsidP="00633442">
      <w:pPr>
        <w:pStyle w:val="FootnoteText"/>
        <w:jc w:val="both"/>
        <w:rPr>
          <w:lang w:val="bg-BG"/>
        </w:rPr>
      </w:pPr>
      <w:r w:rsidRPr="006E6596">
        <w:rPr>
          <w:rStyle w:val="FootnoteReference"/>
          <w:lang w:val="bg-BG"/>
        </w:rPr>
        <w:footnoteRef/>
      </w:r>
      <w:r w:rsidRPr="006E6596">
        <w:rPr>
          <w:lang w:val="bg-BG"/>
        </w:rPr>
        <w:t xml:space="preserve"> Другите две направления имат за цел 1) улесняване на съдебното сътрудничество по граждански и наказателни дела и насърчаване на върховенството на закона, независимостта и безпристрастността на съдебната система (</w:t>
      </w:r>
      <w:hyperlink r:id="rId46" w:history="1">
        <w:r w:rsidRPr="006E6596">
          <w:rPr>
            <w:rStyle w:val="Hyperlink"/>
            <w:lang w:val="bg-BG"/>
          </w:rPr>
          <w:t>Покана за представяне на предложения за безвъзмездни средства за насърчаване на съдебното сътрудничество по граждански и наказателни дела</w:t>
        </w:r>
      </w:hyperlink>
      <w:r w:rsidRPr="006E6596">
        <w:rPr>
          <w:lang w:val="bg-BG"/>
        </w:rPr>
        <w:t xml:space="preserve">, включително чрез усилия за подкрепа на подобряването на ефективността на националните съдебни системи и ефективното изпълнение на решенията) и 2) подкрепа на съдебното обучение за насърчаване на обща правна, съдебна култура и култура на върховенството на закона и за подкрепа на последователното и ефективно прилагане на правото на ЕС </w:t>
      </w:r>
      <w:hyperlink r:id="rId47" w:history="1">
        <w:r w:rsidRPr="006E6596">
          <w:rPr>
            <w:rStyle w:val="Hyperlink"/>
            <w:lang w:val="bg-BG"/>
          </w:rPr>
          <w:t>Покана за представяне на предложения за безвъзмездни средства в подкрепа на транснационални проекти за обучение на специалисти в областта на правосъдието, обхващащи гражданското право, наказателното право или основните права</w:t>
        </w:r>
      </w:hyperlink>
      <w:r w:rsidRPr="006E6596">
        <w:rPr>
          <w:lang w:val="bg-BG"/>
        </w:rPr>
        <w:t>.</w:t>
      </w:r>
    </w:p>
  </w:footnote>
  <w:footnote w:id="288">
    <w:p w14:paraId="08216C70"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48" w:history="1">
        <w:r w:rsidRPr="006E6596">
          <w:rPr>
            <w:rStyle w:val="Hyperlink"/>
            <w:lang w:val="bg-BG"/>
          </w:rPr>
          <w:t>Покана за представяне на предложения безвъзмездни средства в подкрепа на транснационални проекти в областта на електронното правосъдие, правата на жертвите и процесуалните права</w:t>
        </w:r>
      </w:hyperlink>
      <w:r w:rsidRPr="006E6596">
        <w:rPr>
          <w:lang w:val="bg-BG"/>
        </w:rPr>
        <w:t xml:space="preserve">. </w:t>
      </w:r>
    </w:p>
  </w:footnote>
  <w:footnote w:id="289">
    <w:p w14:paraId="0549B16C" w14:textId="77777777" w:rsidR="00DC31D1" w:rsidRPr="006E6596" w:rsidRDefault="00DC31D1" w:rsidP="007A728A">
      <w:pPr>
        <w:pStyle w:val="FootnoteText"/>
        <w:rPr>
          <w:lang w:val="bg-BG"/>
        </w:rPr>
      </w:pPr>
      <w:r w:rsidRPr="006E6596">
        <w:rPr>
          <w:rStyle w:val="FootnoteReference"/>
          <w:lang w:val="bg-BG"/>
        </w:rPr>
        <w:footnoteRef/>
      </w:r>
      <w:r w:rsidRPr="006E6596">
        <w:rPr>
          <w:lang w:val="bg-BG"/>
        </w:rPr>
        <w:t xml:space="preserve"> </w:t>
      </w:r>
      <w:hyperlink r:id="rId49" w:history="1">
        <w:r w:rsidRPr="006E6596">
          <w:rPr>
            <w:rStyle w:val="Hyperlink"/>
            <w:lang w:val="bg-BG"/>
          </w:rPr>
          <w:t>https://commission.europa.eu/strategy-and-policy/policies/justice-and-fundamental-rights/criminal-justice/rights-suspects-and-accused_bg</w:t>
        </w:r>
      </w:hyperlink>
      <w:r w:rsidRPr="006E6596">
        <w:rPr>
          <w:rStyle w:val="Hyperlink"/>
          <w:lang w:val="bg-BG"/>
        </w:rPr>
        <w:t>.</w:t>
      </w:r>
      <w:r w:rsidRPr="006E6596">
        <w:rPr>
          <w:lang w:val="bg-BG"/>
        </w:rPr>
        <w:t xml:space="preserve"> </w:t>
      </w:r>
    </w:p>
  </w:footnote>
  <w:footnote w:id="290">
    <w:p w14:paraId="77284091" w14:textId="77777777" w:rsidR="00DC31D1" w:rsidRPr="006E6596" w:rsidRDefault="00DC31D1" w:rsidP="007A728A">
      <w:pPr>
        <w:pStyle w:val="FootnoteText"/>
        <w:rPr>
          <w:lang w:val="bg-BG"/>
        </w:rPr>
      </w:pPr>
      <w:r w:rsidRPr="006E6596">
        <w:rPr>
          <w:rStyle w:val="FootnoteReference"/>
          <w:lang w:val="bg-BG"/>
        </w:rPr>
        <w:footnoteRef/>
      </w:r>
      <w:r w:rsidRPr="006E6596">
        <w:rPr>
          <w:lang w:val="bg-BG"/>
        </w:rPr>
        <w:t xml:space="preserve"> </w:t>
      </w:r>
      <w:hyperlink r:id="rId50" w:history="1">
        <w:r w:rsidRPr="006E6596">
          <w:rPr>
            <w:rStyle w:val="Hyperlink"/>
            <w:lang w:val="bg-BG"/>
          </w:rPr>
          <w:t>https://ec.europa.eu/info/funding-tenders/opportunities/portal/screen/how-to-participate/org-details/999999999/project/101051559/program/43252386/details</w:t>
        </w:r>
      </w:hyperlink>
      <w:r w:rsidRPr="006E6596">
        <w:rPr>
          <w:lang w:val="bg-BG"/>
        </w:rPr>
        <w:t xml:space="preserve">. </w:t>
      </w:r>
    </w:p>
  </w:footnote>
  <w:footnote w:id="291">
    <w:p w14:paraId="5E41EDB0" w14:textId="77777777" w:rsidR="00DC31D1" w:rsidRPr="006E6596" w:rsidRDefault="00DC31D1" w:rsidP="007A728A">
      <w:pPr>
        <w:pStyle w:val="FootnoteText"/>
        <w:rPr>
          <w:lang w:val="bg-BG"/>
        </w:rPr>
      </w:pPr>
      <w:r w:rsidRPr="006E6596">
        <w:rPr>
          <w:rStyle w:val="FootnoteReference"/>
          <w:lang w:val="bg-BG"/>
        </w:rPr>
        <w:footnoteRef/>
      </w:r>
      <w:r w:rsidRPr="006E6596">
        <w:rPr>
          <w:lang w:val="bg-BG"/>
        </w:rPr>
        <w:t xml:space="preserve"> </w:t>
      </w:r>
      <w:hyperlink r:id="rId51" w:history="1">
        <w:r w:rsidRPr="006E6596">
          <w:rPr>
            <w:rStyle w:val="Hyperlink"/>
            <w:lang w:val="bg-BG"/>
          </w:rPr>
          <w:t>https://ec.europa.eu/info/funding-tenders/opportunities/portal/screen/how-to-participate/org-details/999999999/project/101087157/program/43252386/details</w:t>
        </w:r>
      </w:hyperlink>
      <w:r w:rsidRPr="006E6596">
        <w:rPr>
          <w:lang w:val="bg-BG"/>
        </w:rPr>
        <w:t xml:space="preserve">. </w:t>
      </w:r>
    </w:p>
  </w:footnote>
  <w:footnote w:id="292">
    <w:p w14:paraId="22487240" w14:textId="77777777" w:rsidR="00DC31D1" w:rsidRPr="006E6596" w:rsidRDefault="00DC31D1" w:rsidP="007A728A">
      <w:pPr>
        <w:pStyle w:val="FootnoteText"/>
        <w:rPr>
          <w:lang w:val="bg-BG"/>
        </w:rPr>
      </w:pPr>
      <w:r w:rsidRPr="006E6596">
        <w:rPr>
          <w:rStyle w:val="FootnoteReference"/>
          <w:lang w:val="bg-BG"/>
        </w:rPr>
        <w:footnoteRef/>
      </w:r>
      <w:r w:rsidRPr="006E6596">
        <w:rPr>
          <w:lang w:val="bg-BG"/>
        </w:rPr>
        <w:t xml:space="preserve"> </w:t>
      </w:r>
      <w:hyperlink r:id="rId52" w:history="1">
        <w:r w:rsidRPr="006E6596">
          <w:rPr>
            <w:rStyle w:val="Hyperlink"/>
            <w:lang w:val="bg-BG"/>
          </w:rPr>
          <w:t>https://ec.europa.eu/info/funding-tenders/opportunities/portal/screen/how-to-participate/org-details/999999999/project/101056671/program/43252386/details</w:t>
        </w:r>
      </w:hyperlink>
      <w:r w:rsidRPr="006E6596">
        <w:rPr>
          <w:lang w:val="bg-BG"/>
        </w:rPr>
        <w:t xml:space="preserve">. </w:t>
      </w:r>
    </w:p>
  </w:footnote>
  <w:footnote w:id="293">
    <w:p w14:paraId="5053B7A6" w14:textId="77777777" w:rsidR="00DC31D1" w:rsidRPr="006E6596" w:rsidRDefault="00DC31D1" w:rsidP="007A728A">
      <w:pPr>
        <w:pStyle w:val="FootnoteText"/>
        <w:rPr>
          <w:lang w:val="bg-BG"/>
        </w:rPr>
      </w:pPr>
      <w:r w:rsidRPr="006E6596">
        <w:rPr>
          <w:rStyle w:val="FootnoteReference"/>
          <w:lang w:val="bg-BG"/>
        </w:rPr>
        <w:footnoteRef/>
      </w:r>
      <w:r w:rsidRPr="006E6596">
        <w:rPr>
          <w:lang w:val="bg-BG"/>
        </w:rPr>
        <w:t xml:space="preserve"> </w:t>
      </w:r>
      <w:hyperlink r:id="rId53" w:history="1">
        <w:r w:rsidRPr="006E6596">
          <w:rPr>
            <w:rStyle w:val="Hyperlink"/>
            <w:lang w:val="bg-BG"/>
          </w:rPr>
          <w:t>https://e-justice.europa.eu/home.do?plang=en&amp;action=home</w:t>
        </w:r>
      </w:hyperlink>
      <w:r w:rsidRPr="006E6596">
        <w:rPr>
          <w:rStyle w:val="Hyperlink"/>
          <w:lang w:val="bg-BG"/>
        </w:rPr>
        <w:t xml:space="preserve">. </w:t>
      </w:r>
      <w:r w:rsidRPr="006E6596">
        <w:rPr>
          <w:lang w:val="bg-BG"/>
        </w:rPr>
        <w:t xml:space="preserve"> </w:t>
      </w:r>
    </w:p>
  </w:footnote>
  <w:footnote w:id="294">
    <w:p w14:paraId="4B95EE7F"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Съветът на Европа също така ще разработи насоки и обучения за съдебни специалисти във връзка с препоръката на Комисията относно процесуалните права на заподозрени и обвиняеми лица, подлежащи на задържане в досъдебното производство и относно материалните условия в местата за задържане, </w:t>
      </w:r>
      <w:hyperlink r:id="rId54" w:history="1">
        <w:r w:rsidRPr="006E6596">
          <w:rPr>
            <w:rStyle w:val="Hyperlink"/>
            <w:lang w:val="bg-BG"/>
          </w:rPr>
          <w:t>https://ec.europa.eu/commission/presscorner/detail/en/ip_22_7570</w:t>
        </w:r>
      </w:hyperlink>
      <w:r w:rsidRPr="006E6596">
        <w:rPr>
          <w:lang w:val="bg-BG"/>
        </w:rPr>
        <w:t xml:space="preserve">. </w:t>
      </w:r>
    </w:p>
  </w:footnote>
  <w:footnote w:id="295">
    <w:p w14:paraId="4D8978C2" w14:textId="2B7BB716"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55" w:history="1">
        <w:r w:rsidRPr="006E6596">
          <w:rPr>
            <w:rStyle w:val="Hyperlink"/>
            <w:lang w:val="bg-BG"/>
          </w:rPr>
          <w:t xml:space="preserve">Европейска програма за </w:t>
        </w:r>
        <w:r w:rsidRPr="006E6596">
          <w:rPr>
            <w:rStyle w:val="Hyperlink"/>
            <w:b/>
            <w:lang w:val="bg-BG"/>
          </w:rPr>
          <w:t>обучение</w:t>
        </w:r>
        <w:r w:rsidRPr="006E6596">
          <w:rPr>
            <w:rStyle w:val="Hyperlink"/>
            <w:lang w:val="bg-BG"/>
          </w:rPr>
          <w:t xml:space="preserve"> на </w:t>
        </w:r>
        <w:r w:rsidRPr="006E6596">
          <w:rPr>
            <w:rStyle w:val="Hyperlink"/>
            <w:b/>
            <w:lang w:val="bg-BG"/>
          </w:rPr>
          <w:t>юристи</w:t>
        </w:r>
        <w:r w:rsidRPr="006E6596">
          <w:rPr>
            <w:rStyle w:val="Hyperlink"/>
            <w:lang w:val="bg-BG"/>
          </w:rPr>
          <w:t xml:space="preserve"> от Европейския съюз </w:t>
        </w:r>
        <w:r w:rsidRPr="006E6596">
          <w:rPr>
            <w:rStyle w:val="Hyperlink"/>
            <w:b/>
            <w:lang w:val="bg-BG"/>
          </w:rPr>
          <w:t>относно</w:t>
        </w:r>
        <w:r w:rsidRPr="006E6596">
          <w:rPr>
            <w:rStyle w:val="Hyperlink"/>
            <w:lang w:val="bg-BG"/>
          </w:rPr>
          <w:t xml:space="preserve"> </w:t>
        </w:r>
        <w:r w:rsidRPr="006E6596">
          <w:rPr>
            <w:rStyle w:val="Hyperlink"/>
            <w:b/>
            <w:lang w:val="bg-BG"/>
          </w:rPr>
          <w:t>правата</w:t>
        </w:r>
        <w:r w:rsidRPr="006E6596">
          <w:rPr>
            <w:rStyle w:val="Hyperlink"/>
            <w:lang w:val="bg-BG"/>
          </w:rPr>
          <w:t xml:space="preserve"> на човека</w:t>
        </w:r>
      </w:hyperlink>
      <w:r w:rsidRPr="006E6596">
        <w:rPr>
          <w:lang w:val="bg-BG"/>
        </w:rPr>
        <w:t xml:space="preserve"> (HELP в ЕС III). Курсът обхваща Европейската конвенция за правата на човека, (ревизираната) Европейска социална харта, Хартата на ЕС и други приложими закони на ЕС и Съвета на Европа, както и съответна съдебна практика. </w:t>
      </w:r>
    </w:p>
  </w:footnote>
  <w:footnote w:id="296">
    <w:p w14:paraId="2DEA8717" w14:textId="21FB31A0"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Регламент (ЕС) 2021/692. Прогнозният бюджет на програмата за периода 2021—2027 г. е 1,5 милиарда евро. </w:t>
      </w:r>
    </w:p>
  </w:footnote>
  <w:footnote w:id="297">
    <w:p w14:paraId="194D4451" w14:textId="5388B951"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Финансираните действия улесняват изпълнението на приоритетите на ЕС в областта на основните права, върховенството на закона и демокрацията, както се подчертава в докладите за върховенството на закона, съобщението относно „Една по-приобщаваща и защитаваща Европа: разширяване на списъка на престъпленията на ЕС до речта на омразата и престъпленията от омраза“, Докладите за гражданството на ЕС, Европейският план за действие за демокрация, Препоръката на Комисията относно защитата на журналистите и защитниците на правата на човека, ангажирани в участието на обществеността, от стратегически съдебни производства и Стратегията за Хартата.</w:t>
      </w:r>
    </w:p>
  </w:footnote>
  <w:footnote w:id="298">
    <w:p w14:paraId="57FC5E6F" w14:textId="54C97606" w:rsidR="00AB7A38" w:rsidRPr="006E6596" w:rsidRDefault="00AB7A38" w:rsidP="00633442">
      <w:pPr>
        <w:pStyle w:val="FootnoteText"/>
        <w:jc w:val="both"/>
        <w:rPr>
          <w:lang w:val="bg-BG"/>
        </w:rPr>
      </w:pPr>
      <w:r w:rsidRPr="006E6596">
        <w:rPr>
          <w:rStyle w:val="FootnoteReference"/>
          <w:lang w:val="bg-BG"/>
        </w:rPr>
        <w:footnoteRef/>
      </w:r>
      <w:r w:rsidRPr="006E6596">
        <w:rPr>
          <w:lang w:val="bg-BG"/>
        </w:rPr>
        <w:t xml:space="preserve"> Стратегия за Хартата, стр. 11.</w:t>
      </w:r>
    </w:p>
  </w:footnote>
  <w:footnote w:id="299">
    <w:p w14:paraId="44428B6D" w14:textId="0CED1F4F"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56" w:history="1">
        <w:r w:rsidRPr="006E6596">
          <w:rPr>
            <w:rStyle w:val="Hyperlink"/>
            <w:lang w:val="bg-BG"/>
          </w:rPr>
          <w:t>Приложение</w:t>
        </w:r>
      </w:hyperlink>
      <w:r w:rsidRPr="006E6596">
        <w:rPr>
          <w:lang w:val="bg-BG"/>
        </w:rPr>
        <w:t xml:space="preserve"> към Решение за изпълнение на Комисията за финансиране на програмата „Права, равенство и гражданство“ и за приемане на работната програма за периода 2023—2024 г. </w:t>
      </w:r>
      <w:hyperlink r:id="rId57" w:history="1">
        <w:r w:rsidRPr="006E6596">
          <w:rPr>
            <w:rStyle w:val="Hyperlink"/>
            <w:lang w:val="bg-BG"/>
          </w:rPr>
          <w:t>Покана за представяне на предложения за насърчаване на информираността на организациите на гражданското общество, изграждането на капацитет и прилагането на Хартата на основните права на ЕС</w:t>
        </w:r>
      </w:hyperlink>
      <w:r w:rsidRPr="006E6596">
        <w:rPr>
          <w:lang w:val="bg-BG"/>
        </w:rPr>
        <w:t>.</w:t>
      </w:r>
    </w:p>
  </w:footnote>
  <w:footnote w:id="300">
    <w:p w14:paraId="37E60C7B" w14:textId="129073B3"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58" w:history="1">
        <w:r w:rsidRPr="006E6596">
          <w:rPr>
            <w:rStyle w:val="Hyperlink"/>
            <w:lang w:val="bg-BG"/>
          </w:rPr>
          <w:t>Покана за представяне на предложения за насърчаване на изграждането на капацитет и информираността относно Хартата на основните права на ЕС и дейности по стратегически съдебни спорове, свързани с демокрацията, върховенството на закона и нарушенията на основните права</w:t>
        </w:r>
      </w:hyperlink>
      <w:r w:rsidRPr="006E6596">
        <w:rPr>
          <w:lang w:val="bg-BG"/>
        </w:rPr>
        <w:t>. Вж. проекти „</w:t>
      </w:r>
      <w:hyperlink r:id="rId59" w:history="1">
        <w:r w:rsidRPr="006E6596">
          <w:rPr>
            <w:rStyle w:val="Hyperlink"/>
            <w:lang w:val="bg-BG"/>
          </w:rPr>
          <w:t xml:space="preserve">Превръщане на Хартата на ЕС във водещ инструмент за съдебни спорове свързани с правата на човека в </w:t>
        </w:r>
        <w:r w:rsidRPr="006E6596">
          <w:rPr>
            <w:rStyle w:val="Hyperlink"/>
            <w:b/>
            <w:lang w:val="bg-BG"/>
          </w:rPr>
          <w:t>Унгария</w:t>
        </w:r>
      </w:hyperlink>
      <w:r w:rsidRPr="006E6596">
        <w:rPr>
          <w:lang w:val="bg-BG"/>
        </w:rPr>
        <w:t>“, „</w:t>
      </w:r>
      <w:hyperlink r:id="rId60" w:history="1">
        <w:r w:rsidRPr="006E6596">
          <w:rPr>
            <w:rStyle w:val="Hyperlink"/>
            <w:lang w:val="bg-BG"/>
          </w:rPr>
          <w:t>Стратегическите съдебни спорове като портал за разрешаване на въпроси относно правата на хората с увреждания в Европейския съюз</w:t>
        </w:r>
      </w:hyperlink>
      <w:r w:rsidRPr="006E6596">
        <w:rPr>
          <w:lang w:val="bg-BG"/>
        </w:rPr>
        <w:t>“, „</w:t>
      </w:r>
      <w:hyperlink r:id="rId61" w:history="1">
        <w:r w:rsidRPr="006E6596">
          <w:rPr>
            <w:rStyle w:val="Hyperlink"/>
            <w:lang w:val="bg-BG"/>
          </w:rPr>
          <w:t>Разработване на информация, насоки и взаимосвързаност за интегриране на права (по Хартата) в стратегии за правоприлагане</w:t>
        </w:r>
      </w:hyperlink>
      <w:r w:rsidRPr="006E6596">
        <w:rPr>
          <w:lang w:val="bg-BG"/>
        </w:rPr>
        <w:t>“.</w:t>
      </w:r>
    </w:p>
  </w:footnote>
  <w:footnote w:id="301">
    <w:p w14:paraId="0F799B89" w14:textId="44E7824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62" w:history="1">
        <w:r w:rsidRPr="006E6596">
          <w:rPr>
            <w:rStyle w:val="Hyperlink"/>
            <w:lang w:val="bg-BG"/>
          </w:rPr>
          <w:t>Покана за представяне на предложения за предотвратяване и борба с насилието, основано на пола, и насилието над деца:</w:t>
        </w:r>
      </w:hyperlink>
      <w:hyperlink r:id="rId63" w:history="1">
        <w:r w:rsidRPr="006E6596">
          <w:rPr>
            <w:rStyle w:val="Hyperlink"/>
            <w:lang w:val="bg-BG"/>
          </w:rPr>
          <w:t xml:space="preserve"> покана към посредници</w:t>
        </w:r>
      </w:hyperlink>
      <w:r w:rsidRPr="006E6596">
        <w:rPr>
          <w:rStyle w:val="Hyperlink"/>
          <w:lang w:val="bg-BG"/>
        </w:rPr>
        <w:t>.</w:t>
      </w:r>
    </w:p>
  </w:footnote>
  <w:footnote w:id="302">
    <w:p w14:paraId="475089DF" w14:textId="04868EAF"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64" w:history="1">
        <w:r w:rsidRPr="006E6596">
          <w:rPr>
            <w:rStyle w:val="Hyperlink"/>
            <w:lang w:val="bg-BG"/>
          </w:rPr>
          <w:t>Приложение</w:t>
        </w:r>
      </w:hyperlink>
      <w:r w:rsidRPr="006E6596">
        <w:rPr>
          <w:lang w:val="bg-BG"/>
        </w:rPr>
        <w:t xml:space="preserve"> към Решение за изпълнение на Комисията за финансиране на програмата „Права, равенство и гражданство“ и за приемане на работната програма за периода 2023—2024 г. Тези дейности включват предоставяне на финансиране за подобряване на наличната подкрепа за жертвите на престъпления от омраза и реакцията на структурите на правосъдната система на престъпленията от омраза. </w:t>
      </w:r>
    </w:p>
  </w:footnote>
  <w:footnote w:id="303">
    <w:p w14:paraId="77C60534"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65" w:history="1">
        <w:r w:rsidRPr="006E6596">
          <w:rPr>
            <w:rStyle w:val="Hyperlink"/>
            <w:lang w:val="bg-BG"/>
          </w:rPr>
          <w:t>Работна програма „Цифрова Европа“ за периода 2023—2024 г. (.pdf)</w:t>
        </w:r>
      </w:hyperlink>
      <w:r w:rsidRPr="006E6596">
        <w:rPr>
          <w:rStyle w:val="Hyperlink"/>
          <w:lang w:val="bg-BG"/>
        </w:rPr>
        <w:t>.</w:t>
      </w:r>
    </w:p>
  </w:footnote>
  <w:footnote w:id="304">
    <w:p w14:paraId="02C289E4"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66" w:history="1">
        <w:r w:rsidRPr="006E6596">
          <w:rPr>
            <w:rStyle w:val="Hyperlink"/>
            <w:lang w:val="bg-BG"/>
          </w:rPr>
          <w:t>Покана за представяне на предложения за цифрова трансформация</w:t>
        </w:r>
      </w:hyperlink>
      <w:r w:rsidRPr="006E6596">
        <w:rPr>
          <w:lang w:val="bg-BG"/>
        </w:rPr>
        <w:t>. Пример за проект, финансиран по линия на тази програма е</w:t>
      </w:r>
      <w:r w:rsidRPr="006E6596">
        <w:rPr>
          <w:rStyle w:val="Hyperlink"/>
          <w:lang w:val="bg-BG"/>
        </w:rPr>
        <w:t xml:space="preserve"> „</w:t>
      </w:r>
      <w:hyperlink r:id="rId67" w:history="1">
        <w:r w:rsidRPr="006E6596">
          <w:rPr>
            <w:rStyle w:val="Hyperlink"/>
            <w:lang w:val="bg-BG"/>
          </w:rPr>
          <w:t>Непрекъснато управление, развитие и поддръжка на системата e-CODEX</w:t>
        </w:r>
      </w:hyperlink>
      <w:r w:rsidRPr="006E6596">
        <w:rPr>
          <w:rStyle w:val="Hyperlink"/>
          <w:lang w:val="bg-BG"/>
        </w:rPr>
        <w:t xml:space="preserve">“ </w:t>
      </w:r>
      <w:r w:rsidRPr="006E6596">
        <w:rPr>
          <w:lang w:val="bg-BG"/>
        </w:rPr>
        <w:t>използвана от няколко държави членки за цифров обмен на данни, свързани с граждански, търговски и наказателни дела.</w:t>
      </w:r>
    </w:p>
  </w:footnote>
  <w:footnote w:id="305">
    <w:p w14:paraId="7C3095D0"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68" w:history="1">
        <w:r w:rsidRPr="006E6596">
          <w:rPr>
            <w:rStyle w:val="Hyperlink"/>
            <w:lang w:val="bg-BG"/>
          </w:rPr>
          <w:t>Работна програма „Цифрова Европа“ за периода 2023—2024 г. (.pdf)</w:t>
        </w:r>
      </w:hyperlink>
      <w:r w:rsidRPr="006E6596">
        <w:rPr>
          <w:rStyle w:val="Hyperlink"/>
          <w:lang w:val="bg-BG"/>
        </w:rPr>
        <w:t>.</w:t>
      </w:r>
    </w:p>
  </w:footnote>
  <w:footnote w:id="306">
    <w:p w14:paraId="6EF05049"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Проект „</w:t>
      </w:r>
      <w:hyperlink r:id="rId69" w:history="1">
        <w:r w:rsidRPr="006E6596">
          <w:rPr>
            <w:rStyle w:val="Hyperlink"/>
            <w:lang w:val="bg-BG"/>
          </w:rPr>
          <w:t>Достъп до правосъдие в многостепенна европейска конституционна система“</w:t>
        </w:r>
      </w:hyperlink>
      <w:r w:rsidRPr="006E6596">
        <w:rPr>
          <w:lang w:val="bg-BG"/>
        </w:rPr>
        <w:t>.</w:t>
      </w:r>
    </w:p>
  </w:footnote>
  <w:footnote w:id="307">
    <w:p w14:paraId="1444FDE1"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Проект „</w:t>
      </w:r>
      <w:hyperlink r:id="rId70" w:history="1">
        <w:r w:rsidRPr="006E6596">
          <w:rPr>
            <w:rStyle w:val="Hyperlink"/>
            <w:lang w:val="bg-BG"/>
          </w:rPr>
          <w:t>Проучвания на ЕС в областта на защитата на правата на човека и алтернативното разрешаване на спорове</w:t>
        </w:r>
      </w:hyperlink>
      <w:r w:rsidRPr="006E6596">
        <w:rPr>
          <w:lang w:val="bg-BG"/>
        </w:rPr>
        <w:t>“.</w:t>
      </w:r>
    </w:p>
  </w:footnote>
  <w:footnote w:id="308">
    <w:p w14:paraId="35CC4FDE"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Проект „Правосъдие съобразено с интересите на децата в действие“, финансиран по линия на програмата „Еразъм+“, ключово действие „Сътрудничество за иновации и обмен на добри практики“.</w:t>
      </w:r>
    </w:p>
  </w:footnote>
  <w:footnote w:id="309">
    <w:p w14:paraId="7A20DB26" w14:textId="77777777" w:rsidR="00DC31D1" w:rsidRPr="006E6596" w:rsidRDefault="00DC31D1" w:rsidP="00633442">
      <w:pPr>
        <w:pStyle w:val="FootnoteText"/>
        <w:jc w:val="both"/>
        <w:rPr>
          <w:lang w:val="bg-BG"/>
        </w:rPr>
      </w:pPr>
      <w:r w:rsidRPr="006E6596">
        <w:rPr>
          <w:rStyle w:val="FootnoteReference"/>
          <w:lang w:val="bg-BG"/>
        </w:rPr>
        <w:footnoteRef/>
      </w:r>
      <w:r w:rsidRPr="006E6596">
        <w:rPr>
          <w:lang w:val="bg-BG"/>
        </w:rPr>
        <w:t xml:space="preserve"> https://erasmus-plus.ec.europa.eu.</w:t>
      </w:r>
    </w:p>
  </w:footnote>
  <w:footnote w:id="310">
    <w:p w14:paraId="59844966"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71" w:history="1">
        <w:r w:rsidRPr="006E6596">
          <w:rPr>
            <w:rStyle w:val="Hyperlink"/>
            <w:lang w:val="bg-BG"/>
          </w:rPr>
          <w:t>https://commission.europa.eu/funding-tenders/find-funding/eu-funding-programmes/internal-security-fund_bg</w:t>
        </w:r>
      </w:hyperlink>
      <w:r w:rsidRPr="006E6596">
        <w:rPr>
          <w:lang w:val="bg-BG"/>
        </w:rPr>
        <w:t xml:space="preserve">. </w:t>
      </w:r>
    </w:p>
  </w:footnote>
  <w:footnote w:id="311">
    <w:p w14:paraId="265FB8DD"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72" w:history="1">
        <w:r w:rsidRPr="006E6596">
          <w:rPr>
            <w:rStyle w:val="Hyperlink"/>
            <w:lang w:val="bg-BG"/>
          </w:rPr>
          <w:t>https://commission.europa.eu/business-economy-euro/economic-recovery/recovery-and-resilience-facility_bg</w:t>
        </w:r>
      </w:hyperlink>
      <w:r w:rsidRPr="006E6596">
        <w:rPr>
          <w:lang w:val="bg-BG"/>
        </w:rPr>
        <w:t xml:space="preserve">. </w:t>
      </w:r>
    </w:p>
  </w:footnote>
  <w:footnote w:id="312">
    <w:p w14:paraId="4143B8BF"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73" w:history="1">
        <w:r w:rsidRPr="006E6596">
          <w:rPr>
            <w:rStyle w:val="Hyperlink"/>
            <w:lang w:val="bg-BG"/>
          </w:rPr>
          <w:t>https://ec.europa.eu/economy_finance/recovery-and-resilience-scoreboard/milestones_and_targets.html?lang=bg</w:t>
        </w:r>
      </w:hyperlink>
      <w:r w:rsidRPr="006E6596">
        <w:rPr>
          <w:lang w:val="bg-BG"/>
        </w:rPr>
        <w:t xml:space="preserve">. </w:t>
      </w:r>
    </w:p>
  </w:footnote>
  <w:footnote w:id="313">
    <w:p w14:paraId="5E1355A5" w14:textId="77777777" w:rsidR="00DC31D1" w:rsidRPr="006E6596" w:rsidRDefault="00DC31D1" w:rsidP="00633442">
      <w:pPr>
        <w:pStyle w:val="FootnoteText"/>
        <w:jc w:val="both"/>
        <w:rPr>
          <w:lang w:val="bg-BG"/>
        </w:rPr>
      </w:pPr>
      <w:r w:rsidRPr="006E6596">
        <w:rPr>
          <w:rStyle w:val="FootnoteReference"/>
          <w:lang w:val="bg-BG"/>
        </w:rPr>
        <w:footnoteRef/>
      </w:r>
      <w:r w:rsidRPr="006E6596">
        <w:rPr>
          <w:lang w:val="bg-BG"/>
        </w:rPr>
        <w:t xml:space="preserve"> С общ бюджет от 864 милиона евро за периода 2021—2027 г., в рамките на Инструмента за техническа подкрепа, Комисията подкрепи 20 проекта в областта на съдебните реформи в 14 държави членки на обща стойност 10 580 000 евро.</w:t>
      </w:r>
    </w:p>
  </w:footnote>
  <w:footnote w:id="314">
    <w:p w14:paraId="26C9881D" w14:textId="133627D1"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Моделът „Barnahus“ (домовете за деца) функционира като център за обслужване, където правоприлагащите органи, наказателното правосъдие, службите за закрила на детето и социалните и здравните работници си сътрудничат под един покрив. Проектът „</w:t>
      </w:r>
      <w:hyperlink r:id="rId74" w:history="1">
        <w:r w:rsidRPr="006E6596">
          <w:rPr>
            <w:rStyle w:val="Hyperlink"/>
            <w:lang w:val="bg-BG"/>
          </w:rPr>
          <w:t xml:space="preserve">Осигуряване на правосъдие, съобразено с интересите на децата чрез ефективно функциониране на домовете по модела „Barnahus“ във </w:t>
        </w:r>
        <w:r w:rsidRPr="006E6596">
          <w:rPr>
            <w:rStyle w:val="Hyperlink"/>
            <w:b/>
            <w:lang w:val="bg-BG"/>
          </w:rPr>
          <w:t>Финландия</w:t>
        </w:r>
      </w:hyperlink>
      <w:r w:rsidRPr="006E6596">
        <w:rPr>
          <w:lang w:val="bg-BG"/>
        </w:rPr>
        <w:t>“ допринася за подобряване на достъпа до правосъдие и качеството на съдебната система за деца жертви на насилие. Работата на пет домове по модела „Barnahus“ е подобрена, за да предостави решение при случаи на сексуално насилие над деца. По същия начин, проектът „</w:t>
      </w:r>
      <w:hyperlink r:id="rId75" w:history="1">
        <w:r w:rsidRPr="006E6596">
          <w:rPr>
            <w:rStyle w:val="Hyperlink"/>
            <w:lang w:val="bg-BG"/>
          </w:rPr>
          <w:t xml:space="preserve">Укрепване на правосъдието, съобразеното с интересите на децата чрез ефективно сътрудничество и координация между различни услуги по модела „Barnahus“ в регионите на </w:t>
        </w:r>
        <w:r w:rsidRPr="006E6596">
          <w:rPr>
            <w:rStyle w:val="Hyperlink"/>
            <w:b/>
            <w:lang w:val="bg-BG"/>
          </w:rPr>
          <w:t>Испания</w:t>
        </w:r>
      </w:hyperlink>
      <w:r w:rsidRPr="006E6596">
        <w:rPr>
          <w:lang w:val="bg-BG"/>
        </w:rPr>
        <w:t xml:space="preserve">“ има за цел да изготви препоръки и да разработи стратегия и план за действие за разширяване на операциите по модела „Barnahus“ в участващите региони. В </w:t>
      </w:r>
      <w:r w:rsidRPr="006E6596">
        <w:rPr>
          <w:b/>
          <w:lang w:val="bg-BG"/>
        </w:rPr>
        <w:t>Словения</w:t>
      </w:r>
      <w:r w:rsidRPr="006E6596">
        <w:rPr>
          <w:lang w:val="bg-BG"/>
        </w:rPr>
        <w:t xml:space="preserve">, проектът „Barnahus Словения: Подкрепа на деца жертви на насилие” доведе до откриването на домове по модела „Barnahus“ след първоначално обучение. Проектът допринесе за разработването на операциите и подготовката на проект на закон за правосъдие, съобразено с интересите на децата, приет през юни 2021 г. Той включва национална комуникационна кампания и участие на деца в проектирането на домове по модела „Barnahus“. Целта на проекта „Прилагане на модела „Barnahus“ в </w:t>
      </w:r>
      <w:r w:rsidRPr="006E6596">
        <w:rPr>
          <w:b/>
          <w:lang w:val="bg-BG"/>
        </w:rPr>
        <w:t>Хърватия</w:t>
      </w:r>
      <w:r w:rsidRPr="006E6596">
        <w:rPr>
          <w:lang w:val="bg-BG"/>
        </w:rPr>
        <w:t>“ е укрепване на правната рамка, включително чрез укрепване на капацитета на специалистите.</w:t>
      </w:r>
    </w:p>
  </w:footnote>
  <w:footnote w:id="315">
    <w:p w14:paraId="1C778CF7" w14:textId="385CF598"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Целта на проекта е да се интегрират по-добре децата с увреждания в обществото и да се подобри качеството на услугите, които те получават от системата за социална и правна закрила на детето и социално настойничество и свързаните услуги.</w:t>
      </w:r>
    </w:p>
  </w:footnote>
  <w:footnote w:id="316">
    <w:p w14:paraId="31679DB3" w14:textId="62C28B52"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Този проект насърчава единно, приобщаващо и качествено образование в ранна детска възраст.</w:t>
      </w:r>
    </w:p>
  </w:footnote>
  <w:footnote w:id="317">
    <w:p w14:paraId="6F1997D1"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Този проект е насочен към намаляване на броя на натрупаните дела в наказателните съдилища и продължителността на наказателните производства за дела, включващи млади хора. С този проект също така се предоставя подкрепа за подобряването на отношението и реинтеграцията на младите затворници чрез обучение на затворническия персонал.</w:t>
      </w:r>
    </w:p>
  </w:footnote>
  <w:footnote w:id="318">
    <w:p w14:paraId="43E22B2E" w14:textId="1213555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Във </w:t>
      </w:r>
      <w:r w:rsidRPr="006E6596">
        <w:rPr>
          <w:b/>
          <w:lang w:val="bg-BG"/>
        </w:rPr>
        <w:t>Франция</w:t>
      </w:r>
      <w:r w:rsidRPr="006E6596">
        <w:rPr>
          <w:lang w:val="bg-BG"/>
        </w:rPr>
        <w:t xml:space="preserve">, проектът „FranceJustice“ е насочен към подобряване на достъпа до правосъдие чрез създаване на информационен инструмент за консултации между граждани и юристи, включително представители на служби, предоставящи информация относно основните права и правосъдието, и сдружения за подкрепа на жертвите. Проектът „Модернизиране на гражданскопроцесуалните правила в </w:t>
      </w:r>
      <w:r w:rsidRPr="006E6596">
        <w:rPr>
          <w:b/>
          <w:lang w:val="bg-BG"/>
        </w:rPr>
        <w:t>Кипър</w:t>
      </w:r>
      <w:r w:rsidRPr="006E6596">
        <w:rPr>
          <w:lang w:val="bg-BG"/>
        </w:rPr>
        <w:t>“ осигури подкрепа за Върховния съд при модернизирането на гражданскопроцесуалните правила през 2021 г. По същия начин с проекта „</w:t>
      </w:r>
      <w:hyperlink r:id="rId76" w:history="1">
        <w:r w:rsidRPr="006E6596">
          <w:rPr>
            <w:rStyle w:val="Hyperlink"/>
            <w:lang w:val="bg-BG"/>
          </w:rPr>
          <w:t xml:space="preserve">Подкрепа за използването на електронната комуникация в </w:t>
        </w:r>
        <w:r w:rsidRPr="006E6596">
          <w:rPr>
            <w:rStyle w:val="Hyperlink"/>
            <w:b/>
            <w:lang w:val="bg-BG"/>
          </w:rPr>
          <w:t>съдебната власт</w:t>
        </w:r>
        <w:r w:rsidRPr="006E6596">
          <w:rPr>
            <w:rStyle w:val="Hyperlink"/>
            <w:lang w:val="bg-BG"/>
          </w:rPr>
          <w:t xml:space="preserve"> на Хърватия</w:t>
        </w:r>
      </w:hyperlink>
      <w:r w:rsidRPr="006E6596">
        <w:rPr>
          <w:lang w:val="bg-BG"/>
        </w:rPr>
        <w:t>“, съфинансиран от Съвета на Европа, се осигурява подкрепа на Министерството на правосъдието при оценката на настоящата система в светлината на обратната връзка от заинтересованите страни и най-добрите практики и се правят препоръки за по-нататъшно подобрение.</w:t>
      </w:r>
    </w:p>
  </w:footnote>
  <w:footnote w:id="319">
    <w:p w14:paraId="569F6019" w14:textId="2F43DF78"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Например, по покана за представяне на предложения в търг NEAR/SJJ/2023/EA-OP/0056 за осигуряване на оборудване и технически капацитет за съдебните институции през 2023 г. са подписани пет договора на обща стойност 3,94 млн. евро за специализирани полицейски автомобили за превоз на лишени от свобода лица; специализиран полицейски бус за превоз на задържани; противодиверсионно оборудване; системи за техническа защита на съдебни сгради; и сървъри за съдебни институции в Босна и Херцеговина.</w:t>
      </w:r>
    </w:p>
  </w:footnote>
  <w:footnote w:id="320">
    <w:p w14:paraId="3B36777F" w14:textId="77777777"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https://www.eeas.europa.eu/eeas/eu-action-plan-human-rights-and-democracy-0_en?s=264.</w:t>
      </w:r>
    </w:p>
  </w:footnote>
  <w:footnote w:id="321">
    <w:p w14:paraId="339329DD" w14:textId="16A86863"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Двустранно сътрудничество с няколко държави партньори, включително, например, Монголия, Нигерия, Филипините, Колумбия, Гамбия, Гвинея-Бисау и Ангола. </w:t>
      </w:r>
      <w:hyperlink r:id="rId77" w:history="1">
        <w:r w:rsidRPr="006E6596">
          <w:rPr>
            <w:rStyle w:val="Hyperlink"/>
            <w:lang w:val="bg-BG"/>
          </w:rPr>
          <w:t>Инициативата за демокрация „Екип Европа“</w:t>
        </w:r>
      </w:hyperlink>
      <w:r w:rsidRPr="006E6596">
        <w:rPr>
          <w:lang w:val="bg-BG"/>
        </w:rPr>
        <w:t xml:space="preserve"> (TED) е глобална тематична инициатива „Екип Европа“, включваща 15 държави членки, стартирана през 2021 г. за насърчаване на демокрацията и правата на човека по света. Отчетността и върховенството на закона са ключови приоритети, с работна група, посветена на достъпа до правосъдие и насоченото към хората правосъдие.</w:t>
      </w:r>
    </w:p>
  </w:footnote>
  <w:footnote w:id="322">
    <w:p w14:paraId="2FB9DE40" w14:textId="40650ECF"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Това се постига чрез предоставяне на подкрепа за изпълнението на Фонда за прехода на Африканския съюз от Делегацията на ЕС в Африканския съюз с консорциум от специализирани агенции.</w:t>
      </w:r>
    </w:p>
  </w:footnote>
  <w:footnote w:id="323">
    <w:p w14:paraId="0890045C" w14:textId="2112B50D"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w:t>
      </w:r>
      <w:hyperlink r:id="rId78" w:history="1">
        <w:r w:rsidRPr="006E6596">
          <w:rPr>
            <w:rStyle w:val="Hyperlink"/>
            <w:lang w:val="bg-BG"/>
          </w:rPr>
          <w:t>https://www.elpaccto.eu/en/</w:t>
        </w:r>
      </w:hyperlink>
      <w:r w:rsidRPr="006E6596">
        <w:rPr>
          <w:lang w:val="bg-BG"/>
        </w:rPr>
        <w:t xml:space="preserve">. Втората фаза, която ще започне през 2023 г., ще бъде най-голямата програма в подкрепа на изпълнението на </w:t>
      </w:r>
      <w:hyperlink r:id="rId79" w:history="1">
        <w:r w:rsidRPr="006E6596">
          <w:rPr>
            <w:rStyle w:val="Hyperlink"/>
            <w:lang w:val="bg-BG"/>
          </w:rPr>
          <w:t>инициативата „Екип Европа“ за правосъдие и сигурност</w:t>
        </w:r>
      </w:hyperlink>
      <w:r w:rsidRPr="006E6596">
        <w:rPr>
          <w:lang w:val="bg-BG"/>
        </w:rPr>
        <w:t>, която се съсредоточава например върху подкрепата на действия, свързани с достъпа до правосъдие и ориентирано към хората правосъдие.</w:t>
      </w:r>
    </w:p>
  </w:footnote>
  <w:footnote w:id="324">
    <w:p w14:paraId="1803FF5D" w14:textId="1187AEA0"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Изпълнението на съдебните решения и изпълнението на решенията на ЕСПЧ например се отчитат в </w:t>
      </w:r>
      <w:hyperlink r:id="rId80" w:history="1">
        <w:r w:rsidRPr="006E6596">
          <w:rPr>
            <w:rStyle w:val="Hyperlink"/>
            <w:lang w:val="bg-BG"/>
          </w:rPr>
          <w:t>докладите относно държавите</w:t>
        </w:r>
      </w:hyperlink>
      <w:r w:rsidRPr="006E6596">
        <w:rPr>
          <w:lang w:val="bg-BG"/>
        </w:rPr>
        <w:t xml:space="preserve"> като част от годишния пакет за разширяване. </w:t>
      </w:r>
    </w:p>
  </w:footnote>
  <w:footnote w:id="325">
    <w:p w14:paraId="6C684044" w14:textId="228FBCF5"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Примери за действия по съвместните програми на ЕС и Съвета на Европа са i)</w:t>
      </w:r>
      <w:r w:rsidRPr="006E6596">
        <w:rPr>
          <w:b/>
          <w:lang w:val="bg-BG"/>
        </w:rPr>
        <w:t> Партньорството за добро управление за страните от Източното партньорство</w:t>
      </w:r>
      <w:r w:rsidRPr="006E6596">
        <w:rPr>
          <w:lang w:val="bg-BG"/>
        </w:rPr>
        <w:t>, насочено към борба с дискриминацията и защита на правата на уязвимите групи и жените чрез изграждане на капацитет и разпространение на инструменти/насоки за достъп до правосъдие в Грузия, Молдова и Украйна; ii) </w:t>
      </w:r>
      <w:r w:rsidRPr="006E6596">
        <w:rPr>
          <w:b/>
          <w:lang w:val="bg-BG"/>
        </w:rPr>
        <w:t>Хоризонтален механизъм в Западните Балкани и Турция</w:t>
      </w:r>
      <w:r w:rsidRPr="006E6596">
        <w:rPr>
          <w:lang w:val="bg-BG"/>
        </w:rPr>
        <w:t>, насочен към неравенствата между половете в съдебните системи в Албания, Черна гора и Северна Македония, iii) </w:t>
      </w:r>
      <w:r w:rsidRPr="006E6596">
        <w:rPr>
          <w:b/>
          <w:lang w:val="bg-BG"/>
        </w:rPr>
        <w:t>Южната програма</w:t>
      </w:r>
      <w:r w:rsidRPr="006E6596">
        <w:rPr>
          <w:lang w:val="bg-BG"/>
        </w:rPr>
        <w:t>, в рамките на която се адаптират 31 издания по гореспоменатата програма „HELP“ към националния правен контекст и през юли 2023 г. е организирана среща на преподаватели по програмата „HELP“ и национални фокусни точки от региона на Южното Средиземноморие за обсъждане на общи приоритети за региона и начини за подобряване на сътрудничеството.</w:t>
      </w:r>
    </w:p>
  </w:footnote>
  <w:footnote w:id="326">
    <w:p w14:paraId="7676545B" w14:textId="77777777" w:rsidR="00DC31D1" w:rsidRPr="006E6596" w:rsidRDefault="00DC31D1" w:rsidP="00DC31D1">
      <w:pPr>
        <w:pStyle w:val="FootnoteText"/>
        <w:jc w:val="both"/>
        <w:rPr>
          <w:lang w:val="bg-BG"/>
        </w:rPr>
      </w:pPr>
      <w:r w:rsidRPr="006E6596">
        <w:rPr>
          <w:rStyle w:val="FootnoteReference"/>
          <w:lang w:val="bg-BG"/>
        </w:rPr>
        <w:footnoteRef/>
      </w:r>
      <w:hyperlink r:id="rId81" w:history="1">
        <w:r w:rsidRPr="006E6596">
          <w:rPr>
            <w:rStyle w:val="Hyperlink"/>
            <w:lang w:val="bg-BG"/>
          </w:rPr>
          <w:t>https://commission.europa.eu/strategy-and-policy/eu-budget/performance-and-reporting/programme-performance-statements/common-foreign-and-security-policy-performance_en</w:t>
        </w:r>
      </w:hyperlink>
      <w:r w:rsidRPr="006E6596">
        <w:rPr>
          <w:lang w:val="bg-BG"/>
        </w:rPr>
        <w:t xml:space="preserve">.  </w:t>
      </w:r>
    </w:p>
  </w:footnote>
  <w:footnote w:id="327">
    <w:p w14:paraId="110F6FB1" w14:textId="0F3E5637" w:rsidR="002C37DB" w:rsidRPr="006E6596" w:rsidRDefault="002C37DB" w:rsidP="002C37DB">
      <w:pPr>
        <w:pStyle w:val="FootnoteText"/>
        <w:rPr>
          <w:lang w:val="bg-BG"/>
        </w:rPr>
      </w:pPr>
      <w:r w:rsidRPr="006E6596">
        <w:rPr>
          <w:rStyle w:val="FootnoteReference"/>
          <w:lang w:val="bg-BG"/>
        </w:rPr>
        <w:footnoteRef/>
      </w:r>
      <w:r w:rsidRPr="006E6596">
        <w:rPr>
          <w:lang w:val="bg-BG"/>
        </w:rPr>
        <w:t xml:space="preserve"> Например, за назначаване на специален представител на Европейския съюз за правата на човека</w:t>
      </w:r>
    </w:p>
  </w:footnote>
  <w:footnote w:id="328">
    <w:p w14:paraId="6973D894" w14:textId="4EED118B" w:rsidR="00405FC7" w:rsidRPr="006E6596" w:rsidRDefault="00405FC7" w:rsidP="00405FC7">
      <w:pPr>
        <w:pStyle w:val="FootnoteText"/>
        <w:jc w:val="both"/>
        <w:rPr>
          <w:lang w:val="bg-BG"/>
        </w:rPr>
      </w:pPr>
      <w:r w:rsidRPr="006E6596">
        <w:rPr>
          <w:rStyle w:val="FootnoteReference"/>
          <w:lang w:val="bg-BG"/>
        </w:rPr>
        <w:footnoteRef/>
      </w:r>
      <w:r w:rsidRPr="006E6596">
        <w:rPr>
          <w:lang w:val="bg-BG"/>
        </w:rPr>
        <w:t xml:space="preserve"> EULEX Косово, Консултативната мисия на ЕС за реформа на сектора за гражданска сигурност в Украйна (EUAM Украйна), Полицейската мисия на Европейския съюз за палестинските територии (EUPOL COPPS) и Мисията на Европейския съюз за изграждане на капацитет в Мали (EUCAP Sahel Mali).</w:t>
      </w:r>
    </w:p>
  </w:footnote>
  <w:footnote w:id="329">
    <w:p w14:paraId="7080A280" w14:textId="6A447181" w:rsidR="00DC31D1" w:rsidRPr="006E6596" w:rsidRDefault="00DC31D1" w:rsidP="00DC31D1">
      <w:pPr>
        <w:pStyle w:val="FootnoteText"/>
        <w:jc w:val="both"/>
        <w:rPr>
          <w:lang w:val="bg-BG"/>
        </w:rPr>
      </w:pPr>
      <w:r w:rsidRPr="006E6596">
        <w:rPr>
          <w:rStyle w:val="FootnoteReference"/>
          <w:lang w:val="bg-BG"/>
        </w:rPr>
        <w:footnoteRef/>
      </w:r>
      <w:r w:rsidRPr="006E6596">
        <w:rPr>
          <w:lang w:val="bg-BG"/>
        </w:rPr>
        <w:t xml:space="preserve"> https://eeagrants.org/topics-programmes/justice-and-home-affairs/judicial-cooperation. </w:t>
      </w:r>
      <w:hyperlink r:id="rId82" w:history="1">
        <w:r w:rsidRPr="006E6596">
          <w:rPr>
            <w:rStyle w:val="Hyperlink"/>
            <w:lang w:val="bg-BG"/>
          </w:rPr>
          <w:t>Списък на безвъзмездните средства, предоставени от Съвета на Европа в рамките на съвместни програми и доброволни вноски на ЕС/СЕ</w:t>
        </w:r>
      </w:hyperlink>
      <w:r w:rsidRPr="006E6596">
        <w:rPr>
          <w:lang w:val="bg-BG"/>
        </w:rPr>
        <w:t xml:space="preserve">. </w:t>
      </w:r>
    </w:p>
  </w:footnote>
  <w:footnote w:id="330">
    <w:p w14:paraId="788796A8" w14:textId="77777777" w:rsidR="00065B87" w:rsidRPr="006E6596" w:rsidRDefault="00065B87" w:rsidP="00065B87">
      <w:pPr>
        <w:pStyle w:val="FootnoteText"/>
        <w:jc w:val="both"/>
        <w:rPr>
          <w:lang w:val="bg-BG"/>
        </w:rPr>
      </w:pPr>
      <w:r w:rsidRPr="006E6596">
        <w:rPr>
          <w:rStyle w:val="FootnoteReference"/>
          <w:lang w:val="bg-BG"/>
        </w:rPr>
        <w:footnoteRef/>
      </w:r>
      <w:r w:rsidRPr="006E6596">
        <w:rPr>
          <w:lang w:val="bg-BG"/>
        </w:rPr>
        <w:t xml:space="preserve"> Заключения на Съвета относно подобряване на прилагането на Хартата на основните права в ЕС от 8 март 2021 г., 6795/21.</w:t>
      </w:r>
    </w:p>
  </w:footnote>
  <w:footnote w:id="331">
    <w:p w14:paraId="04ABA0F9" w14:textId="71473F92" w:rsidR="00065B87" w:rsidRPr="006E6596" w:rsidRDefault="00065B87" w:rsidP="00065B87">
      <w:pPr>
        <w:pStyle w:val="FootnoteText"/>
        <w:jc w:val="both"/>
        <w:rPr>
          <w:lang w:val="bg-BG"/>
        </w:rPr>
      </w:pPr>
      <w:r w:rsidRPr="006E6596">
        <w:rPr>
          <w:rStyle w:val="FootnoteReference"/>
          <w:lang w:val="bg-BG"/>
        </w:rPr>
        <w:footnoteRef/>
      </w:r>
      <w:r w:rsidRPr="006E6596">
        <w:rPr>
          <w:lang w:val="bg-BG"/>
        </w:rPr>
        <w:t xml:space="preserve"> Член 19, параграф 1, втора алинея ДЕС.</w:t>
      </w:r>
    </w:p>
  </w:footnote>
  <w:footnote w:id="332">
    <w:p w14:paraId="115144A3" w14:textId="68F0FDA9" w:rsidR="00DE20C6" w:rsidRPr="00DE20C6" w:rsidRDefault="00DE20C6">
      <w:pPr>
        <w:pStyle w:val="FootnoteText"/>
        <w:rPr>
          <w:lang w:val="bg-BG"/>
        </w:rPr>
      </w:pPr>
      <w:r>
        <w:rPr>
          <w:rStyle w:val="FootnoteReference"/>
        </w:rPr>
        <w:footnoteRef/>
      </w:r>
      <w:r w:rsidRPr="00DE20C6">
        <w:rPr>
          <w:lang w:val="bg-BG"/>
        </w:rPr>
        <w:t xml:space="preserve"> </w:t>
      </w:r>
      <w:r>
        <w:rPr>
          <w:lang w:val="bg-BG"/>
        </w:rPr>
        <w:t xml:space="preserve">Виж </w:t>
      </w:r>
      <w:r>
        <w:rPr>
          <w:lang w:val="en-US"/>
        </w:rPr>
        <w:t>FRA</w:t>
      </w:r>
      <w:r w:rsidRPr="00DE20C6">
        <w:rPr>
          <w:lang w:val="bg-BG"/>
        </w:rPr>
        <w:t xml:space="preserve"> 2023 </w:t>
      </w:r>
      <w:r>
        <w:rPr>
          <w:lang w:val="bg-BG"/>
        </w:rPr>
        <w:t xml:space="preserve">г., Консултация с гражданското общество относно достъпа до правосъдие. </w:t>
      </w:r>
      <w:r w:rsidR="00E26BE5">
        <w:rPr>
          <w:lang w:val="bg-BG"/>
        </w:rPr>
        <w:t>Резюме на отговорите на онлайн допитване, извършено между 30 юни и 21 август</w:t>
      </w:r>
      <w:r w:rsidR="00702929">
        <w:rPr>
          <w:lang w:val="bg-BG"/>
        </w:rPr>
        <w:t xml:space="preserve"> 2023 г.</w:t>
      </w:r>
    </w:p>
  </w:footnote>
  <w:footnote w:id="333">
    <w:p w14:paraId="474B2056" w14:textId="70A2E4A2" w:rsidR="00065B87" w:rsidRPr="006E6596" w:rsidRDefault="00065B87" w:rsidP="00065B87">
      <w:pPr>
        <w:pStyle w:val="FootnoteText"/>
        <w:jc w:val="both"/>
        <w:rPr>
          <w:lang w:val="bg-BG"/>
        </w:rPr>
      </w:pPr>
      <w:r w:rsidRPr="006E6596">
        <w:rPr>
          <w:rStyle w:val="FootnoteReference"/>
          <w:lang w:val="bg-BG"/>
        </w:rPr>
        <w:footnoteRef/>
      </w:r>
      <w:r w:rsidRPr="006E6596">
        <w:rPr>
          <w:lang w:val="bg-BG"/>
        </w:rPr>
        <w:t xml:space="preserve"> Вж. Стратегия за Хартата, стр. 12—13 относно познаването на Хартата, което остава недостатъчно сред практикуващите специалисти на национално равнище, въпреки нарастващото й използване от националните съдилища.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2298" w14:textId="77777777" w:rsidR="004252D6" w:rsidRPr="004252D6" w:rsidRDefault="004252D6" w:rsidP="00425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4137" w14:textId="77777777" w:rsidR="004252D6" w:rsidRPr="004252D6" w:rsidRDefault="004252D6" w:rsidP="004252D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BB5B" w14:textId="77777777" w:rsidR="004252D6" w:rsidRPr="004252D6" w:rsidRDefault="004252D6" w:rsidP="004252D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CA4D4" w14:textId="77777777" w:rsidR="00110B4D" w:rsidRPr="00732F40" w:rsidRDefault="00110B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7AD53" w14:textId="77777777" w:rsidR="00110B4D" w:rsidRPr="00732F40" w:rsidRDefault="00110B4D" w:rsidP="0059660E">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1B28" w14:textId="77777777" w:rsidR="00110B4D" w:rsidRPr="00732F40" w:rsidRDefault="00110B4D" w:rsidP="003563AB">
    <w:pPr>
      <w:pStyle w:val="Header"/>
      <w:tabs>
        <w:tab w:val="left" w:pos="8232"/>
      </w:tabs>
      <w:rPr>
        <w:b/>
      </w:rPr>
    </w:pPr>
    <w:r>
      <w:tab/>
    </w:r>
    <w:r>
      <w:tab/>
    </w:r>
  </w:p>
  <w:p w14:paraId="62D69995" w14:textId="77777777" w:rsidR="00110B4D" w:rsidRPr="00732F40" w:rsidRDefault="00110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369"/>
    <w:multiLevelType w:val="hybridMultilevel"/>
    <w:tmpl w:val="4A8421D4"/>
    <w:lvl w:ilvl="0" w:tplc="E68E72B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41B18"/>
    <w:multiLevelType w:val="multilevel"/>
    <w:tmpl w:val="4224DE4A"/>
    <w:lvl w:ilvl="0">
      <w:start w:val="1"/>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BD"/>
    <w:multiLevelType w:val="multilevel"/>
    <w:tmpl w:val="FB661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DD16B6"/>
    <w:multiLevelType w:val="multilevel"/>
    <w:tmpl w:val="EC6C983A"/>
    <w:lvl w:ilvl="0">
      <w:start w:val="4"/>
      <w:numFmt w:val="decimal"/>
      <w:lvlText w:val="%1."/>
      <w:lvlJc w:val="left"/>
      <w:pPr>
        <w:ind w:left="1494"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5F75E7"/>
    <w:multiLevelType w:val="multilevel"/>
    <w:tmpl w:val="6B5E4C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8E73C1F"/>
    <w:multiLevelType w:val="multilevel"/>
    <w:tmpl w:val="6B5E4C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4C3BF3"/>
    <w:multiLevelType w:val="hybridMultilevel"/>
    <w:tmpl w:val="551A5ACC"/>
    <w:lvl w:ilvl="0" w:tplc="BE6E085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3739B2"/>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6C7881"/>
    <w:multiLevelType w:val="multilevel"/>
    <w:tmpl w:val="4BB84A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E3A4A0B"/>
    <w:multiLevelType w:val="multilevel"/>
    <w:tmpl w:val="BA6A0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287217"/>
    <w:multiLevelType w:val="multilevel"/>
    <w:tmpl w:val="8B384D26"/>
    <w:lvl w:ilvl="0">
      <w:start w:val="3"/>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A93077"/>
    <w:multiLevelType w:val="multilevel"/>
    <w:tmpl w:val="1B500B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0F0C9E"/>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D676DB"/>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655053"/>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5"/>
  </w:num>
  <w:num w:numId="4">
    <w:abstractNumId w:val="7"/>
  </w:num>
  <w:num w:numId="5">
    <w:abstractNumId w:val="13"/>
  </w:num>
  <w:num w:numId="6">
    <w:abstractNumId w:val="3"/>
  </w:num>
  <w:num w:numId="7">
    <w:abstractNumId w:val="2"/>
  </w:num>
  <w:num w:numId="8">
    <w:abstractNumId w:val="14"/>
  </w:num>
  <w:num w:numId="9">
    <w:abstractNumId w:val="12"/>
  </w:num>
  <w:num w:numId="10">
    <w:abstractNumId w:val="10"/>
  </w:num>
  <w:num w:numId="11">
    <w:abstractNumId w:val="6"/>
  </w:num>
  <w:num w:numId="12">
    <w:abstractNumId w:val="4"/>
  </w:num>
  <w:num w:numId="13">
    <w:abstractNumId w:val="9"/>
  </w:num>
  <w:num w:numId="14">
    <w:abstractNumId w:val="8"/>
  </w:num>
  <w:num w:numId="15">
    <w:abstractNumId w:val="11"/>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fi-FI" w:vendorID="64" w:dllVersion="6" w:nlCheck="1" w:checkStyle="0"/>
  <w:activeWritingStyle w:appName="MSWord" w:lang="it-IT" w:vendorID="64" w:dllVersion="0" w:nlCheck="1" w:checkStyle="0"/>
  <w:activeWritingStyle w:appName="MSWord" w:lang="hu-HU" w:vendorID="64" w:dllVersion="0" w:nlCheck="1" w:checkStyle="0"/>
  <w:activeWritingStyle w:appName="MSWord" w:lang="es-CU" w:vendorID="64" w:dllVersion="0" w:nlCheck="1" w:checkStyle="0"/>
  <w:activeWritingStyle w:appName="MSWord" w:lang="es-ES_tradnl" w:vendorID="64" w:dllVersion="6" w:nlCheck="1" w:checkStyle="0"/>
  <w:activeWritingStyle w:appName="MSWord" w:lang="fr-FR" w:vendorID="64" w:dllVersion="0" w:nlCheck="1" w:checkStyle="0"/>
  <w:activeWritingStyle w:appName="MSWord" w:lang="de-AT" w:vendorID="64" w:dllVersion="0" w:nlCheck="1" w:checkStyle="0"/>
  <w:activeWritingStyle w:appName="MSWord" w:lang="fi-FI"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179CD41-4FB9-46FE-A4C7-64CCCA47DA18"/>
    <w:docVar w:name="LW_COVERPAGE_TYPE" w:val="1"/>
    <w:docVar w:name="LW_CROSSREFERENCE" w:val="&lt;UNUSED&gt;"/>
    <w:docVar w:name="LW_DocType" w:val="NORMAL"/>
    <w:docVar w:name="LW_EMISSION" w:val="4.12.2023"/>
    <w:docVar w:name="LW_EMISSION_ISODATE" w:val="2023-12-04"/>
    <w:docVar w:name="LW_EMISSION_LOCATION" w:val="BRX"/>
    <w:docVar w:name="LW_EMISSION_PREFIX" w:val="\u1041?\u1088?\u1102?\u1082?\u1089?\u1077?\u1083?, "/>
    <w:docVar w:name="LW_EMISSION_SUFFIX" w:val=" \u1075?."/>
    <w:docVar w:name="LW_ID_DOCTYPE_NONLW" w:val="CP-008"/>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78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Ефективна правна защита и достъп до правосъдие &lt;/FMT&gt;_x000d__x000b_&lt;FMT:Bold&gt;Годишен доклад за 2023 г. относно прилагането на&lt;/FMT&gt;&lt;FMT:Font=Calibri&gt; &lt;/FMT&gt;&lt;FMT:Bold&gt;Хартата на основните права на ЕС&lt;/FMT&gt;"/>
    <w:docVar w:name="LW_TYPE.DOC.CP" w:val="ДОКЛАД НА КОМИСИЯТА ДО ЕВРОПЕЙСКИЯ ПАРЛАМЕНТ, СЪВЕТА, ЕВРОПЕЙСКИЯ ИКОНОМИЧЕСКИ И СОЦИАЛЕН КОМИТЕТ И КОМИТЕТА НА РЕГИОНИТЕ"/>
    <w:docVar w:name="LwApiVersions" w:val="LW4CoDe 1.23.2.0; LW 8.0, Build 20211117"/>
    <w:docVar w:name="Stamp" w:val="\\dossiers.dgt.cec.eu.int\dossiers\JUST\JUST-2022-04871\JUST-2022-04871-00-00-EN-EDT-00.202210031517451153194.DOCX"/>
  </w:docVars>
  <w:rsids>
    <w:rsidRoot w:val="00042046"/>
    <w:rsid w:val="00000544"/>
    <w:rsid w:val="00000C7A"/>
    <w:rsid w:val="00000FC1"/>
    <w:rsid w:val="00001043"/>
    <w:rsid w:val="0000108D"/>
    <w:rsid w:val="0000188D"/>
    <w:rsid w:val="00001A8C"/>
    <w:rsid w:val="00001F1A"/>
    <w:rsid w:val="00002449"/>
    <w:rsid w:val="000026BA"/>
    <w:rsid w:val="00002EA3"/>
    <w:rsid w:val="00003A54"/>
    <w:rsid w:val="00003CBC"/>
    <w:rsid w:val="0000406C"/>
    <w:rsid w:val="0000475A"/>
    <w:rsid w:val="0000482F"/>
    <w:rsid w:val="00004B82"/>
    <w:rsid w:val="00005112"/>
    <w:rsid w:val="000058B7"/>
    <w:rsid w:val="00005F7E"/>
    <w:rsid w:val="000062D3"/>
    <w:rsid w:val="00006384"/>
    <w:rsid w:val="00006E2C"/>
    <w:rsid w:val="00007142"/>
    <w:rsid w:val="0001006B"/>
    <w:rsid w:val="0001086B"/>
    <w:rsid w:val="00010BA0"/>
    <w:rsid w:val="00010BC5"/>
    <w:rsid w:val="00011436"/>
    <w:rsid w:val="00011A94"/>
    <w:rsid w:val="00012094"/>
    <w:rsid w:val="00012465"/>
    <w:rsid w:val="00012CFF"/>
    <w:rsid w:val="00012F8B"/>
    <w:rsid w:val="0001370C"/>
    <w:rsid w:val="000139C1"/>
    <w:rsid w:val="00013AFC"/>
    <w:rsid w:val="00013B2C"/>
    <w:rsid w:val="000143EC"/>
    <w:rsid w:val="000146D2"/>
    <w:rsid w:val="0001503D"/>
    <w:rsid w:val="000155CF"/>
    <w:rsid w:val="000156FC"/>
    <w:rsid w:val="00015957"/>
    <w:rsid w:val="00015B7A"/>
    <w:rsid w:val="00015DF8"/>
    <w:rsid w:val="00016042"/>
    <w:rsid w:val="00016F0E"/>
    <w:rsid w:val="000172BE"/>
    <w:rsid w:val="000176A1"/>
    <w:rsid w:val="00017DCD"/>
    <w:rsid w:val="00020264"/>
    <w:rsid w:val="000206BA"/>
    <w:rsid w:val="00020874"/>
    <w:rsid w:val="00020DDE"/>
    <w:rsid w:val="000213DE"/>
    <w:rsid w:val="000215E8"/>
    <w:rsid w:val="00021C6E"/>
    <w:rsid w:val="00021C98"/>
    <w:rsid w:val="00022654"/>
    <w:rsid w:val="000227BB"/>
    <w:rsid w:val="0002287C"/>
    <w:rsid w:val="000229AE"/>
    <w:rsid w:val="00022AE4"/>
    <w:rsid w:val="00023098"/>
    <w:rsid w:val="0002311E"/>
    <w:rsid w:val="00023378"/>
    <w:rsid w:val="00024466"/>
    <w:rsid w:val="000248D7"/>
    <w:rsid w:val="000249A2"/>
    <w:rsid w:val="00025766"/>
    <w:rsid w:val="0002594B"/>
    <w:rsid w:val="00025A86"/>
    <w:rsid w:val="000263F7"/>
    <w:rsid w:val="0002662B"/>
    <w:rsid w:val="000267B0"/>
    <w:rsid w:val="000269C2"/>
    <w:rsid w:val="00026E97"/>
    <w:rsid w:val="00026EDC"/>
    <w:rsid w:val="00027022"/>
    <w:rsid w:val="000273A2"/>
    <w:rsid w:val="00027880"/>
    <w:rsid w:val="00027B95"/>
    <w:rsid w:val="00027E1C"/>
    <w:rsid w:val="0003005D"/>
    <w:rsid w:val="00030168"/>
    <w:rsid w:val="00030323"/>
    <w:rsid w:val="000306B6"/>
    <w:rsid w:val="000307EA"/>
    <w:rsid w:val="00030DAD"/>
    <w:rsid w:val="00031025"/>
    <w:rsid w:val="0003117A"/>
    <w:rsid w:val="00031614"/>
    <w:rsid w:val="00031792"/>
    <w:rsid w:val="000318B9"/>
    <w:rsid w:val="0003196A"/>
    <w:rsid w:val="0003228A"/>
    <w:rsid w:val="00032437"/>
    <w:rsid w:val="00032580"/>
    <w:rsid w:val="00033320"/>
    <w:rsid w:val="00033BE7"/>
    <w:rsid w:val="00033C48"/>
    <w:rsid w:val="00033D0A"/>
    <w:rsid w:val="00034826"/>
    <w:rsid w:val="000348F5"/>
    <w:rsid w:val="00034CAC"/>
    <w:rsid w:val="00034E82"/>
    <w:rsid w:val="00035FAD"/>
    <w:rsid w:val="00036461"/>
    <w:rsid w:val="0004016C"/>
    <w:rsid w:val="00040956"/>
    <w:rsid w:val="00040D65"/>
    <w:rsid w:val="0004106D"/>
    <w:rsid w:val="000412FB"/>
    <w:rsid w:val="00041DFA"/>
    <w:rsid w:val="00042046"/>
    <w:rsid w:val="0004205F"/>
    <w:rsid w:val="00042218"/>
    <w:rsid w:val="00042805"/>
    <w:rsid w:val="00042906"/>
    <w:rsid w:val="00042DE0"/>
    <w:rsid w:val="00043757"/>
    <w:rsid w:val="00043B04"/>
    <w:rsid w:val="00043F24"/>
    <w:rsid w:val="000440F6"/>
    <w:rsid w:val="000446FC"/>
    <w:rsid w:val="00044A70"/>
    <w:rsid w:val="00044C64"/>
    <w:rsid w:val="00044CEE"/>
    <w:rsid w:val="00044E46"/>
    <w:rsid w:val="0004503A"/>
    <w:rsid w:val="00045573"/>
    <w:rsid w:val="00045877"/>
    <w:rsid w:val="0004606E"/>
    <w:rsid w:val="00046CC5"/>
    <w:rsid w:val="00046F72"/>
    <w:rsid w:val="00047E61"/>
    <w:rsid w:val="00050609"/>
    <w:rsid w:val="000507D5"/>
    <w:rsid w:val="000507FC"/>
    <w:rsid w:val="00050E63"/>
    <w:rsid w:val="000514B0"/>
    <w:rsid w:val="0005152E"/>
    <w:rsid w:val="0005191E"/>
    <w:rsid w:val="00051DDA"/>
    <w:rsid w:val="00052084"/>
    <w:rsid w:val="0005214B"/>
    <w:rsid w:val="000523EB"/>
    <w:rsid w:val="00052994"/>
    <w:rsid w:val="000533FE"/>
    <w:rsid w:val="00053D36"/>
    <w:rsid w:val="0005430B"/>
    <w:rsid w:val="00054667"/>
    <w:rsid w:val="00054D9B"/>
    <w:rsid w:val="00055229"/>
    <w:rsid w:val="00055344"/>
    <w:rsid w:val="00055398"/>
    <w:rsid w:val="000554C6"/>
    <w:rsid w:val="0005550E"/>
    <w:rsid w:val="00055CB3"/>
    <w:rsid w:val="00055EE0"/>
    <w:rsid w:val="00056186"/>
    <w:rsid w:val="00056C22"/>
    <w:rsid w:val="00056CA6"/>
    <w:rsid w:val="00057706"/>
    <w:rsid w:val="00057860"/>
    <w:rsid w:val="00057FE8"/>
    <w:rsid w:val="00060237"/>
    <w:rsid w:val="00060532"/>
    <w:rsid w:val="000607F4"/>
    <w:rsid w:val="00060E49"/>
    <w:rsid w:val="000610B2"/>
    <w:rsid w:val="000613B2"/>
    <w:rsid w:val="0006174B"/>
    <w:rsid w:val="00061E1F"/>
    <w:rsid w:val="000624AA"/>
    <w:rsid w:val="0006269E"/>
    <w:rsid w:val="00062B6F"/>
    <w:rsid w:val="00062C44"/>
    <w:rsid w:val="00062D03"/>
    <w:rsid w:val="00062E05"/>
    <w:rsid w:val="00062E45"/>
    <w:rsid w:val="000630AA"/>
    <w:rsid w:val="00063288"/>
    <w:rsid w:val="00063377"/>
    <w:rsid w:val="00063604"/>
    <w:rsid w:val="00063C3E"/>
    <w:rsid w:val="0006454C"/>
    <w:rsid w:val="00064B94"/>
    <w:rsid w:val="00064CDB"/>
    <w:rsid w:val="00064E8D"/>
    <w:rsid w:val="0006562E"/>
    <w:rsid w:val="000659AF"/>
    <w:rsid w:val="00065B87"/>
    <w:rsid w:val="00065CE0"/>
    <w:rsid w:val="00066423"/>
    <w:rsid w:val="00066560"/>
    <w:rsid w:val="00066A06"/>
    <w:rsid w:val="00066CE8"/>
    <w:rsid w:val="00067030"/>
    <w:rsid w:val="000671B6"/>
    <w:rsid w:val="000676DA"/>
    <w:rsid w:val="00067D7E"/>
    <w:rsid w:val="000706C2"/>
    <w:rsid w:val="00070DB9"/>
    <w:rsid w:val="00070FD2"/>
    <w:rsid w:val="00071035"/>
    <w:rsid w:val="0007156D"/>
    <w:rsid w:val="000716A5"/>
    <w:rsid w:val="00071B0B"/>
    <w:rsid w:val="00071DA9"/>
    <w:rsid w:val="00071E1C"/>
    <w:rsid w:val="00072AFF"/>
    <w:rsid w:val="0007304C"/>
    <w:rsid w:val="00073206"/>
    <w:rsid w:val="00073690"/>
    <w:rsid w:val="00073867"/>
    <w:rsid w:val="00074804"/>
    <w:rsid w:val="00075107"/>
    <w:rsid w:val="000757BA"/>
    <w:rsid w:val="000759AD"/>
    <w:rsid w:val="00075BCA"/>
    <w:rsid w:val="00075CDE"/>
    <w:rsid w:val="00075F89"/>
    <w:rsid w:val="000763B4"/>
    <w:rsid w:val="00076AA7"/>
    <w:rsid w:val="00076BDE"/>
    <w:rsid w:val="00077035"/>
    <w:rsid w:val="0007712A"/>
    <w:rsid w:val="0007754A"/>
    <w:rsid w:val="00077C71"/>
    <w:rsid w:val="00077D05"/>
    <w:rsid w:val="00080430"/>
    <w:rsid w:val="000806A8"/>
    <w:rsid w:val="00080836"/>
    <w:rsid w:val="00080889"/>
    <w:rsid w:val="000812E8"/>
    <w:rsid w:val="00081534"/>
    <w:rsid w:val="00081CC9"/>
    <w:rsid w:val="000822BA"/>
    <w:rsid w:val="000822D9"/>
    <w:rsid w:val="00082353"/>
    <w:rsid w:val="00082503"/>
    <w:rsid w:val="0008257B"/>
    <w:rsid w:val="000825C3"/>
    <w:rsid w:val="00082BA7"/>
    <w:rsid w:val="00082BE2"/>
    <w:rsid w:val="000833E1"/>
    <w:rsid w:val="000838D0"/>
    <w:rsid w:val="000838D4"/>
    <w:rsid w:val="00083A99"/>
    <w:rsid w:val="00083C1E"/>
    <w:rsid w:val="00083ECE"/>
    <w:rsid w:val="00083FE6"/>
    <w:rsid w:val="000845A4"/>
    <w:rsid w:val="000846CA"/>
    <w:rsid w:val="0008495C"/>
    <w:rsid w:val="000850E3"/>
    <w:rsid w:val="000856D0"/>
    <w:rsid w:val="00085C67"/>
    <w:rsid w:val="000862FA"/>
    <w:rsid w:val="0008680C"/>
    <w:rsid w:val="000871E4"/>
    <w:rsid w:val="0008776D"/>
    <w:rsid w:val="000879A5"/>
    <w:rsid w:val="00087ECC"/>
    <w:rsid w:val="0009061A"/>
    <w:rsid w:val="0009078B"/>
    <w:rsid w:val="000907D3"/>
    <w:rsid w:val="000909E9"/>
    <w:rsid w:val="00091A6D"/>
    <w:rsid w:val="000920B0"/>
    <w:rsid w:val="0009220E"/>
    <w:rsid w:val="00092356"/>
    <w:rsid w:val="000923AF"/>
    <w:rsid w:val="00092574"/>
    <w:rsid w:val="00092B06"/>
    <w:rsid w:val="00092EA1"/>
    <w:rsid w:val="00092EF0"/>
    <w:rsid w:val="00092F89"/>
    <w:rsid w:val="0009329C"/>
    <w:rsid w:val="00093CBD"/>
    <w:rsid w:val="00093D3B"/>
    <w:rsid w:val="00094C6F"/>
    <w:rsid w:val="000950AB"/>
    <w:rsid w:val="0009511F"/>
    <w:rsid w:val="000954F9"/>
    <w:rsid w:val="000958D3"/>
    <w:rsid w:val="00096007"/>
    <w:rsid w:val="0009603A"/>
    <w:rsid w:val="000968FC"/>
    <w:rsid w:val="00096BBA"/>
    <w:rsid w:val="0009730D"/>
    <w:rsid w:val="000973CA"/>
    <w:rsid w:val="000977BA"/>
    <w:rsid w:val="000978A3"/>
    <w:rsid w:val="000979AF"/>
    <w:rsid w:val="00097B08"/>
    <w:rsid w:val="00097E95"/>
    <w:rsid w:val="000A0151"/>
    <w:rsid w:val="000A0BD4"/>
    <w:rsid w:val="000A0DE2"/>
    <w:rsid w:val="000A1DA7"/>
    <w:rsid w:val="000A1F0E"/>
    <w:rsid w:val="000A30D8"/>
    <w:rsid w:val="000A4A24"/>
    <w:rsid w:val="000A4D3F"/>
    <w:rsid w:val="000A4FCF"/>
    <w:rsid w:val="000A6C2B"/>
    <w:rsid w:val="000A6FA2"/>
    <w:rsid w:val="000A6FD1"/>
    <w:rsid w:val="000A71EC"/>
    <w:rsid w:val="000A7D6C"/>
    <w:rsid w:val="000B04C9"/>
    <w:rsid w:val="000B08DE"/>
    <w:rsid w:val="000B0B03"/>
    <w:rsid w:val="000B0C65"/>
    <w:rsid w:val="000B1A60"/>
    <w:rsid w:val="000B2166"/>
    <w:rsid w:val="000B2520"/>
    <w:rsid w:val="000B2A64"/>
    <w:rsid w:val="000B30DA"/>
    <w:rsid w:val="000B3287"/>
    <w:rsid w:val="000B33A8"/>
    <w:rsid w:val="000B3403"/>
    <w:rsid w:val="000B40DB"/>
    <w:rsid w:val="000B478F"/>
    <w:rsid w:val="000B4B31"/>
    <w:rsid w:val="000B5A76"/>
    <w:rsid w:val="000B6473"/>
    <w:rsid w:val="000B64DD"/>
    <w:rsid w:val="000B665D"/>
    <w:rsid w:val="000B6663"/>
    <w:rsid w:val="000B67B1"/>
    <w:rsid w:val="000B6887"/>
    <w:rsid w:val="000B6EC2"/>
    <w:rsid w:val="000B6F41"/>
    <w:rsid w:val="000B738E"/>
    <w:rsid w:val="000C022B"/>
    <w:rsid w:val="000C0325"/>
    <w:rsid w:val="000C0C66"/>
    <w:rsid w:val="000C0C71"/>
    <w:rsid w:val="000C0CAD"/>
    <w:rsid w:val="000C199E"/>
    <w:rsid w:val="000C1E78"/>
    <w:rsid w:val="000C28FF"/>
    <w:rsid w:val="000C2FEF"/>
    <w:rsid w:val="000C3520"/>
    <w:rsid w:val="000C3B43"/>
    <w:rsid w:val="000C45D9"/>
    <w:rsid w:val="000C480E"/>
    <w:rsid w:val="000C4D65"/>
    <w:rsid w:val="000C4EEC"/>
    <w:rsid w:val="000C5145"/>
    <w:rsid w:val="000C5AD1"/>
    <w:rsid w:val="000C60C5"/>
    <w:rsid w:val="000C625A"/>
    <w:rsid w:val="000C6670"/>
    <w:rsid w:val="000C6975"/>
    <w:rsid w:val="000C6A2F"/>
    <w:rsid w:val="000C6C4D"/>
    <w:rsid w:val="000C6ECD"/>
    <w:rsid w:val="000C7092"/>
    <w:rsid w:val="000C7960"/>
    <w:rsid w:val="000D015F"/>
    <w:rsid w:val="000D0417"/>
    <w:rsid w:val="000D070C"/>
    <w:rsid w:val="000D07A1"/>
    <w:rsid w:val="000D0DDC"/>
    <w:rsid w:val="000D1342"/>
    <w:rsid w:val="000D19BD"/>
    <w:rsid w:val="000D20D5"/>
    <w:rsid w:val="000D22D4"/>
    <w:rsid w:val="000D2881"/>
    <w:rsid w:val="000D2D91"/>
    <w:rsid w:val="000D2DEF"/>
    <w:rsid w:val="000D3583"/>
    <w:rsid w:val="000D3905"/>
    <w:rsid w:val="000D3F57"/>
    <w:rsid w:val="000D4D1C"/>
    <w:rsid w:val="000D5640"/>
    <w:rsid w:val="000D588B"/>
    <w:rsid w:val="000D5C86"/>
    <w:rsid w:val="000D5CEA"/>
    <w:rsid w:val="000D6048"/>
    <w:rsid w:val="000D6249"/>
    <w:rsid w:val="000D6251"/>
    <w:rsid w:val="000D6685"/>
    <w:rsid w:val="000D6862"/>
    <w:rsid w:val="000D6B47"/>
    <w:rsid w:val="000D6F0B"/>
    <w:rsid w:val="000D7154"/>
    <w:rsid w:val="000E02A5"/>
    <w:rsid w:val="000E0475"/>
    <w:rsid w:val="000E06C8"/>
    <w:rsid w:val="000E0993"/>
    <w:rsid w:val="000E0BBD"/>
    <w:rsid w:val="000E1415"/>
    <w:rsid w:val="000E214C"/>
    <w:rsid w:val="000E2286"/>
    <w:rsid w:val="000E2B67"/>
    <w:rsid w:val="000E319D"/>
    <w:rsid w:val="000E31F4"/>
    <w:rsid w:val="000E36D9"/>
    <w:rsid w:val="000E3DEA"/>
    <w:rsid w:val="000E4962"/>
    <w:rsid w:val="000E4AD4"/>
    <w:rsid w:val="000E56C0"/>
    <w:rsid w:val="000E5A12"/>
    <w:rsid w:val="000E67CB"/>
    <w:rsid w:val="000E6FFF"/>
    <w:rsid w:val="000E7724"/>
    <w:rsid w:val="000F040E"/>
    <w:rsid w:val="000F0496"/>
    <w:rsid w:val="000F0A02"/>
    <w:rsid w:val="000F10E6"/>
    <w:rsid w:val="000F1216"/>
    <w:rsid w:val="000F122F"/>
    <w:rsid w:val="000F16B7"/>
    <w:rsid w:val="000F1AC7"/>
    <w:rsid w:val="000F2038"/>
    <w:rsid w:val="000F2060"/>
    <w:rsid w:val="000F2CB9"/>
    <w:rsid w:val="000F2E72"/>
    <w:rsid w:val="000F3214"/>
    <w:rsid w:val="000F3324"/>
    <w:rsid w:val="000F3634"/>
    <w:rsid w:val="000F3857"/>
    <w:rsid w:val="000F4030"/>
    <w:rsid w:val="000F45C2"/>
    <w:rsid w:val="000F492E"/>
    <w:rsid w:val="000F4EF1"/>
    <w:rsid w:val="000F69EC"/>
    <w:rsid w:val="000F6DD9"/>
    <w:rsid w:val="000F6E7A"/>
    <w:rsid w:val="000F7114"/>
    <w:rsid w:val="000F7331"/>
    <w:rsid w:val="000F7798"/>
    <w:rsid w:val="000F7B5A"/>
    <w:rsid w:val="000F7C8F"/>
    <w:rsid w:val="00100800"/>
    <w:rsid w:val="00101042"/>
    <w:rsid w:val="00101111"/>
    <w:rsid w:val="00101BB8"/>
    <w:rsid w:val="001025A7"/>
    <w:rsid w:val="0010319F"/>
    <w:rsid w:val="00103385"/>
    <w:rsid w:val="0010360C"/>
    <w:rsid w:val="00103CA5"/>
    <w:rsid w:val="00103F6A"/>
    <w:rsid w:val="0010448A"/>
    <w:rsid w:val="00104FCC"/>
    <w:rsid w:val="001054D1"/>
    <w:rsid w:val="00105B6D"/>
    <w:rsid w:val="001065E0"/>
    <w:rsid w:val="00106B1F"/>
    <w:rsid w:val="0010708D"/>
    <w:rsid w:val="001073F8"/>
    <w:rsid w:val="001074D5"/>
    <w:rsid w:val="00107D83"/>
    <w:rsid w:val="00107E44"/>
    <w:rsid w:val="00110674"/>
    <w:rsid w:val="001107B6"/>
    <w:rsid w:val="00110B4D"/>
    <w:rsid w:val="00110D89"/>
    <w:rsid w:val="00110D9D"/>
    <w:rsid w:val="00110EBE"/>
    <w:rsid w:val="00110FB4"/>
    <w:rsid w:val="001110BF"/>
    <w:rsid w:val="0011165B"/>
    <w:rsid w:val="001120C4"/>
    <w:rsid w:val="00113F28"/>
    <w:rsid w:val="00114288"/>
    <w:rsid w:val="00114619"/>
    <w:rsid w:val="001147B5"/>
    <w:rsid w:val="00115072"/>
    <w:rsid w:val="0011521B"/>
    <w:rsid w:val="00115B0A"/>
    <w:rsid w:val="0011624A"/>
    <w:rsid w:val="00116409"/>
    <w:rsid w:val="0011650A"/>
    <w:rsid w:val="00116EE0"/>
    <w:rsid w:val="00116F6A"/>
    <w:rsid w:val="00117068"/>
    <w:rsid w:val="00117425"/>
    <w:rsid w:val="00120645"/>
    <w:rsid w:val="001208A9"/>
    <w:rsid w:val="00120FBA"/>
    <w:rsid w:val="00121019"/>
    <w:rsid w:val="00121320"/>
    <w:rsid w:val="00121615"/>
    <w:rsid w:val="001217BA"/>
    <w:rsid w:val="00122019"/>
    <w:rsid w:val="00122DD6"/>
    <w:rsid w:val="00123024"/>
    <w:rsid w:val="00123233"/>
    <w:rsid w:val="00123951"/>
    <w:rsid w:val="00123A64"/>
    <w:rsid w:val="00123A99"/>
    <w:rsid w:val="00123E39"/>
    <w:rsid w:val="00124BFA"/>
    <w:rsid w:val="00124C03"/>
    <w:rsid w:val="00124C17"/>
    <w:rsid w:val="00126AEF"/>
    <w:rsid w:val="00126DED"/>
    <w:rsid w:val="0012745E"/>
    <w:rsid w:val="001276A5"/>
    <w:rsid w:val="00127C49"/>
    <w:rsid w:val="00127EC5"/>
    <w:rsid w:val="00127F30"/>
    <w:rsid w:val="00130142"/>
    <w:rsid w:val="0013191C"/>
    <w:rsid w:val="00132E36"/>
    <w:rsid w:val="00133BE1"/>
    <w:rsid w:val="0013423E"/>
    <w:rsid w:val="00135025"/>
    <w:rsid w:val="00135386"/>
    <w:rsid w:val="001356A6"/>
    <w:rsid w:val="00135912"/>
    <w:rsid w:val="00136192"/>
    <w:rsid w:val="00136269"/>
    <w:rsid w:val="00136B7C"/>
    <w:rsid w:val="00136C30"/>
    <w:rsid w:val="00136FD2"/>
    <w:rsid w:val="001370DE"/>
    <w:rsid w:val="00137114"/>
    <w:rsid w:val="00137173"/>
    <w:rsid w:val="001374FE"/>
    <w:rsid w:val="00137586"/>
    <w:rsid w:val="001408F1"/>
    <w:rsid w:val="00140B1A"/>
    <w:rsid w:val="00140B34"/>
    <w:rsid w:val="00140FA4"/>
    <w:rsid w:val="0014188F"/>
    <w:rsid w:val="0014213F"/>
    <w:rsid w:val="00142203"/>
    <w:rsid w:val="001423E0"/>
    <w:rsid w:val="001424C0"/>
    <w:rsid w:val="0014256B"/>
    <w:rsid w:val="001434E5"/>
    <w:rsid w:val="00143708"/>
    <w:rsid w:val="0014379D"/>
    <w:rsid w:val="00143AEF"/>
    <w:rsid w:val="0014403C"/>
    <w:rsid w:val="001451B0"/>
    <w:rsid w:val="001457A3"/>
    <w:rsid w:val="00145BDF"/>
    <w:rsid w:val="0014625C"/>
    <w:rsid w:val="001462EE"/>
    <w:rsid w:val="001463A9"/>
    <w:rsid w:val="00146535"/>
    <w:rsid w:val="00146943"/>
    <w:rsid w:val="00146B5B"/>
    <w:rsid w:val="00147060"/>
    <w:rsid w:val="00147AC7"/>
    <w:rsid w:val="00147F2C"/>
    <w:rsid w:val="00150120"/>
    <w:rsid w:val="001502E5"/>
    <w:rsid w:val="0015033A"/>
    <w:rsid w:val="0015052F"/>
    <w:rsid w:val="001507FF"/>
    <w:rsid w:val="0015080D"/>
    <w:rsid w:val="001509D5"/>
    <w:rsid w:val="00150A9E"/>
    <w:rsid w:val="00150ABA"/>
    <w:rsid w:val="00150F2B"/>
    <w:rsid w:val="001511D3"/>
    <w:rsid w:val="00151B16"/>
    <w:rsid w:val="00152575"/>
    <w:rsid w:val="00152681"/>
    <w:rsid w:val="001528C6"/>
    <w:rsid w:val="00153DDC"/>
    <w:rsid w:val="0015439D"/>
    <w:rsid w:val="001547E4"/>
    <w:rsid w:val="00154DF8"/>
    <w:rsid w:val="00154F14"/>
    <w:rsid w:val="001551BE"/>
    <w:rsid w:val="00155845"/>
    <w:rsid w:val="00155BB3"/>
    <w:rsid w:val="00155CA3"/>
    <w:rsid w:val="001563EA"/>
    <w:rsid w:val="00156516"/>
    <w:rsid w:val="0015699D"/>
    <w:rsid w:val="00156B6F"/>
    <w:rsid w:val="00156C3B"/>
    <w:rsid w:val="00157322"/>
    <w:rsid w:val="00160034"/>
    <w:rsid w:val="0016010C"/>
    <w:rsid w:val="0016034D"/>
    <w:rsid w:val="00160B1D"/>
    <w:rsid w:val="00161A2F"/>
    <w:rsid w:val="00162C6D"/>
    <w:rsid w:val="0016315C"/>
    <w:rsid w:val="00163559"/>
    <w:rsid w:val="00163CA5"/>
    <w:rsid w:val="001649DB"/>
    <w:rsid w:val="00164B6B"/>
    <w:rsid w:val="00164FA9"/>
    <w:rsid w:val="00165808"/>
    <w:rsid w:val="00165949"/>
    <w:rsid w:val="00165C10"/>
    <w:rsid w:val="00165D60"/>
    <w:rsid w:val="0016740C"/>
    <w:rsid w:val="0016755C"/>
    <w:rsid w:val="00167AB8"/>
    <w:rsid w:val="00167AFF"/>
    <w:rsid w:val="00167E02"/>
    <w:rsid w:val="00167E6C"/>
    <w:rsid w:val="00170494"/>
    <w:rsid w:val="00170AF6"/>
    <w:rsid w:val="00170CAC"/>
    <w:rsid w:val="00170ECF"/>
    <w:rsid w:val="0017101A"/>
    <w:rsid w:val="00171106"/>
    <w:rsid w:val="0017126C"/>
    <w:rsid w:val="00171339"/>
    <w:rsid w:val="0017137B"/>
    <w:rsid w:val="001714B3"/>
    <w:rsid w:val="001715F4"/>
    <w:rsid w:val="0017163C"/>
    <w:rsid w:val="0017166C"/>
    <w:rsid w:val="00171CF7"/>
    <w:rsid w:val="00171F6A"/>
    <w:rsid w:val="00172265"/>
    <w:rsid w:val="00172C6F"/>
    <w:rsid w:val="00172E40"/>
    <w:rsid w:val="001732AD"/>
    <w:rsid w:val="00173A35"/>
    <w:rsid w:val="00173B0F"/>
    <w:rsid w:val="00173C0F"/>
    <w:rsid w:val="0017412F"/>
    <w:rsid w:val="00174EC4"/>
    <w:rsid w:val="00175450"/>
    <w:rsid w:val="0017550D"/>
    <w:rsid w:val="0017552D"/>
    <w:rsid w:val="001758CB"/>
    <w:rsid w:val="001760B7"/>
    <w:rsid w:val="00176491"/>
    <w:rsid w:val="00176916"/>
    <w:rsid w:val="00177A86"/>
    <w:rsid w:val="0018090D"/>
    <w:rsid w:val="0018122D"/>
    <w:rsid w:val="001812FA"/>
    <w:rsid w:val="00181343"/>
    <w:rsid w:val="0018189F"/>
    <w:rsid w:val="00181EC0"/>
    <w:rsid w:val="00181F5C"/>
    <w:rsid w:val="001839B3"/>
    <w:rsid w:val="001839ED"/>
    <w:rsid w:val="00183E43"/>
    <w:rsid w:val="00183EC1"/>
    <w:rsid w:val="00183EE4"/>
    <w:rsid w:val="001849AB"/>
    <w:rsid w:val="00184A8C"/>
    <w:rsid w:val="00184B86"/>
    <w:rsid w:val="001852C3"/>
    <w:rsid w:val="00185652"/>
    <w:rsid w:val="001863A3"/>
    <w:rsid w:val="0018748C"/>
    <w:rsid w:val="001876AD"/>
    <w:rsid w:val="00187B89"/>
    <w:rsid w:val="00190CE8"/>
    <w:rsid w:val="001912AF"/>
    <w:rsid w:val="00192244"/>
    <w:rsid w:val="00192419"/>
    <w:rsid w:val="0019258E"/>
    <w:rsid w:val="00192603"/>
    <w:rsid w:val="00192BA0"/>
    <w:rsid w:val="00192F5B"/>
    <w:rsid w:val="001946DF"/>
    <w:rsid w:val="00194704"/>
    <w:rsid w:val="00195026"/>
    <w:rsid w:val="0019553B"/>
    <w:rsid w:val="001957B8"/>
    <w:rsid w:val="00195A66"/>
    <w:rsid w:val="0019605B"/>
    <w:rsid w:val="001964D1"/>
    <w:rsid w:val="00196639"/>
    <w:rsid w:val="00196DA2"/>
    <w:rsid w:val="00197932"/>
    <w:rsid w:val="00197D9C"/>
    <w:rsid w:val="001A08A6"/>
    <w:rsid w:val="001A0D72"/>
    <w:rsid w:val="001A18F4"/>
    <w:rsid w:val="001A19CE"/>
    <w:rsid w:val="001A1BB0"/>
    <w:rsid w:val="001A1D10"/>
    <w:rsid w:val="001A1F4C"/>
    <w:rsid w:val="001A21A7"/>
    <w:rsid w:val="001A268F"/>
    <w:rsid w:val="001A271C"/>
    <w:rsid w:val="001A2DF5"/>
    <w:rsid w:val="001A2F2D"/>
    <w:rsid w:val="001A4460"/>
    <w:rsid w:val="001A4711"/>
    <w:rsid w:val="001A4D0F"/>
    <w:rsid w:val="001A5280"/>
    <w:rsid w:val="001A5752"/>
    <w:rsid w:val="001A5982"/>
    <w:rsid w:val="001A5C30"/>
    <w:rsid w:val="001A5DFF"/>
    <w:rsid w:val="001A6953"/>
    <w:rsid w:val="001A6D81"/>
    <w:rsid w:val="001A6E1C"/>
    <w:rsid w:val="001A714C"/>
    <w:rsid w:val="001A73C8"/>
    <w:rsid w:val="001A7ADD"/>
    <w:rsid w:val="001B04FC"/>
    <w:rsid w:val="001B09DA"/>
    <w:rsid w:val="001B1ADC"/>
    <w:rsid w:val="001B1F2C"/>
    <w:rsid w:val="001B2157"/>
    <w:rsid w:val="001B2244"/>
    <w:rsid w:val="001B2412"/>
    <w:rsid w:val="001B26B1"/>
    <w:rsid w:val="001B27A6"/>
    <w:rsid w:val="001B36B6"/>
    <w:rsid w:val="001B3CF1"/>
    <w:rsid w:val="001B3FEC"/>
    <w:rsid w:val="001B4ACE"/>
    <w:rsid w:val="001B4C15"/>
    <w:rsid w:val="001B53CE"/>
    <w:rsid w:val="001B5442"/>
    <w:rsid w:val="001B55A3"/>
    <w:rsid w:val="001B5795"/>
    <w:rsid w:val="001B57DE"/>
    <w:rsid w:val="001B6712"/>
    <w:rsid w:val="001B6A08"/>
    <w:rsid w:val="001B7142"/>
    <w:rsid w:val="001B76A0"/>
    <w:rsid w:val="001B7D56"/>
    <w:rsid w:val="001C07BE"/>
    <w:rsid w:val="001C0ABC"/>
    <w:rsid w:val="001C0EE3"/>
    <w:rsid w:val="001C0F81"/>
    <w:rsid w:val="001C124B"/>
    <w:rsid w:val="001C1650"/>
    <w:rsid w:val="001C1CB7"/>
    <w:rsid w:val="001C2471"/>
    <w:rsid w:val="001C2738"/>
    <w:rsid w:val="001C3E50"/>
    <w:rsid w:val="001C4043"/>
    <w:rsid w:val="001C48F1"/>
    <w:rsid w:val="001C5913"/>
    <w:rsid w:val="001C5C52"/>
    <w:rsid w:val="001C5CF4"/>
    <w:rsid w:val="001C5E11"/>
    <w:rsid w:val="001C6625"/>
    <w:rsid w:val="001C690C"/>
    <w:rsid w:val="001C6A08"/>
    <w:rsid w:val="001C6E20"/>
    <w:rsid w:val="001C6E43"/>
    <w:rsid w:val="001C794A"/>
    <w:rsid w:val="001C7FA0"/>
    <w:rsid w:val="001D0387"/>
    <w:rsid w:val="001D09A3"/>
    <w:rsid w:val="001D09D8"/>
    <w:rsid w:val="001D0C9F"/>
    <w:rsid w:val="001D23AF"/>
    <w:rsid w:val="001D27FE"/>
    <w:rsid w:val="001D2DBE"/>
    <w:rsid w:val="001D3B1F"/>
    <w:rsid w:val="001D3D7E"/>
    <w:rsid w:val="001D464E"/>
    <w:rsid w:val="001D4717"/>
    <w:rsid w:val="001D490E"/>
    <w:rsid w:val="001D4965"/>
    <w:rsid w:val="001D4B8F"/>
    <w:rsid w:val="001D5162"/>
    <w:rsid w:val="001D5256"/>
    <w:rsid w:val="001D5363"/>
    <w:rsid w:val="001D558F"/>
    <w:rsid w:val="001D5672"/>
    <w:rsid w:val="001D5918"/>
    <w:rsid w:val="001D5DD8"/>
    <w:rsid w:val="001D6BB5"/>
    <w:rsid w:val="001D70A8"/>
    <w:rsid w:val="001D7283"/>
    <w:rsid w:val="001D7D23"/>
    <w:rsid w:val="001E044A"/>
    <w:rsid w:val="001E0876"/>
    <w:rsid w:val="001E0DCA"/>
    <w:rsid w:val="001E1439"/>
    <w:rsid w:val="001E152A"/>
    <w:rsid w:val="001E1530"/>
    <w:rsid w:val="001E181F"/>
    <w:rsid w:val="001E188A"/>
    <w:rsid w:val="001E216E"/>
    <w:rsid w:val="001E21B3"/>
    <w:rsid w:val="001E2998"/>
    <w:rsid w:val="001E2EC8"/>
    <w:rsid w:val="001E2FEA"/>
    <w:rsid w:val="001E321A"/>
    <w:rsid w:val="001E427F"/>
    <w:rsid w:val="001E42F0"/>
    <w:rsid w:val="001E451B"/>
    <w:rsid w:val="001E4A13"/>
    <w:rsid w:val="001E4BC5"/>
    <w:rsid w:val="001E5566"/>
    <w:rsid w:val="001E5620"/>
    <w:rsid w:val="001E5745"/>
    <w:rsid w:val="001E5D9E"/>
    <w:rsid w:val="001E69B7"/>
    <w:rsid w:val="001E6B48"/>
    <w:rsid w:val="001E71F1"/>
    <w:rsid w:val="001E750F"/>
    <w:rsid w:val="001E752B"/>
    <w:rsid w:val="001E7B67"/>
    <w:rsid w:val="001E7CB0"/>
    <w:rsid w:val="001F05B0"/>
    <w:rsid w:val="001F0A50"/>
    <w:rsid w:val="001F105C"/>
    <w:rsid w:val="001F1822"/>
    <w:rsid w:val="001F1D74"/>
    <w:rsid w:val="001F2103"/>
    <w:rsid w:val="001F2277"/>
    <w:rsid w:val="001F23AC"/>
    <w:rsid w:val="001F26C0"/>
    <w:rsid w:val="001F2779"/>
    <w:rsid w:val="001F2A33"/>
    <w:rsid w:val="001F2BB1"/>
    <w:rsid w:val="001F2D6F"/>
    <w:rsid w:val="001F342A"/>
    <w:rsid w:val="001F39F7"/>
    <w:rsid w:val="001F4204"/>
    <w:rsid w:val="001F4A3D"/>
    <w:rsid w:val="001F4B1B"/>
    <w:rsid w:val="001F4DBB"/>
    <w:rsid w:val="001F4EB7"/>
    <w:rsid w:val="001F4EC5"/>
    <w:rsid w:val="001F6A3E"/>
    <w:rsid w:val="001F6EE0"/>
    <w:rsid w:val="001F6F74"/>
    <w:rsid w:val="001F74FC"/>
    <w:rsid w:val="001F77AA"/>
    <w:rsid w:val="001F7FA8"/>
    <w:rsid w:val="0020011F"/>
    <w:rsid w:val="0020094A"/>
    <w:rsid w:val="00200C17"/>
    <w:rsid w:val="0020130A"/>
    <w:rsid w:val="002013C5"/>
    <w:rsid w:val="0020151F"/>
    <w:rsid w:val="0020261A"/>
    <w:rsid w:val="00203728"/>
    <w:rsid w:val="00203C82"/>
    <w:rsid w:val="00204076"/>
    <w:rsid w:val="00204474"/>
    <w:rsid w:val="00205130"/>
    <w:rsid w:val="002057BD"/>
    <w:rsid w:val="002060C8"/>
    <w:rsid w:val="002063C8"/>
    <w:rsid w:val="002064E1"/>
    <w:rsid w:val="0020661B"/>
    <w:rsid w:val="002078C9"/>
    <w:rsid w:val="00210183"/>
    <w:rsid w:val="0021038F"/>
    <w:rsid w:val="00210641"/>
    <w:rsid w:val="0021074C"/>
    <w:rsid w:val="00210BE9"/>
    <w:rsid w:val="00210D00"/>
    <w:rsid w:val="002110C1"/>
    <w:rsid w:val="00211D0B"/>
    <w:rsid w:val="00211FEF"/>
    <w:rsid w:val="002121EA"/>
    <w:rsid w:val="002124FE"/>
    <w:rsid w:val="00212946"/>
    <w:rsid w:val="00212ACB"/>
    <w:rsid w:val="00212D51"/>
    <w:rsid w:val="00213043"/>
    <w:rsid w:val="00213503"/>
    <w:rsid w:val="0021387D"/>
    <w:rsid w:val="00213AC1"/>
    <w:rsid w:val="00213DB5"/>
    <w:rsid w:val="0021411D"/>
    <w:rsid w:val="00214B4E"/>
    <w:rsid w:val="00215AB8"/>
    <w:rsid w:val="00216103"/>
    <w:rsid w:val="0021613D"/>
    <w:rsid w:val="002162C3"/>
    <w:rsid w:val="00216344"/>
    <w:rsid w:val="00216A38"/>
    <w:rsid w:val="00216A6A"/>
    <w:rsid w:val="00217239"/>
    <w:rsid w:val="002179E0"/>
    <w:rsid w:val="00217E58"/>
    <w:rsid w:val="00220020"/>
    <w:rsid w:val="00220D04"/>
    <w:rsid w:val="002212C6"/>
    <w:rsid w:val="0022142F"/>
    <w:rsid w:val="00221FD8"/>
    <w:rsid w:val="002223AC"/>
    <w:rsid w:val="002229E8"/>
    <w:rsid w:val="00222C74"/>
    <w:rsid w:val="00222CF8"/>
    <w:rsid w:val="00223216"/>
    <w:rsid w:val="0022339B"/>
    <w:rsid w:val="0022356A"/>
    <w:rsid w:val="00223737"/>
    <w:rsid w:val="00223E49"/>
    <w:rsid w:val="002243AD"/>
    <w:rsid w:val="002246E1"/>
    <w:rsid w:val="00225268"/>
    <w:rsid w:val="00225B81"/>
    <w:rsid w:val="00225D83"/>
    <w:rsid w:val="00225E13"/>
    <w:rsid w:val="002264A9"/>
    <w:rsid w:val="002266CF"/>
    <w:rsid w:val="00226A55"/>
    <w:rsid w:val="00226C6A"/>
    <w:rsid w:val="00226DF6"/>
    <w:rsid w:val="0022703D"/>
    <w:rsid w:val="002274B3"/>
    <w:rsid w:val="002275B1"/>
    <w:rsid w:val="00227768"/>
    <w:rsid w:val="002278DD"/>
    <w:rsid w:val="002279E3"/>
    <w:rsid w:val="00227AB0"/>
    <w:rsid w:val="0023002D"/>
    <w:rsid w:val="0023058A"/>
    <w:rsid w:val="00231D82"/>
    <w:rsid w:val="0023272A"/>
    <w:rsid w:val="002329F4"/>
    <w:rsid w:val="00232FB0"/>
    <w:rsid w:val="00233AC3"/>
    <w:rsid w:val="00233BD4"/>
    <w:rsid w:val="00234026"/>
    <w:rsid w:val="00234065"/>
    <w:rsid w:val="00234527"/>
    <w:rsid w:val="00234723"/>
    <w:rsid w:val="00235191"/>
    <w:rsid w:val="00235DC3"/>
    <w:rsid w:val="00235E40"/>
    <w:rsid w:val="0023612C"/>
    <w:rsid w:val="0023658D"/>
    <w:rsid w:val="002366C0"/>
    <w:rsid w:val="00236768"/>
    <w:rsid w:val="00236B95"/>
    <w:rsid w:val="00236C54"/>
    <w:rsid w:val="002370BA"/>
    <w:rsid w:val="002374F5"/>
    <w:rsid w:val="00237740"/>
    <w:rsid w:val="00237A6C"/>
    <w:rsid w:val="00237BEB"/>
    <w:rsid w:val="00237C7B"/>
    <w:rsid w:val="00240D63"/>
    <w:rsid w:val="00241082"/>
    <w:rsid w:val="00241340"/>
    <w:rsid w:val="002413D6"/>
    <w:rsid w:val="0024183A"/>
    <w:rsid w:val="00241C0F"/>
    <w:rsid w:val="00242297"/>
    <w:rsid w:val="002426DB"/>
    <w:rsid w:val="00243884"/>
    <w:rsid w:val="00243979"/>
    <w:rsid w:val="00243CB0"/>
    <w:rsid w:val="002445F4"/>
    <w:rsid w:val="00244636"/>
    <w:rsid w:val="002455FD"/>
    <w:rsid w:val="0024617E"/>
    <w:rsid w:val="002464C0"/>
    <w:rsid w:val="002466ED"/>
    <w:rsid w:val="00246E74"/>
    <w:rsid w:val="00246F9A"/>
    <w:rsid w:val="002470F4"/>
    <w:rsid w:val="0024738E"/>
    <w:rsid w:val="0024754B"/>
    <w:rsid w:val="00247873"/>
    <w:rsid w:val="00247F0D"/>
    <w:rsid w:val="002515D8"/>
    <w:rsid w:val="002516EF"/>
    <w:rsid w:val="00251C70"/>
    <w:rsid w:val="00251CE2"/>
    <w:rsid w:val="00252A82"/>
    <w:rsid w:val="00252ACD"/>
    <w:rsid w:val="00252B0A"/>
    <w:rsid w:val="00253B62"/>
    <w:rsid w:val="00253CE5"/>
    <w:rsid w:val="00253D56"/>
    <w:rsid w:val="00253F96"/>
    <w:rsid w:val="00254B88"/>
    <w:rsid w:val="00254EBA"/>
    <w:rsid w:val="00255174"/>
    <w:rsid w:val="0025541E"/>
    <w:rsid w:val="00255C81"/>
    <w:rsid w:val="00255F28"/>
    <w:rsid w:val="002562BD"/>
    <w:rsid w:val="002567AE"/>
    <w:rsid w:val="002568DA"/>
    <w:rsid w:val="0025714F"/>
    <w:rsid w:val="002572ED"/>
    <w:rsid w:val="00257306"/>
    <w:rsid w:val="00257B4B"/>
    <w:rsid w:val="002602CF"/>
    <w:rsid w:val="0026079A"/>
    <w:rsid w:val="00260B1E"/>
    <w:rsid w:val="002611AC"/>
    <w:rsid w:val="00261548"/>
    <w:rsid w:val="00261C5C"/>
    <w:rsid w:val="00263009"/>
    <w:rsid w:val="002631B8"/>
    <w:rsid w:val="002632F6"/>
    <w:rsid w:val="00263807"/>
    <w:rsid w:val="0026392F"/>
    <w:rsid w:val="00263F32"/>
    <w:rsid w:val="0026419B"/>
    <w:rsid w:val="0026419C"/>
    <w:rsid w:val="002641C0"/>
    <w:rsid w:val="002649A8"/>
    <w:rsid w:val="002653BD"/>
    <w:rsid w:val="00265506"/>
    <w:rsid w:val="00265F0B"/>
    <w:rsid w:val="00265F90"/>
    <w:rsid w:val="002664DA"/>
    <w:rsid w:val="002665D5"/>
    <w:rsid w:val="00267967"/>
    <w:rsid w:val="00267A61"/>
    <w:rsid w:val="00267EDC"/>
    <w:rsid w:val="00270B27"/>
    <w:rsid w:val="00270E01"/>
    <w:rsid w:val="00271038"/>
    <w:rsid w:val="00271122"/>
    <w:rsid w:val="00271575"/>
    <w:rsid w:val="00271639"/>
    <w:rsid w:val="00272333"/>
    <w:rsid w:val="00272DED"/>
    <w:rsid w:val="0027307D"/>
    <w:rsid w:val="002735AC"/>
    <w:rsid w:val="0027364A"/>
    <w:rsid w:val="00274108"/>
    <w:rsid w:val="00275579"/>
    <w:rsid w:val="00275D88"/>
    <w:rsid w:val="00275E87"/>
    <w:rsid w:val="002763CA"/>
    <w:rsid w:val="00276941"/>
    <w:rsid w:val="00276A46"/>
    <w:rsid w:val="00277031"/>
    <w:rsid w:val="002771C5"/>
    <w:rsid w:val="0027765A"/>
    <w:rsid w:val="002776D2"/>
    <w:rsid w:val="00277933"/>
    <w:rsid w:val="00277D4E"/>
    <w:rsid w:val="00277F40"/>
    <w:rsid w:val="00277F79"/>
    <w:rsid w:val="0028076F"/>
    <w:rsid w:val="0028114B"/>
    <w:rsid w:val="00281872"/>
    <w:rsid w:val="002818FD"/>
    <w:rsid w:val="00281998"/>
    <w:rsid w:val="00281B9D"/>
    <w:rsid w:val="0028202F"/>
    <w:rsid w:val="002826B7"/>
    <w:rsid w:val="00282797"/>
    <w:rsid w:val="0028292E"/>
    <w:rsid w:val="00282AAB"/>
    <w:rsid w:val="002831A2"/>
    <w:rsid w:val="002831B0"/>
    <w:rsid w:val="00283B59"/>
    <w:rsid w:val="00283EC5"/>
    <w:rsid w:val="00284090"/>
    <w:rsid w:val="0028425C"/>
    <w:rsid w:val="002842D1"/>
    <w:rsid w:val="002845A9"/>
    <w:rsid w:val="002846AE"/>
    <w:rsid w:val="00284B0F"/>
    <w:rsid w:val="002850E9"/>
    <w:rsid w:val="00285A4D"/>
    <w:rsid w:val="00286E1B"/>
    <w:rsid w:val="0028713E"/>
    <w:rsid w:val="002872CE"/>
    <w:rsid w:val="00287E9E"/>
    <w:rsid w:val="002900BA"/>
    <w:rsid w:val="00290434"/>
    <w:rsid w:val="00290CD0"/>
    <w:rsid w:val="00290D5E"/>
    <w:rsid w:val="00291DFD"/>
    <w:rsid w:val="0029204C"/>
    <w:rsid w:val="00292B08"/>
    <w:rsid w:val="00292B2B"/>
    <w:rsid w:val="00292EE5"/>
    <w:rsid w:val="0029311F"/>
    <w:rsid w:val="002931E0"/>
    <w:rsid w:val="00293AFA"/>
    <w:rsid w:val="00293B37"/>
    <w:rsid w:val="00293F1C"/>
    <w:rsid w:val="002947CA"/>
    <w:rsid w:val="002947DD"/>
    <w:rsid w:val="00294A96"/>
    <w:rsid w:val="00294C7A"/>
    <w:rsid w:val="002965D1"/>
    <w:rsid w:val="00297E89"/>
    <w:rsid w:val="002A01A7"/>
    <w:rsid w:val="002A01B7"/>
    <w:rsid w:val="002A07D3"/>
    <w:rsid w:val="002A1A39"/>
    <w:rsid w:val="002A1A4A"/>
    <w:rsid w:val="002A1C7D"/>
    <w:rsid w:val="002A1E68"/>
    <w:rsid w:val="002A21A3"/>
    <w:rsid w:val="002A221E"/>
    <w:rsid w:val="002A2254"/>
    <w:rsid w:val="002A226B"/>
    <w:rsid w:val="002A30D0"/>
    <w:rsid w:val="002A31E3"/>
    <w:rsid w:val="002A33E1"/>
    <w:rsid w:val="002A37F7"/>
    <w:rsid w:val="002A3C97"/>
    <w:rsid w:val="002A45B1"/>
    <w:rsid w:val="002A4910"/>
    <w:rsid w:val="002A4FDE"/>
    <w:rsid w:val="002A5290"/>
    <w:rsid w:val="002A559C"/>
    <w:rsid w:val="002A5ADE"/>
    <w:rsid w:val="002A5BC5"/>
    <w:rsid w:val="002A5DCB"/>
    <w:rsid w:val="002A630D"/>
    <w:rsid w:val="002A646C"/>
    <w:rsid w:val="002A657F"/>
    <w:rsid w:val="002A659F"/>
    <w:rsid w:val="002A6B67"/>
    <w:rsid w:val="002A6FEE"/>
    <w:rsid w:val="002A70E0"/>
    <w:rsid w:val="002A71A7"/>
    <w:rsid w:val="002A7727"/>
    <w:rsid w:val="002A774A"/>
    <w:rsid w:val="002A7969"/>
    <w:rsid w:val="002A7FCE"/>
    <w:rsid w:val="002B00DB"/>
    <w:rsid w:val="002B151E"/>
    <w:rsid w:val="002B1769"/>
    <w:rsid w:val="002B1BDE"/>
    <w:rsid w:val="002B3141"/>
    <w:rsid w:val="002B3389"/>
    <w:rsid w:val="002B348B"/>
    <w:rsid w:val="002B3646"/>
    <w:rsid w:val="002B36D7"/>
    <w:rsid w:val="002B3B8B"/>
    <w:rsid w:val="002B4458"/>
    <w:rsid w:val="002B49BD"/>
    <w:rsid w:val="002B4B09"/>
    <w:rsid w:val="002B4EFE"/>
    <w:rsid w:val="002B6759"/>
    <w:rsid w:val="002B727C"/>
    <w:rsid w:val="002B7290"/>
    <w:rsid w:val="002B759A"/>
    <w:rsid w:val="002B75F0"/>
    <w:rsid w:val="002B791F"/>
    <w:rsid w:val="002B7A08"/>
    <w:rsid w:val="002B7A40"/>
    <w:rsid w:val="002B7D0F"/>
    <w:rsid w:val="002C0925"/>
    <w:rsid w:val="002C09A1"/>
    <w:rsid w:val="002C0C28"/>
    <w:rsid w:val="002C12A0"/>
    <w:rsid w:val="002C12C3"/>
    <w:rsid w:val="002C147A"/>
    <w:rsid w:val="002C1B36"/>
    <w:rsid w:val="002C2002"/>
    <w:rsid w:val="002C233F"/>
    <w:rsid w:val="002C2364"/>
    <w:rsid w:val="002C2671"/>
    <w:rsid w:val="002C26C5"/>
    <w:rsid w:val="002C3120"/>
    <w:rsid w:val="002C3476"/>
    <w:rsid w:val="002C3761"/>
    <w:rsid w:val="002C37DB"/>
    <w:rsid w:val="002C4412"/>
    <w:rsid w:val="002C46F2"/>
    <w:rsid w:val="002C4727"/>
    <w:rsid w:val="002C5194"/>
    <w:rsid w:val="002C5792"/>
    <w:rsid w:val="002C5BC0"/>
    <w:rsid w:val="002C5E19"/>
    <w:rsid w:val="002C6FA5"/>
    <w:rsid w:val="002C75BE"/>
    <w:rsid w:val="002C7B03"/>
    <w:rsid w:val="002C7C69"/>
    <w:rsid w:val="002D0087"/>
    <w:rsid w:val="002D0736"/>
    <w:rsid w:val="002D09A2"/>
    <w:rsid w:val="002D0EDD"/>
    <w:rsid w:val="002D1889"/>
    <w:rsid w:val="002D1EC9"/>
    <w:rsid w:val="002D2394"/>
    <w:rsid w:val="002D299D"/>
    <w:rsid w:val="002D357B"/>
    <w:rsid w:val="002D3A84"/>
    <w:rsid w:val="002D3B02"/>
    <w:rsid w:val="002D3E46"/>
    <w:rsid w:val="002D3FA4"/>
    <w:rsid w:val="002D459F"/>
    <w:rsid w:val="002D45C3"/>
    <w:rsid w:val="002D4CB3"/>
    <w:rsid w:val="002D4CD9"/>
    <w:rsid w:val="002D51FB"/>
    <w:rsid w:val="002D535E"/>
    <w:rsid w:val="002D687E"/>
    <w:rsid w:val="002D69C3"/>
    <w:rsid w:val="002D7620"/>
    <w:rsid w:val="002D7D5F"/>
    <w:rsid w:val="002E029B"/>
    <w:rsid w:val="002E0E83"/>
    <w:rsid w:val="002E1077"/>
    <w:rsid w:val="002E2B89"/>
    <w:rsid w:val="002E30F1"/>
    <w:rsid w:val="002E3458"/>
    <w:rsid w:val="002E351A"/>
    <w:rsid w:val="002E3823"/>
    <w:rsid w:val="002E3CA4"/>
    <w:rsid w:val="002E429A"/>
    <w:rsid w:val="002E42A1"/>
    <w:rsid w:val="002E4711"/>
    <w:rsid w:val="002E4CEB"/>
    <w:rsid w:val="002E52E0"/>
    <w:rsid w:val="002E5AD3"/>
    <w:rsid w:val="002E5ECA"/>
    <w:rsid w:val="002E5EE1"/>
    <w:rsid w:val="002E62FB"/>
    <w:rsid w:val="002E6677"/>
    <w:rsid w:val="002E6A01"/>
    <w:rsid w:val="002E6E09"/>
    <w:rsid w:val="002E7103"/>
    <w:rsid w:val="002E7472"/>
    <w:rsid w:val="002F0695"/>
    <w:rsid w:val="002F06FC"/>
    <w:rsid w:val="002F07F2"/>
    <w:rsid w:val="002F0B30"/>
    <w:rsid w:val="002F139C"/>
    <w:rsid w:val="002F1809"/>
    <w:rsid w:val="002F1D51"/>
    <w:rsid w:val="002F2042"/>
    <w:rsid w:val="002F3009"/>
    <w:rsid w:val="002F32DC"/>
    <w:rsid w:val="002F339D"/>
    <w:rsid w:val="002F352F"/>
    <w:rsid w:val="002F3750"/>
    <w:rsid w:val="002F3E74"/>
    <w:rsid w:val="002F4123"/>
    <w:rsid w:val="002F44E2"/>
    <w:rsid w:val="002F5B63"/>
    <w:rsid w:val="002F5E26"/>
    <w:rsid w:val="002F6743"/>
    <w:rsid w:val="002F704E"/>
    <w:rsid w:val="002F7B2F"/>
    <w:rsid w:val="002F7E36"/>
    <w:rsid w:val="003003C2"/>
    <w:rsid w:val="00300698"/>
    <w:rsid w:val="0030097C"/>
    <w:rsid w:val="00300C8F"/>
    <w:rsid w:val="00301176"/>
    <w:rsid w:val="0030213C"/>
    <w:rsid w:val="003022DB"/>
    <w:rsid w:val="00302571"/>
    <w:rsid w:val="00302AA0"/>
    <w:rsid w:val="00302F94"/>
    <w:rsid w:val="003033A8"/>
    <w:rsid w:val="0030432B"/>
    <w:rsid w:val="0030450E"/>
    <w:rsid w:val="00304CA4"/>
    <w:rsid w:val="00304F1D"/>
    <w:rsid w:val="00305B31"/>
    <w:rsid w:val="00305EED"/>
    <w:rsid w:val="00305F11"/>
    <w:rsid w:val="00306956"/>
    <w:rsid w:val="00306BF7"/>
    <w:rsid w:val="00306F49"/>
    <w:rsid w:val="00307120"/>
    <w:rsid w:val="00307707"/>
    <w:rsid w:val="00307A8D"/>
    <w:rsid w:val="00310C3F"/>
    <w:rsid w:val="00310D71"/>
    <w:rsid w:val="00310F61"/>
    <w:rsid w:val="00311007"/>
    <w:rsid w:val="00311395"/>
    <w:rsid w:val="00311477"/>
    <w:rsid w:val="00311C2B"/>
    <w:rsid w:val="00311E54"/>
    <w:rsid w:val="00311F03"/>
    <w:rsid w:val="00311F90"/>
    <w:rsid w:val="003121DE"/>
    <w:rsid w:val="003124B3"/>
    <w:rsid w:val="00312706"/>
    <w:rsid w:val="00312960"/>
    <w:rsid w:val="0031302D"/>
    <w:rsid w:val="00313168"/>
    <w:rsid w:val="0031392E"/>
    <w:rsid w:val="00313A11"/>
    <w:rsid w:val="00314026"/>
    <w:rsid w:val="0031460D"/>
    <w:rsid w:val="003147D7"/>
    <w:rsid w:val="00314918"/>
    <w:rsid w:val="00314A32"/>
    <w:rsid w:val="00315EBB"/>
    <w:rsid w:val="0031644F"/>
    <w:rsid w:val="00316521"/>
    <w:rsid w:val="00317760"/>
    <w:rsid w:val="0031795F"/>
    <w:rsid w:val="00317F74"/>
    <w:rsid w:val="003203E9"/>
    <w:rsid w:val="0032058C"/>
    <w:rsid w:val="00320C53"/>
    <w:rsid w:val="00320CD8"/>
    <w:rsid w:val="00321722"/>
    <w:rsid w:val="00321913"/>
    <w:rsid w:val="00321999"/>
    <w:rsid w:val="00321A03"/>
    <w:rsid w:val="00321CF6"/>
    <w:rsid w:val="0032266F"/>
    <w:rsid w:val="0032304F"/>
    <w:rsid w:val="003233E2"/>
    <w:rsid w:val="00323791"/>
    <w:rsid w:val="003239BA"/>
    <w:rsid w:val="003239F4"/>
    <w:rsid w:val="0032439B"/>
    <w:rsid w:val="003245C6"/>
    <w:rsid w:val="00324666"/>
    <w:rsid w:val="003247CB"/>
    <w:rsid w:val="00324F2A"/>
    <w:rsid w:val="00325169"/>
    <w:rsid w:val="003254DE"/>
    <w:rsid w:val="003255A0"/>
    <w:rsid w:val="00325643"/>
    <w:rsid w:val="00325C18"/>
    <w:rsid w:val="0032601D"/>
    <w:rsid w:val="003269ED"/>
    <w:rsid w:val="00326EC8"/>
    <w:rsid w:val="003273E3"/>
    <w:rsid w:val="00327687"/>
    <w:rsid w:val="00327F7E"/>
    <w:rsid w:val="0033092F"/>
    <w:rsid w:val="00330FEA"/>
    <w:rsid w:val="00331285"/>
    <w:rsid w:val="00331783"/>
    <w:rsid w:val="00331A3B"/>
    <w:rsid w:val="00331AE8"/>
    <w:rsid w:val="00331C51"/>
    <w:rsid w:val="00331C8C"/>
    <w:rsid w:val="00332882"/>
    <w:rsid w:val="00332B17"/>
    <w:rsid w:val="00332BB1"/>
    <w:rsid w:val="00333199"/>
    <w:rsid w:val="003334F8"/>
    <w:rsid w:val="0033457E"/>
    <w:rsid w:val="0033472C"/>
    <w:rsid w:val="00334EE7"/>
    <w:rsid w:val="0033504A"/>
    <w:rsid w:val="00335673"/>
    <w:rsid w:val="00335708"/>
    <w:rsid w:val="00335E16"/>
    <w:rsid w:val="00336025"/>
    <w:rsid w:val="003363E3"/>
    <w:rsid w:val="00337289"/>
    <w:rsid w:val="0033773A"/>
    <w:rsid w:val="00340A66"/>
    <w:rsid w:val="00341123"/>
    <w:rsid w:val="0034144A"/>
    <w:rsid w:val="0034196E"/>
    <w:rsid w:val="00341A49"/>
    <w:rsid w:val="00342674"/>
    <w:rsid w:val="00342ACF"/>
    <w:rsid w:val="00342E3A"/>
    <w:rsid w:val="00343590"/>
    <w:rsid w:val="0034396C"/>
    <w:rsid w:val="00343DD5"/>
    <w:rsid w:val="003442C4"/>
    <w:rsid w:val="00344AB6"/>
    <w:rsid w:val="00345AE5"/>
    <w:rsid w:val="00345C39"/>
    <w:rsid w:val="00345D99"/>
    <w:rsid w:val="00346796"/>
    <w:rsid w:val="00346BA9"/>
    <w:rsid w:val="00347324"/>
    <w:rsid w:val="003474CA"/>
    <w:rsid w:val="0035050D"/>
    <w:rsid w:val="00350B05"/>
    <w:rsid w:val="00350C1C"/>
    <w:rsid w:val="00350D62"/>
    <w:rsid w:val="00350F88"/>
    <w:rsid w:val="00351357"/>
    <w:rsid w:val="0035140B"/>
    <w:rsid w:val="0035159D"/>
    <w:rsid w:val="0035173F"/>
    <w:rsid w:val="0035208C"/>
    <w:rsid w:val="0035243E"/>
    <w:rsid w:val="003535D3"/>
    <w:rsid w:val="003536DB"/>
    <w:rsid w:val="00353740"/>
    <w:rsid w:val="00353956"/>
    <w:rsid w:val="00353DE6"/>
    <w:rsid w:val="00353EF9"/>
    <w:rsid w:val="003541B1"/>
    <w:rsid w:val="00354954"/>
    <w:rsid w:val="0035531C"/>
    <w:rsid w:val="003563AB"/>
    <w:rsid w:val="003564AD"/>
    <w:rsid w:val="0035655B"/>
    <w:rsid w:val="00356940"/>
    <w:rsid w:val="003571F5"/>
    <w:rsid w:val="00357695"/>
    <w:rsid w:val="00357713"/>
    <w:rsid w:val="00357D0E"/>
    <w:rsid w:val="00361AF7"/>
    <w:rsid w:val="00361CA2"/>
    <w:rsid w:val="00362A5D"/>
    <w:rsid w:val="00362FAA"/>
    <w:rsid w:val="0036374C"/>
    <w:rsid w:val="00363824"/>
    <w:rsid w:val="003638FC"/>
    <w:rsid w:val="003639E9"/>
    <w:rsid w:val="00363E0D"/>
    <w:rsid w:val="0036413A"/>
    <w:rsid w:val="003641F9"/>
    <w:rsid w:val="00364946"/>
    <w:rsid w:val="00364A26"/>
    <w:rsid w:val="00364B35"/>
    <w:rsid w:val="00364BD9"/>
    <w:rsid w:val="00364F63"/>
    <w:rsid w:val="00365EE5"/>
    <w:rsid w:val="00366A45"/>
    <w:rsid w:val="00366C97"/>
    <w:rsid w:val="00366CB4"/>
    <w:rsid w:val="0036733B"/>
    <w:rsid w:val="003673F9"/>
    <w:rsid w:val="00367CC1"/>
    <w:rsid w:val="003701DB"/>
    <w:rsid w:val="00371216"/>
    <w:rsid w:val="00371235"/>
    <w:rsid w:val="00371F1A"/>
    <w:rsid w:val="003721EF"/>
    <w:rsid w:val="00373023"/>
    <w:rsid w:val="0037303C"/>
    <w:rsid w:val="00373284"/>
    <w:rsid w:val="003734F0"/>
    <w:rsid w:val="0037358D"/>
    <w:rsid w:val="00373940"/>
    <w:rsid w:val="00373DF4"/>
    <w:rsid w:val="0037416E"/>
    <w:rsid w:val="00374D68"/>
    <w:rsid w:val="003754B7"/>
    <w:rsid w:val="003759B6"/>
    <w:rsid w:val="00375F9A"/>
    <w:rsid w:val="003761AA"/>
    <w:rsid w:val="0037632B"/>
    <w:rsid w:val="00376493"/>
    <w:rsid w:val="00376F30"/>
    <w:rsid w:val="003774B1"/>
    <w:rsid w:val="003776F8"/>
    <w:rsid w:val="0038005E"/>
    <w:rsid w:val="003800E1"/>
    <w:rsid w:val="003800E4"/>
    <w:rsid w:val="00380482"/>
    <w:rsid w:val="003804C7"/>
    <w:rsid w:val="00380BE0"/>
    <w:rsid w:val="00380CE9"/>
    <w:rsid w:val="003810A6"/>
    <w:rsid w:val="0038151B"/>
    <w:rsid w:val="0038180B"/>
    <w:rsid w:val="0038264B"/>
    <w:rsid w:val="0038285B"/>
    <w:rsid w:val="003828C8"/>
    <w:rsid w:val="0038320C"/>
    <w:rsid w:val="00383A11"/>
    <w:rsid w:val="003844BB"/>
    <w:rsid w:val="00384C9C"/>
    <w:rsid w:val="00384EEB"/>
    <w:rsid w:val="00384F5F"/>
    <w:rsid w:val="00385EAE"/>
    <w:rsid w:val="00385F2A"/>
    <w:rsid w:val="00385FFD"/>
    <w:rsid w:val="003861E2"/>
    <w:rsid w:val="0038625E"/>
    <w:rsid w:val="0038654C"/>
    <w:rsid w:val="00387CD8"/>
    <w:rsid w:val="00390798"/>
    <w:rsid w:val="00390C6C"/>
    <w:rsid w:val="003914BF"/>
    <w:rsid w:val="00391552"/>
    <w:rsid w:val="00391953"/>
    <w:rsid w:val="00392687"/>
    <w:rsid w:val="003929EA"/>
    <w:rsid w:val="00392B57"/>
    <w:rsid w:val="00392C0F"/>
    <w:rsid w:val="00393481"/>
    <w:rsid w:val="00394B6C"/>
    <w:rsid w:val="00395099"/>
    <w:rsid w:val="00395710"/>
    <w:rsid w:val="0039594F"/>
    <w:rsid w:val="00397462"/>
    <w:rsid w:val="0039747E"/>
    <w:rsid w:val="00397762"/>
    <w:rsid w:val="00397811"/>
    <w:rsid w:val="0039788C"/>
    <w:rsid w:val="00397B92"/>
    <w:rsid w:val="00397E3E"/>
    <w:rsid w:val="00397FD1"/>
    <w:rsid w:val="003A0381"/>
    <w:rsid w:val="003A03C0"/>
    <w:rsid w:val="003A040B"/>
    <w:rsid w:val="003A04CF"/>
    <w:rsid w:val="003A04ED"/>
    <w:rsid w:val="003A06CE"/>
    <w:rsid w:val="003A110F"/>
    <w:rsid w:val="003A125C"/>
    <w:rsid w:val="003A176B"/>
    <w:rsid w:val="003A1D73"/>
    <w:rsid w:val="003A2DFF"/>
    <w:rsid w:val="003A34C1"/>
    <w:rsid w:val="003A3580"/>
    <w:rsid w:val="003A3783"/>
    <w:rsid w:val="003A3D48"/>
    <w:rsid w:val="003A3F54"/>
    <w:rsid w:val="003A48AC"/>
    <w:rsid w:val="003A4CFE"/>
    <w:rsid w:val="003A555E"/>
    <w:rsid w:val="003A58D8"/>
    <w:rsid w:val="003A5E42"/>
    <w:rsid w:val="003A60FE"/>
    <w:rsid w:val="003A612C"/>
    <w:rsid w:val="003A6348"/>
    <w:rsid w:val="003A66DB"/>
    <w:rsid w:val="003A6B98"/>
    <w:rsid w:val="003A6D8F"/>
    <w:rsid w:val="003A7406"/>
    <w:rsid w:val="003A7EF9"/>
    <w:rsid w:val="003B0D26"/>
    <w:rsid w:val="003B0DE2"/>
    <w:rsid w:val="003B0F17"/>
    <w:rsid w:val="003B0FFC"/>
    <w:rsid w:val="003B15C2"/>
    <w:rsid w:val="003B1D40"/>
    <w:rsid w:val="003B2288"/>
    <w:rsid w:val="003B236C"/>
    <w:rsid w:val="003B291F"/>
    <w:rsid w:val="003B2C02"/>
    <w:rsid w:val="003B3188"/>
    <w:rsid w:val="003B318A"/>
    <w:rsid w:val="003B3726"/>
    <w:rsid w:val="003B3DA2"/>
    <w:rsid w:val="003B45D3"/>
    <w:rsid w:val="003B5974"/>
    <w:rsid w:val="003B59A3"/>
    <w:rsid w:val="003B5C7E"/>
    <w:rsid w:val="003B5D2E"/>
    <w:rsid w:val="003B5DA1"/>
    <w:rsid w:val="003B5EDA"/>
    <w:rsid w:val="003B5F0B"/>
    <w:rsid w:val="003B67B0"/>
    <w:rsid w:val="003B688E"/>
    <w:rsid w:val="003B7214"/>
    <w:rsid w:val="003B7226"/>
    <w:rsid w:val="003B739A"/>
    <w:rsid w:val="003B748B"/>
    <w:rsid w:val="003B76A9"/>
    <w:rsid w:val="003B7926"/>
    <w:rsid w:val="003B7C8A"/>
    <w:rsid w:val="003B7DC9"/>
    <w:rsid w:val="003C0473"/>
    <w:rsid w:val="003C056B"/>
    <w:rsid w:val="003C10BD"/>
    <w:rsid w:val="003C14BF"/>
    <w:rsid w:val="003C1BBF"/>
    <w:rsid w:val="003C1DFC"/>
    <w:rsid w:val="003C23E2"/>
    <w:rsid w:val="003C2861"/>
    <w:rsid w:val="003C2941"/>
    <w:rsid w:val="003C3021"/>
    <w:rsid w:val="003C3BAE"/>
    <w:rsid w:val="003C4016"/>
    <w:rsid w:val="003C4309"/>
    <w:rsid w:val="003C5052"/>
    <w:rsid w:val="003C50ED"/>
    <w:rsid w:val="003C519F"/>
    <w:rsid w:val="003C535E"/>
    <w:rsid w:val="003C5AFF"/>
    <w:rsid w:val="003C62DB"/>
    <w:rsid w:val="003C6E58"/>
    <w:rsid w:val="003C7103"/>
    <w:rsid w:val="003C72DD"/>
    <w:rsid w:val="003C74D0"/>
    <w:rsid w:val="003C74D1"/>
    <w:rsid w:val="003C7500"/>
    <w:rsid w:val="003C7850"/>
    <w:rsid w:val="003C7A90"/>
    <w:rsid w:val="003D0034"/>
    <w:rsid w:val="003D05E1"/>
    <w:rsid w:val="003D0635"/>
    <w:rsid w:val="003D06E1"/>
    <w:rsid w:val="003D09E0"/>
    <w:rsid w:val="003D1255"/>
    <w:rsid w:val="003D1670"/>
    <w:rsid w:val="003D27DE"/>
    <w:rsid w:val="003D292B"/>
    <w:rsid w:val="003D2E97"/>
    <w:rsid w:val="003D3104"/>
    <w:rsid w:val="003D31DC"/>
    <w:rsid w:val="003D3E20"/>
    <w:rsid w:val="003D3E93"/>
    <w:rsid w:val="003D4380"/>
    <w:rsid w:val="003D49AD"/>
    <w:rsid w:val="003D51CF"/>
    <w:rsid w:val="003D51FC"/>
    <w:rsid w:val="003D5317"/>
    <w:rsid w:val="003D573D"/>
    <w:rsid w:val="003D579F"/>
    <w:rsid w:val="003D58F5"/>
    <w:rsid w:val="003D6194"/>
    <w:rsid w:val="003D67BF"/>
    <w:rsid w:val="003D6BB7"/>
    <w:rsid w:val="003D7471"/>
    <w:rsid w:val="003E10C0"/>
    <w:rsid w:val="003E1122"/>
    <w:rsid w:val="003E1510"/>
    <w:rsid w:val="003E2A9E"/>
    <w:rsid w:val="003E2F40"/>
    <w:rsid w:val="003E31C5"/>
    <w:rsid w:val="003E3B20"/>
    <w:rsid w:val="003E47C9"/>
    <w:rsid w:val="003E4DD2"/>
    <w:rsid w:val="003E50A4"/>
    <w:rsid w:val="003E6857"/>
    <w:rsid w:val="003E6DBD"/>
    <w:rsid w:val="003E784B"/>
    <w:rsid w:val="003E7C34"/>
    <w:rsid w:val="003F1061"/>
    <w:rsid w:val="003F1B08"/>
    <w:rsid w:val="003F1B2A"/>
    <w:rsid w:val="003F203B"/>
    <w:rsid w:val="003F29F3"/>
    <w:rsid w:val="003F2B8B"/>
    <w:rsid w:val="003F2C03"/>
    <w:rsid w:val="003F3AD1"/>
    <w:rsid w:val="003F461D"/>
    <w:rsid w:val="003F52F1"/>
    <w:rsid w:val="003F5791"/>
    <w:rsid w:val="003F6CBF"/>
    <w:rsid w:val="003F6D14"/>
    <w:rsid w:val="003F70E7"/>
    <w:rsid w:val="003F72CF"/>
    <w:rsid w:val="003F7794"/>
    <w:rsid w:val="003F7BCF"/>
    <w:rsid w:val="003F7BE4"/>
    <w:rsid w:val="003F7D79"/>
    <w:rsid w:val="003F7D85"/>
    <w:rsid w:val="003F7FC7"/>
    <w:rsid w:val="0040067C"/>
    <w:rsid w:val="00400A7A"/>
    <w:rsid w:val="00400B07"/>
    <w:rsid w:val="0040128B"/>
    <w:rsid w:val="00401443"/>
    <w:rsid w:val="00401621"/>
    <w:rsid w:val="004017DF"/>
    <w:rsid w:val="0040191F"/>
    <w:rsid w:val="00401B1F"/>
    <w:rsid w:val="00401E7F"/>
    <w:rsid w:val="00402C06"/>
    <w:rsid w:val="00402E2E"/>
    <w:rsid w:val="00402EBB"/>
    <w:rsid w:val="00402F7C"/>
    <w:rsid w:val="00403070"/>
    <w:rsid w:val="00403131"/>
    <w:rsid w:val="00403B14"/>
    <w:rsid w:val="004040AA"/>
    <w:rsid w:val="00405A88"/>
    <w:rsid w:val="00405DD5"/>
    <w:rsid w:val="00405FC7"/>
    <w:rsid w:val="00406DB2"/>
    <w:rsid w:val="00407282"/>
    <w:rsid w:val="00407398"/>
    <w:rsid w:val="00407C5B"/>
    <w:rsid w:val="004101F8"/>
    <w:rsid w:val="004102CA"/>
    <w:rsid w:val="00411678"/>
    <w:rsid w:val="00411BFA"/>
    <w:rsid w:val="00411CD5"/>
    <w:rsid w:val="00411D4F"/>
    <w:rsid w:val="00411D52"/>
    <w:rsid w:val="00413289"/>
    <w:rsid w:val="004135C1"/>
    <w:rsid w:val="00414AEB"/>
    <w:rsid w:val="00414D95"/>
    <w:rsid w:val="004157F3"/>
    <w:rsid w:val="00417412"/>
    <w:rsid w:val="00417E1D"/>
    <w:rsid w:val="00420646"/>
    <w:rsid w:val="00420A0C"/>
    <w:rsid w:val="004225CC"/>
    <w:rsid w:val="00422996"/>
    <w:rsid w:val="00422A56"/>
    <w:rsid w:val="00422A73"/>
    <w:rsid w:val="00422BFE"/>
    <w:rsid w:val="0042343F"/>
    <w:rsid w:val="00423571"/>
    <w:rsid w:val="00423B24"/>
    <w:rsid w:val="00423BBA"/>
    <w:rsid w:val="004243F8"/>
    <w:rsid w:val="00424B7F"/>
    <w:rsid w:val="00424EAC"/>
    <w:rsid w:val="004252D6"/>
    <w:rsid w:val="004258CB"/>
    <w:rsid w:val="00425E3B"/>
    <w:rsid w:val="00426EA3"/>
    <w:rsid w:val="00427018"/>
    <w:rsid w:val="0042720D"/>
    <w:rsid w:val="00427ACA"/>
    <w:rsid w:val="00427E41"/>
    <w:rsid w:val="004302A1"/>
    <w:rsid w:val="00430785"/>
    <w:rsid w:val="00430C88"/>
    <w:rsid w:val="00431757"/>
    <w:rsid w:val="0043204B"/>
    <w:rsid w:val="004324DE"/>
    <w:rsid w:val="0043287E"/>
    <w:rsid w:val="00432BFE"/>
    <w:rsid w:val="00433708"/>
    <w:rsid w:val="00435478"/>
    <w:rsid w:val="00435CD6"/>
    <w:rsid w:val="00435E54"/>
    <w:rsid w:val="00435EE2"/>
    <w:rsid w:val="00435EF9"/>
    <w:rsid w:val="00436826"/>
    <w:rsid w:val="00436973"/>
    <w:rsid w:val="00436F1A"/>
    <w:rsid w:val="00437A29"/>
    <w:rsid w:val="00437DBB"/>
    <w:rsid w:val="00437F76"/>
    <w:rsid w:val="00440B9F"/>
    <w:rsid w:val="00441090"/>
    <w:rsid w:val="00441635"/>
    <w:rsid w:val="00441E0D"/>
    <w:rsid w:val="004421C8"/>
    <w:rsid w:val="00442B38"/>
    <w:rsid w:val="00442C98"/>
    <w:rsid w:val="00444156"/>
    <w:rsid w:val="0044504D"/>
    <w:rsid w:val="004451F6"/>
    <w:rsid w:val="00445694"/>
    <w:rsid w:val="00445714"/>
    <w:rsid w:val="0044586F"/>
    <w:rsid w:val="00445A8A"/>
    <w:rsid w:val="00445C58"/>
    <w:rsid w:val="00445D35"/>
    <w:rsid w:val="00445E44"/>
    <w:rsid w:val="00446253"/>
    <w:rsid w:val="00446310"/>
    <w:rsid w:val="004463BA"/>
    <w:rsid w:val="00446BA0"/>
    <w:rsid w:val="00447968"/>
    <w:rsid w:val="004505B5"/>
    <w:rsid w:val="004507DE"/>
    <w:rsid w:val="00451037"/>
    <w:rsid w:val="004511D6"/>
    <w:rsid w:val="00452CF1"/>
    <w:rsid w:val="00452E5C"/>
    <w:rsid w:val="00452E83"/>
    <w:rsid w:val="00453205"/>
    <w:rsid w:val="0045357A"/>
    <w:rsid w:val="00453694"/>
    <w:rsid w:val="004545B7"/>
    <w:rsid w:val="004546C4"/>
    <w:rsid w:val="00454BA4"/>
    <w:rsid w:val="004552F0"/>
    <w:rsid w:val="004554CC"/>
    <w:rsid w:val="00455645"/>
    <w:rsid w:val="00455973"/>
    <w:rsid w:val="00455D35"/>
    <w:rsid w:val="00455F26"/>
    <w:rsid w:val="00455FD2"/>
    <w:rsid w:val="004574C5"/>
    <w:rsid w:val="004576CE"/>
    <w:rsid w:val="0045781D"/>
    <w:rsid w:val="00457A10"/>
    <w:rsid w:val="0046007A"/>
    <w:rsid w:val="00461380"/>
    <w:rsid w:val="00461445"/>
    <w:rsid w:val="0046144C"/>
    <w:rsid w:val="0046145B"/>
    <w:rsid w:val="00461772"/>
    <w:rsid w:val="00461890"/>
    <w:rsid w:val="00461B73"/>
    <w:rsid w:val="00461CA2"/>
    <w:rsid w:val="00462A5B"/>
    <w:rsid w:val="00462B13"/>
    <w:rsid w:val="00462D99"/>
    <w:rsid w:val="00464077"/>
    <w:rsid w:val="004641BB"/>
    <w:rsid w:val="0046437E"/>
    <w:rsid w:val="00464556"/>
    <w:rsid w:val="00464D0F"/>
    <w:rsid w:val="0046585B"/>
    <w:rsid w:val="00465A07"/>
    <w:rsid w:val="0046684D"/>
    <w:rsid w:val="00466869"/>
    <w:rsid w:val="00466A5F"/>
    <w:rsid w:val="00467226"/>
    <w:rsid w:val="00467664"/>
    <w:rsid w:val="00467904"/>
    <w:rsid w:val="00467D26"/>
    <w:rsid w:val="00471248"/>
    <w:rsid w:val="0047136B"/>
    <w:rsid w:val="00471AA1"/>
    <w:rsid w:val="00471DF7"/>
    <w:rsid w:val="00471F1B"/>
    <w:rsid w:val="00471F81"/>
    <w:rsid w:val="004723E1"/>
    <w:rsid w:val="00472598"/>
    <w:rsid w:val="00472AC4"/>
    <w:rsid w:val="00472E15"/>
    <w:rsid w:val="004733E1"/>
    <w:rsid w:val="0047356D"/>
    <w:rsid w:val="004735EA"/>
    <w:rsid w:val="00474379"/>
    <w:rsid w:val="00474514"/>
    <w:rsid w:val="00474ACD"/>
    <w:rsid w:val="00475425"/>
    <w:rsid w:val="004758FB"/>
    <w:rsid w:val="00475BB9"/>
    <w:rsid w:val="004765EE"/>
    <w:rsid w:val="00476AC8"/>
    <w:rsid w:val="00476F17"/>
    <w:rsid w:val="004772C7"/>
    <w:rsid w:val="00477B2F"/>
    <w:rsid w:val="0048015B"/>
    <w:rsid w:val="0048032F"/>
    <w:rsid w:val="004806E3"/>
    <w:rsid w:val="004811F6"/>
    <w:rsid w:val="00481A8D"/>
    <w:rsid w:val="00481BA4"/>
    <w:rsid w:val="00481E03"/>
    <w:rsid w:val="00481F81"/>
    <w:rsid w:val="004823D3"/>
    <w:rsid w:val="0048311B"/>
    <w:rsid w:val="00483493"/>
    <w:rsid w:val="004834FA"/>
    <w:rsid w:val="00483DA0"/>
    <w:rsid w:val="004842EA"/>
    <w:rsid w:val="00484408"/>
    <w:rsid w:val="0048578B"/>
    <w:rsid w:val="0048629A"/>
    <w:rsid w:val="00486417"/>
    <w:rsid w:val="004865A7"/>
    <w:rsid w:val="00486A2B"/>
    <w:rsid w:val="00486D51"/>
    <w:rsid w:val="004873F1"/>
    <w:rsid w:val="0048746A"/>
    <w:rsid w:val="00487DAE"/>
    <w:rsid w:val="00487F11"/>
    <w:rsid w:val="00490578"/>
    <w:rsid w:val="00490896"/>
    <w:rsid w:val="00490EE2"/>
    <w:rsid w:val="0049109F"/>
    <w:rsid w:val="00492092"/>
    <w:rsid w:val="004922F1"/>
    <w:rsid w:val="00492385"/>
    <w:rsid w:val="00492443"/>
    <w:rsid w:val="00492455"/>
    <w:rsid w:val="00492B05"/>
    <w:rsid w:val="00492CA1"/>
    <w:rsid w:val="00493415"/>
    <w:rsid w:val="00493A22"/>
    <w:rsid w:val="004941AF"/>
    <w:rsid w:val="0049479B"/>
    <w:rsid w:val="00494C3A"/>
    <w:rsid w:val="00494D9E"/>
    <w:rsid w:val="004959E0"/>
    <w:rsid w:val="00495F31"/>
    <w:rsid w:val="00496186"/>
    <w:rsid w:val="004964A3"/>
    <w:rsid w:val="0049671D"/>
    <w:rsid w:val="004969D5"/>
    <w:rsid w:val="00496BF0"/>
    <w:rsid w:val="00496D13"/>
    <w:rsid w:val="00496E7F"/>
    <w:rsid w:val="004970FF"/>
    <w:rsid w:val="004972BE"/>
    <w:rsid w:val="00497BE9"/>
    <w:rsid w:val="004A0DBB"/>
    <w:rsid w:val="004A105E"/>
    <w:rsid w:val="004A1B15"/>
    <w:rsid w:val="004A1E00"/>
    <w:rsid w:val="004A2056"/>
    <w:rsid w:val="004A2653"/>
    <w:rsid w:val="004A2934"/>
    <w:rsid w:val="004A29C9"/>
    <w:rsid w:val="004A2D23"/>
    <w:rsid w:val="004A2FC3"/>
    <w:rsid w:val="004A3018"/>
    <w:rsid w:val="004A3116"/>
    <w:rsid w:val="004A39C4"/>
    <w:rsid w:val="004A3BF5"/>
    <w:rsid w:val="004A3F7E"/>
    <w:rsid w:val="004A443F"/>
    <w:rsid w:val="004A48B4"/>
    <w:rsid w:val="004A4CD6"/>
    <w:rsid w:val="004A4D2C"/>
    <w:rsid w:val="004A65E3"/>
    <w:rsid w:val="004A661D"/>
    <w:rsid w:val="004A6698"/>
    <w:rsid w:val="004A6842"/>
    <w:rsid w:val="004A69B0"/>
    <w:rsid w:val="004A7181"/>
    <w:rsid w:val="004A739B"/>
    <w:rsid w:val="004A76EA"/>
    <w:rsid w:val="004A7DB2"/>
    <w:rsid w:val="004A7E9B"/>
    <w:rsid w:val="004B06BA"/>
    <w:rsid w:val="004B0B0D"/>
    <w:rsid w:val="004B0D33"/>
    <w:rsid w:val="004B124D"/>
    <w:rsid w:val="004B163D"/>
    <w:rsid w:val="004B1869"/>
    <w:rsid w:val="004B18D0"/>
    <w:rsid w:val="004B1B8F"/>
    <w:rsid w:val="004B1BB1"/>
    <w:rsid w:val="004B1F36"/>
    <w:rsid w:val="004B2036"/>
    <w:rsid w:val="004B223E"/>
    <w:rsid w:val="004B236A"/>
    <w:rsid w:val="004B2ABF"/>
    <w:rsid w:val="004B31EA"/>
    <w:rsid w:val="004B3529"/>
    <w:rsid w:val="004B3715"/>
    <w:rsid w:val="004B3B94"/>
    <w:rsid w:val="004B3E09"/>
    <w:rsid w:val="004B4524"/>
    <w:rsid w:val="004B45F6"/>
    <w:rsid w:val="004B4B31"/>
    <w:rsid w:val="004B4DF9"/>
    <w:rsid w:val="004B51B6"/>
    <w:rsid w:val="004B62EE"/>
    <w:rsid w:val="004B63DE"/>
    <w:rsid w:val="004B69A8"/>
    <w:rsid w:val="004B69F2"/>
    <w:rsid w:val="004B70F9"/>
    <w:rsid w:val="004C01F0"/>
    <w:rsid w:val="004C08B5"/>
    <w:rsid w:val="004C0D69"/>
    <w:rsid w:val="004C10B0"/>
    <w:rsid w:val="004C1291"/>
    <w:rsid w:val="004C1521"/>
    <w:rsid w:val="004C19D6"/>
    <w:rsid w:val="004C1A60"/>
    <w:rsid w:val="004C1ACD"/>
    <w:rsid w:val="004C1CD6"/>
    <w:rsid w:val="004C2FD0"/>
    <w:rsid w:val="004C409E"/>
    <w:rsid w:val="004C41DD"/>
    <w:rsid w:val="004C42F8"/>
    <w:rsid w:val="004C4304"/>
    <w:rsid w:val="004C4328"/>
    <w:rsid w:val="004C47C9"/>
    <w:rsid w:val="004C50F1"/>
    <w:rsid w:val="004C59B0"/>
    <w:rsid w:val="004C5F48"/>
    <w:rsid w:val="004C64D3"/>
    <w:rsid w:val="004C68F6"/>
    <w:rsid w:val="004C728B"/>
    <w:rsid w:val="004C7562"/>
    <w:rsid w:val="004C7B3A"/>
    <w:rsid w:val="004D00DA"/>
    <w:rsid w:val="004D04FC"/>
    <w:rsid w:val="004D0B91"/>
    <w:rsid w:val="004D0DD0"/>
    <w:rsid w:val="004D0E2B"/>
    <w:rsid w:val="004D17DA"/>
    <w:rsid w:val="004D1FD9"/>
    <w:rsid w:val="004D201B"/>
    <w:rsid w:val="004D3DC0"/>
    <w:rsid w:val="004D3FD5"/>
    <w:rsid w:val="004D50AE"/>
    <w:rsid w:val="004D5257"/>
    <w:rsid w:val="004D5262"/>
    <w:rsid w:val="004D551C"/>
    <w:rsid w:val="004D5896"/>
    <w:rsid w:val="004D5BC0"/>
    <w:rsid w:val="004D5E57"/>
    <w:rsid w:val="004D633B"/>
    <w:rsid w:val="004D719D"/>
    <w:rsid w:val="004D7938"/>
    <w:rsid w:val="004D7BCE"/>
    <w:rsid w:val="004E0480"/>
    <w:rsid w:val="004E05A7"/>
    <w:rsid w:val="004E1211"/>
    <w:rsid w:val="004E2BD0"/>
    <w:rsid w:val="004E30DF"/>
    <w:rsid w:val="004E3521"/>
    <w:rsid w:val="004E3536"/>
    <w:rsid w:val="004E38AB"/>
    <w:rsid w:val="004E3DAF"/>
    <w:rsid w:val="004E4815"/>
    <w:rsid w:val="004E4948"/>
    <w:rsid w:val="004E54ED"/>
    <w:rsid w:val="004E6217"/>
    <w:rsid w:val="004E6386"/>
    <w:rsid w:val="004E6729"/>
    <w:rsid w:val="004E6EE6"/>
    <w:rsid w:val="004E6F95"/>
    <w:rsid w:val="004E7714"/>
    <w:rsid w:val="004E788F"/>
    <w:rsid w:val="004E79F6"/>
    <w:rsid w:val="004E7C4B"/>
    <w:rsid w:val="004E7CA8"/>
    <w:rsid w:val="004F013B"/>
    <w:rsid w:val="004F052E"/>
    <w:rsid w:val="004F0576"/>
    <w:rsid w:val="004F076A"/>
    <w:rsid w:val="004F07BB"/>
    <w:rsid w:val="004F096E"/>
    <w:rsid w:val="004F0EBA"/>
    <w:rsid w:val="004F16CA"/>
    <w:rsid w:val="004F1CE6"/>
    <w:rsid w:val="004F1D17"/>
    <w:rsid w:val="004F1D7C"/>
    <w:rsid w:val="004F20A0"/>
    <w:rsid w:val="004F24A2"/>
    <w:rsid w:val="004F2BB4"/>
    <w:rsid w:val="004F4173"/>
    <w:rsid w:val="004F4658"/>
    <w:rsid w:val="004F4664"/>
    <w:rsid w:val="004F4A03"/>
    <w:rsid w:val="004F4CAE"/>
    <w:rsid w:val="004F4E5F"/>
    <w:rsid w:val="004F4EA7"/>
    <w:rsid w:val="004F55BC"/>
    <w:rsid w:val="004F6786"/>
    <w:rsid w:val="004F6A18"/>
    <w:rsid w:val="004F7BBE"/>
    <w:rsid w:val="00500419"/>
    <w:rsid w:val="005009A3"/>
    <w:rsid w:val="005009A5"/>
    <w:rsid w:val="005009D2"/>
    <w:rsid w:val="0050116D"/>
    <w:rsid w:val="00501AAD"/>
    <w:rsid w:val="0050268A"/>
    <w:rsid w:val="00503045"/>
    <w:rsid w:val="005030E1"/>
    <w:rsid w:val="00503B1D"/>
    <w:rsid w:val="00503BAB"/>
    <w:rsid w:val="00503BB3"/>
    <w:rsid w:val="00504416"/>
    <w:rsid w:val="0050464D"/>
    <w:rsid w:val="00504936"/>
    <w:rsid w:val="005054F2"/>
    <w:rsid w:val="00505FAE"/>
    <w:rsid w:val="0050620D"/>
    <w:rsid w:val="00506D29"/>
    <w:rsid w:val="00507A35"/>
    <w:rsid w:val="00507D52"/>
    <w:rsid w:val="005114A6"/>
    <w:rsid w:val="0051193F"/>
    <w:rsid w:val="00511EEA"/>
    <w:rsid w:val="005132D0"/>
    <w:rsid w:val="0051330B"/>
    <w:rsid w:val="00513613"/>
    <w:rsid w:val="005139E9"/>
    <w:rsid w:val="00513D62"/>
    <w:rsid w:val="00514081"/>
    <w:rsid w:val="0051500E"/>
    <w:rsid w:val="0051501B"/>
    <w:rsid w:val="0051508E"/>
    <w:rsid w:val="005151DE"/>
    <w:rsid w:val="005170E0"/>
    <w:rsid w:val="0051781A"/>
    <w:rsid w:val="00520908"/>
    <w:rsid w:val="00521939"/>
    <w:rsid w:val="00521A65"/>
    <w:rsid w:val="00521F8B"/>
    <w:rsid w:val="005221D5"/>
    <w:rsid w:val="00522759"/>
    <w:rsid w:val="00522F39"/>
    <w:rsid w:val="005236AA"/>
    <w:rsid w:val="00523B2C"/>
    <w:rsid w:val="00523E5E"/>
    <w:rsid w:val="00523E80"/>
    <w:rsid w:val="005245E9"/>
    <w:rsid w:val="005257F1"/>
    <w:rsid w:val="00525B37"/>
    <w:rsid w:val="005267B4"/>
    <w:rsid w:val="00527D98"/>
    <w:rsid w:val="00527F99"/>
    <w:rsid w:val="00527FCD"/>
    <w:rsid w:val="0053124C"/>
    <w:rsid w:val="005315E0"/>
    <w:rsid w:val="00531682"/>
    <w:rsid w:val="005319CA"/>
    <w:rsid w:val="005319F5"/>
    <w:rsid w:val="00531C32"/>
    <w:rsid w:val="0053241E"/>
    <w:rsid w:val="00532D34"/>
    <w:rsid w:val="00533148"/>
    <w:rsid w:val="005335E3"/>
    <w:rsid w:val="005336D1"/>
    <w:rsid w:val="00533750"/>
    <w:rsid w:val="00534E66"/>
    <w:rsid w:val="00535436"/>
    <w:rsid w:val="005358EE"/>
    <w:rsid w:val="00535B7C"/>
    <w:rsid w:val="00535D1B"/>
    <w:rsid w:val="00536209"/>
    <w:rsid w:val="005362A6"/>
    <w:rsid w:val="00536855"/>
    <w:rsid w:val="00536DA4"/>
    <w:rsid w:val="00537413"/>
    <w:rsid w:val="005374D9"/>
    <w:rsid w:val="00537C5A"/>
    <w:rsid w:val="00537E5E"/>
    <w:rsid w:val="00540091"/>
    <w:rsid w:val="00540B15"/>
    <w:rsid w:val="00541470"/>
    <w:rsid w:val="00541D93"/>
    <w:rsid w:val="00542153"/>
    <w:rsid w:val="0054222E"/>
    <w:rsid w:val="00542830"/>
    <w:rsid w:val="00542A21"/>
    <w:rsid w:val="00542CE5"/>
    <w:rsid w:val="00542F11"/>
    <w:rsid w:val="00543110"/>
    <w:rsid w:val="005435A5"/>
    <w:rsid w:val="005440B5"/>
    <w:rsid w:val="005442C0"/>
    <w:rsid w:val="00544A21"/>
    <w:rsid w:val="00544A77"/>
    <w:rsid w:val="00544EDB"/>
    <w:rsid w:val="005455E7"/>
    <w:rsid w:val="0054593A"/>
    <w:rsid w:val="00545E5E"/>
    <w:rsid w:val="00546193"/>
    <w:rsid w:val="0054683D"/>
    <w:rsid w:val="00546A4C"/>
    <w:rsid w:val="00546E50"/>
    <w:rsid w:val="00547623"/>
    <w:rsid w:val="005505EA"/>
    <w:rsid w:val="00550CB8"/>
    <w:rsid w:val="00550F36"/>
    <w:rsid w:val="00551536"/>
    <w:rsid w:val="0055289D"/>
    <w:rsid w:val="00552AE3"/>
    <w:rsid w:val="00552CA2"/>
    <w:rsid w:val="005534B8"/>
    <w:rsid w:val="005536D8"/>
    <w:rsid w:val="005537B0"/>
    <w:rsid w:val="00553932"/>
    <w:rsid w:val="00553973"/>
    <w:rsid w:val="00553B6A"/>
    <w:rsid w:val="00553BDE"/>
    <w:rsid w:val="00553FA1"/>
    <w:rsid w:val="00554424"/>
    <w:rsid w:val="005548B8"/>
    <w:rsid w:val="005551CB"/>
    <w:rsid w:val="0055548A"/>
    <w:rsid w:val="00555662"/>
    <w:rsid w:val="00555806"/>
    <w:rsid w:val="00555822"/>
    <w:rsid w:val="00555857"/>
    <w:rsid w:val="00555C48"/>
    <w:rsid w:val="00556649"/>
    <w:rsid w:val="00556777"/>
    <w:rsid w:val="005568C6"/>
    <w:rsid w:val="00556E47"/>
    <w:rsid w:val="00556E94"/>
    <w:rsid w:val="005576D7"/>
    <w:rsid w:val="00557F42"/>
    <w:rsid w:val="00560ABA"/>
    <w:rsid w:val="0056114C"/>
    <w:rsid w:val="0056121A"/>
    <w:rsid w:val="0056130F"/>
    <w:rsid w:val="00561320"/>
    <w:rsid w:val="0056168C"/>
    <w:rsid w:val="00561F9D"/>
    <w:rsid w:val="00562527"/>
    <w:rsid w:val="005628B2"/>
    <w:rsid w:val="00562CCC"/>
    <w:rsid w:val="00562F5F"/>
    <w:rsid w:val="00563099"/>
    <w:rsid w:val="0056311A"/>
    <w:rsid w:val="005631D3"/>
    <w:rsid w:val="00563B2E"/>
    <w:rsid w:val="005640E0"/>
    <w:rsid w:val="0056412F"/>
    <w:rsid w:val="0056692A"/>
    <w:rsid w:val="00566A4A"/>
    <w:rsid w:val="00566A72"/>
    <w:rsid w:val="00567E12"/>
    <w:rsid w:val="00567EFE"/>
    <w:rsid w:val="00571272"/>
    <w:rsid w:val="00571E61"/>
    <w:rsid w:val="00571F78"/>
    <w:rsid w:val="0057245D"/>
    <w:rsid w:val="00572787"/>
    <w:rsid w:val="0057369D"/>
    <w:rsid w:val="00573C1E"/>
    <w:rsid w:val="00574140"/>
    <w:rsid w:val="005744ED"/>
    <w:rsid w:val="00574F78"/>
    <w:rsid w:val="00574FE5"/>
    <w:rsid w:val="005756EC"/>
    <w:rsid w:val="005759DB"/>
    <w:rsid w:val="00576A31"/>
    <w:rsid w:val="00576D91"/>
    <w:rsid w:val="00576DBF"/>
    <w:rsid w:val="00576FF5"/>
    <w:rsid w:val="0057706C"/>
    <w:rsid w:val="0057744C"/>
    <w:rsid w:val="005777B9"/>
    <w:rsid w:val="00580196"/>
    <w:rsid w:val="00580D47"/>
    <w:rsid w:val="00580EC2"/>
    <w:rsid w:val="00581253"/>
    <w:rsid w:val="00581355"/>
    <w:rsid w:val="00581EAD"/>
    <w:rsid w:val="005827D7"/>
    <w:rsid w:val="0058293D"/>
    <w:rsid w:val="00582E47"/>
    <w:rsid w:val="005831E0"/>
    <w:rsid w:val="00583980"/>
    <w:rsid w:val="00583984"/>
    <w:rsid w:val="00584601"/>
    <w:rsid w:val="00584635"/>
    <w:rsid w:val="00584682"/>
    <w:rsid w:val="00584B3A"/>
    <w:rsid w:val="00584B73"/>
    <w:rsid w:val="005850E2"/>
    <w:rsid w:val="005856D0"/>
    <w:rsid w:val="0058573D"/>
    <w:rsid w:val="00586341"/>
    <w:rsid w:val="005863E3"/>
    <w:rsid w:val="00586906"/>
    <w:rsid w:val="00586D72"/>
    <w:rsid w:val="00587043"/>
    <w:rsid w:val="00587968"/>
    <w:rsid w:val="00587A19"/>
    <w:rsid w:val="00587A73"/>
    <w:rsid w:val="00587EB8"/>
    <w:rsid w:val="00590098"/>
    <w:rsid w:val="005902D6"/>
    <w:rsid w:val="005902FE"/>
    <w:rsid w:val="0059030F"/>
    <w:rsid w:val="005904BF"/>
    <w:rsid w:val="00590569"/>
    <w:rsid w:val="00590A1A"/>
    <w:rsid w:val="00590A63"/>
    <w:rsid w:val="00590C33"/>
    <w:rsid w:val="00590CC0"/>
    <w:rsid w:val="0059288D"/>
    <w:rsid w:val="00592E04"/>
    <w:rsid w:val="0059314B"/>
    <w:rsid w:val="005933AE"/>
    <w:rsid w:val="00593ACE"/>
    <w:rsid w:val="00593E02"/>
    <w:rsid w:val="00594245"/>
    <w:rsid w:val="00595355"/>
    <w:rsid w:val="00595CE0"/>
    <w:rsid w:val="00596144"/>
    <w:rsid w:val="0059660E"/>
    <w:rsid w:val="005977AC"/>
    <w:rsid w:val="00597870"/>
    <w:rsid w:val="005A04CB"/>
    <w:rsid w:val="005A0CAB"/>
    <w:rsid w:val="005A1860"/>
    <w:rsid w:val="005A1B34"/>
    <w:rsid w:val="005A2261"/>
    <w:rsid w:val="005A35D0"/>
    <w:rsid w:val="005A3828"/>
    <w:rsid w:val="005A3848"/>
    <w:rsid w:val="005A3853"/>
    <w:rsid w:val="005A38A3"/>
    <w:rsid w:val="005A3A53"/>
    <w:rsid w:val="005A3F8E"/>
    <w:rsid w:val="005A42F6"/>
    <w:rsid w:val="005A4570"/>
    <w:rsid w:val="005A4BDD"/>
    <w:rsid w:val="005A4E89"/>
    <w:rsid w:val="005A4E9C"/>
    <w:rsid w:val="005A5025"/>
    <w:rsid w:val="005A590D"/>
    <w:rsid w:val="005A6BC4"/>
    <w:rsid w:val="005A7270"/>
    <w:rsid w:val="005A762B"/>
    <w:rsid w:val="005A7742"/>
    <w:rsid w:val="005A7C1A"/>
    <w:rsid w:val="005B0495"/>
    <w:rsid w:val="005B060C"/>
    <w:rsid w:val="005B076C"/>
    <w:rsid w:val="005B079E"/>
    <w:rsid w:val="005B0D1C"/>
    <w:rsid w:val="005B0E4E"/>
    <w:rsid w:val="005B14F1"/>
    <w:rsid w:val="005B18F3"/>
    <w:rsid w:val="005B1FFA"/>
    <w:rsid w:val="005B2B0E"/>
    <w:rsid w:val="005B31FC"/>
    <w:rsid w:val="005B34FA"/>
    <w:rsid w:val="005B39A6"/>
    <w:rsid w:val="005B40A5"/>
    <w:rsid w:val="005B45AC"/>
    <w:rsid w:val="005B4FE7"/>
    <w:rsid w:val="005B507E"/>
    <w:rsid w:val="005B5569"/>
    <w:rsid w:val="005B5CC7"/>
    <w:rsid w:val="005B5E07"/>
    <w:rsid w:val="005B61CD"/>
    <w:rsid w:val="005B6368"/>
    <w:rsid w:val="005B6448"/>
    <w:rsid w:val="005B66AD"/>
    <w:rsid w:val="005B66F1"/>
    <w:rsid w:val="005B6BF1"/>
    <w:rsid w:val="005B7121"/>
    <w:rsid w:val="005B7B5B"/>
    <w:rsid w:val="005B7D8C"/>
    <w:rsid w:val="005B7E36"/>
    <w:rsid w:val="005B7E62"/>
    <w:rsid w:val="005C02EB"/>
    <w:rsid w:val="005C0737"/>
    <w:rsid w:val="005C0BA9"/>
    <w:rsid w:val="005C0C94"/>
    <w:rsid w:val="005C0E79"/>
    <w:rsid w:val="005C1406"/>
    <w:rsid w:val="005C1AE9"/>
    <w:rsid w:val="005C1C48"/>
    <w:rsid w:val="005C2054"/>
    <w:rsid w:val="005C27F4"/>
    <w:rsid w:val="005C3192"/>
    <w:rsid w:val="005C3A97"/>
    <w:rsid w:val="005C3ADD"/>
    <w:rsid w:val="005C3E0E"/>
    <w:rsid w:val="005C42B4"/>
    <w:rsid w:val="005C4511"/>
    <w:rsid w:val="005C4A39"/>
    <w:rsid w:val="005C525B"/>
    <w:rsid w:val="005C5C50"/>
    <w:rsid w:val="005C6845"/>
    <w:rsid w:val="005C6C67"/>
    <w:rsid w:val="005C71B2"/>
    <w:rsid w:val="005C7CA3"/>
    <w:rsid w:val="005D0191"/>
    <w:rsid w:val="005D03AD"/>
    <w:rsid w:val="005D0511"/>
    <w:rsid w:val="005D0E5A"/>
    <w:rsid w:val="005D149E"/>
    <w:rsid w:val="005D18F4"/>
    <w:rsid w:val="005D194B"/>
    <w:rsid w:val="005D1B4C"/>
    <w:rsid w:val="005D21F2"/>
    <w:rsid w:val="005D234E"/>
    <w:rsid w:val="005D254C"/>
    <w:rsid w:val="005D2811"/>
    <w:rsid w:val="005D2BF5"/>
    <w:rsid w:val="005D2F9F"/>
    <w:rsid w:val="005D38B6"/>
    <w:rsid w:val="005D3DCB"/>
    <w:rsid w:val="005D445F"/>
    <w:rsid w:val="005D44FF"/>
    <w:rsid w:val="005D5633"/>
    <w:rsid w:val="005D573E"/>
    <w:rsid w:val="005D6013"/>
    <w:rsid w:val="005D6061"/>
    <w:rsid w:val="005D6634"/>
    <w:rsid w:val="005D663E"/>
    <w:rsid w:val="005D709D"/>
    <w:rsid w:val="005E05E4"/>
    <w:rsid w:val="005E08BE"/>
    <w:rsid w:val="005E0A4B"/>
    <w:rsid w:val="005E0B9A"/>
    <w:rsid w:val="005E2842"/>
    <w:rsid w:val="005E32D3"/>
    <w:rsid w:val="005E375F"/>
    <w:rsid w:val="005E39F1"/>
    <w:rsid w:val="005E42B1"/>
    <w:rsid w:val="005E4464"/>
    <w:rsid w:val="005E46DA"/>
    <w:rsid w:val="005E4741"/>
    <w:rsid w:val="005E5385"/>
    <w:rsid w:val="005E5563"/>
    <w:rsid w:val="005E5681"/>
    <w:rsid w:val="005E63FB"/>
    <w:rsid w:val="005E65A7"/>
    <w:rsid w:val="005E66AC"/>
    <w:rsid w:val="005E691E"/>
    <w:rsid w:val="005E6B2B"/>
    <w:rsid w:val="005E6D3B"/>
    <w:rsid w:val="005E6E09"/>
    <w:rsid w:val="005E7623"/>
    <w:rsid w:val="005E79B1"/>
    <w:rsid w:val="005E7BAE"/>
    <w:rsid w:val="005E7D4A"/>
    <w:rsid w:val="005F022A"/>
    <w:rsid w:val="005F0E28"/>
    <w:rsid w:val="005F0E29"/>
    <w:rsid w:val="005F145B"/>
    <w:rsid w:val="005F1B59"/>
    <w:rsid w:val="005F1C92"/>
    <w:rsid w:val="005F1CCF"/>
    <w:rsid w:val="005F202E"/>
    <w:rsid w:val="005F21A3"/>
    <w:rsid w:val="005F24B9"/>
    <w:rsid w:val="005F2710"/>
    <w:rsid w:val="005F2F64"/>
    <w:rsid w:val="005F2FEC"/>
    <w:rsid w:val="005F35C4"/>
    <w:rsid w:val="005F35E3"/>
    <w:rsid w:val="005F39B0"/>
    <w:rsid w:val="005F4B17"/>
    <w:rsid w:val="005F4BA9"/>
    <w:rsid w:val="005F4FD1"/>
    <w:rsid w:val="005F55EA"/>
    <w:rsid w:val="005F5EB7"/>
    <w:rsid w:val="005F6063"/>
    <w:rsid w:val="005F67D2"/>
    <w:rsid w:val="005F6A5B"/>
    <w:rsid w:val="005F6D66"/>
    <w:rsid w:val="005F75F0"/>
    <w:rsid w:val="005F7749"/>
    <w:rsid w:val="005F7E64"/>
    <w:rsid w:val="005F7FAB"/>
    <w:rsid w:val="006002BB"/>
    <w:rsid w:val="00600894"/>
    <w:rsid w:val="00600BA0"/>
    <w:rsid w:val="00600E72"/>
    <w:rsid w:val="00600EE5"/>
    <w:rsid w:val="00600F01"/>
    <w:rsid w:val="00601599"/>
    <w:rsid w:val="006018DF"/>
    <w:rsid w:val="00601900"/>
    <w:rsid w:val="00601A76"/>
    <w:rsid w:val="00601B95"/>
    <w:rsid w:val="00601E91"/>
    <w:rsid w:val="006025D7"/>
    <w:rsid w:val="0060287E"/>
    <w:rsid w:val="00602D48"/>
    <w:rsid w:val="00602E96"/>
    <w:rsid w:val="00602F0A"/>
    <w:rsid w:val="00603285"/>
    <w:rsid w:val="00603BD1"/>
    <w:rsid w:val="00603CD5"/>
    <w:rsid w:val="00603D85"/>
    <w:rsid w:val="006041BE"/>
    <w:rsid w:val="006042DB"/>
    <w:rsid w:val="0060445E"/>
    <w:rsid w:val="00604973"/>
    <w:rsid w:val="00604F3F"/>
    <w:rsid w:val="00605013"/>
    <w:rsid w:val="0060535F"/>
    <w:rsid w:val="00605378"/>
    <w:rsid w:val="00605E7F"/>
    <w:rsid w:val="00605F7A"/>
    <w:rsid w:val="00607044"/>
    <w:rsid w:val="0060732B"/>
    <w:rsid w:val="00607473"/>
    <w:rsid w:val="0060796D"/>
    <w:rsid w:val="00607B2C"/>
    <w:rsid w:val="00610188"/>
    <w:rsid w:val="00610219"/>
    <w:rsid w:val="00610B56"/>
    <w:rsid w:val="006112D8"/>
    <w:rsid w:val="006113CE"/>
    <w:rsid w:val="006115CB"/>
    <w:rsid w:val="00611E5C"/>
    <w:rsid w:val="00612554"/>
    <w:rsid w:val="006129B0"/>
    <w:rsid w:val="00612AD8"/>
    <w:rsid w:val="00612EB6"/>
    <w:rsid w:val="00612EFD"/>
    <w:rsid w:val="00612FD7"/>
    <w:rsid w:val="006133A3"/>
    <w:rsid w:val="00613A0B"/>
    <w:rsid w:val="00613CEC"/>
    <w:rsid w:val="006141D8"/>
    <w:rsid w:val="00614769"/>
    <w:rsid w:val="006148D5"/>
    <w:rsid w:val="00614A60"/>
    <w:rsid w:val="00614C77"/>
    <w:rsid w:val="00614CC4"/>
    <w:rsid w:val="00614DD5"/>
    <w:rsid w:val="00615A18"/>
    <w:rsid w:val="006167F3"/>
    <w:rsid w:val="006173C4"/>
    <w:rsid w:val="00617794"/>
    <w:rsid w:val="00617D7A"/>
    <w:rsid w:val="00617D82"/>
    <w:rsid w:val="006203AA"/>
    <w:rsid w:val="0062061C"/>
    <w:rsid w:val="00620A3D"/>
    <w:rsid w:val="00620BED"/>
    <w:rsid w:val="00621131"/>
    <w:rsid w:val="00621351"/>
    <w:rsid w:val="006214C7"/>
    <w:rsid w:val="00621558"/>
    <w:rsid w:val="00621847"/>
    <w:rsid w:val="00621C6D"/>
    <w:rsid w:val="006220CC"/>
    <w:rsid w:val="006220DF"/>
    <w:rsid w:val="0062232D"/>
    <w:rsid w:val="00622932"/>
    <w:rsid w:val="0062303B"/>
    <w:rsid w:val="00623885"/>
    <w:rsid w:val="0062391F"/>
    <w:rsid w:val="00623D9A"/>
    <w:rsid w:val="00623F43"/>
    <w:rsid w:val="006245F3"/>
    <w:rsid w:val="00624DDF"/>
    <w:rsid w:val="00625AFD"/>
    <w:rsid w:val="00626591"/>
    <w:rsid w:val="00626F6C"/>
    <w:rsid w:val="0062748F"/>
    <w:rsid w:val="00627543"/>
    <w:rsid w:val="006277D3"/>
    <w:rsid w:val="00627AA2"/>
    <w:rsid w:val="00627EBB"/>
    <w:rsid w:val="006302F3"/>
    <w:rsid w:val="00630433"/>
    <w:rsid w:val="0063089E"/>
    <w:rsid w:val="00631834"/>
    <w:rsid w:val="00631936"/>
    <w:rsid w:val="00631D88"/>
    <w:rsid w:val="00632305"/>
    <w:rsid w:val="00632318"/>
    <w:rsid w:val="00632526"/>
    <w:rsid w:val="0063252A"/>
    <w:rsid w:val="006327BC"/>
    <w:rsid w:val="00632EAF"/>
    <w:rsid w:val="00632F4F"/>
    <w:rsid w:val="00633442"/>
    <w:rsid w:val="006348E3"/>
    <w:rsid w:val="00634BCF"/>
    <w:rsid w:val="00634E52"/>
    <w:rsid w:val="00634F67"/>
    <w:rsid w:val="00634FCE"/>
    <w:rsid w:val="006350DE"/>
    <w:rsid w:val="0063560E"/>
    <w:rsid w:val="006356FD"/>
    <w:rsid w:val="006359CF"/>
    <w:rsid w:val="00635BD1"/>
    <w:rsid w:val="00635FAD"/>
    <w:rsid w:val="00636949"/>
    <w:rsid w:val="006401CC"/>
    <w:rsid w:val="006409C9"/>
    <w:rsid w:val="006412BB"/>
    <w:rsid w:val="00641589"/>
    <w:rsid w:val="006418A4"/>
    <w:rsid w:val="00641D78"/>
    <w:rsid w:val="0064271F"/>
    <w:rsid w:val="00642945"/>
    <w:rsid w:val="006429F5"/>
    <w:rsid w:val="00643DEF"/>
    <w:rsid w:val="00644421"/>
    <w:rsid w:val="006449CB"/>
    <w:rsid w:val="00644E31"/>
    <w:rsid w:val="00645029"/>
    <w:rsid w:val="00645391"/>
    <w:rsid w:val="00645B10"/>
    <w:rsid w:val="00645BB3"/>
    <w:rsid w:val="00645E2C"/>
    <w:rsid w:val="00645E7F"/>
    <w:rsid w:val="006463AF"/>
    <w:rsid w:val="0064674F"/>
    <w:rsid w:val="00646CCC"/>
    <w:rsid w:val="006470E2"/>
    <w:rsid w:val="00647181"/>
    <w:rsid w:val="006473AE"/>
    <w:rsid w:val="00647DFB"/>
    <w:rsid w:val="006501E8"/>
    <w:rsid w:val="006508B8"/>
    <w:rsid w:val="00650B91"/>
    <w:rsid w:val="00650DBD"/>
    <w:rsid w:val="006513DC"/>
    <w:rsid w:val="00651C9A"/>
    <w:rsid w:val="00652671"/>
    <w:rsid w:val="006526AE"/>
    <w:rsid w:val="00652754"/>
    <w:rsid w:val="00652A48"/>
    <w:rsid w:val="00652D41"/>
    <w:rsid w:val="006531CD"/>
    <w:rsid w:val="00654353"/>
    <w:rsid w:val="006547DB"/>
    <w:rsid w:val="00654B2D"/>
    <w:rsid w:val="00654B30"/>
    <w:rsid w:val="00654F5E"/>
    <w:rsid w:val="0065521D"/>
    <w:rsid w:val="00655B2D"/>
    <w:rsid w:val="006562BA"/>
    <w:rsid w:val="00656A83"/>
    <w:rsid w:val="00656D78"/>
    <w:rsid w:val="00656DD9"/>
    <w:rsid w:val="00657199"/>
    <w:rsid w:val="006572DC"/>
    <w:rsid w:val="00660B2F"/>
    <w:rsid w:val="00660B64"/>
    <w:rsid w:val="00660EFE"/>
    <w:rsid w:val="006612B7"/>
    <w:rsid w:val="00661C61"/>
    <w:rsid w:val="00661E4D"/>
    <w:rsid w:val="00661F51"/>
    <w:rsid w:val="00662BE7"/>
    <w:rsid w:val="00662D1E"/>
    <w:rsid w:val="00662FAA"/>
    <w:rsid w:val="006636B8"/>
    <w:rsid w:val="006638D8"/>
    <w:rsid w:val="00664C69"/>
    <w:rsid w:val="00665467"/>
    <w:rsid w:val="00665A70"/>
    <w:rsid w:val="00665DC9"/>
    <w:rsid w:val="00667094"/>
    <w:rsid w:val="00667965"/>
    <w:rsid w:val="00670386"/>
    <w:rsid w:val="00670670"/>
    <w:rsid w:val="00670CFB"/>
    <w:rsid w:val="00670DA0"/>
    <w:rsid w:val="0067134F"/>
    <w:rsid w:val="00671D65"/>
    <w:rsid w:val="00672026"/>
    <w:rsid w:val="006720D3"/>
    <w:rsid w:val="00672B4B"/>
    <w:rsid w:val="00673563"/>
    <w:rsid w:val="00673C2B"/>
    <w:rsid w:val="00673CCB"/>
    <w:rsid w:val="00674472"/>
    <w:rsid w:val="006744A3"/>
    <w:rsid w:val="006752AF"/>
    <w:rsid w:val="0067552D"/>
    <w:rsid w:val="0067579C"/>
    <w:rsid w:val="00675B04"/>
    <w:rsid w:val="00675FAF"/>
    <w:rsid w:val="00676457"/>
    <w:rsid w:val="00676BC1"/>
    <w:rsid w:val="00676E85"/>
    <w:rsid w:val="0067767E"/>
    <w:rsid w:val="00677727"/>
    <w:rsid w:val="006778AC"/>
    <w:rsid w:val="006779CA"/>
    <w:rsid w:val="00677A01"/>
    <w:rsid w:val="00677A0C"/>
    <w:rsid w:val="006800A8"/>
    <w:rsid w:val="006800FD"/>
    <w:rsid w:val="00680D5B"/>
    <w:rsid w:val="0068105A"/>
    <w:rsid w:val="00681591"/>
    <w:rsid w:val="00682F48"/>
    <w:rsid w:val="00682FD8"/>
    <w:rsid w:val="00683248"/>
    <w:rsid w:val="0068358D"/>
    <w:rsid w:val="0068371F"/>
    <w:rsid w:val="00683962"/>
    <w:rsid w:val="00683D95"/>
    <w:rsid w:val="00683F92"/>
    <w:rsid w:val="00684370"/>
    <w:rsid w:val="00684505"/>
    <w:rsid w:val="00684785"/>
    <w:rsid w:val="00684FBE"/>
    <w:rsid w:val="006852F5"/>
    <w:rsid w:val="0068562D"/>
    <w:rsid w:val="00685ED6"/>
    <w:rsid w:val="00686187"/>
    <w:rsid w:val="00686C21"/>
    <w:rsid w:val="00686DED"/>
    <w:rsid w:val="00687B16"/>
    <w:rsid w:val="00687B47"/>
    <w:rsid w:val="006901D2"/>
    <w:rsid w:val="00690664"/>
    <w:rsid w:val="006906F5"/>
    <w:rsid w:val="00690C1C"/>
    <w:rsid w:val="00690D53"/>
    <w:rsid w:val="006911BF"/>
    <w:rsid w:val="0069165A"/>
    <w:rsid w:val="0069179D"/>
    <w:rsid w:val="006923E7"/>
    <w:rsid w:val="00692BF8"/>
    <w:rsid w:val="006939FB"/>
    <w:rsid w:val="00693DA7"/>
    <w:rsid w:val="00693DB4"/>
    <w:rsid w:val="0069453E"/>
    <w:rsid w:val="00694757"/>
    <w:rsid w:val="006967A5"/>
    <w:rsid w:val="006968FD"/>
    <w:rsid w:val="00696E72"/>
    <w:rsid w:val="0069734E"/>
    <w:rsid w:val="00697375"/>
    <w:rsid w:val="006A06BA"/>
    <w:rsid w:val="006A0F69"/>
    <w:rsid w:val="006A1A28"/>
    <w:rsid w:val="006A1BEF"/>
    <w:rsid w:val="006A2139"/>
    <w:rsid w:val="006A2808"/>
    <w:rsid w:val="006A2968"/>
    <w:rsid w:val="006A36AF"/>
    <w:rsid w:val="006A3777"/>
    <w:rsid w:val="006A37EE"/>
    <w:rsid w:val="006A3C88"/>
    <w:rsid w:val="006A53B8"/>
    <w:rsid w:val="006A57D0"/>
    <w:rsid w:val="006A60EB"/>
    <w:rsid w:val="006A66ED"/>
    <w:rsid w:val="006A69F7"/>
    <w:rsid w:val="006A7375"/>
    <w:rsid w:val="006A7DB3"/>
    <w:rsid w:val="006B06D5"/>
    <w:rsid w:val="006B06E5"/>
    <w:rsid w:val="006B0CDC"/>
    <w:rsid w:val="006B0F39"/>
    <w:rsid w:val="006B1408"/>
    <w:rsid w:val="006B1A71"/>
    <w:rsid w:val="006B214B"/>
    <w:rsid w:val="006B2625"/>
    <w:rsid w:val="006B27B0"/>
    <w:rsid w:val="006B2854"/>
    <w:rsid w:val="006B29DB"/>
    <w:rsid w:val="006B2B4B"/>
    <w:rsid w:val="006B2F97"/>
    <w:rsid w:val="006B2FE5"/>
    <w:rsid w:val="006B353A"/>
    <w:rsid w:val="006B3AE8"/>
    <w:rsid w:val="006B4309"/>
    <w:rsid w:val="006B4526"/>
    <w:rsid w:val="006B4A19"/>
    <w:rsid w:val="006B4D55"/>
    <w:rsid w:val="006B4DEF"/>
    <w:rsid w:val="006B55C3"/>
    <w:rsid w:val="006B5A70"/>
    <w:rsid w:val="006B67FB"/>
    <w:rsid w:val="006B705E"/>
    <w:rsid w:val="006C175C"/>
    <w:rsid w:val="006C30B2"/>
    <w:rsid w:val="006C35B1"/>
    <w:rsid w:val="006C3EEF"/>
    <w:rsid w:val="006C4313"/>
    <w:rsid w:val="006C459F"/>
    <w:rsid w:val="006C4659"/>
    <w:rsid w:val="006C4AF7"/>
    <w:rsid w:val="006C4F9E"/>
    <w:rsid w:val="006C61A8"/>
    <w:rsid w:val="006C622D"/>
    <w:rsid w:val="006C6667"/>
    <w:rsid w:val="006C68C8"/>
    <w:rsid w:val="006C78AD"/>
    <w:rsid w:val="006C7D4D"/>
    <w:rsid w:val="006D090D"/>
    <w:rsid w:val="006D0CB6"/>
    <w:rsid w:val="006D0E5C"/>
    <w:rsid w:val="006D1632"/>
    <w:rsid w:val="006D182F"/>
    <w:rsid w:val="006D1972"/>
    <w:rsid w:val="006D1F42"/>
    <w:rsid w:val="006D2719"/>
    <w:rsid w:val="006D2786"/>
    <w:rsid w:val="006D29D1"/>
    <w:rsid w:val="006D3E49"/>
    <w:rsid w:val="006D4038"/>
    <w:rsid w:val="006D42AC"/>
    <w:rsid w:val="006D43D8"/>
    <w:rsid w:val="006D44A2"/>
    <w:rsid w:val="006D4998"/>
    <w:rsid w:val="006D4BD9"/>
    <w:rsid w:val="006D4ECB"/>
    <w:rsid w:val="006D502E"/>
    <w:rsid w:val="006D56B9"/>
    <w:rsid w:val="006D5A35"/>
    <w:rsid w:val="006D604C"/>
    <w:rsid w:val="006D6325"/>
    <w:rsid w:val="006D6498"/>
    <w:rsid w:val="006D65FF"/>
    <w:rsid w:val="006D6EEC"/>
    <w:rsid w:val="006D6FA9"/>
    <w:rsid w:val="006D783E"/>
    <w:rsid w:val="006D7982"/>
    <w:rsid w:val="006D7C97"/>
    <w:rsid w:val="006D7DDB"/>
    <w:rsid w:val="006D7DE4"/>
    <w:rsid w:val="006E0099"/>
    <w:rsid w:val="006E0828"/>
    <w:rsid w:val="006E0D54"/>
    <w:rsid w:val="006E0D88"/>
    <w:rsid w:val="006E1681"/>
    <w:rsid w:val="006E176D"/>
    <w:rsid w:val="006E1837"/>
    <w:rsid w:val="006E19E4"/>
    <w:rsid w:val="006E25D9"/>
    <w:rsid w:val="006E28C7"/>
    <w:rsid w:val="006E2D71"/>
    <w:rsid w:val="006E4086"/>
    <w:rsid w:val="006E4A14"/>
    <w:rsid w:val="006E4F4D"/>
    <w:rsid w:val="006E510C"/>
    <w:rsid w:val="006E5EBF"/>
    <w:rsid w:val="006E60F7"/>
    <w:rsid w:val="006E6596"/>
    <w:rsid w:val="006E6A70"/>
    <w:rsid w:val="006E6B2B"/>
    <w:rsid w:val="006E6C81"/>
    <w:rsid w:val="006F06E0"/>
    <w:rsid w:val="006F0B17"/>
    <w:rsid w:val="006F1340"/>
    <w:rsid w:val="006F18B2"/>
    <w:rsid w:val="006F1A0C"/>
    <w:rsid w:val="006F1A13"/>
    <w:rsid w:val="006F1EE9"/>
    <w:rsid w:val="006F272D"/>
    <w:rsid w:val="006F27E4"/>
    <w:rsid w:val="006F2C76"/>
    <w:rsid w:val="006F3186"/>
    <w:rsid w:val="006F3858"/>
    <w:rsid w:val="006F3EB7"/>
    <w:rsid w:val="006F426B"/>
    <w:rsid w:val="006F42D9"/>
    <w:rsid w:val="006F46AC"/>
    <w:rsid w:val="006F46EA"/>
    <w:rsid w:val="006F48F1"/>
    <w:rsid w:val="006F4B26"/>
    <w:rsid w:val="006F4D83"/>
    <w:rsid w:val="006F4E50"/>
    <w:rsid w:val="006F4EC1"/>
    <w:rsid w:val="006F51B5"/>
    <w:rsid w:val="006F51BB"/>
    <w:rsid w:val="006F5296"/>
    <w:rsid w:val="006F5587"/>
    <w:rsid w:val="006F56B1"/>
    <w:rsid w:val="006F5B2C"/>
    <w:rsid w:val="006F5C10"/>
    <w:rsid w:val="006F5DAE"/>
    <w:rsid w:val="006F5EBA"/>
    <w:rsid w:val="006F6056"/>
    <w:rsid w:val="006F622F"/>
    <w:rsid w:val="006F66A7"/>
    <w:rsid w:val="006F67B1"/>
    <w:rsid w:val="006F6919"/>
    <w:rsid w:val="006F6A3B"/>
    <w:rsid w:val="006F6F72"/>
    <w:rsid w:val="006F7EEA"/>
    <w:rsid w:val="006F7F70"/>
    <w:rsid w:val="007000E8"/>
    <w:rsid w:val="0070033D"/>
    <w:rsid w:val="007007E9"/>
    <w:rsid w:val="00701774"/>
    <w:rsid w:val="00701939"/>
    <w:rsid w:val="00701B2F"/>
    <w:rsid w:val="00701D9F"/>
    <w:rsid w:val="00701DB8"/>
    <w:rsid w:val="00701F46"/>
    <w:rsid w:val="00702854"/>
    <w:rsid w:val="007028CA"/>
    <w:rsid w:val="00702929"/>
    <w:rsid w:val="00702D12"/>
    <w:rsid w:val="00702DB6"/>
    <w:rsid w:val="0070365C"/>
    <w:rsid w:val="00703685"/>
    <w:rsid w:val="007036AB"/>
    <w:rsid w:val="00703916"/>
    <w:rsid w:val="00703A01"/>
    <w:rsid w:val="00704068"/>
    <w:rsid w:val="0070420A"/>
    <w:rsid w:val="007044C1"/>
    <w:rsid w:val="00704611"/>
    <w:rsid w:val="00704617"/>
    <w:rsid w:val="007046F6"/>
    <w:rsid w:val="00704B1D"/>
    <w:rsid w:val="007057BF"/>
    <w:rsid w:val="0070583D"/>
    <w:rsid w:val="00705AB0"/>
    <w:rsid w:val="00705B7F"/>
    <w:rsid w:val="00706373"/>
    <w:rsid w:val="00706C5D"/>
    <w:rsid w:val="00706FE2"/>
    <w:rsid w:val="007076E9"/>
    <w:rsid w:val="00707943"/>
    <w:rsid w:val="00707C69"/>
    <w:rsid w:val="00707E0A"/>
    <w:rsid w:val="00710755"/>
    <w:rsid w:val="00711380"/>
    <w:rsid w:val="00711774"/>
    <w:rsid w:val="0071251E"/>
    <w:rsid w:val="007125A8"/>
    <w:rsid w:val="0071291F"/>
    <w:rsid w:val="00712C4E"/>
    <w:rsid w:val="007130B5"/>
    <w:rsid w:val="00713416"/>
    <w:rsid w:val="007135E9"/>
    <w:rsid w:val="0071363F"/>
    <w:rsid w:val="00713709"/>
    <w:rsid w:val="00713A23"/>
    <w:rsid w:val="00713A4C"/>
    <w:rsid w:val="0071441D"/>
    <w:rsid w:val="00714C6F"/>
    <w:rsid w:val="00714D82"/>
    <w:rsid w:val="00714DB6"/>
    <w:rsid w:val="00715053"/>
    <w:rsid w:val="007151AD"/>
    <w:rsid w:val="00715A2E"/>
    <w:rsid w:val="007166D2"/>
    <w:rsid w:val="0071677A"/>
    <w:rsid w:val="007169FC"/>
    <w:rsid w:val="00716CBE"/>
    <w:rsid w:val="007171A1"/>
    <w:rsid w:val="007172A1"/>
    <w:rsid w:val="00717859"/>
    <w:rsid w:val="00717B67"/>
    <w:rsid w:val="00717C87"/>
    <w:rsid w:val="00720F03"/>
    <w:rsid w:val="007216C5"/>
    <w:rsid w:val="0072218C"/>
    <w:rsid w:val="007226B4"/>
    <w:rsid w:val="00722D1F"/>
    <w:rsid w:val="00722E91"/>
    <w:rsid w:val="00722F71"/>
    <w:rsid w:val="007237FB"/>
    <w:rsid w:val="00723ED5"/>
    <w:rsid w:val="00723EE9"/>
    <w:rsid w:val="00724548"/>
    <w:rsid w:val="00724F60"/>
    <w:rsid w:val="00725A2B"/>
    <w:rsid w:val="00726AC6"/>
    <w:rsid w:val="00727B18"/>
    <w:rsid w:val="0073067A"/>
    <w:rsid w:val="00730889"/>
    <w:rsid w:val="00730C96"/>
    <w:rsid w:val="007313BE"/>
    <w:rsid w:val="00731528"/>
    <w:rsid w:val="00731818"/>
    <w:rsid w:val="00732267"/>
    <w:rsid w:val="00732646"/>
    <w:rsid w:val="00732B2A"/>
    <w:rsid w:val="00732B56"/>
    <w:rsid w:val="00732D4D"/>
    <w:rsid w:val="00732F40"/>
    <w:rsid w:val="007330F7"/>
    <w:rsid w:val="00733527"/>
    <w:rsid w:val="0073369A"/>
    <w:rsid w:val="00733ECA"/>
    <w:rsid w:val="00734E1A"/>
    <w:rsid w:val="0073589D"/>
    <w:rsid w:val="00735AD4"/>
    <w:rsid w:val="00735C23"/>
    <w:rsid w:val="00736160"/>
    <w:rsid w:val="007362FD"/>
    <w:rsid w:val="007379D5"/>
    <w:rsid w:val="00737ADA"/>
    <w:rsid w:val="007400F3"/>
    <w:rsid w:val="00740B66"/>
    <w:rsid w:val="00740FD4"/>
    <w:rsid w:val="00741CCD"/>
    <w:rsid w:val="00741E0B"/>
    <w:rsid w:val="00741ED7"/>
    <w:rsid w:val="0074219D"/>
    <w:rsid w:val="00742238"/>
    <w:rsid w:val="0074254C"/>
    <w:rsid w:val="007427F4"/>
    <w:rsid w:val="007428B0"/>
    <w:rsid w:val="007428FF"/>
    <w:rsid w:val="00743B40"/>
    <w:rsid w:val="00743E33"/>
    <w:rsid w:val="00743EAE"/>
    <w:rsid w:val="007444F6"/>
    <w:rsid w:val="007448DD"/>
    <w:rsid w:val="00744DF9"/>
    <w:rsid w:val="00745FC8"/>
    <w:rsid w:val="00746610"/>
    <w:rsid w:val="007466CD"/>
    <w:rsid w:val="00746C98"/>
    <w:rsid w:val="007470FE"/>
    <w:rsid w:val="007471D8"/>
    <w:rsid w:val="007479B7"/>
    <w:rsid w:val="00747AE6"/>
    <w:rsid w:val="00747C9B"/>
    <w:rsid w:val="00750668"/>
    <w:rsid w:val="00750F1D"/>
    <w:rsid w:val="00750FDB"/>
    <w:rsid w:val="00752E64"/>
    <w:rsid w:val="00753131"/>
    <w:rsid w:val="00753306"/>
    <w:rsid w:val="007534A8"/>
    <w:rsid w:val="00754070"/>
    <w:rsid w:val="0075477E"/>
    <w:rsid w:val="00754B8F"/>
    <w:rsid w:val="00754E7E"/>
    <w:rsid w:val="00755301"/>
    <w:rsid w:val="007556D1"/>
    <w:rsid w:val="00755800"/>
    <w:rsid w:val="00755855"/>
    <w:rsid w:val="00755BF5"/>
    <w:rsid w:val="00755DE1"/>
    <w:rsid w:val="0075616E"/>
    <w:rsid w:val="00756EC3"/>
    <w:rsid w:val="007571D0"/>
    <w:rsid w:val="00757D23"/>
    <w:rsid w:val="00757D2E"/>
    <w:rsid w:val="00760845"/>
    <w:rsid w:val="00760B74"/>
    <w:rsid w:val="00760BC9"/>
    <w:rsid w:val="00761820"/>
    <w:rsid w:val="007618A0"/>
    <w:rsid w:val="00761968"/>
    <w:rsid w:val="00762055"/>
    <w:rsid w:val="00762A29"/>
    <w:rsid w:val="0076380F"/>
    <w:rsid w:val="00763A00"/>
    <w:rsid w:val="00763B00"/>
    <w:rsid w:val="00763EDD"/>
    <w:rsid w:val="00763FC9"/>
    <w:rsid w:val="00764551"/>
    <w:rsid w:val="00764CE3"/>
    <w:rsid w:val="00765871"/>
    <w:rsid w:val="00765A81"/>
    <w:rsid w:val="007662AE"/>
    <w:rsid w:val="00766CAC"/>
    <w:rsid w:val="00767481"/>
    <w:rsid w:val="0076748B"/>
    <w:rsid w:val="007676D3"/>
    <w:rsid w:val="00767951"/>
    <w:rsid w:val="00767BA6"/>
    <w:rsid w:val="007700A8"/>
    <w:rsid w:val="007704DB"/>
    <w:rsid w:val="007709F4"/>
    <w:rsid w:val="00771569"/>
    <w:rsid w:val="00771705"/>
    <w:rsid w:val="0077173A"/>
    <w:rsid w:val="00771A5B"/>
    <w:rsid w:val="0077240E"/>
    <w:rsid w:val="00772A96"/>
    <w:rsid w:val="00772C9E"/>
    <w:rsid w:val="00773355"/>
    <w:rsid w:val="007739EC"/>
    <w:rsid w:val="00773C01"/>
    <w:rsid w:val="00774285"/>
    <w:rsid w:val="007747FD"/>
    <w:rsid w:val="00774EBB"/>
    <w:rsid w:val="00775232"/>
    <w:rsid w:val="007753B0"/>
    <w:rsid w:val="007754E9"/>
    <w:rsid w:val="00775B0D"/>
    <w:rsid w:val="00775CF8"/>
    <w:rsid w:val="0077613C"/>
    <w:rsid w:val="0077656E"/>
    <w:rsid w:val="00776635"/>
    <w:rsid w:val="0077694C"/>
    <w:rsid w:val="00776A83"/>
    <w:rsid w:val="00776B2B"/>
    <w:rsid w:val="00776EBF"/>
    <w:rsid w:val="00777A61"/>
    <w:rsid w:val="00777C97"/>
    <w:rsid w:val="00780AB7"/>
    <w:rsid w:val="00780B6B"/>
    <w:rsid w:val="00780D22"/>
    <w:rsid w:val="007817D3"/>
    <w:rsid w:val="00781B56"/>
    <w:rsid w:val="00781FDF"/>
    <w:rsid w:val="00782202"/>
    <w:rsid w:val="007826E8"/>
    <w:rsid w:val="0078286D"/>
    <w:rsid w:val="0078339B"/>
    <w:rsid w:val="00783C5C"/>
    <w:rsid w:val="00783CE2"/>
    <w:rsid w:val="00784BC2"/>
    <w:rsid w:val="007852B5"/>
    <w:rsid w:val="007856DE"/>
    <w:rsid w:val="00785F8D"/>
    <w:rsid w:val="007878B2"/>
    <w:rsid w:val="00787C83"/>
    <w:rsid w:val="00790422"/>
    <w:rsid w:val="00790764"/>
    <w:rsid w:val="00790AA4"/>
    <w:rsid w:val="00790BBD"/>
    <w:rsid w:val="00790DB2"/>
    <w:rsid w:val="00790DCB"/>
    <w:rsid w:val="00791509"/>
    <w:rsid w:val="00791641"/>
    <w:rsid w:val="00791B0E"/>
    <w:rsid w:val="007939E9"/>
    <w:rsid w:val="00793A01"/>
    <w:rsid w:val="00793C10"/>
    <w:rsid w:val="00793D8A"/>
    <w:rsid w:val="00793ECA"/>
    <w:rsid w:val="00793FBF"/>
    <w:rsid w:val="0079467F"/>
    <w:rsid w:val="00794C67"/>
    <w:rsid w:val="00795A1E"/>
    <w:rsid w:val="00795EAD"/>
    <w:rsid w:val="0079633B"/>
    <w:rsid w:val="00796D36"/>
    <w:rsid w:val="007971A4"/>
    <w:rsid w:val="00797402"/>
    <w:rsid w:val="007A02AA"/>
    <w:rsid w:val="007A03D4"/>
    <w:rsid w:val="007A1D46"/>
    <w:rsid w:val="007A1F41"/>
    <w:rsid w:val="007A20FA"/>
    <w:rsid w:val="007A2577"/>
    <w:rsid w:val="007A38BF"/>
    <w:rsid w:val="007A3C7D"/>
    <w:rsid w:val="007A3D3A"/>
    <w:rsid w:val="007A489B"/>
    <w:rsid w:val="007A5250"/>
    <w:rsid w:val="007A5E85"/>
    <w:rsid w:val="007A6D89"/>
    <w:rsid w:val="007A6E70"/>
    <w:rsid w:val="007A6FA2"/>
    <w:rsid w:val="007A728A"/>
    <w:rsid w:val="007A733E"/>
    <w:rsid w:val="007A7540"/>
    <w:rsid w:val="007A77E7"/>
    <w:rsid w:val="007A7AA5"/>
    <w:rsid w:val="007A7F3C"/>
    <w:rsid w:val="007B0082"/>
    <w:rsid w:val="007B0461"/>
    <w:rsid w:val="007B0CDD"/>
    <w:rsid w:val="007B16CA"/>
    <w:rsid w:val="007B1734"/>
    <w:rsid w:val="007B1D8C"/>
    <w:rsid w:val="007B1ECF"/>
    <w:rsid w:val="007B2561"/>
    <w:rsid w:val="007B2ADD"/>
    <w:rsid w:val="007B2E54"/>
    <w:rsid w:val="007B3189"/>
    <w:rsid w:val="007B3F78"/>
    <w:rsid w:val="007B41BB"/>
    <w:rsid w:val="007B4275"/>
    <w:rsid w:val="007B4483"/>
    <w:rsid w:val="007B4C14"/>
    <w:rsid w:val="007B534A"/>
    <w:rsid w:val="007B5365"/>
    <w:rsid w:val="007B53DD"/>
    <w:rsid w:val="007B547F"/>
    <w:rsid w:val="007B565A"/>
    <w:rsid w:val="007B5890"/>
    <w:rsid w:val="007B5989"/>
    <w:rsid w:val="007B59C0"/>
    <w:rsid w:val="007B67A1"/>
    <w:rsid w:val="007B6829"/>
    <w:rsid w:val="007B6A03"/>
    <w:rsid w:val="007B6A76"/>
    <w:rsid w:val="007B7223"/>
    <w:rsid w:val="007B7240"/>
    <w:rsid w:val="007B74F5"/>
    <w:rsid w:val="007B7609"/>
    <w:rsid w:val="007B7753"/>
    <w:rsid w:val="007B7B58"/>
    <w:rsid w:val="007C0B0A"/>
    <w:rsid w:val="007C0EBB"/>
    <w:rsid w:val="007C14B3"/>
    <w:rsid w:val="007C1A81"/>
    <w:rsid w:val="007C20EE"/>
    <w:rsid w:val="007C2A99"/>
    <w:rsid w:val="007C2E8D"/>
    <w:rsid w:val="007C306E"/>
    <w:rsid w:val="007C3218"/>
    <w:rsid w:val="007C38DD"/>
    <w:rsid w:val="007C3CCD"/>
    <w:rsid w:val="007C3E01"/>
    <w:rsid w:val="007C3FF9"/>
    <w:rsid w:val="007C407D"/>
    <w:rsid w:val="007C4672"/>
    <w:rsid w:val="007C472E"/>
    <w:rsid w:val="007C4CFD"/>
    <w:rsid w:val="007C58A7"/>
    <w:rsid w:val="007C6146"/>
    <w:rsid w:val="007C6F5E"/>
    <w:rsid w:val="007C7046"/>
    <w:rsid w:val="007C73D3"/>
    <w:rsid w:val="007C792D"/>
    <w:rsid w:val="007D0515"/>
    <w:rsid w:val="007D0B22"/>
    <w:rsid w:val="007D104D"/>
    <w:rsid w:val="007D11F4"/>
    <w:rsid w:val="007D180D"/>
    <w:rsid w:val="007D1B0B"/>
    <w:rsid w:val="007D1E3B"/>
    <w:rsid w:val="007D2C34"/>
    <w:rsid w:val="007D2E4C"/>
    <w:rsid w:val="007D3280"/>
    <w:rsid w:val="007D3956"/>
    <w:rsid w:val="007D39BB"/>
    <w:rsid w:val="007D3F82"/>
    <w:rsid w:val="007D4BAA"/>
    <w:rsid w:val="007D4D10"/>
    <w:rsid w:val="007D555C"/>
    <w:rsid w:val="007D5956"/>
    <w:rsid w:val="007D5A3A"/>
    <w:rsid w:val="007D5C24"/>
    <w:rsid w:val="007D66B8"/>
    <w:rsid w:val="007D67D3"/>
    <w:rsid w:val="007D6BED"/>
    <w:rsid w:val="007D7269"/>
    <w:rsid w:val="007D733E"/>
    <w:rsid w:val="007D74F0"/>
    <w:rsid w:val="007D7B55"/>
    <w:rsid w:val="007D7D2F"/>
    <w:rsid w:val="007D7E6A"/>
    <w:rsid w:val="007E011A"/>
    <w:rsid w:val="007E0251"/>
    <w:rsid w:val="007E03DC"/>
    <w:rsid w:val="007E0B06"/>
    <w:rsid w:val="007E1086"/>
    <w:rsid w:val="007E1729"/>
    <w:rsid w:val="007E18E6"/>
    <w:rsid w:val="007E1DFC"/>
    <w:rsid w:val="007E228B"/>
    <w:rsid w:val="007E247B"/>
    <w:rsid w:val="007E24F8"/>
    <w:rsid w:val="007E3263"/>
    <w:rsid w:val="007E4346"/>
    <w:rsid w:val="007E47F7"/>
    <w:rsid w:val="007E5256"/>
    <w:rsid w:val="007E5ACF"/>
    <w:rsid w:val="007E6025"/>
    <w:rsid w:val="007E60A7"/>
    <w:rsid w:val="007E6C99"/>
    <w:rsid w:val="007E6D57"/>
    <w:rsid w:val="007E7468"/>
    <w:rsid w:val="007E79EF"/>
    <w:rsid w:val="007E7C3E"/>
    <w:rsid w:val="007E7F0E"/>
    <w:rsid w:val="007F00F2"/>
    <w:rsid w:val="007F0596"/>
    <w:rsid w:val="007F066E"/>
    <w:rsid w:val="007F06C0"/>
    <w:rsid w:val="007F0BF6"/>
    <w:rsid w:val="007F0E75"/>
    <w:rsid w:val="007F1119"/>
    <w:rsid w:val="007F14F3"/>
    <w:rsid w:val="007F19C1"/>
    <w:rsid w:val="007F1E2E"/>
    <w:rsid w:val="007F1F3B"/>
    <w:rsid w:val="007F2371"/>
    <w:rsid w:val="007F247A"/>
    <w:rsid w:val="007F275F"/>
    <w:rsid w:val="007F296D"/>
    <w:rsid w:val="007F29AA"/>
    <w:rsid w:val="007F387D"/>
    <w:rsid w:val="007F3BD0"/>
    <w:rsid w:val="007F4322"/>
    <w:rsid w:val="007F4432"/>
    <w:rsid w:val="007F45F4"/>
    <w:rsid w:val="007F47D2"/>
    <w:rsid w:val="007F4B17"/>
    <w:rsid w:val="007F4D5C"/>
    <w:rsid w:val="007F5F9F"/>
    <w:rsid w:val="007F600D"/>
    <w:rsid w:val="007F626D"/>
    <w:rsid w:val="007F6479"/>
    <w:rsid w:val="007F67D0"/>
    <w:rsid w:val="007F6D51"/>
    <w:rsid w:val="007F6F5A"/>
    <w:rsid w:val="007F73ED"/>
    <w:rsid w:val="007F756A"/>
    <w:rsid w:val="007F7DFC"/>
    <w:rsid w:val="008004FB"/>
    <w:rsid w:val="008019CD"/>
    <w:rsid w:val="00801E47"/>
    <w:rsid w:val="00801EBA"/>
    <w:rsid w:val="00801FA0"/>
    <w:rsid w:val="00802EA9"/>
    <w:rsid w:val="00803C79"/>
    <w:rsid w:val="00803F11"/>
    <w:rsid w:val="00803FCA"/>
    <w:rsid w:val="00804E8D"/>
    <w:rsid w:val="008059CC"/>
    <w:rsid w:val="00805E76"/>
    <w:rsid w:val="00806019"/>
    <w:rsid w:val="008060B1"/>
    <w:rsid w:val="00806110"/>
    <w:rsid w:val="00806777"/>
    <w:rsid w:val="00806EAE"/>
    <w:rsid w:val="00807444"/>
    <w:rsid w:val="008074C3"/>
    <w:rsid w:val="008077FE"/>
    <w:rsid w:val="00807809"/>
    <w:rsid w:val="008079D6"/>
    <w:rsid w:val="00807E79"/>
    <w:rsid w:val="0081051C"/>
    <w:rsid w:val="00810DBB"/>
    <w:rsid w:val="0081256A"/>
    <w:rsid w:val="00812FCE"/>
    <w:rsid w:val="0081304C"/>
    <w:rsid w:val="00813553"/>
    <w:rsid w:val="00813721"/>
    <w:rsid w:val="00813790"/>
    <w:rsid w:val="0081406C"/>
    <w:rsid w:val="00814A20"/>
    <w:rsid w:val="00814A2D"/>
    <w:rsid w:val="00814D0D"/>
    <w:rsid w:val="008176DF"/>
    <w:rsid w:val="00820AAA"/>
    <w:rsid w:val="00821672"/>
    <w:rsid w:val="008222D9"/>
    <w:rsid w:val="00822580"/>
    <w:rsid w:val="00822A7F"/>
    <w:rsid w:val="00822A8E"/>
    <w:rsid w:val="00822E13"/>
    <w:rsid w:val="0082343A"/>
    <w:rsid w:val="00823816"/>
    <w:rsid w:val="00823931"/>
    <w:rsid w:val="00823A83"/>
    <w:rsid w:val="00823C0E"/>
    <w:rsid w:val="0082472D"/>
    <w:rsid w:val="00824ADF"/>
    <w:rsid w:val="00824E51"/>
    <w:rsid w:val="00825A32"/>
    <w:rsid w:val="00825A74"/>
    <w:rsid w:val="008269E7"/>
    <w:rsid w:val="00826BB1"/>
    <w:rsid w:val="00826D2E"/>
    <w:rsid w:val="0082708E"/>
    <w:rsid w:val="00827148"/>
    <w:rsid w:val="0082729B"/>
    <w:rsid w:val="00827A4B"/>
    <w:rsid w:val="00830094"/>
    <w:rsid w:val="00830940"/>
    <w:rsid w:val="00830BA5"/>
    <w:rsid w:val="0083149D"/>
    <w:rsid w:val="00831BDB"/>
    <w:rsid w:val="0083367E"/>
    <w:rsid w:val="00833BE2"/>
    <w:rsid w:val="00834073"/>
    <w:rsid w:val="008341BA"/>
    <w:rsid w:val="0083420F"/>
    <w:rsid w:val="00834406"/>
    <w:rsid w:val="00835132"/>
    <w:rsid w:val="0083564C"/>
    <w:rsid w:val="008356BA"/>
    <w:rsid w:val="00836A42"/>
    <w:rsid w:val="00836BB5"/>
    <w:rsid w:val="00836DDB"/>
    <w:rsid w:val="00837422"/>
    <w:rsid w:val="0083788C"/>
    <w:rsid w:val="008379D9"/>
    <w:rsid w:val="00837B4E"/>
    <w:rsid w:val="00840215"/>
    <w:rsid w:val="0084032F"/>
    <w:rsid w:val="00840743"/>
    <w:rsid w:val="00840805"/>
    <w:rsid w:val="00840AB3"/>
    <w:rsid w:val="00840BD7"/>
    <w:rsid w:val="00840CCF"/>
    <w:rsid w:val="00840E07"/>
    <w:rsid w:val="008411DF"/>
    <w:rsid w:val="00841C4C"/>
    <w:rsid w:val="00841CD0"/>
    <w:rsid w:val="00841DA9"/>
    <w:rsid w:val="00841E9E"/>
    <w:rsid w:val="0084282E"/>
    <w:rsid w:val="00842B9E"/>
    <w:rsid w:val="00842E6E"/>
    <w:rsid w:val="0084305F"/>
    <w:rsid w:val="00843133"/>
    <w:rsid w:val="0084361C"/>
    <w:rsid w:val="00843875"/>
    <w:rsid w:val="00843919"/>
    <w:rsid w:val="00843C47"/>
    <w:rsid w:val="00843EC7"/>
    <w:rsid w:val="00844102"/>
    <w:rsid w:val="00844F19"/>
    <w:rsid w:val="0084534A"/>
    <w:rsid w:val="00845424"/>
    <w:rsid w:val="0084592F"/>
    <w:rsid w:val="008459DE"/>
    <w:rsid w:val="0084605D"/>
    <w:rsid w:val="008465AF"/>
    <w:rsid w:val="00846A00"/>
    <w:rsid w:val="00846B4C"/>
    <w:rsid w:val="00846CDA"/>
    <w:rsid w:val="00847531"/>
    <w:rsid w:val="00847688"/>
    <w:rsid w:val="00847A79"/>
    <w:rsid w:val="00851032"/>
    <w:rsid w:val="008511F3"/>
    <w:rsid w:val="0085189F"/>
    <w:rsid w:val="008518BD"/>
    <w:rsid w:val="00851BCE"/>
    <w:rsid w:val="0085258E"/>
    <w:rsid w:val="008525F8"/>
    <w:rsid w:val="0085264E"/>
    <w:rsid w:val="008532F6"/>
    <w:rsid w:val="0085585F"/>
    <w:rsid w:val="008568AE"/>
    <w:rsid w:val="0085735C"/>
    <w:rsid w:val="008578A2"/>
    <w:rsid w:val="00857D01"/>
    <w:rsid w:val="00860396"/>
    <w:rsid w:val="008605D1"/>
    <w:rsid w:val="0086060E"/>
    <w:rsid w:val="0086119D"/>
    <w:rsid w:val="008615F4"/>
    <w:rsid w:val="0086176D"/>
    <w:rsid w:val="00861FA6"/>
    <w:rsid w:val="00861FE8"/>
    <w:rsid w:val="00862066"/>
    <w:rsid w:val="00862698"/>
    <w:rsid w:val="0086271D"/>
    <w:rsid w:val="0086272A"/>
    <w:rsid w:val="00864031"/>
    <w:rsid w:val="008640D2"/>
    <w:rsid w:val="008647E0"/>
    <w:rsid w:val="00864869"/>
    <w:rsid w:val="008648B1"/>
    <w:rsid w:val="00864B08"/>
    <w:rsid w:val="00865972"/>
    <w:rsid w:val="00865D17"/>
    <w:rsid w:val="00866164"/>
    <w:rsid w:val="008661CA"/>
    <w:rsid w:val="00866895"/>
    <w:rsid w:val="00866B62"/>
    <w:rsid w:val="00866C91"/>
    <w:rsid w:val="00866E31"/>
    <w:rsid w:val="008671F6"/>
    <w:rsid w:val="0086732E"/>
    <w:rsid w:val="00867C06"/>
    <w:rsid w:val="008709DC"/>
    <w:rsid w:val="00871DA8"/>
    <w:rsid w:val="00871F6D"/>
    <w:rsid w:val="00872057"/>
    <w:rsid w:val="00872BC6"/>
    <w:rsid w:val="008734C4"/>
    <w:rsid w:val="0087376E"/>
    <w:rsid w:val="00873A4D"/>
    <w:rsid w:val="00873AF4"/>
    <w:rsid w:val="00873C47"/>
    <w:rsid w:val="00873C8F"/>
    <w:rsid w:val="00874F35"/>
    <w:rsid w:val="008754E4"/>
    <w:rsid w:val="0087583B"/>
    <w:rsid w:val="00875E1A"/>
    <w:rsid w:val="008762C8"/>
    <w:rsid w:val="008763A6"/>
    <w:rsid w:val="008763C3"/>
    <w:rsid w:val="00876A84"/>
    <w:rsid w:val="00877027"/>
    <w:rsid w:val="008770E0"/>
    <w:rsid w:val="00880196"/>
    <w:rsid w:val="0088028B"/>
    <w:rsid w:val="00880376"/>
    <w:rsid w:val="00880B07"/>
    <w:rsid w:val="00881B55"/>
    <w:rsid w:val="00883034"/>
    <w:rsid w:val="0088398E"/>
    <w:rsid w:val="00883A4A"/>
    <w:rsid w:val="00883C18"/>
    <w:rsid w:val="00883F11"/>
    <w:rsid w:val="00885B8A"/>
    <w:rsid w:val="0088606E"/>
    <w:rsid w:val="008864FD"/>
    <w:rsid w:val="00886BF6"/>
    <w:rsid w:val="00886EBA"/>
    <w:rsid w:val="00886F5C"/>
    <w:rsid w:val="00887122"/>
    <w:rsid w:val="008879C9"/>
    <w:rsid w:val="00887C85"/>
    <w:rsid w:val="008900E4"/>
    <w:rsid w:val="008903D6"/>
    <w:rsid w:val="008905D6"/>
    <w:rsid w:val="00890994"/>
    <w:rsid w:val="00890F51"/>
    <w:rsid w:val="00891026"/>
    <w:rsid w:val="00891093"/>
    <w:rsid w:val="00891417"/>
    <w:rsid w:val="00891A0A"/>
    <w:rsid w:val="00891D07"/>
    <w:rsid w:val="00891DCA"/>
    <w:rsid w:val="00892365"/>
    <w:rsid w:val="0089240C"/>
    <w:rsid w:val="008925AC"/>
    <w:rsid w:val="008929C7"/>
    <w:rsid w:val="00892A49"/>
    <w:rsid w:val="008939ED"/>
    <w:rsid w:val="00893CC4"/>
    <w:rsid w:val="008948A2"/>
    <w:rsid w:val="0089534C"/>
    <w:rsid w:val="00895850"/>
    <w:rsid w:val="00895C1C"/>
    <w:rsid w:val="008962AC"/>
    <w:rsid w:val="00896F76"/>
    <w:rsid w:val="00897720"/>
    <w:rsid w:val="00897DBE"/>
    <w:rsid w:val="008A041A"/>
    <w:rsid w:val="008A055A"/>
    <w:rsid w:val="008A2AD6"/>
    <w:rsid w:val="008A35D5"/>
    <w:rsid w:val="008A38FE"/>
    <w:rsid w:val="008A3F7D"/>
    <w:rsid w:val="008A4182"/>
    <w:rsid w:val="008A430D"/>
    <w:rsid w:val="008A43C8"/>
    <w:rsid w:val="008A45B6"/>
    <w:rsid w:val="008A4FDF"/>
    <w:rsid w:val="008A54D5"/>
    <w:rsid w:val="008A54F6"/>
    <w:rsid w:val="008A5B16"/>
    <w:rsid w:val="008A68CD"/>
    <w:rsid w:val="008A6F4A"/>
    <w:rsid w:val="008A6FE9"/>
    <w:rsid w:val="008A71BA"/>
    <w:rsid w:val="008A74AB"/>
    <w:rsid w:val="008A7964"/>
    <w:rsid w:val="008A79A2"/>
    <w:rsid w:val="008B027D"/>
    <w:rsid w:val="008B1E89"/>
    <w:rsid w:val="008B257D"/>
    <w:rsid w:val="008B2CA7"/>
    <w:rsid w:val="008B33AB"/>
    <w:rsid w:val="008B33FE"/>
    <w:rsid w:val="008B4883"/>
    <w:rsid w:val="008B5062"/>
    <w:rsid w:val="008B50C0"/>
    <w:rsid w:val="008B531B"/>
    <w:rsid w:val="008B5784"/>
    <w:rsid w:val="008B6120"/>
    <w:rsid w:val="008B6729"/>
    <w:rsid w:val="008B6A8E"/>
    <w:rsid w:val="008B6BF4"/>
    <w:rsid w:val="008B6D00"/>
    <w:rsid w:val="008B720B"/>
    <w:rsid w:val="008B72A0"/>
    <w:rsid w:val="008B7817"/>
    <w:rsid w:val="008B7DC2"/>
    <w:rsid w:val="008C0205"/>
    <w:rsid w:val="008C051F"/>
    <w:rsid w:val="008C096D"/>
    <w:rsid w:val="008C0E3B"/>
    <w:rsid w:val="008C0F98"/>
    <w:rsid w:val="008C1A17"/>
    <w:rsid w:val="008C1D78"/>
    <w:rsid w:val="008C204B"/>
    <w:rsid w:val="008C2833"/>
    <w:rsid w:val="008C2A4F"/>
    <w:rsid w:val="008C2BD7"/>
    <w:rsid w:val="008C31E7"/>
    <w:rsid w:val="008C31FE"/>
    <w:rsid w:val="008C38E2"/>
    <w:rsid w:val="008C3CF3"/>
    <w:rsid w:val="008C4724"/>
    <w:rsid w:val="008C48DA"/>
    <w:rsid w:val="008C48F7"/>
    <w:rsid w:val="008C4BE7"/>
    <w:rsid w:val="008C4DA8"/>
    <w:rsid w:val="008C5B36"/>
    <w:rsid w:val="008C5BF0"/>
    <w:rsid w:val="008C670A"/>
    <w:rsid w:val="008C6C57"/>
    <w:rsid w:val="008C72BB"/>
    <w:rsid w:val="008C732C"/>
    <w:rsid w:val="008C7617"/>
    <w:rsid w:val="008C7A76"/>
    <w:rsid w:val="008C7DC0"/>
    <w:rsid w:val="008C7ED8"/>
    <w:rsid w:val="008D04E0"/>
    <w:rsid w:val="008D13C7"/>
    <w:rsid w:val="008D1425"/>
    <w:rsid w:val="008D17CF"/>
    <w:rsid w:val="008D2150"/>
    <w:rsid w:val="008D36ED"/>
    <w:rsid w:val="008D3DD9"/>
    <w:rsid w:val="008D3FE4"/>
    <w:rsid w:val="008D4AC4"/>
    <w:rsid w:val="008D4AE2"/>
    <w:rsid w:val="008D4EC4"/>
    <w:rsid w:val="008D50AE"/>
    <w:rsid w:val="008D50C1"/>
    <w:rsid w:val="008D557B"/>
    <w:rsid w:val="008D6CBE"/>
    <w:rsid w:val="008D720A"/>
    <w:rsid w:val="008D771C"/>
    <w:rsid w:val="008D7A05"/>
    <w:rsid w:val="008D7DCA"/>
    <w:rsid w:val="008D7F40"/>
    <w:rsid w:val="008E0421"/>
    <w:rsid w:val="008E08AD"/>
    <w:rsid w:val="008E0FDC"/>
    <w:rsid w:val="008E14B9"/>
    <w:rsid w:val="008E14CB"/>
    <w:rsid w:val="008E184B"/>
    <w:rsid w:val="008E1F0A"/>
    <w:rsid w:val="008E26BB"/>
    <w:rsid w:val="008E2960"/>
    <w:rsid w:val="008E2A0D"/>
    <w:rsid w:val="008E351D"/>
    <w:rsid w:val="008E3996"/>
    <w:rsid w:val="008E3B49"/>
    <w:rsid w:val="008E3E72"/>
    <w:rsid w:val="008E3EA9"/>
    <w:rsid w:val="008E3F9A"/>
    <w:rsid w:val="008E4401"/>
    <w:rsid w:val="008E4865"/>
    <w:rsid w:val="008E4D1C"/>
    <w:rsid w:val="008E56C4"/>
    <w:rsid w:val="008E5A5B"/>
    <w:rsid w:val="008E5DA9"/>
    <w:rsid w:val="008E6162"/>
    <w:rsid w:val="008E6697"/>
    <w:rsid w:val="008E68CE"/>
    <w:rsid w:val="008E6C3B"/>
    <w:rsid w:val="008E72AA"/>
    <w:rsid w:val="008E7582"/>
    <w:rsid w:val="008E788B"/>
    <w:rsid w:val="008E7933"/>
    <w:rsid w:val="008F0142"/>
    <w:rsid w:val="008F0F81"/>
    <w:rsid w:val="008F130A"/>
    <w:rsid w:val="008F1A7B"/>
    <w:rsid w:val="008F1B57"/>
    <w:rsid w:val="008F1DB0"/>
    <w:rsid w:val="008F1FA9"/>
    <w:rsid w:val="008F1FC5"/>
    <w:rsid w:val="008F21A5"/>
    <w:rsid w:val="008F22A5"/>
    <w:rsid w:val="008F27D4"/>
    <w:rsid w:val="008F2EEB"/>
    <w:rsid w:val="008F36A5"/>
    <w:rsid w:val="008F3762"/>
    <w:rsid w:val="008F4E32"/>
    <w:rsid w:val="008F4E92"/>
    <w:rsid w:val="008F4FFE"/>
    <w:rsid w:val="008F54B1"/>
    <w:rsid w:val="008F5AA5"/>
    <w:rsid w:val="008F5B7A"/>
    <w:rsid w:val="008F5D0A"/>
    <w:rsid w:val="008F6056"/>
    <w:rsid w:val="008F60DA"/>
    <w:rsid w:val="008F64C9"/>
    <w:rsid w:val="008F6638"/>
    <w:rsid w:val="008F680D"/>
    <w:rsid w:val="008F6AF9"/>
    <w:rsid w:val="008F6B60"/>
    <w:rsid w:val="008F7641"/>
    <w:rsid w:val="008F767E"/>
    <w:rsid w:val="009000A2"/>
    <w:rsid w:val="0090049D"/>
    <w:rsid w:val="00900D8F"/>
    <w:rsid w:val="00900FA9"/>
    <w:rsid w:val="00901660"/>
    <w:rsid w:val="00901B7D"/>
    <w:rsid w:val="00901D0F"/>
    <w:rsid w:val="0090209F"/>
    <w:rsid w:val="009023D3"/>
    <w:rsid w:val="00902411"/>
    <w:rsid w:val="0090252F"/>
    <w:rsid w:val="009031F1"/>
    <w:rsid w:val="00903285"/>
    <w:rsid w:val="009039B9"/>
    <w:rsid w:val="009040AD"/>
    <w:rsid w:val="00904141"/>
    <w:rsid w:val="009048F7"/>
    <w:rsid w:val="00904DE2"/>
    <w:rsid w:val="009050B2"/>
    <w:rsid w:val="0090540B"/>
    <w:rsid w:val="0090661E"/>
    <w:rsid w:val="00906C8C"/>
    <w:rsid w:val="00907353"/>
    <w:rsid w:val="00907F12"/>
    <w:rsid w:val="00910CED"/>
    <w:rsid w:val="00911324"/>
    <w:rsid w:val="0091198E"/>
    <w:rsid w:val="009119E0"/>
    <w:rsid w:val="00912409"/>
    <w:rsid w:val="00912790"/>
    <w:rsid w:val="009128C5"/>
    <w:rsid w:val="00913334"/>
    <w:rsid w:val="009138B3"/>
    <w:rsid w:val="00913CFA"/>
    <w:rsid w:val="00913E64"/>
    <w:rsid w:val="00914151"/>
    <w:rsid w:val="0091489F"/>
    <w:rsid w:val="00914C47"/>
    <w:rsid w:val="00914CF9"/>
    <w:rsid w:val="00914FBA"/>
    <w:rsid w:val="00915C4B"/>
    <w:rsid w:val="009175E8"/>
    <w:rsid w:val="009179AD"/>
    <w:rsid w:val="00917C5F"/>
    <w:rsid w:val="009209EB"/>
    <w:rsid w:val="00920E37"/>
    <w:rsid w:val="00921234"/>
    <w:rsid w:val="00922344"/>
    <w:rsid w:val="009223E6"/>
    <w:rsid w:val="009226E7"/>
    <w:rsid w:val="00922B0C"/>
    <w:rsid w:val="00922E8B"/>
    <w:rsid w:val="00923A90"/>
    <w:rsid w:val="00923E24"/>
    <w:rsid w:val="00923E90"/>
    <w:rsid w:val="00924C11"/>
    <w:rsid w:val="00924D4C"/>
    <w:rsid w:val="00924DA2"/>
    <w:rsid w:val="0092572E"/>
    <w:rsid w:val="00926968"/>
    <w:rsid w:val="009277B0"/>
    <w:rsid w:val="00930A60"/>
    <w:rsid w:val="00930BBB"/>
    <w:rsid w:val="00930EC5"/>
    <w:rsid w:val="009312F5"/>
    <w:rsid w:val="00931A8E"/>
    <w:rsid w:val="00931B31"/>
    <w:rsid w:val="00931E1A"/>
    <w:rsid w:val="00932200"/>
    <w:rsid w:val="009324CC"/>
    <w:rsid w:val="009325AE"/>
    <w:rsid w:val="0093352E"/>
    <w:rsid w:val="0093358C"/>
    <w:rsid w:val="00933B94"/>
    <w:rsid w:val="00933F28"/>
    <w:rsid w:val="0093449C"/>
    <w:rsid w:val="0093487E"/>
    <w:rsid w:val="00934B4E"/>
    <w:rsid w:val="009353A7"/>
    <w:rsid w:val="00935AF5"/>
    <w:rsid w:val="00935B2D"/>
    <w:rsid w:val="00935F9B"/>
    <w:rsid w:val="0093639D"/>
    <w:rsid w:val="009364E4"/>
    <w:rsid w:val="00936BA0"/>
    <w:rsid w:val="00937909"/>
    <w:rsid w:val="009379CA"/>
    <w:rsid w:val="00937C9B"/>
    <w:rsid w:val="00937E5D"/>
    <w:rsid w:val="00940052"/>
    <w:rsid w:val="0094086B"/>
    <w:rsid w:val="00940C89"/>
    <w:rsid w:val="00940DBD"/>
    <w:rsid w:val="00940E52"/>
    <w:rsid w:val="009411A5"/>
    <w:rsid w:val="009412CB"/>
    <w:rsid w:val="0094137C"/>
    <w:rsid w:val="009417E7"/>
    <w:rsid w:val="00941A23"/>
    <w:rsid w:val="00942338"/>
    <w:rsid w:val="0094272E"/>
    <w:rsid w:val="00942A82"/>
    <w:rsid w:val="00943B90"/>
    <w:rsid w:val="00943F6F"/>
    <w:rsid w:val="009447BE"/>
    <w:rsid w:val="0094483D"/>
    <w:rsid w:val="00944D1D"/>
    <w:rsid w:val="00945782"/>
    <w:rsid w:val="009459AF"/>
    <w:rsid w:val="00946BED"/>
    <w:rsid w:val="00947347"/>
    <w:rsid w:val="00947E57"/>
    <w:rsid w:val="009508F3"/>
    <w:rsid w:val="0095171F"/>
    <w:rsid w:val="00951763"/>
    <w:rsid w:val="00951C44"/>
    <w:rsid w:val="009527D5"/>
    <w:rsid w:val="00952900"/>
    <w:rsid w:val="00952AF4"/>
    <w:rsid w:val="009532F9"/>
    <w:rsid w:val="0095331E"/>
    <w:rsid w:val="0095377F"/>
    <w:rsid w:val="00953930"/>
    <w:rsid w:val="00953B38"/>
    <w:rsid w:val="009540F3"/>
    <w:rsid w:val="009551F5"/>
    <w:rsid w:val="009559F5"/>
    <w:rsid w:val="00955A9C"/>
    <w:rsid w:val="00955CDF"/>
    <w:rsid w:val="00955D02"/>
    <w:rsid w:val="00956405"/>
    <w:rsid w:val="00957B98"/>
    <w:rsid w:val="0096084F"/>
    <w:rsid w:val="00960B50"/>
    <w:rsid w:val="00960F31"/>
    <w:rsid w:val="00960FB6"/>
    <w:rsid w:val="0096103E"/>
    <w:rsid w:val="009613FB"/>
    <w:rsid w:val="0096158C"/>
    <w:rsid w:val="0096240D"/>
    <w:rsid w:val="00962D97"/>
    <w:rsid w:val="00962DFD"/>
    <w:rsid w:val="00963010"/>
    <w:rsid w:val="009634B0"/>
    <w:rsid w:val="00963747"/>
    <w:rsid w:val="00963936"/>
    <w:rsid w:val="00964543"/>
    <w:rsid w:val="00964701"/>
    <w:rsid w:val="00964CE3"/>
    <w:rsid w:val="009651B3"/>
    <w:rsid w:val="009651C2"/>
    <w:rsid w:val="009653C5"/>
    <w:rsid w:val="00965F57"/>
    <w:rsid w:val="00966053"/>
    <w:rsid w:val="0096634C"/>
    <w:rsid w:val="00966F0C"/>
    <w:rsid w:val="009679AB"/>
    <w:rsid w:val="009700D3"/>
    <w:rsid w:val="00971366"/>
    <w:rsid w:val="0097177A"/>
    <w:rsid w:val="00971A0A"/>
    <w:rsid w:val="00971AF3"/>
    <w:rsid w:val="00972011"/>
    <w:rsid w:val="00972020"/>
    <w:rsid w:val="0097204E"/>
    <w:rsid w:val="009721C4"/>
    <w:rsid w:val="0097226B"/>
    <w:rsid w:val="009722E6"/>
    <w:rsid w:val="009728B3"/>
    <w:rsid w:val="00973152"/>
    <w:rsid w:val="009736C4"/>
    <w:rsid w:val="00974139"/>
    <w:rsid w:val="00974287"/>
    <w:rsid w:val="00974CB5"/>
    <w:rsid w:val="00974ED0"/>
    <w:rsid w:val="009756A5"/>
    <w:rsid w:val="00975EB6"/>
    <w:rsid w:val="009761DA"/>
    <w:rsid w:val="0097695B"/>
    <w:rsid w:val="00976A33"/>
    <w:rsid w:val="0097755D"/>
    <w:rsid w:val="009776B8"/>
    <w:rsid w:val="00977872"/>
    <w:rsid w:val="00977F6F"/>
    <w:rsid w:val="00980CFC"/>
    <w:rsid w:val="00981249"/>
    <w:rsid w:val="009814A4"/>
    <w:rsid w:val="0098231D"/>
    <w:rsid w:val="009823D3"/>
    <w:rsid w:val="00982532"/>
    <w:rsid w:val="00983B6A"/>
    <w:rsid w:val="009847C8"/>
    <w:rsid w:val="00984C03"/>
    <w:rsid w:val="00984FA9"/>
    <w:rsid w:val="00985886"/>
    <w:rsid w:val="0098645F"/>
    <w:rsid w:val="00986992"/>
    <w:rsid w:val="00986C65"/>
    <w:rsid w:val="009871B3"/>
    <w:rsid w:val="00987400"/>
    <w:rsid w:val="009874C8"/>
    <w:rsid w:val="00987DC0"/>
    <w:rsid w:val="00990357"/>
    <w:rsid w:val="00990D41"/>
    <w:rsid w:val="00990D4B"/>
    <w:rsid w:val="00990D95"/>
    <w:rsid w:val="00990FD8"/>
    <w:rsid w:val="009912FE"/>
    <w:rsid w:val="009914AA"/>
    <w:rsid w:val="00991D09"/>
    <w:rsid w:val="00991F07"/>
    <w:rsid w:val="009922D9"/>
    <w:rsid w:val="0099242C"/>
    <w:rsid w:val="009928C6"/>
    <w:rsid w:val="00992D6F"/>
    <w:rsid w:val="00993730"/>
    <w:rsid w:val="009939DB"/>
    <w:rsid w:val="00993BE5"/>
    <w:rsid w:val="009941DB"/>
    <w:rsid w:val="00994A08"/>
    <w:rsid w:val="00994E7F"/>
    <w:rsid w:val="00994ECA"/>
    <w:rsid w:val="00995A4C"/>
    <w:rsid w:val="009969E3"/>
    <w:rsid w:val="00996A54"/>
    <w:rsid w:val="00996D97"/>
    <w:rsid w:val="00996D9D"/>
    <w:rsid w:val="009A068B"/>
    <w:rsid w:val="009A06A4"/>
    <w:rsid w:val="009A0C2D"/>
    <w:rsid w:val="009A0F8B"/>
    <w:rsid w:val="009A1175"/>
    <w:rsid w:val="009A21B2"/>
    <w:rsid w:val="009A2431"/>
    <w:rsid w:val="009A29D0"/>
    <w:rsid w:val="009A2D7F"/>
    <w:rsid w:val="009A330A"/>
    <w:rsid w:val="009A367C"/>
    <w:rsid w:val="009A4183"/>
    <w:rsid w:val="009A41ED"/>
    <w:rsid w:val="009A447D"/>
    <w:rsid w:val="009A4B44"/>
    <w:rsid w:val="009A4C58"/>
    <w:rsid w:val="009A622B"/>
    <w:rsid w:val="009A6800"/>
    <w:rsid w:val="009A6C3C"/>
    <w:rsid w:val="009A6E51"/>
    <w:rsid w:val="009A7630"/>
    <w:rsid w:val="009A787C"/>
    <w:rsid w:val="009A7950"/>
    <w:rsid w:val="009A7C91"/>
    <w:rsid w:val="009B1002"/>
    <w:rsid w:val="009B1C3F"/>
    <w:rsid w:val="009B2734"/>
    <w:rsid w:val="009B28B6"/>
    <w:rsid w:val="009B37FF"/>
    <w:rsid w:val="009B49B2"/>
    <w:rsid w:val="009B5862"/>
    <w:rsid w:val="009B5CFB"/>
    <w:rsid w:val="009B600E"/>
    <w:rsid w:val="009B608E"/>
    <w:rsid w:val="009B61A0"/>
    <w:rsid w:val="009B64ED"/>
    <w:rsid w:val="009B6543"/>
    <w:rsid w:val="009B65FF"/>
    <w:rsid w:val="009B6B23"/>
    <w:rsid w:val="009B76F4"/>
    <w:rsid w:val="009B7EAA"/>
    <w:rsid w:val="009C00C2"/>
    <w:rsid w:val="009C0239"/>
    <w:rsid w:val="009C0F4C"/>
    <w:rsid w:val="009C1C3B"/>
    <w:rsid w:val="009C1C3D"/>
    <w:rsid w:val="009C1F02"/>
    <w:rsid w:val="009C2278"/>
    <w:rsid w:val="009C26CB"/>
    <w:rsid w:val="009C292A"/>
    <w:rsid w:val="009C2A7E"/>
    <w:rsid w:val="009C2D27"/>
    <w:rsid w:val="009C4356"/>
    <w:rsid w:val="009C4406"/>
    <w:rsid w:val="009C4468"/>
    <w:rsid w:val="009C4703"/>
    <w:rsid w:val="009C4BC6"/>
    <w:rsid w:val="009C50E9"/>
    <w:rsid w:val="009C532A"/>
    <w:rsid w:val="009C5AC6"/>
    <w:rsid w:val="009C63E4"/>
    <w:rsid w:val="009C6793"/>
    <w:rsid w:val="009C6CD2"/>
    <w:rsid w:val="009C7367"/>
    <w:rsid w:val="009C7416"/>
    <w:rsid w:val="009C7771"/>
    <w:rsid w:val="009C7821"/>
    <w:rsid w:val="009C79D1"/>
    <w:rsid w:val="009C7ECE"/>
    <w:rsid w:val="009C7FF2"/>
    <w:rsid w:val="009D018F"/>
    <w:rsid w:val="009D0604"/>
    <w:rsid w:val="009D0C26"/>
    <w:rsid w:val="009D0FCA"/>
    <w:rsid w:val="009D127E"/>
    <w:rsid w:val="009D1718"/>
    <w:rsid w:val="009D1D1D"/>
    <w:rsid w:val="009D2BD8"/>
    <w:rsid w:val="009D2FB1"/>
    <w:rsid w:val="009D3380"/>
    <w:rsid w:val="009D3448"/>
    <w:rsid w:val="009D3D47"/>
    <w:rsid w:val="009D3E19"/>
    <w:rsid w:val="009D40C6"/>
    <w:rsid w:val="009D422A"/>
    <w:rsid w:val="009D48FC"/>
    <w:rsid w:val="009D4E4D"/>
    <w:rsid w:val="009D502D"/>
    <w:rsid w:val="009D5523"/>
    <w:rsid w:val="009D5F01"/>
    <w:rsid w:val="009D6645"/>
    <w:rsid w:val="009D6FB7"/>
    <w:rsid w:val="009D7C12"/>
    <w:rsid w:val="009E0C54"/>
    <w:rsid w:val="009E1356"/>
    <w:rsid w:val="009E1CD3"/>
    <w:rsid w:val="009E1F96"/>
    <w:rsid w:val="009E2146"/>
    <w:rsid w:val="009E2928"/>
    <w:rsid w:val="009E2E9E"/>
    <w:rsid w:val="009E3714"/>
    <w:rsid w:val="009E37C1"/>
    <w:rsid w:val="009E47C2"/>
    <w:rsid w:val="009E4979"/>
    <w:rsid w:val="009E4EA0"/>
    <w:rsid w:val="009E5545"/>
    <w:rsid w:val="009E5939"/>
    <w:rsid w:val="009E5A15"/>
    <w:rsid w:val="009E6032"/>
    <w:rsid w:val="009E6084"/>
    <w:rsid w:val="009E6700"/>
    <w:rsid w:val="009E692B"/>
    <w:rsid w:val="009E71DA"/>
    <w:rsid w:val="009E7612"/>
    <w:rsid w:val="009E777C"/>
    <w:rsid w:val="009E77C7"/>
    <w:rsid w:val="009E7A39"/>
    <w:rsid w:val="009F0397"/>
    <w:rsid w:val="009F0972"/>
    <w:rsid w:val="009F0DD6"/>
    <w:rsid w:val="009F1989"/>
    <w:rsid w:val="009F239D"/>
    <w:rsid w:val="009F25EE"/>
    <w:rsid w:val="009F446E"/>
    <w:rsid w:val="009F477B"/>
    <w:rsid w:val="009F4AB5"/>
    <w:rsid w:val="009F51BE"/>
    <w:rsid w:val="009F52B6"/>
    <w:rsid w:val="009F53A7"/>
    <w:rsid w:val="009F58B7"/>
    <w:rsid w:val="009F6346"/>
    <w:rsid w:val="009F6A5B"/>
    <w:rsid w:val="009F6E97"/>
    <w:rsid w:val="009F7005"/>
    <w:rsid w:val="009F7185"/>
    <w:rsid w:val="009F79E3"/>
    <w:rsid w:val="00A00F0E"/>
    <w:rsid w:val="00A01846"/>
    <w:rsid w:val="00A026C9"/>
    <w:rsid w:val="00A02A78"/>
    <w:rsid w:val="00A0303E"/>
    <w:rsid w:val="00A03418"/>
    <w:rsid w:val="00A0354A"/>
    <w:rsid w:val="00A036B7"/>
    <w:rsid w:val="00A04168"/>
    <w:rsid w:val="00A0436D"/>
    <w:rsid w:val="00A0532B"/>
    <w:rsid w:val="00A05C0B"/>
    <w:rsid w:val="00A05EB9"/>
    <w:rsid w:val="00A05F89"/>
    <w:rsid w:val="00A063D9"/>
    <w:rsid w:val="00A06401"/>
    <w:rsid w:val="00A07022"/>
    <w:rsid w:val="00A071BF"/>
    <w:rsid w:val="00A0782D"/>
    <w:rsid w:val="00A07D84"/>
    <w:rsid w:val="00A07E0F"/>
    <w:rsid w:val="00A101CD"/>
    <w:rsid w:val="00A10235"/>
    <w:rsid w:val="00A10370"/>
    <w:rsid w:val="00A10D19"/>
    <w:rsid w:val="00A111CA"/>
    <w:rsid w:val="00A11281"/>
    <w:rsid w:val="00A113F3"/>
    <w:rsid w:val="00A117C7"/>
    <w:rsid w:val="00A11D0D"/>
    <w:rsid w:val="00A12298"/>
    <w:rsid w:val="00A12622"/>
    <w:rsid w:val="00A12648"/>
    <w:rsid w:val="00A12969"/>
    <w:rsid w:val="00A12AB1"/>
    <w:rsid w:val="00A12FFC"/>
    <w:rsid w:val="00A13071"/>
    <w:rsid w:val="00A139FD"/>
    <w:rsid w:val="00A14287"/>
    <w:rsid w:val="00A1479F"/>
    <w:rsid w:val="00A149B2"/>
    <w:rsid w:val="00A15148"/>
    <w:rsid w:val="00A1559B"/>
    <w:rsid w:val="00A15876"/>
    <w:rsid w:val="00A15C48"/>
    <w:rsid w:val="00A15D96"/>
    <w:rsid w:val="00A1614D"/>
    <w:rsid w:val="00A1643D"/>
    <w:rsid w:val="00A1718A"/>
    <w:rsid w:val="00A17417"/>
    <w:rsid w:val="00A177E7"/>
    <w:rsid w:val="00A1794C"/>
    <w:rsid w:val="00A200AF"/>
    <w:rsid w:val="00A209A0"/>
    <w:rsid w:val="00A218C4"/>
    <w:rsid w:val="00A23134"/>
    <w:rsid w:val="00A23746"/>
    <w:rsid w:val="00A23D89"/>
    <w:rsid w:val="00A244D3"/>
    <w:rsid w:val="00A245B5"/>
    <w:rsid w:val="00A24A3F"/>
    <w:rsid w:val="00A24F31"/>
    <w:rsid w:val="00A250A2"/>
    <w:rsid w:val="00A25436"/>
    <w:rsid w:val="00A25D75"/>
    <w:rsid w:val="00A25E8B"/>
    <w:rsid w:val="00A25ECC"/>
    <w:rsid w:val="00A264E8"/>
    <w:rsid w:val="00A267A1"/>
    <w:rsid w:val="00A2711F"/>
    <w:rsid w:val="00A27AB0"/>
    <w:rsid w:val="00A27C2A"/>
    <w:rsid w:val="00A27ED3"/>
    <w:rsid w:val="00A314A6"/>
    <w:rsid w:val="00A317A5"/>
    <w:rsid w:val="00A32081"/>
    <w:rsid w:val="00A32352"/>
    <w:rsid w:val="00A32F02"/>
    <w:rsid w:val="00A332F6"/>
    <w:rsid w:val="00A3343F"/>
    <w:rsid w:val="00A341AA"/>
    <w:rsid w:val="00A34824"/>
    <w:rsid w:val="00A353E9"/>
    <w:rsid w:val="00A3554E"/>
    <w:rsid w:val="00A35C0A"/>
    <w:rsid w:val="00A35C91"/>
    <w:rsid w:val="00A35E69"/>
    <w:rsid w:val="00A36208"/>
    <w:rsid w:val="00A362C6"/>
    <w:rsid w:val="00A36F79"/>
    <w:rsid w:val="00A36F9F"/>
    <w:rsid w:val="00A3703E"/>
    <w:rsid w:val="00A37088"/>
    <w:rsid w:val="00A3779A"/>
    <w:rsid w:val="00A40659"/>
    <w:rsid w:val="00A40702"/>
    <w:rsid w:val="00A40AE3"/>
    <w:rsid w:val="00A416D3"/>
    <w:rsid w:val="00A41DA9"/>
    <w:rsid w:val="00A41DD6"/>
    <w:rsid w:val="00A41E70"/>
    <w:rsid w:val="00A42509"/>
    <w:rsid w:val="00A4269A"/>
    <w:rsid w:val="00A426C5"/>
    <w:rsid w:val="00A4295F"/>
    <w:rsid w:val="00A4307B"/>
    <w:rsid w:val="00A432DB"/>
    <w:rsid w:val="00A436AA"/>
    <w:rsid w:val="00A4475D"/>
    <w:rsid w:val="00A44C21"/>
    <w:rsid w:val="00A451AC"/>
    <w:rsid w:val="00A452BD"/>
    <w:rsid w:val="00A45CD9"/>
    <w:rsid w:val="00A461EF"/>
    <w:rsid w:val="00A46247"/>
    <w:rsid w:val="00A462F2"/>
    <w:rsid w:val="00A46522"/>
    <w:rsid w:val="00A46770"/>
    <w:rsid w:val="00A46850"/>
    <w:rsid w:val="00A46B2B"/>
    <w:rsid w:val="00A471FA"/>
    <w:rsid w:val="00A47512"/>
    <w:rsid w:val="00A47813"/>
    <w:rsid w:val="00A479B2"/>
    <w:rsid w:val="00A50908"/>
    <w:rsid w:val="00A509CF"/>
    <w:rsid w:val="00A50ABD"/>
    <w:rsid w:val="00A50B61"/>
    <w:rsid w:val="00A50CB4"/>
    <w:rsid w:val="00A51C67"/>
    <w:rsid w:val="00A52D13"/>
    <w:rsid w:val="00A52DFA"/>
    <w:rsid w:val="00A52FB0"/>
    <w:rsid w:val="00A530FC"/>
    <w:rsid w:val="00A532DA"/>
    <w:rsid w:val="00A53B4D"/>
    <w:rsid w:val="00A54471"/>
    <w:rsid w:val="00A552F1"/>
    <w:rsid w:val="00A5548B"/>
    <w:rsid w:val="00A5551A"/>
    <w:rsid w:val="00A564B2"/>
    <w:rsid w:val="00A56787"/>
    <w:rsid w:val="00A567E0"/>
    <w:rsid w:val="00A56BF8"/>
    <w:rsid w:val="00A57CA2"/>
    <w:rsid w:val="00A602DE"/>
    <w:rsid w:val="00A6164F"/>
    <w:rsid w:val="00A61E55"/>
    <w:rsid w:val="00A622BE"/>
    <w:rsid w:val="00A62789"/>
    <w:rsid w:val="00A62794"/>
    <w:rsid w:val="00A62796"/>
    <w:rsid w:val="00A62DCE"/>
    <w:rsid w:val="00A6351F"/>
    <w:rsid w:val="00A6355C"/>
    <w:rsid w:val="00A63877"/>
    <w:rsid w:val="00A63985"/>
    <w:rsid w:val="00A63A17"/>
    <w:rsid w:val="00A643F1"/>
    <w:rsid w:val="00A64D80"/>
    <w:rsid w:val="00A64E41"/>
    <w:rsid w:val="00A65284"/>
    <w:rsid w:val="00A65408"/>
    <w:rsid w:val="00A65535"/>
    <w:rsid w:val="00A65847"/>
    <w:rsid w:val="00A65AC2"/>
    <w:rsid w:val="00A65B45"/>
    <w:rsid w:val="00A65CB4"/>
    <w:rsid w:val="00A65FDB"/>
    <w:rsid w:val="00A66029"/>
    <w:rsid w:val="00A663EF"/>
    <w:rsid w:val="00A66EB3"/>
    <w:rsid w:val="00A67386"/>
    <w:rsid w:val="00A67A22"/>
    <w:rsid w:val="00A67B89"/>
    <w:rsid w:val="00A7046E"/>
    <w:rsid w:val="00A70AD1"/>
    <w:rsid w:val="00A71610"/>
    <w:rsid w:val="00A719B1"/>
    <w:rsid w:val="00A71FDA"/>
    <w:rsid w:val="00A7316C"/>
    <w:rsid w:val="00A732A4"/>
    <w:rsid w:val="00A7340A"/>
    <w:rsid w:val="00A73469"/>
    <w:rsid w:val="00A7374B"/>
    <w:rsid w:val="00A74195"/>
    <w:rsid w:val="00A74785"/>
    <w:rsid w:val="00A750AA"/>
    <w:rsid w:val="00A752A9"/>
    <w:rsid w:val="00A75B71"/>
    <w:rsid w:val="00A76010"/>
    <w:rsid w:val="00A765C5"/>
    <w:rsid w:val="00A767AE"/>
    <w:rsid w:val="00A77C95"/>
    <w:rsid w:val="00A80032"/>
    <w:rsid w:val="00A80045"/>
    <w:rsid w:val="00A80133"/>
    <w:rsid w:val="00A8035C"/>
    <w:rsid w:val="00A8071D"/>
    <w:rsid w:val="00A80CFD"/>
    <w:rsid w:val="00A80E07"/>
    <w:rsid w:val="00A8123F"/>
    <w:rsid w:val="00A8170F"/>
    <w:rsid w:val="00A818B5"/>
    <w:rsid w:val="00A81B29"/>
    <w:rsid w:val="00A8202E"/>
    <w:rsid w:val="00A82084"/>
    <w:rsid w:val="00A82371"/>
    <w:rsid w:val="00A824CC"/>
    <w:rsid w:val="00A8257D"/>
    <w:rsid w:val="00A827FE"/>
    <w:rsid w:val="00A82FD1"/>
    <w:rsid w:val="00A83165"/>
    <w:rsid w:val="00A8348C"/>
    <w:rsid w:val="00A83C98"/>
    <w:rsid w:val="00A83E9A"/>
    <w:rsid w:val="00A83F2C"/>
    <w:rsid w:val="00A843CA"/>
    <w:rsid w:val="00A84546"/>
    <w:rsid w:val="00A848DF"/>
    <w:rsid w:val="00A849F8"/>
    <w:rsid w:val="00A84CBB"/>
    <w:rsid w:val="00A8514D"/>
    <w:rsid w:val="00A85303"/>
    <w:rsid w:val="00A8533F"/>
    <w:rsid w:val="00A85610"/>
    <w:rsid w:val="00A858AC"/>
    <w:rsid w:val="00A85F67"/>
    <w:rsid w:val="00A8610F"/>
    <w:rsid w:val="00A862F5"/>
    <w:rsid w:val="00A87095"/>
    <w:rsid w:val="00A87693"/>
    <w:rsid w:val="00A87CED"/>
    <w:rsid w:val="00A87E42"/>
    <w:rsid w:val="00A917E3"/>
    <w:rsid w:val="00A91B00"/>
    <w:rsid w:val="00A91C73"/>
    <w:rsid w:val="00A91FA2"/>
    <w:rsid w:val="00A92136"/>
    <w:rsid w:val="00A92906"/>
    <w:rsid w:val="00A92A96"/>
    <w:rsid w:val="00A9316E"/>
    <w:rsid w:val="00A931BD"/>
    <w:rsid w:val="00A935E1"/>
    <w:rsid w:val="00A93CF9"/>
    <w:rsid w:val="00A941CD"/>
    <w:rsid w:val="00A94CF6"/>
    <w:rsid w:val="00A95579"/>
    <w:rsid w:val="00A955D5"/>
    <w:rsid w:val="00A959A8"/>
    <w:rsid w:val="00A963EB"/>
    <w:rsid w:val="00A96961"/>
    <w:rsid w:val="00A97C4A"/>
    <w:rsid w:val="00AA07ED"/>
    <w:rsid w:val="00AA0F21"/>
    <w:rsid w:val="00AA12B4"/>
    <w:rsid w:val="00AA15C1"/>
    <w:rsid w:val="00AA1962"/>
    <w:rsid w:val="00AA1A94"/>
    <w:rsid w:val="00AA1FBB"/>
    <w:rsid w:val="00AA27F8"/>
    <w:rsid w:val="00AA2BEB"/>
    <w:rsid w:val="00AA319D"/>
    <w:rsid w:val="00AA344E"/>
    <w:rsid w:val="00AA376D"/>
    <w:rsid w:val="00AA38AC"/>
    <w:rsid w:val="00AA573C"/>
    <w:rsid w:val="00AA578A"/>
    <w:rsid w:val="00AA5B0C"/>
    <w:rsid w:val="00AA5CE8"/>
    <w:rsid w:val="00AA60A1"/>
    <w:rsid w:val="00AA74A4"/>
    <w:rsid w:val="00AA7B1D"/>
    <w:rsid w:val="00AA7B2C"/>
    <w:rsid w:val="00AA7E36"/>
    <w:rsid w:val="00AA7FFB"/>
    <w:rsid w:val="00AB014F"/>
    <w:rsid w:val="00AB096D"/>
    <w:rsid w:val="00AB1110"/>
    <w:rsid w:val="00AB1448"/>
    <w:rsid w:val="00AB273D"/>
    <w:rsid w:val="00AB2743"/>
    <w:rsid w:val="00AB2BE6"/>
    <w:rsid w:val="00AB2D85"/>
    <w:rsid w:val="00AB4293"/>
    <w:rsid w:val="00AB4BA9"/>
    <w:rsid w:val="00AB5685"/>
    <w:rsid w:val="00AB56CB"/>
    <w:rsid w:val="00AB648D"/>
    <w:rsid w:val="00AB66DE"/>
    <w:rsid w:val="00AB7038"/>
    <w:rsid w:val="00AB7433"/>
    <w:rsid w:val="00AB7A38"/>
    <w:rsid w:val="00AC0E3E"/>
    <w:rsid w:val="00AC155E"/>
    <w:rsid w:val="00AC17C1"/>
    <w:rsid w:val="00AC1B4F"/>
    <w:rsid w:val="00AC1E1F"/>
    <w:rsid w:val="00AC237C"/>
    <w:rsid w:val="00AC2981"/>
    <w:rsid w:val="00AC2B72"/>
    <w:rsid w:val="00AC327C"/>
    <w:rsid w:val="00AC33B9"/>
    <w:rsid w:val="00AC38E7"/>
    <w:rsid w:val="00AC39A6"/>
    <w:rsid w:val="00AC3B43"/>
    <w:rsid w:val="00AC3C75"/>
    <w:rsid w:val="00AC3E26"/>
    <w:rsid w:val="00AC45B4"/>
    <w:rsid w:val="00AC4655"/>
    <w:rsid w:val="00AC47FE"/>
    <w:rsid w:val="00AC4EB8"/>
    <w:rsid w:val="00AC50C2"/>
    <w:rsid w:val="00AC59BA"/>
    <w:rsid w:val="00AC6000"/>
    <w:rsid w:val="00AC680B"/>
    <w:rsid w:val="00AC6F23"/>
    <w:rsid w:val="00AC74F0"/>
    <w:rsid w:val="00AC7825"/>
    <w:rsid w:val="00AC7832"/>
    <w:rsid w:val="00AC7837"/>
    <w:rsid w:val="00AC7D4E"/>
    <w:rsid w:val="00AD07C0"/>
    <w:rsid w:val="00AD07E5"/>
    <w:rsid w:val="00AD0CA6"/>
    <w:rsid w:val="00AD0DC2"/>
    <w:rsid w:val="00AD0F88"/>
    <w:rsid w:val="00AD11E6"/>
    <w:rsid w:val="00AD1621"/>
    <w:rsid w:val="00AD1772"/>
    <w:rsid w:val="00AD28A7"/>
    <w:rsid w:val="00AD2E38"/>
    <w:rsid w:val="00AD2E5F"/>
    <w:rsid w:val="00AD3E38"/>
    <w:rsid w:val="00AD4990"/>
    <w:rsid w:val="00AD4E22"/>
    <w:rsid w:val="00AD4EF5"/>
    <w:rsid w:val="00AD5512"/>
    <w:rsid w:val="00AD5732"/>
    <w:rsid w:val="00AD5AF6"/>
    <w:rsid w:val="00AD6097"/>
    <w:rsid w:val="00AD6255"/>
    <w:rsid w:val="00AD6395"/>
    <w:rsid w:val="00AD7698"/>
    <w:rsid w:val="00AD7A7B"/>
    <w:rsid w:val="00AD7DAD"/>
    <w:rsid w:val="00AD7E1D"/>
    <w:rsid w:val="00AE0057"/>
    <w:rsid w:val="00AE07C8"/>
    <w:rsid w:val="00AE0900"/>
    <w:rsid w:val="00AE0FEF"/>
    <w:rsid w:val="00AE11C5"/>
    <w:rsid w:val="00AE185F"/>
    <w:rsid w:val="00AE1A16"/>
    <w:rsid w:val="00AE1AF7"/>
    <w:rsid w:val="00AE1E2B"/>
    <w:rsid w:val="00AE2026"/>
    <w:rsid w:val="00AE20CE"/>
    <w:rsid w:val="00AE216A"/>
    <w:rsid w:val="00AE2328"/>
    <w:rsid w:val="00AE244D"/>
    <w:rsid w:val="00AE3B28"/>
    <w:rsid w:val="00AE4227"/>
    <w:rsid w:val="00AE4499"/>
    <w:rsid w:val="00AE44E9"/>
    <w:rsid w:val="00AE45CF"/>
    <w:rsid w:val="00AE4AA2"/>
    <w:rsid w:val="00AE563D"/>
    <w:rsid w:val="00AE5EFC"/>
    <w:rsid w:val="00AE619C"/>
    <w:rsid w:val="00AE67C0"/>
    <w:rsid w:val="00AE73C5"/>
    <w:rsid w:val="00AE784E"/>
    <w:rsid w:val="00AF00CD"/>
    <w:rsid w:val="00AF079E"/>
    <w:rsid w:val="00AF103E"/>
    <w:rsid w:val="00AF13AF"/>
    <w:rsid w:val="00AF13F6"/>
    <w:rsid w:val="00AF1457"/>
    <w:rsid w:val="00AF1831"/>
    <w:rsid w:val="00AF21A7"/>
    <w:rsid w:val="00AF2266"/>
    <w:rsid w:val="00AF2E3C"/>
    <w:rsid w:val="00AF2EF7"/>
    <w:rsid w:val="00AF38C0"/>
    <w:rsid w:val="00AF4DDD"/>
    <w:rsid w:val="00AF534C"/>
    <w:rsid w:val="00AF5627"/>
    <w:rsid w:val="00AF5A77"/>
    <w:rsid w:val="00AF5E4A"/>
    <w:rsid w:val="00AF5E5F"/>
    <w:rsid w:val="00AF69C8"/>
    <w:rsid w:val="00AF69EA"/>
    <w:rsid w:val="00AF7443"/>
    <w:rsid w:val="00AF7478"/>
    <w:rsid w:val="00AF760F"/>
    <w:rsid w:val="00B004A6"/>
    <w:rsid w:val="00B00EA3"/>
    <w:rsid w:val="00B01023"/>
    <w:rsid w:val="00B01100"/>
    <w:rsid w:val="00B0112A"/>
    <w:rsid w:val="00B01611"/>
    <w:rsid w:val="00B01F52"/>
    <w:rsid w:val="00B020D9"/>
    <w:rsid w:val="00B03CC8"/>
    <w:rsid w:val="00B0412B"/>
    <w:rsid w:val="00B04137"/>
    <w:rsid w:val="00B04203"/>
    <w:rsid w:val="00B04748"/>
    <w:rsid w:val="00B04DFB"/>
    <w:rsid w:val="00B05053"/>
    <w:rsid w:val="00B055D4"/>
    <w:rsid w:val="00B058A5"/>
    <w:rsid w:val="00B058F1"/>
    <w:rsid w:val="00B05C5E"/>
    <w:rsid w:val="00B05D14"/>
    <w:rsid w:val="00B05ECD"/>
    <w:rsid w:val="00B05F7D"/>
    <w:rsid w:val="00B05FD3"/>
    <w:rsid w:val="00B06456"/>
    <w:rsid w:val="00B06546"/>
    <w:rsid w:val="00B06582"/>
    <w:rsid w:val="00B067E5"/>
    <w:rsid w:val="00B068C1"/>
    <w:rsid w:val="00B06CFC"/>
    <w:rsid w:val="00B06F26"/>
    <w:rsid w:val="00B07059"/>
    <w:rsid w:val="00B07395"/>
    <w:rsid w:val="00B073CA"/>
    <w:rsid w:val="00B0755C"/>
    <w:rsid w:val="00B076CF"/>
    <w:rsid w:val="00B07C0F"/>
    <w:rsid w:val="00B1056F"/>
    <w:rsid w:val="00B1072A"/>
    <w:rsid w:val="00B11004"/>
    <w:rsid w:val="00B11726"/>
    <w:rsid w:val="00B11759"/>
    <w:rsid w:val="00B1180C"/>
    <w:rsid w:val="00B12B42"/>
    <w:rsid w:val="00B1332F"/>
    <w:rsid w:val="00B143F8"/>
    <w:rsid w:val="00B147BC"/>
    <w:rsid w:val="00B14973"/>
    <w:rsid w:val="00B14DF0"/>
    <w:rsid w:val="00B1545C"/>
    <w:rsid w:val="00B160AD"/>
    <w:rsid w:val="00B16B95"/>
    <w:rsid w:val="00B16CA9"/>
    <w:rsid w:val="00B179AD"/>
    <w:rsid w:val="00B17D6B"/>
    <w:rsid w:val="00B20F2F"/>
    <w:rsid w:val="00B210CD"/>
    <w:rsid w:val="00B2110D"/>
    <w:rsid w:val="00B21BA3"/>
    <w:rsid w:val="00B21CC5"/>
    <w:rsid w:val="00B21CD9"/>
    <w:rsid w:val="00B22069"/>
    <w:rsid w:val="00B221E1"/>
    <w:rsid w:val="00B229F3"/>
    <w:rsid w:val="00B23478"/>
    <w:rsid w:val="00B236CB"/>
    <w:rsid w:val="00B23A68"/>
    <w:rsid w:val="00B23EB9"/>
    <w:rsid w:val="00B2427A"/>
    <w:rsid w:val="00B24B75"/>
    <w:rsid w:val="00B256D3"/>
    <w:rsid w:val="00B260B4"/>
    <w:rsid w:val="00B266A5"/>
    <w:rsid w:val="00B267BC"/>
    <w:rsid w:val="00B268E0"/>
    <w:rsid w:val="00B26AAB"/>
    <w:rsid w:val="00B271E0"/>
    <w:rsid w:val="00B27453"/>
    <w:rsid w:val="00B275E3"/>
    <w:rsid w:val="00B27875"/>
    <w:rsid w:val="00B27A08"/>
    <w:rsid w:val="00B27A2C"/>
    <w:rsid w:val="00B27AD5"/>
    <w:rsid w:val="00B27E02"/>
    <w:rsid w:val="00B302EB"/>
    <w:rsid w:val="00B3056C"/>
    <w:rsid w:val="00B3181C"/>
    <w:rsid w:val="00B31C19"/>
    <w:rsid w:val="00B3237D"/>
    <w:rsid w:val="00B33AF8"/>
    <w:rsid w:val="00B33F16"/>
    <w:rsid w:val="00B34B47"/>
    <w:rsid w:val="00B34C90"/>
    <w:rsid w:val="00B34FC8"/>
    <w:rsid w:val="00B35348"/>
    <w:rsid w:val="00B35361"/>
    <w:rsid w:val="00B3543C"/>
    <w:rsid w:val="00B3545C"/>
    <w:rsid w:val="00B35663"/>
    <w:rsid w:val="00B358B8"/>
    <w:rsid w:val="00B359A2"/>
    <w:rsid w:val="00B35A19"/>
    <w:rsid w:val="00B35FCA"/>
    <w:rsid w:val="00B361D1"/>
    <w:rsid w:val="00B361E8"/>
    <w:rsid w:val="00B36AD0"/>
    <w:rsid w:val="00B36B97"/>
    <w:rsid w:val="00B36E8F"/>
    <w:rsid w:val="00B37006"/>
    <w:rsid w:val="00B37ADA"/>
    <w:rsid w:val="00B37AEB"/>
    <w:rsid w:val="00B37C32"/>
    <w:rsid w:val="00B37CA9"/>
    <w:rsid w:val="00B37E05"/>
    <w:rsid w:val="00B37EC0"/>
    <w:rsid w:val="00B40552"/>
    <w:rsid w:val="00B40CDE"/>
    <w:rsid w:val="00B41172"/>
    <w:rsid w:val="00B427A0"/>
    <w:rsid w:val="00B42BA7"/>
    <w:rsid w:val="00B435E6"/>
    <w:rsid w:val="00B43611"/>
    <w:rsid w:val="00B438FB"/>
    <w:rsid w:val="00B43DEE"/>
    <w:rsid w:val="00B442E6"/>
    <w:rsid w:val="00B44779"/>
    <w:rsid w:val="00B45081"/>
    <w:rsid w:val="00B45B9E"/>
    <w:rsid w:val="00B45CE7"/>
    <w:rsid w:val="00B45F27"/>
    <w:rsid w:val="00B46182"/>
    <w:rsid w:val="00B46423"/>
    <w:rsid w:val="00B464FA"/>
    <w:rsid w:val="00B46872"/>
    <w:rsid w:val="00B46D56"/>
    <w:rsid w:val="00B47329"/>
    <w:rsid w:val="00B47A02"/>
    <w:rsid w:val="00B47FF0"/>
    <w:rsid w:val="00B503C1"/>
    <w:rsid w:val="00B50D45"/>
    <w:rsid w:val="00B517CA"/>
    <w:rsid w:val="00B51D7D"/>
    <w:rsid w:val="00B52435"/>
    <w:rsid w:val="00B5244C"/>
    <w:rsid w:val="00B52724"/>
    <w:rsid w:val="00B52CE2"/>
    <w:rsid w:val="00B52D2F"/>
    <w:rsid w:val="00B531F1"/>
    <w:rsid w:val="00B53AAD"/>
    <w:rsid w:val="00B54120"/>
    <w:rsid w:val="00B545ED"/>
    <w:rsid w:val="00B54EF5"/>
    <w:rsid w:val="00B55104"/>
    <w:rsid w:val="00B5595B"/>
    <w:rsid w:val="00B55DA5"/>
    <w:rsid w:val="00B563A5"/>
    <w:rsid w:val="00B56674"/>
    <w:rsid w:val="00B566E5"/>
    <w:rsid w:val="00B5683C"/>
    <w:rsid w:val="00B56A2A"/>
    <w:rsid w:val="00B56A8D"/>
    <w:rsid w:val="00B579C9"/>
    <w:rsid w:val="00B60B6D"/>
    <w:rsid w:val="00B61511"/>
    <w:rsid w:val="00B6161B"/>
    <w:rsid w:val="00B6178C"/>
    <w:rsid w:val="00B62374"/>
    <w:rsid w:val="00B63899"/>
    <w:rsid w:val="00B6397F"/>
    <w:rsid w:val="00B63A5E"/>
    <w:rsid w:val="00B63C30"/>
    <w:rsid w:val="00B63FC6"/>
    <w:rsid w:val="00B63FCD"/>
    <w:rsid w:val="00B64053"/>
    <w:rsid w:val="00B648B6"/>
    <w:rsid w:val="00B64982"/>
    <w:rsid w:val="00B65661"/>
    <w:rsid w:val="00B65C14"/>
    <w:rsid w:val="00B6617B"/>
    <w:rsid w:val="00B66CD1"/>
    <w:rsid w:val="00B66E68"/>
    <w:rsid w:val="00B6711B"/>
    <w:rsid w:val="00B6737C"/>
    <w:rsid w:val="00B6744C"/>
    <w:rsid w:val="00B67F48"/>
    <w:rsid w:val="00B71347"/>
    <w:rsid w:val="00B713D0"/>
    <w:rsid w:val="00B71494"/>
    <w:rsid w:val="00B71BB9"/>
    <w:rsid w:val="00B72000"/>
    <w:rsid w:val="00B72506"/>
    <w:rsid w:val="00B726F4"/>
    <w:rsid w:val="00B72AF1"/>
    <w:rsid w:val="00B72AFD"/>
    <w:rsid w:val="00B72EA5"/>
    <w:rsid w:val="00B73836"/>
    <w:rsid w:val="00B73CBD"/>
    <w:rsid w:val="00B73FEF"/>
    <w:rsid w:val="00B744EB"/>
    <w:rsid w:val="00B7456F"/>
    <w:rsid w:val="00B74FB6"/>
    <w:rsid w:val="00B753CF"/>
    <w:rsid w:val="00B7546F"/>
    <w:rsid w:val="00B75908"/>
    <w:rsid w:val="00B75F79"/>
    <w:rsid w:val="00B761CC"/>
    <w:rsid w:val="00B766F1"/>
    <w:rsid w:val="00B76967"/>
    <w:rsid w:val="00B769A1"/>
    <w:rsid w:val="00B76C5D"/>
    <w:rsid w:val="00B77152"/>
    <w:rsid w:val="00B7742D"/>
    <w:rsid w:val="00B77562"/>
    <w:rsid w:val="00B776BA"/>
    <w:rsid w:val="00B7772A"/>
    <w:rsid w:val="00B80137"/>
    <w:rsid w:val="00B804C5"/>
    <w:rsid w:val="00B807C8"/>
    <w:rsid w:val="00B80BF1"/>
    <w:rsid w:val="00B80E3E"/>
    <w:rsid w:val="00B81BE0"/>
    <w:rsid w:val="00B82ED2"/>
    <w:rsid w:val="00B83162"/>
    <w:rsid w:val="00B83629"/>
    <w:rsid w:val="00B83A52"/>
    <w:rsid w:val="00B83CAB"/>
    <w:rsid w:val="00B847CB"/>
    <w:rsid w:val="00B84CEF"/>
    <w:rsid w:val="00B84F43"/>
    <w:rsid w:val="00B84FE8"/>
    <w:rsid w:val="00B85075"/>
    <w:rsid w:val="00B85479"/>
    <w:rsid w:val="00B85B1B"/>
    <w:rsid w:val="00B85C50"/>
    <w:rsid w:val="00B85F58"/>
    <w:rsid w:val="00B86428"/>
    <w:rsid w:val="00B8667C"/>
    <w:rsid w:val="00B8674D"/>
    <w:rsid w:val="00B86993"/>
    <w:rsid w:val="00B86B74"/>
    <w:rsid w:val="00B86ED3"/>
    <w:rsid w:val="00B87774"/>
    <w:rsid w:val="00B87C1B"/>
    <w:rsid w:val="00B87E27"/>
    <w:rsid w:val="00B90252"/>
    <w:rsid w:val="00B90D9C"/>
    <w:rsid w:val="00B90E82"/>
    <w:rsid w:val="00B91116"/>
    <w:rsid w:val="00B9169D"/>
    <w:rsid w:val="00B91722"/>
    <w:rsid w:val="00B91819"/>
    <w:rsid w:val="00B91F09"/>
    <w:rsid w:val="00B92237"/>
    <w:rsid w:val="00B92317"/>
    <w:rsid w:val="00B9303C"/>
    <w:rsid w:val="00B934FF"/>
    <w:rsid w:val="00B93AE2"/>
    <w:rsid w:val="00B93C79"/>
    <w:rsid w:val="00B93E73"/>
    <w:rsid w:val="00B940C7"/>
    <w:rsid w:val="00B942ED"/>
    <w:rsid w:val="00B9460F"/>
    <w:rsid w:val="00B9568D"/>
    <w:rsid w:val="00B95B1B"/>
    <w:rsid w:val="00B95C55"/>
    <w:rsid w:val="00B96457"/>
    <w:rsid w:val="00B96821"/>
    <w:rsid w:val="00B96869"/>
    <w:rsid w:val="00B969AB"/>
    <w:rsid w:val="00B969B4"/>
    <w:rsid w:val="00B96B94"/>
    <w:rsid w:val="00B96C1F"/>
    <w:rsid w:val="00B971BA"/>
    <w:rsid w:val="00B97246"/>
    <w:rsid w:val="00B97747"/>
    <w:rsid w:val="00B97889"/>
    <w:rsid w:val="00B97F7A"/>
    <w:rsid w:val="00BA03A9"/>
    <w:rsid w:val="00BA0B25"/>
    <w:rsid w:val="00BA0B46"/>
    <w:rsid w:val="00BA0D70"/>
    <w:rsid w:val="00BA10B8"/>
    <w:rsid w:val="00BA12F1"/>
    <w:rsid w:val="00BA1A2E"/>
    <w:rsid w:val="00BA1CF6"/>
    <w:rsid w:val="00BA1ECC"/>
    <w:rsid w:val="00BA2CD0"/>
    <w:rsid w:val="00BA3793"/>
    <w:rsid w:val="00BA398E"/>
    <w:rsid w:val="00BA39E2"/>
    <w:rsid w:val="00BA507E"/>
    <w:rsid w:val="00BA6FB3"/>
    <w:rsid w:val="00BA74F2"/>
    <w:rsid w:val="00BA77C5"/>
    <w:rsid w:val="00BA799B"/>
    <w:rsid w:val="00BA7D55"/>
    <w:rsid w:val="00BA7DED"/>
    <w:rsid w:val="00BA7E1E"/>
    <w:rsid w:val="00BB030B"/>
    <w:rsid w:val="00BB0396"/>
    <w:rsid w:val="00BB05B7"/>
    <w:rsid w:val="00BB06CA"/>
    <w:rsid w:val="00BB0CED"/>
    <w:rsid w:val="00BB0EDC"/>
    <w:rsid w:val="00BB1426"/>
    <w:rsid w:val="00BB182F"/>
    <w:rsid w:val="00BB1A5A"/>
    <w:rsid w:val="00BB1C98"/>
    <w:rsid w:val="00BB2652"/>
    <w:rsid w:val="00BB284D"/>
    <w:rsid w:val="00BB2B0D"/>
    <w:rsid w:val="00BB2E54"/>
    <w:rsid w:val="00BB2FE5"/>
    <w:rsid w:val="00BB379E"/>
    <w:rsid w:val="00BB3C97"/>
    <w:rsid w:val="00BB3EDA"/>
    <w:rsid w:val="00BB47C9"/>
    <w:rsid w:val="00BB4DDA"/>
    <w:rsid w:val="00BB4EB8"/>
    <w:rsid w:val="00BB5982"/>
    <w:rsid w:val="00BB59FD"/>
    <w:rsid w:val="00BB60F2"/>
    <w:rsid w:val="00BB656E"/>
    <w:rsid w:val="00BB6EA2"/>
    <w:rsid w:val="00BB72F0"/>
    <w:rsid w:val="00BB75DC"/>
    <w:rsid w:val="00BB796C"/>
    <w:rsid w:val="00BB7B13"/>
    <w:rsid w:val="00BB7D42"/>
    <w:rsid w:val="00BB7EC4"/>
    <w:rsid w:val="00BC00D8"/>
    <w:rsid w:val="00BC02B4"/>
    <w:rsid w:val="00BC0E3C"/>
    <w:rsid w:val="00BC1066"/>
    <w:rsid w:val="00BC10FD"/>
    <w:rsid w:val="00BC1310"/>
    <w:rsid w:val="00BC15FD"/>
    <w:rsid w:val="00BC1700"/>
    <w:rsid w:val="00BC1CFB"/>
    <w:rsid w:val="00BC1DA0"/>
    <w:rsid w:val="00BC1FC6"/>
    <w:rsid w:val="00BC2403"/>
    <w:rsid w:val="00BC2674"/>
    <w:rsid w:val="00BC4946"/>
    <w:rsid w:val="00BC4B87"/>
    <w:rsid w:val="00BC4E2B"/>
    <w:rsid w:val="00BC52CF"/>
    <w:rsid w:val="00BC5703"/>
    <w:rsid w:val="00BC5755"/>
    <w:rsid w:val="00BC5DF8"/>
    <w:rsid w:val="00BC5ECA"/>
    <w:rsid w:val="00BC6DE4"/>
    <w:rsid w:val="00BC76EA"/>
    <w:rsid w:val="00BD0B5D"/>
    <w:rsid w:val="00BD0DF6"/>
    <w:rsid w:val="00BD100B"/>
    <w:rsid w:val="00BD1625"/>
    <w:rsid w:val="00BD1782"/>
    <w:rsid w:val="00BD1A7C"/>
    <w:rsid w:val="00BD250E"/>
    <w:rsid w:val="00BD257F"/>
    <w:rsid w:val="00BD2D73"/>
    <w:rsid w:val="00BD3312"/>
    <w:rsid w:val="00BD3C31"/>
    <w:rsid w:val="00BD3C82"/>
    <w:rsid w:val="00BD41F2"/>
    <w:rsid w:val="00BD43C9"/>
    <w:rsid w:val="00BD4703"/>
    <w:rsid w:val="00BD4BCB"/>
    <w:rsid w:val="00BD4C9C"/>
    <w:rsid w:val="00BD4D5A"/>
    <w:rsid w:val="00BD4D6A"/>
    <w:rsid w:val="00BD509B"/>
    <w:rsid w:val="00BD51FB"/>
    <w:rsid w:val="00BD530B"/>
    <w:rsid w:val="00BD54B4"/>
    <w:rsid w:val="00BD5685"/>
    <w:rsid w:val="00BD5B2A"/>
    <w:rsid w:val="00BD697F"/>
    <w:rsid w:val="00BD6A69"/>
    <w:rsid w:val="00BD6A93"/>
    <w:rsid w:val="00BD6AA7"/>
    <w:rsid w:val="00BD6AF2"/>
    <w:rsid w:val="00BD7429"/>
    <w:rsid w:val="00BD7BDD"/>
    <w:rsid w:val="00BD7F6A"/>
    <w:rsid w:val="00BE03B6"/>
    <w:rsid w:val="00BE0CDC"/>
    <w:rsid w:val="00BE1162"/>
    <w:rsid w:val="00BE132C"/>
    <w:rsid w:val="00BE1927"/>
    <w:rsid w:val="00BE19F0"/>
    <w:rsid w:val="00BE1D71"/>
    <w:rsid w:val="00BE1E79"/>
    <w:rsid w:val="00BE1EE4"/>
    <w:rsid w:val="00BE204B"/>
    <w:rsid w:val="00BE27B1"/>
    <w:rsid w:val="00BE2E4F"/>
    <w:rsid w:val="00BE3A9C"/>
    <w:rsid w:val="00BE498B"/>
    <w:rsid w:val="00BE4AA7"/>
    <w:rsid w:val="00BE519F"/>
    <w:rsid w:val="00BE5328"/>
    <w:rsid w:val="00BE5782"/>
    <w:rsid w:val="00BE5F4E"/>
    <w:rsid w:val="00BE6038"/>
    <w:rsid w:val="00BE62FE"/>
    <w:rsid w:val="00BE679A"/>
    <w:rsid w:val="00BE6A7F"/>
    <w:rsid w:val="00BE6AB8"/>
    <w:rsid w:val="00BE7069"/>
    <w:rsid w:val="00BE7199"/>
    <w:rsid w:val="00BE7530"/>
    <w:rsid w:val="00BE766E"/>
    <w:rsid w:val="00BE7839"/>
    <w:rsid w:val="00BE7E8B"/>
    <w:rsid w:val="00BF042B"/>
    <w:rsid w:val="00BF0720"/>
    <w:rsid w:val="00BF17C9"/>
    <w:rsid w:val="00BF2310"/>
    <w:rsid w:val="00BF23E9"/>
    <w:rsid w:val="00BF26D3"/>
    <w:rsid w:val="00BF2F6F"/>
    <w:rsid w:val="00BF329F"/>
    <w:rsid w:val="00BF346B"/>
    <w:rsid w:val="00BF395F"/>
    <w:rsid w:val="00BF3C2D"/>
    <w:rsid w:val="00BF3F39"/>
    <w:rsid w:val="00BF4A52"/>
    <w:rsid w:val="00BF4BC7"/>
    <w:rsid w:val="00BF4C9F"/>
    <w:rsid w:val="00BF5113"/>
    <w:rsid w:val="00BF5BF0"/>
    <w:rsid w:val="00BF5C7C"/>
    <w:rsid w:val="00BF5F05"/>
    <w:rsid w:val="00BF687E"/>
    <w:rsid w:val="00BF6E6D"/>
    <w:rsid w:val="00BF738A"/>
    <w:rsid w:val="00BF75CC"/>
    <w:rsid w:val="00BF7C01"/>
    <w:rsid w:val="00C00A50"/>
    <w:rsid w:val="00C0104C"/>
    <w:rsid w:val="00C01587"/>
    <w:rsid w:val="00C01A27"/>
    <w:rsid w:val="00C01C78"/>
    <w:rsid w:val="00C01F79"/>
    <w:rsid w:val="00C028ED"/>
    <w:rsid w:val="00C02AE8"/>
    <w:rsid w:val="00C02D08"/>
    <w:rsid w:val="00C02DFB"/>
    <w:rsid w:val="00C03161"/>
    <w:rsid w:val="00C037AE"/>
    <w:rsid w:val="00C042C1"/>
    <w:rsid w:val="00C04802"/>
    <w:rsid w:val="00C04A56"/>
    <w:rsid w:val="00C059F6"/>
    <w:rsid w:val="00C05FA1"/>
    <w:rsid w:val="00C064A9"/>
    <w:rsid w:val="00C067EB"/>
    <w:rsid w:val="00C069FC"/>
    <w:rsid w:val="00C070F4"/>
    <w:rsid w:val="00C076B3"/>
    <w:rsid w:val="00C077B3"/>
    <w:rsid w:val="00C07DA6"/>
    <w:rsid w:val="00C07EB4"/>
    <w:rsid w:val="00C10295"/>
    <w:rsid w:val="00C103FA"/>
    <w:rsid w:val="00C10645"/>
    <w:rsid w:val="00C10773"/>
    <w:rsid w:val="00C10BB7"/>
    <w:rsid w:val="00C11366"/>
    <w:rsid w:val="00C11B84"/>
    <w:rsid w:val="00C12044"/>
    <w:rsid w:val="00C127C4"/>
    <w:rsid w:val="00C13711"/>
    <w:rsid w:val="00C1385A"/>
    <w:rsid w:val="00C13AF3"/>
    <w:rsid w:val="00C14133"/>
    <w:rsid w:val="00C14244"/>
    <w:rsid w:val="00C145FF"/>
    <w:rsid w:val="00C14708"/>
    <w:rsid w:val="00C14886"/>
    <w:rsid w:val="00C14C49"/>
    <w:rsid w:val="00C14CE0"/>
    <w:rsid w:val="00C151E6"/>
    <w:rsid w:val="00C15658"/>
    <w:rsid w:val="00C162A8"/>
    <w:rsid w:val="00C163F5"/>
    <w:rsid w:val="00C166D4"/>
    <w:rsid w:val="00C16843"/>
    <w:rsid w:val="00C172AE"/>
    <w:rsid w:val="00C172D8"/>
    <w:rsid w:val="00C173D8"/>
    <w:rsid w:val="00C1741A"/>
    <w:rsid w:val="00C17B3E"/>
    <w:rsid w:val="00C204A8"/>
    <w:rsid w:val="00C20D2F"/>
    <w:rsid w:val="00C217AF"/>
    <w:rsid w:val="00C21C0E"/>
    <w:rsid w:val="00C21DBE"/>
    <w:rsid w:val="00C22467"/>
    <w:rsid w:val="00C22488"/>
    <w:rsid w:val="00C224A4"/>
    <w:rsid w:val="00C2259F"/>
    <w:rsid w:val="00C2269F"/>
    <w:rsid w:val="00C22811"/>
    <w:rsid w:val="00C22EC6"/>
    <w:rsid w:val="00C230C3"/>
    <w:rsid w:val="00C23195"/>
    <w:rsid w:val="00C232A7"/>
    <w:rsid w:val="00C23324"/>
    <w:rsid w:val="00C23597"/>
    <w:rsid w:val="00C23613"/>
    <w:rsid w:val="00C2375C"/>
    <w:rsid w:val="00C23858"/>
    <w:rsid w:val="00C238FB"/>
    <w:rsid w:val="00C23EB0"/>
    <w:rsid w:val="00C241E6"/>
    <w:rsid w:val="00C2424A"/>
    <w:rsid w:val="00C2449E"/>
    <w:rsid w:val="00C24831"/>
    <w:rsid w:val="00C249EB"/>
    <w:rsid w:val="00C249FD"/>
    <w:rsid w:val="00C2522C"/>
    <w:rsid w:val="00C25286"/>
    <w:rsid w:val="00C252FB"/>
    <w:rsid w:val="00C25346"/>
    <w:rsid w:val="00C25391"/>
    <w:rsid w:val="00C257B1"/>
    <w:rsid w:val="00C25D1F"/>
    <w:rsid w:val="00C25DE3"/>
    <w:rsid w:val="00C26F05"/>
    <w:rsid w:val="00C272DA"/>
    <w:rsid w:val="00C2780D"/>
    <w:rsid w:val="00C30CF0"/>
    <w:rsid w:val="00C30D3C"/>
    <w:rsid w:val="00C30FDB"/>
    <w:rsid w:val="00C31091"/>
    <w:rsid w:val="00C315DF"/>
    <w:rsid w:val="00C320AF"/>
    <w:rsid w:val="00C321B3"/>
    <w:rsid w:val="00C322E8"/>
    <w:rsid w:val="00C32AF2"/>
    <w:rsid w:val="00C32FAD"/>
    <w:rsid w:val="00C33852"/>
    <w:rsid w:val="00C338AF"/>
    <w:rsid w:val="00C33DD9"/>
    <w:rsid w:val="00C34035"/>
    <w:rsid w:val="00C34208"/>
    <w:rsid w:val="00C344FB"/>
    <w:rsid w:val="00C34549"/>
    <w:rsid w:val="00C3489A"/>
    <w:rsid w:val="00C3493C"/>
    <w:rsid w:val="00C34D08"/>
    <w:rsid w:val="00C35310"/>
    <w:rsid w:val="00C3551A"/>
    <w:rsid w:val="00C358DF"/>
    <w:rsid w:val="00C35E18"/>
    <w:rsid w:val="00C35EC9"/>
    <w:rsid w:val="00C363DD"/>
    <w:rsid w:val="00C36875"/>
    <w:rsid w:val="00C368BF"/>
    <w:rsid w:val="00C36C29"/>
    <w:rsid w:val="00C36D99"/>
    <w:rsid w:val="00C36FBD"/>
    <w:rsid w:val="00C400A2"/>
    <w:rsid w:val="00C40801"/>
    <w:rsid w:val="00C40AC2"/>
    <w:rsid w:val="00C417A1"/>
    <w:rsid w:val="00C420B0"/>
    <w:rsid w:val="00C42C66"/>
    <w:rsid w:val="00C42F58"/>
    <w:rsid w:val="00C43329"/>
    <w:rsid w:val="00C43575"/>
    <w:rsid w:val="00C435D3"/>
    <w:rsid w:val="00C43743"/>
    <w:rsid w:val="00C43945"/>
    <w:rsid w:val="00C441D2"/>
    <w:rsid w:val="00C44571"/>
    <w:rsid w:val="00C44ACC"/>
    <w:rsid w:val="00C44C63"/>
    <w:rsid w:val="00C4558F"/>
    <w:rsid w:val="00C45CD7"/>
    <w:rsid w:val="00C46AF5"/>
    <w:rsid w:val="00C46B73"/>
    <w:rsid w:val="00C475F3"/>
    <w:rsid w:val="00C47961"/>
    <w:rsid w:val="00C47AED"/>
    <w:rsid w:val="00C47DB5"/>
    <w:rsid w:val="00C47FBA"/>
    <w:rsid w:val="00C50550"/>
    <w:rsid w:val="00C50D8B"/>
    <w:rsid w:val="00C518CA"/>
    <w:rsid w:val="00C51955"/>
    <w:rsid w:val="00C51C66"/>
    <w:rsid w:val="00C51EA2"/>
    <w:rsid w:val="00C52717"/>
    <w:rsid w:val="00C52844"/>
    <w:rsid w:val="00C5325B"/>
    <w:rsid w:val="00C5342D"/>
    <w:rsid w:val="00C53637"/>
    <w:rsid w:val="00C537D7"/>
    <w:rsid w:val="00C53ACC"/>
    <w:rsid w:val="00C53E89"/>
    <w:rsid w:val="00C53FD9"/>
    <w:rsid w:val="00C54498"/>
    <w:rsid w:val="00C55392"/>
    <w:rsid w:val="00C55696"/>
    <w:rsid w:val="00C55B69"/>
    <w:rsid w:val="00C55C1B"/>
    <w:rsid w:val="00C566BE"/>
    <w:rsid w:val="00C567AD"/>
    <w:rsid w:val="00C567F5"/>
    <w:rsid w:val="00C56924"/>
    <w:rsid w:val="00C56CB8"/>
    <w:rsid w:val="00C574F0"/>
    <w:rsid w:val="00C57B35"/>
    <w:rsid w:val="00C57C22"/>
    <w:rsid w:val="00C57D7F"/>
    <w:rsid w:val="00C60043"/>
    <w:rsid w:val="00C60317"/>
    <w:rsid w:val="00C61199"/>
    <w:rsid w:val="00C612E8"/>
    <w:rsid w:val="00C61A5B"/>
    <w:rsid w:val="00C61DE5"/>
    <w:rsid w:val="00C62078"/>
    <w:rsid w:val="00C624D4"/>
    <w:rsid w:val="00C62E53"/>
    <w:rsid w:val="00C630AA"/>
    <w:rsid w:val="00C63919"/>
    <w:rsid w:val="00C63CF5"/>
    <w:rsid w:val="00C63DCB"/>
    <w:rsid w:val="00C6409D"/>
    <w:rsid w:val="00C645D0"/>
    <w:rsid w:val="00C64E24"/>
    <w:rsid w:val="00C6506E"/>
    <w:rsid w:val="00C652CC"/>
    <w:rsid w:val="00C65480"/>
    <w:rsid w:val="00C65CFC"/>
    <w:rsid w:val="00C66294"/>
    <w:rsid w:val="00C664BD"/>
    <w:rsid w:val="00C67603"/>
    <w:rsid w:val="00C6794F"/>
    <w:rsid w:val="00C67D3A"/>
    <w:rsid w:val="00C70483"/>
    <w:rsid w:val="00C70C98"/>
    <w:rsid w:val="00C70E82"/>
    <w:rsid w:val="00C71059"/>
    <w:rsid w:val="00C71A50"/>
    <w:rsid w:val="00C72157"/>
    <w:rsid w:val="00C72238"/>
    <w:rsid w:val="00C7253B"/>
    <w:rsid w:val="00C72545"/>
    <w:rsid w:val="00C7297A"/>
    <w:rsid w:val="00C7321C"/>
    <w:rsid w:val="00C73629"/>
    <w:rsid w:val="00C73857"/>
    <w:rsid w:val="00C73B23"/>
    <w:rsid w:val="00C743EF"/>
    <w:rsid w:val="00C74B20"/>
    <w:rsid w:val="00C75102"/>
    <w:rsid w:val="00C75243"/>
    <w:rsid w:val="00C76672"/>
    <w:rsid w:val="00C76A1D"/>
    <w:rsid w:val="00C76DDF"/>
    <w:rsid w:val="00C76F8C"/>
    <w:rsid w:val="00C770F5"/>
    <w:rsid w:val="00C77EFA"/>
    <w:rsid w:val="00C80104"/>
    <w:rsid w:val="00C80372"/>
    <w:rsid w:val="00C80559"/>
    <w:rsid w:val="00C8080C"/>
    <w:rsid w:val="00C8089E"/>
    <w:rsid w:val="00C8090A"/>
    <w:rsid w:val="00C80CF0"/>
    <w:rsid w:val="00C81B1C"/>
    <w:rsid w:val="00C81DBC"/>
    <w:rsid w:val="00C81FB5"/>
    <w:rsid w:val="00C82330"/>
    <w:rsid w:val="00C82CEA"/>
    <w:rsid w:val="00C82E5D"/>
    <w:rsid w:val="00C82FAA"/>
    <w:rsid w:val="00C8320C"/>
    <w:rsid w:val="00C83E59"/>
    <w:rsid w:val="00C83F35"/>
    <w:rsid w:val="00C844A4"/>
    <w:rsid w:val="00C84DAE"/>
    <w:rsid w:val="00C84EBD"/>
    <w:rsid w:val="00C8586E"/>
    <w:rsid w:val="00C85EDD"/>
    <w:rsid w:val="00C86AAB"/>
    <w:rsid w:val="00C900DE"/>
    <w:rsid w:val="00C90211"/>
    <w:rsid w:val="00C9052D"/>
    <w:rsid w:val="00C90740"/>
    <w:rsid w:val="00C90A38"/>
    <w:rsid w:val="00C90B57"/>
    <w:rsid w:val="00C90CC1"/>
    <w:rsid w:val="00C90DAE"/>
    <w:rsid w:val="00C9110B"/>
    <w:rsid w:val="00C912C9"/>
    <w:rsid w:val="00C917DB"/>
    <w:rsid w:val="00C91A18"/>
    <w:rsid w:val="00C91ABB"/>
    <w:rsid w:val="00C91B64"/>
    <w:rsid w:val="00C91D20"/>
    <w:rsid w:val="00C91FB0"/>
    <w:rsid w:val="00C920D0"/>
    <w:rsid w:val="00C9210A"/>
    <w:rsid w:val="00C925E3"/>
    <w:rsid w:val="00C9269A"/>
    <w:rsid w:val="00C926CD"/>
    <w:rsid w:val="00C92F78"/>
    <w:rsid w:val="00C93078"/>
    <w:rsid w:val="00C93339"/>
    <w:rsid w:val="00C93358"/>
    <w:rsid w:val="00C93473"/>
    <w:rsid w:val="00C93505"/>
    <w:rsid w:val="00C9371E"/>
    <w:rsid w:val="00C93852"/>
    <w:rsid w:val="00C93E98"/>
    <w:rsid w:val="00C94005"/>
    <w:rsid w:val="00C94184"/>
    <w:rsid w:val="00C94512"/>
    <w:rsid w:val="00C946B7"/>
    <w:rsid w:val="00C94834"/>
    <w:rsid w:val="00C95A22"/>
    <w:rsid w:val="00C95AFF"/>
    <w:rsid w:val="00C95BFD"/>
    <w:rsid w:val="00C96626"/>
    <w:rsid w:val="00C968C1"/>
    <w:rsid w:val="00C96AFB"/>
    <w:rsid w:val="00CA00CF"/>
    <w:rsid w:val="00CA0712"/>
    <w:rsid w:val="00CA25F2"/>
    <w:rsid w:val="00CA2891"/>
    <w:rsid w:val="00CA2B2E"/>
    <w:rsid w:val="00CA32E8"/>
    <w:rsid w:val="00CA4157"/>
    <w:rsid w:val="00CA4459"/>
    <w:rsid w:val="00CA4875"/>
    <w:rsid w:val="00CA4915"/>
    <w:rsid w:val="00CA4EE1"/>
    <w:rsid w:val="00CA602A"/>
    <w:rsid w:val="00CA6125"/>
    <w:rsid w:val="00CA61D2"/>
    <w:rsid w:val="00CA63FE"/>
    <w:rsid w:val="00CA6A72"/>
    <w:rsid w:val="00CA6E9F"/>
    <w:rsid w:val="00CA7AA9"/>
    <w:rsid w:val="00CA7AB5"/>
    <w:rsid w:val="00CA7B1E"/>
    <w:rsid w:val="00CA7E9F"/>
    <w:rsid w:val="00CB088A"/>
    <w:rsid w:val="00CB0BEA"/>
    <w:rsid w:val="00CB0C24"/>
    <w:rsid w:val="00CB1482"/>
    <w:rsid w:val="00CB175B"/>
    <w:rsid w:val="00CB2044"/>
    <w:rsid w:val="00CB20D3"/>
    <w:rsid w:val="00CB2596"/>
    <w:rsid w:val="00CB28A1"/>
    <w:rsid w:val="00CB29DF"/>
    <w:rsid w:val="00CB349E"/>
    <w:rsid w:val="00CB3549"/>
    <w:rsid w:val="00CB35C4"/>
    <w:rsid w:val="00CB3D9E"/>
    <w:rsid w:val="00CB3E95"/>
    <w:rsid w:val="00CB4077"/>
    <w:rsid w:val="00CB488E"/>
    <w:rsid w:val="00CB4A8E"/>
    <w:rsid w:val="00CB5727"/>
    <w:rsid w:val="00CB6206"/>
    <w:rsid w:val="00CB63C9"/>
    <w:rsid w:val="00CB7AE5"/>
    <w:rsid w:val="00CC0556"/>
    <w:rsid w:val="00CC07D1"/>
    <w:rsid w:val="00CC095B"/>
    <w:rsid w:val="00CC0FED"/>
    <w:rsid w:val="00CC115B"/>
    <w:rsid w:val="00CC1420"/>
    <w:rsid w:val="00CC15A7"/>
    <w:rsid w:val="00CC1B11"/>
    <w:rsid w:val="00CC1C9C"/>
    <w:rsid w:val="00CC1FBD"/>
    <w:rsid w:val="00CC2710"/>
    <w:rsid w:val="00CC304F"/>
    <w:rsid w:val="00CC3672"/>
    <w:rsid w:val="00CC36E0"/>
    <w:rsid w:val="00CC381D"/>
    <w:rsid w:val="00CC3AD1"/>
    <w:rsid w:val="00CC3D46"/>
    <w:rsid w:val="00CC48D1"/>
    <w:rsid w:val="00CC516A"/>
    <w:rsid w:val="00CC5B9A"/>
    <w:rsid w:val="00CC5D66"/>
    <w:rsid w:val="00CC66BC"/>
    <w:rsid w:val="00CC69E1"/>
    <w:rsid w:val="00CC6A67"/>
    <w:rsid w:val="00CC6A9D"/>
    <w:rsid w:val="00CC6D8D"/>
    <w:rsid w:val="00CC7226"/>
    <w:rsid w:val="00CC7614"/>
    <w:rsid w:val="00CC7EEF"/>
    <w:rsid w:val="00CC7F2B"/>
    <w:rsid w:val="00CD0499"/>
    <w:rsid w:val="00CD0A21"/>
    <w:rsid w:val="00CD0B83"/>
    <w:rsid w:val="00CD118C"/>
    <w:rsid w:val="00CD1899"/>
    <w:rsid w:val="00CD25BE"/>
    <w:rsid w:val="00CD2A12"/>
    <w:rsid w:val="00CD2C84"/>
    <w:rsid w:val="00CD2CAC"/>
    <w:rsid w:val="00CD3378"/>
    <w:rsid w:val="00CD428A"/>
    <w:rsid w:val="00CD4C77"/>
    <w:rsid w:val="00CD5326"/>
    <w:rsid w:val="00CD588E"/>
    <w:rsid w:val="00CD5A93"/>
    <w:rsid w:val="00CD5A96"/>
    <w:rsid w:val="00CD6CC8"/>
    <w:rsid w:val="00CD7855"/>
    <w:rsid w:val="00CD79FD"/>
    <w:rsid w:val="00CD7D63"/>
    <w:rsid w:val="00CD7D65"/>
    <w:rsid w:val="00CE022C"/>
    <w:rsid w:val="00CE0640"/>
    <w:rsid w:val="00CE094F"/>
    <w:rsid w:val="00CE0EEE"/>
    <w:rsid w:val="00CE17B7"/>
    <w:rsid w:val="00CE3416"/>
    <w:rsid w:val="00CE3542"/>
    <w:rsid w:val="00CE3BB4"/>
    <w:rsid w:val="00CE403C"/>
    <w:rsid w:val="00CE4416"/>
    <w:rsid w:val="00CE44D3"/>
    <w:rsid w:val="00CE5081"/>
    <w:rsid w:val="00CE53B1"/>
    <w:rsid w:val="00CE552C"/>
    <w:rsid w:val="00CE57F1"/>
    <w:rsid w:val="00CE59A0"/>
    <w:rsid w:val="00CE6AA7"/>
    <w:rsid w:val="00CE6BC1"/>
    <w:rsid w:val="00CE6DE6"/>
    <w:rsid w:val="00CE76F6"/>
    <w:rsid w:val="00CE78BC"/>
    <w:rsid w:val="00CE7E0A"/>
    <w:rsid w:val="00CF0CDE"/>
    <w:rsid w:val="00CF1D93"/>
    <w:rsid w:val="00CF1F6D"/>
    <w:rsid w:val="00CF2193"/>
    <w:rsid w:val="00CF24D9"/>
    <w:rsid w:val="00CF2915"/>
    <w:rsid w:val="00CF2B30"/>
    <w:rsid w:val="00CF2C63"/>
    <w:rsid w:val="00CF3445"/>
    <w:rsid w:val="00CF4113"/>
    <w:rsid w:val="00CF49E4"/>
    <w:rsid w:val="00CF4BE5"/>
    <w:rsid w:val="00CF4C18"/>
    <w:rsid w:val="00CF4F71"/>
    <w:rsid w:val="00CF52B0"/>
    <w:rsid w:val="00CF52C8"/>
    <w:rsid w:val="00CF552A"/>
    <w:rsid w:val="00CF55B9"/>
    <w:rsid w:val="00CF57FA"/>
    <w:rsid w:val="00CF626B"/>
    <w:rsid w:val="00CF6F6A"/>
    <w:rsid w:val="00CF70E1"/>
    <w:rsid w:val="00CF7166"/>
    <w:rsid w:val="00CF7AD6"/>
    <w:rsid w:val="00CF7BDD"/>
    <w:rsid w:val="00D00C0D"/>
    <w:rsid w:val="00D012D8"/>
    <w:rsid w:val="00D015CB"/>
    <w:rsid w:val="00D01D04"/>
    <w:rsid w:val="00D01FD9"/>
    <w:rsid w:val="00D020D2"/>
    <w:rsid w:val="00D02AC1"/>
    <w:rsid w:val="00D02C2E"/>
    <w:rsid w:val="00D02D65"/>
    <w:rsid w:val="00D03514"/>
    <w:rsid w:val="00D03878"/>
    <w:rsid w:val="00D03F7A"/>
    <w:rsid w:val="00D0426B"/>
    <w:rsid w:val="00D045AB"/>
    <w:rsid w:val="00D04756"/>
    <w:rsid w:val="00D04986"/>
    <w:rsid w:val="00D05595"/>
    <w:rsid w:val="00D055D6"/>
    <w:rsid w:val="00D058CC"/>
    <w:rsid w:val="00D05925"/>
    <w:rsid w:val="00D06AAF"/>
    <w:rsid w:val="00D06C26"/>
    <w:rsid w:val="00D06C7D"/>
    <w:rsid w:val="00D06DF9"/>
    <w:rsid w:val="00D06E26"/>
    <w:rsid w:val="00D07A82"/>
    <w:rsid w:val="00D07F7C"/>
    <w:rsid w:val="00D10FBF"/>
    <w:rsid w:val="00D110FB"/>
    <w:rsid w:val="00D11270"/>
    <w:rsid w:val="00D11361"/>
    <w:rsid w:val="00D11372"/>
    <w:rsid w:val="00D11D5D"/>
    <w:rsid w:val="00D1226D"/>
    <w:rsid w:val="00D13B8D"/>
    <w:rsid w:val="00D141EC"/>
    <w:rsid w:val="00D14274"/>
    <w:rsid w:val="00D1452C"/>
    <w:rsid w:val="00D14971"/>
    <w:rsid w:val="00D14ACA"/>
    <w:rsid w:val="00D14AE3"/>
    <w:rsid w:val="00D14C87"/>
    <w:rsid w:val="00D14E60"/>
    <w:rsid w:val="00D14FBB"/>
    <w:rsid w:val="00D15C87"/>
    <w:rsid w:val="00D16283"/>
    <w:rsid w:val="00D16395"/>
    <w:rsid w:val="00D163F1"/>
    <w:rsid w:val="00D1669E"/>
    <w:rsid w:val="00D16821"/>
    <w:rsid w:val="00D1713E"/>
    <w:rsid w:val="00D17207"/>
    <w:rsid w:val="00D17A3F"/>
    <w:rsid w:val="00D201DE"/>
    <w:rsid w:val="00D2033B"/>
    <w:rsid w:val="00D207DF"/>
    <w:rsid w:val="00D2141F"/>
    <w:rsid w:val="00D21BD3"/>
    <w:rsid w:val="00D228E0"/>
    <w:rsid w:val="00D22B5E"/>
    <w:rsid w:val="00D233FC"/>
    <w:rsid w:val="00D244D9"/>
    <w:rsid w:val="00D249A8"/>
    <w:rsid w:val="00D24EE5"/>
    <w:rsid w:val="00D25066"/>
    <w:rsid w:val="00D251A2"/>
    <w:rsid w:val="00D25217"/>
    <w:rsid w:val="00D2547F"/>
    <w:rsid w:val="00D25F6D"/>
    <w:rsid w:val="00D2695F"/>
    <w:rsid w:val="00D26CB7"/>
    <w:rsid w:val="00D26E4B"/>
    <w:rsid w:val="00D272CE"/>
    <w:rsid w:val="00D2788F"/>
    <w:rsid w:val="00D303D3"/>
    <w:rsid w:val="00D305F6"/>
    <w:rsid w:val="00D30ABF"/>
    <w:rsid w:val="00D30D67"/>
    <w:rsid w:val="00D31722"/>
    <w:rsid w:val="00D31842"/>
    <w:rsid w:val="00D318F5"/>
    <w:rsid w:val="00D31D85"/>
    <w:rsid w:val="00D32027"/>
    <w:rsid w:val="00D323DD"/>
    <w:rsid w:val="00D3249A"/>
    <w:rsid w:val="00D32694"/>
    <w:rsid w:val="00D3293D"/>
    <w:rsid w:val="00D3313B"/>
    <w:rsid w:val="00D33B6D"/>
    <w:rsid w:val="00D33F4E"/>
    <w:rsid w:val="00D348B0"/>
    <w:rsid w:val="00D34A18"/>
    <w:rsid w:val="00D34A34"/>
    <w:rsid w:val="00D34AB8"/>
    <w:rsid w:val="00D34C08"/>
    <w:rsid w:val="00D3501B"/>
    <w:rsid w:val="00D35497"/>
    <w:rsid w:val="00D35B42"/>
    <w:rsid w:val="00D35F13"/>
    <w:rsid w:val="00D3601C"/>
    <w:rsid w:val="00D36511"/>
    <w:rsid w:val="00D3654E"/>
    <w:rsid w:val="00D3671E"/>
    <w:rsid w:val="00D3711D"/>
    <w:rsid w:val="00D3715C"/>
    <w:rsid w:val="00D372C2"/>
    <w:rsid w:val="00D37596"/>
    <w:rsid w:val="00D40033"/>
    <w:rsid w:val="00D4003F"/>
    <w:rsid w:val="00D40349"/>
    <w:rsid w:val="00D4043D"/>
    <w:rsid w:val="00D40762"/>
    <w:rsid w:val="00D40B2E"/>
    <w:rsid w:val="00D412DE"/>
    <w:rsid w:val="00D41DE5"/>
    <w:rsid w:val="00D423C9"/>
    <w:rsid w:val="00D424D2"/>
    <w:rsid w:val="00D42828"/>
    <w:rsid w:val="00D42D8F"/>
    <w:rsid w:val="00D42FAA"/>
    <w:rsid w:val="00D43054"/>
    <w:rsid w:val="00D4359D"/>
    <w:rsid w:val="00D43D54"/>
    <w:rsid w:val="00D43F8D"/>
    <w:rsid w:val="00D43FCA"/>
    <w:rsid w:val="00D44005"/>
    <w:rsid w:val="00D44335"/>
    <w:rsid w:val="00D4476A"/>
    <w:rsid w:val="00D44949"/>
    <w:rsid w:val="00D44A4C"/>
    <w:rsid w:val="00D44F31"/>
    <w:rsid w:val="00D45095"/>
    <w:rsid w:val="00D4513E"/>
    <w:rsid w:val="00D458CA"/>
    <w:rsid w:val="00D45DBA"/>
    <w:rsid w:val="00D4658A"/>
    <w:rsid w:val="00D466D7"/>
    <w:rsid w:val="00D4670B"/>
    <w:rsid w:val="00D46A50"/>
    <w:rsid w:val="00D46CA5"/>
    <w:rsid w:val="00D46ED7"/>
    <w:rsid w:val="00D473F6"/>
    <w:rsid w:val="00D47BA7"/>
    <w:rsid w:val="00D47D79"/>
    <w:rsid w:val="00D47DF1"/>
    <w:rsid w:val="00D50021"/>
    <w:rsid w:val="00D50D1C"/>
    <w:rsid w:val="00D5133C"/>
    <w:rsid w:val="00D513D4"/>
    <w:rsid w:val="00D5152A"/>
    <w:rsid w:val="00D516B6"/>
    <w:rsid w:val="00D5182E"/>
    <w:rsid w:val="00D51DF9"/>
    <w:rsid w:val="00D5246E"/>
    <w:rsid w:val="00D5248F"/>
    <w:rsid w:val="00D52ADE"/>
    <w:rsid w:val="00D53368"/>
    <w:rsid w:val="00D53C81"/>
    <w:rsid w:val="00D540DC"/>
    <w:rsid w:val="00D5442B"/>
    <w:rsid w:val="00D5468A"/>
    <w:rsid w:val="00D54D56"/>
    <w:rsid w:val="00D54DD7"/>
    <w:rsid w:val="00D55028"/>
    <w:rsid w:val="00D55A46"/>
    <w:rsid w:val="00D5689A"/>
    <w:rsid w:val="00D568F8"/>
    <w:rsid w:val="00D56CE3"/>
    <w:rsid w:val="00D5752A"/>
    <w:rsid w:val="00D57A9A"/>
    <w:rsid w:val="00D57AA4"/>
    <w:rsid w:val="00D60737"/>
    <w:rsid w:val="00D60B61"/>
    <w:rsid w:val="00D61637"/>
    <w:rsid w:val="00D61FC2"/>
    <w:rsid w:val="00D6200E"/>
    <w:rsid w:val="00D62692"/>
    <w:rsid w:val="00D626C0"/>
    <w:rsid w:val="00D62BDE"/>
    <w:rsid w:val="00D63267"/>
    <w:rsid w:val="00D647AB"/>
    <w:rsid w:val="00D64FB7"/>
    <w:rsid w:val="00D650CB"/>
    <w:rsid w:val="00D65776"/>
    <w:rsid w:val="00D6598C"/>
    <w:rsid w:val="00D65A09"/>
    <w:rsid w:val="00D66949"/>
    <w:rsid w:val="00D67299"/>
    <w:rsid w:val="00D674A8"/>
    <w:rsid w:val="00D67575"/>
    <w:rsid w:val="00D67809"/>
    <w:rsid w:val="00D70433"/>
    <w:rsid w:val="00D70BC1"/>
    <w:rsid w:val="00D71628"/>
    <w:rsid w:val="00D716A3"/>
    <w:rsid w:val="00D717F0"/>
    <w:rsid w:val="00D71D2A"/>
    <w:rsid w:val="00D71F06"/>
    <w:rsid w:val="00D71FDF"/>
    <w:rsid w:val="00D725F0"/>
    <w:rsid w:val="00D7395B"/>
    <w:rsid w:val="00D73988"/>
    <w:rsid w:val="00D73B69"/>
    <w:rsid w:val="00D747DD"/>
    <w:rsid w:val="00D74C6C"/>
    <w:rsid w:val="00D74D51"/>
    <w:rsid w:val="00D74EA9"/>
    <w:rsid w:val="00D74FEF"/>
    <w:rsid w:val="00D75796"/>
    <w:rsid w:val="00D75B28"/>
    <w:rsid w:val="00D76049"/>
    <w:rsid w:val="00D7622E"/>
    <w:rsid w:val="00D765BE"/>
    <w:rsid w:val="00D768BA"/>
    <w:rsid w:val="00D76BFF"/>
    <w:rsid w:val="00D76C19"/>
    <w:rsid w:val="00D76C9D"/>
    <w:rsid w:val="00D777F6"/>
    <w:rsid w:val="00D778AF"/>
    <w:rsid w:val="00D803AC"/>
    <w:rsid w:val="00D804BB"/>
    <w:rsid w:val="00D804F4"/>
    <w:rsid w:val="00D8057F"/>
    <w:rsid w:val="00D8060C"/>
    <w:rsid w:val="00D809E9"/>
    <w:rsid w:val="00D80B07"/>
    <w:rsid w:val="00D80CD8"/>
    <w:rsid w:val="00D81FBF"/>
    <w:rsid w:val="00D821BC"/>
    <w:rsid w:val="00D82308"/>
    <w:rsid w:val="00D827B0"/>
    <w:rsid w:val="00D8300C"/>
    <w:rsid w:val="00D83376"/>
    <w:rsid w:val="00D83506"/>
    <w:rsid w:val="00D8358A"/>
    <w:rsid w:val="00D836FF"/>
    <w:rsid w:val="00D83870"/>
    <w:rsid w:val="00D83A03"/>
    <w:rsid w:val="00D83A65"/>
    <w:rsid w:val="00D8432B"/>
    <w:rsid w:val="00D84691"/>
    <w:rsid w:val="00D8473C"/>
    <w:rsid w:val="00D84FB8"/>
    <w:rsid w:val="00D85112"/>
    <w:rsid w:val="00D859CF"/>
    <w:rsid w:val="00D85A98"/>
    <w:rsid w:val="00D85CBE"/>
    <w:rsid w:val="00D86859"/>
    <w:rsid w:val="00D86B7E"/>
    <w:rsid w:val="00D86CC5"/>
    <w:rsid w:val="00D86E9A"/>
    <w:rsid w:val="00D871D3"/>
    <w:rsid w:val="00D87233"/>
    <w:rsid w:val="00D87E7C"/>
    <w:rsid w:val="00D9067B"/>
    <w:rsid w:val="00D91E1F"/>
    <w:rsid w:val="00D91E66"/>
    <w:rsid w:val="00D9209E"/>
    <w:rsid w:val="00D923BF"/>
    <w:rsid w:val="00D92465"/>
    <w:rsid w:val="00D92A68"/>
    <w:rsid w:val="00D92D66"/>
    <w:rsid w:val="00D92FEA"/>
    <w:rsid w:val="00D939B8"/>
    <w:rsid w:val="00D9473E"/>
    <w:rsid w:val="00D947C0"/>
    <w:rsid w:val="00D949A5"/>
    <w:rsid w:val="00D954A7"/>
    <w:rsid w:val="00D95615"/>
    <w:rsid w:val="00D956F9"/>
    <w:rsid w:val="00D957B6"/>
    <w:rsid w:val="00D95FD8"/>
    <w:rsid w:val="00D96015"/>
    <w:rsid w:val="00D9627F"/>
    <w:rsid w:val="00D965BE"/>
    <w:rsid w:val="00D967A1"/>
    <w:rsid w:val="00D968FA"/>
    <w:rsid w:val="00D96BEA"/>
    <w:rsid w:val="00D972F5"/>
    <w:rsid w:val="00D97A9D"/>
    <w:rsid w:val="00DA0865"/>
    <w:rsid w:val="00DA15FB"/>
    <w:rsid w:val="00DA180E"/>
    <w:rsid w:val="00DA1926"/>
    <w:rsid w:val="00DA1B4D"/>
    <w:rsid w:val="00DA1B7B"/>
    <w:rsid w:val="00DA1D4C"/>
    <w:rsid w:val="00DA1E4A"/>
    <w:rsid w:val="00DA2652"/>
    <w:rsid w:val="00DA267F"/>
    <w:rsid w:val="00DA27DD"/>
    <w:rsid w:val="00DA313A"/>
    <w:rsid w:val="00DA39FF"/>
    <w:rsid w:val="00DA3C8C"/>
    <w:rsid w:val="00DA3DEE"/>
    <w:rsid w:val="00DA3F96"/>
    <w:rsid w:val="00DA46BA"/>
    <w:rsid w:val="00DA471A"/>
    <w:rsid w:val="00DA4A96"/>
    <w:rsid w:val="00DA4C94"/>
    <w:rsid w:val="00DA4DE0"/>
    <w:rsid w:val="00DA58C3"/>
    <w:rsid w:val="00DA629A"/>
    <w:rsid w:val="00DA6489"/>
    <w:rsid w:val="00DA67B8"/>
    <w:rsid w:val="00DA6BD8"/>
    <w:rsid w:val="00DA6E5A"/>
    <w:rsid w:val="00DA7ED1"/>
    <w:rsid w:val="00DB1102"/>
    <w:rsid w:val="00DB1344"/>
    <w:rsid w:val="00DB167F"/>
    <w:rsid w:val="00DB1E39"/>
    <w:rsid w:val="00DB2197"/>
    <w:rsid w:val="00DB2322"/>
    <w:rsid w:val="00DB2349"/>
    <w:rsid w:val="00DB23B5"/>
    <w:rsid w:val="00DB2435"/>
    <w:rsid w:val="00DB26E4"/>
    <w:rsid w:val="00DB2885"/>
    <w:rsid w:val="00DB36C0"/>
    <w:rsid w:val="00DB3FD0"/>
    <w:rsid w:val="00DB4103"/>
    <w:rsid w:val="00DB412E"/>
    <w:rsid w:val="00DB499D"/>
    <w:rsid w:val="00DB4DEA"/>
    <w:rsid w:val="00DB556F"/>
    <w:rsid w:val="00DB5C45"/>
    <w:rsid w:val="00DB61C9"/>
    <w:rsid w:val="00DB6885"/>
    <w:rsid w:val="00DB6961"/>
    <w:rsid w:val="00DB703F"/>
    <w:rsid w:val="00DB74FD"/>
    <w:rsid w:val="00DB7664"/>
    <w:rsid w:val="00DC0248"/>
    <w:rsid w:val="00DC0371"/>
    <w:rsid w:val="00DC0377"/>
    <w:rsid w:val="00DC056A"/>
    <w:rsid w:val="00DC080A"/>
    <w:rsid w:val="00DC0841"/>
    <w:rsid w:val="00DC1210"/>
    <w:rsid w:val="00DC1533"/>
    <w:rsid w:val="00DC1CDF"/>
    <w:rsid w:val="00DC2336"/>
    <w:rsid w:val="00DC24D3"/>
    <w:rsid w:val="00DC2E56"/>
    <w:rsid w:val="00DC31D1"/>
    <w:rsid w:val="00DC3303"/>
    <w:rsid w:val="00DC3948"/>
    <w:rsid w:val="00DC3A3A"/>
    <w:rsid w:val="00DC3C89"/>
    <w:rsid w:val="00DC42B3"/>
    <w:rsid w:val="00DC46D6"/>
    <w:rsid w:val="00DC48D0"/>
    <w:rsid w:val="00DC4A49"/>
    <w:rsid w:val="00DC4A7B"/>
    <w:rsid w:val="00DC4AA1"/>
    <w:rsid w:val="00DC4B67"/>
    <w:rsid w:val="00DC4C5D"/>
    <w:rsid w:val="00DC5390"/>
    <w:rsid w:val="00DC5974"/>
    <w:rsid w:val="00DC72E1"/>
    <w:rsid w:val="00DC7897"/>
    <w:rsid w:val="00DC79CA"/>
    <w:rsid w:val="00DC7B07"/>
    <w:rsid w:val="00DD03E4"/>
    <w:rsid w:val="00DD181D"/>
    <w:rsid w:val="00DD1B27"/>
    <w:rsid w:val="00DD2113"/>
    <w:rsid w:val="00DD2382"/>
    <w:rsid w:val="00DD2614"/>
    <w:rsid w:val="00DD2EF8"/>
    <w:rsid w:val="00DD3042"/>
    <w:rsid w:val="00DD31A9"/>
    <w:rsid w:val="00DD3449"/>
    <w:rsid w:val="00DD3689"/>
    <w:rsid w:val="00DD3FCA"/>
    <w:rsid w:val="00DD47F1"/>
    <w:rsid w:val="00DD4819"/>
    <w:rsid w:val="00DD65FD"/>
    <w:rsid w:val="00DD76EC"/>
    <w:rsid w:val="00DD79A5"/>
    <w:rsid w:val="00DD7A69"/>
    <w:rsid w:val="00DE079F"/>
    <w:rsid w:val="00DE0CD3"/>
    <w:rsid w:val="00DE114D"/>
    <w:rsid w:val="00DE169C"/>
    <w:rsid w:val="00DE1B29"/>
    <w:rsid w:val="00DE20C6"/>
    <w:rsid w:val="00DE273A"/>
    <w:rsid w:val="00DE29C2"/>
    <w:rsid w:val="00DE2AEC"/>
    <w:rsid w:val="00DE2D87"/>
    <w:rsid w:val="00DE368A"/>
    <w:rsid w:val="00DE3846"/>
    <w:rsid w:val="00DE393A"/>
    <w:rsid w:val="00DE3E88"/>
    <w:rsid w:val="00DE54B3"/>
    <w:rsid w:val="00DE566E"/>
    <w:rsid w:val="00DE586F"/>
    <w:rsid w:val="00DE5ECE"/>
    <w:rsid w:val="00DE6272"/>
    <w:rsid w:val="00DE67BF"/>
    <w:rsid w:val="00DE67C7"/>
    <w:rsid w:val="00DE6833"/>
    <w:rsid w:val="00DE6954"/>
    <w:rsid w:val="00DE6AF0"/>
    <w:rsid w:val="00DE6B54"/>
    <w:rsid w:val="00DE6C4D"/>
    <w:rsid w:val="00DE738A"/>
    <w:rsid w:val="00DE7564"/>
    <w:rsid w:val="00DE7861"/>
    <w:rsid w:val="00DE78C2"/>
    <w:rsid w:val="00DE7BF3"/>
    <w:rsid w:val="00DE7E3E"/>
    <w:rsid w:val="00DF026D"/>
    <w:rsid w:val="00DF2498"/>
    <w:rsid w:val="00DF2683"/>
    <w:rsid w:val="00DF37D8"/>
    <w:rsid w:val="00DF3CDF"/>
    <w:rsid w:val="00DF3FF0"/>
    <w:rsid w:val="00DF429A"/>
    <w:rsid w:val="00DF4D10"/>
    <w:rsid w:val="00DF5436"/>
    <w:rsid w:val="00DF572C"/>
    <w:rsid w:val="00DF57F1"/>
    <w:rsid w:val="00DF5B60"/>
    <w:rsid w:val="00DF6465"/>
    <w:rsid w:val="00DF68FF"/>
    <w:rsid w:val="00DF6BF4"/>
    <w:rsid w:val="00DF6EDF"/>
    <w:rsid w:val="00DF7C3D"/>
    <w:rsid w:val="00E00425"/>
    <w:rsid w:val="00E0069B"/>
    <w:rsid w:val="00E00852"/>
    <w:rsid w:val="00E00902"/>
    <w:rsid w:val="00E00DBA"/>
    <w:rsid w:val="00E00E92"/>
    <w:rsid w:val="00E01B05"/>
    <w:rsid w:val="00E01C70"/>
    <w:rsid w:val="00E02024"/>
    <w:rsid w:val="00E0286B"/>
    <w:rsid w:val="00E02AB3"/>
    <w:rsid w:val="00E02B71"/>
    <w:rsid w:val="00E03083"/>
    <w:rsid w:val="00E03488"/>
    <w:rsid w:val="00E035BE"/>
    <w:rsid w:val="00E0398E"/>
    <w:rsid w:val="00E040A9"/>
    <w:rsid w:val="00E04584"/>
    <w:rsid w:val="00E04D42"/>
    <w:rsid w:val="00E04E4A"/>
    <w:rsid w:val="00E059AC"/>
    <w:rsid w:val="00E05CE2"/>
    <w:rsid w:val="00E06050"/>
    <w:rsid w:val="00E0615C"/>
    <w:rsid w:val="00E0659B"/>
    <w:rsid w:val="00E0671C"/>
    <w:rsid w:val="00E06E8B"/>
    <w:rsid w:val="00E07253"/>
    <w:rsid w:val="00E07F48"/>
    <w:rsid w:val="00E102F7"/>
    <w:rsid w:val="00E10404"/>
    <w:rsid w:val="00E10A2D"/>
    <w:rsid w:val="00E10C20"/>
    <w:rsid w:val="00E10D0B"/>
    <w:rsid w:val="00E11450"/>
    <w:rsid w:val="00E114B2"/>
    <w:rsid w:val="00E11B46"/>
    <w:rsid w:val="00E129D6"/>
    <w:rsid w:val="00E12C58"/>
    <w:rsid w:val="00E12E5D"/>
    <w:rsid w:val="00E12F70"/>
    <w:rsid w:val="00E13CBE"/>
    <w:rsid w:val="00E13EEE"/>
    <w:rsid w:val="00E146BC"/>
    <w:rsid w:val="00E14C93"/>
    <w:rsid w:val="00E14D99"/>
    <w:rsid w:val="00E14FB0"/>
    <w:rsid w:val="00E1593A"/>
    <w:rsid w:val="00E15E23"/>
    <w:rsid w:val="00E15EF1"/>
    <w:rsid w:val="00E1663F"/>
    <w:rsid w:val="00E16D9A"/>
    <w:rsid w:val="00E17AF0"/>
    <w:rsid w:val="00E2008E"/>
    <w:rsid w:val="00E20B06"/>
    <w:rsid w:val="00E21A8A"/>
    <w:rsid w:val="00E21ADE"/>
    <w:rsid w:val="00E225AB"/>
    <w:rsid w:val="00E22B5F"/>
    <w:rsid w:val="00E2324D"/>
    <w:rsid w:val="00E23591"/>
    <w:rsid w:val="00E23E5A"/>
    <w:rsid w:val="00E241F2"/>
    <w:rsid w:val="00E24C04"/>
    <w:rsid w:val="00E255E2"/>
    <w:rsid w:val="00E25785"/>
    <w:rsid w:val="00E25B22"/>
    <w:rsid w:val="00E264FD"/>
    <w:rsid w:val="00E26903"/>
    <w:rsid w:val="00E269F2"/>
    <w:rsid w:val="00E26BE5"/>
    <w:rsid w:val="00E26C26"/>
    <w:rsid w:val="00E27604"/>
    <w:rsid w:val="00E27E33"/>
    <w:rsid w:val="00E30AAF"/>
    <w:rsid w:val="00E30C64"/>
    <w:rsid w:val="00E30C9E"/>
    <w:rsid w:val="00E30CB6"/>
    <w:rsid w:val="00E30E4C"/>
    <w:rsid w:val="00E3150A"/>
    <w:rsid w:val="00E31A83"/>
    <w:rsid w:val="00E31B4C"/>
    <w:rsid w:val="00E31C30"/>
    <w:rsid w:val="00E31F80"/>
    <w:rsid w:val="00E327EF"/>
    <w:rsid w:val="00E33A1C"/>
    <w:rsid w:val="00E34438"/>
    <w:rsid w:val="00E348CC"/>
    <w:rsid w:val="00E34BB7"/>
    <w:rsid w:val="00E35A34"/>
    <w:rsid w:val="00E35DFA"/>
    <w:rsid w:val="00E35F19"/>
    <w:rsid w:val="00E361A0"/>
    <w:rsid w:val="00E36A83"/>
    <w:rsid w:val="00E36B89"/>
    <w:rsid w:val="00E3741E"/>
    <w:rsid w:val="00E37E4C"/>
    <w:rsid w:val="00E408B7"/>
    <w:rsid w:val="00E4119F"/>
    <w:rsid w:val="00E4149D"/>
    <w:rsid w:val="00E41944"/>
    <w:rsid w:val="00E41F84"/>
    <w:rsid w:val="00E425FB"/>
    <w:rsid w:val="00E4275F"/>
    <w:rsid w:val="00E429CA"/>
    <w:rsid w:val="00E4300E"/>
    <w:rsid w:val="00E4328A"/>
    <w:rsid w:val="00E4363A"/>
    <w:rsid w:val="00E43BF8"/>
    <w:rsid w:val="00E43CE2"/>
    <w:rsid w:val="00E43D85"/>
    <w:rsid w:val="00E43F81"/>
    <w:rsid w:val="00E4416A"/>
    <w:rsid w:val="00E441AD"/>
    <w:rsid w:val="00E4462B"/>
    <w:rsid w:val="00E4467E"/>
    <w:rsid w:val="00E45A0B"/>
    <w:rsid w:val="00E45F48"/>
    <w:rsid w:val="00E460BE"/>
    <w:rsid w:val="00E46B32"/>
    <w:rsid w:val="00E471F7"/>
    <w:rsid w:val="00E47821"/>
    <w:rsid w:val="00E47D70"/>
    <w:rsid w:val="00E51187"/>
    <w:rsid w:val="00E51845"/>
    <w:rsid w:val="00E51D22"/>
    <w:rsid w:val="00E52FE9"/>
    <w:rsid w:val="00E537CF"/>
    <w:rsid w:val="00E53BAD"/>
    <w:rsid w:val="00E53D00"/>
    <w:rsid w:val="00E53E95"/>
    <w:rsid w:val="00E5450F"/>
    <w:rsid w:val="00E545A7"/>
    <w:rsid w:val="00E5482C"/>
    <w:rsid w:val="00E54A4D"/>
    <w:rsid w:val="00E54D05"/>
    <w:rsid w:val="00E550E6"/>
    <w:rsid w:val="00E55996"/>
    <w:rsid w:val="00E55EC7"/>
    <w:rsid w:val="00E566A6"/>
    <w:rsid w:val="00E56C5B"/>
    <w:rsid w:val="00E56D4F"/>
    <w:rsid w:val="00E56E67"/>
    <w:rsid w:val="00E56F62"/>
    <w:rsid w:val="00E570D4"/>
    <w:rsid w:val="00E572F4"/>
    <w:rsid w:val="00E579BC"/>
    <w:rsid w:val="00E60E59"/>
    <w:rsid w:val="00E61A97"/>
    <w:rsid w:val="00E62543"/>
    <w:rsid w:val="00E62CC5"/>
    <w:rsid w:val="00E63549"/>
    <w:rsid w:val="00E639D8"/>
    <w:rsid w:val="00E63D85"/>
    <w:rsid w:val="00E63FE8"/>
    <w:rsid w:val="00E648F8"/>
    <w:rsid w:val="00E655FF"/>
    <w:rsid w:val="00E65C4A"/>
    <w:rsid w:val="00E660BD"/>
    <w:rsid w:val="00E66E2D"/>
    <w:rsid w:val="00E674EF"/>
    <w:rsid w:val="00E67590"/>
    <w:rsid w:val="00E67C0B"/>
    <w:rsid w:val="00E67F84"/>
    <w:rsid w:val="00E70325"/>
    <w:rsid w:val="00E7090A"/>
    <w:rsid w:val="00E70D6C"/>
    <w:rsid w:val="00E7122D"/>
    <w:rsid w:val="00E72098"/>
    <w:rsid w:val="00E72189"/>
    <w:rsid w:val="00E72896"/>
    <w:rsid w:val="00E72CA8"/>
    <w:rsid w:val="00E7317A"/>
    <w:rsid w:val="00E736D7"/>
    <w:rsid w:val="00E73AAC"/>
    <w:rsid w:val="00E73FBD"/>
    <w:rsid w:val="00E74514"/>
    <w:rsid w:val="00E745F5"/>
    <w:rsid w:val="00E74822"/>
    <w:rsid w:val="00E74B9A"/>
    <w:rsid w:val="00E74FBD"/>
    <w:rsid w:val="00E751DC"/>
    <w:rsid w:val="00E75419"/>
    <w:rsid w:val="00E75952"/>
    <w:rsid w:val="00E75B17"/>
    <w:rsid w:val="00E75BC5"/>
    <w:rsid w:val="00E76534"/>
    <w:rsid w:val="00E76677"/>
    <w:rsid w:val="00E76E97"/>
    <w:rsid w:val="00E77377"/>
    <w:rsid w:val="00E77597"/>
    <w:rsid w:val="00E7775D"/>
    <w:rsid w:val="00E80235"/>
    <w:rsid w:val="00E8067D"/>
    <w:rsid w:val="00E807D8"/>
    <w:rsid w:val="00E80DCC"/>
    <w:rsid w:val="00E80EA9"/>
    <w:rsid w:val="00E81145"/>
    <w:rsid w:val="00E81211"/>
    <w:rsid w:val="00E81256"/>
    <w:rsid w:val="00E83395"/>
    <w:rsid w:val="00E8459E"/>
    <w:rsid w:val="00E84A6D"/>
    <w:rsid w:val="00E84DCA"/>
    <w:rsid w:val="00E84F43"/>
    <w:rsid w:val="00E854E1"/>
    <w:rsid w:val="00E862C3"/>
    <w:rsid w:val="00E862C6"/>
    <w:rsid w:val="00E86706"/>
    <w:rsid w:val="00E87238"/>
    <w:rsid w:val="00E87943"/>
    <w:rsid w:val="00E87949"/>
    <w:rsid w:val="00E87D2B"/>
    <w:rsid w:val="00E87DB9"/>
    <w:rsid w:val="00E87F5F"/>
    <w:rsid w:val="00E905E5"/>
    <w:rsid w:val="00E90792"/>
    <w:rsid w:val="00E90F83"/>
    <w:rsid w:val="00E91045"/>
    <w:rsid w:val="00E918B1"/>
    <w:rsid w:val="00E91A1D"/>
    <w:rsid w:val="00E91D31"/>
    <w:rsid w:val="00E924D4"/>
    <w:rsid w:val="00E92907"/>
    <w:rsid w:val="00E92A56"/>
    <w:rsid w:val="00E93207"/>
    <w:rsid w:val="00E9345F"/>
    <w:rsid w:val="00E944C5"/>
    <w:rsid w:val="00E95C1F"/>
    <w:rsid w:val="00E961FF"/>
    <w:rsid w:val="00E9624A"/>
    <w:rsid w:val="00E966EB"/>
    <w:rsid w:val="00E97433"/>
    <w:rsid w:val="00E97D7E"/>
    <w:rsid w:val="00EA0188"/>
    <w:rsid w:val="00EA081E"/>
    <w:rsid w:val="00EA0D15"/>
    <w:rsid w:val="00EA0E2A"/>
    <w:rsid w:val="00EA0EAE"/>
    <w:rsid w:val="00EA12EC"/>
    <w:rsid w:val="00EA1463"/>
    <w:rsid w:val="00EA1C2E"/>
    <w:rsid w:val="00EA1EE5"/>
    <w:rsid w:val="00EA209E"/>
    <w:rsid w:val="00EA2219"/>
    <w:rsid w:val="00EA23B9"/>
    <w:rsid w:val="00EA256A"/>
    <w:rsid w:val="00EA2791"/>
    <w:rsid w:val="00EA31DE"/>
    <w:rsid w:val="00EA3A03"/>
    <w:rsid w:val="00EA4109"/>
    <w:rsid w:val="00EA4404"/>
    <w:rsid w:val="00EA44A6"/>
    <w:rsid w:val="00EA457D"/>
    <w:rsid w:val="00EA49B5"/>
    <w:rsid w:val="00EA56DB"/>
    <w:rsid w:val="00EA6585"/>
    <w:rsid w:val="00EA6844"/>
    <w:rsid w:val="00EA6CCB"/>
    <w:rsid w:val="00EA6EB0"/>
    <w:rsid w:val="00EA7063"/>
    <w:rsid w:val="00EA7328"/>
    <w:rsid w:val="00EA7AAF"/>
    <w:rsid w:val="00EA7AD8"/>
    <w:rsid w:val="00EA7CFE"/>
    <w:rsid w:val="00EB067E"/>
    <w:rsid w:val="00EB0689"/>
    <w:rsid w:val="00EB161B"/>
    <w:rsid w:val="00EB17F9"/>
    <w:rsid w:val="00EB1AF3"/>
    <w:rsid w:val="00EB1D9A"/>
    <w:rsid w:val="00EB21CF"/>
    <w:rsid w:val="00EB2A61"/>
    <w:rsid w:val="00EB2FF1"/>
    <w:rsid w:val="00EB378F"/>
    <w:rsid w:val="00EB394F"/>
    <w:rsid w:val="00EB3A51"/>
    <w:rsid w:val="00EB3C57"/>
    <w:rsid w:val="00EB3C5F"/>
    <w:rsid w:val="00EB410B"/>
    <w:rsid w:val="00EB4AA9"/>
    <w:rsid w:val="00EB4BBE"/>
    <w:rsid w:val="00EB4DD5"/>
    <w:rsid w:val="00EB5F3F"/>
    <w:rsid w:val="00EB60FC"/>
    <w:rsid w:val="00EB6C64"/>
    <w:rsid w:val="00EB6F1A"/>
    <w:rsid w:val="00EB775D"/>
    <w:rsid w:val="00EB7A29"/>
    <w:rsid w:val="00EB7AE8"/>
    <w:rsid w:val="00EB7B01"/>
    <w:rsid w:val="00EC03B3"/>
    <w:rsid w:val="00EC05B1"/>
    <w:rsid w:val="00EC0A0E"/>
    <w:rsid w:val="00EC0BBC"/>
    <w:rsid w:val="00EC1A5C"/>
    <w:rsid w:val="00EC1D07"/>
    <w:rsid w:val="00EC2369"/>
    <w:rsid w:val="00EC2A1D"/>
    <w:rsid w:val="00EC300E"/>
    <w:rsid w:val="00EC3137"/>
    <w:rsid w:val="00EC31E7"/>
    <w:rsid w:val="00EC369B"/>
    <w:rsid w:val="00EC3799"/>
    <w:rsid w:val="00EC3863"/>
    <w:rsid w:val="00EC4076"/>
    <w:rsid w:val="00EC466B"/>
    <w:rsid w:val="00EC4D65"/>
    <w:rsid w:val="00EC54D4"/>
    <w:rsid w:val="00EC5D7B"/>
    <w:rsid w:val="00EC65C2"/>
    <w:rsid w:val="00EC6BA7"/>
    <w:rsid w:val="00EC6C02"/>
    <w:rsid w:val="00EC6F4B"/>
    <w:rsid w:val="00EC7B4A"/>
    <w:rsid w:val="00ED0608"/>
    <w:rsid w:val="00ED0C78"/>
    <w:rsid w:val="00ED0DD5"/>
    <w:rsid w:val="00ED1D6E"/>
    <w:rsid w:val="00ED1DC1"/>
    <w:rsid w:val="00ED1FA4"/>
    <w:rsid w:val="00ED24F3"/>
    <w:rsid w:val="00ED2646"/>
    <w:rsid w:val="00ED2812"/>
    <w:rsid w:val="00ED2DFE"/>
    <w:rsid w:val="00ED357E"/>
    <w:rsid w:val="00ED368B"/>
    <w:rsid w:val="00ED3797"/>
    <w:rsid w:val="00ED3F03"/>
    <w:rsid w:val="00ED496F"/>
    <w:rsid w:val="00ED4C5F"/>
    <w:rsid w:val="00ED50C2"/>
    <w:rsid w:val="00ED50E5"/>
    <w:rsid w:val="00ED53C6"/>
    <w:rsid w:val="00ED596A"/>
    <w:rsid w:val="00ED5C0C"/>
    <w:rsid w:val="00ED6DD6"/>
    <w:rsid w:val="00ED72C2"/>
    <w:rsid w:val="00ED75ED"/>
    <w:rsid w:val="00ED79FC"/>
    <w:rsid w:val="00EE0B13"/>
    <w:rsid w:val="00EE0F55"/>
    <w:rsid w:val="00EE1B08"/>
    <w:rsid w:val="00EE2BE0"/>
    <w:rsid w:val="00EE31E9"/>
    <w:rsid w:val="00EE424D"/>
    <w:rsid w:val="00EE469A"/>
    <w:rsid w:val="00EE4F1C"/>
    <w:rsid w:val="00EE59F8"/>
    <w:rsid w:val="00EE5FBF"/>
    <w:rsid w:val="00EE69E3"/>
    <w:rsid w:val="00EE705E"/>
    <w:rsid w:val="00EE751C"/>
    <w:rsid w:val="00EF0260"/>
    <w:rsid w:val="00EF03AD"/>
    <w:rsid w:val="00EF09DE"/>
    <w:rsid w:val="00EF0B64"/>
    <w:rsid w:val="00EF0D13"/>
    <w:rsid w:val="00EF0FEB"/>
    <w:rsid w:val="00EF1152"/>
    <w:rsid w:val="00EF1241"/>
    <w:rsid w:val="00EF12D4"/>
    <w:rsid w:val="00EF15DB"/>
    <w:rsid w:val="00EF1C35"/>
    <w:rsid w:val="00EF2EF9"/>
    <w:rsid w:val="00EF31BB"/>
    <w:rsid w:val="00EF31FA"/>
    <w:rsid w:val="00EF32EC"/>
    <w:rsid w:val="00EF3459"/>
    <w:rsid w:val="00EF3567"/>
    <w:rsid w:val="00EF38FE"/>
    <w:rsid w:val="00EF3C2F"/>
    <w:rsid w:val="00EF40C1"/>
    <w:rsid w:val="00EF4185"/>
    <w:rsid w:val="00EF464F"/>
    <w:rsid w:val="00EF4741"/>
    <w:rsid w:val="00EF4B72"/>
    <w:rsid w:val="00EF4F36"/>
    <w:rsid w:val="00EF5641"/>
    <w:rsid w:val="00EF63DF"/>
    <w:rsid w:val="00EF6632"/>
    <w:rsid w:val="00EF68EA"/>
    <w:rsid w:val="00EF6902"/>
    <w:rsid w:val="00EF7121"/>
    <w:rsid w:val="00EF77A4"/>
    <w:rsid w:val="00F0018C"/>
    <w:rsid w:val="00F0043A"/>
    <w:rsid w:val="00F0091D"/>
    <w:rsid w:val="00F00C3C"/>
    <w:rsid w:val="00F00C65"/>
    <w:rsid w:val="00F00CDA"/>
    <w:rsid w:val="00F010C1"/>
    <w:rsid w:val="00F018B2"/>
    <w:rsid w:val="00F01987"/>
    <w:rsid w:val="00F019E3"/>
    <w:rsid w:val="00F01A04"/>
    <w:rsid w:val="00F01B2C"/>
    <w:rsid w:val="00F021EF"/>
    <w:rsid w:val="00F0228B"/>
    <w:rsid w:val="00F026D9"/>
    <w:rsid w:val="00F02C0D"/>
    <w:rsid w:val="00F03F5E"/>
    <w:rsid w:val="00F03FF4"/>
    <w:rsid w:val="00F04254"/>
    <w:rsid w:val="00F04829"/>
    <w:rsid w:val="00F05105"/>
    <w:rsid w:val="00F054D5"/>
    <w:rsid w:val="00F056F0"/>
    <w:rsid w:val="00F05945"/>
    <w:rsid w:val="00F05D62"/>
    <w:rsid w:val="00F05F90"/>
    <w:rsid w:val="00F06531"/>
    <w:rsid w:val="00F075B6"/>
    <w:rsid w:val="00F104B5"/>
    <w:rsid w:val="00F104BE"/>
    <w:rsid w:val="00F10867"/>
    <w:rsid w:val="00F11BA4"/>
    <w:rsid w:val="00F11F8A"/>
    <w:rsid w:val="00F124A2"/>
    <w:rsid w:val="00F1253C"/>
    <w:rsid w:val="00F12695"/>
    <w:rsid w:val="00F12731"/>
    <w:rsid w:val="00F134A9"/>
    <w:rsid w:val="00F14139"/>
    <w:rsid w:val="00F14706"/>
    <w:rsid w:val="00F1483E"/>
    <w:rsid w:val="00F1497A"/>
    <w:rsid w:val="00F15005"/>
    <w:rsid w:val="00F150B7"/>
    <w:rsid w:val="00F152C2"/>
    <w:rsid w:val="00F15401"/>
    <w:rsid w:val="00F15614"/>
    <w:rsid w:val="00F1579C"/>
    <w:rsid w:val="00F16578"/>
    <w:rsid w:val="00F167E0"/>
    <w:rsid w:val="00F16CD3"/>
    <w:rsid w:val="00F1716E"/>
    <w:rsid w:val="00F17655"/>
    <w:rsid w:val="00F17AE1"/>
    <w:rsid w:val="00F17BDA"/>
    <w:rsid w:val="00F2086F"/>
    <w:rsid w:val="00F210DD"/>
    <w:rsid w:val="00F210F7"/>
    <w:rsid w:val="00F21851"/>
    <w:rsid w:val="00F21B64"/>
    <w:rsid w:val="00F21CE2"/>
    <w:rsid w:val="00F21E4A"/>
    <w:rsid w:val="00F222AF"/>
    <w:rsid w:val="00F2271C"/>
    <w:rsid w:val="00F22F24"/>
    <w:rsid w:val="00F23228"/>
    <w:rsid w:val="00F23633"/>
    <w:rsid w:val="00F23AEE"/>
    <w:rsid w:val="00F23FEF"/>
    <w:rsid w:val="00F2475E"/>
    <w:rsid w:val="00F24B87"/>
    <w:rsid w:val="00F250DF"/>
    <w:rsid w:val="00F2524B"/>
    <w:rsid w:val="00F252FE"/>
    <w:rsid w:val="00F254EE"/>
    <w:rsid w:val="00F25A48"/>
    <w:rsid w:val="00F25BC2"/>
    <w:rsid w:val="00F26217"/>
    <w:rsid w:val="00F262F7"/>
    <w:rsid w:val="00F2641E"/>
    <w:rsid w:val="00F27295"/>
    <w:rsid w:val="00F27968"/>
    <w:rsid w:val="00F27D18"/>
    <w:rsid w:val="00F27F0F"/>
    <w:rsid w:val="00F30564"/>
    <w:rsid w:val="00F305A0"/>
    <w:rsid w:val="00F30F59"/>
    <w:rsid w:val="00F31A20"/>
    <w:rsid w:val="00F32147"/>
    <w:rsid w:val="00F324AF"/>
    <w:rsid w:val="00F32DEB"/>
    <w:rsid w:val="00F330AF"/>
    <w:rsid w:val="00F3338A"/>
    <w:rsid w:val="00F33401"/>
    <w:rsid w:val="00F33572"/>
    <w:rsid w:val="00F34103"/>
    <w:rsid w:val="00F3453A"/>
    <w:rsid w:val="00F34B43"/>
    <w:rsid w:val="00F34C10"/>
    <w:rsid w:val="00F35C01"/>
    <w:rsid w:val="00F35C26"/>
    <w:rsid w:val="00F36876"/>
    <w:rsid w:val="00F376E2"/>
    <w:rsid w:val="00F400E0"/>
    <w:rsid w:val="00F40177"/>
    <w:rsid w:val="00F405FB"/>
    <w:rsid w:val="00F406F2"/>
    <w:rsid w:val="00F40B50"/>
    <w:rsid w:val="00F40C19"/>
    <w:rsid w:val="00F40FAE"/>
    <w:rsid w:val="00F41127"/>
    <w:rsid w:val="00F4118D"/>
    <w:rsid w:val="00F4133F"/>
    <w:rsid w:val="00F413E5"/>
    <w:rsid w:val="00F415B8"/>
    <w:rsid w:val="00F41822"/>
    <w:rsid w:val="00F418E5"/>
    <w:rsid w:val="00F41AA8"/>
    <w:rsid w:val="00F41F62"/>
    <w:rsid w:val="00F4233A"/>
    <w:rsid w:val="00F42AC2"/>
    <w:rsid w:val="00F42AD8"/>
    <w:rsid w:val="00F42E39"/>
    <w:rsid w:val="00F43417"/>
    <w:rsid w:val="00F4351B"/>
    <w:rsid w:val="00F43DFD"/>
    <w:rsid w:val="00F44DD3"/>
    <w:rsid w:val="00F465E6"/>
    <w:rsid w:val="00F469D7"/>
    <w:rsid w:val="00F4764E"/>
    <w:rsid w:val="00F47756"/>
    <w:rsid w:val="00F47C14"/>
    <w:rsid w:val="00F50109"/>
    <w:rsid w:val="00F52180"/>
    <w:rsid w:val="00F52806"/>
    <w:rsid w:val="00F52940"/>
    <w:rsid w:val="00F52AAF"/>
    <w:rsid w:val="00F533CD"/>
    <w:rsid w:val="00F53673"/>
    <w:rsid w:val="00F53CA6"/>
    <w:rsid w:val="00F53E51"/>
    <w:rsid w:val="00F53FD0"/>
    <w:rsid w:val="00F54920"/>
    <w:rsid w:val="00F5590C"/>
    <w:rsid w:val="00F56EFA"/>
    <w:rsid w:val="00F56FD9"/>
    <w:rsid w:val="00F579EE"/>
    <w:rsid w:val="00F60517"/>
    <w:rsid w:val="00F616FB"/>
    <w:rsid w:val="00F62240"/>
    <w:rsid w:val="00F626C9"/>
    <w:rsid w:val="00F62EDF"/>
    <w:rsid w:val="00F62FBE"/>
    <w:rsid w:val="00F6330F"/>
    <w:rsid w:val="00F6430E"/>
    <w:rsid w:val="00F64E2F"/>
    <w:rsid w:val="00F6553F"/>
    <w:rsid w:val="00F66712"/>
    <w:rsid w:val="00F667E2"/>
    <w:rsid w:val="00F6781E"/>
    <w:rsid w:val="00F700DC"/>
    <w:rsid w:val="00F708BE"/>
    <w:rsid w:val="00F708FE"/>
    <w:rsid w:val="00F709DE"/>
    <w:rsid w:val="00F7105F"/>
    <w:rsid w:val="00F711FA"/>
    <w:rsid w:val="00F7166A"/>
    <w:rsid w:val="00F718C3"/>
    <w:rsid w:val="00F71F37"/>
    <w:rsid w:val="00F7236E"/>
    <w:rsid w:val="00F72371"/>
    <w:rsid w:val="00F724D6"/>
    <w:rsid w:val="00F725D0"/>
    <w:rsid w:val="00F73089"/>
    <w:rsid w:val="00F73592"/>
    <w:rsid w:val="00F73ACE"/>
    <w:rsid w:val="00F73E37"/>
    <w:rsid w:val="00F74063"/>
    <w:rsid w:val="00F7468D"/>
    <w:rsid w:val="00F748B4"/>
    <w:rsid w:val="00F74B2E"/>
    <w:rsid w:val="00F74C7A"/>
    <w:rsid w:val="00F75511"/>
    <w:rsid w:val="00F75C46"/>
    <w:rsid w:val="00F76202"/>
    <w:rsid w:val="00F764EF"/>
    <w:rsid w:val="00F76521"/>
    <w:rsid w:val="00F76933"/>
    <w:rsid w:val="00F8003D"/>
    <w:rsid w:val="00F80823"/>
    <w:rsid w:val="00F80E3A"/>
    <w:rsid w:val="00F81799"/>
    <w:rsid w:val="00F82821"/>
    <w:rsid w:val="00F82A34"/>
    <w:rsid w:val="00F82F63"/>
    <w:rsid w:val="00F83513"/>
    <w:rsid w:val="00F83530"/>
    <w:rsid w:val="00F83A01"/>
    <w:rsid w:val="00F83E8C"/>
    <w:rsid w:val="00F844B9"/>
    <w:rsid w:val="00F8488D"/>
    <w:rsid w:val="00F85A88"/>
    <w:rsid w:val="00F85BB7"/>
    <w:rsid w:val="00F85D35"/>
    <w:rsid w:val="00F85D92"/>
    <w:rsid w:val="00F85DB8"/>
    <w:rsid w:val="00F86318"/>
    <w:rsid w:val="00F86557"/>
    <w:rsid w:val="00F86826"/>
    <w:rsid w:val="00F86CC5"/>
    <w:rsid w:val="00F86DC4"/>
    <w:rsid w:val="00F874D7"/>
    <w:rsid w:val="00F87843"/>
    <w:rsid w:val="00F90942"/>
    <w:rsid w:val="00F913CB"/>
    <w:rsid w:val="00F914E2"/>
    <w:rsid w:val="00F919F1"/>
    <w:rsid w:val="00F91D1F"/>
    <w:rsid w:val="00F9246D"/>
    <w:rsid w:val="00F924F2"/>
    <w:rsid w:val="00F9257C"/>
    <w:rsid w:val="00F92B9F"/>
    <w:rsid w:val="00F92E6A"/>
    <w:rsid w:val="00F936C4"/>
    <w:rsid w:val="00F936D4"/>
    <w:rsid w:val="00F93BEC"/>
    <w:rsid w:val="00F93CD8"/>
    <w:rsid w:val="00F93D47"/>
    <w:rsid w:val="00F93F81"/>
    <w:rsid w:val="00F94800"/>
    <w:rsid w:val="00F952D0"/>
    <w:rsid w:val="00F95AF4"/>
    <w:rsid w:val="00F961A7"/>
    <w:rsid w:val="00F96D5B"/>
    <w:rsid w:val="00F96DB0"/>
    <w:rsid w:val="00F976D8"/>
    <w:rsid w:val="00F979B3"/>
    <w:rsid w:val="00F97BA1"/>
    <w:rsid w:val="00FA04D1"/>
    <w:rsid w:val="00FA0B8F"/>
    <w:rsid w:val="00FA0BCE"/>
    <w:rsid w:val="00FA0E76"/>
    <w:rsid w:val="00FA106E"/>
    <w:rsid w:val="00FA11CD"/>
    <w:rsid w:val="00FA1429"/>
    <w:rsid w:val="00FA143B"/>
    <w:rsid w:val="00FA1441"/>
    <w:rsid w:val="00FA27E6"/>
    <w:rsid w:val="00FA2E81"/>
    <w:rsid w:val="00FA3801"/>
    <w:rsid w:val="00FA3B31"/>
    <w:rsid w:val="00FA47CA"/>
    <w:rsid w:val="00FA4DB7"/>
    <w:rsid w:val="00FA5090"/>
    <w:rsid w:val="00FA50DC"/>
    <w:rsid w:val="00FA5426"/>
    <w:rsid w:val="00FA5500"/>
    <w:rsid w:val="00FA5F70"/>
    <w:rsid w:val="00FA60FA"/>
    <w:rsid w:val="00FA65EF"/>
    <w:rsid w:val="00FA662E"/>
    <w:rsid w:val="00FA671C"/>
    <w:rsid w:val="00FA6C9B"/>
    <w:rsid w:val="00FA7A42"/>
    <w:rsid w:val="00FB0299"/>
    <w:rsid w:val="00FB0B2C"/>
    <w:rsid w:val="00FB1285"/>
    <w:rsid w:val="00FB13D1"/>
    <w:rsid w:val="00FB16D4"/>
    <w:rsid w:val="00FB28DE"/>
    <w:rsid w:val="00FB290C"/>
    <w:rsid w:val="00FB2E3C"/>
    <w:rsid w:val="00FB2F04"/>
    <w:rsid w:val="00FB2FD5"/>
    <w:rsid w:val="00FB3136"/>
    <w:rsid w:val="00FB342F"/>
    <w:rsid w:val="00FB4602"/>
    <w:rsid w:val="00FB47BE"/>
    <w:rsid w:val="00FB4966"/>
    <w:rsid w:val="00FB4CAF"/>
    <w:rsid w:val="00FB50DB"/>
    <w:rsid w:val="00FB54E6"/>
    <w:rsid w:val="00FB584C"/>
    <w:rsid w:val="00FB5945"/>
    <w:rsid w:val="00FB63AA"/>
    <w:rsid w:val="00FB63DA"/>
    <w:rsid w:val="00FB7507"/>
    <w:rsid w:val="00FB7659"/>
    <w:rsid w:val="00FB7C5C"/>
    <w:rsid w:val="00FB7D80"/>
    <w:rsid w:val="00FC00B5"/>
    <w:rsid w:val="00FC036B"/>
    <w:rsid w:val="00FC0E61"/>
    <w:rsid w:val="00FC22D5"/>
    <w:rsid w:val="00FC2581"/>
    <w:rsid w:val="00FC2738"/>
    <w:rsid w:val="00FC2D8A"/>
    <w:rsid w:val="00FC30A9"/>
    <w:rsid w:val="00FC338C"/>
    <w:rsid w:val="00FC34BF"/>
    <w:rsid w:val="00FC3A01"/>
    <w:rsid w:val="00FC3A92"/>
    <w:rsid w:val="00FC40BB"/>
    <w:rsid w:val="00FC44C8"/>
    <w:rsid w:val="00FC5A4C"/>
    <w:rsid w:val="00FC5AE8"/>
    <w:rsid w:val="00FC5DB7"/>
    <w:rsid w:val="00FC631F"/>
    <w:rsid w:val="00FC63CA"/>
    <w:rsid w:val="00FC67FC"/>
    <w:rsid w:val="00FC6985"/>
    <w:rsid w:val="00FC69CA"/>
    <w:rsid w:val="00FC6E70"/>
    <w:rsid w:val="00FC714C"/>
    <w:rsid w:val="00FC71E5"/>
    <w:rsid w:val="00FC762A"/>
    <w:rsid w:val="00FC78CD"/>
    <w:rsid w:val="00FC7994"/>
    <w:rsid w:val="00FC7BB8"/>
    <w:rsid w:val="00FD0A66"/>
    <w:rsid w:val="00FD0E03"/>
    <w:rsid w:val="00FD0F5F"/>
    <w:rsid w:val="00FD1332"/>
    <w:rsid w:val="00FD1ACF"/>
    <w:rsid w:val="00FD1C5D"/>
    <w:rsid w:val="00FD23A5"/>
    <w:rsid w:val="00FD24D0"/>
    <w:rsid w:val="00FD32D5"/>
    <w:rsid w:val="00FD3684"/>
    <w:rsid w:val="00FD3B63"/>
    <w:rsid w:val="00FD3BAB"/>
    <w:rsid w:val="00FD3D40"/>
    <w:rsid w:val="00FD402E"/>
    <w:rsid w:val="00FD4437"/>
    <w:rsid w:val="00FD45C0"/>
    <w:rsid w:val="00FD4788"/>
    <w:rsid w:val="00FD51F6"/>
    <w:rsid w:val="00FD535D"/>
    <w:rsid w:val="00FD546B"/>
    <w:rsid w:val="00FD54F2"/>
    <w:rsid w:val="00FD554A"/>
    <w:rsid w:val="00FD562A"/>
    <w:rsid w:val="00FD5787"/>
    <w:rsid w:val="00FD5BD6"/>
    <w:rsid w:val="00FD5E25"/>
    <w:rsid w:val="00FD5F16"/>
    <w:rsid w:val="00FD657C"/>
    <w:rsid w:val="00FD678E"/>
    <w:rsid w:val="00FD6EC7"/>
    <w:rsid w:val="00FD70B3"/>
    <w:rsid w:val="00FD78C2"/>
    <w:rsid w:val="00FD7B5A"/>
    <w:rsid w:val="00FD7D19"/>
    <w:rsid w:val="00FD7FAB"/>
    <w:rsid w:val="00FE0155"/>
    <w:rsid w:val="00FE02FD"/>
    <w:rsid w:val="00FE03C0"/>
    <w:rsid w:val="00FE0691"/>
    <w:rsid w:val="00FE09D4"/>
    <w:rsid w:val="00FE1028"/>
    <w:rsid w:val="00FE17D5"/>
    <w:rsid w:val="00FE1B9F"/>
    <w:rsid w:val="00FE216C"/>
    <w:rsid w:val="00FE2592"/>
    <w:rsid w:val="00FE2D15"/>
    <w:rsid w:val="00FE2E8F"/>
    <w:rsid w:val="00FE3F6C"/>
    <w:rsid w:val="00FE4287"/>
    <w:rsid w:val="00FE43EA"/>
    <w:rsid w:val="00FE4A45"/>
    <w:rsid w:val="00FE4C7E"/>
    <w:rsid w:val="00FE5267"/>
    <w:rsid w:val="00FE5528"/>
    <w:rsid w:val="00FE5957"/>
    <w:rsid w:val="00FE5CBF"/>
    <w:rsid w:val="00FE5F76"/>
    <w:rsid w:val="00FE6FE2"/>
    <w:rsid w:val="00FE71E5"/>
    <w:rsid w:val="00FE749E"/>
    <w:rsid w:val="00FE74CB"/>
    <w:rsid w:val="00FE77A3"/>
    <w:rsid w:val="00FE7A6B"/>
    <w:rsid w:val="00FE7DC8"/>
    <w:rsid w:val="00FF06C1"/>
    <w:rsid w:val="00FF0961"/>
    <w:rsid w:val="00FF10B2"/>
    <w:rsid w:val="00FF199E"/>
    <w:rsid w:val="00FF1C5C"/>
    <w:rsid w:val="00FF1D7D"/>
    <w:rsid w:val="00FF1FD1"/>
    <w:rsid w:val="00FF21D3"/>
    <w:rsid w:val="00FF24BB"/>
    <w:rsid w:val="00FF2520"/>
    <w:rsid w:val="00FF34E7"/>
    <w:rsid w:val="00FF365D"/>
    <w:rsid w:val="00FF3DE5"/>
    <w:rsid w:val="00FF4743"/>
    <w:rsid w:val="00FF484F"/>
    <w:rsid w:val="00FF4DBD"/>
    <w:rsid w:val="00FF596A"/>
    <w:rsid w:val="00FF62AD"/>
    <w:rsid w:val="00FF6730"/>
    <w:rsid w:val="00FF748B"/>
    <w:rsid w:val="00FF7825"/>
    <w:rsid w:val="00FF7CFA"/>
    <w:rsid w:val="00FF7DDA"/>
    <w:rsid w:val="00FF7F24"/>
    <w:rsid w:val="506C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F02856"/>
  <w15:chartTrackingRefBased/>
  <w15:docId w15:val="{D0FFC6EC-0254-4CF3-B829-EE8F750F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4A4"/>
  </w:style>
  <w:style w:type="paragraph" w:styleId="Heading1">
    <w:name w:val="heading 1"/>
    <w:basedOn w:val="Normal"/>
    <w:next w:val="Normal"/>
    <w:link w:val="Heading1Char"/>
    <w:uiPriority w:val="9"/>
    <w:qFormat/>
    <w:rsid w:val="00042046"/>
    <w:pPr>
      <w:keepNext/>
      <w:keepLines/>
      <w:spacing w:before="400" w:after="40" w:line="240" w:lineRule="auto"/>
      <w:outlineLvl w:val="0"/>
    </w:pPr>
    <w:rPr>
      <w:rFonts w:asciiTheme="majorHAnsi" w:eastAsiaTheme="majorEastAsia" w:hAnsiTheme="majorHAnsi" w:cstheme="majorBidi"/>
      <w:color w:val="1F4E79" w:themeColor="accent1" w:themeShade="80"/>
      <w:sz w:val="36"/>
    </w:rPr>
  </w:style>
  <w:style w:type="paragraph" w:styleId="Heading2">
    <w:name w:val="heading 2"/>
    <w:basedOn w:val="Normal"/>
    <w:next w:val="Normal"/>
    <w:link w:val="Heading2Char"/>
    <w:uiPriority w:val="9"/>
    <w:unhideWhenUsed/>
    <w:qFormat/>
    <w:rsid w:val="00A8514D"/>
    <w:pPr>
      <w:keepNext/>
      <w:keepLines/>
      <w:spacing w:before="40" w:after="0"/>
      <w:outlineLvl w:val="1"/>
    </w:pPr>
    <w:rPr>
      <w:rFonts w:asciiTheme="majorHAnsi" w:eastAsiaTheme="majorEastAsia" w:hAnsiTheme="majorHAnsi" w:cstheme="majorBidi"/>
      <w:color w:val="2E74B5" w:themeColor="accent1" w:themeShade="BF"/>
      <w:sz w:val="26"/>
    </w:rPr>
  </w:style>
  <w:style w:type="paragraph" w:styleId="Heading3">
    <w:name w:val="heading 3"/>
    <w:basedOn w:val="Normal"/>
    <w:next w:val="Normal"/>
    <w:link w:val="Heading3Char"/>
    <w:uiPriority w:val="9"/>
    <w:semiHidden/>
    <w:unhideWhenUsed/>
    <w:qFormat/>
    <w:rsid w:val="004B3E09"/>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C15A7"/>
    <w:pPr>
      <w:keepNext/>
      <w:keepLines/>
      <w:spacing w:before="40" w:after="0"/>
      <w:outlineLvl w:val="3"/>
    </w:pPr>
    <w:rPr>
      <w:rFonts w:asciiTheme="majorHAnsi" w:eastAsiaTheme="majorEastAsia" w:hAnsiTheme="majorHAnsi" w:cstheme="majorBidi"/>
      <w: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046"/>
    <w:rPr>
      <w:rFonts w:asciiTheme="majorHAnsi" w:eastAsiaTheme="majorEastAsia" w:hAnsiTheme="majorHAnsi" w:cstheme="majorBidi"/>
      <w:color w:val="1F4E79" w:themeColor="accent1" w:themeShade="80"/>
      <w:sz w:val="36"/>
    </w:rPr>
  </w:style>
  <w:style w:type="character" w:styleId="Hyperlink">
    <w:name w:val="Hyperlink"/>
    <w:basedOn w:val="DefaultParagraphFont"/>
    <w:uiPriority w:val="99"/>
    <w:unhideWhenUsed/>
    <w:qFormat/>
    <w:rsid w:val="0095171F"/>
    <w:rPr>
      <w:color w:val="0563C1" w:themeColor="hyperlink"/>
      <w:u w:val="single"/>
    </w:rPr>
  </w:style>
  <w:style w:type="paragraph" w:styleId="FootnoteText">
    <w:name w:val="footnote text"/>
    <w:basedOn w:val="Normal"/>
    <w:uiPriority w:val="99"/>
    <w:unhideWhenUsed/>
    <w:qFormat/>
    <w:rsid w:val="0077613C"/>
    <w:pPr>
      <w:spacing w:after="0" w:line="240" w:lineRule="auto"/>
    </w:pPr>
    <w:rPr>
      <w:rFonts w:ascii="Times New Roman" w:hAnsi="Times New Roman" w:cs="Times New Roman"/>
      <w:sz w:val="20"/>
    </w:rPr>
  </w:style>
  <w:style w:type="character" w:customStyle="1" w:styleId="FootnoteTextChar">
    <w:name w:val="Footnote Text Char"/>
    <w:basedOn w:val="DefaultParagraphFont"/>
    <w:uiPriority w:val="99"/>
    <w:qFormat/>
    <w:rsid w:val="0095171F"/>
    <w:rPr>
      <w:sz w:val="20"/>
    </w:rPr>
  </w:style>
  <w:style w:type="character" w:styleId="FootnoteReference">
    <w:name w:val="footnote reference"/>
    <w:basedOn w:val="DefaultParagraphFont"/>
    <w:link w:val="SUPERSCharCharCharCharCharCharCharChar"/>
    <w:uiPriority w:val="99"/>
    <w:unhideWhenUsed/>
    <w:qFormat/>
    <w:rsid w:val="0095171F"/>
    <w:rPr>
      <w:vertAlign w:val="superscript"/>
    </w:rPr>
  </w:style>
  <w:style w:type="character" w:styleId="CommentReference">
    <w:name w:val="annotation reference"/>
    <w:basedOn w:val="DefaultParagraphFont"/>
    <w:uiPriority w:val="99"/>
    <w:semiHidden/>
    <w:unhideWhenUsed/>
    <w:rsid w:val="0095171F"/>
    <w:rPr>
      <w:sz w:val="16"/>
    </w:rPr>
  </w:style>
  <w:style w:type="paragraph" w:styleId="CommentText">
    <w:name w:val="annotation text"/>
    <w:basedOn w:val="Normal"/>
    <w:link w:val="CommentTextChar"/>
    <w:uiPriority w:val="99"/>
    <w:unhideWhenUsed/>
    <w:rsid w:val="0095171F"/>
    <w:pPr>
      <w:spacing w:line="240" w:lineRule="auto"/>
    </w:pPr>
    <w:rPr>
      <w:sz w:val="20"/>
    </w:rPr>
  </w:style>
  <w:style w:type="character" w:customStyle="1" w:styleId="CommentTextChar">
    <w:name w:val="Comment Text Char"/>
    <w:basedOn w:val="DefaultParagraphFont"/>
    <w:link w:val="CommentText"/>
    <w:uiPriority w:val="99"/>
    <w:rsid w:val="0095171F"/>
    <w:rPr>
      <w:sz w:val="20"/>
    </w:rPr>
  </w:style>
  <w:style w:type="paragraph" w:styleId="BalloonText">
    <w:name w:val="Balloon Text"/>
    <w:basedOn w:val="Normal"/>
    <w:link w:val="BalloonTextChar"/>
    <w:uiPriority w:val="99"/>
    <w:semiHidden/>
    <w:unhideWhenUsed/>
    <w:rsid w:val="0095171F"/>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5171F"/>
    <w:rPr>
      <w:rFonts w:ascii="Segoe UI" w:hAnsi="Segoe UI" w:cs="Segoe UI"/>
      <w:sz w:val="18"/>
    </w:rPr>
  </w:style>
  <w:style w:type="paragraph" w:styleId="Header">
    <w:name w:val="header"/>
    <w:basedOn w:val="Normal"/>
    <w:link w:val="HeaderChar"/>
    <w:uiPriority w:val="99"/>
    <w:unhideWhenUsed/>
    <w:rsid w:val="00AC5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0C2"/>
  </w:style>
  <w:style w:type="paragraph" w:styleId="Footer">
    <w:name w:val="footer"/>
    <w:basedOn w:val="Normal"/>
    <w:link w:val="FooterChar"/>
    <w:uiPriority w:val="99"/>
    <w:unhideWhenUsed/>
    <w:rsid w:val="00AC5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0C2"/>
  </w:style>
  <w:style w:type="paragraph" w:styleId="ListParagraph">
    <w:name w:val="List Paragraph"/>
    <w:basedOn w:val="Normal"/>
    <w:link w:val="ListParagraphChar"/>
    <w:uiPriority w:val="34"/>
    <w:qFormat/>
    <w:rsid w:val="00CE3BB4"/>
    <w:pPr>
      <w:ind w:left="720"/>
      <w:contextualSpacing/>
    </w:pPr>
    <w:rPr>
      <w:rFonts w:ascii="Times New Roman" w:hAnsi="Times New Roman"/>
      <w:sz w:val="24"/>
    </w:rPr>
  </w:style>
  <w:style w:type="paragraph" w:customStyle="1" w:styleId="SUPERSCharCharCharCharCharCharCharChar">
    <w:name w:val="SUPERS Char Char Char Char Char Char Char Char"/>
    <w:basedOn w:val="Normal"/>
    <w:link w:val="FootnoteReference"/>
    <w:uiPriority w:val="99"/>
    <w:qFormat/>
    <w:rsid w:val="00033BE7"/>
    <w:pPr>
      <w:spacing w:before="60" w:line="240" w:lineRule="exact"/>
      <w:jc w:val="both"/>
    </w:pPr>
    <w:rPr>
      <w:vertAlign w:val="superscript"/>
    </w:rPr>
  </w:style>
  <w:style w:type="character" w:customStyle="1" w:styleId="ListParagraphChar">
    <w:name w:val="List Paragraph Char"/>
    <w:link w:val="ListParagraph"/>
    <w:uiPriority w:val="34"/>
    <w:qFormat/>
    <w:locked/>
    <w:rsid w:val="00CE3BB4"/>
    <w:rPr>
      <w:rFonts w:ascii="Times New Roman" w:hAnsi="Times New Roman"/>
      <w:sz w:val="24"/>
    </w:rPr>
  </w:style>
  <w:style w:type="paragraph" w:customStyle="1" w:styleId="ftrefCharCharCharCharCharCharCharCharChar">
    <w:name w:val="ftref Char Char Char Char Char Char Char Char Char"/>
    <w:basedOn w:val="Normal"/>
    <w:next w:val="Normal"/>
    <w:uiPriority w:val="99"/>
    <w:rsid w:val="00C315DF"/>
    <w:pPr>
      <w:spacing w:line="240" w:lineRule="exact"/>
      <w:jc w:val="both"/>
    </w:pPr>
    <w:rPr>
      <w:vertAlign w:val="superscript"/>
    </w:rPr>
  </w:style>
  <w:style w:type="paragraph" w:customStyle="1" w:styleId="title-bold">
    <w:name w:val="title-bold"/>
    <w:basedOn w:val="Normal"/>
    <w:rsid w:val="00135912"/>
    <w:pPr>
      <w:spacing w:before="100" w:beforeAutospacing="1" w:after="100" w:afterAutospacing="1" w:line="240" w:lineRule="auto"/>
    </w:pPr>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40956"/>
    <w:rPr>
      <w:b/>
    </w:rPr>
  </w:style>
  <w:style w:type="character" w:customStyle="1" w:styleId="CommentSubjectChar">
    <w:name w:val="Comment Subject Char"/>
    <w:basedOn w:val="CommentTextChar"/>
    <w:link w:val="CommentSubject"/>
    <w:uiPriority w:val="99"/>
    <w:semiHidden/>
    <w:rsid w:val="00040956"/>
    <w:rPr>
      <w:b/>
      <w:sz w:val="20"/>
    </w:rPr>
  </w:style>
  <w:style w:type="character" w:styleId="FollowedHyperlink">
    <w:name w:val="FollowedHyperlink"/>
    <w:basedOn w:val="DefaultParagraphFont"/>
    <w:uiPriority w:val="99"/>
    <w:semiHidden/>
    <w:unhideWhenUsed/>
    <w:rsid w:val="00462B13"/>
    <w:rPr>
      <w:color w:val="954F72" w:themeColor="followedHyperlink"/>
      <w:u w:val="single"/>
    </w:rPr>
  </w:style>
  <w:style w:type="character" w:styleId="Strong">
    <w:name w:val="Strong"/>
    <w:basedOn w:val="DefaultParagraphFont"/>
    <w:uiPriority w:val="22"/>
    <w:qFormat/>
    <w:rsid w:val="00B05D14"/>
    <w:rPr>
      <w:b/>
    </w:rPr>
  </w:style>
  <w:style w:type="character" w:styleId="Emphasis">
    <w:name w:val="Emphasis"/>
    <w:basedOn w:val="DefaultParagraphFont"/>
    <w:uiPriority w:val="20"/>
    <w:qFormat/>
    <w:rsid w:val="00B05D14"/>
    <w:rPr>
      <w:i/>
    </w:rPr>
  </w:style>
  <w:style w:type="paragraph" w:styleId="Revision">
    <w:name w:val="Revision"/>
    <w:hidden/>
    <w:uiPriority w:val="99"/>
    <w:semiHidden/>
    <w:rsid w:val="00AB7433"/>
    <w:pPr>
      <w:spacing w:after="0" w:line="240" w:lineRule="auto"/>
    </w:pPr>
  </w:style>
  <w:style w:type="character" w:customStyle="1" w:styleId="Heading2Char">
    <w:name w:val="Heading 2 Char"/>
    <w:basedOn w:val="DefaultParagraphFont"/>
    <w:link w:val="Heading2"/>
    <w:uiPriority w:val="9"/>
    <w:rsid w:val="00A8514D"/>
    <w:rPr>
      <w:rFonts w:asciiTheme="majorHAnsi" w:eastAsiaTheme="majorEastAsia" w:hAnsiTheme="majorHAnsi" w:cstheme="majorBidi"/>
      <w:color w:val="2E74B5" w:themeColor="accent1" w:themeShade="BF"/>
      <w:sz w:val="26"/>
    </w:rPr>
  </w:style>
  <w:style w:type="paragraph" w:customStyle="1" w:styleId="Default">
    <w:name w:val="Default"/>
    <w:rsid w:val="0011521B"/>
    <w:pPr>
      <w:autoSpaceDE w:val="0"/>
      <w:autoSpaceDN w:val="0"/>
      <w:adjustRightInd w:val="0"/>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11521B"/>
    <w:rPr>
      <w:color w:val="605E5C"/>
      <w:shd w:val="clear" w:color="auto" w:fill="E1DFDD"/>
    </w:rPr>
  </w:style>
  <w:style w:type="character" w:customStyle="1" w:styleId="UnresolvedMention2">
    <w:name w:val="Unresolved Mention2"/>
    <w:basedOn w:val="DefaultParagraphFont"/>
    <w:uiPriority w:val="99"/>
    <w:semiHidden/>
    <w:unhideWhenUsed/>
    <w:rsid w:val="00407C5B"/>
    <w:rPr>
      <w:color w:val="605E5C"/>
      <w:shd w:val="clear" w:color="auto" w:fill="E1DFDD"/>
    </w:rPr>
  </w:style>
  <w:style w:type="paragraph" w:customStyle="1" w:styleId="listparagraph0">
    <w:name w:val="listparagraph"/>
    <w:basedOn w:val="Normal"/>
    <w:rsid w:val="00FC338C"/>
    <w:pPr>
      <w:spacing w:before="100" w:beforeAutospacing="1" w:after="100" w:afterAutospacing="1" w:line="240" w:lineRule="auto"/>
    </w:pPr>
    <w:rPr>
      <w:rFonts w:ascii="Times New Roman" w:eastAsia="Times New Roman" w:hAnsi="Times New Roman" w:cs="Times New Roman"/>
      <w:sz w:val="24"/>
    </w:rPr>
  </w:style>
  <w:style w:type="character" w:customStyle="1" w:styleId="footnotereference0">
    <w:name w:val="footnotereference"/>
    <w:basedOn w:val="DefaultParagraphFont"/>
    <w:rsid w:val="00E81211"/>
  </w:style>
  <w:style w:type="character" w:customStyle="1" w:styleId="Heading4Char">
    <w:name w:val="Heading 4 Char"/>
    <w:basedOn w:val="DefaultParagraphFont"/>
    <w:link w:val="Heading4"/>
    <w:uiPriority w:val="9"/>
    <w:semiHidden/>
    <w:rsid w:val="00CC15A7"/>
    <w:rPr>
      <w:rFonts w:asciiTheme="majorHAnsi" w:eastAsiaTheme="majorEastAsia" w:hAnsiTheme="majorHAnsi" w:cstheme="majorBidi"/>
      <w:i/>
      <w:color w:val="2E74B5" w:themeColor="accent1" w:themeShade="BF"/>
    </w:rPr>
  </w:style>
  <w:style w:type="paragraph" w:styleId="NormalWeb">
    <w:name w:val="Normal (Web)"/>
    <w:basedOn w:val="Normal"/>
    <w:uiPriority w:val="99"/>
    <w:semiHidden/>
    <w:unhideWhenUsed/>
    <w:rsid w:val="007700A8"/>
    <w:pPr>
      <w:spacing w:after="0" w:line="240" w:lineRule="auto"/>
    </w:pPr>
    <w:rPr>
      <w:rFonts w:ascii="Times New Roman" w:hAnsi="Times New Roman" w:cs="Times New Roman"/>
      <w:sz w:val="24"/>
    </w:rPr>
  </w:style>
  <w:style w:type="paragraph" w:customStyle="1" w:styleId="Normal1">
    <w:name w:val="Normal1"/>
    <w:basedOn w:val="Normal"/>
    <w:rsid w:val="00536855"/>
    <w:pPr>
      <w:spacing w:before="100" w:beforeAutospacing="1" w:after="100" w:afterAutospacing="1" w:line="240" w:lineRule="auto"/>
    </w:pPr>
    <w:rPr>
      <w:rFonts w:ascii="Times New Roman" w:eastAsia="Times New Roman" w:hAnsi="Times New Roman" w:cs="Times New Roman"/>
      <w:sz w:val="24"/>
    </w:rPr>
  </w:style>
  <w:style w:type="paragraph" w:customStyle="1" w:styleId="LegalNumPar">
    <w:name w:val="LegalNumPar"/>
    <w:basedOn w:val="Normal"/>
    <w:rsid w:val="00A8123F"/>
    <w:pPr>
      <w:numPr>
        <w:numId w:val="3"/>
      </w:numPr>
      <w:spacing w:line="360" w:lineRule="auto"/>
    </w:pPr>
    <w:rPr>
      <w:sz w:val="24"/>
    </w:rPr>
  </w:style>
  <w:style w:type="paragraph" w:customStyle="1" w:styleId="LegalNumPar2">
    <w:name w:val="LegalNumPar2"/>
    <w:basedOn w:val="Normal"/>
    <w:rsid w:val="00A8123F"/>
    <w:pPr>
      <w:numPr>
        <w:ilvl w:val="1"/>
        <w:numId w:val="3"/>
      </w:numPr>
      <w:spacing w:line="360" w:lineRule="auto"/>
    </w:pPr>
    <w:rPr>
      <w:sz w:val="24"/>
    </w:rPr>
  </w:style>
  <w:style w:type="paragraph" w:customStyle="1" w:styleId="LegalNumPar3">
    <w:name w:val="LegalNumPar3"/>
    <w:basedOn w:val="Normal"/>
    <w:rsid w:val="00A8123F"/>
    <w:pPr>
      <w:numPr>
        <w:ilvl w:val="2"/>
        <w:numId w:val="3"/>
      </w:numPr>
      <w:spacing w:line="360" w:lineRule="auto"/>
    </w:pPr>
    <w:rPr>
      <w:sz w:val="24"/>
    </w:rPr>
  </w:style>
  <w:style w:type="paragraph" w:styleId="TOCHeading">
    <w:name w:val="TOC Heading"/>
    <w:basedOn w:val="Heading1"/>
    <w:next w:val="Normal"/>
    <w:uiPriority w:val="39"/>
    <w:unhideWhenUsed/>
    <w:qFormat/>
    <w:rsid w:val="000A1DA7"/>
    <w:pPr>
      <w:spacing w:before="240" w:after="0" w:line="259" w:lineRule="auto"/>
      <w:outlineLvl w:val="9"/>
    </w:pPr>
    <w:rPr>
      <w:color w:val="2E74B5" w:themeColor="accent1" w:themeShade="BF"/>
      <w:sz w:val="32"/>
    </w:rPr>
  </w:style>
  <w:style w:type="paragraph" w:styleId="TOC1">
    <w:name w:val="toc 1"/>
    <w:basedOn w:val="Normal"/>
    <w:next w:val="Normal"/>
    <w:autoRedefine/>
    <w:uiPriority w:val="39"/>
    <w:unhideWhenUsed/>
    <w:rsid w:val="00BC1CFB"/>
    <w:pPr>
      <w:tabs>
        <w:tab w:val="left" w:pos="440"/>
        <w:tab w:val="left" w:pos="851"/>
        <w:tab w:val="right" w:leader="dot" w:pos="9350"/>
      </w:tabs>
      <w:spacing w:after="100"/>
    </w:pPr>
  </w:style>
  <w:style w:type="character" w:customStyle="1" w:styleId="Heading3Char">
    <w:name w:val="Heading 3 Char"/>
    <w:basedOn w:val="DefaultParagraphFont"/>
    <w:link w:val="Heading3"/>
    <w:uiPriority w:val="9"/>
    <w:semiHidden/>
    <w:rsid w:val="004B3E09"/>
    <w:rPr>
      <w:rFonts w:asciiTheme="majorHAnsi" w:eastAsiaTheme="majorEastAsia" w:hAnsiTheme="majorHAnsi" w:cstheme="majorBidi"/>
      <w:color w:val="1F4D78" w:themeColor="accent1" w:themeShade="7F"/>
      <w:sz w:val="24"/>
    </w:rPr>
  </w:style>
  <w:style w:type="character" w:customStyle="1" w:styleId="UnresolvedMention3">
    <w:name w:val="Unresolved Mention3"/>
    <w:basedOn w:val="DefaultParagraphFont"/>
    <w:uiPriority w:val="99"/>
    <w:semiHidden/>
    <w:unhideWhenUsed/>
    <w:rsid w:val="004B3E09"/>
    <w:rPr>
      <w:color w:val="605E5C"/>
      <w:shd w:val="clear" w:color="auto" w:fill="E1DFDD"/>
    </w:rPr>
  </w:style>
  <w:style w:type="paragraph" w:styleId="TOC2">
    <w:name w:val="toc 2"/>
    <w:basedOn w:val="Normal"/>
    <w:next w:val="Normal"/>
    <w:autoRedefine/>
    <w:uiPriority w:val="39"/>
    <w:unhideWhenUsed/>
    <w:rsid w:val="00C926CD"/>
    <w:pPr>
      <w:tabs>
        <w:tab w:val="left" w:pos="880"/>
        <w:tab w:val="right" w:leader="dot" w:pos="9350"/>
      </w:tabs>
      <w:spacing w:after="100"/>
      <w:ind w:left="220"/>
    </w:pPr>
    <w:rPr>
      <w:rFonts w:eastAsiaTheme="minorEastAsia" w:cs="Times New Roman"/>
    </w:rPr>
  </w:style>
  <w:style w:type="paragraph" w:styleId="TOC3">
    <w:name w:val="toc 3"/>
    <w:basedOn w:val="Normal"/>
    <w:next w:val="Normal"/>
    <w:autoRedefine/>
    <w:uiPriority w:val="39"/>
    <w:unhideWhenUsed/>
    <w:rsid w:val="004B3E09"/>
    <w:pPr>
      <w:spacing w:after="100"/>
      <w:ind w:left="440"/>
    </w:pPr>
    <w:rPr>
      <w:rFonts w:eastAsiaTheme="minorEastAsia" w:cs="Times New Roman"/>
    </w:rPr>
  </w:style>
  <w:style w:type="paragraph" w:customStyle="1" w:styleId="li">
    <w:name w:val="li"/>
    <w:basedOn w:val="Normal"/>
    <w:rsid w:val="00FC338C"/>
    <w:pPr>
      <w:spacing w:before="100" w:beforeAutospacing="1" w:after="100" w:afterAutospacing="1" w:line="240" w:lineRule="auto"/>
    </w:pPr>
    <w:rPr>
      <w:rFonts w:ascii="Times New Roman" w:eastAsia="Times New Roman" w:hAnsi="Times New Roman" w:cs="Times New Roman"/>
      <w:sz w:val="24"/>
    </w:rPr>
  </w:style>
  <w:style w:type="character" w:customStyle="1" w:styleId="num">
    <w:name w:val="num"/>
    <w:basedOn w:val="DefaultParagraphFont"/>
    <w:rsid w:val="00FC338C"/>
  </w:style>
  <w:style w:type="character" w:customStyle="1" w:styleId="UnresolvedMention4">
    <w:name w:val="Unresolved Mention4"/>
    <w:basedOn w:val="DefaultParagraphFont"/>
    <w:uiPriority w:val="99"/>
    <w:semiHidden/>
    <w:unhideWhenUsed/>
    <w:rsid w:val="00BF0720"/>
    <w:rPr>
      <w:color w:val="605E5C"/>
      <w:shd w:val="clear" w:color="auto" w:fill="E1DFDD"/>
    </w:rPr>
  </w:style>
  <w:style w:type="table" w:styleId="TableGrid">
    <w:name w:val="Table Grid"/>
    <w:basedOn w:val="TableNormal"/>
    <w:uiPriority w:val="39"/>
    <w:rsid w:val="00593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ingText">
    <w:name w:val="MarkingText"/>
    <w:semiHidden/>
    <w:rsid w:val="00B6744C"/>
    <w:rPr>
      <w:i/>
      <w:sz w:val="28"/>
    </w:rPr>
  </w:style>
  <w:style w:type="character" w:customStyle="1" w:styleId="UnresolvedMention500">
    <w:name w:val="Unresolved Mention500"/>
    <w:basedOn w:val="DefaultParagraphFont"/>
    <w:uiPriority w:val="99"/>
    <w:semiHidden/>
    <w:unhideWhenUsed/>
    <w:rsid w:val="005D38B6"/>
    <w:rPr>
      <w:color w:val="605E5C"/>
      <w:shd w:val="clear" w:color="auto" w:fill="E1DFDD"/>
    </w:rPr>
  </w:style>
  <w:style w:type="character" w:customStyle="1" w:styleId="UnresolvedMention5">
    <w:name w:val="Unresolved Mention5"/>
    <w:basedOn w:val="DefaultParagraphFont"/>
    <w:uiPriority w:val="99"/>
    <w:semiHidden/>
    <w:unhideWhenUsed/>
    <w:rsid w:val="00D859CF"/>
    <w:rPr>
      <w:color w:val="605E5C"/>
      <w:shd w:val="clear" w:color="auto" w:fill="E1DFDD"/>
    </w:rPr>
  </w:style>
  <w:style w:type="character" w:customStyle="1" w:styleId="normaltextrun">
    <w:name w:val="normaltextrun"/>
    <w:basedOn w:val="DefaultParagraphFont"/>
    <w:rsid w:val="00F4764E"/>
  </w:style>
  <w:style w:type="character" w:customStyle="1" w:styleId="UnresolvedMention50">
    <w:name w:val="Unresolved Mention50"/>
    <w:basedOn w:val="DefaultParagraphFont"/>
    <w:uiPriority w:val="99"/>
    <w:semiHidden/>
    <w:unhideWhenUsed/>
    <w:rsid w:val="00E87DB9"/>
    <w:rPr>
      <w:color w:val="605E5C"/>
      <w:shd w:val="clear" w:color="auto" w:fill="E1DFDD"/>
    </w:rPr>
  </w:style>
  <w:style w:type="character" w:customStyle="1" w:styleId="UnresolvedMention5000">
    <w:name w:val="Unresolved Mention5000"/>
    <w:basedOn w:val="DefaultParagraphFont"/>
    <w:uiPriority w:val="99"/>
    <w:semiHidden/>
    <w:unhideWhenUsed/>
    <w:rsid w:val="005D38B6"/>
    <w:rPr>
      <w:color w:val="605E5C"/>
      <w:shd w:val="clear" w:color="auto" w:fill="E1DFDD"/>
    </w:rPr>
  </w:style>
  <w:style w:type="character" w:customStyle="1" w:styleId="UnresolvedMention50000">
    <w:name w:val="Unresolved Mention50000"/>
    <w:basedOn w:val="DefaultParagraphFont"/>
    <w:uiPriority w:val="99"/>
    <w:semiHidden/>
    <w:unhideWhenUsed/>
    <w:rsid w:val="00E22B5F"/>
    <w:rPr>
      <w:color w:val="605E5C"/>
      <w:shd w:val="clear" w:color="auto" w:fill="E1DFDD"/>
    </w:rPr>
  </w:style>
  <w:style w:type="character" w:customStyle="1" w:styleId="UnresolvedMention500000">
    <w:name w:val="Unresolved Mention500000"/>
    <w:basedOn w:val="DefaultParagraphFont"/>
    <w:uiPriority w:val="99"/>
    <w:semiHidden/>
    <w:unhideWhenUsed/>
    <w:rsid w:val="006572DC"/>
    <w:rPr>
      <w:color w:val="605E5C"/>
      <w:shd w:val="clear" w:color="auto" w:fill="E1DFDD"/>
    </w:rPr>
  </w:style>
  <w:style w:type="character" w:customStyle="1" w:styleId="markedcontent">
    <w:name w:val="markedcontent"/>
    <w:basedOn w:val="DefaultParagraphFont"/>
    <w:rsid w:val="009B5862"/>
  </w:style>
  <w:style w:type="character" w:customStyle="1" w:styleId="UnresolvedMention6">
    <w:name w:val="Unresolved Mention6"/>
    <w:basedOn w:val="DefaultParagraphFont"/>
    <w:uiPriority w:val="99"/>
    <w:semiHidden/>
    <w:unhideWhenUsed/>
    <w:rsid w:val="00904DE2"/>
    <w:rPr>
      <w:color w:val="605E5C"/>
      <w:shd w:val="clear" w:color="auto" w:fill="E1DFDD"/>
    </w:rPr>
  </w:style>
  <w:style w:type="character" w:customStyle="1" w:styleId="UnresolvedMention7">
    <w:name w:val="Unresolved Mention7"/>
    <w:basedOn w:val="DefaultParagraphFont"/>
    <w:uiPriority w:val="99"/>
    <w:semiHidden/>
    <w:unhideWhenUsed/>
    <w:rsid w:val="00217E58"/>
    <w:rPr>
      <w:color w:val="605E5C"/>
      <w:shd w:val="clear" w:color="auto" w:fill="E1DFDD"/>
    </w:rPr>
  </w:style>
  <w:style w:type="character" w:customStyle="1" w:styleId="UnresolvedMention8">
    <w:name w:val="Unresolved Mention8"/>
    <w:basedOn w:val="DefaultParagraphFont"/>
    <w:uiPriority w:val="99"/>
    <w:semiHidden/>
    <w:unhideWhenUsed/>
    <w:rsid w:val="004E2BD0"/>
    <w:rPr>
      <w:color w:val="605E5C"/>
      <w:shd w:val="clear" w:color="auto" w:fill="E1DFDD"/>
    </w:rPr>
  </w:style>
  <w:style w:type="character" w:customStyle="1" w:styleId="Marker">
    <w:name w:val="Marker"/>
    <w:basedOn w:val="DefaultParagraphFont"/>
    <w:rsid w:val="003D0635"/>
    <w:rPr>
      <w:color w:val="0000FF"/>
      <w:shd w:val="clear" w:color="auto" w:fill="auto"/>
    </w:rPr>
  </w:style>
  <w:style w:type="paragraph" w:customStyle="1" w:styleId="Pagedecouverture">
    <w:name w:val="Page de couverture"/>
    <w:basedOn w:val="Normal"/>
    <w:next w:val="Normal"/>
    <w:rsid w:val="003D063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D063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D0635"/>
    <w:rPr>
      <w:rFonts w:ascii="Times New Roman" w:hAnsi="Times New Roman" w:cs="Times New Roman"/>
      <w:sz w:val="24"/>
    </w:rPr>
  </w:style>
  <w:style w:type="paragraph" w:customStyle="1" w:styleId="FooterSensitivity">
    <w:name w:val="Footer Sensitivity"/>
    <w:basedOn w:val="Normal"/>
    <w:link w:val="FooterSensitivityChar"/>
    <w:rsid w:val="003D06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D0635"/>
    <w:rPr>
      <w:rFonts w:ascii="Times New Roman" w:hAnsi="Times New Roman" w:cs="Times New Roman"/>
      <w:b/>
      <w:sz w:val="32"/>
    </w:rPr>
  </w:style>
  <w:style w:type="paragraph" w:customStyle="1" w:styleId="HeaderCoverPage">
    <w:name w:val="Header Cover Page"/>
    <w:basedOn w:val="Normal"/>
    <w:link w:val="HeaderCoverPageChar"/>
    <w:rsid w:val="003D063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D0635"/>
    <w:rPr>
      <w:rFonts w:ascii="Times New Roman" w:hAnsi="Times New Roman" w:cs="Times New Roman"/>
      <w:sz w:val="24"/>
    </w:rPr>
  </w:style>
  <w:style w:type="paragraph" w:customStyle="1" w:styleId="HeaderSensitivity">
    <w:name w:val="Header Sensitivity"/>
    <w:basedOn w:val="Normal"/>
    <w:link w:val="HeaderSensitivityChar"/>
    <w:rsid w:val="003D063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D0635"/>
    <w:rPr>
      <w:rFonts w:ascii="Times New Roman" w:hAnsi="Times New Roman" w:cs="Times New Roman"/>
      <w:b/>
      <w:sz w:val="32"/>
    </w:rPr>
  </w:style>
  <w:style w:type="paragraph" w:customStyle="1" w:styleId="HeaderSensitivityRight">
    <w:name w:val="Header Sensitivity Right"/>
    <w:basedOn w:val="Normal"/>
    <w:link w:val="HeaderSensitivityRightChar"/>
    <w:rsid w:val="003D063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D0635"/>
    <w:rPr>
      <w:rFonts w:ascii="Times New Roman" w:hAnsi="Times New Roman" w:cs="Times New Roman"/>
      <w:sz w:val="28"/>
    </w:rPr>
  </w:style>
  <w:style w:type="character" w:customStyle="1" w:styleId="UnresolvedMention9">
    <w:name w:val="Unresolved Mention9"/>
    <w:basedOn w:val="DefaultParagraphFont"/>
    <w:uiPriority w:val="99"/>
    <w:semiHidden/>
    <w:unhideWhenUsed/>
    <w:rsid w:val="00632305"/>
    <w:rPr>
      <w:color w:val="605E5C"/>
      <w:shd w:val="clear" w:color="auto" w:fill="E1DFDD"/>
    </w:rPr>
  </w:style>
  <w:style w:type="character" w:customStyle="1" w:styleId="UnresolvedMention10">
    <w:name w:val="Unresolved Mention10"/>
    <w:basedOn w:val="DefaultParagraphFont"/>
    <w:uiPriority w:val="99"/>
    <w:semiHidden/>
    <w:unhideWhenUsed/>
    <w:rsid w:val="00E90792"/>
    <w:rPr>
      <w:color w:val="605E5C"/>
      <w:shd w:val="clear" w:color="auto" w:fill="E1DFDD"/>
    </w:rPr>
  </w:style>
  <w:style w:type="character" w:customStyle="1" w:styleId="UnresolvedMention11">
    <w:name w:val="Unresolved Mention11"/>
    <w:basedOn w:val="DefaultParagraphFont"/>
    <w:uiPriority w:val="99"/>
    <w:semiHidden/>
    <w:unhideWhenUsed/>
    <w:rsid w:val="005F6D66"/>
    <w:rPr>
      <w:color w:val="605E5C"/>
      <w:shd w:val="clear" w:color="auto" w:fill="E1DFDD"/>
    </w:rPr>
  </w:style>
  <w:style w:type="character" w:customStyle="1" w:styleId="UnresolvedMention12">
    <w:name w:val="Unresolved Mention12"/>
    <w:basedOn w:val="DefaultParagraphFont"/>
    <w:uiPriority w:val="99"/>
    <w:semiHidden/>
    <w:unhideWhenUsed/>
    <w:rsid w:val="00CA00CF"/>
    <w:rPr>
      <w:color w:val="605E5C"/>
      <w:shd w:val="clear" w:color="auto" w:fill="E1DFDD"/>
    </w:rPr>
  </w:style>
  <w:style w:type="character" w:customStyle="1" w:styleId="UnresolvedMention">
    <w:name w:val="Unresolved Mention"/>
    <w:basedOn w:val="DefaultParagraphFont"/>
    <w:uiPriority w:val="99"/>
    <w:semiHidden/>
    <w:unhideWhenUsed/>
    <w:rsid w:val="00B23EB9"/>
    <w:rPr>
      <w:color w:val="605E5C"/>
      <w:shd w:val="clear" w:color="auto" w:fill="E1DFDD"/>
    </w:rPr>
  </w:style>
  <w:style w:type="paragraph" w:customStyle="1" w:styleId="fr">
    <w:name w:val="fr"/>
    <w:basedOn w:val="Normal"/>
    <w:uiPriority w:val="99"/>
    <w:rsid w:val="00546193"/>
    <w:pPr>
      <w:spacing w:line="240" w:lineRule="exact"/>
      <w:jc w:val="both"/>
    </w:pPr>
    <w:rPr>
      <w:vertAlign w:val="superscript"/>
    </w:rPr>
  </w:style>
  <w:style w:type="paragraph" w:customStyle="1" w:styleId="FootnotesymbolCarZchnZchn">
    <w:name w:val="Footnote symbol Car Zchn Zchn"/>
    <w:basedOn w:val="Normal"/>
    <w:uiPriority w:val="99"/>
    <w:rsid w:val="00F6553F"/>
    <w:pPr>
      <w:suppressAutoHyphens/>
      <w:spacing w:after="0" w:line="240" w:lineRule="exact"/>
      <w:jc w:val="both"/>
    </w:pPr>
    <w:rPr>
      <w:vertAlign w:val="superscript"/>
    </w:rPr>
  </w:style>
  <w:style w:type="character" w:customStyle="1" w:styleId="cf01">
    <w:name w:val="cf01"/>
    <w:basedOn w:val="DefaultParagraphFont"/>
    <w:rsid w:val="006F18B2"/>
    <w:rPr>
      <w:rFonts w:ascii="Segoe UI" w:hAnsi="Segoe UI" w:cs="Segoe UI" w:hint="default"/>
      <w:sz w:val="18"/>
    </w:rPr>
  </w:style>
  <w:style w:type="character" w:customStyle="1" w:styleId="cf11">
    <w:name w:val="cf11"/>
    <w:basedOn w:val="DefaultParagraphFont"/>
    <w:rsid w:val="006F18B2"/>
    <w:rPr>
      <w:rFonts w:ascii="Segoe UI" w:hAnsi="Segoe UI" w:cs="Segoe UI" w:hint="default"/>
      <w:color w:val="0000FF"/>
      <w:sz w:val="18"/>
      <w:u w:val="single"/>
    </w:rPr>
  </w:style>
  <w:style w:type="paragraph" w:customStyle="1" w:styleId="Style1">
    <w:name w:val="Style1"/>
    <w:basedOn w:val="Normal"/>
    <w:link w:val="Style1Char"/>
    <w:qFormat/>
    <w:rsid w:val="00D73988"/>
    <w:pPr>
      <w:spacing w:line="276" w:lineRule="auto"/>
      <w:jc w:val="both"/>
    </w:pPr>
    <w:rPr>
      <w:rFonts w:ascii="Times New Roman" w:hAnsi="Times New Roman" w:cs="Times New Roman"/>
      <w:sz w:val="24"/>
    </w:rPr>
  </w:style>
  <w:style w:type="character" w:customStyle="1" w:styleId="Style1Char">
    <w:name w:val="Style1 Char"/>
    <w:basedOn w:val="DefaultParagraphFont"/>
    <w:link w:val="Style1"/>
    <w:rsid w:val="00D73988"/>
    <w:rPr>
      <w:rFonts w:ascii="Times New Roman" w:hAnsi="Times New Roman" w:cs="Times New Roman"/>
      <w:sz w:val="24"/>
    </w:rPr>
  </w:style>
  <w:style w:type="paragraph" w:customStyle="1" w:styleId="doc-ti">
    <w:name w:val="doc-ti"/>
    <w:basedOn w:val="Normal"/>
    <w:rsid w:val="000146D2"/>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458">
      <w:bodyDiv w:val="1"/>
      <w:marLeft w:val="0"/>
      <w:marRight w:val="0"/>
      <w:marTop w:val="0"/>
      <w:marBottom w:val="0"/>
      <w:divBdr>
        <w:top w:val="none" w:sz="0" w:space="0" w:color="auto"/>
        <w:left w:val="none" w:sz="0" w:space="0" w:color="auto"/>
        <w:bottom w:val="none" w:sz="0" w:space="0" w:color="auto"/>
        <w:right w:val="none" w:sz="0" w:space="0" w:color="auto"/>
      </w:divBdr>
    </w:div>
    <w:div w:id="143547133">
      <w:bodyDiv w:val="1"/>
      <w:marLeft w:val="0"/>
      <w:marRight w:val="0"/>
      <w:marTop w:val="0"/>
      <w:marBottom w:val="0"/>
      <w:divBdr>
        <w:top w:val="none" w:sz="0" w:space="0" w:color="auto"/>
        <w:left w:val="none" w:sz="0" w:space="0" w:color="auto"/>
        <w:bottom w:val="none" w:sz="0" w:space="0" w:color="auto"/>
        <w:right w:val="none" w:sz="0" w:space="0" w:color="auto"/>
      </w:divBdr>
    </w:div>
    <w:div w:id="166482984">
      <w:bodyDiv w:val="1"/>
      <w:marLeft w:val="0"/>
      <w:marRight w:val="0"/>
      <w:marTop w:val="0"/>
      <w:marBottom w:val="0"/>
      <w:divBdr>
        <w:top w:val="none" w:sz="0" w:space="0" w:color="auto"/>
        <w:left w:val="none" w:sz="0" w:space="0" w:color="auto"/>
        <w:bottom w:val="none" w:sz="0" w:space="0" w:color="auto"/>
        <w:right w:val="none" w:sz="0" w:space="0" w:color="auto"/>
      </w:divBdr>
    </w:div>
    <w:div w:id="235289327">
      <w:bodyDiv w:val="1"/>
      <w:marLeft w:val="0"/>
      <w:marRight w:val="0"/>
      <w:marTop w:val="0"/>
      <w:marBottom w:val="0"/>
      <w:divBdr>
        <w:top w:val="none" w:sz="0" w:space="0" w:color="auto"/>
        <w:left w:val="none" w:sz="0" w:space="0" w:color="auto"/>
        <w:bottom w:val="none" w:sz="0" w:space="0" w:color="auto"/>
        <w:right w:val="none" w:sz="0" w:space="0" w:color="auto"/>
      </w:divBdr>
    </w:div>
    <w:div w:id="235477894">
      <w:bodyDiv w:val="1"/>
      <w:marLeft w:val="0"/>
      <w:marRight w:val="0"/>
      <w:marTop w:val="0"/>
      <w:marBottom w:val="0"/>
      <w:divBdr>
        <w:top w:val="none" w:sz="0" w:space="0" w:color="auto"/>
        <w:left w:val="none" w:sz="0" w:space="0" w:color="auto"/>
        <w:bottom w:val="none" w:sz="0" w:space="0" w:color="auto"/>
        <w:right w:val="none" w:sz="0" w:space="0" w:color="auto"/>
      </w:divBdr>
    </w:div>
    <w:div w:id="235939817">
      <w:bodyDiv w:val="1"/>
      <w:marLeft w:val="0"/>
      <w:marRight w:val="0"/>
      <w:marTop w:val="0"/>
      <w:marBottom w:val="0"/>
      <w:divBdr>
        <w:top w:val="none" w:sz="0" w:space="0" w:color="auto"/>
        <w:left w:val="none" w:sz="0" w:space="0" w:color="auto"/>
        <w:bottom w:val="none" w:sz="0" w:space="0" w:color="auto"/>
        <w:right w:val="none" w:sz="0" w:space="0" w:color="auto"/>
      </w:divBdr>
    </w:div>
    <w:div w:id="271325775">
      <w:bodyDiv w:val="1"/>
      <w:marLeft w:val="0"/>
      <w:marRight w:val="0"/>
      <w:marTop w:val="0"/>
      <w:marBottom w:val="0"/>
      <w:divBdr>
        <w:top w:val="none" w:sz="0" w:space="0" w:color="auto"/>
        <w:left w:val="none" w:sz="0" w:space="0" w:color="auto"/>
        <w:bottom w:val="none" w:sz="0" w:space="0" w:color="auto"/>
        <w:right w:val="none" w:sz="0" w:space="0" w:color="auto"/>
      </w:divBdr>
    </w:div>
    <w:div w:id="292515821">
      <w:bodyDiv w:val="1"/>
      <w:marLeft w:val="0"/>
      <w:marRight w:val="0"/>
      <w:marTop w:val="0"/>
      <w:marBottom w:val="0"/>
      <w:divBdr>
        <w:top w:val="none" w:sz="0" w:space="0" w:color="auto"/>
        <w:left w:val="none" w:sz="0" w:space="0" w:color="auto"/>
        <w:bottom w:val="none" w:sz="0" w:space="0" w:color="auto"/>
        <w:right w:val="none" w:sz="0" w:space="0" w:color="auto"/>
      </w:divBdr>
    </w:div>
    <w:div w:id="355274484">
      <w:bodyDiv w:val="1"/>
      <w:marLeft w:val="0"/>
      <w:marRight w:val="0"/>
      <w:marTop w:val="0"/>
      <w:marBottom w:val="0"/>
      <w:divBdr>
        <w:top w:val="none" w:sz="0" w:space="0" w:color="auto"/>
        <w:left w:val="none" w:sz="0" w:space="0" w:color="auto"/>
        <w:bottom w:val="none" w:sz="0" w:space="0" w:color="auto"/>
        <w:right w:val="none" w:sz="0" w:space="0" w:color="auto"/>
      </w:divBdr>
    </w:div>
    <w:div w:id="390228079">
      <w:bodyDiv w:val="1"/>
      <w:marLeft w:val="0"/>
      <w:marRight w:val="0"/>
      <w:marTop w:val="0"/>
      <w:marBottom w:val="0"/>
      <w:divBdr>
        <w:top w:val="none" w:sz="0" w:space="0" w:color="auto"/>
        <w:left w:val="none" w:sz="0" w:space="0" w:color="auto"/>
        <w:bottom w:val="none" w:sz="0" w:space="0" w:color="auto"/>
        <w:right w:val="none" w:sz="0" w:space="0" w:color="auto"/>
      </w:divBdr>
    </w:div>
    <w:div w:id="551581466">
      <w:bodyDiv w:val="1"/>
      <w:marLeft w:val="0"/>
      <w:marRight w:val="0"/>
      <w:marTop w:val="0"/>
      <w:marBottom w:val="0"/>
      <w:divBdr>
        <w:top w:val="none" w:sz="0" w:space="0" w:color="auto"/>
        <w:left w:val="none" w:sz="0" w:space="0" w:color="auto"/>
        <w:bottom w:val="none" w:sz="0" w:space="0" w:color="auto"/>
        <w:right w:val="none" w:sz="0" w:space="0" w:color="auto"/>
      </w:divBdr>
    </w:div>
    <w:div w:id="564265340">
      <w:bodyDiv w:val="1"/>
      <w:marLeft w:val="0"/>
      <w:marRight w:val="0"/>
      <w:marTop w:val="0"/>
      <w:marBottom w:val="0"/>
      <w:divBdr>
        <w:top w:val="none" w:sz="0" w:space="0" w:color="auto"/>
        <w:left w:val="none" w:sz="0" w:space="0" w:color="auto"/>
        <w:bottom w:val="none" w:sz="0" w:space="0" w:color="auto"/>
        <w:right w:val="none" w:sz="0" w:space="0" w:color="auto"/>
      </w:divBdr>
    </w:div>
    <w:div w:id="577062913">
      <w:bodyDiv w:val="1"/>
      <w:marLeft w:val="0"/>
      <w:marRight w:val="0"/>
      <w:marTop w:val="0"/>
      <w:marBottom w:val="0"/>
      <w:divBdr>
        <w:top w:val="none" w:sz="0" w:space="0" w:color="auto"/>
        <w:left w:val="none" w:sz="0" w:space="0" w:color="auto"/>
        <w:bottom w:val="none" w:sz="0" w:space="0" w:color="auto"/>
        <w:right w:val="none" w:sz="0" w:space="0" w:color="auto"/>
      </w:divBdr>
    </w:div>
    <w:div w:id="583489881">
      <w:bodyDiv w:val="1"/>
      <w:marLeft w:val="0"/>
      <w:marRight w:val="0"/>
      <w:marTop w:val="0"/>
      <w:marBottom w:val="0"/>
      <w:divBdr>
        <w:top w:val="none" w:sz="0" w:space="0" w:color="auto"/>
        <w:left w:val="none" w:sz="0" w:space="0" w:color="auto"/>
        <w:bottom w:val="none" w:sz="0" w:space="0" w:color="auto"/>
        <w:right w:val="none" w:sz="0" w:space="0" w:color="auto"/>
      </w:divBdr>
    </w:div>
    <w:div w:id="614093503">
      <w:bodyDiv w:val="1"/>
      <w:marLeft w:val="0"/>
      <w:marRight w:val="0"/>
      <w:marTop w:val="0"/>
      <w:marBottom w:val="0"/>
      <w:divBdr>
        <w:top w:val="none" w:sz="0" w:space="0" w:color="auto"/>
        <w:left w:val="none" w:sz="0" w:space="0" w:color="auto"/>
        <w:bottom w:val="none" w:sz="0" w:space="0" w:color="auto"/>
        <w:right w:val="none" w:sz="0" w:space="0" w:color="auto"/>
      </w:divBdr>
    </w:div>
    <w:div w:id="622423607">
      <w:bodyDiv w:val="1"/>
      <w:marLeft w:val="0"/>
      <w:marRight w:val="0"/>
      <w:marTop w:val="0"/>
      <w:marBottom w:val="0"/>
      <w:divBdr>
        <w:top w:val="none" w:sz="0" w:space="0" w:color="auto"/>
        <w:left w:val="none" w:sz="0" w:space="0" w:color="auto"/>
        <w:bottom w:val="none" w:sz="0" w:space="0" w:color="auto"/>
        <w:right w:val="none" w:sz="0" w:space="0" w:color="auto"/>
      </w:divBdr>
    </w:div>
    <w:div w:id="628164322">
      <w:bodyDiv w:val="1"/>
      <w:marLeft w:val="0"/>
      <w:marRight w:val="0"/>
      <w:marTop w:val="0"/>
      <w:marBottom w:val="0"/>
      <w:divBdr>
        <w:top w:val="none" w:sz="0" w:space="0" w:color="auto"/>
        <w:left w:val="none" w:sz="0" w:space="0" w:color="auto"/>
        <w:bottom w:val="none" w:sz="0" w:space="0" w:color="auto"/>
        <w:right w:val="none" w:sz="0" w:space="0" w:color="auto"/>
      </w:divBdr>
    </w:div>
    <w:div w:id="649287335">
      <w:bodyDiv w:val="1"/>
      <w:marLeft w:val="0"/>
      <w:marRight w:val="0"/>
      <w:marTop w:val="0"/>
      <w:marBottom w:val="0"/>
      <w:divBdr>
        <w:top w:val="none" w:sz="0" w:space="0" w:color="auto"/>
        <w:left w:val="none" w:sz="0" w:space="0" w:color="auto"/>
        <w:bottom w:val="none" w:sz="0" w:space="0" w:color="auto"/>
        <w:right w:val="none" w:sz="0" w:space="0" w:color="auto"/>
      </w:divBdr>
    </w:div>
    <w:div w:id="658926779">
      <w:bodyDiv w:val="1"/>
      <w:marLeft w:val="0"/>
      <w:marRight w:val="0"/>
      <w:marTop w:val="0"/>
      <w:marBottom w:val="0"/>
      <w:divBdr>
        <w:top w:val="none" w:sz="0" w:space="0" w:color="auto"/>
        <w:left w:val="none" w:sz="0" w:space="0" w:color="auto"/>
        <w:bottom w:val="none" w:sz="0" w:space="0" w:color="auto"/>
        <w:right w:val="none" w:sz="0" w:space="0" w:color="auto"/>
      </w:divBdr>
    </w:div>
    <w:div w:id="703362542">
      <w:bodyDiv w:val="1"/>
      <w:marLeft w:val="0"/>
      <w:marRight w:val="0"/>
      <w:marTop w:val="0"/>
      <w:marBottom w:val="0"/>
      <w:divBdr>
        <w:top w:val="none" w:sz="0" w:space="0" w:color="auto"/>
        <w:left w:val="none" w:sz="0" w:space="0" w:color="auto"/>
        <w:bottom w:val="none" w:sz="0" w:space="0" w:color="auto"/>
        <w:right w:val="none" w:sz="0" w:space="0" w:color="auto"/>
      </w:divBdr>
    </w:div>
    <w:div w:id="725029359">
      <w:bodyDiv w:val="1"/>
      <w:marLeft w:val="0"/>
      <w:marRight w:val="0"/>
      <w:marTop w:val="0"/>
      <w:marBottom w:val="0"/>
      <w:divBdr>
        <w:top w:val="none" w:sz="0" w:space="0" w:color="auto"/>
        <w:left w:val="none" w:sz="0" w:space="0" w:color="auto"/>
        <w:bottom w:val="none" w:sz="0" w:space="0" w:color="auto"/>
        <w:right w:val="none" w:sz="0" w:space="0" w:color="auto"/>
      </w:divBdr>
    </w:div>
    <w:div w:id="766929743">
      <w:bodyDiv w:val="1"/>
      <w:marLeft w:val="0"/>
      <w:marRight w:val="0"/>
      <w:marTop w:val="0"/>
      <w:marBottom w:val="0"/>
      <w:divBdr>
        <w:top w:val="none" w:sz="0" w:space="0" w:color="auto"/>
        <w:left w:val="none" w:sz="0" w:space="0" w:color="auto"/>
        <w:bottom w:val="none" w:sz="0" w:space="0" w:color="auto"/>
        <w:right w:val="none" w:sz="0" w:space="0" w:color="auto"/>
      </w:divBdr>
    </w:div>
    <w:div w:id="790973650">
      <w:bodyDiv w:val="1"/>
      <w:marLeft w:val="0"/>
      <w:marRight w:val="0"/>
      <w:marTop w:val="0"/>
      <w:marBottom w:val="0"/>
      <w:divBdr>
        <w:top w:val="none" w:sz="0" w:space="0" w:color="auto"/>
        <w:left w:val="none" w:sz="0" w:space="0" w:color="auto"/>
        <w:bottom w:val="none" w:sz="0" w:space="0" w:color="auto"/>
        <w:right w:val="none" w:sz="0" w:space="0" w:color="auto"/>
      </w:divBdr>
    </w:div>
    <w:div w:id="834878747">
      <w:bodyDiv w:val="1"/>
      <w:marLeft w:val="0"/>
      <w:marRight w:val="0"/>
      <w:marTop w:val="0"/>
      <w:marBottom w:val="0"/>
      <w:divBdr>
        <w:top w:val="none" w:sz="0" w:space="0" w:color="auto"/>
        <w:left w:val="none" w:sz="0" w:space="0" w:color="auto"/>
        <w:bottom w:val="none" w:sz="0" w:space="0" w:color="auto"/>
        <w:right w:val="none" w:sz="0" w:space="0" w:color="auto"/>
      </w:divBdr>
    </w:div>
    <w:div w:id="841162423">
      <w:bodyDiv w:val="1"/>
      <w:marLeft w:val="0"/>
      <w:marRight w:val="0"/>
      <w:marTop w:val="0"/>
      <w:marBottom w:val="0"/>
      <w:divBdr>
        <w:top w:val="none" w:sz="0" w:space="0" w:color="auto"/>
        <w:left w:val="none" w:sz="0" w:space="0" w:color="auto"/>
        <w:bottom w:val="none" w:sz="0" w:space="0" w:color="auto"/>
        <w:right w:val="none" w:sz="0" w:space="0" w:color="auto"/>
      </w:divBdr>
    </w:div>
    <w:div w:id="854852068">
      <w:bodyDiv w:val="1"/>
      <w:marLeft w:val="0"/>
      <w:marRight w:val="0"/>
      <w:marTop w:val="0"/>
      <w:marBottom w:val="0"/>
      <w:divBdr>
        <w:top w:val="none" w:sz="0" w:space="0" w:color="auto"/>
        <w:left w:val="none" w:sz="0" w:space="0" w:color="auto"/>
        <w:bottom w:val="none" w:sz="0" w:space="0" w:color="auto"/>
        <w:right w:val="none" w:sz="0" w:space="0" w:color="auto"/>
      </w:divBdr>
    </w:div>
    <w:div w:id="893001006">
      <w:bodyDiv w:val="1"/>
      <w:marLeft w:val="0"/>
      <w:marRight w:val="0"/>
      <w:marTop w:val="0"/>
      <w:marBottom w:val="0"/>
      <w:divBdr>
        <w:top w:val="none" w:sz="0" w:space="0" w:color="auto"/>
        <w:left w:val="none" w:sz="0" w:space="0" w:color="auto"/>
        <w:bottom w:val="none" w:sz="0" w:space="0" w:color="auto"/>
        <w:right w:val="none" w:sz="0" w:space="0" w:color="auto"/>
      </w:divBdr>
    </w:div>
    <w:div w:id="941111156">
      <w:bodyDiv w:val="1"/>
      <w:marLeft w:val="0"/>
      <w:marRight w:val="0"/>
      <w:marTop w:val="0"/>
      <w:marBottom w:val="0"/>
      <w:divBdr>
        <w:top w:val="none" w:sz="0" w:space="0" w:color="auto"/>
        <w:left w:val="none" w:sz="0" w:space="0" w:color="auto"/>
        <w:bottom w:val="none" w:sz="0" w:space="0" w:color="auto"/>
        <w:right w:val="none" w:sz="0" w:space="0" w:color="auto"/>
      </w:divBdr>
    </w:div>
    <w:div w:id="982466539">
      <w:bodyDiv w:val="1"/>
      <w:marLeft w:val="0"/>
      <w:marRight w:val="0"/>
      <w:marTop w:val="0"/>
      <w:marBottom w:val="0"/>
      <w:divBdr>
        <w:top w:val="none" w:sz="0" w:space="0" w:color="auto"/>
        <w:left w:val="none" w:sz="0" w:space="0" w:color="auto"/>
        <w:bottom w:val="none" w:sz="0" w:space="0" w:color="auto"/>
        <w:right w:val="none" w:sz="0" w:space="0" w:color="auto"/>
      </w:divBdr>
    </w:div>
    <w:div w:id="1067335466">
      <w:bodyDiv w:val="1"/>
      <w:marLeft w:val="0"/>
      <w:marRight w:val="0"/>
      <w:marTop w:val="0"/>
      <w:marBottom w:val="0"/>
      <w:divBdr>
        <w:top w:val="none" w:sz="0" w:space="0" w:color="auto"/>
        <w:left w:val="none" w:sz="0" w:space="0" w:color="auto"/>
        <w:bottom w:val="none" w:sz="0" w:space="0" w:color="auto"/>
        <w:right w:val="none" w:sz="0" w:space="0" w:color="auto"/>
      </w:divBdr>
    </w:div>
    <w:div w:id="1097560784">
      <w:bodyDiv w:val="1"/>
      <w:marLeft w:val="0"/>
      <w:marRight w:val="0"/>
      <w:marTop w:val="0"/>
      <w:marBottom w:val="0"/>
      <w:divBdr>
        <w:top w:val="none" w:sz="0" w:space="0" w:color="auto"/>
        <w:left w:val="none" w:sz="0" w:space="0" w:color="auto"/>
        <w:bottom w:val="none" w:sz="0" w:space="0" w:color="auto"/>
        <w:right w:val="none" w:sz="0" w:space="0" w:color="auto"/>
      </w:divBdr>
    </w:div>
    <w:div w:id="1184249671">
      <w:bodyDiv w:val="1"/>
      <w:marLeft w:val="0"/>
      <w:marRight w:val="0"/>
      <w:marTop w:val="0"/>
      <w:marBottom w:val="0"/>
      <w:divBdr>
        <w:top w:val="none" w:sz="0" w:space="0" w:color="auto"/>
        <w:left w:val="none" w:sz="0" w:space="0" w:color="auto"/>
        <w:bottom w:val="none" w:sz="0" w:space="0" w:color="auto"/>
        <w:right w:val="none" w:sz="0" w:space="0" w:color="auto"/>
      </w:divBdr>
    </w:div>
    <w:div w:id="1194416223">
      <w:bodyDiv w:val="1"/>
      <w:marLeft w:val="0"/>
      <w:marRight w:val="0"/>
      <w:marTop w:val="0"/>
      <w:marBottom w:val="0"/>
      <w:divBdr>
        <w:top w:val="none" w:sz="0" w:space="0" w:color="auto"/>
        <w:left w:val="none" w:sz="0" w:space="0" w:color="auto"/>
        <w:bottom w:val="none" w:sz="0" w:space="0" w:color="auto"/>
        <w:right w:val="none" w:sz="0" w:space="0" w:color="auto"/>
      </w:divBdr>
    </w:div>
    <w:div w:id="1255281429">
      <w:bodyDiv w:val="1"/>
      <w:marLeft w:val="0"/>
      <w:marRight w:val="0"/>
      <w:marTop w:val="0"/>
      <w:marBottom w:val="0"/>
      <w:divBdr>
        <w:top w:val="none" w:sz="0" w:space="0" w:color="auto"/>
        <w:left w:val="none" w:sz="0" w:space="0" w:color="auto"/>
        <w:bottom w:val="none" w:sz="0" w:space="0" w:color="auto"/>
        <w:right w:val="none" w:sz="0" w:space="0" w:color="auto"/>
      </w:divBdr>
    </w:div>
    <w:div w:id="1270964750">
      <w:bodyDiv w:val="1"/>
      <w:marLeft w:val="0"/>
      <w:marRight w:val="0"/>
      <w:marTop w:val="0"/>
      <w:marBottom w:val="0"/>
      <w:divBdr>
        <w:top w:val="none" w:sz="0" w:space="0" w:color="auto"/>
        <w:left w:val="none" w:sz="0" w:space="0" w:color="auto"/>
        <w:bottom w:val="none" w:sz="0" w:space="0" w:color="auto"/>
        <w:right w:val="none" w:sz="0" w:space="0" w:color="auto"/>
      </w:divBdr>
    </w:div>
    <w:div w:id="1280525677">
      <w:bodyDiv w:val="1"/>
      <w:marLeft w:val="0"/>
      <w:marRight w:val="0"/>
      <w:marTop w:val="0"/>
      <w:marBottom w:val="0"/>
      <w:divBdr>
        <w:top w:val="none" w:sz="0" w:space="0" w:color="auto"/>
        <w:left w:val="none" w:sz="0" w:space="0" w:color="auto"/>
        <w:bottom w:val="none" w:sz="0" w:space="0" w:color="auto"/>
        <w:right w:val="none" w:sz="0" w:space="0" w:color="auto"/>
      </w:divBdr>
    </w:div>
    <w:div w:id="1313368066">
      <w:bodyDiv w:val="1"/>
      <w:marLeft w:val="0"/>
      <w:marRight w:val="0"/>
      <w:marTop w:val="0"/>
      <w:marBottom w:val="0"/>
      <w:divBdr>
        <w:top w:val="none" w:sz="0" w:space="0" w:color="auto"/>
        <w:left w:val="none" w:sz="0" w:space="0" w:color="auto"/>
        <w:bottom w:val="none" w:sz="0" w:space="0" w:color="auto"/>
        <w:right w:val="none" w:sz="0" w:space="0" w:color="auto"/>
      </w:divBdr>
    </w:div>
    <w:div w:id="1468014337">
      <w:bodyDiv w:val="1"/>
      <w:marLeft w:val="0"/>
      <w:marRight w:val="0"/>
      <w:marTop w:val="0"/>
      <w:marBottom w:val="0"/>
      <w:divBdr>
        <w:top w:val="none" w:sz="0" w:space="0" w:color="auto"/>
        <w:left w:val="none" w:sz="0" w:space="0" w:color="auto"/>
        <w:bottom w:val="none" w:sz="0" w:space="0" w:color="auto"/>
        <w:right w:val="none" w:sz="0" w:space="0" w:color="auto"/>
      </w:divBdr>
    </w:div>
    <w:div w:id="1472209229">
      <w:bodyDiv w:val="1"/>
      <w:marLeft w:val="0"/>
      <w:marRight w:val="0"/>
      <w:marTop w:val="0"/>
      <w:marBottom w:val="0"/>
      <w:divBdr>
        <w:top w:val="none" w:sz="0" w:space="0" w:color="auto"/>
        <w:left w:val="none" w:sz="0" w:space="0" w:color="auto"/>
        <w:bottom w:val="none" w:sz="0" w:space="0" w:color="auto"/>
        <w:right w:val="none" w:sz="0" w:space="0" w:color="auto"/>
      </w:divBdr>
    </w:div>
    <w:div w:id="1484352232">
      <w:bodyDiv w:val="1"/>
      <w:marLeft w:val="0"/>
      <w:marRight w:val="0"/>
      <w:marTop w:val="0"/>
      <w:marBottom w:val="0"/>
      <w:divBdr>
        <w:top w:val="none" w:sz="0" w:space="0" w:color="auto"/>
        <w:left w:val="none" w:sz="0" w:space="0" w:color="auto"/>
        <w:bottom w:val="none" w:sz="0" w:space="0" w:color="auto"/>
        <w:right w:val="none" w:sz="0" w:space="0" w:color="auto"/>
      </w:divBdr>
    </w:div>
    <w:div w:id="1489129382">
      <w:bodyDiv w:val="1"/>
      <w:marLeft w:val="0"/>
      <w:marRight w:val="0"/>
      <w:marTop w:val="0"/>
      <w:marBottom w:val="0"/>
      <w:divBdr>
        <w:top w:val="none" w:sz="0" w:space="0" w:color="auto"/>
        <w:left w:val="none" w:sz="0" w:space="0" w:color="auto"/>
        <w:bottom w:val="none" w:sz="0" w:space="0" w:color="auto"/>
        <w:right w:val="none" w:sz="0" w:space="0" w:color="auto"/>
      </w:divBdr>
    </w:div>
    <w:div w:id="1496216277">
      <w:bodyDiv w:val="1"/>
      <w:marLeft w:val="0"/>
      <w:marRight w:val="0"/>
      <w:marTop w:val="0"/>
      <w:marBottom w:val="0"/>
      <w:divBdr>
        <w:top w:val="none" w:sz="0" w:space="0" w:color="auto"/>
        <w:left w:val="none" w:sz="0" w:space="0" w:color="auto"/>
        <w:bottom w:val="none" w:sz="0" w:space="0" w:color="auto"/>
        <w:right w:val="none" w:sz="0" w:space="0" w:color="auto"/>
      </w:divBdr>
    </w:div>
    <w:div w:id="1511488318">
      <w:bodyDiv w:val="1"/>
      <w:marLeft w:val="0"/>
      <w:marRight w:val="0"/>
      <w:marTop w:val="0"/>
      <w:marBottom w:val="0"/>
      <w:divBdr>
        <w:top w:val="none" w:sz="0" w:space="0" w:color="auto"/>
        <w:left w:val="none" w:sz="0" w:space="0" w:color="auto"/>
        <w:bottom w:val="none" w:sz="0" w:space="0" w:color="auto"/>
        <w:right w:val="none" w:sz="0" w:space="0" w:color="auto"/>
      </w:divBdr>
    </w:div>
    <w:div w:id="1668629013">
      <w:bodyDiv w:val="1"/>
      <w:marLeft w:val="0"/>
      <w:marRight w:val="0"/>
      <w:marTop w:val="0"/>
      <w:marBottom w:val="0"/>
      <w:divBdr>
        <w:top w:val="none" w:sz="0" w:space="0" w:color="auto"/>
        <w:left w:val="none" w:sz="0" w:space="0" w:color="auto"/>
        <w:bottom w:val="none" w:sz="0" w:space="0" w:color="auto"/>
        <w:right w:val="none" w:sz="0" w:space="0" w:color="auto"/>
      </w:divBdr>
    </w:div>
    <w:div w:id="1702050715">
      <w:bodyDiv w:val="1"/>
      <w:marLeft w:val="0"/>
      <w:marRight w:val="0"/>
      <w:marTop w:val="0"/>
      <w:marBottom w:val="0"/>
      <w:divBdr>
        <w:top w:val="none" w:sz="0" w:space="0" w:color="auto"/>
        <w:left w:val="none" w:sz="0" w:space="0" w:color="auto"/>
        <w:bottom w:val="none" w:sz="0" w:space="0" w:color="auto"/>
        <w:right w:val="none" w:sz="0" w:space="0" w:color="auto"/>
      </w:divBdr>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
    <w:div w:id="1750032487">
      <w:bodyDiv w:val="1"/>
      <w:marLeft w:val="0"/>
      <w:marRight w:val="0"/>
      <w:marTop w:val="0"/>
      <w:marBottom w:val="0"/>
      <w:divBdr>
        <w:top w:val="none" w:sz="0" w:space="0" w:color="auto"/>
        <w:left w:val="none" w:sz="0" w:space="0" w:color="auto"/>
        <w:bottom w:val="none" w:sz="0" w:space="0" w:color="auto"/>
        <w:right w:val="none" w:sz="0" w:space="0" w:color="auto"/>
      </w:divBdr>
    </w:div>
    <w:div w:id="1803384636">
      <w:bodyDiv w:val="1"/>
      <w:marLeft w:val="0"/>
      <w:marRight w:val="0"/>
      <w:marTop w:val="0"/>
      <w:marBottom w:val="0"/>
      <w:divBdr>
        <w:top w:val="none" w:sz="0" w:space="0" w:color="auto"/>
        <w:left w:val="none" w:sz="0" w:space="0" w:color="auto"/>
        <w:bottom w:val="none" w:sz="0" w:space="0" w:color="auto"/>
        <w:right w:val="none" w:sz="0" w:space="0" w:color="auto"/>
      </w:divBdr>
    </w:div>
    <w:div w:id="1825047963">
      <w:bodyDiv w:val="1"/>
      <w:marLeft w:val="0"/>
      <w:marRight w:val="0"/>
      <w:marTop w:val="0"/>
      <w:marBottom w:val="0"/>
      <w:divBdr>
        <w:top w:val="none" w:sz="0" w:space="0" w:color="auto"/>
        <w:left w:val="none" w:sz="0" w:space="0" w:color="auto"/>
        <w:bottom w:val="none" w:sz="0" w:space="0" w:color="auto"/>
        <w:right w:val="none" w:sz="0" w:space="0" w:color="auto"/>
      </w:divBdr>
    </w:div>
    <w:div w:id="2023899855">
      <w:bodyDiv w:val="1"/>
      <w:marLeft w:val="0"/>
      <w:marRight w:val="0"/>
      <w:marTop w:val="0"/>
      <w:marBottom w:val="0"/>
      <w:divBdr>
        <w:top w:val="none" w:sz="0" w:space="0" w:color="auto"/>
        <w:left w:val="none" w:sz="0" w:space="0" w:color="auto"/>
        <w:bottom w:val="none" w:sz="0" w:space="0" w:color="auto"/>
        <w:right w:val="none" w:sz="0" w:space="0" w:color="auto"/>
      </w:divBdr>
    </w:div>
    <w:div w:id="2026587293">
      <w:bodyDiv w:val="1"/>
      <w:marLeft w:val="0"/>
      <w:marRight w:val="0"/>
      <w:marTop w:val="0"/>
      <w:marBottom w:val="0"/>
      <w:divBdr>
        <w:top w:val="none" w:sz="0" w:space="0" w:color="auto"/>
        <w:left w:val="none" w:sz="0" w:space="0" w:color="auto"/>
        <w:bottom w:val="none" w:sz="0" w:space="0" w:color="auto"/>
        <w:right w:val="none" w:sz="0" w:space="0" w:color="auto"/>
      </w:divBdr>
    </w:div>
    <w:div w:id="2039891375">
      <w:bodyDiv w:val="1"/>
      <w:marLeft w:val="0"/>
      <w:marRight w:val="0"/>
      <w:marTop w:val="0"/>
      <w:marBottom w:val="0"/>
      <w:divBdr>
        <w:top w:val="none" w:sz="0" w:space="0" w:color="auto"/>
        <w:left w:val="none" w:sz="0" w:space="0" w:color="auto"/>
        <w:bottom w:val="none" w:sz="0" w:space="0" w:color="auto"/>
        <w:right w:val="none" w:sz="0" w:space="0" w:color="auto"/>
      </w:divBdr>
    </w:div>
    <w:div w:id="2053189877">
      <w:bodyDiv w:val="1"/>
      <w:marLeft w:val="0"/>
      <w:marRight w:val="0"/>
      <w:marTop w:val="0"/>
      <w:marBottom w:val="0"/>
      <w:divBdr>
        <w:top w:val="none" w:sz="0" w:space="0" w:color="auto"/>
        <w:left w:val="none" w:sz="0" w:space="0" w:color="auto"/>
        <w:bottom w:val="none" w:sz="0" w:space="0" w:color="auto"/>
        <w:right w:val="none" w:sz="0" w:space="0" w:color="auto"/>
      </w:divBdr>
    </w:div>
    <w:div w:id="2063361196">
      <w:bodyDiv w:val="1"/>
      <w:marLeft w:val="0"/>
      <w:marRight w:val="0"/>
      <w:marTop w:val="0"/>
      <w:marBottom w:val="0"/>
      <w:divBdr>
        <w:top w:val="none" w:sz="0" w:space="0" w:color="auto"/>
        <w:left w:val="none" w:sz="0" w:space="0" w:color="auto"/>
        <w:bottom w:val="none" w:sz="0" w:space="0" w:color="auto"/>
        <w:right w:val="none" w:sz="0" w:space="0" w:color="auto"/>
      </w:divBdr>
    </w:div>
    <w:div w:id="2063406274">
      <w:bodyDiv w:val="1"/>
      <w:marLeft w:val="0"/>
      <w:marRight w:val="0"/>
      <w:marTop w:val="0"/>
      <w:marBottom w:val="0"/>
      <w:divBdr>
        <w:top w:val="none" w:sz="0" w:space="0" w:color="auto"/>
        <w:left w:val="none" w:sz="0" w:space="0" w:color="auto"/>
        <w:bottom w:val="none" w:sz="0" w:space="0" w:color="auto"/>
        <w:right w:val="none" w:sz="0" w:space="0" w:color="auto"/>
      </w:divBdr>
    </w:div>
    <w:div w:id="2069065191">
      <w:bodyDiv w:val="1"/>
      <w:marLeft w:val="0"/>
      <w:marRight w:val="0"/>
      <w:marTop w:val="0"/>
      <w:marBottom w:val="0"/>
      <w:divBdr>
        <w:top w:val="none" w:sz="0" w:space="0" w:color="auto"/>
        <w:left w:val="none" w:sz="0" w:space="0" w:color="auto"/>
        <w:bottom w:val="none" w:sz="0" w:space="0" w:color="auto"/>
        <w:right w:val="none" w:sz="0" w:space="0" w:color="auto"/>
      </w:divBdr>
    </w:div>
    <w:div w:id="2078432470">
      <w:bodyDiv w:val="1"/>
      <w:marLeft w:val="0"/>
      <w:marRight w:val="0"/>
      <w:marTop w:val="0"/>
      <w:marBottom w:val="0"/>
      <w:divBdr>
        <w:top w:val="none" w:sz="0" w:space="0" w:color="auto"/>
        <w:left w:val="none" w:sz="0" w:space="0" w:color="auto"/>
        <w:bottom w:val="none" w:sz="0" w:space="0" w:color="auto"/>
        <w:right w:val="none" w:sz="0" w:space="0" w:color="auto"/>
      </w:divBdr>
    </w:div>
    <w:div w:id="2083677033">
      <w:bodyDiv w:val="1"/>
      <w:marLeft w:val="0"/>
      <w:marRight w:val="0"/>
      <w:marTop w:val="0"/>
      <w:marBottom w:val="0"/>
      <w:divBdr>
        <w:top w:val="none" w:sz="0" w:space="0" w:color="auto"/>
        <w:left w:val="none" w:sz="0" w:space="0" w:color="auto"/>
        <w:bottom w:val="none" w:sz="0" w:space="0" w:color="auto"/>
        <w:right w:val="none" w:sz="0" w:space="0" w:color="auto"/>
      </w:divBdr>
    </w:div>
    <w:div w:id="2094885840">
      <w:bodyDiv w:val="1"/>
      <w:marLeft w:val="0"/>
      <w:marRight w:val="0"/>
      <w:marTop w:val="0"/>
      <w:marBottom w:val="0"/>
      <w:divBdr>
        <w:top w:val="none" w:sz="0" w:space="0" w:color="auto"/>
        <w:left w:val="none" w:sz="0" w:space="0" w:color="auto"/>
        <w:bottom w:val="none" w:sz="0" w:space="0" w:color="auto"/>
        <w:right w:val="none" w:sz="0" w:space="0" w:color="auto"/>
      </w:divBdr>
    </w:div>
    <w:div w:id="21139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info/policies/justice-and-fundamental-rights/upholding-rule-law/eu-justice-scoreboard_bg" TargetMode="External"/><Relationship Id="rId18" Type="http://schemas.openxmlformats.org/officeDocument/2006/relationships/hyperlink" Target="https://eur-lex.europa.eu/legal-content/FR/TXT/?uri=SWD:2022:179:FIN" TargetMode="External"/><Relationship Id="rId26" Type="http://schemas.openxmlformats.org/officeDocument/2006/relationships/hyperlink" Target="https://dictionary.cambridge.org/dictionary/english/action" TargetMode="External"/><Relationship Id="rId39" Type="http://schemas.openxmlformats.org/officeDocument/2006/relationships/hyperlink" Target="https://commission.europa.eu/document/89ea35fe-728f-4749-b95d-88544687583c_en" TargetMode="External"/><Relationship Id="rId21" Type="http://schemas.openxmlformats.org/officeDocument/2006/relationships/hyperlink" Target="https://home-affairs.ec.europa.eu/news/eu-proposes-new-rules-fight-trafficking-human-beings-2022-12-18_en" TargetMode="External"/><Relationship Id="rId34" Type="http://schemas.openxmlformats.org/officeDocument/2006/relationships/hyperlink" Target="https://eur-lex.europa.eu/legal-content/BG/TXT/?uri=CELEX:52022PC0689" TargetMode="External"/><Relationship Id="rId42" Type="http://schemas.openxmlformats.org/officeDocument/2006/relationships/hyperlink" Target="https://myintracomm-collab.ec.europa.eu/networks/justc2/Shared%20Documents/2023%20annual%20Charter%20report/report_on_the_application_of_the_racial_equality_directive_and_the_employment_equality_directive_en.pdf" TargetMode="External"/><Relationship Id="rId47" Type="http://schemas.openxmlformats.org/officeDocument/2006/relationships/hyperlink" Target="https://ec.europa.eu/info/funding-tenders/opportunities/docs/2021-2027/just/wp-call/2023-2024/call-fiche_just-2023-jtra_en.pdf" TargetMode="External"/><Relationship Id="rId50" Type="http://schemas.openxmlformats.org/officeDocument/2006/relationships/hyperlink" Target="https://ec.europa.eu/info/funding-tenders/opportunities/portal/screen/how-to-participate/org-details/999999999/project/101051559/program/43252386/details" TargetMode="External"/><Relationship Id="rId55" Type="http://schemas.openxmlformats.org/officeDocument/2006/relationships/hyperlink" Target="https://www.coe.int/en/web/help/help-in-the-eu" TargetMode="External"/><Relationship Id="rId63" Type="http://schemas.openxmlformats.org/officeDocument/2006/relationships/hyperlink" Target="file:///C:/Users/tornkjo/Downloads/ec.europa.eu/info/funding-tenders/opportunities/docs/2021-2027/cerv/wp-call/2023/call-fiche_cerv-2023-daphne_en.pdf" TargetMode="External"/><Relationship Id="rId68" Type="http://schemas.openxmlformats.org/officeDocument/2006/relationships/hyperlink" Target="https://ec.europa.eu/newsroom/dae/redirection/document/94609" TargetMode="External"/><Relationship Id="rId76" Type="http://schemas.openxmlformats.org/officeDocument/2006/relationships/hyperlink" Target="https://www.coe.int/en/web/national-implementation/e-communication-in-croatian-judiciary" TargetMode="External"/><Relationship Id="rId7" Type="http://schemas.openxmlformats.org/officeDocument/2006/relationships/hyperlink" Target="https://ec.europa.eu/info/aid-development-cooperation-fundamental-rights/your-rights-eu/eu-charter-fundamental-rights_bg" TargetMode="External"/><Relationship Id="rId71" Type="http://schemas.openxmlformats.org/officeDocument/2006/relationships/hyperlink" Target="https://commission.europa.eu/funding-tenders/find-funding/eu-funding-programmes/internal-security-fund_bg" TargetMode="External"/><Relationship Id="rId2" Type="http://schemas.openxmlformats.org/officeDocument/2006/relationships/hyperlink" Target="https://eur-lex.europa.eu/legal-content/BG/TXT/?uri=CELEX:52021DC0819" TargetMode="External"/><Relationship Id="rId16" Type="http://schemas.openxmlformats.org/officeDocument/2006/relationships/hyperlink" Target="https://fra.europa.eu/en/publication/2021/presumption-of-innocence" TargetMode="External"/><Relationship Id="rId29" Type="http://schemas.openxmlformats.org/officeDocument/2006/relationships/hyperlink" Target="https://dictionary.cambridge.org/dictionary/english/appear" TargetMode="External"/><Relationship Id="rId11" Type="http://schemas.openxmlformats.org/officeDocument/2006/relationships/hyperlink" Target="https://www.oecd.org/governance/oecd-framework-and-good-practice-principles-for-people-centred-justice-cdc3bde7-en.htm" TargetMode="External"/><Relationship Id="rId24" Type="http://schemas.openxmlformats.org/officeDocument/2006/relationships/hyperlink" Target="https://dictionary.cambridge.org/dictionary/english/bring" TargetMode="External"/><Relationship Id="rId32" Type="http://schemas.openxmlformats.org/officeDocument/2006/relationships/hyperlink" Target="https://op.europa.eu/en/publication-detail/-/publication/a5a70fb0-5f1e-11ed-92ed-01aa75ed71a1/" TargetMode="External"/><Relationship Id="rId37" Type="http://schemas.openxmlformats.org/officeDocument/2006/relationships/hyperlink" Target="https://commission.europa.eu/law/law-topic/consumer-protection-law/representative-actions-directive_en" TargetMode="External"/><Relationship Id="rId40" Type="http://schemas.openxmlformats.org/officeDocument/2006/relationships/hyperlink" Target="https://myintracomm-collab.ec.europa.eu/networks/justc2/Shared%20Documents/2023%20annual%20Charter%20report/Paper%20on%20the%20DSA&#8217;s%20out-of-court%20dispute%20settlement%20mechanism" TargetMode="External"/><Relationship Id="rId45" Type="http://schemas.openxmlformats.org/officeDocument/2006/relationships/hyperlink" Target="https://ec.europa.eu/info/funding-tenders/opportunities/portal/screen/programmes/just2027" TargetMode="External"/><Relationship Id="rId53" Type="http://schemas.openxmlformats.org/officeDocument/2006/relationships/hyperlink" Target="https://e-justice.europa.eu/home.do?plang=bg&amp;action=home" TargetMode="External"/><Relationship Id="rId58" Type="http://schemas.openxmlformats.org/officeDocument/2006/relationships/hyperlink" Target="https://ec.europa.eu/info/funding-tenders/opportunities/docs/2021-2027/cerv/wp-call/2022/call-fiche_cerv-2022-char-liti_en.pdf" TargetMode="External"/><Relationship Id="rId66" Type="http://schemas.openxmlformats.org/officeDocument/2006/relationships/hyperlink" Target="https://ec.europa.eu/info/funding-tenders/opportunities/docs/2021-2027/digital/wp-call/2021/call-fiche_digital-2021-trust-01_en.pdf" TargetMode="External"/><Relationship Id="rId74" Type="http://schemas.openxmlformats.org/officeDocument/2006/relationships/hyperlink" Target="https://reform-support.ec.europa.eu/what-we-do/public-administration-and-governance/ensure-child-friendly-justice-through-effective-operation-barnahus-units-finland_bg" TargetMode="External"/><Relationship Id="rId79" Type="http://schemas.openxmlformats.org/officeDocument/2006/relationships/hyperlink" Target="https://international-partnerships.ec.europa.eu/policies/team-europe-initiatives_bg" TargetMode="External"/><Relationship Id="rId5" Type="http://schemas.openxmlformats.org/officeDocument/2006/relationships/hyperlink" Target="https://right-here-right-now.campaign.europa.eu/index_bg" TargetMode="External"/><Relationship Id="rId61" Type="http://schemas.openxmlformats.org/officeDocument/2006/relationships/hyperlink" Target="https://ec.europa.eu/info/funding-tenders/opportunities/portal/screen/how-to-participate/org-details/999999999/project/101084676/program/43251589/details" TargetMode="External"/><Relationship Id="rId82" Type="http://schemas.openxmlformats.org/officeDocument/2006/relationships/hyperlink" Target="file:///C:/Users/tornkjo/Downloads/&#1057;&#1087;&#1080;&#1089;&#1098;&#1082;%20&#1085;&#1072;%20&#1073;&#1077;&#1079;&#1074;&#1098;&#1079;&#1084;&#1077;&#1079;&#1076;&#1085;&#1080;&#1090;&#1077;%20&#1089;&#1088;&#1077;&#1076;&#1089;&#1090;&#1074;&#1072;,%20&#1087;&#1088;&#1077;&#1076;&#1086;&#1089;&#1090;&#1072;&#1074;&#1077;&#1085;&#1080;%20&#1086;&#1090;%20&#1057;&#1098;&#1074;&#1077;&#1090;&#1072;%20&#1085;&#1072;%20&#1045;&#1074;&#1088;&#1086;&#1087;&#1072;%20&#1074;%20&#1088;&#1072;&#1084;&#1082;&#1080;&#1090;&#1077;%20&#1085;&#1072;%20&#1089;&#1098;&#1074;&#1084;&#1077;&#1089;&#1090;&#1085;&#1080;%20&#1087;&#1088;&#1086;&#1075;&#1088;&#1072;&#1084;&#1080;%20&#1080;%20&#1076;&#1086;&#1073;&#1088;&#1086;&#1074;&#1086;&#1083;&#1085;&#1080;%20&#1074;&#1085;&#1086;&#1089;&#1082;&#1080;%20&#1085;&#1072;%20&#1045;&#1057;/&#1057;&#1045;." TargetMode="External"/><Relationship Id="rId10" Type="http://schemas.openxmlformats.org/officeDocument/2006/relationships/hyperlink" Target="https://commission.europa.eu/strategy-and-policy/policies/justice-and-fundamental-rights/upholding-rule-law/rule-law/rule-law-mechanism_bg" TargetMode="External"/><Relationship Id="rId19" Type="http://schemas.openxmlformats.org/officeDocument/2006/relationships/hyperlink" Target="https://fra.europa.eu/en/publication/2023/victims-rights" TargetMode="External"/><Relationship Id="rId31" Type="http://schemas.openxmlformats.org/officeDocument/2006/relationships/hyperlink" Target="https://commission.europa.eu/system/files/2021-03/report_on_the_application_of_the_racial_equality_directive_and_the_employment_equality_directive_en.pdf" TargetMode="External"/><Relationship Id="rId44" Type="http://schemas.openxmlformats.org/officeDocument/2006/relationships/hyperlink" Target="https://e-seimas.lrs.lt/portal/legalAct/lt/TAK/0a1ab2205e1411eaac56f6e40072e018?positionInSearchResults=205&amp;searchModelUUID=34050946-478f-4bf7-8fd3-2b22dfe2ccf3" TargetMode="External"/><Relationship Id="rId52" Type="http://schemas.openxmlformats.org/officeDocument/2006/relationships/hyperlink" Target="https://ec.europa.eu/info/funding-tenders/opportunities/portal/screen/how-to-participate/org-details/999999999/project/101056671/program/43252386/details" TargetMode="External"/><Relationship Id="rId60" Type="http://schemas.openxmlformats.org/officeDocument/2006/relationships/hyperlink" Target="https://ec.europa.eu/info/funding-tenders/opportunities/portal/screen/how-to-participate/org-details/999999999/project/101084868/program/43251589/details" TargetMode="External"/><Relationship Id="rId65" Type="http://schemas.openxmlformats.org/officeDocument/2006/relationships/hyperlink" Target="https://ec.europa.eu/newsroom/dae/redirection/document/94609" TargetMode="External"/><Relationship Id="rId73" Type="http://schemas.openxmlformats.org/officeDocument/2006/relationships/hyperlink" Target="https://ec.europa.eu/economy_finance/recovery-and-resilience-scoreboard/milestones_and_targets.html?lang=bg" TargetMode="External"/><Relationship Id="rId78" Type="http://schemas.openxmlformats.org/officeDocument/2006/relationships/hyperlink" Target="https://www.elpaccto.eu/en/" TargetMode="External"/><Relationship Id="rId81" Type="http://schemas.openxmlformats.org/officeDocument/2006/relationships/hyperlink" Target="https://commission.europa.eu/strategy-and-policy/eu-budget/performance-and-reporting/programme-performance-statements/common-foreign-and-security-policy-performance_en" TargetMode="External"/><Relationship Id="rId4" Type="http://schemas.openxmlformats.org/officeDocument/2006/relationships/hyperlink" Target="https://ec.europa.eu/commission/presscorner/detail/en/ip_22_2689" TargetMode="External"/><Relationship Id="rId9" Type="http://schemas.openxmlformats.org/officeDocument/2006/relationships/hyperlink" Target="https://fra.europa.eu/bg/publication/2022/charter-case-studies-trainers-manual" TargetMode="External"/><Relationship Id="rId14" Type="http://schemas.openxmlformats.org/officeDocument/2006/relationships/hyperlink" Target="https://commission.europa.eu/strategy-and-policy/priorities-2019-2024/new-push-european-democracy/union-equality_bg" TargetMode="External"/><Relationship Id="rId22" Type="http://schemas.openxmlformats.org/officeDocument/2006/relationships/hyperlink" Target="https://dictionary.cambridge.org/dictionary/english/right" TargetMode="External"/><Relationship Id="rId27" Type="http://schemas.openxmlformats.org/officeDocument/2006/relationships/hyperlink" Target="https://dictionary.cambridge.org/dictionary/english/court" TargetMode="External"/><Relationship Id="rId30" Type="http://schemas.openxmlformats.org/officeDocument/2006/relationships/hyperlink" Target="https://dictionary.cambridge.org/dictionary/english/court" TargetMode="External"/><Relationship Id="rId35" Type="http://schemas.openxmlformats.org/officeDocument/2006/relationships/hyperlink" Target="https://www.consilium.europa.eu/en/press/press-releases/2023/06/12/standards-for-equality-bodies-council-agrees-its-positions/" TargetMode="External"/><Relationship Id="rId43" Type="http://schemas.openxmlformats.org/officeDocument/2006/relationships/hyperlink" Target="https://www.poderjudicial.es/cgpj/es/Poder-Judicial/Tribunal-Supremo/Noticias-Judiciales/El-Tribunal-Supremo-dicta-dos-sentencias-en-las-que-dispone-por-primera-vez-que-el-texto-se-adapte-al-formato-de-lectura-facil" TargetMode="External"/><Relationship Id="rId48" Type="http://schemas.openxmlformats.org/officeDocument/2006/relationships/hyperlink" Target="https://ec.europa.eu/info/funding-tenders/opportunities/docs/2021-2027/just/wp-call/2023-2024/call-fiche_just-2023-jacc-ejustice_en.pdf" TargetMode="External"/><Relationship Id="rId56" Type="http://schemas.openxmlformats.org/officeDocument/2006/relationships/hyperlink" Target="https://commission.europa.eu/system/files/2022-12/c_2022_8588_1_en_annexe_acte_autonome_cp_part1_v2.pdf" TargetMode="External"/><Relationship Id="rId64" Type="http://schemas.openxmlformats.org/officeDocument/2006/relationships/hyperlink" Target="https://commission.europa.eu/system/files/2022-12/c_2022_8588_1_en_annexe_acte_autonome_cp_part1_v2.pdf" TargetMode="External"/><Relationship Id="rId69" Type="http://schemas.openxmlformats.org/officeDocument/2006/relationships/hyperlink" Target="https://ec.europa.eu/info/funding-tenders/opportunities/portal/screen/opportunities/projects-details/43353764/101085204/ERASMUS2027" TargetMode="External"/><Relationship Id="rId77" Type="http://schemas.openxmlformats.org/officeDocument/2006/relationships/hyperlink" Target="https://capacity4dev.europa.eu/library/ted-initiative-fact-sheet_en?refpage=search" TargetMode="External"/><Relationship Id="rId8" Type="http://schemas.openxmlformats.org/officeDocument/2006/relationships/hyperlink" Target="https://fra.europa.eu/bg/eu-charter/fra-charter-resources" TargetMode="External"/><Relationship Id="rId51" Type="http://schemas.openxmlformats.org/officeDocument/2006/relationships/hyperlink" Target="https://ec.europa.eu/info/funding-tenders/opportunities/portal/screen/how-to-participate/org-details/999999999/project/101087157/program/43252386/details" TargetMode="External"/><Relationship Id="rId72" Type="http://schemas.openxmlformats.org/officeDocument/2006/relationships/hyperlink" Target="https://commission.europa.eu/business-economy-euro/economic-recovery/recovery-and-resilience-facility_bg" TargetMode="External"/><Relationship Id="rId80" Type="http://schemas.openxmlformats.org/officeDocument/2006/relationships/hyperlink" Target="https://neighbourhood-enlargement.ec.europa.eu/enlargement-policy/strategy-and-reports_bg" TargetMode="External"/><Relationship Id="rId3" Type="http://schemas.openxmlformats.org/officeDocument/2006/relationships/hyperlink" Target="https://e-justice.europa.eu/european-training-platform/home_en" TargetMode="External"/><Relationship Id="rId12" Type="http://schemas.openxmlformats.org/officeDocument/2006/relationships/hyperlink" Target="https://fra.europa.eu/sites/default/files/fra_uploads/fra-ecthr-2016-handbook-on-access-to-justice_en.pdf" TargetMode="External"/><Relationship Id="rId17" Type="http://schemas.openxmlformats.org/officeDocument/2006/relationships/hyperlink" Target="https://commission.europa.eu/law/cross-border-cases/judicial-cooperation/types-judicial-cooperation/european-arrest-warrant_bg" TargetMode="External"/><Relationship Id="rId25" Type="http://schemas.openxmlformats.org/officeDocument/2006/relationships/hyperlink" Target="https://dictionary.cambridge.org/dictionary/english/legal" TargetMode="External"/><Relationship Id="rId33" Type="http://schemas.openxmlformats.org/officeDocument/2006/relationships/hyperlink" Target="https://eur-lex.europa.eu/legal-content/BG/TXT/?uri=CELEX:52022PC0688" TargetMode="External"/><Relationship Id="rId38" Type="http://schemas.openxmlformats.org/officeDocument/2006/relationships/hyperlink" Target="https://representative-actions-collaboration.ec.europa.eu/" TargetMode="External"/><Relationship Id="rId46" Type="http://schemas.openxmlformats.org/officeDocument/2006/relationships/hyperlink" Target="https://ec.europa.eu/info/funding-tenders/opportunities/docs/2021-2027/just/wp-call/2023-2024/call-fiche_just-2023-jcoo_en.pdf" TargetMode="External"/><Relationship Id="rId59" Type="http://schemas.openxmlformats.org/officeDocument/2006/relationships/hyperlink" Target="https://ec.europa.eu/info/funding-tenders/opportunities/portal/screen/how-to-participate/org-details/999999999/project/101084876/program/43251589/details" TargetMode="External"/><Relationship Id="rId67" Type="http://schemas.openxmlformats.org/officeDocument/2006/relationships/hyperlink" Target="https://ec.europa.eu/info/funding-tenders/opportunities/portal/screen/how-to-participate/org-details/999999999/project/101083402/program/43152860/details" TargetMode="External"/><Relationship Id="rId20" Type="http://schemas.openxmlformats.org/officeDocument/2006/relationships/hyperlink" Target="https://fra.europa.eu/en/publication/2023/victims-rights" TargetMode="External"/><Relationship Id="rId41" Type="http://schemas.openxmlformats.org/officeDocument/2006/relationships/hyperlink" Target="https://eur-lex.europa.eu/legal-content/BG/ALL/?uri=CELEX:52023DC0146" TargetMode="External"/><Relationship Id="rId54" Type="http://schemas.openxmlformats.org/officeDocument/2006/relationships/hyperlink" Target="https://ec.europa.eu/commission/presscorner/detail/en/ip_22_7570" TargetMode="External"/><Relationship Id="rId62" Type="http://schemas.openxmlformats.org/officeDocument/2006/relationships/hyperlink" Target="file:///C:/Users/tornkjo/Downloads/ec.europa.eu/info/funding-tenders/opportunities/docs/2021-2027/cerv/wp-call/2023/call-fiche_cerv-2023-daphne_en.pdf" TargetMode="External"/><Relationship Id="rId70" Type="http://schemas.openxmlformats.org/officeDocument/2006/relationships/hyperlink" Target="https://ec.europa.eu/info/funding-tenders/opportunities/portal/screen/opportunities/projects-details/43353764/101085276/ERASMUS2027" TargetMode="External"/><Relationship Id="rId75" Type="http://schemas.openxmlformats.org/officeDocument/2006/relationships/hyperlink" Target="https://reform-support.ec.europa.eu/what-we-do/public-administration-and-governance/strengthening-child-friendly-justice-through-effective-co-operation-and-coordination-among-different_bg" TargetMode="External"/><Relationship Id="rId1" Type="http://schemas.openxmlformats.org/officeDocument/2006/relationships/hyperlink" Target="https://eur-lex.europa.eu/legal-content/BG/TXT/?uri=CELEX:52022DC0716" TargetMode="External"/><Relationship Id="rId6" Type="http://schemas.openxmlformats.org/officeDocument/2006/relationships/hyperlink" Target="https://e-justice.europa.eu/512/BG/your_rights" TargetMode="External"/><Relationship Id="rId15" Type="http://schemas.openxmlformats.org/officeDocument/2006/relationships/hyperlink" Target="https://fra.europa.eu/bg/strudnichestvo/grazhdansko-obshchestvo-i-platformata-za-osnovnite-prava" TargetMode="External"/><Relationship Id="rId23" Type="http://schemas.openxmlformats.org/officeDocument/2006/relationships/hyperlink" Target="https://dictionary.cambridge.org/dictionary/english/ability" TargetMode="External"/><Relationship Id="rId28" Type="http://schemas.openxmlformats.org/officeDocument/2006/relationships/hyperlink" Target="https://dictionary.cambridge.org/dictionary/english/law" TargetMode="External"/><Relationship Id="rId36" Type="http://schemas.openxmlformats.org/officeDocument/2006/relationships/hyperlink" Target="https://environment.ec.europa.eu/law-and-governance/environmental-implementation-review_bg" TargetMode="External"/><Relationship Id="rId49" Type="http://schemas.openxmlformats.org/officeDocument/2006/relationships/hyperlink" Target="https://commission.europa.eu/strategy-and-policy/policies/justice-and-fundamental-rights/criminal-justice/rights-suspects-and-accused_bg" TargetMode="External"/><Relationship Id="rId57" Type="http://schemas.openxmlformats.org/officeDocument/2006/relationships/hyperlink" Target="https://ec.europa.eu/info/funding-tenders/opportunities/docs/2021-2027/cerv/wp-call/2023/call-fiche_cerv-2023-char-liti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F2A904D2415474D84C3E3B5C0734FFA" ma:contentTypeVersion="2" ma:contentTypeDescription="Create a new document in this library." ma:contentTypeScope="" ma:versionID="b6dd25813315e118a53042d9c13c3979">
  <xsd:schema xmlns:xsd="http://www.w3.org/2001/XMLSchema" xmlns:xs="http://www.w3.org/2001/XMLSchema" xmlns:p="http://schemas.microsoft.com/office/2006/metadata/properties" xmlns:ns2="http://schemas.microsoft.com/sharepoint/v3/fields" xmlns:ns3="ad4989ae-d846-4617-8909-af3a7e3307bd" xmlns:ns4="07634239-f6bf-4805-8c1b-54918081ebb2" targetNamespace="http://schemas.microsoft.com/office/2006/metadata/properties" ma:root="true" ma:fieldsID="6b5d8b25ec05efa23f7be8571c8c1879" ns2:_="" ns3:_="" ns4:_="">
    <xsd:import namespace="http://schemas.microsoft.com/sharepoint/v3/fields"/>
    <xsd:import namespace="ad4989ae-d846-4617-8909-af3a7e3307bd"/>
    <xsd:import namespace="07634239-f6bf-4805-8c1b-54918081ebb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d4989ae-d846-4617-8909-af3a7e3307b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7634239-f6bf-4805-8c1b-54918081eb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ad4989ae-d846-4617-8909-af3a7e3307bd">EN</EC_Collab_DocumentLanguage>
    <_Status xmlns="http://schemas.microsoft.com/sharepoint/v3/fields">Not Started</_Status>
    <EC_Collab_Status xmlns="ad4989ae-d846-4617-8909-af3a7e3307bd">Draft</EC_Collab_Status>
    <EC_Collab_Reference xmlns="ad4989ae-d846-4617-8909-af3a7e3307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8206-12F2-40FC-B94B-2D0EF643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d4989ae-d846-4617-8909-af3a7e3307bd"/>
    <ds:schemaRef ds:uri="07634239-f6bf-4805-8c1b-54918081e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C10D4-51C8-449E-89B9-A6F4E9542134}">
  <ds:schemaRefs>
    <ds:schemaRef ds:uri="07634239-f6bf-4805-8c1b-54918081ebb2"/>
    <ds:schemaRef ds:uri="http://schemas.microsoft.com/office/2006/documentManagement/types"/>
    <ds:schemaRef ds:uri="http://www.w3.org/XML/1998/namespace"/>
    <ds:schemaRef ds:uri="http://schemas.microsoft.com/sharepoint/v3/fields"/>
    <ds:schemaRef ds:uri="http://schemas.openxmlformats.org/package/2006/metadata/core-properties"/>
    <ds:schemaRef ds:uri="http://schemas.microsoft.com/office/infopath/2007/PartnerControls"/>
    <ds:schemaRef ds:uri="http://purl.org/dc/terms/"/>
    <ds:schemaRef ds:uri="http://purl.org/dc/elements/1.1/"/>
    <ds:schemaRef ds:uri="ad4989ae-d846-4617-8909-af3a7e3307b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4E23EC-AB66-4519-836F-FAA077115171}">
  <ds:schemaRefs>
    <ds:schemaRef ds:uri="http://schemas.microsoft.com/sharepoint/v3/contenttype/forms"/>
  </ds:schemaRefs>
</ds:datastoreItem>
</file>

<file path=customXml/itemProps4.xml><?xml version="1.0" encoding="utf-8"?>
<ds:datastoreItem xmlns:ds="http://schemas.openxmlformats.org/officeDocument/2006/customXml" ds:itemID="{1EAAD014-363D-467F-A80E-17879961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22</Pages>
  <Words>12998</Words>
  <Characters>75783</Characters>
  <Application>Microsoft Office Word</Application>
  <DocSecurity>0</DocSecurity>
  <Lines>1222</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43</cp:revision>
  <cp:lastPrinted>2023-11-07T12:45:00Z</cp:lastPrinted>
  <dcterms:created xsi:type="dcterms:W3CDTF">2023-11-10T10:26:00Z</dcterms:created>
  <dcterms:modified xsi:type="dcterms:W3CDTF">2023-12-08T08:13:00Z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2022-09-20T12:56:29Z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e14c5ea8-7217-4f68-8d10-a0114aa09d0e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8.1, Build 20220902</vt:lpwstr>
  </property>
  <property fmtid="{D5CDD505-2E9C-101B-9397-08002B2CF9AE}" pid="16" name="ContentTypeId">
    <vt:lpwstr>0x010100258AA79CEB83498886A3A0868112325000AF2A904D2415474D84C3E3B5C0734FFA</vt:lpwstr>
  </property>
</Properties>
</file>