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BD9E" w14:textId="0ABD367D" w:rsidR="002766D5" w:rsidRDefault="00AB1F65" w:rsidP="00AB1F65">
      <w:pPr>
        <w:pStyle w:val="Pagedecouverture"/>
        <w:rPr>
          <w:noProof/>
        </w:rPr>
      </w:pPr>
      <w:bookmarkStart w:id="0" w:name="LW_BM_COVERPAGE"/>
      <w:r>
        <w:rPr>
          <w:noProof/>
        </w:rPr>
        <w:pict w14:anchorId="2D412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078C5FF-1F73-4E35-887A-D59D0849A585" style="width:455.25pt;height:310.5pt">
            <v:imagedata r:id="rId8" o:title=""/>
          </v:shape>
        </w:pict>
      </w:r>
    </w:p>
    <w:bookmarkEnd w:id="0"/>
    <w:p w14:paraId="5198675B" w14:textId="77777777" w:rsidR="002766D5" w:rsidRDefault="002766D5" w:rsidP="002766D5">
      <w:pPr>
        <w:rPr>
          <w:noProof/>
          <w:lang w:val="en-IE"/>
        </w:rPr>
        <w:sectPr w:rsidR="002766D5" w:rsidSect="00AB1F6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7C04999" w14:textId="7EDA42EF" w:rsidR="004A033B" w:rsidRPr="004F15E9" w:rsidRDefault="003C39C4" w:rsidP="00FB4B2D">
      <w:pPr>
        <w:spacing w:after="120" w:line="276" w:lineRule="auto"/>
        <w:ind w:right="318"/>
        <w:rPr>
          <w:rFonts w:eastAsiaTheme="minorHAnsi"/>
          <w:b/>
          <w:noProof/>
          <w:szCs w:val="24"/>
          <w:highlight w:val="yellow"/>
        </w:rPr>
      </w:pPr>
      <w:bookmarkStart w:id="1" w:name="_GoBack"/>
      <w:bookmarkEnd w:id="1"/>
      <w:r>
        <w:rPr>
          <w:b/>
          <w:noProof/>
        </w:rPr>
        <w:lastRenderedPageBreak/>
        <w:t xml:space="preserve">I. </w:t>
      </w:r>
      <w:r>
        <w:rPr>
          <w:b/>
          <w:noProof/>
        </w:rPr>
        <w:tab/>
        <w:t>ΕΙΣΑΓΩΓΗ</w:t>
      </w:r>
    </w:p>
    <w:p w14:paraId="29672ABB" w14:textId="03A98F1E" w:rsidR="00871B07" w:rsidRPr="00F7456D" w:rsidRDefault="00871B07" w:rsidP="00FB4B2D">
      <w:pPr>
        <w:spacing w:after="120" w:line="276" w:lineRule="auto"/>
        <w:rPr>
          <w:noProof/>
          <w:szCs w:val="24"/>
        </w:rPr>
      </w:pPr>
      <w:r>
        <w:rPr>
          <w:noProof/>
        </w:rPr>
        <w:t>Στις 29 και 30 Ιουνίου 2023, το Ευρωπαϊκό Συμβούλιο κάλεσε τον ύπατο εκπρόσωπο και την Επιτροπή να υποβάλουν έκθεση σχετικά με την τρέχουσα κατάσταση των σχέσεων ΕΕ-Τουρκίας, με βάση τα μέσα και τις επιλογές που έχουν προσδιοριστεί από το Ευρωπαϊκό Συμβούλιο, και με σκοπό τα επόμενα βήματα να γίνουν με στρατηγικό και μακρόπνοο τρόπο.</w:t>
      </w:r>
    </w:p>
    <w:p w14:paraId="09A324B2" w14:textId="660694F4" w:rsidR="002B683D" w:rsidRDefault="002B683D" w:rsidP="00FB4B2D">
      <w:pPr>
        <w:autoSpaceDE w:val="0"/>
        <w:autoSpaceDN w:val="0"/>
        <w:spacing w:after="120" w:line="276" w:lineRule="auto"/>
        <w:rPr>
          <w:noProof/>
          <w:szCs w:val="24"/>
        </w:rPr>
      </w:pPr>
      <w:r>
        <w:rPr>
          <w:noProof/>
        </w:rPr>
        <w:t>Η παρούσα κοινή ανακοίνωση αποτελεί απάντηση σε αυτήν την πρόσκληση. Βασίζεται στην κοινή έκθεση την οποία υπέβαλαν η Επιτροπή και ο ύπατος εκπρόσωπος τον Μάρτιο του 2021 και την επικαιροποιεί</w:t>
      </w:r>
      <w:r w:rsidRPr="004F15E9">
        <w:rPr>
          <w:rStyle w:val="FootnoteReference"/>
          <w:noProof/>
          <w:szCs w:val="24"/>
        </w:rPr>
        <w:footnoteReference w:id="2"/>
      </w:r>
      <w:r>
        <w:rPr>
          <w:noProof/>
        </w:rPr>
        <w:t xml:space="preserve">. Σκοπός της παρούσας έκθεσης είναι να παρουσιάσει την </w:t>
      </w:r>
      <w:r w:rsidR="00FD73B4">
        <w:rPr>
          <w:noProof/>
        </w:rPr>
        <w:t xml:space="preserve">τρέχουσα </w:t>
      </w:r>
      <w:r>
        <w:rPr>
          <w:noProof/>
        </w:rPr>
        <w:t>κατάσταση των σχέσεων ΕΕ-Τουρκίας σε βασικούς τομείς. Καθορίζει τα στοιχεία για την ανάπτυξη αυτής της σχέσης, στο πλαίσιο του επιθετικού πολέμου της Ρωσίας κατά της Ουκρανίας και ενός ευρύτερου, ταχέως μεταβαλλόμενου γεωπολιτικού περιβάλλοντος και περιβάλλοντος ασφάλειας. Η Επιτροπή ήδη δημοσίευσε, στις 8 Νοεμβρίου, την ανακοίνωση του 2023 σχετικά με την πολιτική διεύρυνσης και την τακτική της έκθεση χώρας για την Τουρκία, στην οποία αποτυπώνεται η κατάσταση της διαδικασίας προσχώρησης</w:t>
      </w:r>
      <w:r w:rsidRPr="004F15E9">
        <w:rPr>
          <w:rStyle w:val="FootnoteReference"/>
          <w:noProof/>
          <w:szCs w:val="24"/>
        </w:rPr>
        <w:footnoteReference w:id="3"/>
      </w:r>
      <w:r>
        <w:rPr>
          <w:noProof/>
        </w:rPr>
        <w:t>.</w:t>
      </w:r>
    </w:p>
    <w:p w14:paraId="799A7C0E" w14:textId="77777777" w:rsidR="00B3608C" w:rsidRPr="004F15E9" w:rsidRDefault="00B3608C" w:rsidP="00FB4B2D">
      <w:pPr>
        <w:autoSpaceDE w:val="0"/>
        <w:autoSpaceDN w:val="0"/>
        <w:spacing w:after="120" w:line="276" w:lineRule="auto"/>
        <w:rPr>
          <w:noProof/>
          <w:szCs w:val="24"/>
        </w:rPr>
      </w:pPr>
    </w:p>
    <w:p w14:paraId="73CF72FA" w14:textId="04FAD6E3" w:rsidR="003C39C4" w:rsidRPr="00F7456D" w:rsidRDefault="003C39C4" w:rsidP="00FB4B2D">
      <w:pPr>
        <w:autoSpaceDE w:val="0"/>
        <w:autoSpaceDN w:val="0"/>
        <w:spacing w:after="120" w:line="276" w:lineRule="auto"/>
        <w:rPr>
          <w:b/>
          <w:noProof/>
          <w:szCs w:val="24"/>
        </w:rPr>
      </w:pPr>
      <w:r>
        <w:rPr>
          <w:b/>
          <w:noProof/>
        </w:rPr>
        <w:t xml:space="preserve">II. </w:t>
      </w:r>
      <w:r>
        <w:rPr>
          <w:b/>
          <w:noProof/>
        </w:rPr>
        <w:tab/>
        <w:t>ΠΟΛΙΤΙΚΕΣ ΣΧΕΣΕΙΣ</w:t>
      </w:r>
    </w:p>
    <w:p w14:paraId="787AE3CB" w14:textId="736B463C" w:rsidR="003C39C4" w:rsidRPr="00F7456D" w:rsidRDefault="003C39C4" w:rsidP="00FB4B2D">
      <w:pPr>
        <w:pStyle w:val="ListParagraph"/>
        <w:spacing w:after="120" w:line="276" w:lineRule="auto"/>
        <w:ind w:left="0" w:right="-46"/>
        <w:jc w:val="both"/>
        <w:rPr>
          <w:rFonts w:ascii="Times New Roman" w:hAnsi="Times New Roman" w:cs="Times New Roman"/>
          <w:noProof/>
          <w:sz w:val="24"/>
          <w:szCs w:val="24"/>
        </w:rPr>
      </w:pPr>
      <w:r>
        <w:rPr>
          <w:rFonts w:ascii="Times New Roman" w:hAnsi="Times New Roman"/>
          <w:noProof/>
          <w:sz w:val="24"/>
        </w:rPr>
        <w:t>Οι σχέσεις ΕΕ-Τουρκίας εντάσσονται επί του παρόντος στο πλαίσιο των συμπερασμάτων του Ευρωπαϊκού Συμβουλίου του Ιουνίου του 2021, των προηγούμενων συμπερασμάτων του Ευρωπαϊκού Συμβουλίου και του Συμβουλίου, καθώς και της δήλωσης των μελών του Ευρωπαϊκού Συμβουλίου του Μαρτίου του 2021 και της κοινής ανακοίνωσης της Επιτροπής και του ύπατου εκπροσώπου του Μαρτίου του 2021 σχετικά με την τρέχουσα κατάσταση των σχέσεων ΕΕ-Τουρκίας.</w:t>
      </w:r>
    </w:p>
    <w:p w14:paraId="1D81D012" w14:textId="427224A4" w:rsidR="003C39C4" w:rsidRPr="00F7456D" w:rsidRDefault="003C39C4" w:rsidP="00FB4B2D">
      <w:pPr>
        <w:autoSpaceDE w:val="0"/>
        <w:autoSpaceDN w:val="0"/>
        <w:spacing w:after="120" w:line="276" w:lineRule="auto"/>
        <w:rPr>
          <w:noProof/>
          <w:color w:val="000000"/>
          <w:szCs w:val="24"/>
        </w:rPr>
      </w:pPr>
      <w:r>
        <w:rPr>
          <w:noProof/>
        </w:rPr>
        <w:t>Πέραν των διμερών και οικονομικών δεσμών που παρουσιάζονται κατωτέρω, υπάρχουν άλλοι παράγοντες που συμβάλλουν σημαντικά στη διαμόρφωση του περίπλοκου και απαιτητικού πλαισίου των σχέσεων ΕΕ-Τουρκίας: η ανάγκη για επιτυχή αποκλιμάκωση στην Ανατολική Μεσόγειο· το κυπριακό ζήτημα· η θέση της Τουρκίας όσον αφορά τον επιθετικό πόλεμο της Ρωσίας κατά της Ουκρανίας· η διεύρυνση του ΝΑΤΟ· η θέση της Τουρκίας όσον αφορά ζητήματα εξωτερικής και περιφερειακής πολιτικής, συμπεριλαμβανομένης της Μέσης Ανατολής, και ιδίως μετά τις τρομοκρατικές επιθέσεις της Χαμάς κατά του Ισραήλ στις 7 Οκτωβρίου· και η κατάσταση των ανθρωπίνων δικαιωμάτων και του κράτους δικαίου στη χώρα.</w:t>
      </w:r>
    </w:p>
    <w:p w14:paraId="1817F69E" w14:textId="62494EA2" w:rsidR="003C39C4" w:rsidRDefault="003C39C4" w:rsidP="00FB4B2D">
      <w:pPr>
        <w:autoSpaceDE w:val="0"/>
        <w:autoSpaceDN w:val="0"/>
        <w:spacing w:after="120" w:line="276" w:lineRule="auto"/>
        <w:rPr>
          <w:noProof/>
          <w:szCs w:val="24"/>
        </w:rPr>
      </w:pPr>
      <w:r>
        <w:rPr>
          <w:noProof/>
          <w:color w:val="000000"/>
        </w:rPr>
        <w:t>Από το 2021, το επίκεντρο των σχέσεων ΕΕ-</w:t>
      </w:r>
      <w:r>
        <w:rPr>
          <w:noProof/>
        </w:rPr>
        <w:t>Τουρκίας</w:t>
      </w:r>
      <w:r>
        <w:rPr>
          <w:noProof/>
          <w:color w:val="000000"/>
        </w:rPr>
        <w:t xml:space="preserve"> έχει μετατοπιστεί σε συγκεκριμένα βήματα προς την κατεύθυνση της επανέναρξης της συνεργασίας, συμπεριλαμβανομένης της ισχυρής στήριξης της ΕΕ μετά τους καταστροφικούς σεισμούς το 2023. </w:t>
      </w:r>
      <w:r>
        <w:rPr>
          <w:noProof/>
        </w:rPr>
        <w:t xml:space="preserve">Το Ευρωπαϊκό Συμβούλιο έχει επανειλημμένως δηλώσει ότι αποτελεί στρατηγικό συμφέρον της ΕΕ η ύπαρξη ενός σταθερού και ασφαλούς περιβάλλοντος στην Ανατολική Μεσόγειο και η ανάπτυξη μιας συνεργατικής και αμοιβαία επωφελούς σχέσης με την Τουρκία. Η ΕΕ επιβεβαίωσε επίσης την αποφασιστικότητά της να χρησιμοποιήσει τα μέσα και τις επιλογές που διαθέτει για τη διατήρηση της περιφερειακής σταθερότητας και την προάσπιση των συμφερόντων της και των συμφερόντων των κρατών μελών της, μέσω κλιμακούμενων αλλά αναστρέψιμων περιοριστικών μέτρων, όπως αναφέρεται στην κοινή ανακοίνωση του Μαρτίου 2021.  </w:t>
      </w:r>
    </w:p>
    <w:p w14:paraId="1DCC2F6C" w14:textId="42659435" w:rsidR="00B3608C" w:rsidRDefault="00B3608C" w:rsidP="00FB4B2D">
      <w:pPr>
        <w:autoSpaceDE w:val="0"/>
        <w:autoSpaceDN w:val="0"/>
        <w:spacing w:after="120" w:line="276" w:lineRule="auto"/>
        <w:rPr>
          <w:iCs/>
          <w:noProof/>
          <w:szCs w:val="24"/>
        </w:rPr>
      </w:pPr>
      <w:r>
        <w:rPr>
          <w:noProof/>
        </w:rPr>
        <w:t>Ο ύπατος εκπρόσωπος και η Επιτροπή καταβάλλουν συνεχείς προσπάθειες για τη δημιουργία περιβάλλοντος ευνοϊκού για τη συνεργασία. Ωστόσο, δεν έχουν ακόμη αξιοποιηθεί πλήρως οι θετικές δυνατότητες των σχέσεων ΕΕ-Τουρκίας.</w:t>
      </w:r>
    </w:p>
    <w:p w14:paraId="618B7FD6" w14:textId="6E571485" w:rsidR="00B3608C" w:rsidRDefault="00B3608C" w:rsidP="00FB4B2D">
      <w:pPr>
        <w:autoSpaceDE w:val="0"/>
        <w:autoSpaceDN w:val="0"/>
        <w:spacing w:after="120" w:line="276" w:lineRule="auto"/>
        <w:rPr>
          <w:noProof/>
          <w:szCs w:val="24"/>
        </w:rPr>
      </w:pPr>
    </w:p>
    <w:p w14:paraId="1DBB1B25" w14:textId="77777777" w:rsidR="00AE464B" w:rsidRDefault="00AE464B" w:rsidP="00FB4B2D">
      <w:pPr>
        <w:autoSpaceDE w:val="0"/>
        <w:autoSpaceDN w:val="0"/>
        <w:spacing w:after="120" w:line="276" w:lineRule="auto"/>
        <w:rPr>
          <w:noProof/>
          <w:szCs w:val="24"/>
        </w:rPr>
      </w:pPr>
    </w:p>
    <w:p w14:paraId="0474F925" w14:textId="0C411CA5" w:rsidR="003C39C4" w:rsidRPr="00F7456D" w:rsidRDefault="003C39C4" w:rsidP="00FB4B2D">
      <w:pPr>
        <w:spacing w:after="120" w:line="276" w:lineRule="auto"/>
        <w:rPr>
          <w:b/>
          <w:bCs/>
          <w:noProof/>
          <w:szCs w:val="24"/>
        </w:rPr>
      </w:pPr>
      <w:r>
        <w:rPr>
          <w:b/>
          <w:noProof/>
        </w:rPr>
        <w:t xml:space="preserve">1. </w:t>
      </w:r>
      <w:r>
        <w:rPr>
          <w:b/>
          <w:noProof/>
        </w:rPr>
        <w:tab/>
        <w:t>Ανατολική Μεσόγειος</w:t>
      </w:r>
    </w:p>
    <w:p w14:paraId="1686AB4E" w14:textId="77777777" w:rsidR="003C39C4" w:rsidRPr="00F7456D" w:rsidRDefault="003C39C4" w:rsidP="00FB4B2D">
      <w:pPr>
        <w:spacing w:after="120" w:line="276" w:lineRule="auto"/>
        <w:rPr>
          <w:rFonts w:eastAsiaTheme="minorHAnsi"/>
          <w:noProof/>
          <w:color w:val="000000" w:themeColor="text1"/>
          <w:szCs w:val="24"/>
        </w:rPr>
      </w:pPr>
      <w:r>
        <w:rPr>
          <w:noProof/>
        </w:rPr>
        <w:t>Έως τις αρχές του 2023, οι σ</w:t>
      </w:r>
      <w:r>
        <w:rPr>
          <w:noProof/>
          <w:color w:val="000000" w:themeColor="text1"/>
        </w:rPr>
        <w:t xml:space="preserve">χέσεις μεταξύ Ελλάδας και Τουρκίας επιδεινώθηκαν λόγω της εχθρικής ρητορικής, των παραβιάσεων του ελληνικού εθνικού εναέριου χώρου, συμπεριλαμβανομένων των υπερπτήσεων πάνω από ελληνικές κατοικημένες περιοχές και απειλητικών δηλώσεων σχετικά με την κυριαρχία ελληνικών νησιών. Μετά τους καταστροφικούς σεισμούς της 6ης Φεβρουαρίου 2023 στην Τουρκία σημειώθηκε σημαντική βελτίωση των σχέσεων. Η Ελλάδα παρείχε ταχέως ανθρωπιστική βοήθεια και στήριξη στην Τουρκία, και ακολούθησαν πολλές τηλεφωνικές κλήσεις και συναντήσεις υψηλού επιπέδου. </w:t>
      </w:r>
    </w:p>
    <w:p w14:paraId="47667EEA" w14:textId="77777777" w:rsidR="003C39C4" w:rsidRPr="00F7456D" w:rsidRDefault="003C39C4" w:rsidP="00FB4B2D">
      <w:pPr>
        <w:spacing w:after="120" w:line="276" w:lineRule="auto"/>
        <w:rPr>
          <w:rFonts w:eastAsiaTheme="minorHAnsi"/>
          <w:noProof/>
          <w:szCs w:val="24"/>
        </w:rPr>
      </w:pPr>
      <w:r>
        <w:rPr>
          <w:noProof/>
          <w:color w:val="000000" w:themeColor="text1"/>
        </w:rPr>
        <w:t xml:space="preserve">Από τον Φεβρουάριο του 2023 οι παραβιάσεις του ελληνικού εθνικού εναέριου χώρου μειώθηκαν δραστικά, ενώ δεν έχουν αναφερθεί πτήσεις τουρκικών μαχητικών αεροσκαφών πάνω από ελληνικές κατοικημένες περιοχές. Οι συνεδριάσεις σε υπουργικό επίπεδο και σε επίπεδο ηγετών έχουν εντατικοποιηθεί. </w:t>
      </w:r>
      <w:r>
        <w:rPr>
          <w:noProof/>
        </w:rPr>
        <w:t xml:space="preserve">Η Ελλάδα και η </w:t>
      </w:r>
      <w:r>
        <w:rPr>
          <w:noProof/>
          <w:color w:val="000000" w:themeColor="text1"/>
        </w:rPr>
        <w:t>Τουρκία</w:t>
      </w:r>
      <w:r>
        <w:rPr>
          <w:noProof/>
        </w:rPr>
        <w:t xml:space="preserve"> συμφώνησαν να αξιοποιήσουν τη θετική δυναμική και ενεργοποίησαν πολλαπλούς διαύλους επικοινωνίας, συμπεριλαμβανομένης της διεξαγωγής συνεδρίασης του Συμβουλίου Συνεργασίας Υψηλού Επιπέδου, έπειτα από διακοπή πολλών ετών. </w:t>
      </w:r>
    </w:p>
    <w:p w14:paraId="421FBDF6" w14:textId="257225A4" w:rsidR="003C39C4" w:rsidRPr="00F7456D" w:rsidRDefault="003C39C4" w:rsidP="00FB4B2D">
      <w:pPr>
        <w:spacing w:after="120" w:line="276" w:lineRule="auto"/>
        <w:rPr>
          <w:rFonts w:eastAsiaTheme="minorHAnsi"/>
          <w:b/>
          <w:noProof/>
          <w:szCs w:val="24"/>
        </w:rPr>
      </w:pPr>
      <w:r>
        <w:rPr>
          <w:noProof/>
          <w:shd w:val="clear" w:color="auto" w:fill="FFFFFF"/>
        </w:rPr>
        <w:t xml:space="preserve">Από τον Ιούνιο του 2021 δεν πραγματοποιήθηκαν </w:t>
      </w:r>
      <w:r>
        <w:rPr>
          <w:noProof/>
          <w:color w:val="000000" w:themeColor="text1"/>
        </w:rPr>
        <w:t>παράνομες γεωτρήσεις από την Τουρκία στην Ανατολική Μεσόγειο, συμπεριλαμβανομένων των περιοχών που περιλαμβάνουν τμήματα των αποκλειστικών οικονομικών ζωνών της Ελλάδας και της Κύπρου.</w:t>
      </w:r>
      <w:r>
        <w:rPr>
          <w:noProof/>
        </w:rPr>
        <w:t xml:space="preserve"> Η οριοθέτηση της υφαλοκρηπίδας και των αποκλειστικών οικονομικών ζωνών δεν έχει ακόμη αντιμετωπιστεί μέσω διαλόγου και διαπραγματεύσεων καλή τη πίστει, σύμφωνα με το διεθνές δίκαιο, συμπεριλαμβανομένης της Σύμβασης των Ηνωμένων Εθνών για το Δίκαιο της Θάλασσας (UNCLOS),</w:t>
      </w:r>
      <w:r>
        <w:rPr>
          <w:noProof/>
          <w:shd w:val="clear" w:color="auto" w:fill="FFFFFF"/>
        </w:rPr>
        <w:t xml:space="preserve"> και με προσφυγή, εφόσον χρειαστεί, στο Διεθνές Δικαστήριο.</w:t>
      </w:r>
      <w:r>
        <w:rPr>
          <w:noProof/>
        </w:rPr>
        <w:t xml:space="preserve"> </w:t>
      </w:r>
    </w:p>
    <w:p w14:paraId="56C74FDF" w14:textId="77777777" w:rsidR="003C39C4" w:rsidRPr="00F7456D" w:rsidRDefault="003C39C4" w:rsidP="00FB4B2D">
      <w:pPr>
        <w:pStyle w:val="ListParagraph"/>
        <w:spacing w:after="120" w:line="276" w:lineRule="auto"/>
        <w:ind w:left="0" w:right="-46"/>
        <w:jc w:val="both"/>
        <w:rPr>
          <w:rFonts w:ascii="Times New Roman" w:hAnsi="Times New Roman" w:cs="Times New Roman"/>
          <w:noProof/>
          <w:sz w:val="24"/>
          <w:szCs w:val="24"/>
        </w:rPr>
      </w:pPr>
      <w:r>
        <w:rPr>
          <w:rFonts w:ascii="Times New Roman" w:hAnsi="Times New Roman"/>
          <w:noProof/>
          <w:sz w:val="24"/>
        </w:rPr>
        <w:t xml:space="preserve">Η αταλάντευτη προσήλωση στις σχέσεις καλής γειτονίας, στις διεθνείς συμφωνίες και στην αρχή της ειρηνικής επίλυσης των διαφορών σύμφωνα με τον Χάρτη των Ηνωμένων Εθνών, </w:t>
      </w:r>
      <w:r>
        <w:rPr>
          <w:rFonts w:ascii="Times New Roman" w:hAnsi="Times New Roman"/>
          <w:noProof/>
          <w:sz w:val="24"/>
          <w:shd w:val="clear" w:color="auto" w:fill="FFFFFF"/>
        </w:rPr>
        <w:t xml:space="preserve">καθώς και </w:t>
      </w:r>
      <w:r>
        <w:rPr>
          <w:rFonts w:ascii="Times New Roman" w:hAnsi="Times New Roman"/>
          <w:noProof/>
          <w:sz w:val="24"/>
        </w:rPr>
        <w:t>η αποχή από μονομερείς ενέργειες που αντιβαίνουν στα συμφέροντα της ΕΕ και παραβιάζουν το διεθνές δίκαιο και τα κυριαρχικά δικαιώματα των κρατών μελών της, εξακολουθούν να αποτελούν βασική προϋπόθεση για την εξασφάλιση ενός σταθερού και ασφαλούς περιβάλλοντος στην Ανατολική Μεσόγειο και για την ανάπτυξη μιας συνεργατικής και αμοιβαία επωφελούς σχέσης μεταξύ της ΕΕ και της Τουρκίας.</w:t>
      </w:r>
    </w:p>
    <w:p w14:paraId="374FFF1F" w14:textId="77777777" w:rsidR="003C39C4" w:rsidRPr="00547D76" w:rsidRDefault="003C39C4" w:rsidP="00FB4B2D">
      <w:pPr>
        <w:pStyle w:val="ListParagraph"/>
        <w:spacing w:after="120" w:line="276" w:lineRule="auto"/>
        <w:ind w:left="0" w:right="-46"/>
        <w:jc w:val="both"/>
        <w:rPr>
          <w:rFonts w:ascii="Times New Roman" w:hAnsi="Times New Roman" w:cs="Times New Roman"/>
          <w:noProof/>
          <w:sz w:val="24"/>
          <w:szCs w:val="24"/>
        </w:rPr>
      </w:pPr>
    </w:p>
    <w:p w14:paraId="12FB0B53" w14:textId="38F4A16F" w:rsidR="003C39C4" w:rsidRPr="00F7456D" w:rsidRDefault="003C39C4" w:rsidP="00FB4B2D">
      <w:pPr>
        <w:pStyle w:val="ListParagraph"/>
        <w:spacing w:after="120" w:line="276" w:lineRule="auto"/>
        <w:ind w:left="0" w:right="-46"/>
        <w:jc w:val="both"/>
        <w:rPr>
          <w:rFonts w:ascii="Times New Roman" w:hAnsi="Times New Roman" w:cs="Times New Roman"/>
          <w:iCs/>
          <w:noProof/>
          <w:sz w:val="24"/>
          <w:szCs w:val="24"/>
        </w:rPr>
      </w:pPr>
      <w:bookmarkStart w:id="2" w:name="_Hlk151970200"/>
      <w:r>
        <w:rPr>
          <w:rFonts w:ascii="Times New Roman" w:hAnsi="Times New Roman"/>
          <w:b/>
          <w:noProof/>
          <w:sz w:val="24"/>
        </w:rPr>
        <w:t xml:space="preserve">2. </w:t>
      </w:r>
      <w:r>
        <w:rPr>
          <w:rFonts w:ascii="Times New Roman" w:hAnsi="Times New Roman"/>
          <w:b/>
          <w:noProof/>
          <w:sz w:val="24"/>
        </w:rPr>
        <w:tab/>
        <w:t>Το κυπριακό ζήτημα</w:t>
      </w:r>
    </w:p>
    <w:p w14:paraId="43EE386F" w14:textId="7A70CE76" w:rsidR="003C39C4" w:rsidRPr="00F7456D" w:rsidRDefault="003C39C4" w:rsidP="00FB4B2D">
      <w:pPr>
        <w:spacing w:after="120" w:line="276" w:lineRule="auto"/>
        <w:rPr>
          <w:rFonts w:eastAsiaTheme="minorHAnsi"/>
          <w:noProof/>
          <w:szCs w:val="24"/>
        </w:rPr>
      </w:pPr>
      <w:r>
        <w:rPr>
          <w:noProof/>
        </w:rPr>
        <w:t xml:space="preserve">Η διευθέτηση του κυπριακού ζητήματος αποτελεί βασικό στοιχείο των έντονων διαφωνιών μεταξύ της </w:t>
      </w:r>
      <w:r>
        <w:rPr>
          <w:noProof/>
          <w:color w:val="000000" w:themeColor="text1"/>
        </w:rPr>
        <w:t>Τουρκίας</w:t>
      </w:r>
      <w:r>
        <w:rPr>
          <w:noProof/>
        </w:rPr>
        <w:t xml:space="preserve"> και της ΕΕ στην Ανατολική Μεσόγειο.</w:t>
      </w:r>
    </w:p>
    <w:p w14:paraId="24F7C687" w14:textId="2FF476EE" w:rsidR="003C39C4" w:rsidRPr="00F7456D" w:rsidRDefault="003C39C4" w:rsidP="00FB4B2D">
      <w:pPr>
        <w:spacing w:after="120" w:line="276" w:lineRule="auto"/>
        <w:rPr>
          <w:rFonts w:eastAsiaTheme="minorHAnsi"/>
          <w:noProof/>
          <w:szCs w:val="24"/>
        </w:rPr>
      </w:pPr>
      <w:r>
        <w:rPr>
          <w:noProof/>
        </w:rPr>
        <w:t xml:space="preserve">Η επιδείνωση της κατάστασης στην Κύπρο συνεχίστηκε λόγω των συνεχών προσπαθειών της </w:t>
      </w:r>
      <w:r>
        <w:rPr>
          <w:noProof/>
          <w:color w:val="000000" w:themeColor="text1"/>
        </w:rPr>
        <w:t>Τουρκίας</w:t>
      </w:r>
      <w:r>
        <w:rPr>
          <w:noProof/>
        </w:rPr>
        <w:t xml:space="preserve"> και της τουρκοκυπριακής ηγεσίας να υπονομεύσουν τη βάση της διευθέτησης του κυπριακού ζητήματος που κατοχυρώνεται στο πλαίσιο των Ηνωμένων Εθνών (μια δικοινοτική και διζωνική ομοσπονδία με πολιτική ισότητα σύμφωνα με τις σχετικές αποφάσεις του Συμβουλίου Ασφαλείας των Ηνωμένων Εθνών). </w:t>
      </w:r>
    </w:p>
    <w:p w14:paraId="5087F877" w14:textId="71EE3C64" w:rsidR="003C39C4" w:rsidRPr="00F7456D" w:rsidRDefault="003C39C4" w:rsidP="00FB4B2D">
      <w:pPr>
        <w:spacing w:after="120" w:line="276" w:lineRule="auto"/>
        <w:rPr>
          <w:rFonts w:eastAsiaTheme="minorHAnsi"/>
          <w:noProof/>
          <w:szCs w:val="24"/>
        </w:rPr>
      </w:pPr>
      <w:r>
        <w:rPr>
          <w:noProof/>
        </w:rPr>
        <w:t>Στο πλαίσιο αυτό, η Τουρκία και η τουρκοκυπριακή ηγεσία ενέτειναν τις προσπάθειες για την αναγνώριση της αποκαλούμενης «Τουρκικής Δημοκρατίας της Βόρειας Κύπρου» σε διεθνείς οργανισμούς όπως ο Οργανισμός Τουρκογενών Κρατών (OTS), καθώς και μονομερείς ενέργειες, ιδίως στα Βαρώσια, κατά παράβαση των αποφάσεων του Συμβουλίου Ασφαλείας των Ηνωμένων Εθνών.</w:t>
      </w:r>
      <w:r>
        <w:rPr>
          <w:noProof/>
          <w:color w:val="000000" w:themeColor="text1"/>
        </w:rPr>
        <w:t xml:space="preserve"> Η Τουρκία συνέχισε να επικρίνει την απόφαση του Συμβουλίου Ασφαλείας των Ηνωμένων Εθνών να ανανεώσει την εντολή </w:t>
      </w:r>
      <w:r>
        <w:rPr>
          <w:noProof/>
        </w:rPr>
        <w:t>της Ειρηνευτικής Δύναμης των Ηνωμένων Εθνών στην Κύπρο (</w:t>
      </w:r>
      <w:r>
        <w:rPr>
          <w:noProof/>
          <w:color w:val="000000" w:themeColor="text1"/>
        </w:rPr>
        <w:t xml:space="preserve">UNFICYP) χωρίς τη συγκατάθεση της τουρκοκυπριακής κοινότητας. </w:t>
      </w:r>
    </w:p>
    <w:bookmarkEnd w:id="2"/>
    <w:p w14:paraId="0B53DBC1" w14:textId="092E8DCC" w:rsidR="003C39C4" w:rsidRPr="00F7456D" w:rsidRDefault="003C39C4" w:rsidP="00FB4B2D">
      <w:pPr>
        <w:spacing w:after="120" w:line="276" w:lineRule="auto"/>
        <w:rPr>
          <w:rFonts w:eastAsiaTheme="minorHAnsi"/>
          <w:noProof/>
          <w:color w:val="000000" w:themeColor="text1"/>
          <w:szCs w:val="24"/>
        </w:rPr>
      </w:pPr>
      <w:r>
        <w:rPr>
          <w:noProof/>
          <w:color w:val="000000" w:themeColor="text1"/>
        </w:rPr>
        <w:t>Η ΕΕ παραμένει πλήρως προσηλωμένη στη συνολική διευθέτηση του κυπριακού ζητήματος εντός του πλαισίου των Ηνωμένων Εθνών</w:t>
      </w:r>
      <w:r>
        <w:rPr>
          <w:noProof/>
        </w:rPr>
        <w:t xml:space="preserve"> και σύμφωνα με το ενωσιακό κεκτημένο και τις αρχές που αποτελούν θεμέλιο της ΕΕ. </w:t>
      </w:r>
      <w:r>
        <w:rPr>
          <w:noProof/>
          <w:color w:val="000000" w:themeColor="text1"/>
        </w:rPr>
        <w:t xml:space="preserve">Η ΕΕ ζήτησε, πιο πρόσφατα στα συμπεράσματα του Ευρωπαϊκού Συμβουλίου του Ιουνίου του 2023, την ταχεία επανέναρξη των διαπραγματεύσεων, ενώ εξέφρασε την προθυμία της να διαδραματίσει ενεργό ρόλο στην υποστήριξη όλων των σταδίων της διαδικασίας υπό την αιγίδα των Ηνωμένων Εθνών και </w:t>
      </w:r>
      <w:r>
        <w:rPr>
          <w:noProof/>
        </w:rPr>
        <w:t>να εντείνει την πρακτική της στήριξη για τη διευκόλυνση μιας συνολικής διευθέτησης</w:t>
      </w:r>
      <w:r>
        <w:rPr>
          <w:noProof/>
          <w:color w:val="000000" w:themeColor="text1"/>
        </w:rPr>
        <w:t xml:space="preserve">, με όλα τα κατάλληλα μέσα που έχει στη διάθεσή της. Η </w:t>
      </w:r>
      <w:r>
        <w:rPr>
          <w:noProof/>
          <w:color w:val="000000"/>
        </w:rPr>
        <w:t>δέσμευση και η στήριξη της ΕΕ για το κυπριακό ζήτημα αποτελεί απαραίτητη προϋπόθεση για την άμβλυνση των εντάσεων στην περιοχή. Επίσης, η ΕΕ έχει αδιαλείπτως εκφράσει την υποστήριξή της προς την ηγεσία των Ηνωμένων Εθνών όσον αφορά την ανανέωση της προσπάθειας για επαναφορά των ενδιαφερόμενων πλευρών στο τραπέζι των διαπραγματεύσεων και, ειδικότερα, όσον αφορά την έκκληση για διορισμό απεσταλμένου των Ηνωμένων Εθνών. Η ΕΕ είναι έτοιμη να στηρίξει τη διαδικασία των Ηνωμένων Εθνών.</w:t>
      </w:r>
    </w:p>
    <w:p w14:paraId="2077E486" w14:textId="08E1FEB2" w:rsidR="002B683D" w:rsidRPr="004F15E9" w:rsidRDefault="002B683D" w:rsidP="00FB4B2D">
      <w:pPr>
        <w:spacing w:after="120" w:line="276" w:lineRule="auto"/>
        <w:rPr>
          <w:noProof/>
          <w:color w:val="000000"/>
          <w:szCs w:val="24"/>
        </w:rPr>
      </w:pPr>
      <w:bookmarkStart w:id="3" w:name="_Hlk151535333"/>
      <w:r>
        <w:rPr>
          <w:noProof/>
          <w:color w:val="000000"/>
        </w:rPr>
        <w:t>Σημειώθηκε κάποια πρόοδος όσον αφορά τις συμφωνίες για την εφαρμογή μέτρων οικοδόμησης εμπιστοσύνης, που είναι καίριας σημασίας για τη δημιουργία περιβάλλοντος που θα ευνοήσει την ανάπτυξη της εμπιστοσύνης. Ωστόσο, απαιτούνται περισσότερες προσπάθειες για να δοθεί η απαραίτητη ώθηση στη διαδικασία διευθέτησης.</w:t>
      </w:r>
      <w:r>
        <w:rPr>
          <w:noProof/>
        </w:rPr>
        <w:t xml:space="preserve"> Η επιτυχής εφαρμογή του συστήματος προστατευόμενης ονομασίας προέλευσης (ΠΟΠ) Χαλλούμι (Halloumi)/Hellim της ΕΕ θα μπορούσε να αποτελέσει θετικό παράδειγμα για περαιτέρω δικοινοτική συνεργασία και οικοδόμηση εμπιστοσύνης, μεταξύ άλλων από την άποψη της στήριξης και του επακόλουθου οικονομικού οφέλους για τις τουρκοκυπριακές επιχειρήσεις, σε συνδυασμό με την πρόοδο όσον αφορά τη συμμόρφωση με τα πρότυπα της ΕΕ. Η ΕΕ θα εξακολουθήσει να στηρίζει και να ενισχύει τις προσπάθειες αυτές με τα μέσα και τις πολιτικές της έναντι της τουρκοκυπριακής κοινότητας και ιδίως έναντι της κοινωνίας των πολιτών. </w:t>
      </w:r>
    </w:p>
    <w:p w14:paraId="7C72A6E9" w14:textId="3A960083" w:rsidR="003C39C4" w:rsidRPr="00F7456D" w:rsidRDefault="002B683D" w:rsidP="00FB4B2D">
      <w:pPr>
        <w:spacing w:after="120" w:line="276" w:lineRule="auto"/>
        <w:rPr>
          <w:noProof/>
          <w:szCs w:val="24"/>
        </w:rPr>
      </w:pPr>
      <w:r>
        <w:rPr>
          <w:noProof/>
        </w:rPr>
        <w:t xml:space="preserve">Η συνολική στάση της </w:t>
      </w:r>
      <w:r>
        <w:rPr>
          <w:noProof/>
          <w:color w:val="000000" w:themeColor="text1"/>
        </w:rPr>
        <w:t>Τουρκίας</w:t>
      </w:r>
      <w:r>
        <w:rPr>
          <w:noProof/>
          <w:color w:val="000000"/>
        </w:rPr>
        <w:t xml:space="preserve"> όσον αφορά το κυπριακό ζήτημα και η μη αναγνώριση της Κυπριακής Δημοκρατίας εξακολουθούν να παρεμποδίζουν τις διαφορετικές οδούς συνεργασίας, μεταξύ άλλων στους τομείς της ασφάλειας και της άμυνας. </w:t>
      </w:r>
      <w:r>
        <w:rPr>
          <w:noProof/>
        </w:rPr>
        <w:t>Η Τουρκία πρέπει να επιβεβαιώσει εκ νέου τη δέσμευσή της σε σχέση με τις συνομιλίες που διεξάγονται υπό την αιγίδα των Ηνωμένων Εθνών για τη διευθέτηση του κυπριακού ζητήματος, σύμφωνα με τις σχετικές αποφάσεις του Συμβουλίου Ασφαλείας των Ηνωμένων Εθνών, συμπεριλαμβανομένων των εξωτερικών πτυχών τους.</w:t>
      </w:r>
      <w:bookmarkEnd w:id="3"/>
      <w:r>
        <w:rPr>
          <w:noProof/>
        </w:rPr>
        <w:t xml:space="preserve"> </w:t>
      </w:r>
      <w:r>
        <w:rPr>
          <w:noProof/>
          <w:color w:val="000000"/>
        </w:rPr>
        <w:t xml:space="preserve">Επομένως, η πλήρης αξιοποίηση των δυνατοτήτων ενός θετικού θεματολογίου με την </w:t>
      </w:r>
      <w:r>
        <w:rPr>
          <w:noProof/>
          <w:color w:val="000000" w:themeColor="text1"/>
        </w:rPr>
        <w:t>Τουρκία</w:t>
      </w:r>
      <w:r>
        <w:rPr>
          <w:noProof/>
          <w:color w:val="000000"/>
        </w:rPr>
        <w:t xml:space="preserve"> θα εξακολουθήσει να είναι εξαιρετικά δυσχερής ελλείψει λύσης στο κυπριακό ζήτημα.</w:t>
      </w:r>
    </w:p>
    <w:p w14:paraId="557A443C" w14:textId="1BE201B5" w:rsidR="003C39C4" w:rsidRPr="00F7456D" w:rsidRDefault="003C39C4" w:rsidP="00FB4B2D">
      <w:pPr>
        <w:pStyle w:val="ListParagraph"/>
        <w:spacing w:after="120" w:line="276" w:lineRule="auto"/>
        <w:ind w:left="0" w:right="-46"/>
        <w:jc w:val="both"/>
        <w:rPr>
          <w:rFonts w:ascii="Times New Roman" w:hAnsi="Times New Roman" w:cs="Times New Roman"/>
          <w:b/>
          <w:bCs/>
          <w:iCs/>
          <w:noProof/>
          <w:sz w:val="24"/>
          <w:szCs w:val="24"/>
        </w:rPr>
      </w:pPr>
      <w:r>
        <w:rPr>
          <w:rFonts w:ascii="Times New Roman" w:hAnsi="Times New Roman"/>
          <w:b/>
          <w:noProof/>
          <w:sz w:val="24"/>
        </w:rPr>
        <w:t xml:space="preserve">3. </w:t>
      </w:r>
      <w:r>
        <w:rPr>
          <w:rFonts w:ascii="Times New Roman" w:hAnsi="Times New Roman"/>
          <w:b/>
          <w:noProof/>
          <w:sz w:val="24"/>
        </w:rPr>
        <w:tab/>
        <w:t>Διάσκεψη για την Ανατολική Μεσόγειο</w:t>
      </w:r>
    </w:p>
    <w:p w14:paraId="608C3903" w14:textId="3D2C6EE1" w:rsidR="009404EE" w:rsidRPr="004F15E9" w:rsidRDefault="009404EE" w:rsidP="00FB4B2D">
      <w:pPr>
        <w:autoSpaceDE w:val="0"/>
        <w:autoSpaceDN w:val="0"/>
        <w:spacing w:after="120" w:line="276" w:lineRule="auto"/>
        <w:rPr>
          <w:noProof/>
          <w:szCs w:val="24"/>
        </w:rPr>
      </w:pPr>
      <w:r>
        <w:rPr>
          <w:noProof/>
        </w:rPr>
        <w:t xml:space="preserve">Το σκεπτικό βάσει του οποίου το Ευρωπαϊκό Συμβούλιο του Οκτωβρίου του 2020 ανέθεσε στον ύπατο εκπρόσωπο / αντιπρόεδρο τη διοργάνωση διάσκεψης για την Ανατολική Μεσόγειο με τη συμμετοχή της </w:t>
      </w:r>
      <w:r>
        <w:rPr>
          <w:noProof/>
          <w:color w:val="000000" w:themeColor="text1"/>
        </w:rPr>
        <w:t>Τουρκίας</w:t>
      </w:r>
      <w:r>
        <w:rPr>
          <w:noProof/>
        </w:rPr>
        <w:t xml:space="preserve"> εξακολουθεί να ισχύει. Δρομολογήθηκε η διερεύνηση διαφόρων ιδεών και εννοιών, ιδίως υπό το πρίσμα της βελτίωσης των σχέσεων της Τουρκίας με την Ελλάδα και την Αίγυπτο και της συμφωνίας του 2022 μεταξύ Ισραήλ και Λιβάνου για τα θαλάσσια σύνορα. Ωστόσο, οι αυξανόμενες εντάσεις στην περιοχή μετά τις τρομοκρατικές επιθέσεις της Χαμάς κατά του Ισραήλ απαιτούν συνεχή εκτίμηση της κατάστασης και κατάλληλο χρονοδιάγραμμα για την έναρξη νέων πρωτοβουλιών περιφερειακής συνεργασίας.</w:t>
      </w:r>
    </w:p>
    <w:p w14:paraId="4F7C2381" w14:textId="07BC35DB" w:rsidR="003C39C4" w:rsidRPr="00F7456D" w:rsidRDefault="003C39C4" w:rsidP="00FB4B2D">
      <w:pPr>
        <w:autoSpaceDE w:val="0"/>
        <w:autoSpaceDN w:val="0"/>
        <w:spacing w:after="120" w:line="276" w:lineRule="auto"/>
        <w:rPr>
          <w:noProof/>
          <w:szCs w:val="24"/>
        </w:rPr>
      </w:pPr>
      <w:r>
        <w:rPr>
          <w:noProof/>
        </w:rPr>
        <w:t xml:space="preserve">Μια μόνιμη διάσκεψη για την Ανατολική Μεσόγειο (EMC) ως συμπεριληπτική αλλά ευέλικτη πλατφόρμα με γνώμονα τη ζήτηση θα μπορούσε να χρησιμεύσει ως πλαίσιο για τη συζήτηση και την ανάπτυξη ευκαιριών συνεργασίας, μεταξύ άλλων όσον αφορά νέες νομοθετικές πράξεις και μέσα της ΕΕ σε συγκεκριμένους τομείς, όπως η ενεργειακή και οικονομική ασφάλεια, η συνδεσιμότητα, η ψηφιακή και η πράσινη μετάβαση και η βιομηχανική πολιτική. </w:t>
      </w:r>
    </w:p>
    <w:p w14:paraId="686AE88C" w14:textId="48684330" w:rsidR="003C39C4" w:rsidRPr="00F7456D" w:rsidRDefault="003C39C4" w:rsidP="00FB4B2D">
      <w:pPr>
        <w:pStyle w:val="ListParagraph"/>
        <w:spacing w:after="120" w:line="276" w:lineRule="auto"/>
        <w:ind w:left="0" w:right="-46"/>
        <w:jc w:val="both"/>
        <w:rPr>
          <w:rFonts w:ascii="Times New Roman" w:hAnsi="Times New Roman" w:cs="Times New Roman"/>
          <w:b/>
          <w:bCs/>
          <w:iCs/>
          <w:noProof/>
          <w:sz w:val="24"/>
          <w:szCs w:val="24"/>
        </w:rPr>
      </w:pPr>
      <w:r>
        <w:rPr>
          <w:rFonts w:ascii="Times New Roman" w:hAnsi="Times New Roman"/>
          <w:b/>
          <w:noProof/>
          <w:sz w:val="24"/>
        </w:rPr>
        <w:t xml:space="preserve">4. </w:t>
      </w:r>
      <w:r>
        <w:rPr>
          <w:rFonts w:ascii="Times New Roman" w:hAnsi="Times New Roman"/>
          <w:b/>
          <w:noProof/>
          <w:sz w:val="24"/>
        </w:rPr>
        <w:tab/>
        <w:t xml:space="preserve">Η ευρύτερη περιοχή </w:t>
      </w:r>
    </w:p>
    <w:p w14:paraId="3C3E92E5" w14:textId="5192AE68" w:rsidR="00961C54" w:rsidRPr="004F15E9" w:rsidRDefault="00961C54" w:rsidP="00FB4B2D">
      <w:pPr>
        <w:spacing w:after="120" w:line="276" w:lineRule="auto"/>
        <w:rPr>
          <w:rFonts w:eastAsiaTheme="minorHAnsi"/>
          <w:noProof/>
          <w:szCs w:val="24"/>
        </w:rPr>
      </w:pPr>
      <w:r>
        <w:rPr>
          <w:noProof/>
        </w:rPr>
        <w:t>Η Τουρκία είναι σημαντικός και δυναμικός παράγοντας εξωτερικής πολιτικής. Εφαρμόζει πολιτικές με τις οποίες θέτει τα συμφέροντα ασφάλειας</w:t>
      </w:r>
      <w:bookmarkStart w:id="4" w:name="_Hlk151229919"/>
      <w:bookmarkEnd w:id="4"/>
      <w:r>
        <w:rPr>
          <w:noProof/>
        </w:rPr>
        <w:t xml:space="preserve"> και τη στρατηγική αυτονομία της στο επίκεντρο των ενεργειών της, συμπεριλαμβανομένης της χρήσης στρατιωτικών μέσων σε διάφορα θέατρα επιχειρήσεων. Η Τουρκία έχει αρχίσει να αναζητεί επιλογές συνεργασίας με ορισμένα κράτη μέλη της ΕΕ τόσο σε διμερές επίπεδο όσο και στην περιοχή. Η τάση αυτή εντάθηκε ιδίως μετά την έναρξη του επιθετικού πολέμου της Ρωσίας κατά της Ουκρανίας τον Φεβρουάριο του 2022. Ωστόσο, επί του παρόντος, η Τουρκία ενεργεί με τρόπο που αντιβαίνει καταφανώς στις προτεραιότητες της ΕΕ στο πλαίσιο της ενωσιακής κοινής εξωτερικής πολιτικής και πολιτικής ασφάλειας (ΚΕΠΠΑ), διατηρώντας ένα πολύ χαμηλό ποσοστό ευθυγράμμισης της τάξης του 10 % κατά μέσο όρο. Η επιτάχυνση της ευθυγράμμισής της θα συνιστούσε σημαντική ένδειξη της δέσμευσης της Τουρκίας έναντι της ΕΕ στο νέο γεωπολιτικό πλαίσιο.</w:t>
      </w:r>
    </w:p>
    <w:p w14:paraId="47961FE7" w14:textId="5B78F084" w:rsidR="00961C54" w:rsidRPr="004F15E9" w:rsidRDefault="00961C54" w:rsidP="00FB4B2D">
      <w:pPr>
        <w:spacing w:after="120" w:line="276" w:lineRule="auto"/>
        <w:rPr>
          <w:rFonts w:eastAsiaTheme="minorHAnsi"/>
          <w:noProof/>
          <w:szCs w:val="24"/>
        </w:rPr>
      </w:pPr>
      <w:r>
        <w:rPr>
          <w:noProof/>
        </w:rPr>
        <w:t xml:space="preserve">Η Τουρκία εξακολουθεί να αντιτίθεται στη στρατιωτική επίθεση της Ρωσίας και αντιδρά διπλωματικά, μεταξύ άλλων συμμετέχοντας στην αρχικά επιτυχή διευκόλυνση των εξαγωγών ουκρανικών σιτηρών στο πλαίσιο της πρωτοβουλίας για τα σιτηρά στον Εύξεινο Πόντο (BSGI). Η τουρκική ηγεσία επένδυσε στη διευκόλυνση των ανταλλαγών κρατουμένων και εργάστηκε για την αποκλιμάκωση και την κατάπαυση του πυρός. Ταυτόχρονα, το γεγονός ότι η Τουρκία δεν εφαρμόζει τα περιοριστικά μέτρα της ΕΕ κατά της Ρωσίας, ενώ παράλληλα ενισχύει τους εμπορικούς και οικονομικούς δεσμούς με τη Μόσχα, δημιουργεί σοβαρό κίνδυνο καταστρατήγησης των περιοριστικών μέτρων της ΕΕ που πρέπει να αντιμετωπιστεί. Αρνητική απήχηση είχε επίσης η στάση της Τουρκίας όσον αφορά την προσχώρηση της Σουηδίας στο ΝΑΤΟ.   </w:t>
      </w:r>
    </w:p>
    <w:p w14:paraId="24683FD3" w14:textId="0A482B9A" w:rsidR="003C39C4" w:rsidRPr="00F7456D" w:rsidRDefault="003C39C4" w:rsidP="00FB4B2D">
      <w:pPr>
        <w:spacing w:after="120" w:line="276" w:lineRule="auto"/>
        <w:rPr>
          <w:rFonts w:eastAsiaTheme="minorHAnsi"/>
          <w:noProof/>
          <w:szCs w:val="24"/>
        </w:rPr>
      </w:pPr>
      <w:r>
        <w:rPr>
          <w:noProof/>
        </w:rPr>
        <w:t xml:space="preserve">Η Τουρκία ενέτεινε την πολιτική της «περιφερειακής εξομάλυνσης» με τα αραβικά κράτη και την περιοχή του Κόλπου. Ελλείψει πολιτικής λύσης στη σύγκρουση στη Συρία, η αρχική επανέναρξη των επαφών υψηλού επιπέδου με το συριακό καθεστώς το 2022, με τη μεσολάβηση της Ρωσίας, έρχεται σε αντίθεση με την πολιτική της ΕΕ. Ωστόσο, η Τουρκία είναι σημαντικός παράγοντας στη Συρία και συμμερίζεται, από κοινού με την ΕΕ, τον στόχο της επίτευξης σταθερότητας και ευημερίας στη χώρα. Η Τουρκία διατηρεί σημαντική στρατιωτική παρουσία σε τμήματα της βόρειας Συρίας και συνεχίζει τις στρατιωτικές διασυνοριακές επιχειρήσεις στην περιοχή, στο πλαίσιο των αντιτρομοκρατικών επιχειρήσεών της κατά του Εργατικού Κόμματος του Κουρδιστάν (PKK).    </w:t>
      </w:r>
    </w:p>
    <w:p w14:paraId="4E653AAC" w14:textId="3645B5E6" w:rsidR="003C39C4" w:rsidRPr="00F7456D" w:rsidRDefault="003C39C4" w:rsidP="00FB4B2D">
      <w:pPr>
        <w:spacing w:after="120" w:line="276" w:lineRule="auto"/>
        <w:rPr>
          <w:rFonts w:eastAsiaTheme="minorHAnsi"/>
          <w:noProof/>
          <w:szCs w:val="24"/>
        </w:rPr>
      </w:pPr>
      <w:r>
        <w:rPr>
          <w:noProof/>
        </w:rPr>
        <w:t xml:space="preserve">Η Τουρκία συνέχισε επίσης τις αντιτρομοκρατικές στρατιωτικές επιχειρήσεις της κατά του PKK στο Ιράκ και στην περιοχή του Κουρδιστάν του Ιράκ. Οι επιχειρήσεις καταδικάστηκαν απερίφραστα από την ιρακινή κυβέρνηση. Παρότι η ΕΕ θεωρεί το PKK τρομοκρατική οργάνωση, οι χώρες της περιοχής παροτρύνονται να συντονίζουν τις δραστηριότητες καταπολέμησης της τρομοκρατίας και να ενεργούν αναλογικά και με πλήρη σεβασμό του κράτους δικαίου. </w:t>
      </w:r>
    </w:p>
    <w:p w14:paraId="1C88C698" w14:textId="098B89AE" w:rsidR="003C39C4" w:rsidRPr="00F7456D" w:rsidRDefault="003C39C4" w:rsidP="00FB4B2D">
      <w:pPr>
        <w:spacing w:after="120" w:line="276" w:lineRule="auto"/>
        <w:rPr>
          <w:rFonts w:eastAsiaTheme="minorHAnsi"/>
          <w:noProof/>
          <w:szCs w:val="24"/>
        </w:rPr>
      </w:pPr>
      <w:r>
        <w:rPr>
          <w:noProof/>
        </w:rPr>
        <w:t>Όσον αφορά το Ιράν, η</w:t>
      </w:r>
      <w:r>
        <w:rPr>
          <w:b/>
          <w:noProof/>
        </w:rPr>
        <w:t xml:space="preserve"> </w:t>
      </w:r>
      <w:r>
        <w:rPr>
          <w:noProof/>
        </w:rPr>
        <w:t>Τουρκία διατήρησε διαύλους συνεργασίας σε διάφορα επίπεδα, αν και οι εντάσεις ήταν αισθητές στα θέατρα επιχειρήσεων της Συρίας και του βόρειου Ιράκ. Η σχέση αυτή παραμένει ιστορικά περίπλοκη, καθώς τόσο το Ιράν όσο και η Τουρκία ανταγωνίζονται για την εξασφάλιση επιρροής στην περιοχή, στηρίζοντας συχνά αντικρουόμενα συμφέροντα. Ωστόσο, το Ιράν, το Ιράκ και η Τουρκία είναι επίσης πολύ σημαντικοί εμπορικοί εταίροι.</w:t>
      </w:r>
    </w:p>
    <w:p w14:paraId="463778CE" w14:textId="63C4B818" w:rsidR="003C39C4" w:rsidRPr="00F7456D" w:rsidRDefault="00961C54" w:rsidP="00FB4B2D">
      <w:pPr>
        <w:spacing w:after="120" w:line="276" w:lineRule="auto"/>
        <w:rPr>
          <w:noProof/>
          <w:szCs w:val="24"/>
        </w:rPr>
      </w:pPr>
      <w:r>
        <w:rPr>
          <w:noProof/>
        </w:rPr>
        <w:t>Μετά τις επιθέσεις της τρομοκρατικής</w:t>
      </w:r>
      <w:r>
        <w:rPr>
          <w:noProof/>
          <w:color w:val="FF0000"/>
        </w:rPr>
        <w:t xml:space="preserve"> </w:t>
      </w:r>
      <w:r>
        <w:rPr>
          <w:noProof/>
        </w:rPr>
        <w:t>οργάνωσης Χαμάς κατά του Ισραήλ στις 7 Οκτωβρίου 2023, η Τουρκία όχι μόνο απέφυγε να τις καταδικάσει και να τις χαρακτηρίσει ως τρομοκρατία, αλλά τάχθηκε υπέρ της Χαμάς, διαφωνώντας πλήρως με την κοινή θέση της ΕΕ</w:t>
      </w:r>
      <w:r w:rsidR="003C39C4" w:rsidRPr="00F7456D">
        <w:rPr>
          <w:rStyle w:val="FootnoteReference"/>
          <w:noProof/>
          <w:szCs w:val="24"/>
        </w:rPr>
        <w:footnoteReference w:id="4"/>
      </w:r>
      <w:r>
        <w:rPr>
          <w:noProof/>
        </w:rPr>
        <w:t>. Η Τουρκία, ενώ καταδίκασε το γεγονός ότι χάνονται ζωές αμάχων και στις δύο πλευρές, επέκρινε έντονα την αντίδραση του Ισραήλ και πρότεινε να αναλάβει τον ρόλο του διαμεσολαβητή και να συμμετάσχει ως εγγυήτρια χώρα στο μετασυγκρουσιακό περιβάλλον. Γενικότερα, η Τουρκία επί του παρόντος αξιολογεί εκ νέου τους δεσμούς της με το Ισραήλ. Ταυτόχρονα, εξακολουθεί να αποτελεί σημαντικό χορηγό ανθρωπιστικής βοήθειας στην περιοχή και παραμένει προσηλωμένη στη λύση των δύο κρατών.</w:t>
      </w:r>
    </w:p>
    <w:p w14:paraId="13921921" w14:textId="69502F9B" w:rsidR="003C39C4" w:rsidRPr="00F7456D" w:rsidRDefault="003C39C4" w:rsidP="00FB4B2D">
      <w:pPr>
        <w:spacing w:after="120" w:line="276" w:lineRule="auto"/>
        <w:rPr>
          <w:rFonts w:eastAsiaTheme="minorHAnsi"/>
          <w:noProof/>
          <w:szCs w:val="24"/>
        </w:rPr>
      </w:pPr>
      <w:r>
        <w:rPr>
          <w:noProof/>
        </w:rPr>
        <w:t xml:space="preserve">Η διαδικασία εξομάλυνσης των σχέσεων μεταξύ της Τουρκίας και της Αρμενίας συνεχίστηκε μέσω επαφών μεταξύ ειδικών απεσταλμένων. Οι ηγέτες συναντήθηκαν το 2022 και το 2023. Η Τουρκία εξακολουθεί να συνδέει την πρόοδο της διαδικασίας εξομάλυνσης με την Αρμενία με τις εξελίξεις στις σχέσεις Αρμενίας-Αζερμπαϊτζάν, ιδίως όσον αφορά τη σύγκρουση στο Ναγκόρνο-Καραμπάχ. Η Τουρκία στηρίζει όλες τις ενέργειες του Αζερμπαϊτζάν όσον αφορά το Ναγκόρνο-Καραμπάχ και τη στάση του έναντι της Αρμενίας εν γένει. Η Τουρκία εξέφρασε την πλήρη υποστήριξή της στις στρατιωτικές ενέργειες στις οποίες προέβη το Αζερμπαϊτζάν το 2022 και το 2023. Τόνισε την ανάγκη σεβασμού των δικαιωμάτων των Αρμενίων του Καραμπάχ και υποστήριξε τις ειρηνευτικές διαπραγματεύσεις και τη δημιουργία δεσμών στους τομείς του εμπορίου και της ενέργειας. </w:t>
      </w:r>
    </w:p>
    <w:p w14:paraId="66DAB2AB" w14:textId="48239394" w:rsidR="003C39C4" w:rsidRPr="00F7456D" w:rsidRDefault="003C39C4" w:rsidP="00FB4B2D">
      <w:pPr>
        <w:spacing w:after="120" w:line="276" w:lineRule="auto"/>
        <w:rPr>
          <w:rFonts w:eastAsiaTheme="minorHAnsi"/>
          <w:bCs/>
          <w:noProof/>
          <w:szCs w:val="24"/>
        </w:rPr>
      </w:pPr>
      <w:r>
        <w:rPr>
          <w:noProof/>
        </w:rPr>
        <w:t>Στη Λιβύη, η Τουρκία τάσσεται υπέρ μιας συμφωνίας στο πλαίσιο πολιτικής διαδικασίας καθοδηγούμενης από τη Λιβύη και στην οποία η Λιβύη θα έχει τον πρωταρχικό ρόλο. Βάσει της συμφωνίας θαλάσσιας οριοθέτησης Τουρκίας-Λιβύης του 2019, τον Οκτώβριο του 2022 η Τουρκία υπέγραψε μνημόνιο συνεννόησης (ΜΣ) με την κυβέρνηση εθνικής ενότητας της Λιβύης για την ανάπτυξη, μεταξύ άλλων, εμπορικής συνεργασίας στον τομέα των υδρογονανθράκων. Η ΕΕ θεωρεί ότι το μνημόνιο συνεννόησης Τουρκίας-Λιβύης του 2019 συνιστά παραβίαση των κυριαρχικών δικαιωμάτων τρίτων κρατών, ότι δεν συνάδει με το δίκαιο της θάλασσας και ότι δεν έχει έννομες συνέπειες για τρίτα κράτη. Η Τουρκία, ως κράτος σημαίας, έχει επανειλημμένως αρνηθεί αιτήματα της επιχείρησης IRINI της ναυτικής δύναμης της ΕΕ για τη Μεσόγειο όσον αφορά την επιθεώρηση σκαφών, η δε έλλειψη συνεργασίας από πλευράς της εξακολούθησε να υπονομεύει τις προσπάθειες της ΕΕ για την αποτελεσματική εφαρμογή του εμπάργκο των Ηνωμένων Εθνών.</w:t>
      </w:r>
    </w:p>
    <w:p w14:paraId="6F05465A" w14:textId="17E160F8" w:rsidR="003C39C4" w:rsidRPr="00F7456D" w:rsidRDefault="003C39C4" w:rsidP="00FB4B2D">
      <w:pPr>
        <w:spacing w:after="120" w:line="276" w:lineRule="auto"/>
        <w:rPr>
          <w:rFonts w:eastAsiaTheme="minorHAnsi"/>
          <w:noProof/>
          <w:szCs w:val="24"/>
        </w:rPr>
      </w:pPr>
      <w:r>
        <w:rPr>
          <w:noProof/>
        </w:rPr>
        <w:t xml:space="preserve">Υπό το πρίσμα της δυναμικής εξωτερικής και περιφερειακής πολιτικής της Τουρκίας, η συνέχιση του διπλωματικού έργου εξακολουθεί να είναι ουσιώδης για την καλύτερη κατανόηση των αντίστοιχων συμφερόντων, την αποκλιμάκωση πιθανών εντάσεων και τον προσδιορισμό αμοιβαία επωφελών τομέων συνεργασίας.  </w:t>
      </w:r>
    </w:p>
    <w:p w14:paraId="3868CAAE" w14:textId="17D7D6A1" w:rsidR="003C39C4" w:rsidRPr="00F7456D" w:rsidRDefault="003C39C4" w:rsidP="00FB4B2D">
      <w:pPr>
        <w:spacing w:after="120" w:line="276" w:lineRule="auto"/>
        <w:rPr>
          <w:rFonts w:eastAsiaTheme="minorHAnsi"/>
          <w:b/>
          <w:bCs/>
          <w:iCs/>
          <w:noProof/>
          <w:szCs w:val="24"/>
        </w:rPr>
      </w:pPr>
      <w:r>
        <w:rPr>
          <w:b/>
          <w:noProof/>
        </w:rPr>
        <w:t xml:space="preserve">5. </w:t>
      </w:r>
      <w:r>
        <w:rPr>
          <w:b/>
          <w:noProof/>
        </w:rPr>
        <w:tab/>
        <w:t xml:space="preserve">Συνεργασία για την Κοινή Πολιτική Ασφάλειας και Άμυνας και την αντιμετώπιση της τρομοκρατίας </w:t>
      </w:r>
    </w:p>
    <w:p w14:paraId="273442EA" w14:textId="3F17ED67" w:rsidR="003C39C4" w:rsidRPr="00F7456D" w:rsidRDefault="003C39C4" w:rsidP="00FB4B2D">
      <w:pPr>
        <w:spacing w:after="120" w:line="276" w:lineRule="auto"/>
        <w:rPr>
          <w:noProof/>
          <w:szCs w:val="24"/>
        </w:rPr>
      </w:pPr>
      <w:r>
        <w:rPr>
          <w:noProof/>
        </w:rPr>
        <w:t xml:space="preserve">Η Τουρκία είναι μακροχρόνιος εταίρος της ΕΕ στη διαχείριση κρίσεων, με σημαντική συνεισφορά στις αποστολές και τις επιχειρήσεις της Κοινής Πολιτικής Ασφάλειας και Άμυνας (ΚΠΑΑ) και τη μεγαλύτερη εκτός της ΕΕ συνεισφορά στρατευμάτων στην επιχείρηση ALTHEA της Δύναμης της Ευρωπαϊκής Ένωσης για τη Βοσνία και Ερζεγοβίνη. Πολύ πρόσφατα, η Τουρκία ανέλαβε τη διοίκηση της KFOR του ΝΑΤΟ στο Κόσοβο*. Η Τουρκία επιδιώκει περαιτέρω συμμετοχή σε πρωτοβουλίες ΚΠΑΑ και σε αμυντικές πρωτοβουλίες της ΕΕ, ενώ ταυτόχρονα εξακολουθεί να αποκλείει ένα κράτος μέλος από κάθε δυνατή συνεργασία με το ΝΑΤΟ. Η μη αναγνώριση της Κυπριακής Δημοκρατίας και η στενή ερμηνεία του πλαισίου συνεργασίας ΕΕ-ΝΑΤΟ από την Τουρκία, βάσει του συμφωνηθέντος πλαισίου του 2003 (ρυθμίσεις «Βερολίνο +»), εξακολουθεί να δημιουργεί πρακτικές και σοβαρές επιχειρησιακές δυσκολίες για την περαιτέρω ανάπτυξη μιας πραγματικής σχέσης μεταξύ των οργανισμών ΕΕ και ΝΑΤΟ. </w:t>
      </w:r>
    </w:p>
    <w:p w14:paraId="1AF7CC59" w14:textId="3974A7F0" w:rsidR="003C39C4" w:rsidRPr="00F7456D" w:rsidRDefault="003C39C4" w:rsidP="00FB4B2D">
      <w:pPr>
        <w:spacing w:after="120" w:line="276" w:lineRule="auto"/>
        <w:rPr>
          <w:rFonts w:eastAsiaTheme="minorHAnsi"/>
          <w:noProof/>
          <w:szCs w:val="24"/>
        </w:rPr>
      </w:pPr>
      <w:r>
        <w:rPr>
          <w:noProof/>
        </w:rPr>
        <w:t>Σύμφωνα με τη στρατηγική πυξίδα της ΕΕ</w:t>
      </w:r>
      <w:r w:rsidRPr="00F7456D">
        <w:rPr>
          <w:rStyle w:val="FootnoteReference"/>
          <w:noProof/>
          <w:szCs w:val="24"/>
        </w:rPr>
        <w:footnoteReference w:id="5"/>
      </w:r>
      <w:r>
        <w:rPr>
          <w:noProof/>
        </w:rPr>
        <w:t xml:space="preserve">, η ΕΕ παραμένει προσηλωμένη στη συνέχιση της συνεργασίας σε τομείς κοινού ενδιαφέροντος και στην ανάπτυξη αμοιβαία επωφελούς εταιρικής σχέσης, βάσει ισότιμης δέσμευσης της Τουρκίας να προχωρήσει στην οδό της συνεργασίας και της αποκλιμάκωσης. </w:t>
      </w:r>
    </w:p>
    <w:p w14:paraId="2F6734CB" w14:textId="6138691C" w:rsidR="003C39C4" w:rsidRPr="00F7456D" w:rsidRDefault="003C39C4" w:rsidP="00FB4B2D">
      <w:pPr>
        <w:spacing w:after="120" w:line="276" w:lineRule="auto"/>
        <w:rPr>
          <w:rFonts w:eastAsiaTheme="minorHAnsi"/>
          <w:noProof/>
          <w:szCs w:val="24"/>
        </w:rPr>
      </w:pPr>
      <w:r>
        <w:rPr>
          <w:noProof/>
        </w:rPr>
        <w:t xml:space="preserve">Όσον αφορά την καταπολέμηση της τρομοκρατίας, η ΕΕ στηρίζει τις προσπάθειες της Τουρκίας για τη βελτίωση της ανταλλαγής πληροφοριών, των διασυνοριακών ερευνών και των διώξεων, ιδίως των ξένων τρομοκρατών μαχητών και των ατόμων για τα οποία υπάρχουν υπόνοιες ότι σχεδιάζουν ή διαπράττουν τρομοκρατικά εγκλήματα. Ταυτόχρονα, ο ευρύς ορισμός της τρομοκρατίας στην εθνική νομοθεσία παραμένει θεμελιωδώς αντίθετος προς τα ευρωπαϊκά πρότυπα και αντιβαίνει στην Ευρωπαϊκή Σύμβαση Δικαιωμάτων του Ανθρώπου (ΕΣΔΑ). </w:t>
      </w:r>
    </w:p>
    <w:p w14:paraId="44B10A3C" w14:textId="77777777" w:rsidR="003C39C4" w:rsidRPr="00547D76" w:rsidRDefault="003C39C4" w:rsidP="00FB4B2D">
      <w:pPr>
        <w:spacing w:after="120" w:line="276" w:lineRule="auto"/>
        <w:ind w:right="318"/>
        <w:rPr>
          <w:rFonts w:eastAsiaTheme="minorHAnsi"/>
          <w:b/>
          <w:noProof/>
          <w:szCs w:val="24"/>
        </w:rPr>
      </w:pPr>
    </w:p>
    <w:p w14:paraId="29330F37" w14:textId="03869C34" w:rsidR="004A033B" w:rsidRPr="00F7456D" w:rsidRDefault="003C39C4" w:rsidP="00FB4B2D">
      <w:pPr>
        <w:spacing w:after="120" w:line="276" w:lineRule="auto"/>
        <w:ind w:right="318"/>
        <w:rPr>
          <w:rFonts w:eastAsiaTheme="minorHAnsi"/>
          <w:b/>
          <w:noProof/>
          <w:szCs w:val="24"/>
        </w:rPr>
      </w:pPr>
      <w:r>
        <w:rPr>
          <w:b/>
          <w:noProof/>
        </w:rPr>
        <w:t xml:space="preserve">III. </w:t>
      </w:r>
      <w:r>
        <w:rPr>
          <w:b/>
          <w:noProof/>
        </w:rPr>
        <w:tab/>
        <w:t>ΔΙΜΕΡΕΙΣ ΣΧΕΣΕΙΣ ΜΕΤΑΞΥ ΤΗΣ ΕΕ ΚΑΙ ΤΗΣ ΤΟΥΡΚΙΑΣ</w:t>
      </w:r>
    </w:p>
    <w:p w14:paraId="26DB6EA6" w14:textId="23D0956F" w:rsidR="004A033B" w:rsidRPr="00F7456D" w:rsidRDefault="004A033B" w:rsidP="00FB4B2D">
      <w:pPr>
        <w:pStyle w:val="ListParagraph"/>
        <w:numPr>
          <w:ilvl w:val="0"/>
          <w:numId w:val="19"/>
        </w:numPr>
        <w:spacing w:after="120" w:line="276" w:lineRule="auto"/>
        <w:ind w:hanging="720"/>
        <w:jc w:val="both"/>
        <w:rPr>
          <w:rFonts w:ascii="Times New Roman" w:eastAsia="Times New Roman" w:hAnsi="Times New Roman" w:cs="Times New Roman"/>
          <w:b/>
          <w:bCs/>
          <w:noProof/>
          <w:sz w:val="24"/>
          <w:szCs w:val="24"/>
        </w:rPr>
      </w:pPr>
      <w:r>
        <w:rPr>
          <w:rFonts w:ascii="Times New Roman" w:hAnsi="Times New Roman"/>
          <w:b/>
          <w:noProof/>
          <w:sz w:val="24"/>
        </w:rPr>
        <w:t>Συμφωνία σύνδεσης</w:t>
      </w:r>
    </w:p>
    <w:p w14:paraId="4660FD1E" w14:textId="441EA99B" w:rsidR="00CC2D45" w:rsidRPr="00F7456D" w:rsidRDefault="00CC2D45" w:rsidP="00FB4B2D">
      <w:pPr>
        <w:spacing w:after="120" w:line="276" w:lineRule="auto"/>
        <w:rPr>
          <w:bCs/>
          <w:iCs/>
          <w:noProof/>
          <w:szCs w:val="24"/>
        </w:rPr>
      </w:pPr>
      <w:r>
        <w:rPr>
          <w:noProof/>
        </w:rPr>
        <w:t>Η συμφωνία σύνδεσης του 1963</w:t>
      </w:r>
      <w:r w:rsidR="00C76A42" w:rsidRPr="00F7456D">
        <w:rPr>
          <w:rStyle w:val="FootnoteReference"/>
          <w:bCs/>
          <w:iCs/>
          <w:noProof/>
          <w:szCs w:val="24"/>
          <w:lang w:val="en-IE"/>
        </w:rPr>
        <w:footnoteReference w:id="6"/>
      </w:r>
      <w:r>
        <w:rPr>
          <w:noProof/>
        </w:rPr>
        <w:t xml:space="preserve"> ήταν επιτυχής όσον αφορά τη δημιουργία μιας σταθερής βάσης για τις διμερείς σχέσεις. Ωστόσο, εξακολουθούν να υπάρχουν σοβαρά εμπόδια στην εφαρμογή της. Το ανεπίλυτο κυπριακό ζήτημα είχε συνέπειες από τη στιγμή της προσχώρησης της Κυπριακής Δημοκρατίας στην ΕΕ το 2004. Η Τουρκία αποφάσισε τον Ιούλιο του 2005 να μην εφαρμόσει το πρόσθετο πρωτόκολλο της συμφωνίας σύνδεσης που επεκτείνει την τελωνειακή της ένωση με την ΕΕ στην Κυπριακή Δημοκρατία, απόφαση η οποία είχε σοβαρές επιπτώσεις στη διαδικασία προσχώρησης. Η Τουρκία δεν επιτρέπει τις άμεσες εμπορικές συναλλαγές μεταξύ της Κυπριακής Δημοκρατίας και της Τουρκίας, ούτε τις απευθείας αεροπορικές και θαλάσσιες συνδέσεις ή οποιαδήποτε άλλη απευθείας σύνδεση. Eμποδίζει επίσης την προσχώρηση της Κυπριακής Δημοκρατίας σε πολλούς διεθνείς οργανισμούς. Το γεγονός ότι η Τουρκία δεν αναγνωρίζει την Κύπρο εμποδίζει επίσης την απευθείας ανταλλαγή πληροφοριών με την Τουρκία (π.χ. στο πλαίσιο της δικαστικής συνεργασίας ή της καταπολέμησης της φοροαποφυγής), καθώς και την ομαλή λειτουργία της τελωνειακής ένωσης εν γένει. </w:t>
      </w:r>
    </w:p>
    <w:p w14:paraId="7F624623" w14:textId="63BE9A77" w:rsidR="00CC2D45" w:rsidRPr="00F7456D" w:rsidRDefault="00CC2D45" w:rsidP="00FB4B2D">
      <w:pPr>
        <w:spacing w:after="120" w:line="276" w:lineRule="auto"/>
        <w:rPr>
          <w:bCs/>
          <w:iCs/>
          <w:noProof/>
          <w:szCs w:val="24"/>
        </w:rPr>
      </w:pPr>
      <w:r>
        <w:rPr>
          <w:noProof/>
        </w:rPr>
        <w:t>Υπό το πρίσμα των παράνομων γεωτρήσεων της Τουρκίας στην Ανατολική Μεσόγειο, τον Ιούλιο του 2019 το Συμβούλιο αποφάσισε να αναστείλει προς το παρόν το Συμβούλιο Σύνδεσης ΕΕ-Τουρκίας. Επίσης δεν πραγματοποιήθηκαν οι προπαρασκευαστικές επιτροπές σύνδεσης, στις οποίες η προεδρία ασκείται σε επίπεδο ανώτερων υπαλλήλων. Η τεχνική συνεργασία στο πλαίσιο οκτώ τομεακών υποεπιτροπών συνεχίζεται.</w:t>
      </w:r>
    </w:p>
    <w:p w14:paraId="2D5778ED" w14:textId="0CDEC811" w:rsidR="0063509E" w:rsidRPr="00F7456D" w:rsidRDefault="0063509E" w:rsidP="00FB4B2D">
      <w:pPr>
        <w:pStyle w:val="ListParagraph"/>
        <w:numPr>
          <w:ilvl w:val="0"/>
          <w:numId w:val="19"/>
        </w:numPr>
        <w:spacing w:after="120" w:line="276" w:lineRule="auto"/>
        <w:ind w:hanging="720"/>
        <w:jc w:val="both"/>
        <w:rPr>
          <w:rFonts w:ascii="Times New Roman" w:eastAsia="Times New Roman" w:hAnsi="Times New Roman" w:cs="Times New Roman"/>
          <w:b/>
          <w:bCs/>
          <w:noProof/>
          <w:sz w:val="24"/>
          <w:szCs w:val="24"/>
        </w:rPr>
      </w:pPr>
      <w:r>
        <w:rPr>
          <w:rFonts w:ascii="Times New Roman" w:hAnsi="Times New Roman"/>
          <w:b/>
          <w:noProof/>
          <w:sz w:val="24"/>
        </w:rPr>
        <w:t xml:space="preserve">Διαπραγματεύσεις προσχώρησης, κριτήρια προσχώρησης και προενταξιακή βοήθεια </w:t>
      </w:r>
    </w:p>
    <w:p w14:paraId="252D7465" w14:textId="0B8E81E5" w:rsidR="00F11843" w:rsidRDefault="00FC071C" w:rsidP="00FB4B2D">
      <w:pPr>
        <w:spacing w:after="120" w:line="276" w:lineRule="auto"/>
        <w:rPr>
          <w:noProof/>
          <w:szCs w:val="24"/>
        </w:rPr>
      </w:pPr>
      <w:r>
        <w:rPr>
          <w:noProof/>
        </w:rPr>
        <w:t xml:space="preserve">Η Τουρκία έλαβε το καθεστώς υποψήφιας χώρας τον Δεκέμβριο του 1999. Υπό το πρίσμα της συνεχιζόμενης και σοβαρής οπισθοδρόμησης όσον αφορά τις βασικές αρχές και αξίες της ΕΕ, τον Ιούνιο του 2018 το Συμβούλιο σημείωσε ότι η Τουρκία απομακρύνεται από την Ευρωπαϊκή Ένωση και, γι’ αυτόν τον λόγο, οι διαπραγματεύσεις προσχώρησής της </w:t>
      </w:r>
      <w:r>
        <w:rPr>
          <w:i/>
          <w:noProof/>
        </w:rPr>
        <w:t>«έχουν ουσιαστικά αδρανήσει και δεν μπορεί να εξεταστεί το άνοιγμα ή το κλείσιμο άλλων κεφαλαίων»</w:t>
      </w:r>
      <w:r>
        <w:rPr>
          <w:noProof/>
        </w:rPr>
        <w:t>. Έκτοτε το Συμβούλιο έχει επιβεβαιώσει εκ νέου τη θέση αυτή, πιο πρόσφατα τον Δεκέμβριο του 2022</w:t>
      </w:r>
      <w:r w:rsidR="00660A0F" w:rsidRPr="00F7456D">
        <w:rPr>
          <w:rStyle w:val="FootnoteReference"/>
          <w:noProof/>
          <w:szCs w:val="24"/>
          <w:lang w:val="en-IE"/>
        </w:rPr>
        <w:footnoteReference w:id="7"/>
      </w:r>
      <w:r>
        <w:rPr>
          <w:noProof/>
        </w:rPr>
        <w:t xml:space="preserve">. Τα γεγονότα που οδήγησαν στην αξιολόγηση αυτή εξακολουθούν να ισχύουν, όπως αναφέρεται στην πρόσφατη έκθεση της Επιτροπής για τη διεύρυνση. </w:t>
      </w:r>
    </w:p>
    <w:p w14:paraId="6AE8B719" w14:textId="77777777" w:rsidR="00F11843" w:rsidRPr="00547D76" w:rsidRDefault="00F11843" w:rsidP="00FB4B2D">
      <w:pPr>
        <w:spacing w:after="120" w:line="276" w:lineRule="auto"/>
        <w:rPr>
          <w:noProof/>
          <w:szCs w:val="24"/>
        </w:rPr>
      </w:pPr>
    </w:p>
    <w:p w14:paraId="103A9EFE" w14:textId="3C963E81" w:rsidR="00F218DE" w:rsidRPr="00F11843" w:rsidRDefault="0015393A" w:rsidP="00FB4B2D">
      <w:pPr>
        <w:spacing w:after="120" w:line="276" w:lineRule="auto"/>
        <w:rPr>
          <w:noProof/>
          <w:szCs w:val="24"/>
        </w:rPr>
      </w:pPr>
      <w:r>
        <w:rPr>
          <w:noProof/>
        </w:rPr>
        <w:t xml:space="preserve">Στο πλαίσιο του </w:t>
      </w:r>
      <w:r>
        <w:rPr>
          <w:b/>
          <w:noProof/>
        </w:rPr>
        <w:t>Μηχανισμού Προενταξιακής Βοήθειας</w:t>
      </w:r>
      <w:r>
        <w:rPr>
          <w:noProof/>
        </w:rPr>
        <w:t xml:space="preserve"> για την περίοδο 2021-2027 (ΜΠΒ III), η ΕΕ παρέχει στήριξη στην Τουρκία σε τομείς βασικού ενδιαφέροντος της ΕΕ, ανάλογα με την εξέλιξη των σχέσεων με τη χώρα. Το 2022 η ΕΕ διέθεσε 221 εκατ. EUR για δράσεις στην Τουρκία, ποσό που αντικατοπτρίζει το επίπεδο φιλοδοξίας της Τουρκίας στις μεταρρυθμίσεις της. Το 2022 η Επιτροπή δημιούργησε μια επενδυτική πλατφόρμα για την Τουρκία (TIP) στο πλαίσιο του Ευρωπαϊκού Ταμείου για τη Βιώσιμη Ανάπτυξη + (ΕΤΒΑ +), η οποία θα παρέχει εγγυήσεις της ΕΕ για τη στήριξη ιδιωτικών και δημόσιων επενδύσεων σε βασικούς τομείς. </w:t>
      </w:r>
      <w:bookmarkStart w:id="5" w:name="_Hlk151666049"/>
      <w:r>
        <w:rPr>
          <w:noProof/>
        </w:rPr>
        <w:t xml:space="preserve">Στις αρχές του 2023 το επιχειρησιακό συμβούλιο της επενδυτικής πλατφόρμας για την Τουρκία ενέκρινε 14 προγράμματα εγγυήσεων αξίας 317 εκατ. EUR και αναμενόμενου ύψους επενδύσεων έως 2 δισ. EUR. Καλύπτουν τομείς από τη χρηματοδότηση για τις πολύ μικρές, τις μικρές και τις μεσαίες επιχειρήσεις, την ενέργεια και τις μεταφορές, έως τη βιώσιμη γεωργία και τις νέες τεχνολογίες για το κλίμα. </w:t>
      </w:r>
      <w:bookmarkEnd w:id="5"/>
    </w:p>
    <w:p w14:paraId="1B567CFE" w14:textId="7519D6F3" w:rsidR="000C3A7E" w:rsidRPr="00F7456D" w:rsidRDefault="00C953E7" w:rsidP="00FB4B2D">
      <w:pPr>
        <w:spacing w:after="120" w:line="276" w:lineRule="auto"/>
        <w:rPr>
          <w:noProof/>
          <w:szCs w:val="24"/>
        </w:rPr>
      </w:pPr>
      <w:r>
        <w:rPr>
          <w:noProof/>
        </w:rPr>
        <w:t xml:space="preserve">Μετά τα συμπεράσματα του Συμβουλίου του 2019, με τα οποία ζητήθηκε από την </w:t>
      </w:r>
      <w:r>
        <w:rPr>
          <w:b/>
          <w:noProof/>
        </w:rPr>
        <w:t>Ευρωπαϊκή Τράπεζα Επενδύσεων (ΕΤΕπ)</w:t>
      </w:r>
      <w:r>
        <w:rPr>
          <w:noProof/>
        </w:rPr>
        <w:t xml:space="preserve"> να επανεξετάσει τις δραστηριότητές της στην Τουρκία, η ΕΤΕπ έχει σταματήσει όλες τις νέες δραστηριότητες στη χώρα, με εξαίρεση ένα δάνειο-πλαίσιο ύψους 400 εκατ. EUR, το οποίο αποφασίστηκε μετά τους σεισμούς του 2023. Η Επιτροπή θα κινητοποιήσει πόρους από τον προϋπολογισμό της ΕΕ για να εγγυηθεί αυτό το νέο δάνειο της ΕΤΕπ.  </w:t>
      </w:r>
    </w:p>
    <w:p w14:paraId="4B309C96" w14:textId="41C76E6B" w:rsidR="004A033B" w:rsidRPr="00F7456D" w:rsidRDefault="004A033B" w:rsidP="00FB4B2D">
      <w:pPr>
        <w:pStyle w:val="ListParagraph"/>
        <w:numPr>
          <w:ilvl w:val="0"/>
          <w:numId w:val="19"/>
        </w:numPr>
        <w:spacing w:after="120" w:line="276" w:lineRule="auto"/>
        <w:ind w:hanging="720"/>
        <w:contextualSpacing w:val="0"/>
        <w:jc w:val="both"/>
        <w:rPr>
          <w:rFonts w:ascii="Times New Roman" w:hAnsi="Times New Roman" w:cs="Times New Roman"/>
          <w:b/>
          <w:bCs/>
          <w:noProof/>
          <w:sz w:val="24"/>
          <w:szCs w:val="24"/>
        </w:rPr>
      </w:pPr>
      <w:bookmarkStart w:id="6" w:name="_Hlk149592897"/>
      <w:r>
        <w:rPr>
          <w:rFonts w:ascii="Times New Roman" w:hAnsi="Times New Roman"/>
          <w:b/>
          <w:noProof/>
          <w:sz w:val="24"/>
        </w:rPr>
        <w:t>Μετανάστευση και η δήλωση ΕΕ-Τουρκίας του 2016</w:t>
      </w:r>
    </w:p>
    <w:p w14:paraId="1C6D9917" w14:textId="52B6076C" w:rsidR="00227113" w:rsidRPr="00F7456D" w:rsidRDefault="00E87FD9" w:rsidP="00FB4B2D">
      <w:pPr>
        <w:spacing w:after="120" w:line="276" w:lineRule="auto"/>
        <w:rPr>
          <w:noProof/>
          <w:szCs w:val="24"/>
        </w:rPr>
      </w:pPr>
      <w:r>
        <w:rPr>
          <w:noProof/>
        </w:rPr>
        <w:t xml:space="preserve">Με τη </w:t>
      </w:r>
      <w:r>
        <w:rPr>
          <w:b/>
          <w:noProof/>
        </w:rPr>
        <w:t>δήλωση ΕΕ–Τουρκίας</w:t>
      </w:r>
      <w:r w:rsidR="00794972" w:rsidRPr="00F7456D">
        <w:rPr>
          <w:rStyle w:val="FootnoteReference"/>
          <w:noProof/>
          <w:szCs w:val="24"/>
          <w:lang w:val="en-IE"/>
        </w:rPr>
        <w:footnoteReference w:id="8"/>
      </w:r>
      <w:r>
        <w:rPr>
          <w:noProof/>
        </w:rPr>
        <w:t xml:space="preserve"> του Μαρτίου του 2016 παρέχεται το γενικό πλαίσιο για τη συνεργασία στον τομέα της μετανάστευσης. Από την έναρξη της εφαρμογής της εν λόγω δήλωσης, έχει μειωθεί σημαντικά ο αριθμός των </w:t>
      </w:r>
      <w:r>
        <w:rPr>
          <w:b/>
          <w:noProof/>
        </w:rPr>
        <w:t>αντικανονικών διελεύσεων</w:t>
      </w:r>
      <w:r>
        <w:rPr>
          <w:noProof/>
        </w:rPr>
        <w:t xml:space="preserve"> από την Τουρκία προς την Ελλάδα. Παρά το γεγονός ότι εξακολουθούν να σημειώνονται τραγικά συμβάντα, ο αριθμός των ζωών που χάνονται στο Αιγαίο πέλαγος έχει μειωθεί σημαντικά σε σύγκριση με τον πρωτοφανή αριθμό της περιόδου 2015-2016.</w:t>
      </w:r>
    </w:p>
    <w:p w14:paraId="3396D79B" w14:textId="0CD766E2" w:rsidR="00227113" w:rsidRPr="00FC071C" w:rsidRDefault="00F73680" w:rsidP="00FB4B2D">
      <w:pPr>
        <w:spacing w:after="120" w:line="276" w:lineRule="auto"/>
        <w:rPr>
          <w:noProof/>
          <w:szCs w:val="24"/>
        </w:rPr>
      </w:pPr>
      <w:r>
        <w:rPr>
          <w:noProof/>
        </w:rPr>
        <w:t>Η Τουρκία παραμένει βασική χώρα διέλευσης για τις αντικανονικές αφίξεις στην ΕΕ μέσω των διαδρομών των Δυτικών Βαλκανίων και της Ανατολικής Μεσογείου, με αύξηση κατά 34 % των αντικανονικών αφίξεων κατά τους πρώτους δέκα μήνες του 2023 σε σύγκριση με την ίδια περίοδο το 2022, κυρίως λόγω της οξείας αύξησης των αντικανονικών αφίξεων στα ελληνικά νησιά, όπου τα ποσοστά υπερτριπλασιάστηκαν (+ 237 %). Από την άλλη πλευρά, το 2023 σημειώθηκε σημαντική μείωση των αντικανονικών αφίξεων στην Ιταλία (-63 %). Οι αφίξεις στις περιοχές που τελούν υπό τον έλεγχο της κυβέρνησης της Κυπριακής Δημοκρατίας μετά τη διέλευση από την Πράσινη Γραμμή αυξήθηκαν το 2021, κορυφώθηκαν το 2022 (αύξηση κατά 123 % σε σύγκριση με το 2021) και στη συνέχεια μειώθηκαν κατά 64 % μεταξύ Ιανουαρίου και Σεπτεμβρίου του 2023. Στη Βουλγαρία καταγράφηκε μείωση των αντικανονικών αφίξεων κατά 30 % το 2023. Όλες αυτές οι διαδρομές παραμένουν ενεργές το 2023 και χρήζουν ιδιαίτερης πολιτικής προσοχής. Στο πλαίσιο αυτό, η Επιτροπή εκφράζει την ικανοποίησή της για την ανανεωμένη πολιτική δέσμευση και τις τριμερείς επιχειρησιακές πρωτοβουλίες μεταξύ της Τουρκίας, της Ελλάδας και της Βουλγαρίας για την αντιμετώπιση του ζητήματος της αντικανονικής μετανάστευσης.</w:t>
      </w:r>
    </w:p>
    <w:p w14:paraId="13B310ED" w14:textId="4334C559" w:rsidR="00E87FD9" w:rsidRPr="00FC071C" w:rsidRDefault="00E87FD9" w:rsidP="00FB4B2D">
      <w:pPr>
        <w:spacing w:after="120" w:line="276" w:lineRule="auto"/>
        <w:rPr>
          <w:noProof/>
          <w:szCs w:val="24"/>
        </w:rPr>
      </w:pPr>
      <w:r>
        <w:rPr>
          <w:noProof/>
        </w:rPr>
        <w:t xml:space="preserve">Ο βραδύς ρυθμός των </w:t>
      </w:r>
      <w:r>
        <w:rPr>
          <w:b/>
          <w:noProof/>
        </w:rPr>
        <w:t>επιστροφών</w:t>
      </w:r>
      <w:r>
        <w:rPr>
          <w:noProof/>
        </w:rPr>
        <w:t xml:space="preserve"> στην Τουρκία δημιούργησε προβλήματα ήδη από την έγκριση της δήλωσης. Τον Μάρτιο του 2020, οι τουρκικές αρχές ανέστειλαν μονομερώς τις επανεισδοχές στο πλαίσιο της δήλωσης, επικαλούμενες περιορισμούς λόγω της COVID-19. Παρά τις επανειλημμένες οχλήσεις από τις ελληνικές αρχές και την Επιτροπή, το ζήτημα αυτό δεν έχει ακόμη επιλυθεί. Η Επιτροπή εξακολουθεί να επιμένει ότι η Τουρκία πρέπει να τηρήσει πλήρως τις δεσμεύσεις που ανέλαβε βάσει της δήλωσης ΕΕ-Τουρκίας.</w:t>
      </w:r>
    </w:p>
    <w:p w14:paraId="58745BE3" w14:textId="7F3C4034" w:rsidR="00961C54" w:rsidRPr="004F15E9" w:rsidRDefault="00961C54" w:rsidP="00FB4B2D">
      <w:pPr>
        <w:spacing w:after="120" w:line="276" w:lineRule="auto"/>
        <w:rPr>
          <w:noProof/>
          <w:szCs w:val="24"/>
        </w:rPr>
      </w:pPr>
      <w:r>
        <w:rPr>
          <w:noProof/>
        </w:rPr>
        <w:t xml:space="preserve">Συνεπώς, ο αριθμός των </w:t>
      </w:r>
      <w:r>
        <w:rPr>
          <w:b/>
          <w:noProof/>
        </w:rPr>
        <w:t xml:space="preserve">επανεγκαταστάσεων </w:t>
      </w:r>
      <w:r>
        <w:rPr>
          <w:noProof/>
        </w:rPr>
        <w:t>από την Τουρκία στην ΕΕ εξακολουθεί να υπερβαίνει τον αριθμό των επιστροφών στην Τουρκία. Μολονότι έχουν επανεγκατασταθεί περίπου 40 000 Σύριοι πρόσφυγες από την Τουρκία στην ΕΕ, έχουν επιστρέψει στην Τουρκία μόνο 2 140 αντικανονικοί μετανάστες και αιτούντες άσυλο που μετέβησαν από την Τουρκία στα ελληνικά νησιά και των οποίων οι αιτήσεις κρίθηκαν μη παραδεκτές. Σε αυτήν την προσπάθεια μετεγκατάστασης έχουν συμμετάσχει είκοσι κράτη μέλη. Για να διατηρηθεί σταθερός ρυθμός, η Επιτροπή παρέχει χρηματοδότηση στα κράτη μέλη, ενώ ο Οργανισμός της ΕΕ για το Άσυλο παρέχει επιχειρησιακή στήριξη.</w:t>
      </w:r>
    </w:p>
    <w:p w14:paraId="3CFF122C" w14:textId="457815F5" w:rsidR="00E87FD9" w:rsidRPr="00F7456D" w:rsidRDefault="00E87FD9" w:rsidP="00FB4B2D">
      <w:pPr>
        <w:spacing w:after="120" w:line="276" w:lineRule="auto"/>
        <w:rPr>
          <w:noProof/>
          <w:szCs w:val="24"/>
        </w:rPr>
      </w:pPr>
      <w:r>
        <w:rPr>
          <w:noProof/>
        </w:rPr>
        <w:t xml:space="preserve">Η δήλωση ΕΕ-Τουρκίας προβλέπει την ενεργοποίηση ενός </w:t>
      </w:r>
      <w:r>
        <w:rPr>
          <w:b/>
          <w:noProof/>
        </w:rPr>
        <w:t>εθελοντικού προγράμματος εισδοχής για ανθρωπιστικούς λόγους</w:t>
      </w:r>
      <w:r>
        <w:rPr>
          <w:noProof/>
        </w:rPr>
        <w:t>, αφότου παύσουν οι αντικανονικές διελεύσεις ή τουλάχιστον μειωθούν σημαντικά και με διατηρήσιμο τρόπο. Τον Δεκέμβριο του 2017, τα κράτη μέλη ενέκριναν τις τυποποιημένες επιχειρησιακές διαδικασίες, αλλά δεν έχουν αποφασίσει ακόμη να ενεργοποιήσουν το πρόγραμμα.</w:t>
      </w:r>
    </w:p>
    <w:p w14:paraId="44F8401B" w14:textId="59612E72" w:rsidR="00C23717" w:rsidRPr="00F7456D" w:rsidRDefault="00493408" w:rsidP="00FB4B2D">
      <w:pPr>
        <w:spacing w:after="120" w:line="276" w:lineRule="auto"/>
        <w:rPr>
          <w:noProof/>
          <w:szCs w:val="24"/>
        </w:rPr>
      </w:pPr>
      <w:r>
        <w:rPr>
          <w:noProof/>
        </w:rPr>
        <w:t xml:space="preserve">Από το 2011 η ΕΕ έχει κινητοποιήσει περίπου </w:t>
      </w:r>
      <w:r>
        <w:rPr>
          <w:b/>
          <w:noProof/>
        </w:rPr>
        <w:t>10 δισ. EUR για να βοηθήσει τους πρόσφυγες και τις κοινότητες υποδοχής στην Τουρκία</w:t>
      </w:r>
      <w:r>
        <w:rPr>
          <w:noProof/>
        </w:rPr>
        <w:t xml:space="preserve">. Ο προϋπολογισμός ύψους 6 δισ. EUR της διευκόλυνσης για τους πρόσφυγες στην Τουρκία έχει πλήρως δεσμευθεί και διατεθεί μέσω συμβάσεων, ενώ έχουν εκταμιευθεί μέχρι στιγμής πάνω από 5,1 δισ. EUR. Οι εκταμιεύσεις αναμένεται να συνεχιστούν μέχρι την ολοκλήρωση της υλοποίησης των έργων στο πλαίσιο της διευκόλυνσης, που έχει προγραμματιστεί για το 2025. Η βοήθεια αυτή αποτέλεσε αντικείμενο στενού συντονισμού με τα κράτη μέλη, με άλλους χορηγούς, και ιδίως με τις τουρκικές αρχές. Εξακολουθεί να είναι κρίσιμης σημασίας για την κάλυψη βασικών αναγκών, την προστασία, την πρόσβαση στις υπηρεσίες ιατροφαρμακευτικής περίθαλψης και στην εκπαίδευση, καθώς και για την κοινωνικοοικονομική ανάπτυξη. Ως εκ τούτου, η διευκόλυνση αποτελεί σημαντικό εργαλείο στήριξης και σταθεροποίησης. Για παράδειγμα, στο πλαίσιο της βοήθειας που παρέχει για την κάλυψη βασικών αναγκών, περισσότεροι από 2,6 εκατομμύρια πρόσφυγες έλαβαν άμεση στήριξη χάρη στην οποία έχουν τη δυνατότητα να ζουν με αξιοπρέπεια. </w:t>
      </w:r>
    </w:p>
    <w:p w14:paraId="3D19C915" w14:textId="0AE24343" w:rsidR="00493408" w:rsidRPr="00F7456D" w:rsidRDefault="006E7CA9" w:rsidP="00FB4B2D">
      <w:pPr>
        <w:spacing w:after="120" w:line="276" w:lineRule="auto"/>
        <w:rPr>
          <w:noProof/>
          <w:szCs w:val="24"/>
        </w:rPr>
      </w:pPr>
      <w:r>
        <w:rPr>
          <w:noProof/>
        </w:rPr>
        <w:t>Το 2020 η ΕΕ κινητοποίησε πρόσθετη ενδιάμεση χρηματοδότηση ύψους 535 εκατ. EUR, ενώ το 2021 το Ευρωπαϊκό Συμβούλιο ενέκρινε τη χορήγηση επιπλέον 3 δισ. EUR για τη στήριξη των προσφύγων στην Τουρκία για την περίοδο 2021-2023. Τα δύο κονδύλια έχουν προγραμματιστεί πλήρως. Ωστόσο, η κατάσταση των προσφύγων στην Τουρκία εξακολουθεί να επιδεινώνεται, επιβαρυνόμενη από την οικονομική ύφεση και τους σεισμούς. Ως εκ τούτου, θα απαιτηθεί συνεχής στήριξη από την ΕΕ, όπως αναφέρεται στις προτάσεις που παρουσίασε η Επιτροπή στο πλαίσιο της ενδιάμεσης αναθεώρησης του πολυετούς δημοσιονομικού πλαισίου της ΕΕ τον Ιούνιο του 2023</w:t>
      </w:r>
      <w:r w:rsidR="008A2BE4" w:rsidRPr="00F7456D">
        <w:rPr>
          <w:rStyle w:val="FootnoteReference"/>
          <w:noProof/>
          <w:szCs w:val="24"/>
        </w:rPr>
        <w:footnoteReference w:id="9"/>
      </w:r>
      <w:r>
        <w:rPr>
          <w:noProof/>
        </w:rPr>
        <w:t xml:space="preserve">. Εάν η πρόταση της Επιτροπής για ποσό ύψους 3,5 δισ. EUR γίνει δεκτή, θα κινητοποιήσει </w:t>
      </w:r>
      <w:r>
        <w:rPr>
          <w:b/>
          <w:noProof/>
        </w:rPr>
        <w:t>πρόσθετους πόρους</w:t>
      </w:r>
      <w:r>
        <w:rPr>
          <w:noProof/>
        </w:rPr>
        <w:t>, επιπλέον των 0,5 δισ. EUR που προβλέπονται ήδη στον προϋπολογισμό της ΕΕ για το 2024, για να συνεχιστεί η κάλυψη των άμεσων αναγκών των προσφύγων και των κοινοτήτων υποδοχής, συμπεριλαμβανομένων των ανθρωπιστικών αναγκών, καθώς και η διασφάλιση της μακροπρόθεσμης βιωσιμότητας της βοήθειας της ΕΕ, η στήριξη της συνεχούς διαχείρισης της μετανάστευσης και του ελέγχου στα τουρκικά σύνορα, η εντατικοποίηση των κοινών δράσεων κατά των διακινητών μεταναστών και η ασφαλής και αξιοπρεπής οικειοθελής επιστροφή στις χώρες καταγωγής.</w:t>
      </w:r>
    </w:p>
    <w:p w14:paraId="5D5DE8E9" w14:textId="34DF2BF9" w:rsidR="00493408" w:rsidRPr="00F7456D" w:rsidRDefault="00493408" w:rsidP="00FB4B2D">
      <w:pPr>
        <w:spacing w:after="120" w:line="276" w:lineRule="auto"/>
        <w:rPr>
          <w:noProof/>
          <w:szCs w:val="24"/>
        </w:rPr>
      </w:pPr>
      <w:r>
        <w:rPr>
          <w:noProof/>
        </w:rPr>
        <w:t xml:space="preserve">Στις 18 Οκτωβρίου 2023 η Επιτροπή παρουσίασε </w:t>
      </w:r>
      <w:r>
        <w:rPr>
          <w:b/>
          <w:noProof/>
        </w:rPr>
        <w:t>σχέδιο δράσης για τη μεταναστευτική διαδρομή της Ανατολικής Μεσογείου</w:t>
      </w:r>
      <w:r>
        <w:rPr>
          <w:noProof/>
        </w:rPr>
        <w:t xml:space="preserve"> με σκοπό την αποτελεσματικότερη αντιμετώπιση των προκλήσεων. Το σχέδιο παρουσιάζει συγκεκριμένα μέτρα για την πρόληψη των αντικανονικών αναχωρήσεων, την καταπολέμηση της παράνομης διακίνησης μεταναστών και την παροχή νόμιμων οδών. Επιπλέον, οι δράσεις στο πλαίσιο του σχεδίου θα βελτιώσουν τη διαχείριση των συνόρων, θα στηρίξουν τη συνεργασία στον τομέα της επιστροφής και της επανεισδοχής, καθώς και τις ικανότητες υποδοχής. Οι τουρκικές αρχές και οι αεροπορικές εταιρείες εργάζονται επίσης για τη βελτίωση της αποτελεσματικότητας του ελέγχου επιβατών και των συνοριακών ελέγχων στον αερολιμένα της Κωνσταντινούπολης.</w:t>
      </w:r>
    </w:p>
    <w:bookmarkEnd w:id="6"/>
    <w:p w14:paraId="31C98471" w14:textId="353A53FF" w:rsidR="00E87FD9" w:rsidRPr="00F7456D" w:rsidRDefault="00E13D66" w:rsidP="00FB4B2D">
      <w:pPr>
        <w:spacing w:after="120" w:line="276" w:lineRule="auto"/>
        <w:rPr>
          <w:noProof/>
          <w:szCs w:val="24"/>
        </w:rPr>
      </w:pPr>
      <w:r>
        <w:rPr>
          <w:noProof/>
        </w:rPr>
        <w:t xml:space="preserve">Η Τουρκία έχει επανειλημμένως ζητήσει να επιταχυνθεί η εφαρμογή της δήλωσης του 2016, ιδίως όσον αφορά τα στοιχεία που δεν αφορούν τη μετανάστευση: την επανέναρξη των διαπραγματεύσεων προσχώρησης, τον ταχύ εκσυγχρονισμό της τελωνειακής ένωσης και την ελευθέρωση του καθεστώτος των θεωρήσεων. Στο πλαίσιο της δήλωσης, όλα αυτά τα στοιχεία εξακολουθούν να υπόκεινται σε γνωστούς και συμφωνημένους όρους, κριτήρια αναφοράς και διαδικασίες λήψης αποφάσεων. </w:t>
      </w:r>
    </w:p>
    <w:p w14:paraId="07EB3577" w14:textId="03E26490" w:rsidR="004A033B" w:rsidRPr="00F7456D" w:rsidRDefault="004A033B" w:rsidP="00FB4B2D">
      <w:pPr>
        <w:pStyle w:val="ListParagraph"/>
        <w:numPr>
          <w:ilvl w:val="0"/>
          <w:numId w:val="19"/>
        </w:numPr>
        <w:spacing w:after="120" w:line="276" w:lineRule="auto"/>
        <w:ind w:hanging="720"/>
        <w:contextualSpacing w:val="0"/>
        <w:jc w:val="both"/>
        <w:rPr>
          <w:rFonts w:ascii="Times New Roman" w:hAnsi="Times New Roman" w:cs="Times New Roman"/>
          <w:b/>
          <w:bCs/>
          <w:noProof/>
          <w:sz w:val="24"/>
          <w:szCs w:val="24"/>
        </w:rPr>
      </w:pPr>
      <w:r>
        <w:rPr>
          <w:rFonts w:ascii="Times New Roman" w:hAnsi="Times New Roman"/>
          <w:b/>
          <w:noProof/>
          <w:sz w:val="24"/>
        </w:rPr>
        <w:t>Σύνοδοι κορυφής και διάλογοι υψηλού επιπέδου</w:t>
      </w:r>
    </w:p>
    <w:p w14:paraId="634FD1D4" w14:textId="77777777" w:rsidR="0011712E" w:rsidRPr="00F7456D" w:rsidRDefault="0011712E" w:rsidP="00FB4B2D">
      <w:pPr>
        <w:spacing w:after="120" w:line="276" w:lineRule="auto"/>
        <w:rPr>
          <w:noProof/>
          <w:szCs w:val="24"/>
        </w:rPr>
      </w:pPr>
      <w:r>
        <w:rPr>
          <w:noProof/>
        </w:rPr>
        <w:t xml:space="preserve">Οι τακτικοί διάλογοι υψηλού επιπέδου αποτελούν σημαντική πλατφόρμα για τη συζήτηση κοινών ευκαιριών και προκλήσεων και συμβάλλουν στη βελτίωση των συνολικών σχέσεων ΕΕ-Τουρκίας. </w:t>
      </w:r>
    </w:p>
    <w:p w14:paraId="511B7329" w14:textId="77777777" w:rsidR="006C4286" w:rsidRPr="004F15E9" w:rsidRDefault="006C4286" w:rsidP="00FB4B2D">
      <w:pPr>
        <w:pStyle w:val="Default"/>
        <w:spacing w:after="120" w:line="276" w:lineRule="auto"/>
        <w:jc w:val="both"/>
        <w:rPr>
          <w:noProof/>
        </w:rPr>
      </w:pPr>
      <w:r>
        <w:rPr>
          <w:noProof/>
        </w:rPr>
        <w:t xml:space="preserve">Σύμφωνα με την καθοδήγηση του Ευρωπαϊκού Συμβουλίου του 2021, η Επιτροπή διεξήγαγε διαλόγους υψηλού επιπέδου με την Τουρκία σχετικά με διάφορα ζητήματα: το κλίμα (Σεπτέμβριος του 2021 και Απρίλιος του 2022), την υγεία (Νοέμβριος του 2021), τη μετανάστευση και την ασφάλεια (Οκτώβριος του 2021 και Νοέμβριος του 2023), τη γεωργία (Μάιος του 2022) και την επιστήμη, την έρευνα, την τεχνολογία και την καινοτομία (Νοέμβριος του 2022). Επιπλέον, ο πολιτικός διάλογος ΕΕ-Τουρκίας σε επίπεδο ανώτερων υπαλλήλων πραγματοποιήθηκε στις 31 Μαΐου 2022, και τον Νοέμβριο του 2021 διεξήχθη διάλογος για την καταπολέμηση της τρομοκρατίας. Για τους επόμενους μήνες έχουν προγραμματιστεί περαιτέρω διάλογοι για τη γεωργία και την επιστήμη, την έρευνα, την τεχνολογία και την καινοτομία. </w:t>
      </w:r>
    </w:p>
    <w:p w14:paraId="46445504" w14:textId="709BEE3C" w:rsidR="00794972" w:rsidRPr="00F7456D" w:rsidRDefault="00794972" w:rsidP="00FB4B2D">
      <w:pPr>
        <w:pStyle w:val="Default"/>
        <w:spacing w:after="120" w:line="276" w:lineRule="auto"/>
        <w:jc w:val="both"/>
        <w:rPr>
          <w:noProof/>
        </w:rPr>
      </w:pPr>
      <w:r>
        <w:rPr>
          <w:noProof/>
        </w:rPr>
        <w:t xml:space="preserve">Υπό το πρίσμα των παράνομων γεωτρήσεων της Τουρκίας στην Ανατολική Μεσόγειο, τον Ιούλιο του 2019 το Συμβούλιο αποφάσισε να αναστείλει προσωρινά τις συνεδριάσεις στα πλαίσια των διαλόγων υψηλού επιπέδου σε ορισμένους τομείς. Κατά συνέπεια, μέχρι σήμερα δεν έχει πραγματοποιηθεί πολιτικός διάλογος υψηλού επιπέδου ούτε τομεακοί διάλογοι υψηλού επιπέδου για την οικονομία, την ενέργεια και τις μεταφορές. </w:t>
      </w:r>
    </w:p>
    <w:p w14:paraId="043B7D03" w14:textId="2052CD3A" w:rsidR="00966270" w:rsidRPr="00F7456D" w:rsidRDefault="00966270" w:rsidP="00FB4B2D">
      <w:pPr>
        <w:pStyle w:val="ListParagraph"/>
        <w:numPr>
          <w:ilvl w:val="0"/>
          <w:numId w:val="19"/>
        </w:numPr>
        <w:spacing w:after="120" w:line="276" w:lineRule="auto"/>
        <w:ind w:hanging="720"/>
        <w:contextualSpacing w:val="0"/>
        <w:jc w:val="both"/>
        <w:rPr>
          <w:rFonts w:ascii="Times New Roman" w:hAnsi="Times New Roman" w:cs="Times New Roman"/>
          <w:b/>
          <w:bCs/>
          <w:noProof/>
          <w:sz w:val="24"/>
          <w:szCs w:val="24"/>
        </w:rPr>
      </w:pPr>
      <w:r>
        <w:rPr>
          <w:rFonts w:ascii="Times New Roman" w:hAnsi="Times New Roman"/>
          <w:b/>
          <w:noProof/>
          <w:sz w:val="24"/>
        </w:rPr>
        <w:t xml:space="preserve">Αντίδραση της ΕΕ μετά τους σεισμούς του 2023 στη νότια Τουρκία </w:t>
      </w:r>
    </w:p>
    <w:p w14:paraId="2E0CE851" w14:textId="7D84B6ED" w:rsidR="00D37745" w:rsidRPr="00F7456D" w:rsidRDefault="00D37745" w:rsidP="00FB4B2D">
      <w:pPr>
        <w:spacing w:after="120" w:line="276" w:lineRule="auto"/>
        <w:rPr>
          <w:noProof/>
          <w:szCs w:val="24"/>
        </w:rPr>
      </w:pPr>
      <w:r>
        <w:rPr>
          <w:noProof/>
        </w:rPr>
        <w:t xml:space="preserve">Μετά τους καταστροφικούς σεισμούς τον Φεβρουάριο του 2023, η ΕΕ κινητοποίησε αμέσως ομάδες έρευνας και διάσωσης και ανέπτυξε κινητά νοσοκομεία για την παροχή βοήθειας. Η Επιτροπή και η σουηδική Προεδρία του Συμβουλίου διοργάνωσαν διεθνή διάσκεψη δωρητών στις 20 Μαρτίου 2023, με τίτλο «Μαζί για τους ανθρώπους στην Τουρκία και τη Συρία», κατά την οποία </w:t>
      </w:r>
      <w:r>
        <w:rPr>
          <w:b/>
          <w:noProof/>
        </w:rPr>
        <w:t>αναλήφθηκαν δεσμεύσεις για 6 δισ.</w:t>
      </w:r>
      <w:r>
        <w:rPr>
          <w:noProof/>
        </w:rPr>
        <w:t xml:space="preserve"> EUR για τους πληγέντες από τους σεισμούς στην Τουρκία, συμπεριλαμβανομένων 3,6 δισ. EUR στο πλαίσιο της προσέγγισης «Ομάδα Ευρώπη», εκ των οποίων 1 δισ. EUR από τον προϋπολογισμό της ΕΕ. Επί του παρόντος, η Ευρωπαϊκή Επιτροπή έχει ήδη κινητοποιήσει: </w:t>
      </w:r>
    </w:p>
    <w:p w14:paraId="6DFB2C34" w14:textId="38F533FF" w:rsidR="00D37745" w:rsidRPr="00F7456D" w:rsidRDefault="00D37745" w:rsidP="00FB4B2D">
      <w:pPr>
        <w:spacing w:after="120" w:line="276" w:lineRule="auto"/>
        <w:rPr>
          <w:noProof/>
          <w:szCs w:val="24"/>
        </w:rPr>
      </w:pPr>
      <w:r>
        <w:rPr>
          <w:noProof/>
        </w:rPr>
        <w:t>•</w:t>
      </w:r>
      <w:r>
        <w:rPr>
          <w:noProof/>
        </w:rPr>
        <w:tab/>
        <w:t xml:space="preserve">Μη δεσμευμένα και αναπροσαρμοσμένα κονδύλια του ΜΠΒ II ύψους 67,3 εκατ. EUR με σκοπό να καλύψουν την υγεία και την προστασία, την κληρονομιά, την αποκατάσταση και την ανασυγκρότηση των τοπικών δημόσιων υποδομών και την οικονομική ανάκαμψη στις αγροτικές περιοχές. </w:t>
      </w:r>
    </w:p>
    <w:p w14:paraId="57DBB842" w14:textId="639B6A3E" w:rsidR="00D37745" w:rsidRPr="00F7456D" w:rsidRDefault="00D37745" w:rsidP="00FB4B2D">
      <w:pPr>
        <w:spacing w:after="120" w:line="276" w:lineRule="auto"/>
        <w:rPr>
          <w:noProof/>
          <w:szCs w:val="24"/>
        </w:rPr>
      </w:pPr>
      <w:r>
        <w:rPr>
          <w:noProof/>
        </w:rPr>
        <w:t>•</w:t>
      </w:r>
      <w:r>
        <w:rPr>
          <w:noProof/>
        </w:rPr>
        <w:tab/>
        <w:t xml:space="preserve">Κονδύλια ύψους 356 εκατ. EUR τόσο από τον ΜΠΒ III όσο και από τον Μηχανισμό Γειτονίας, Ανάπτυξης και Διεθνούς Συνεργασίας (NDICI-Global Europe) στο πλαίσιο της βοήθειας για τους πρόσφυγες στην Τουρκία με σκοπό την αποκατάσταση υποδομών με έμφαση στην υγεία, την εκπαίδευση και τον αθλητισμό· τη στήριξη δράσεων αστικής αποκατάστασης και δημιουργίας θέσεων απασχόλησης· και έναν μηχανισμό προετοιμασίας έργων για δάνεια που αναλήφθηκαν κατά τη διάσκεψη δωρητών. </w:t>
      </w:r>
    </w:p>
    <w:p w14:paraId="23388F13" w14:textId="53186B35" w:rsidR="00D37745" w:rsidRPr="00F7456D" w:rsidRDefault="00D37745" w:rsidP="00FB4B2D">
      <w:pPr>
        <w:spacing w:after="120" w:line="276" w:lineRule="auto"/>
        <w:rPr>
          <w:noProof/>
          <w:szCs w:val="24"/>
        </w:rPr>
      </w:pPr>
      <w:r>
        <w:rPr>
          <w:noProof/>
        </w:rPr>
        <w:t>•</w:t>
      </w:r>
      <w:r>
        <w:rPr>
          <w:noProof/>
        </w:rPr>
        <w:tab/>
        <w:t>Ποσό 400 εκατ. EUR για την Τουρκία στο πλαίσιο του Ταμείου Αλληλεγγύης της Ευρωπαϊκής Ένωσης, κατόπιν αίτησης της Τουρκίας.</w:t>
      </w:r>
    </w:p>
    <w:p w14:paraId="47C57C6A" w14:textId="1D5E3C11" w:rsidR="00D37745" w:rsidRPr="00F7456D" w:rsidRDefault="00D37745" w:rsidP="00FB4B2D">
      <w:pPr>
        <w:spacing w:after="120" w:line="276" w:lineRule="auto"/>
        <w:rPr>
          <w:noProof/>
          <w:szCs w:val="24"/>
        </w:rPr>
      </w:pPr>
      <w:r>
        <w:rPr>
          <w:noProof/>
        </w:rPr>
        <w:t>•</w:t>
      </w:r>
      <w:r>
        <w:rPr>
          <w:noProof/>
        </w:rPr>
        <w:tab/>
        <w:t>Ποσό 35 εκατ. EUR από τα κονδύλια του ΜΠΒ III, που θα συμπληρώσουν ένα δάνειο-πλαίσιο της ΕΤΕπ για την ανασυγκρότηση ύψους 400 εκατ. EUR με σκοπό την αποκατάσταση, την κατασκευή και την επέκταση δικτύων πόσιμου νερού, αποχέτευσης και όμβριων υδάτων.</w:t>
      </w:r>
    </w:p>
    <w:p w14:paraId="1F68ECE5" w14:textId="533483E2" w:rsidR="0024759D" w:rsidRPr="00F7456D" w:rsidRDefault="0024759D" w:rsidP="00FB4B2D">
      <w:pPr>
        <w:pStyle w:val="ListParagraph"/>
        <w:numPr>
          <w:ilvl w:val="0"/>
          <w:numId w:val="5"/>
        </w:numPr>
        <w:spacing w:after="120" w:line="276" w:lineRule="auto"/>
        <w:ind w:hanging="720"/>
        <w:jc w:val="both"/>
        <w:rPr>
          <w:rFonts w:ascii="Times New Roman" w:hAnsi="Times New Roman" w:cs="Times New Roman"/>
          <w:noProof/>
          <w:sz w:val="24"/>
          <w:szCs w:val="24"/>
        </w:rPr>
      </w:pPr>
      <w:r>
        <w:rPr>
          <w:rFonts w:ascii="Times New Roman" w:hAnsi="Times New Roman"/>
          <w:noProof/>
          <w:sz w:val="24"/>
        </w:rPr>
        <w:t>Ποσό 120 εκατ. EUR για ανθρωπιστική βοήθεια και βοήθεια πολιτικής προστασίας.</w:t>
      </w:r>
    </w:p>
    <w:p w14:paraId="33C291FB" w14:textId="77777777" w:rsidR="00026FCF" w:rsidRPr="00547D76" w:rsidRDefault="00026FCF" w:rsidP="00FB4B2D">
      <w:pPr>
        <w:pStyle w:val="ListParagraph"/>
        <w:spacing w:after="120" w:line="276" w:lineRule="auto"/>
        <w:jc w:val="both"/>
        <w:rPr>
          <w:rFonts w:ascii="Times New Roman" w:hAnsi="Times New Roman" w:cs="Times New Roman"/>
          <w:noProof/>
          <w:sz w:val="24"/>
          <w:szCs w:val="24"/>
        </w:rPr>
      </w:pPr>
    </w:p>
    <w:p w14:paraId="67176C98" w14:textId="5897332E" w:rsidR="004A033B" w:rsidRPr="00F7456D" w:rsidRDefault="001559A4" w:rsidP="00FB4B2D">
      <w:pPr>
        <w:pStyle w:val="ListParagraph"/>
        <w:numPr>
          <w:ilvl w:val="0"/>
          <w:numId w:val="19"/>
        </w:numPr>
        <w:spacing w:after="120" w:line="276" w:lineRule="auto"/>
        <w:ind w:hanging="720"/>
        <w:contextualSpacing w:val="0"/>
        <w:jc w:val="both"/>
        <w:rPr>
          <w:rFonts w:ascii="Times New Roman" w:hAnsi="Times New Roman" w:cs="Times New Roman"/>
          <w:noProof/>
          <w:sz w:val="24"/>
          <w:szCs w:val="24"/>
        </w:rPr>
      </w:pPr>
      <w:r>
        <w:rPr>
          <w:rFonts w:ascii="Times New Roman" w:hAnsi="Times New Roman"/>
          <w:b/>
          <w:noProof/>
          <w:sz w:val="24"/>
        </w:rPr>
        <w:t>Διαπροσωπικές επαφές και συμμετοχή της Τουρκίας σε προγράμματα της ΕΕ</w:t>
      </w:r>
    </w:p>
    <w:p w14:paraId="595BAF57" w14:textId="13B4A640" w:rsidR="00A6254D" w:rsidRPr="00F7456D" w:rsidRDefault="0024759D" w:rsidP="00FB4B2D">
      <w:pPr>
        <w:spacing w:after="120" w:line="276" w:lineRule="auto"/>
        <w:rPr>
          <w:noProof/>
          <w:szCs w:val="24"/>
        </w:rPr>
      </w:pPr>
      <w:r>
        <w:rPr>
          <w:noProof/>
        </w:rPr>
        <w:t>Για την περίοδο 2021-2027 η Τουρκία προσχώρησε στο πρόγραμμα Erasmus+, στο «Ορίζων Ευρώπη», στο πρόγραμμα του Ευρωπαϊκού Σώματος Αλληλεγγύης, στον μηχανισμό πολιτικής προστασίας της Ένωσης, στο πρόγραμμα «Τελωνεία», στο πρόγραμμα για την ενιαία αγορά και στο πρόγραμμα «Ψηφιακή Ευρώπη», στον Ευρωπαϊκό Οργανισμό Περιβάλλοντος και στο Ευρωπαϊκό Κέντρο Παρακολούθησης Ναρκωτικών και Τοξικομανίας. Παρά το αρχικό ενδιαφέρον, η Τουρκία δεν έχει επιδιώξει να συμμετάσχει στα προγράμματα «Δημιουργική Ευρώπη», LIFE, Fiscalis, InvestEU και EU4Health.</w:t>
      </w:r>
    </w:p>
    <w:p w14:paraId="2D628E7F" w14:textId="79A31EFF" w:rsidR="00A6254D" w:rsidRPr="00F7456D" w:rsidRDefault="00A6254D" w:rsidP="00FB4B2D">
      <w:pPr>
        <w:spacing w:after="120" w:line="276" w:lineRule="auto"/>
        <w:rPr>
          <w:noProof/>
          <w:szCs w:val="24"/>
        </w:rPr>
      </w:pPr>
      <w:r>
        <w:rPr>
          <w:noProof/>
        </w:rPr>
        <w:t>Η Τουρκία εξακολουθεί να συμμετέχει ενεργά στο Erasmus+ και στο Ευρωπαϊκό Σώμα Αλληλεγγύης. Ο αριθμός των συμμετεχόντων που πραγματοποίησαν δραστηριότητα κινητικότητας (από και προς την Τουρκία) υπερβαίνει τους 280 000. Η Τουρκία έχει καλές επιδόσεις στο πρόγραμμα «Ορίζων Ευρώπη» και συνεχίζει να προωθεί την ενημέρωση σχετικά με το εν λόγω πρόγραμμα.</w:t>
      </w:r>
    </w:p>
    <w:p w14:paraId="08ADFCAE" w14:textId="38B5F6B7" w:rsidR="004A033B" w:rsidRPr="00F7456D" w:rsidRDefault="004A033B" w:rsidP="00FB4B2D">
      <w:pPr>
        <w:pStyle w:val="ListParagraph"/>
        <w:numPr>
          <w:ilvl w:val="0"/>
          <w:numId w:val="19"/>
        </w:numPr>
        <w:spacing w:after="120" w:line="276" w:lineRule="auto"/>
        <w:ind w:hanging="720"/>
        <w:contextualSpacing w:val="0"/>
        <w:jc w:val="both"/>
        <w:rPr>
          <w:rFonts w:ascii="Times New Roman" w:hAnsi="Times New Roman" w:cs="Times New Roman"/>
          <w:b/>
          <w:bCs/>
          <w:noProof/>
          <w:sz w:val="24"/>
          <w:szCs w:val="24"/>
        </w:rPr>
      </w:pPr>
      <w:r>
        <w:rPr>
          <w:rFonts w:ascii="Times New Roman" w:hAnsi="Times New Roman"/>
          <w:b/>
          <w:noProof/>
          <w:sz w:val="24"/>
        </w:rPr>
        <w:t>Ελευθέρωση του καθεστώτος των θεωρήσεων</w:t>
      </w:r>
    </w:p>
    <w:p w14:paraId="360FF4DD" w14:textId="77777777" w:rsidR="00E70CF5" w:rsidRDefault="00D4050A" w:rsidP="00FB4B2D">
      <w:pPr>
        <w:spacing w:after="120" w:line="276" w:lineRule="auto"/>
        <w:rPr>
          <w:noProof/>
          <w:szCs w:val="24"/>
        </w:rPr>
      </w:pPr>
      <w:r>
        <w:rPr>
          <w:noProof/>
        </w:rPr>
        <w:t>Στις 16 Δεκεμβρίου 2013, η ΕΕ και η Τουρκία ξεκίνησαν διάλογο για την ελευθέρωση του καθεστώτος των θεωρήσεων, παράλληλα με την υπογραφή της συμφωνίας επανεισδοχής ΕΕ-Τουρκίας</w:t>
      </w:r>
      <w:r w:rsidR="0034578E" w:rsidRPr="00F7456D">
        <w:rPr>
          <w:rStyle w:val="FootnoteReference"/>
          <w:noProof/>
          <w:szCs w:val="24"/>
          <w:lang w:val="en-IE"/>
        </w:rPr>
        <w:footnoteReference w:id="10"/>
      </w:r>
      <w:r>
        <w:rPr>
          <w:noProof/>
        </w:rPr>
        <w:t xml:space="preserve">. Ο διάλογος αυτός βασίζεται στον χάρτη πορείας προς ένα καθεστώς απαλλαγής από την υποχρέωση θεώρησης, ο οποίος καθορίζει 72 κριτήρια αναφοράς που πρέπει να εκπληρώσει η Τουρκία. </w:t>
      </w:r>
    </w:p>
    <w:p w14:paraId="37C6A12C" w14:textId="2AEF36A4" w:rsidR="00D4050A" w:rsidRPr="00F7456D" w:rsidRDefault="00D4050A" w:rsidP="00FB4B2D">
      <w:pPr>
        <w:spacing w:after="120" w:line="276" w:lineRule="auto"/>
        <w:rPr>
          <w:noProof/>
          <w:szCs w:val="24"/>
        </w:rPr>
      </w:pPr>
      <w:r>
        <w:rPr>
          <w:noProof/>
        </w:rPr>
        <w:t>Ωστόσο, έξι κριτήρια αναφοράς παραμένουν σε εκκρεμότητα</w:t>
      </w:r>
      <w:r w:rsidRPr="00F7456D">
        <w:rPr>
          <w:rStyle w:val="FootnoteReference"/>
          <w:noProof/>
          <w:szCs w:val="24"/>
          <w:lang w:val="en-IE"/>
        </w:rPr>
        <w:footnoteReference w:id="11"/>
      </w:r>
      <w:r>
        <w:rPr>
          <w:noProof/>
        </w:rPr>
        <w:t>, ενώ εκείνα που θεωρείται ότι πληρούνται προσωρινά απαιτούν επίσης συνεχή παρακολούθηση. Η Επιτροπή, από κοινού με το Συμβούλιο της Ευρώπης, εξακολουθεί να προσφέρει τεχνική βοήθεια στην Τουρκία για την εκπλήρωση των προϋποθέσεων που απομένουν.</w:t>
      </w:r>
    </w:p>
    <w:p w14:paraId="0987CEED" w14:textId="05ED9A99" w:rsidR="00104157" w:rsidRPr="00F7456D" w:rsidRDefault="00104157" w:rsidP="00FB4B2D">
      <w:pPr>
        <w:pStyle w:val="ListParagraph"/>
        <w:numPr>
          <w:ilvl w:val="0"/>
          <w:numId w:val="19"/>
        </w:numPr>
        <w:spacing w:after="120" w:line="276" w:lineRule="auto"/>
        <w:ind w:hanging="720"/>
        <w:contextualSpacing w:val="0"/>
        <w:jc w:val="both"/>
        <w:rPr>
          <w:rFonts w:ascii="Times New Roman" w:hAnsi="Times New Roman" w:cs="Times New Roman"/>
          <w:b/>
          <w:bCs/>
          <w:noProof/>
          <w:sz w:val="24"/>
          <w:szCs w:val="24"/>
        </w:rPr>
      </w:pPr>
      <w:r>
        <w:rPr>
          <w:rFonts w:ascii="Times New Roman" w:hAnsi="Times New Roman"/>
          <w:b/>
          <w:noProof/>
          <w:sz w:val="24"/>
        </w:rPr>
        <w:t>Περιοριστικά μέτρα της ΕΕ</w:t>
      </w:r>
    </w:p>
    <w:p w14:paraId="21CCE017" w14:textId="77777777" w:rsidR="000A369F" w:rsidRPr="00F7456D" w:rsidRDefault="000A369F" w:rsidP="00FB4B2D">
      <w:pPr>
        <w:spacing w:after="120" w:line="276" w:lineRule="auto"/>
        <w:rPr>
          <w:noProof/>
          <w:szCs w:val="24"/>
        </w:rPr>
      </w:pPr>
      <w:r>
        <w:rPr>
          <w:noProof/>
        </w:rPr>
        <w:t>Το πλαίσιο των περιοριστικών μέτρων που θεσπίστηκαν το 2019 υπό το πρίσμα των παράνομων γεωτρήσεων της Τουρκίας στα ύδατα που περιβάλλουν την Κύπρο παραμένει σε ισχύ μαζί με τις καταχωρίσεις που εγκρίθηκαν στις 27 Φεβρουαρίου 2020</w:t>
      </w:r>
      <w:r w:rsidRPr="00F7456D">
        <w:rPr>
          <w:rStyle w:val="FootnoteReference"/>
          <w:noProof/>
          <w:szCs w:val="24"/>
        </w:rPr>
        <w:footnoteReference w:id="12"/>
      </w:r>
      <w:r>
        <w:rPr>
          <w:noProof/>
        </w:rPr>
        <w:t xml:space="preserve">. </w:t>
      </w:r>
      <w:r>
        <w:rPr>
          <w:noProof/>
          <w:color w:val="000000" w:themeColor="text1"/>
        </w:rPr>
        <w:t xml:space="preserve">Τον Νοέμβριο του 2023, μετά την τέταρτη ετήσια επανεξέταση, το Συμβούλιο παρέτεινε το πλαίσιο έως τα τέλη Νοεμβρίου του 2024. </w:t>
      </w:r>
    </w:p>
    <w:p w14:paraId="03CEBE84" w14:textId="6337E3D2" w:rsidR="0087096E" w:rsidRPr="00547D76" w:rsidRDefault="0087096E" w:rsidP="00FB4B2D">
      <w:pPr>
        <w:pStyle w:val="ListParagraph"/>
        <w:spacing w:after="120" w:line="276" w:lineRule="auto"/>
        <w:ind w:left="360"/>
        <w:contextualSpacing w:val="0"/>
        <w:jc w:val="both"/>
        <w:rPr>
          <w:rFonts w:ascii="Times New Roman" w:hAnsi="Times New Roman" w:cs="Times New Roman"/>
          <w:noProof/>
          <w:sz w:val="24"/>
          <w:szCs w:val="24"/>
        </w:rPr>
      </w:pPr>
    </w:p>
    <w:p w14:paraId="2D6F7A76" w14:textId="061D902C" w:rsidR="004A033B" w:rsidRPr="00F7456D" w:rsidRDefault="004F15E9" w:rsidP="00FB4B2D">
      <w:pPr>
        <w:spacing w:after="120" w:line="276" w:lineRule="auto"/>
        <w:ind w:right="-46"/>
        <w:rPr>
          <w:rFonts w:eastAsiaTheme="minorHAnsi"/>
          <w:b/>
          <w:noProof/>
          <w:szCs w:val="24"/>
        </w:rPr>
      </w:pPr>
      <w:r>
        <w:rPr>
          <w:b/>
          <w:noProof/>
        </w:rPr>
        <w:t xml:space="preserve">IV. </w:t>
      </w:r>
      <w:r>
        <w:rPr>
          <w:b/>
          <w:noProof/>
        </w:rPr>
        <w:tab/>
        <w:t>ΟΙΚΟΝΟΜΙΑ ΚΑΙ ΕΜΠΟΡΙΟ</w:t>
      </w:r>
    </w:p>
    <w:p w14:paraId="28B9D6A9" w14:textId="4B315706" w:rsidR="004A033B" w:rsidRPr="00F7456D" w:rsidRDefault="004A033B" w:rsidP="00FB4B2D">
      <w:pPr>
        <w:pStyle w:val="ListParagraph"/>
        <w:numPr>
          <w:ilvl w:val="0"/>
          <w:numId w:val="20"/>
        </w:numPr>
        <w:spacing w:after="120" w:line="276" w:lineRule="auto"/>
        <w:ind w:right="-46" w:hanging="720"/>
        <w:jc w:val="both"/>
        <w:rPr>
          <w:rFonts w:ascii="Times New Roman" w:hAnsi="Times New Roman" w:cs="Times New Roman"/>
          <w:b/>
          <w:bCs/>
          <w:noProof/>
          <w:sz w:val="24"/>
          <w:szCs w:val="24"/>
        </w:rPr>
      </w:pPr>
      <w:r>
        <w:rPr>
          <w:rFonts w:ascii="Times New Roman" w:hAnsi="Times New Roman"/>
          <w:b/>
          <w:noProof/>
          <w:sz w:val="24"/>
        </w:rPr>
        <w:t>Εμπορικό πλαίσιο ΕΕ-Τουρκίας, συμπεριλαμβανομένων των υφιστάμενων φραγμών</w:t>
      </w:r>
    </w:p>
    <w:p w14:paraId="48A53C08" w14:textId="40E93DA7" w:rsidR="00B21FF8" w:rsidRPr="00F7456D" w:rsidRDefault="00B21FF8" w:rsidP="00FB4B2D">
      <w:pPr>
        <w:spacing w:after="120" w:line="276" w:lineRule="auto"/>
        <w:ind w:right="-46"/>
        <w:rPr>
          <w:noProof/>
          <w:szCs w:val="24"/>
        </w:rPr>
      </w:pPr>
      <w:r>
        <w:rPr>
          <w:noProof/>
        </w:rPr>
        <w:t>Τον Μάρτιο του 2021, το Ευρωπαϊκό Συμβούλιο κάλεσε την Επιτροπή να εντείνει τις συνομιλίες με την Τουρκία για την αντιμετώπιση των τρεχουσών δυσκολιών στην εφαρμογή της τελωνειακής ένωσης, εξασφαλίζοντας την αποτελεσματική εφαρμογή της σε όλα τα κράτη μέλη. Από τις αρχές του 2022, υπήρξε εποικοδομητική δέσμευση της Τουρκίας και επακόλουθη πρόοδος όσον αφορά 14 από τους 26 εμπορικούς φραγμούς</w:t>
      </w:r>
      <w:r w:rsidR="00BD00D7" w:rsidRPr="00F7456D">
        <w:rPr>
          <w:rStyle w:val="FootnoteReference"/>
          <w:noProof/>
          <w:szCs w:val="24"/>
          <w:lang w:val="en-IE"/>
        </w:rPr>
        <w:footnoteReference w:id="13"/>
      </w:r>
      <w:r>
        <w:rPr>
          <w:noProof/>
        </w:rPr>
        <w:t xml:space="preserve">. </w:t>
      </w:r>
    </w:p>
    <w:p w14:paraId="05FCDDD8" w14:textId="08A7F82F" w:rsidR="00B21FF8" w:rsidRPr="00F7456D" w:rsidRDefault="00B21FF8" w:rsidP="00FB4B2D">
      <w:pPr>
        <w:spacing w:after="120" w:line="276" w:lineRule="auto"/>
        <w:ind w:right="-46"/>
        <w:rPr>
          <w:noProof/>
          <w:szCs w:val="24"/>
        </w:rPr>
      </w:pPr>
      <w:r>
        <w:rPr>
          <w:noProof/>
        </w:rPr>
        <w:t xml:space="preserve">Το 2022 η Τουρκία κατάργησε πρόσθετους δασμούς για 500 ομάδες προϊόντων καταγωγής τρίτων χωρών, οι οποίοι είχαν επιβληθεί κατά παράβαση του κοινού δασμολογίου. Το 2023 η Τουρκία κατάργησε σταδιακά τη διακριτική μεταχείριση των ελκυστήρων της ΕΕ και ήρε τη μεροληπτική απαίτηση για έκθεση εκτίμησης της ασφάλειας όσον αφορά τα καλλυντικά προϊόντα. Σημείωσε επίσης σημαντική πρόοδο όσον αφορά την άρση ενός άλλου εμποδίου — την απαίτηση γεωγραφικού περιορισμού και την εγχώρια ιεράρχηση των φαρμακευτικών προϊόντων. Πέντε άλλοι φραγμοί χαρακτηρίστηκαν παρωχημένοι, καθώς δεν αποτελούν πλέον πρόβλημα για τη βιομηχανία της ΕΕ. </w:t>
      </w:r>
    </w:p>
    <w:p w14:paraId="50D76044" w14:textId="562A6A35" w:rsidR="00B21FF8" w:rsidRPr="00F7456D" w:rsidRDefault="00E70CF5" w:rsidP="00FB4B2D">
      <w:pPr>
        <w:spacing w:after="120" w:line="276" w:lineRule="auto"/>
        <w:ind w:right="-46"/>
        <w:rPr>
          <w:noProof/>
          <w:szCs w:val="24"/>
        </w:rPr>
      </w:pPr>
      <w:r>
        <w:rPr>
          <w:noProof/>
        </w:rPr>
        <w:t>Η Τουρκία καταβάλλει επί του παρόντος περαιτέρω προσπάθειες για την άρση άλλων πέντε εμπορικών φραγμών</w:t>
      </w:r>
      <w:r w:rsidR="00B052E2">
        <w:rPr>
          <w:rStyle w:val="FootnoteReference"/>
          <w:noProof/>
          <w:szCs w:val="24"/>
          <w:lang w:val="en-IE"/>
        </w:rPr>
        <w:footnoteReference w:id="14"/>
      </w:r>
      <w:r>
        <w:rPr>
          <w:noProof/>
        </w:rPr>
        <w:t>. Η μεικτή επιτροπή για την τελωνειακή ένωση στις 27-28 Νοεμβρίου 2023 αποτέλεσε μία ακόμη ευκαιρία για να ελεγχθεί η πρόοδος όσον αφορά την επίλυση αυτών των ζητημάτων προτεραιότητας της ΕΕ. Η επόμενη συνεδρίαση της ομάδας εργασίας για το διμερές εμπόριο στις αρχές του 2024 θα επιτρέψει την περαιτέρω επανεξέταση της τρέχουσας κατάστασης.</w:t>
      </w:r>
    </w:p>
    <w:p w14:paraId="7C6CEA68" w14:textId="183D9CCC" w:rsidR="004A033B" w:rsidRPr="00F7456D" w:rsidRDefault="004A033B" w:rsidP="00FB4B2D">
      <w:pPr>
        <w:pStyle w:val="ListParagraph"/>
        <w:numPr>
          <w:ilvl w:val="0"/>
          <w:numId w:val="20"/>
        </w:numPr>
        <w:spacing w:after="120" w:line="276" w:lineRule="auto"/>
        <w:ind w:right="-46" w:hanging="720"/>
        <w:jc w:val="both"/>
        <w:rPr>
          <w:rFonts w:ascii="Times New Roman" w:hAnsi="Times New Roman" w:cs="Times New Roman"/>
          <w:b/>
          <w:bCs/>
          <w:noProof/>
          <w:sz w:val="24"/>
          <w:szCs w:val="24"/>
        </w:rPr>
      </w:pPr>
      <w:r>
        <w:rPr>
          <w:rFonts w:ascii="Times New Roman" w:hAnsi="Times New Roman"/>
          <w:b/>
          <w:noProof/>
          <w:sz w:val="24"/>
        </w:rPr>
        <w:t>Εκσυγχρονισμός της τελωνειακής ένωσης</w:t>
      </w:r>
    </w:p>
    <w:p w14:paraId="56A87C49" w14:textId="60638555" w:rsidR="003F29AD" w:rsidRPr="00F7456D" w:rsidRDefault="00D36526" w:rsidP="00FB4B2D">
      <w:pPr>
        <w:spacing w:after="120" w:line="276" w:lineRule="auto"/>
        <w:ind w:right="-46"/>
        <w:rPr>
          <w:noProof/>
          <w:szCs w:val="24"/>
        </w:rPr>
      </w:pPr>
      <w:r>
        <w:rPr>
          <w:noProof/>
        </w:rPr>
        <w:t xml:space="preserve">Η Επιτροπή υπέβαλε τον Δεκέμβριο του 2016 στο Συμβούλιο σχέδιο διαπραγματευτικών οδηγιών σχετικά με «μια νέα συμφωνία για τον εκσυγχρονισμό της τελωνειακής ένωσης (ΤΕ) και την επέκταση του πεδίου εφαρμογής των διμερών προτιμησιακών εμπορικών σχέσεων» με την Τουρκία.  Το σχέδιο οδηγιών επιδιώκει τον εκσυγχρονισμό της τελωνειακής ένωσης του 1995, περιλαμβάνοντας ιδίως αποτελεσματικό μηχανισμό επίλυσης διαφορών, μεγαλύτερη αμοιβαία ελευθέρωση του εμπορίου γεωργικών και αλιευτικών προϊόντων, και επέκταση σε νέους τομείς όπως οι υπηρεσίες, οι δημόσιες συμβάσεις, οι επενδύσεις και η βιώσιμη ανάπτυξη. </w:t>
      </w:r>
    </w:p>
    <w:p w14:paraId="581B96F4" w14:textId="64FEF19B" w:rsidR="00D36526" w:rsidRPr="00F7456D" w:rsidRDefault="00D36526" w:rsidP="00FB4B2D">
      <w:pPr>
        <w:spacing w:after="120" w:line="276" w:lineRule="auto"/>
        <w:ind w:right="-46"/>
        <w:rPr>
          <w:noProof/>
          <w:szCs w:val="24"/>
        </w:rPr>
      </w:pPr>
      <w:r>
        <w:rPr>
          <w:noProof/>
        </w:rPr>
        <w:t xml:space="preserve">Στην εκτίμηση επιπτώσεων που εκπόνησε η Επιτροπή κατά τον χρόνο εκείνο επισημάνθηκε ότι ο εκσυγχρονισμός θα έχει σημαντικό θετικό αντίκτυπο και οικονομικά οφέλη τόσο για την Τουρκία όσο και για την ΕΕ. Τα βασικά στοιχεία αυτής της αξιολόγησης εξακολουθούν να ισχύουν σήμερα. Ωστόσο, το Συμβούλιο διέκοψε τις συζητήσεις του το 2017 στο πλαίσιο της επιδείνωσης των σχέσεων ΕΕ-Τουρκίας. </w:t>
      </w:r>
    </w:p>
    <w:p w14:paraId="22DC42DB" w14:textId="2B5F3710" w:rsidR="00DE1BA2" w:rsidRPr="00F7456D" w:rsidRDefault="00D36526" w:rsidP="00FB4B2D">
      <w:pPr>
        <w:spacing w:after="120" w:line="276" w:lineRule="auto"/>
        <w:ind w:right="-46"/>
        <w:rPr>
          <w:noProof/>
          <w:szCs w:val="24"/>
        </w:rPr>
      </w:pPr>
      <w:r>
        <w:rPr>
          <w:noProof/>
        </w:rPr>
        <w:t xml:space="preserve">Τον Ιούνιο του 2021, το Ευρωπαϊκό Συμβούλιο επισήμανε ότι </w:t>
      </w:r>
      <w:r>
        <w:rPr>
          <w:i/>
          <w:noProof/>
        </w:rPr>
        <w:t>«η ΕΕ είναι έτοιμη να συζητήσει με την Τουρκία κατά τρόπο σταδιακό, αναλογικό και αναστρέψιμο για την ενίσχυση της συνεργασίας σε διάφορους τομείς κοινού ενδιαφέροντος, υπό τις καθορισμένες προϋποθέσεις που τέθηκαν τον Μάρτιο καθώς και σε προηγούμενα συμπεράσματα [...]».</w:t>
      </w:r>
      <w:r>
        <w:rPr>
          <w:noProof/>
        </w:rPr>
        <w:t xml:space="preserve"> Όπως προαναφέρθηκε, η Επιτροπή κλήθηκε να εντείνει τις συνομιλίες με την Τουρκία και το Συμβούλιο κλήθηκε να επεξεργαστεί σχέδιο διαπραγματευτικών οδηγιών για τον εκσυγχρονισμό της τελωνειακής ένωσης. Επισημάνθηκε ότι μπορεί να εγκριθεί εντολή από το Συμβούλιο με την επιφύλαξη πρόσθετης καθοδήγησης από το Ευρωπαϊκό Συμβούλιο. Οι συζητήσεις πραγματοποιήθηκαν στο Συμβούλιο τον Ιούνιο του 2021, αλλά δεν συνεχίστηκαν.</w:t>
      </w:r>
    </w:p>
    <w:p w14:paraId="5893C4D2" w14:textId="0DD89C3E" w:rsidR="006D678E" w:rsidRPr="00F7456D" w:rsidRDefault="00213BCC" w:rsidP="00FB4B2D">
      <w:pPr>
        <w:spacing w:after="120" w:line="276" w:lineRule="auto"/>
        <w:ind w:right="-46"/>
        <w:rPr>
          <w:noProof/>
          <w:szCs w:val="24"/>
        </w:rPr>
      </w:pPr>
      <w:r>
        <w:rPr>
          <w:noProof/>
        </w:rPr>
        <w:t xml:space="preserve">Το γεγονός ότι η Τουρκία δεν διασφαλίζει την αποτελεσματική εφαρμογή της τρέχουσας τελωνειακής ένωσης για όλα τα κράτη μέλη εξακολουθεί να αποτελεί σοβαρό ζήτημα. Ωστόσο, οι πρόσφατες προσπάθειες της Τουρκίας για την αντιμετώπιση συγκεκριμένων ζητημάτων, ιδίως η πρόοδος όσον αφορά εννέα εμπόδια και η δέσμευση για άρση ή σταδιακή κατάργηση πέντε ακόμη εμποδίων, αποτελούν βάση για στενότερη συνεργασία. Σε ένα ταχέως εξελισσόμενο παγκόσμιο πλαίσιο, σε συνδυασμό με τον πράσινο και τον ψηφιακό μετασχηματισμό της ΕΕ και την ανάγκη για ανθεκτικές αλυσίδες εφοδιασμού, η πρόοδος σε εμπορικά ζητήματα είναι προς το αμοιβαίο συμφέρον μας. Δεδομένων των περιορισμών της τρέχουσας τελωνειακής ένωσης, μόνο ο συνολικός εκσυγχρονισμός της, που θα περιλαμβάνει έναν αποτελεσματικό μηχανισμό επίλυσης διαφορών και διασφαλίσεων, θα καταστήσει δυνατή την πλήρη αξιοποίηση του δυναμικού της οικονομικής σχέσης ΕΕ-Τουρκίας. </w:t>
      </w:r>
    </w:p>
    <w:p w14:paraId="27001B01" w14:textId="0ECD7761" w:rsidR="004C36DA" w:rsidRPr="00F7456D" w:rsidRDefault="00265E0D" w:rsidP="00FB4B2D">
      <w:pPr>
        <w:pStyle w:val="ListParagraph"/>
        <w:numPr>
          <w:ilvl w:val="0"/>
          <w:numId w:val="20"/>
        </w:numPr>
        <w:spacing w:after="120" w:line="276" w:lineRule="auto"/>
        <w:ind w:right="-46" w:hanging="720"/>
        <w:jc w:val="both"/>
        <w:rPr>
          <w:rFonts w:ascii="Times New Roman" w:hAnsi="Times New Roman" w:cs="Times New Roman"/>
          <w:b/>
          <w:bCs/>
          <w:noProof/>
          <w:sz w:val="24"/>
          <w:szCs w:val="24"/>
        </w:rPr>
      </w:pPr>
      <w:r>
        <w:rPr>
          <w:rFonts w:ascii="Times New Roman" w:hAnsi="Times New Roman"/>
          <w:b/>
          <w:noProof/>
          <w:sz w:val="24"/>
        </w:rPr>
        <w:t>Περιοριστικά μέτρα της ΕΕ κατά της Ρωσίας</w:t>
      </w:r>
    </w:p>
    <w:p w14:paraId="2BD50CCC" w14:textId="5E3D8B25" w:rsidR="00E858FE" w:rsidRPr="00F7456D" w:rsidRDefault="00E858FE" w:rsidP="00FB4B2D">
      <w:pPr>
        <w:spacing w:after="120" w:line="276" w:lineRule="auto"/>
        <w:rPr>
          <w:noProof/>
          <w:szCs w:val="24"/>
        </w:rPr>
      </w:pPr>
      <w:r>
        <w:rPr>
          <w:noProof/>
        </w:rPr>
        <w:t>Παρά το γεγονός ότι είναι υποψήφια χώρα που συμμετέχει σε τελωνειακή ένωση με την ΕΕ, η Τουρκία επέλεξε να μην ευθυγραμμιστεί με τις κυρώσεις της ΕΕ όσον αφορά την επίθεση της Ρωσίας κατά της Ουκρανίας</w:t>
      </w:r>
      <w:r w:rsidR="00F73680">
        <w:rPr>
          <w:rStyle w:val="FootnoteReference"/>
          <w:noProof/>
        </w:rPr>
        <w:footnoteReference w:id="15"/>
      </w:r>
      <w:r>
        <w:rPr>
          <w:noProof/>
        </w:rPr>
        <w:t>. Συνολικά, η ευθυγράμμιση της Τουρκίας με τα μέτρα της ΚΕΠΠΑ είναι πολύ περιορισμένη. Οι εμπορικές και χρηματοοικονομικές ροές με τη Ρωσία αυξάνονται και αρκετές τουρκικές τράπεζες εξακολουθούν να διευκολύνουν τις εμπορικές πληρωμές.</w:t>
      </w:r>
    </w:p>
    <w:p w14:paraId="2758B5D1" w14:textId="3FABC5C9" w:rsidR="00E858FE" w:rsidRPr="006352ED" w:rsidRDefault="00E858FE" w:rsidP="00FB4B2D">
      <w:pPr>
        <w:spacing w:after="120" w:line="276" w:lineRule="auto"/>
        <w:rPr>
          <w:rStyle w:val="CommentReference"/>
          <w:rFonts w:ascii="Calibri" w:hAnsi="Calibri" w:cs="Calibri"/>
          <w:noProof/>
        </w:rPr>
      </w:pPr>
      <w:r>
        <w:rPr>
          <w:noProof/>
        </w:rPr>
        <w:t>Η Επιτροπή παρακολουθεί ενεργά τα σημαντικά στοιχεία που αποδεικνύουν ότι το έδαφος της Τουρκίας χρησιμοποιείται για την εκτροπή προς τη Ρωσία εμπορευμάτων που υπόκεινται σε κυρώσεις, ιδίως όσον αφορά τα κοινά είδη υψηλής προτεραιότητας</w:t>
      </w:r>
      <w:r w:rsidR="00F73680">
        <w:rPr>
          <w:rStyle w:val="FootnoteReference"/>
          <w:noProof/>
        </w:rPr>
        <w:footnoteReference w:id="16"/>
      </w:r>
      <w:r>
        <w:rPr>
          <w:noProof/>
        </w:rPr>
        <w:t xml:space="preserve">. </w:t>
      </w:r>
    </w:p>
    <w:p w14:paraId="1143E640" w14:textId="40FE82DE" w:rsidR="00E858FE" w:rsidRPr="00F7456D" w:rsidRDefault="009E7AF6" w:rsidP="00FB4B2D">
      <w:pPr>
        <w:spacing w:after="120" w:line="276" w:lineRule="auto"/>
        <w:rPr>
          <w:noProof/>
          <w:szCs w:val="24"/>
        </w:rPr>
      </w:pPr>
      <w:r>
        <w:rPr>
          <w:noProof/>
        </w:rPr>
        <w:t>Τα πιο πρόσφατα στατιστικά στοιχεία δείχνουν ότι οι εξαγωγές κοινών ειδών υψηλής προτεραιότητας από την Τουρκία στη Ρωσία αυξήθηκαν σημαντικά την περίοδο Ιανουαρίου-Σεπτεμβρίου του 2023 σε σύγκριση με τα προ του πολέμου δεδομένα</w:t>
      </w:r>
      <w:r w:rsidR="00F73680">
        <w:rPr>
          <w:rStyle w:val="FootnoteReference"/>
          <w:noProof/>
        </w:rPr>
        <w:footnoteReference w:id="17"/>
      </w:r>
      <w:r>
        <w:rPr>
          <w:noProof/>
        </w:rPr>
        <w:t xml:space="preserve">. </w:t>
      </w:r>
    </w:p>
    <w:p w14:paraId="74E4D820" w14:textId="62053E2E" w:rsidR="00E858FE" w:rsidRPr="00F7456D" w:rsidRDefault="00E858FE" w:rsidP="00FB4B2D">
      <w:pPr>
        <w:spacing w:after="120" w:line="276" w:lineRule="auto"/>
        <w:rPr>
          <w:noProof/>
          <w:sz w:val="22"/>
          <w:szCs w:val="22"/>
        </w:rPr>
      </w:pPr>
      <w:r>
        <w:rPr>
          <w:noProof/>
        </w:rPr>
        <w:t>Στις 7 Σεπτεμβρίου, η Επιτροπή δημοσίευσε κατευθυντήριες γραμμές για τη δέουσα επιμέλεια, οι οποίες απευθύνονται σε εξαγωγείς, με σκοπό να τους βοηθήσει να μετριάσουν την έκθεσή τους σε συστήματα καταστρατήγησης κυρώσεων. Επιπλέον, η ΕΕ έχει ήδη συμπεριλάβει σε κατάλογο συγκεκριμένες οντότητες που δραστηριοποιούνται σε διάφορες τρίτες χώρες και υπονομεύουν τις κυρώσεις της ΕΕ στηρίζοντας τον τομέα της άμυνας ή ασφάλειας της Ρωσίας. Προτείνεται να συμπεριληφθούν και άλλες οντότητες αυτού του είδους, που είναι καταχωρισμένες σε διάφορες χώρες, στη 12η δέσμη κυρώσεων</w:t>
      </w:r>
      <w:r w:rsidR="00F73680">
        <w:rPr>
          <w:rStyle w:val="FootnoteReference"/>
          <w:noProof/>
        </w:rPr>
        <w:footnoteReference w:id="18"/>
      </w:r>
      <w:r>
        <w:rPr>
          <w:noProof/>
        </w:rPr>
        <w:t>.</w:t>
      </w:r>
    </w:p>
    <w:p w14:paraId="0A442A48" w14:textId="416CEAB3" w:rsidR="00E858FE" w:rsidRPr="00F7456D" w:rsidRDefault="00E858FE" w:rsidP="00FB4B2D">
      <w:pPr>
        <w:spacing w:after="120" w:line="276" w:lineRule="auto"/>
        <w:rPr>
          <w:noProof/>
        </w:rPr>
      </w:pPr>
      <w:r>
        <w:rPr>
          <w:noProof/>
        </w:rPr>
        <w:t xml:space="preserve">Δεδομένου ότι η ΕΕ και η Τουρκία συμμετέχουν σε τελωνειακή ένωση με ελεύθερη κυκλοφορία των εμπορευμάτων, η Επιτροπή έχει ζητήσει επανειλημμένα την εφαρμογή πρόσθετων μέτρων από την Τουρκία για να σταματήσει πραγματικά η επανεξαγωγή αυτών των κρίσιμων «ειδών πεδίου μάχης» (45 κωδικοί ΕΣ). Το επείγον αυτό αίτημα παραμένει στο επίκεντρο των προσπαθειών προσέγγισης που καταβάλλει ο απεσταλμένος της ΕΕ για την επιβολή κυρώσεων. </w:t>
      </w:r>
    </w:p>
    <w:p w14:paraId="7416B9EF" w14:textId="0A74B1DE" w:rsidR="00E858FE" w:rsidRPr="00F7456D" w:rsidRDefault="00E858FE" w:rsidP="00FB4B2D">
      <w:pPr>
        <w:spacing w:after="120" w:line="276" w:lineRule="auto"/>
        <w:rPr>
          <w:noProof/>
        </w:rPr>
      </w:pPr>
      <w:r>
        <w:rPr>
          <w:noProof/>
        </w:rPr>
        <w:t>Η Επιτροπή εξέφρασε την ικανοποίησή της για τα μέτρα που θέσπισε η Τουρκία τον Μάρτιο του 2023, τα οποία απαγορεύουν την επανεξαγωγή εμπορευμάτων που υπόκεινται στις κυρώσεις της ΕΕ όταν αυτά βρίσκονται υπό διαμετακόμιση, σε αποθήκες ή σε ελεύθερες ζώνες στην Τουρκία, καθώς και για τις πιο πρόσφατες δεσμεύσεις της. Η εφαρμογή πρόσθετων αποτελεσματικών μέτρων για τον τερματισμό της επανεξαγωγής εμπορευμάτων που υπόκεινται σε κυρώσεις, ιδίως «ειδών πεδίου μάχης», είναι ζωτικής σημασίας.</w:t>
      </w:r>
    </w:p>
    <w:p w14:paraId="26E8055B" w14:textId="3FCF0D5A" w:rsidR="00E858FE" w:rsidRPr="00F7456D" w:rsidRDefault="00E858FE" w:rsidP="00FB4B2D">
      <w:pPr>
        <w:spacing w:after="120" w:line="276" w:lineRule="auto"/>
        <w:rPr>
          <w:noProof/>
        </w:rPr>
      </w:pPr>
      <w:r>
        <w:rPr>
          <w:noProof/>
        </w:rPr>
        <w:t xml:space="preserve">Η Επιτροπή θα συνεχίσει να παρακολουθεί τις εμπορικές ροές και να ελέγχει τον τρόπο με τον οποίο θα εφαρμοστούν γρήγορα και αποτελεσματικά οι δεδηλωμένες δεσμεύσεις της Τουρκίας ότι δεν επιθυμεί να χρησιμοποιηθεί ως εφαλτήριο για την καταστρατήγηση των κυρώσεων. </w:t>
      </w:r>
    </w:p>
    <w:p w14:paraId="79698FE3" w14:textId="458145F0" w:rsidR="004A033B" w:rsidRPr="00F7456D" w:rsidRDefault="004A033B" w:rsidP="00FB4B2D">
      <w:pPr>
        <w:pStyle w:val="ListParagraph"/>
        <w:numPr>
          <w:ilvl w:val="0"/>
          <w:numId w:val="20"/>
        </w:numPr>
        <w:spacing w:after="120" w:line="276" w:lineRule="auto"/>
        <w:ind w:left="709" w:right="-46" w:hanging="709"/>
        <w:contextualSpacing w:val="0"/>
        <w:jc w:val="both"/>
        <w:rPr>
          <w:rFonts w:ascii="Times New Roman" w:hAnsi="Times New Roman" w:cs="Times New Roman"/>
          <w:b/>
          <w:bCs/>
          <w:noProof/>
          <w:sz w:val="24"/>
          <w:szCs w:val="24"/>
        </w:rPr>
      </w:pPr>
      <w:r>
        <w:rPr>
          <w:rFonts w:ascii="Times New Roman" w:hAnsi="Times New Roman"/>
          <w:b/>
          <w:noProof/>
          <w:sz w:val="24"/>
        </w:rPr>
        <w:t>Οικονομική συνεργασία: προγράμματα οικονομικής μεταρρύθμισης, οικονομικός διάλογος, στήριξη ΔΧΟ/ΑΞΕ</w:t>
      </w:r>
    </w:p>
    <w:p w14:paraId="5EB9F8F6" w14:textId="39D84726" w:rsidR="00B92405" w:rsidRDefault="00B92405" w:rsidP="00FB4B2D">
      <w:pPr>
        <w:spacing w:after="120" w:line="276" w:lineRule="auto"/>
        <w:rPr>
          <w:noProof/>
          <w:szCs w:val="24"/>
        </w:rPr>
      </w:pPr>
      <w:r>
        <w:rPr>
          <w:noProof/>
        </w:rPr>
        <w:t xml:space="preserve">Από το 2015 όλες οι υποψήφιες χώρες και τα δυνάμει υποψήφια μέλη, συμπεριλαμβανομένης της Τουρκίας, υποβάλλουν στην Επιτροπή ετήσια </w:t>
      </w:r>
      <w:r>
        <w:rPr>
          <w:b/>
          <w:noProof/>
        </w:rPr>
        <w:t>προγράμματα οικονομικής μεταρρύθμισης</w:t>
      </w:r>
      <w:r>
        <w:rPr>
          <w:noProof/>
        </w:rPr>
        <w:t xml:space="preserve"> (ERP), στο πλαίσιο των προσπαθειών για την ενίσχυση της οικονομικής τους διακυβέρνησης. Το ERP περιέχει μεσοπρόθεσμες μακροοικονομικές προβολές, δημοσιονομικά προγράμματα για την επόμενη τριετία και σχέδια διαρθρωτικών μεταρρυθμίσεων. Με βάση το ERP και την αξιολόγηση της Επιτροπής, ο ετήσιος οικονομικός και δημοσιονομικός διάλογος μεταξύ της ΕΕ και των Δυτικών Βαλκανίων και της Τουρκίας σε υπουργικό επίπεδο παρέχει στοχευμένες κατευθύνσεις οικονομικής πολιτικής. Ο </w:t>
      </w:r>
      <w:r>
        <w:rPr>
          <w:b/>
          <w:noProof/>
        </w:rPr>
        <w:t>οικονομικός διάλογος υψηλού επιπέδου</w:t>
      </w:r>
      <w:r>
        <w:rPr>
          <w:noProof/>
        </w:rPr>
        <w:t xml:space="preserve"> καθιερώθηκε το 2015, αλλά ανεστάλη προσωρινά το 2019.</w:t>
      </w:r>
      <w:bookmarkStart w:id="7" w:name="_Hlk148427228"/>
      <w:r>
        <w:rPr>
          <w:noProof/>
        </w:rPr>
        <w:t xml:space="preserve"> Ο όμιλος</w:t>
      </w:r>
      <w:r w:rsidRPr="00F7456D">
        <w:rPr>
          <w:rStyle w:val="FootnoteReference"/>
          <w:noProof/>
          <w:szCs w:val="24"/>
        </w:rPr>
        <w:footnoteReference w:id="19"/>
      </w:r>
      <w:r>
        <w:rPr>
          <w:noProof/>
        </w:rPr>
        <w:t xml:space="preserve"> της </w:t>
      </w:r>
      <w:r>
        <w:rPr>
          <w:b/>
          <w:noProof/>
        </w:rPr>
        <w:t>Ευρωπαϊκής Τράπεζας Επενδύσεων</w:t>
      </w:r>
      <w:r>
        <w:rPr>
          <w:noProof/>
        </w:rPr>
        <w:t xml:space="preserve"> και η </w:t>
      </w:r>
      <w:r>
        <w:rPr>
          <w:b/>
          <w:noProof/>
        </w:rPr>
        <w:t>Ευρωπαϊκή Τράπεζα Ανασυγκρότησης και Ανάπτυξης</w:t>
      </w:r>
      <w:r w:rsidRPr="00F7456D">
        <w:rPr>
          <w:rStyle w:val="FootnoteReference"/>
          <w:noProof/>
          <w:szCs w:val="24"/>
        </w:rPr>
        <w:footnoteReference w:id="20"/>
      </w:r>
      <w:r>
        <w:rPr>
          <w:noProof/>
        </w:rPr>
        <w:t xml:space="preserve"> (ΕΤΑΑ) επικεντρώνουν τις τρέχουσες δραστηριότητές τους στην Τουρκία στον ιδιωτικό τομέα.</w:t>
      </w:r>
      <w:bookmarkEnd w:id="7"/>
    </w:p>
    <w:p w14:paraId="61C1FE42" w14:textId="3B00502C" w:rsidR="004A033B" w:rsidRPr="00F7456D" w:rsidRDefault="004A033B" w:rsidP="00FB4B2D">
      <w:pPr>
        <w:pStyle w:val="ListParagraph"/>
        <w:numPr>
          <w:ilvl w:val="0"/>
          <w:numId w:val="20"/>
        </w:numPr>
        <w:spacing w:after="120" w:line="276" w:lineRule="auto"/>
        <w:ind w:left="709" w:right="-46" w:hanging="709"/>
        <w:contextualSpacing w:val="0"/>
        <w:jc w:val="both"/>
        <w:rPr>
          <w:rFonts w:ascii="Times New Roman" w:hAnsi="Times New Roman" w:cs="Times New Roman"/>
          <w:b/>
          <w:bCs/>
          <w:noProof/>
          <w:sz w:val="24"/>
          <w:szCs w:val="24"/>
        </w:rPr>
      </w:pPr>
      <w:r>
        <w:rPr>
          <w:rFonts w:ascii="Times New Roman" w:hAnsi="Times New Roman"/>
          <w:b/>
          <w:noProof/>
          <w:sz w:val="24"/>
        </w:rPr>
        <w:t>Άλλοι τομείς προτεραιότητας</w:t>
      </w:r>
    </w:p>
    <w:p w14:paraId="35B52E4F" w14:textId="3FF89E0C" w:rsidR="00227113" w:rsidRPr="00F7456D" w:rsidRDefault="00CA333A" w:rsidP="00FB4B2D">
      <w:pPr>
        <w:spacing w:after="120" w:line="276" w:lineRule="auto"/>
        <w:rPr>
          <w:noProof/>
          <w:szCs w:val="24"/>
        </w:rPr>
      </w:pPr>
      <w:bookmarkStart w:id="8" w:name="_Hlk147503432"/>
      <w:r>
        <w:rPr>
          <w:noProof/>
        </w:rPr>
        <w:t xml:space="preserve">Η Τουρκία είναι μία από τις πλέον </w:t>
      </w:r>
      <w:r>
        <w:rPr>
          <w:b/>
          <w:noProof/>
        </w:rPr>
        <w:t>ευάλωτες στην κλιματική αλλαγή</w:t>
      </w:r>
      <w:r>
        <w:rPr>
          <w:noProof/>
        </w:rPr>
        <w:t xml:space="preserve"> χώρες της περιοχής. Οι εκπομπές της έχουν αυξηθεί απότομα τις τελευταίες δεκαετίες. Η Τουρκία κύρωσε τη συμφωνία του Παρισιού το 2021, ανακοινώνοντας το σχέδιό της για την επίτευξη μηδενικών καθαρών εκπομπών έως το 2053. Ο συνολικός στόχος μείωσης των εκπομπών στην επικαιροποιημένη εθνικά καθορισμένη συνεισφορά της Τουρκίας είναι ελαφρώς υψηλότερος απ’ ό,τι στην προηγούμενη εθνικά καθορισμένη συνεισφορά, αλλά παραμένει υπερβολικά μη φιλόδοξος (στο κύριο σενάριο οι εκπομπές μπορούν να συνεχίσουν να αυξάνονται κατά 30 % και πλέον έως το 2030). Η Τουρκία επεξεργάζεται έναν νόμο για το κλίμα και την επικαιροποίηση της στρατηγικής προσαρμογής της, και εκπονεί μια μακροπρόθεσμη αναπτυξιακή στρατηγική χαμηλών εκπομπών. </w:t>
      </w:r>
    </w:p>
    <w:p w14:paraId="228E4A66" w14:textId="7F8741DF" w:rsidR="00CA333A" w:rsidRPr="00F7456D" w:rsidRDefault="0049002D" w:rsidP="00FB4B2D">
      <w:pPr>
        <w:spacing w:after="120" w:line="276" w:lineRule="auto"/>
        <w:rPr>
          <w:noProof/>
          <w:szCs w:val="24"/>
        </w:rPr>
      </w:pPr>
      <w:r>
        <w:rPr>
          <w:noProof/>
        </w:rPr>
        <w:t>Η εκτεταμένη συνεργασία όσον αφορά τη δράση για το κλίμα μεταξύ της ΕΕ και της Τουρκίας χρηματοδοτείται επίσης στο πλαίσιο του Μηχανισμού Προενταξιακής Βοήθειας και υποστηρίζεται μέσω του διαλόγου υψηλού επιπέδου για το κλίμα που δρομολογήθηκε τον Σεπτέμβριο του 2021. Ήταν καθοριστικής σημασίας κυρίως όσον αφορά την ενίσχυση της συνεργασίας για την τιμολόγηση του άνθρακα. Διαθέτει επίσης ομάδα εργασίας για την προσαρμογή στην κλιματική αλλαγή. Η τελευταία υπουργική σύνοδος στο πλαίσιο του διαλόγου υψηλού επιπέδου πραγματοποιήθηκε στην Άγκυρα τον Απρίλιο του 2022.</w:t>
      </w:r>
    </w:p>
    <w:p w14:paraId="40ABA64A" w14:textId="3FD40AB3" w:rsidR="00D00346" w:rsidRPr="00F7456D" w:rsidRDefault="00D00346" w:rsidP="00FB4B2D">
      <w:pPr>
        <w:pStyle w:val="Default"/>
        <w:spacing w:after="120" w:line="276" w:lineRule="auto"/>
        <w:jc w:val="both"/>
        <w:rPr>
          <w:noProof/>
        </w:rPr>
      </w:pPr>
      <w:bookmarkStart w:id="9" w:name="_Hlk147395155"/>
      <w:bookmarkEnd w:id="8"/>
      <w:r>
        <w:rPr>
          <w:noProof/>
        </w:rPr>
        <w:t xml:space="preserve">Ο τομέας της </w:t>
      </w:r>
      <w:r>
        <w:rPr>
          <w:b/>
          <w:noProof/>
        </w:rPr>
        <w:t>ενέργειας</w:t>
      </w:r>
      <w:r>
        <w:rPr>
          <w:noProof/>
        </w:rPr>
        <w:t xml:space="preserve"> έχει γεωστρατηγική σημασία στο πλαίσιο των σχέσεων ΕΕ-Τουρκίας. Οι τεχνικές ανταλλαγές επικεντρώνονται στην ασφάλεια του εφοδιασμού στην ΕΕ και την Τουρκία, καθώς και στη μετάβαση σε καθαρές μορφές ενέργειας. Ο διάλογος υψηλού επιπέδου για την ενέργεια καθιερώθηκε το 2015, αλλά ανεστάλη προσωρινά το 2019. Το 2023 η Τουρκία δημοσίευσε εθνικό ενεργειακό σχέδιο, καθώς και στρατηγική και χάρτη πορείας για τις τεχνολογίες υδρογόνου, που αποσκοπούν αμφότερα στην επίτευξη των στόχων της χώρας για μηδενικές καθαρές εκπομπές έως το 2053. Η ενεργειακή πολιτική της Τουρκίας καθοδηγείται από τις δικές της ανησυχίες για την ενεργειακή ασφάλεια και από την ανάγκη αύξησης της εγχώριας παραγωγής ενέργειας. Ταυτόχρονα, η Τουρκία επιδιώκει να ενισχύσει τον ρόλο της ως περιφερειακού κόμβου εμπορίας ενέργειας. Το 2023 η Τουρκία υπέγραψε συμφωνίες εξαγωγής αερίου με τη Βουλγαρία, την Ουγγαρία, τη Ρουμανία και τη Μολδαβία. Τον Απρίλιο του 2023 εγκαινίασε τον πρώτο πυρηνικό αντιδραστήρα στον σταθμό του Akkuyu, ο οποίος κατασκευάστηκε κατά 99,2 % με επενδύσεις της ρωσικής Rosatom, η οποία θα κατέχει και θα εκμεταλλεύεται τον σταθμό. Η Τουρκία κύρωσε την κοινή σύμβαση για την ασφάλεια διαχείρισης των ραδιενεργών αποβλήτων τον Ιούλιο του 2022 και δεσμεύεται να πραγματοποιήσει προσομοιώσεις ακραίων καταστάσεων χρησιμοποιώντας το μοντέλο της ΕΕ.</w:t>
      </w:r>
    </w:p>
    <w:p w14:paraId="68F7ECBD" w14:textId="7BE0821A" w:rsidR="00DE1BA2" w:rsidRPr="00F7456D" w:rsidRDefault="00DE1BA2" w:rsidP="00FB4B2D">
      <w:pPr>
        <w:pStyle w:val="Default"/>
        <w:spacing w:after="120" w:line="276" w:lineRule="auto"/>
        <w:jc w:val="both"/>
        <w:rPr>
          <w:noProof/>
          <w:color w:val="auto"/>
        </w:rPr>
      </w:pPr>
      <w:bookmarkStart w:id="10" w:name="_Hlk147394885"/>
      <w:bookmarkEnd w:id="9"/>
      <w:r>
        <w:rPr>
          <w:noProof/>
        </w:rPr>
        <w:t xml:space="preserve">Οι σχέσεις μεταξύ Τουρκίας και ΕΕ στον τομέα των </w:t>
      </w:r>
      <w:r>
        <w:rPr>
          <w:b/>
          <w:noProof/>
        </w:rPr>
        <w:t>μεταφορών</w:t>
      </w:r>
      <w:r>
        <w:rPr>
          <w:noProof/>
        </w:rPr>
        <w:t xml:space="preserve"> εξακολουθούν να είναι δύσκολες παρά τα κοινά συμφέροντα. Η Τουρκία έχει επιδείξει έντονο ενδιαφέρον όσον αφορά την ενθάρρυνση της βιώσιμης παραγωγής και χρήσης θαλάσσιων και αεροπορικών καυσίμων. Έχουν ξεκινήσει συζητήσεις σχετικά με την ανανέωση των συμφωνιών συνεργασίας μεταξύ της Τουρκίας και του Οργανισμού της ΕΕ για την Ασφάλεια της Αεροπορίας, αν και η ασφάλεια της αεροπορίας στην περιοχή της Ανατολικής Μεσογείου εξακολουθεί να υπονομεύεται σοβαρά λόγω της συνεχούς άρνησης των κέντρων ελέγχου της εναέριας κυκλοφορίας στην Τουρκία να συντονιστούν με τα κέντρα ελέγχου της εναέριας κυκλοφορίας στην Κύπρο. Οι τουρκικές αρχές και οι μεταφορείς συνεργάζονται για την παροχή βοήθειας στην ΕΕ στον τομέα της αντικανονικής μετανάστευσης στην ΕΕ. Όσον αφορά το δίκτυο ΔΕΔ-Μ, η μη συμμόρφωση της Τουρκίας με το πρωτόκολλο της Άγκυρας εξακολουθεί να εμποδίζει την ολοκλήρωση της επέκτασης του δικτύου ΔΕΔ-Μ. Το 2019 το Συμβούλιο αποφάσισε να αναστείλει προς το παρόν τον διάλογο υψηλού επιπέδου για τις μεταφορές.</w:t>
      </w:r>
    </w:p>
    <w:bookmarkEnd w:id="10"/>
    <w:p w14:paraId="609215A8" w14:textId="3293A3A0" w:rsidR="00D00346" w:rsidRPr="00F7456D" w:rsidRDefault="00D00346" w:rsidP="00FB4B2D">
      <w:pPr>
        <w:pStyle w:val="Default"/>
        <w:spacing w:after="120" w:line="276" w:lineRule="auto"/>
        <w:jc w:val="both"/>
        <w:rPr>
          <w:noProof/>
          <w:color w:val="auto"/>
        </w:rPr>
      </w:pPr>
      <w:r>
        <w:rPr>
          <w:noProof/>
          <w:color w:val="auto"/>
        </w:rPr>
        <w:t>Στις 22 Φεβρουαρίου 2021</w:t>
      </w:r>
      <w:r w:rsidR="00077E09" w:rsidRPr="00F7456D">
        <w:rPr>
          <w:rStyle w:val="FootnoteReference"/>
          <w:noProof/>
          <w:color w:val="auto"/>
        </w:rPr>
        <w:footnoteReference w:id="21"/>
      </w:r>
      <w:r>
        <w:rPr>
          <w:noProof/>
          <w:color w:val="auto"/>
        </w:rPr>
        <w:t xml:space="preserve">, το Συμβούλιο εξέδωσε συμπεράσματα σχετικά με τον αναθεωρημένο ενωσιακό κατάλογο </w:t>
      </w:r>
      <w:r>
        <w:rPr>
          <w:b/>
          <w:noProof/>
          <w:color w:val="auto"/>
        </w:rPr>
        <w:t>μη συνεργάσιμων περιοχών φορολογικής δικαιοδοσίας</w:t>
      </w:r>
      <w:r>
        <w:rPr>
          <w:noProof/>
          <w:color w:val="auto"/>
        </w:rPr>
        <w:t xml:space="preserve">. </w:t>
      </w:r>
      <w:r>
        <w:rPr>
          <w:noProof/>
        </w:rPr>
        <w:t>Η Τουρκία</w:t>
      </w:r>
      <w:r>
        <w:rPr>
          <w:noProof/>
          <w:color w:val="auto"/>
        </w:rPr>
        <w:t xml:space="preserve"> κλήθηκε να επιλύσει όλα τα εκκρεμή ζητήματα όσον αφορά την αποτελεσματική ανταλλαγή πληροφοριών με όλα τα κράτη μέλη. </w:t>
      </w:r>
      <w:r>
        <w:rPr>
          <w:rStyle w:val="Bodytext1"/>
          <w:noProof/>
        </w:rPr>
        <w:t>Τον Φεβρουάριο του 2023</w:t>
      </w:r>
      <w:r w:rsidR="00C87171" w:rsidRPr="00F7456D">
        <w:rPr>
          <w:rStyle w:val="FootnoteReference"/>
          <w:noProof/>
        </w:rPr>
        <w:footnoteReference w:id="22"/>
      </w:r>
      <w:r>
        <w:rPr>
          <w:rStyle w:val="Bodytext1"/>
          <w:noProof/>
        </w:rPr>
        <w:t>, το Συμβούλιο κατέληξε στο συμπέρασμα ότι η Τουρκία θα πρέπει να συνεχίσει τις τεχνικές εργασίες και να ενεργοποιήσει αποτελεσματικές σχέσεις ανταλλαγής με όλα τα κράτη μέλη της ΕΕ, ώστε να καταστεί δυνατή η αυτόματη ανταλλαγή πληροφοριών που αφορούν χρηματοοικονομικούς λογαριασμούς. Αυτό επιβεβαιώθηκε στα συμπεράσματα του Συμβουλίου της 17ης Οκτωβρίου 2023</w:t>
      </w:r>
      <w:r w:rsidR="00201192" w:rsidRPr="00F7456D">
        <w:rPr>
          <w:rStyle w:val="FootnoteReference"/>
          <w:noProof/>
        </w:rPr>
        <w:footnoteReference w:id="23"/>
      </w:r>
      <w:r>
        <w:rPr>
          <w:rStyle w:val="Bodytext1"/>
          <w:noProof/>
        </w:rPr>
        <w:t xml:space="preserve">. </w:t>
      </w:r>
    </w:p>
    <w:p w14:paraId="3DFCD44F" w14:textId="2110A7CF" w:rsidR="00AA5A2E" w:rsidRPr="00F7456D" w:rsidRDefault="00A60DDC" w:rsidP="00FB4B2D">
      <w:pPr>
        <w:pStyle w:val="ListParagraph"/>
        <w:spacing w:after="120" w:line="276" w:lineRule="auto"/>
        <w:ind w:left="0" w:right="-46"/>
        <w:contextualSpacing w:val="0"/>
        <w:jc w:val="both"/>
        <w:rPr>
          <w:rFonts w:ascii="Times New Roman" w:hAnsi="Times New Roman" w:cs="Times New Roman"/>
          <w:noProof/>
          <w:sz w:val="24"/>
          <w:szCs w:val="24"/>
        </w:rPr>
      </w:pPr>
      <w:r>
        <w:rPr>
          <w:rFonts w:ascii="Times New Roman" w:hAnsi="Times New Roman"/>
          <w:noProof/>
          <w:sz w:val="24"/>
        </w:rPr>
        <w:t xml:space="preserve">Όσον αφορά τη δημόσια </w:t>
      </w:r>
      <w:r>
        <w:rPr>
          <w:rFonts w:ascii="Times New Roman" w:hAnsi="Times New Roman"/>
          <w:b/>
          <w:noProof/>
          <w:sz w:val="24"/>
        </w:rPr>
        <w:t>υγεία</w:t>
      </w:r>
      <w:r>
        <w:rPr>
          <w:rFonts w:ascii="Times New Roman" w:hAnsi="Times New Roman"/>
          <w:noProof/>
          <w:sz w:val="24"/>
        </w:rPr>
        <w:t xml:space="preserve">, η Τουρκία βρισκόταν σε στάδιο ανάκαμψης από τις επιπτώσεις της COVID-19, όταν δύο σεισμοί έπληξαν τη χώρα τον Φεβρουάριο του 2023. Η καταστροφή είχε άμεσο αντίκτυπο σε 15 εκατομμύρια ανθρώπους και η ικανότητα του συστήματος ιατροφαρμακευτικής περίθαλψης επλήγη σοβαρά. Η ΕΕ θα συνεχίσει να στηρίζει την πρόσβαση των μεταναστών και των προσφύγων στη δημόσια υγεία, προς όφελος και των κοινοτήτων υποδοχής. </w:t>
      </w:r>
    </w:p>
    <w:p w14:paraId="1B3004EF" w14:textId="4F134D03" w:rsidR="00D00346" w:rsidRDefault="00756610" w:rsidP="00FB4B2D">
      <w:pPr>
        <w:pStyle w:val="ListParagraph"/>
        <w:spacing w:after="120" w:line="276" w:lineRule="auto"/>
        <w:ind w:left="0" w:right="-46"/>
        <w:jc w:val="both"/>
        <w:rPr>
          <w:rFonts w:ascii="Times New Roman" w:hAnsi="Times New Roman" w:cs="Times New Roman"/>
          <w:noProof/>
          <w:sz w:val="24"/>
          <w:szCs w:val="24"/>
        </w:rPr>
      </w:pPr>
      <w:r>
        <w:rPr>
          <w:rFonts w:ascii="Times New Roman" w:hAnsi="Times New Roman"/>
          <w:noProof/>
          <w:sz w:val="24"/>
        </w:rPr>
        <w:t xml:space="preserve">Η Τουρκία είναι συμμετέχον κράτος στον μηχανισμό </w:t>
      </w:r>
      <w:r>
        <w:rPr>
          <w:rFonts w:ascii="Times New Roman" w:hAnsi="Times New Roman"/>
          <w:b/>
          <w:noProof/>
          <w:sz w:val="24"/>
        </w:rPr>
        <w:t>πολιτικής προστασίας</w:t>
      </w:r>
      <w:r>
        <w:rPr>
          <w:rFonts w:ascii="Times New Roman" w:hAnsi="Times New Roman"/>
          <w:noProof/>
          <w:sz w:val="24"/>
        </w:rPr>
        <w:t xml:space="preserve"> της Ένωσης (UCPM). Στον απόηχο των σεισμών του Φεβρουαρίου του 2023, η Τουρκία ενεργοποίησε τον μηχανισμό. Στη συνέχεια, όλα τα κράτη μέλη και τα συμμετέχοντα κράτη παρείχαν σημαντική συνεργατική στήριξη μέσω του Κέντρου Συντονισμού Αντιμετώπισης Εκτάκτων Αναγκών (ΚΣΑΕΑ) της Ευρωπαϊκής Επιτροπής.</w:t>
      </w:r>
    </w:p>
    <w:p w14:paraId="0E62B6AF" w14:textId="77777777" w:rsidR="00FB4B2D" w:rsidRDefault="00AA5BCB" w:rsidP="00FB4B2D">
      <w:pPr>
        <w:spacing w:after="120" w:line="276" w:lineRule="auto"/>
        <w:contextualSpacing/>
        <w:rPr>
          <w:rFonts w:eastAsiaTheme="minorHAnsi"/>
          <w:noProof/>
          <w:szCs w:val="24"/>
        </w:rPr>
      </w:pPr>
      <w:r>
        <w:rPr>
          <w:noProof/>
        </w:rPr>
        <w:t xml:space="preserve">Στον τομέα της </w:t>
      </w:r>
      <w:r>
        <w:rPr>
          <w:b/>
          <w:noProof/>
        </w:rPr>
        <w:t>αλιείας και των θαλάσσιων υποθέσεων</w:t>
      </w:r>
      <w:r>
        <w:rPr>
          <w:noProof/>
        </w:rPr>
        <w:t>, έχει δημιουργηθεί μια αποτελεσματική εταιρική σχέση στο πλαίσιο των περιφερειακών οργανώσεων διαχείρισης της αλιείας, όπως η Γενική Επιτροπή Αλιείας για τη Μεσόγειο και η Διεθνής Επιτροπή για τη Διατήρηση των Θυννοειδών του Ατλαντικού. Οι σχέσεις μεταξύ της ΕΕ και της Τουρκίας στον τομέα της αλιείας παρουσιάζουν καλές δυνατότητες συνεργασίας.  Η ΕΕ είναι διατεθειμένη να συνεργαστεί με την Τουρκία για να καταπολεμήσουν από κοινού τις δραστηριότητες παράνομης, λαθραίας και άναρχης αλιείας (ΠΛΑ) στην Ανατολική Μεσόγειο και καλεί την Τουρκία να συνεργαστεί εποικοδομητικά με τα γειτονικά της κράτη μέλη της ΕΕ σε μια συλλογική προσπάθεια για την καταπολέμηση των δραστηριοτήτων ΠΛΑ αλιείας.</w:t>
      </w:r>
      <w:bookmarkStart w:id="11" w:name="_Hlk150262115"/>
    </w:p>
    <w:p w14:paraId="377BC9A9" w14:textId="77777777" w:rsidR="00FB4B2D" w:rsidRDefault="00FB4B2D" w:rsidP="00FB4B2D">
      <w:pPr>
        <w:spacing w:after="120" w:line="276" w:lineRule="auto"/>
        <w:contextualSpacing/>
        <w:rPr>
          <w:rFonts w:eastAsiaTheme="minorHAnsi"/>
          <w:noProof/>
          <w:szCs w:val="24"/>
          <w:lang w:eastAsia="en-US"/>
        </w:rPr>
      </w:pPr>
    </w:p>
    <w:p w14:paraId="5DEF9BBA" w14:textId="7C0719F5" w:rsidR="004A033B" w:rsidRPr="00F7456D" w:rsidRDefault="004F15E9" w:rsidP="00FB4B2D">
      <w:pPr>
        <w:spacing w:after="120" w:line="276" w:lineRule="auto"/>
        <w:contextualSpacing/>
        <w:rPr>
          <w:rFonts w:eastAsiaTheme="minorHAnsi"/>
          <w:noProof/>
          <w:szCs w:val="24"/>
        </w:rPr>
      </w:pPr>
      <w:r>
        <w:rPr>
          <w:b/>
          <w:noProof/>
        </w:rPr>
        <w:t xml:space="preserve">V. </w:t>
      </w:r>
      <w:r>
        <w:rPr>
          <w:b/>
          <w:noProof/>
        </w:rPr>
        <w:tab/>
        <w:t xml:space="preserve">ΣΥΜΠΕΡΑΣΜΑΤΑ ΚΑΙ </w:t>
      </w:r>
      <w:r>
        <w:rPr>
          <w:b/>
          <w:caps/>
          <w:noProof/>
        </w:rPr>
        <w:t>ΣΥΣΤΑΣΕΙΣ</w:t>
      </w:r>
    </w:p>
    <w:p w14:paraId="6C514012" w14:textId="3F4AC3E4" w:rsidR="00B5107E" w:rsidRPr="00F7456D" w:rsidRDefault="00513025" w:rsidP="00FB4B2D">
      <w:pPr>
        <w:spacing w:after="120" w:line="276" w:lineRule="auto"/>
        <w:rPr>
          <w:rFonts w:eastAsiaTheme="minorHAnsi"/>
          <w:noProof/>
          <w:szCs w:val="24"/>
        </w:rPr>
      </w:pPr>
      <w:r>
        <w:rPr>
          <w:noProof/>
        </w:rPr>
        <w:t>Μετά την τελευταία αξιολόγηση των σχέσεων ΕΕ-Τουρκίας από το Ευρωπαϊκό Συμβούλιο τον Μάρτιο και τον Ιούνιο του 2021, συνεχίστηκαν οι προσπάθειες, και από τις δύο πλευρές, για να σταματήσει η δυναμική της κλιμάκωσης στην Ανατολική Μεσόγειο και να συνεχιστεί η συνεργασία σε τομείς που προσδιορίζονται σε προηγούμενα συμπεράσματα. Η Τουρκία επέδειξε πιο εποικοδομητική στάση σε διάφορα ζητήματα, μεταξύ άλλων στις διμερείς σχέσεις της με διάφορα κράτη μέλη της ΕΕ και σε μια σειρά μακροχρόνιων εμπορικών φραγμών. Πρόκειται για θετικά βήματα προόδου που πρέπει να συνεχιστούν. Στο πλαίσιο του επιθετικού πολέμου της Ρωσίας κατά της Ουκρανίας, η Τουρκία έχει ηγηθεί ορισμένων χρήσιμων πρωτοβουλιών, μεταξύ άλλων για τη διευκόλυνση των εξαγωγών ζωτικής σημασίας από την Ουκρανία. Ταυτόχρονα, οι πρόσφατες προσπάθειές της για την αντιμετώπιση της καταστρατήγησης των κυρώσεων μέσω του εδάφους της δεν έχουν ακόμη αποφέρει απτά αποτελέσματα.</w:t>
      </w:r>
    </w:p>
    <w:p w14:paraId="49CC1C4A" w14:textId="17B082F5" w:rsidR="004D2D5F" w:rsidRPr="004F15E9" w:rsidRDefault="004D2D5F" w:rsidP="00FB4B2D">
      <w:pPr>
        <w:spacing w:after="120" w:line="276" w:lineRule="auto"/>
        <w:rPr>
          <w:rFonts w:eastAsiaTheme="minorHAnsi"/>
          <w:noProof/>
          <w:szCs w:val="24"/>
        </w:rPr>
      </w:pPr>
      <w:r>
        <w:rPr>
          <w:noProof/>
        </w:rPr>
        <w:t xml:space="preserve">Παρ’ όλα αυτά, η εν λόγω διαδικασία επανέναρξης της συνεργασίας παραμένει εύθραυστη. Η στάση της Τουρκίας στο κυπριακό ζήτημα και η δυναμική προώθηση από την πλευρά της μιας «λύσης δύο κρατών» για το νησί </w:t>
      </w:r>
      <w:r w:rsidR="00FD73B4">
        <w:rPr>
          <w:noProof/>
        </w:rPr>
        <w:t xml:space="preserve">της Κύπρου </w:t>
      </w:r>
      <w:r>
        <w:rPr>
          <w:noProof/>
        </w:rPr>
        <w:t xml:space="preserve">συνιστούν μείζον πρόβλημα. Η στήριξη της Τουρκίας σε στρατιωτικά μέσα σε περιφερειακές συγκρούσεις και οι απόψεις της για τη Χαμάς έρχονται σε αντίθεση με τις θέσεις της ΕΕ. Επίσης, λόγω της σοβαρής εγχώριας κατάστασης των ανθρωπίνων δικαιωμάτων και του κράτους δικαίου, συμπεριλαμβανομένης της μη εφαρμογής των αποφάσεων του ΕΔΔΑ, υπάρχουν σαφώς πολλά εμπόδια που πρέπει να ξεπεραστούν στη σχέση ΕΕ-Τουρκίας. Ο διάλογος για το κράτος δικαίου και τα θεμελιώδη δικαιώματα θα παραμείνει αναπόσπαστο μέρος της σχέσης ΕΕ-Τουρκίας. Η συνέχιση του διαλόγου καλή τη πίστει, μεταξύ άλλων και για το κυπριακό ζήτημα, με παράλληλη αποχή από μονομερείς ενέργειες, θα μπορούσε να οδηγήσει στην ανάπτυξη πιο συνεργατικής και αμοιβαία επωφελούς σχέσης. </w:t>
      </w:r>
    </w:p>
    <w:p w14:paraId="3214CA3B" w14:textId="1D31DB0B" w:rsidR="00CD794E" w:rsidRPr="00F7456D" w:rsidRDefault="00A16B26" w:rsidP="00FB4B2D">
      <w:pPr>
        <w:spacing w:after="120" w:line="276" w:lineRule="auto"/>
        <w:rPr>
          <w:rFonts w:eastAsiaTheme="minorHAnsi"/>
          <w:noProof/>
          <w:szCs w:val="24"/>
        </w:rPr>
      </w:pPr>
      <w:r>
        <w:rPr>
          <w:noProof/>
        </w:rPr>
        <w:t>Η ΕΕ έχει σαφώς στρατηγικό συμφέρον να αναπτύξει μια τέτοια σχέση με την Τουρκία σε όλους τους πιθανούς τομείς, με βάση την εμπιστοσύνη και τη νοοτροπία συναίνεσης, ιδίως στο πλαίσιο των ευρύτερων γεωπολιτικών αλλαγών. Πρέπει να συνεχιστούν οι προσπάθειες για τη γεφύρωση των βασικών διαφορών με την Άγκυρα. Θα πρέπει να εξακολουθήσει να εφαρμόζεται μια προοδευτική, αναλογική και αναστρέψιμη προσέγγιση για την ενεργοποίηση βασικών τομέων συνεργασίας, όπως ορίζονται στα συμπεράσματα του Ευρωπαϊκού Συμβουλίου του Ιουνίου του 2021. Ταυτόχρονα, εξακολουθεί επίσης να ισχύει ο δεύτερος πυλώνας της προσέγγισης που καθορίζεται στην κοινή ανακοίνωση του 2021 σχετικά με τις σχέσεις ΕΕ-Τουρκίας, δηλαδή η αποφασιστικότητα της ΕΕ να χρησιμοποιήσει, εάν χρειαστεί, τα μέσα και τις επιλογές που έχει στη διάθεσή της για να υπερασπιστεί τα συμφέροντά της και τα συμφέροντα των κρατών μελών της.</w:t>
      </w:r>
    </w:p>
    <w:p w14:paraId="03CF6159" w14:textId="2FEE6B3D" w:rsidR="00E60043" w:rsidRPr="00F7456D" w:rsidRDefault="00CD794E" w:rsidP="00FB4B2D">
      <w:pPr>
        <w:spacing w:after="120" w:line="276" w:lineRule="auto"/>
        <w:rPr>
          <w:rFonts w:eastAsiaTheme="minorHAnsi"/>
          <w:noProof/>
          <w:szCs w:val="24"/>
        </w:rPr>
      </w:pPr>
      <w:r>
        <w:rPr>
          <w:noProof/>
        </w:rPr>
        <w:t>Η τρέχουσα κατάσταση επιτρέπει ορισμένα περαιτέρω βήματα προς την κατεύθυνση της εποικοδομητικής συνεργασίας, με βάση τα θετικά στοιχεία που προτάθηκαν το 2021. Η Επιτροπή και ο ύπατος εκπρόσωπος προτείνουν τις ακόλουθες ενέργειες για την ενεργοποίηση βασικών τομέων της συνεργασίας μας. Θα πρέπει να επιδιωχθούν σταδιακά και βάσει των καθορισμένων προϋποθέσεων, υπό τον όρο ότι η Τουρκία θα συνεχίσει τις εποικοδομητικές προσπάθειές της σε ορισμένους τομείς, μεταξύ άλλων όσον αφορά τα κυριαρχικά δικαιώματα των κρατών μελών της ΕΕ, και θα ανταποκριθεί στις ανησυχίες της ΕΕ.</w:t>
      </w:r>
    </w:p>
    <w:p w14:paraId="48744473" w14:textId="77777777" w:rsidR="0049002D" w:rsidRPr="00547D76" w:rsidRDefault="0049002D" w:rsidP="00FB4B2D">
      <w:pPr>
        <w:spacing w:after="120" w:line="276" w:lineRule="auto"/>
        <w:rPr>
          <w:rFonts w:eastAsiaTheme="minorHAnsi"/>
          <w:b/>
          <w:bCs/>
          <w:i/>
          <w:iCs/>
          <w:noProof/>
          <w:szCs w:val="24"/>
          <w:lang w:eastAsia="en-US"/>
        </w:rPr>
      </w:pPr>
    </w:p>
    <w:p w14:paraId="7F443112" w14:textId="0AFA895C" w:rsidR="006A3714" w:rsidRPr="00F7456D" w:rsidRDefault="006A3714" w:rsidP="00FB4B2D">
      <w:pPr>
        <w:spacing w:after="120" w:line="276" w:lineRule="auto"/>
        <w:rPr>
          <w:rFonts w:eastAsiaTheme="minorHAnsi"/>
          <w:b/>
          <w:bCs/>
          <w:i/>
          <w:iCs/>
          <w:noProof/>
          <w:szCs w:val="24"/>
        </w:rPr>
      </w:pPr>
      <w:r>
        <w:rPr>
          <w:b/>
          <w:i/>
          <w:noProof/>
        </w:rPr>
        <w:t>Διάλογοι υψηλού επιπέδου</w:t>
      </w:r>
    </w:p>
    <w:p w14:paraId="17C1DDA2" w14:textId="6894D86D" w:rsidR="008920B2" w:rsidRPr="00F7456D" w:rsidRDefault="006A3714" w:rsidP="00FB4B2D">
      <w:pPr>
        <w:pStyle w:val="ListParagraph"/>
        <w:numPr>
          <w:ilvl w:val="0"/>
          <w:numId w:val="5"/>
        </w:numPr>
        <w:spacing w:after="120" w:line="276" w:lineRule="auto"/>
        <w:ind w:left="567" w:hanging="567"/>
        <w:jc w:val="both"/>
        <w:rPr>
          <w:rFonts w:ascii="Times New Roman" w:hAnsi="Times New Roman" w:cs="Times New Roman"/>
          <w:noProof/>
          <w:sz w:val="24"/>
          <w:szCs w:val="24"/>
        </w:rPr>
      </w:pPr>
      <w:r>
        <w:rPr>
          <w:rFonts w:ascii="Times New Roman" w:hAnsi="Times New Roman"/>
          <w:b/>
          <w:noProof/>
          <w:sz w:val="24"/>
        </w:rPr>
        <w:t>Να αποκατασταθούν οι διάλογοι υψηλού επιπέδου ΕΕ-Τουρκίας</w:t>
      </w:r>
      <w:r>
        <w:rPr>
          <w:rFonts w:ascii="Times New Roman" w:hAnsi="Times New Roman"/>
          <w:noProof/>
          <w:sz w:val="24"/>
        </w:rPr>
        <w:t xml:space="preserve"> για την οικονομία, την ενέργεια και τις μεταφορές που ανεστάλησαν το 2019, υπό την προϋπόθεση ότι η Τουρκία θα συνεχίσει να απέχει από κάθε παράνομη δραστηριότητα γεώτρησης στην Ανατολική Μεσόγειο και από κάθε άλλη ενέργεια που δεν σέβεται την κυριαρχία και τα κυριαρχικά δικαιώματα των κρατών μελών της ΕΕ. Οι εν λόγω πολιτικοί διάλογοι είναι επίσης προς το συμφέρον της Ένωσης, προκειμένου να αντιμετωπίσει διμερή ζητήματα και να επιδιώξει τα συμφέροντα της ΕΕ.</w:t>
      </w:r>
    </w:p>
    <w:p w14:paraId="38050DC7" w14:textId="4AE562D3" w:rsidR="00064E31" w:rsidRPr="00F7456D" w:rsidRDefault="00064E31" w:rsidP="00FB4B2D">
      <w:pPr>
        <w:pStyle w:val="ListParagraph"/>
        <w:numPr>
          <w:ilvl w:val="0"/>
          <w:numId w:val="5"/>
        </w:numPr>
        <w:spacing w:after="120" w:line="276" w:lineRule="auto"/>
        <w:ind w:left="567" w:hanging="567"/>
        <w:jc w:val="both"/>
        <w:rPr>
          <w:rFonts w:ascii="Times New Roman" w:hAnsi="Times New Roman" w:cs="Times New Roman"/>
          <w:noProof/>
          <w:sz w:val="24"/>
          <w:szCs w:val="24"/>
        </w:rPr>
      </w:pPr>
      <w:r>
        <w:rPr>
          <w:rFonts w:ascii="Times New Roman" w:hAnsi="Times New Roman"/>
          <w:noProof/>
          <w:sz w:val="24"/>
        </w:rPr>
        <w:t xml:space="preserve">Με την ίδια λογική, να συνεχιστούν οι συνεδριάσεις του </w:t>
      </w:r>
      <w:r>
        <w:rPr>
          <w:rFonts w:ascii="Times New Roman" w:hAnsi="Times New Roman"/>
          <w:b/>
          <w:noProof/>
          <w:sz w:val="24"/>
        </w:rPr>
        <w:t>Συμβουλίου Σύνδεσης και ο πολιτικός διάλογος υψηλού επιπέδου</w:t>
      </w:r>
      <w:r>
        <w:rPr>
          <w:rFonts w:ascii="Times New Roman" w:hAnsi="Times New Roman"/>
          <w:noProof/>
          <w:sz w:val="24"/>
        </w:rPr>
        <w:t xml:space="preserve"> σε υπουργικό επίπεδο.</w:t>
      </w:r>
    </w:p>
    <w:p w14:paraId="49DD2A9A" w14:textId="3B13893D" w:rsidR="00EE6888" w:rsidRPr="00F7456D" w:rsidRDefault="007E53E6" w:rsidP="00FB4B2D">
      <w:pPr>
        <w:pStyle w:val="ListParagraph"/>
        <w:numPr>
          <w:ilvl w:val="0"/>
          <w:numId w:val="5"/>
        </w:numPr>
        <w:spacing w:after="120" w:line="276" w:lineRule="auto"/>
        <w:ind w:left="567" w:hanging="567"/>
        <w:jc w:val="both"/>
        <w:rPr>
          <w:rFonts w:ascii="Times New Roman" w:hAnsi="Times New Roman" w:cs="Times New Roman"/>
          <w:noProof/>
          <w:sz w:val="24"/>
          <w:szCs w:val="24"/>
        </w:rPr>
      </w:pPr>
      <w:r>
        <w:rPr>
          <w:rFonts w:ascii="Times New Roman" w:hAnsi="Times New Roman"/>
          <w:noProof/>
          <w:sz w:val="24"/>
        </w:rPr>
        <w:t xml:space="preserve">Να διοργανωθούν περαιτέρω γύροι τομεακών διαλόγων υψηλού επιπέδου για </w:t>
      </w:r>
      <w:r>
        <w:rPr>
          <w:rFonts w:ascii="Times New Roman" w:hAnsi="Times New Roman"/>
          <w:b/>
          <w:noProof/>
          <w:sz w:val="24"/>
        </w:rPr>
        <w:t xml:space="preserve">το κλίμα, την υγεία, τη μετανάστευση και την ασφάλεια, τη γεωργία, </w:t>
      </w:r>
      <w:r>
        <w:rPr>
          <w:rFonts w:ascii="Times New Roman" w:hAnsi="Times New Roman"/>
          <w:noProof/>
          <w:sz w:val="24"/>
        </w:rPr>
        <w:t xml:space="preserve">καθώς και για την </w:t>
      </w:r>
      <w:r>
        <w:rPr>
          <w:rFonts w:ascii="Times New Roman" w:hAnsi="Times New Roman"/>
          <w:b/>
          <w:noProof/>
          <w:sz w:val="24"/>
        </w:rPr>
        <w:t>έρευνα</w:t>
      </w:r>
      <w:r>
        <w:rPr>
          <w:rFonts w:ascii="Times New Roman" w:hAnsi="Times New Roman"/>
          <w:noProof/>
          <w:sz w:val="24"/>
        </w:rPr>
        <w:t xml:space="preserve"> και την καινοτομία. </w:t>
      </w:r>
    </w:p>
    <w:p w14:paraId="23EAA1A1" w14:textId="647823AA" w:rsidR="00D44195" w:rsidRPr="00F7456D" w:rsidRDefault="004D2D5F" w:rsidP="00FB4B2D">
      <w:pPr>
        <w:pStyle w:val="ListParagraph"/>
        <w:numPr>
          <w:ilvl w:val="0"/>
          <w:numId w:val="5"/>
        </w:numPr>
        <w:spacing w:after="120" w:line="276" w:lineRule="auto"/>
        <w:ind w:left="567" w:hanging="567"/>
        <w:jc w:val="both"/>
        <w:rPr>
          <w:rFonts w:ascii="Times New Roman" w:hAnsi="Times New Roman" w:cs="Times New Roman"/>
          <w:noProof/>
          <w:sz w:val="24"/>
          <w:szCs w:val="24"/>
        </w:rPr>
      </w:pPr>
      <w:bookmarkStart w:id="12" w:name="_Hlk148633070"/>
      <w:r>
        <w:rPr>
          <w:rFonts w:ascii="Times New Roman" w:hAnsi="Times New Roman"/>
          <w:noProof/>
          <w:sz w:val="24"/>
        </w:rPr>
        <w:t xml:space="preserve">Να καθιερωθεί από την Επιτροπή </w:t>
      </w:r>
      <w:r>
        <w:rPr>
          <w:rFonts w:ascii="Times New Roman" w:hAnsi="Times New Roman"/>
          <w:b/>
          <w:noProof/>
          <w:sz w:val="24"/>
        </w:rPr>
        <w:t>νέος διάλογος υψηλού επιπέδου για το εμπόριο</w:t>
      </w:r>
      <w:r>
        <w:rPr>
          <w:rFonts w:ascii="Times New Roman" w:hAnsi="Times New Roman"/>
          <w:noProof/>
          <w:sz w:val="24"/>
        </w:rPr>
        <w:t>, με στόχο να αντιμετωπιστούν οι διμερείς εμπορικοί φραγμοί που απομένουν και να συζητηθούν περαιτέρω τομείς συνεργασίας.</w:t>
      </w:r>
    </w:p>
    <w:p w14:paraId="0ACFCB5C" w14:textId="77777777" w:rsidR="006A3714" w:rsidRPr="00864653" w:rsidRDefault="006A3714" w:rsidP="00FB4B2D">
      <w:pPr>
        <w:spacing w:after="120" w:line="276" w:lineRule="auto"/>
        <w:rPr>
          <w:rFonts w:eastAsiaTheme="minorHAnsi"/>
          <w:b/>
          <w:bCs/>
          <w:i/>
          <w:iCs/>
          <w:noProof/>
          <w:szCs w:val="24"/>
        </w:rPr>
      </w:pPr>
      <w:r>
        <w:rPr>
          <w:b/>
          <w:i/>
          <w:noProof/>
        </w:rPr>
        <w:t>ΚΕΠΠΑ, ζητήματα εξωτερικής πολιτικής και περιφερειακά ζητήματα, ΚΠΑΑ</w:t>
      </w:r>
    </w:p>
    <w:p w14:paraId="60B94C01" w14:textId="77777777" w:rsidR="006A3714" w:rsidRPr="00F7456D" w:rsidRDefault="006A3714" w:rsidP="00FB4B2D">
      <w:pPr>
        <w:pStyle w:val="ListParagraph"/>
        <w:numPr>
          <w:ilvl w:val="0"/>
          <w:numId w:val="21"/>
        </w:numPr>
        <w:spacing w:after="120" w:line="276" w:lineRule="auto"/>
        <w:ind w:left="567" w:hanging="567"/>
        <w:jc w:val="both"/>
        <w:rPr>
          <w:rFonts w:ascii="Times New Roman" w:hAnsi="Times New Roman" w:cs="Times New Roman"/>
          <w:noProof/>
          <w:sz w:val="24"/>
          <w:szCs w:val="24"/>
        </w:rPr>
      </w:pPr>
      <w:r>
        <w:rPr>
          <w:rFonts w:ascii="Times New Roman" w:hAnsi="Times New Roman"/>
          <w:noProof/>
          <w:sz w:val="24"/>
        </w:rPr>
        <w:t xml:space="preserve">Να διεξαχθούν διάλογοι ΕΕ-Τουρκίας σχετικά με </w:t>
      </w:r>
      <w:r>
        <w:rPr>
          <w:rFonts w:ascii="Times New Roman" w:hAnsi="Times New Roman"/>
          <w:b/>
          <w:noProof/>
          <w:sz w:val="24"/>
        </w:rPr>
        <w:t xml:space="preserve">ζητήματα εξωτερικής πολιτικής και περιφερειακά ζητήματα τακτικά </w:t>
      </w:r>
      <w:r>
        <w:rPr>
          <w:rFonts w:ascii="Times New Roman" w:hAnsi="Times New Roman"/>
          <w:noProof/>
          <w:sz w:val="24"/>
        </w:rPr>
        <w:t xml:space="preserve">με πιο δομημένο τρόπο, με σκοπό να καταστούν πιο αποτελεσματικοί και επιχειρησιακοί, παράλληλα με αποφασιστικά βήματα από την πλευρά της Τουρκίας για μεγαλύτερη </w:t>
      </w:r>
      <w:r>
        <w:rPr>
          <w:rFonts w:ascii="Times New Roman" w:hAnsi="Times New Roman"/>
          <w:b/>
          <w:noProof/>
          <w:sz w:val="24"/>
        </w:rPr>
        <w:t>ευθυγράμμισή της με την ΚΕΠΠΑ της ΕΕ</w:t>
      </w:r>
      <w:r>
        <w:rPr>
          <w:rFonts w:ascii="Times New Roman" w:hAnsi="Times New Roman"/>
          <w:noProof/>
          <w:sz w:val="24"/>
        </w:rPr>
        <w:t xml:space="preserve">. </w:t>
      </w:r>
    </w:p>
    <w:p w14:paraId="3FA5BC6C" w14:textId="77777777" w:rsidR="006A3714" w:rsidRPr="00F7456D" w:rsidRDefault="006A3714" w:rsidP="00FB4B2D">
      <w:pPr>
        <w:pStyle w:val="ListParagraph"/>
        <w:numPr>
          <w:ilvl w:val="0"/>
          <w:numId w:val="21"/>
        </w:numPr>
        <w:spacing w:after="120" w:line="276" w:lineRule="auto"/>
        <w:ind w:left="567" w:hanging="567"/>
        <w:jc w:val="both"/>
        <w:rPr>
          <w:rFonts w:ascii="Times New Roman" w:hAnsi="Times New Roman" w:cs="Times New Roman"/>
          <w:noProof/>
          <w:sz w:val="24"/>
          <w:szCs w:val="24"/>
        </w:rPr>
      </w:pPr>
      <w:r>
        <w:rPr>
          <w:rFonts w:ascii="Times New Roman" w:hAnsi="Times New Roman"/>
          <w:noProof/>
          <w:sz w:val="24"/>
        </w:rPr>
        <w:t>Να προσκαλείται ο υπουργός Εξωτερικών της Τουρκίας σε άτυπες συνεδριάσεις των Υπουργών Εξωτερικών της ΕΕ (συνεδριάσεις</w:t>
      </w:r>
      <w:r>
        <w:rPr>
          <w:rFonts w:ascii="Times New Roman" w:hAnsi="Times New Roman"/>
          <w:b/>
          <w:noProof/>
          <w:sz w:val="24"/>
        </w:rPr>
        <w:t>«Gymnich»</w:t>
      </w:r>
      <w:r>
        <w:rPr>
          <w:rFonts w:ascii="Times New Roman" w:hAnsi="Times New Roman"/>
          <w:noProof/>
          <w:sz w:val="24"/>
        </w:rPr>
        <w:t xml:space="preserve">), κατά περίπτωση. </w:t>
      </w:r>
    </w:p>
    <w:p w14:paraId="543A50F4" w14:textId="77777777" w:rsidR="006A3714" w:rsidRPr="00F7456D" w:rsidRDefault="006A3714" w:rsidP="00FB4B2D">
      <w:pPr>
        <w:pStyle w:val="ListParagraph"/>
        <w:numPr>
          <w:ilvl w:val="0"/>
          <w:numId w:val="21"/>
        </w:numPr>
        <w:spacing w:after="120" w:line="276" w:lineRule="auto"/>
        <w:ind w:left="567" w:hanging="567"/>
        <w:jc w:val="both"/>
        <w:rPr>
          <w:rFonts w:ascii="Times New Roman" w:hAnsi="Times New Roman" w:cs="Times New Roman"/>
          <w:noProof/>
          <w:sz w:val="24"/>
          <w:szCs w:val="24"/>
        </w:rPr>
      </w:pPr>
      <w:r>
        <w:rPr>
          <w:rFonts w:ascii="Times New Roman" w:hAnsi="Times New Roman"/>
          <w:noProof/>
          <w:sz w:val="24"/>
        </w:rPr>
        <w:t xml:space="preserve">Να ενθαρρυνθεί η Τουρκία να αυξήσει τις συνεισφορές της στις </w:t>
      </w:r>
      <w:r>
        <w:rPr>
          <w:rFonts w:ascii="Times New Roman" w:hAnsi="Times New Roman"/>
          <w:b/>
          <w:noProof/>
          <w:sz w:val="24"/>
        </w:rPr>
        <w:t>αποστολές και επιχειρήσεις της ΚΠΑΑ</w:t>
      </w:r>
      <w:r>
        <w:rPr>
          <w:rFonts w:ascii="Times New Roman" w:hAnsi="Times New Roman"/>
          <w:noProof/>
          <w:sz w:val="24"/>
        </w:rPr>
        <w:t>, σύμφωνα με τις σχετικές αποφάσεις του Συμβουλίου της ΕΕ, και να υιοθετήσει μια πιο εποικοδομητική προσέγγιση για την περαιτέρω ενίσχυση, εμβάθυνση και επέκταση της στρατηγικής εταιρικής σχέσης ΕΕ-ΝΑΤΟ.</w:t>
      </w:r>
      <w:r>
        <w:rPr>
          <w:rFonts w:ascii="Times New Roman" w:hAnsi="Times New Roman"/>
          <w:i/>
          <w:noProof/>
          <w:sz w:val="24"/>
        </w:rPr>
        <w:t xml:space="preserve"> </w:t>
      </w:r>
    </w:p>
    <w:p w14:paraId="5C4072B0" w14:textId="361AF15F" w:rsidR="006A3714" w:rsidRPr="00F7456D" w:rsidRDefault="006A3714" w:rsidP="00FB4B2D">
      <w:pPr>
        <w:spacing w:after="120" w:line="276" w:lineRule="auto"/>
        <w:rPr>
          <w:b/>
          <w:i/>
          <w:iCs/>
          <w:noProof/>
          <w:szCs w:val="24"/>
        </w:rPr>
      </w:pPr>
      <w:r>
        <w:rPr>
          <w:b/>
          <w:i/>
          <w:noProof/>
        </w:rPr>
        <w:t>Τομεακή συνεργασία</w:t>
      </w:r>
    </w:p>
    <w:p w14:paraId="67DF1B78" w14:textId="52EE1DD5" w:rsidR="006A3714" w:rsidRPr="00F7456D" w:rsidRDefault="006A3714" w:rsidP="00FB4B2D">
      <w:pPr>
        <w:spacing w:after="120" w:line="276" w:lineRule="auto"/>
        <w:rPr>
          <w:i/>
          <w:iCs/>
          <w:noProof/>
          <w:szCs w:val="24"/>
        </w:rPr>
      </w:pPr>
      <w:r>
        <w:rPr>
          <w:i/>
          <w:noProof/>
        </w:rPr>
        <w:t>Εμπόριο και συνδεσιμότητα</w:t>
      </w:r>
    </w:p>
    <w:p w14:paraId="19F24068" w14:textId="1F762C5F" w:rsidR="00D85B0D" w:rsidRPr="006352ED" w:rsidRDefault="006A3714"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Να αρχίσουν εκ νέου οι συζητήσεις σχετικά με το σχέδιο διαπραγματευτικού πλαισίου για τον </w:t>
      </w:r>
      <w:r>
        <w:rPr>
          <w:rFonts w:ascii="Times New Roman" w:hAnsi="Times New Roman"/>
          <w:b/>
          <w:noProof/>
          <w:sz w:val="24"/>
        </w:rPr>
        <w:t>εκσυγχρονισμό της τελωνειακής ένωσης ΕΕ-Τουρκίας</w:t>
      </w:r>
      <w:r>
        <w:rPr>
          <w:rFonts w:ascii="Times New Roman" w:hAnsi="Times New Roman"/>
          <w:noProof/>
          <w:sz w:val="24"/>
        </w:rPr>
        <w:t xml:space="preserve">, όπως προτάθηκε από την Επιτροπή, υπό την προϋπόθεση ότι η Τουρκία θα εξακολουθήσει να </w:t>
      </w:r>
      <w:r>
        <w:rPr>
          <w:rFonts w:ascii="Times New Roman" w:hAnsi="Times New Roman"/>
          <w:b/>
          <w:noProof/>
          <w:sz w:val="24"/>
        </w:rPr>
        <w:t>αντιμετωπίζει το ζήτημα της καταστρατήγησης</w:t>
      </w:r>
      <w:r>
        <w:rPr>
          <w:rFonts w:ascii="Times New Roman" w:hAnsi="Times New Roman"/>
          <w:noProof/>
          <w:sz w:val="24"/>
        </w:rPr>
        <w:t xml:space="preserve"> των περιοριστικών μέτρων της ΕΕ κατά της Ρωσίας μέσω του εδάφους της γρήγορα και αποτελεσματικά και θα συνεχίσει να </w:t>
      </w:r>
      <w:r>
        <w:rPr>
          <w:rFonts w:ascii="Times New Roman" w:hAnsi="Times New Roman"/>
          <w:b/>
          <w:noProof/>
          <w:sz w:val="24"/>
        </w:rPr>
        <w:t>εξαλείφει τους εμπορικούς φραγμούς</w:t>
      </w:r>
      <w:r>
        <w:rPr>
          <w:rFonts w:ascii="Times New Roman" w:hAnsi="Times New Roman"/>
          <w:noProof/>
          <w:sz w:val="24"/>
        </w:rPr>
        <w:t xml:space="preserve">. </w:t>
      </w:r>
    </w:p>
    <w:p w14:paraId="021A12DF" w14:textId="72746A43" w:rsidR="007E53E6" w:rsidRPr="006352ED" w:rsidRDefault="00714536"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Ειδικότερα, η Τουρκία θα πρέπει να εφαρμόσει αποτελεσματικά μέτρα για να </w:t>
      </w:r>
      <w:r>
        <w:rPr>
          <w:rFonts w:ascii="Times New Roman" w:hAnsi="Times New Roman"/>
          <w:b/>
          <w:noProof/>
          <w:sz w:val="24"/>
        </w:rPr>
        <w:t>σταματήσει η επανεξαγωγή κοινών ειδών υψηλής προτεραιότητας</w:t>
      </w:r>
      <w:r>
        <w:rPr>
          <w:rFonts w:ascii="Times New Roman" w:hAnsi="Times New Roman"/>
          <w:noProof/>
          <w:sz w:val="24"/>
        </w:rPr>
        <w:t xml:space="preserve"> </w:t>
      </w:r>
      <w:r>
        <w:rPr>
          <w:rFonts w:ascii="Times New Roman" w:hAnsi="Times New Roman"/>
          <w:b/>
          <w:noProof/>
          <w:sz w:val="24"/>
        </w:rPr>
        <w:t>(«ειδών πεδίου μάχης»)</w:t>
      </w:r>
      <w:r>
        <w:rPr>
          <w:rFonts w:ascii="Times New Roman" w:hAnsi="Times New Roman"/>
          <w:noProof/>
          <w:sz w:val="24"/>
        </w:rPr>
        <w:t xml:space="preserve">. </w:t>
      </w:r>
    </w:p>
    <w:p w14:paraId="0C36A6BD" w14:textId="41413DDD" w:rsidR="00D44195" w:rsidRPr="00F7456D" w:rsidRDefault="00D31768"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Στη βάση αυτή, και σε ένα ευρύτερο περιβάλλον που ευνοεί την επανέναρξη των συνομιλιών διευθέτησης του κυπριακού ζητήματος, το Συμβούλιο θα πρέπει να </w:t>
      </w:r>
      <w:r>
        <w:rPr>
          <w:rFonts w:ascii="Times New Roman" w:hAnsi="Times New Roman"/>
          <w:b/>
          <w:noProof/>
          <w:sz w:val="24"/>
        </w:rPr>
        <w:t>εγκρίνει τις διαπραγματευτικές οδηγίες</w:t>
      </w:r>
      <w:r>
        <w:rPr>
          <w:rFonts w:ascii="Times New Roman" w:hAnsi="Times New Roman"/>
          <w:noProof/>
          <w:sz w:val="24"/>
        </w:rPr>
        <w:t xml:space="preserve"> </w:t>
      </w:r>
      <w:r>
        <w:rPr>
          <w:rFonts w:ascii="Times New Roman" w:hAnsi="Times New Roman"/>
          <w:b/>
          <w:noProof/>
          <w:sz w:val="24"/>
        </w:rPr>
        <w:t>και να εξουσιοδοτήσει την Επιτροπή να αρχίσει</w:t>
      </w:r>
      <w:r>
        <w:rPr>
          <w:rFonts w:ascii="Times New Roman" w:hAnsi="Times New Roman"/>
          <w:noProof/>
          <w:sz w:val="24"/>
        </w:rPr>
        <w:t xml:space="preserve"> διαπραγματεύσεις για τον εκσυγχρονισμό της τελωνειακής ένωσης.</w:t>
      </w:r>
    </w:p>
    <w:p w14:paraId="60ADAC60" w14:textId="4D61D186" w:rsidR="00EE6888" w:rsidRPr="00F7456D" w:rsidRDefault="00864653"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Κατά περίπτωση και κατά το δυνατόν, να εξεταστεί το ενδεχόμενο χορήγησης </w:t>
      </w:r>
      <w:r>
        <w:rPr>
          <w:rFonts w:ascii="Times New Roman" w:hAnsi="Times New Roman"/>
          <w:b/>
          <w:noProof/>
          <w:sz w:val="24"/>
        </w:rPr>
        <w:t>πρόσβασης στην Τουρκία σε βάσεις δεδομένων της ΕΕ</w:t>
      </w:r>
      <w:r>
        <w:rPr>
          <w:rFonts w:ascii="Times New Roman" w:hAnsi="Times New Roman"/>
          <w:noProof/>
          <w:sz w:val="24"/>
        </w:rPr>
        <w:t xml:space="preserve"> που αφορούν την τεχνική νομοθεσία της ΕΕ, μόλις η Τουρκία εκπληρώσει τις αναγκαίες προϋποθέσεις.</w:t>
      </w:r>
    </w:p>
    <w:p w14:paraId="2C5E7D42" w14:textId="791C2C47" w:rsidR="006A3714" w:rsidRPr="00F7456D" w:rsidRDefault="008221C9" w:rsidP="00FB4B2D">
      <w:pPr>
        <w:pStyle w:val="ListParagraph"/>
        <w:numPr>
          <w:ilvl w:val="0"/>
          <w:numId w:val="22"/>
        </w:numPr>
        <w:spacing w:after="120" w:line="276" w:lineRule="auto"/>
        <w:jc w:val="both"/>
        <w:rPr>
          <w:rFonts w:ascii="Times New Roman" w:hAnsi="Times New Roman" w:cs="Times New Roman"/>
          <w:b/>
          <w:bCs/>
          <w:noProof/>
          <w:sz w:val="24"/>
          <w:szCs w:val="24"/>
        </w:rPr>
      </w:pPr>
      <w:r>
        <w:rPr>
          <w:rFonts w:ascii="Times New Roman" w:hAnsi="Times New Roman"/>
          <w:noProof/>
          <w:sz w:val="24"/>
        </w:rPr>
        <w:t xml:space="preserve">Να εγκριθούν νέες διαπραγματευτικές οδηγίες για μια </w:t>
      </w:r>
      <w:r>
        <w:rPr>
          <w:rFonts w:ascii="Times New Roman" w:hAnsi="Times New Roman"/>
          <w:b/>
          <w:noProof/>
          <w:sz w:val="24"/>
        </w:rPr>
        <w:t>συνολική συμφωνία αεροπορικών μεταφορών.</w:t>
      </w:r>
    </w:p>
    <w:p w14:paraId="0E98A734" w14:textId="77777777" w:rsidR="00D31768" w:rsidRPr="006352ED" w:rsidRDefault="00D31768" w:rsidP="00FB4B2D">
      <w:pPr>
        <w:suppressAutoHyphens/>
        <w:spacing w:after="120" w:line="276" w:lineRule="auto"/>
        <w:rPr>
          <w:i/>
          <w:noProof/>
          <w:szCs w:val="24"/>
        </w:rPr>
      </w:pPr>
      <w:r>
        <w:rPr>
          <w:i/>
          <w:noProof/>
        </w:rPr>
        <w:t>Επενδύσεις</w:t>
      </w:r>
    </w:p>
    <w:p w14:paraId="1153338F" w14:textId="3DCAF115" w:rsidR="00D31768" w:rsidRPr="00D31768" w:rsidRDefault="00D31768" w:rsidP="00FB4B2D">
      <w:pPr>
        <w:pStyle w:val="ListParagraph"/>
        <w:numPr>
          <w:ilvl w:val="0"/>
          <w:numId w:val="5"/>
        </w:numPr>
        <w:suppressAutoHyphens/>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Να επισπευσθεί η υπογραφή συμβάσεων στο πλαίσιο της </w:t>
      </w:r>
      <w:r>
        <w:rPr>
          <w:rFonts w:ascii="Times New Roman" w:hAnsi="Times New Roman"/>
          <w:b/>
          <w:noProof/>
          <w:sz w:val="24"/>
        </w:rPr>
        <w:t>επενδυτικής πλατφόρμας για την Τουρκία</w:t>
      </w:r>
      <w:r>
        <w:rPr>
          <w:rFonts w:ascii="Times New Roman" w:hAnsi="Times New Roman"/>
          <w:noProof/>
          <w:sz w:val="24"/>
        </w:rPr>
        <w:t xml:space="preserve"> με σκοπό την τόνωση των δημόσιων και ιδιωτικών επενδύσεων, ιδίως στους τομείς της συνδεσιμότητας, της ψηφιακής τεχνολογίας, της ενέργειας, των μεταφορών και της πράσινης συμφωνίας, σε στενή συνεργασία με ευρωπαϊκά και διεθνή χρηματοπιστωτικά ιδρύματα.</w:t>
      </w:r>
    </w:p>
    <w:p w14:paraId="3FEDBB3B" w14:textId="2D8F770A" w:rsidR="00D31768" w:rsidRDefault="00064C75"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Η </w:t>
      </w:r>
      <w:r>
        <w:rPr>
          <w:rFonts w:ascii="Times New Roman" w:hAnsi="Times New Roman"/>
          <w:b/>
          <w:noProof/>
          <w:sz w:val="24"/>
        </w:rPr>
        <w:t>Ευρωπαϊκή Τράπεζα Επενδύσεων</w:t>
      </w:r>
      <w:r>
        <w:rPr>
          <w:rFonts w:ascii="Times New Roman" w:hAnsi="Times New Roman"/>
          <w:noProof/>
          <w:sz w:val="24"/>
        </w:rPr>
        <w:t xml:space="preserve"> καλείται να συνεχίσει τις δραστηριότητές της σε όλους τους τομείς στην Τουρκία.</w:t>
      </w:r>
    </w:p>
    <w:p w14:paraId="1C072AFD" w14:textId="63C47387" w:rsidR="00B55AA7" w:rsidRPr="00F7456D" w:rsidRDefault="00B55AA7" w:rsidP="00FB4B2D">
      <w:pPr>
        <w:spacing w:after="120" w:line="276" w:lineRule="auto"/>
        <w:rPr>
          <w:i/>
          <w:iCs/>
          <w:noProof/>
          <w:szCs w:val="24"/>
        </w:rPr>
      </w:pPr>
      <w:r>
        <w:rPr>
          <w:i/>
          <w:noProof/>
        </w:rPr>
        <w:t>Διαχείριση της μετανάστευσης και χρηματοδοτική στήριξη για τους πρόσφυγες και τις κοινότητες υποδοχής</w:t>
      </w:r>
    </w:p>
    <w:p w14:paraId="0C4BC723" w14:textId="67E58645" w:rsidR="00B55AA7" w:rsidRPr="00F7456D" w:rsidRDefault="00E9669F" w:rsidP="00FB4B2D">
      <w:pPr>
        <w:pStyle w:val="ListParagraph"/>
        <w:numPr>
          <w:ilvl w:val="0"/>
          <w:numId w:val="5"/>
        </w:numPr>
        <w:spacing w:after="120" w:line="276" w:lineRule="auto"/>
        <w:jc w:val="both"/>
        <w:rPr>
          <w:rFonts w:ascii="Times New Roman" w:hAnsi="Times New Roman" w:cs="Times New Roman"/>
          <w:noProof/>
          <w:sz w:val="24"/>
          <w:szCs w:val="24"/>
        </w:rPr>
      </w:pPr>
      <w:bookmarkStart w:id="13" w:name="_Hlk149592795"/>
      <w:bookmarkEnd w:id="12"/>
      <w:r>
        <w:rPr>
          <w:rFonts w:ascii="Times New Roman" w:hAnsi="Times New Roman"/>
          <w:noProof/>
          <w:sz w:val="24"/>
        </w:rPr>
        <w:t xml:space="preserve">Απαιτείται αποτελεσματικότερη και αμοιβαία επωφελής εφαρμογή των βασικών τομέων της </w:t>
      </w:r>
      <w:r>
        <w:rPr>
          <w:rFonts w:ascii="Times New Roman" w:hAnsi="Times New Roman"/>
          <w:b/>
          <w:noProof/>
          <w:sz w:val="24"/>
        </w:rPr>
        <w:t>δήλωσης ΕΕ-Τουρκίας του 2016</w:t>
      </w:r>
      <w:r>
        <w:rPr>
          <w:rFonts w:ascii="Times New Roman" w:hAnsi="Times New Roman"/>
          <w:noProof/>
          <w:sz w:val="24"/>
        </w:rPr>
        <w:t xml:space="preserve">, ιδίως όσον αφορά τη διαχείριση της μετανάστευσης, παράλληλα με τις ακόλουθες ενέργειες: </w:t>
      </w:r>
    </w:p>
    <w:p w14:paraId="43E78C38" w14:textId="73D68E40" w:rsidR="00B55AA7" w:rsidRPr="00F7456D" w:rsidRDefault="00864653"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b/>
          <w:noProof/>
          <w:sz w:val="24"/>
        </w:rPr>
        <w:t>Να ενταθούν οι προσπάθειες της Τουρκίας για την αναχαίτιση των αντικανονικών μεταναστευτικών</w:t>
      </w:r>
      <w:r>
        <w:rPr>
          <w:rFonts w:ascii="Times New Roman" w:hAnsi="Times New Roman"/>
          <w:noProof/>
          <w:sz w:val="24"/>
        </w:rPr>
        <w:t xml:space="preserve"> ροών προς την ΕΕ, με την αποτροπή των αναχωρήσεων και την εξάρθρωση των εγκληματικών δικτύων παράνομης διακίνησης που τις διευκολύνουν, καθώς και με την ενίσχυση της προστασίας των συνόρων, με βάση τη θετική τάση αυξημένης αναχαίτισης των διακινητών μεταναστών και μείωσης των αντικανονικών αναχωρήσεων που έχει παρατηρηθεί από τον Οκτώβριο. </w:t>
      </w:r>
    </w:p>
    <w:p w14:paraId="089F9906" w14:textId="55170EE2" w:rsidR="00E9202C" w:rsidRPr="00F7456D" w:rsidRDefault="00864653"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b/>
          <w:noProof/>
          <w:sz w:val="24"/>
        </w:rPr>
        <w:t>Να ενισχυθεί η συνεργασία της ΕΕ και των κρατών μελών</w:t>
      </w:r>
      <w:r>
        <w:rPr>
          <w:rFonts w:ascii="Times New Roman" w:hAnsi="Times New Roman"/>
          <w:noProof/>
          <w:sz w:val="24"/>
        </w:rPr>
        <w:t xml:space="preserve"> </w:t>
      </w:r>
      <w:r>
        <w:rPr>
          <w:rFonts w:ascii="Times New Roman" w:hAnsi="Times New Roman"/>
          <w:b/>
          <w:noProof/>
          <w:sz w:val="24"/>
        </w:rPr>
        <w:t>με την Τουρκία</w:t>
      </w:r>
      <w:r>
        <w:rPr>
          <w:rFonts w:ascii="Times New Roman" w:hAnsi="Times New Roman"/>
          <w:noProof/>
          <w:sz w:val="24"/>
        </w:rPr>
        <w:t xml:space="preserve"> στο πλαίσιο της προσέγγισης «Ομάδα Ευρώπη». Ο πολιτικός και τεχνικός διάλογος βρίσκεται σε εξέλιξη, μετά τον πρόσφατο διάλογο υψηλού επιπέδου ΕΕ-Τουρκίας για τη μετανάστευση και την ασφάλεια, της 23ης Νοεμβρίου 2023, και περιλαμβάνει μεταξύ άλλων την ενίσχυση της συνεργασίας των οργανισμών της ΕΕ και της Τουρκίας για τη μετανάστευση και την επιβολή του νόμου.</w:t>
      </w:r>
    </w:p>
    <w:p w14:paraId="55CBAF63" w14:textId="091C225E" w:rsidR="00EC04C7" w:rsidRPr="00F7456D" w:rsidRDefault="00864653" w:rsidP="00FB4B2D">
      <w:pPr>
        <w:numPr>
          <w:ilvl w:val="0"/>
          <w:numId w:val="5"/>
        </w:numPr>
        <w:spacing w:after="120" w:line="276" w:lineRule="auto"/>
        <w:rPr>
          <w:rFonts w:eastAsiaTheme="minorHAnsi"/>
          <w:noProof/>
          <w:szCs w:val="24"/>
        </w:rPr>
      </w:pPr>
      <w:r>
        <w:rPr>
          <w:b/>
          <w:noProof/>
        </w:rPr>
        <w:t xml:space="preserve">Να συνεχιστούν οι επανεισδοχές </w:t>
      </w:r>
      <w:r>
        <w:rPr>
          <w:noProof/>
        </w:rPr>
        <w:t xml:space="preserve">από τα ελληνικά νησιά και να αντιμετωπιστεί η μεταναστευτική κατάσταση στην </w:t>
      </w:r>
      <w:r>
        <w:rPr>
          <w:b/>
          <w:noProof/>
        </w:rPr>
        <w:t>Κύπρο</w:t>
      </w:r>
      <w:r>
        <w:rPr>
          <w:noProof/>
        </w:rPr>
        <w:t xml:space="preserve">, καθώς και </w:t>
      </w:r>
      <w:r>
        <w:rPr>
          <w:b/>
          <w:noProof/>
        </w:rPr>
        <w:t>να εμποδιστούν οι αντικανονικές αναχωρήσεις σε διαδρομές προς την ΕΕ</w:t>
      </w:r>
      <w:r>
        <w:rPr>
          <w:noProof/>
        </w:rPr>
        <w:t>, με βάση την πρόσφατη αύξηση των συλλήψεων διακινητών μεταναστών και τη μείωση των αντικανονικών αναχωρήσεων από τον Οκτώβριο του 2023.</w:t>
      </w:r>
    </w:p>
    <w:p w14:paraId="7D79568C" w14:textId="6C4A493B" w:rsidR="00EC04C7" w:rsidRPr="00F7456D" w:rsidRDefault="00864653"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Να συνεχιστεί η εν εξελίξει συνεργασία με τις τουρκικές αρχές και τις αεροπορικές εταιρείες για τη βελτίωση της αποτελεσματικότητας του ελέγχου επιβατών και των συνοριακών ελέγχων </w:t>
      </w:r>
      <w:r>
        <w:rPr>
          <w:rFonts w:ascii="Times New Roman" w:hAnsi="Times New Roman"/>
          <w:b/>
          <w:noProof/>
          <w:sz w:val="24"/>
        </w:rPr>
        <w:t>στον αερολιμένα της Κωνσταντινούπολης</w:t>
      </w:r>
      <w:r>
        <w:rPr>
          <w:rFonts w:ascii="Times New Roman" w:hAnsi="Times New Roman"/>
          <w:noProof/>
          <w:sz w:val="24"/>
        </w:rPr>
        <w:t xml:space="preserve">. </w:t>
      </w:r>
    </w:p>
    <w:p w14:paraId="4517BE12" w14:textId="5291E690" w:rsidR="005172A7" w:rsidRDefault="00B63502" w:rsidP="00FB4B2D">
      <w:pPr>
        <w:pStyle w:val="ListParagraph"/>
        <w:numPr>
          <w:ilvl w:val="0"/>
          <w:numId w:val="5"/>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Αντιστρόφως, τα κράτη μέλη της ΕΕ να επιταχύνουν τις </w:t>
      </w:r>
      <w:r>
        <w:rPr>
          <w:rFonts w:ascii="Times New Roman" w:hAnsi="Times New Roman"/>
          <w:b/>
          <w:noProof/>
          <w:sz w:val="24"/>
        </w:rPr>
        <w:t>επανεγκαταστάσεις από την Τουρκία</w:t>
      </w:r>
      <w:r>
        <w:rPr>
          <w:rFonts w:ascii="Times New Roman" w:hAnsi="Times New Roman"/>
          <w:noProof/>
          <w:sz w:val="24"/>
        </w:rPr>
        <w:t xml:space="preserve"> </w:t>
      </w:r>
      <w:r>
        <w:rPr>
          <w:rFonts w:ascii="Times New Roman" w:hAnsi="Times New Roman"/>
          <w:b/>
          <w:noProof/>
          <w:sz w:val="24"/>
        </w:rPr>
        <w:t>στην Ένωση</w:t>
      </w:r>
      <w:r>
        <w:rPr>
          <w:rFonts w:ascii="Times New Roman" w:hAnsi="Times New Roman"/>
          <w:noProof/>
          <w:sz w:val="24"/>
        </w:rPr>
        <w:t>, με βάση την πρόοδο που έχει σημειωθεί μέχρι στιγμής. Θα πρέπει να ληφθούν υπόψη ιδίως οι πλέον ευάλωτες ομάδες Σύριων προσφύγων στην Τουρκία. Να εξεταστεί το ενδεχόμενο ενεργοποίησης του εθελοντικού προγράμματος εισδοχής για ανθρωπιστικούς λόγους.</w:t>
      </w:r>
    </w:p>
    <w:p w14:paraId="5043B417" w14:textId="7DCC2439" w:rsidR="00B55AA7" w:rsidRDefault="009A759D" w:rsidP="00FB4B2D">
      <w:pPr>
        <w:pStyle w:val="ListParagraph"/>
        <w:numPr>
          <w:ilvl w:val="0"/>
          <w:numId w:val="5"/>
        </w:numPr>
        <w:suppressAutoHyphens/>
        <w:spacing w:after="120" w:line="276"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Να συνεχιστεί η </w:t>
      </w:r>
      <w:r>
        <w:rPr>
          <w:rFonts w:ascii="Times New Roman" w:hAnsi="Times New Roman"/>
          <w:b/>
          <w:noProof/>
          <w:sz w:val="24"/>
        </w:rPr>
        <w:t>στήριξη των προσφύγων και των κοινοτήτων υποδοχής</w:t>
      </w:r>
      <w:r>
        <w:rPr>
          <w:rFonts w:ascii="Times New Roman" w:hAnsi="Times New Roman"/>
          <w:noProof/>
          <w:sz w:val="24"/>
        </w:rPr>
        <w:t xml:space="preserve"> στην Τουρκία, όπως προτάθηκε από την Επιτροπή στην ενδιάμεση επανεξέταση του πολυετούς δημοσιονομικού πλαισίου της ΕΕ. Αυτή θα βασιστεί στην επιτυχή και αποτελεσματική βοήθεια των τελευταίων ετών, που είναι κατάλληλη για την τρέχουσα πραγματικότητα επιτόπου.</w:t>
      </w:r>
    </w:p>
    <w:p w14:paraId="6B8CF482" w14:textId="0B12F995" w:rsidR="00F11843" w:rsidRPr="00F11843" w:rsidRDefault="00F11843" w:rsidP="00FB4B2D">
      <w:pPr>
        <w:pStyle w:val="ListParagraph"/>
        <w:numPr>
          <w:ilvl w:val="0"/>
          <w:numId w:val="5"/>
        </w:numPr>
        <w:suppressAutoHyphens/>
        <w:spacing w:after="120" w:line="276" w:lineRule="auto"/>
        <w:ind w:left="714"/>
        <w:contextualSpacing w:val="0"/>
        <w:jc w:val="both"/>
        <w:rPr>
          <w:rFonts w:ascii="Times New Roman" w:hAnsi="Times New Roman" w:cs="Times New Roman"/>
          <w:noProof/>
          <w:sz w:val="24"/>
          <w:szCs w:val="24"/>
        </w:rPr>
      </w:pPr>
      <w:r>
        <w:rPr>
          <w:rFonts w:ascii="Times New Roman" w:hAnsi="Times New Roman"/>
          <w:noProof/>
          <w:sz w:val="24"/>
        </w:rPr>
        <w:t xml:space="preserve">Να στηριχθούν οι </w:t>
      </w:r>
      <w:r>
        <w:rPr>
          <w:rFonts w:ascii="Times New Roman" w:hAnsi="Times New Roman"/>
          <w:b/>
          <w:noProof/>
          <w:sz w:val="24"/>
        </w:rPr>
        <w:t>ασφαλείς, αξιοπρεπείς και οικειοθελείς επιστροφές στις χώρες καταγωγής</w:t>
      </w:r>
      <w:r>
        <w:rPr>
          <w:rFonts w:ascii="Times New Roman" w:hAnsi="Times New Roman"/>
          <w:noProof/>
          <w:sz w:val="24"/>
        </w:rPr>
        <w:t>, σε στενή συνεργασία με τον ΔΟΜ και την Ύπατη Αρμοστεία των Ηνωμένων Εθνών για τους Πρόσφυγες.</w:t>
      </w:r>
    </w:p>
    <w:p w14:paraId="5F74E444" w14:textId="64FAEAE5" w:rsidR="00B55AA7" w:rsidRPr="004F15E9" w:rsidRDefault="00B55AA7" w:rsidP="00FB4B2D">
      <w:pPr>
        <w:spacing w:after="120" w:line="276" w:lineRule="auto"/>
        <w:rPr>
          <w:i/>
          <w:iCs/>
          <w:noProof/>
          <w:szCs w:val="24"/>
        </w:rPr>
      </w:pPr>
      <w:r>
        <w:rPr>
          <w:i/>
          <w:noProof/>
        </w:rPr>
        <w:t>Διαδικασίες χορήγησης θεώρησης</w:t>
      </w:r>
    </w:p>
    <w:p w14:paraId="62B7383A" w14:textId="046106E5" w:rsidR="00227113" w:rsidRPr="004F15E9" w:rsidRDefault="00864653" w:rsidP="00FB4B2D">
      <w:pPr>
        <w:pStyle w:val="ListParagraph"/>
        <w:numPr>
          <w:ilvl w:val="0"/>
          <w:numId w:val="5"/>
        </w:numPr>
        <w:suppressAutoHyphens/>
        <w:spacing w:after="120" w:line="276"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Σε συνεργασία με τα κράτη μέλη, να διερευνηθούν κατά προτεραιότητα οι δυνατότητες </w:t>
      </w:r>
      <w:r>
        <w:rPr>
          <w:rFonts w:ascii="Times New Roman" w:hAnsi="Times New Roman"/>
          <w:b/>
          <w:noProof/>
          <w:sz w:val="24"/>
        </w:rPr>
        <w:t>διευκόλυνσης της πρόσβασης σε αιτήσεις θεώρησης</w:t>
      </w:r>
      <w:r>
        <w:rPr>
          <w:rFonts w:ascii="Times New Roman" w:hAnsi="Times New Roman"/>
          <w:noProof/>
          <w:sz w:val="24"/>
        </w:rPr>
        <w:t xml:space="preserve">, ιδίως για ορισμένες ειδικές κατηγορίες Τούρκων πολιτών όταν υποβάλλουν αίτηση θεώρησης στην ΕΕ (επιχειρηματίες, φοιτητές, Τούρκοι πολίτες με μέλη της οικογένειάς τους στην ΕΕ κ.λπ.). </w:t>
      </w:r>
      <w:bookmarkStart w:id="14" w:name="_Hlk133513661"/>
      <w:r>
        <w:rPr>
          <w:rFonts w:ascii="Times New Roman" w:hAnsi="Times New Roman"/>
          <w:noProof/>
          <w:sz w:val="24"/>
        </w:rPr>
        <w:t xml:space="preserve">Εν προκειμένω θα πρέπει επίσης να περιλαμβάνεται η </w:t>
      </w:r>
      <w:r>
        <w:rPr>
          <w:rFonts w:ascii="Times New Roman" w:hAnsi="Times New Roman"/>
          <w:b/>
          <w:noProof/>
          <w:sz w:val="24"/>
        </w:rPr>
        <w:t>πλήρης αξιοποίηση των δυνατοτήτων ευελιξίας</w:t>
      </w:r>
      <w:r>
        <w:rPr>
          <w:rFonts w:ascii="Times New Roman" w:hAnsi="Times New Roman"/>
          <w:noProof/>
          <w:sz w:val="24"/>
        </w:rPr>
        <w:t xml:space="preserve"> που παρέχει ο κώδικας θεωρήσεων, ώστε να επιτρέπεται η έκδοση θεωρήσεων πολλαπλών εισόδων μακράς ισχύος.</w:t>
      </w:r>
      <w:bookmarkEnd w:id="14"/>
    </w:p>
    <w:bookmarkEnd w:id="13"/>
    <w:p w14:paraId="7BA4395C" w14:textId="77777777" w:rsidR="00864653" w:rsidRPr="00547D76" w:rsidRDefault="00864653" w:rsidP="00FB4B2D">
      <w:pPr>
        <w:spacing w:after="120" w:line="276" w:lineRule="auto"/>
        <w:rPr>
          <w:rFonts w:eastAsiaTheme="minorHAnsi"/>
          <w:noProof/>
          <w:szCs w:val="24"/>
        </w:rPr>
      </w:pPr>
    </w:p>
    <w:p w14:paraId="18DAE08D" w14:textId="2292FA97" w:rsidR="008920B2" w:rsidRPr="004F15E9" w:rsidRDefault="008920B2" w:rsidP="00FB4B2D">
      <w:pPr>
        <w:spacing w:after="120" w:line="276" w:lineRule="auto"/>
        <w:rPr>
          <w:noProof/>
          <w:szCs w:val="24"/>
        </w:rPr>
      </w:pPr>
      <w:r>
        <w:rPr>
          <w:noProof/>
        </w:rPr>
        <w:t>Η Επιτροπή και ο ύπατος εκπρόσωπος θα ενημερώσουν το Ευρωπαϊκό Συμβούλιο σχετικά με την τρέχουσα κατάσταση όσον αφορά τα προαναφερθέντα μέτρα, όπως απαιτείται.</w:t>
      </w:r>
      <w:bookmarkEnd w:id="11"/>
    </w:p>
    <w:sectPr w:rsidR="008920B2" w:rsidRPr="004F15E9" w:rsidSect="002766D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276"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E6F3B" w14:textId="77777777" w:rsidR="00B748D1" w:rsidRDefault="00B748D1" w:rsidP="00294A6B">
      <w:pPr>
        <w:spacing w:after="0"/>
      </w:pPr>
      <w:r>
        <w:separator/>
      </w:r>
    </w:p>
  </w:endnote>
  <w:endnote w:type="continuationSeparator" w:id="0">
    <w:p w14:paraId="6D019F18" w14:textId="77777777" w:rsidR="00B748D1" w:rsidRDefault="00B748D1" w:rsidP="00294A6B">
      <w:pPr>
        <w:spacing w:after="0"/>
      </w:pPr>
      <w:r>
        <w:continuationSeparator/>
      </w:r>
    </w:p>
  </w:endnote>
  <w:endnote w:type="continuationNotice" w:id="1">
    <w:p w14:paraId="4EF1EFC1" w14:textId="77777777" w:rsidR="00B748D1" w:rsidRDefault="00B748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8D4D" w14:textId="300337CB" w:rsidR="00CC0728" w:rsidRPr="00AB1F65" w:rsidRDefault="00CC0728" w:rsidP="00AB1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C107" w14:textId="72F96897" w:rsidR="00CC0728" w:rsidRPr="00AB1F65" w:rsidRDefault="00AB1F65" w:rsidP="00AB1F65">
    <w:pPr>
      <w:pStyle w:val="FooterCoverPage"/>
      <w:rPr>
        <w:rFonts w:ascii="Arial" w:hAnsi="Arial" w:cs="Arial"/>
        <w:b/>
        <w:sz w:val="48"/>
      </w:rPr>
    </w:pPr>
    <w:r w:rsidRPr="00AB1F65">
      <w:rPr>
        <w:rFonts w:ascii="Arial" w:hAnsi="Arial" w:cs="Arial"/>
        <w:b/>
        <w:sz w:val="48"/>
      </w:rPr>
      <w:t>EL</w:t>
    </w:r>
    <w:r w:rsidRPr="00AB1F65">
      <w:rPr>
        <w:rFonts w:ascii="Arial" w:hAnsi="Arial" w:cs="Arial"/>
        <w:b/>
        <w:sz w:val="48"/>
      </w:rPr>
      <w:tab/>
    </w:r>
    <w:r w:rsidRPr="00AB1F65">
      <w:rPr>
        <w:rFonts w:ascii="Arial" w:hAnsi="Arial" w:cs="Arial"/>
        <w:b/>
        <w:sz w:val="48"/>
      </w:rPr>
      <w:tab/>
    </w:r>
    <w:r w:rsidRPr="00AB1F65">
      <w:tab/>
    </w:r>
    <w:r w:rsidRPr="00AB1F65">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A83DB" w14:textId="77777777" w:rsidR="00AB1F65" w:rsidRPr="00AB1F65" w:rsidRDefault="00AB1F65" w:rsidP="00AB1F6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23D3" w14:textId="77777777" w:rsidR="002766D5" w:rsidRDefault="002766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157653"/>
      <w:docPartObj>
        <w:docPartGallery w:val="Page Numbers (Bottom of Page)"/>
        <w:docPartUnique/>
      </w:docPartObj>
    </w:sdtPr>
    <w:sdtEndPr>
      <w:rPr>
        <w:noProof/>
      </w:rPr>
    </w:sdtEndPr>
    <w:sdtContent>
      <w:p w14:paraId="3882AAA7" w14:textId="2D3AB72B" w:rsidR="002766D5" w:rsidRDefault="002766D5">
        <w:pPr>
          <w:pStyle w:val="Footer"/>
          <w:jc w:val="center"/>
        </w:pPr>
        <w:r>
          <w:fldChar w:fldCharType="begin"/>
        </w:r>
        <w:r>
          <w:instrText xml:space="preserve"> PAGE   \* MERGEFORMAT </w:instrText>
        </w:r>
        <w:r>
          <w:fldChar w:fldCharType="separate"/>
        </w:r>
        <w:r w:rsidR="00AB1F65">
          <w:rPr>
            <w:noProof/>
          </w:rPr>
          <w:t>1</w:t>
        </w:r>
        <w:r>
          <w:fldChar w:fldCharType="end"/>
        </w:r>
      </w:p>
    </w:sdtContent>
  </w:sdt>
  <w:p w14:paraId="07D98F2E" w14:textId="77777777" w:rsidR="002766D5" w:rsidRDefault="002766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A978" w14:textId="77777777" w:rsidR="002766D5" w:rsidRDefault="00276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BE10" w14:textId="77777777" w:rsidR="00B748D1" w:rsidRDefault="00B748D1" w:rsidP="00294A6B">
      <w:pPr>
        <w:spacing w:after="0"/>
      </w:pPr>
      <w:r>
        <w:separator/>
      </w:r>
    </w:p>
  </w:footnote>
  <w:footnote w:type="continuationSeparator" w:id="0">
    <w:p w14:paraId="34FBDEF0" w14:textId="77777777" w:rsidR="00B748D1" w:rsidRDefault="00B748D1" w:rsidP="00294A6B">
      <w:pPr>
        <w:spacing w:after="0"/>
      </w:pPr>
      <w:r>
        <w:continuationSeparator/>
      </w:r>
    </w:p>
  </w:footnote>
  <w:footnote w:type="continuationNotice" w:id="1">
    <w:p w14:paraId="690CBDFF" w14:textId="77777777" w:rsidR="00B748D1" w:rsidRDefault="00B748D1">
      <w:pPr>
        <w:spacing w:after="0"/>
      </w:pPr>
    </w:p>
  </w:footnote>
  <w:footnote w:id="2">
    <w:p w14:paraId="52C3641B" w14:textId="77777777" w:rsidR="002B683D" w:rsidRPr="00547D76" w:rsidRDefault="002B683D" w:rsidP="002B683D">
      <w:pPr>
        <w:pStyle w:val="FootnoteText"/>
        <w:rPr>
          <w:lang w:val="en-IE"/>
        </w:rPr>
      </w:pPr>
      <w:r>
        <w:rPr>
          <w:rStyle w:val="FootnoteReference"/>
        </w:rPr>
        <w:footnoteRef/>
      </w:r>
      <w:r w:rsidRPr="00547D76">
        <w:rPr>
          <w:lang w:val="en-IE"/>
        </w:rPr>
        <w:t xml:space="preserve"> JOIN(2021) 8 final/2 </w:t>
      </w:r>
      <w:r>
        <w:t>της</w:t>
      </w:r>
      <w:r w:rsidRPr="00547D76">
        <w:rPr>
          <w:lang w:val="en-IE"/>
        </w:rPr>
        <w:t xml:space="preserve"> 22.03.2021.</w:t>
      </w:r>
    </w:p>
  </w:footnote>
  <w:footnote w:id="3">
    <w:p w14:paraId="2CE4366D" w14:textId="77777777" w:rsidR="002B683D" w:rsidRPr="00547D76" w:rsidRDefault="002B683D" w:rsidP="002B683D">
      <w:pPr>
        <w:pStyle w:val="FootnoteText"/>
        <w:rPr>
          <w:lang w:val="en-IE"/>
        </w:rPr>
      </w:pPr>
      <w:r>
        <w:rPr>
          <w:rStyle w:val="FootnoteReference"/>
        </w:rPr>
        <w:footnoteRef/>
      </w:r>
      <w:r w:rsidRPr="00547D76">
        <w:rPr>
          <w:lang w:val="en-IE"/>
        </w:rPr>
        <w:t xml:space="preserve"> COM(2023) 690 final </w:t>
      </w:r>
      <w:r>
        <w:t>και</w:t>
      </w:r>
      <w:r w:rsidRPr="00547D76">
        <w:rPr>
          <w:lang w:val="en-IE"/>
        </w:rPr>
        <w:t xml:space="preserve"> SWD(2023) 696 final </w:t>
      </w:r>
      <w:r>
        <w:t>της</w:t>
      </w:r>
      <w:r w:rsidRPr="00547D76">
        <w:rPr>
          <w:lang w:val="en-IE"/>
        </w:rPr>
        <w:t xml:space="preserve"> 8.11.2023.</w:t>
      </w:r>
    </w:p>
  </w:footnote>
  <w:footnote w:id="4">
    <w:p w14:paraId="1C2EC989" w14:textId="77777777" w:rsidR="003C39C4" w:rsidRDefault="003C39C4" w:rsidP="003C39C4">
      <w:pPr>
        <w:pStyle w:val="FootnoteText"/>
      </w:pPr>
      <w:r>
        <w:rPr>
          <w:rStyle w:val="FootnoteReference"/>
        </w:rPr>
        <w:footnoteRef/>
      </w:r>
      <w:r>
        <w:t xml:space="preserve"> Δήλωση των μελών του Ευρωπαϊκού Συμβουλίου σχετικά με την κατάσταση στη Μέση Ανατολή — 15 Οκτωβρίου 2023</w:t>
      </w:r>
    </w:p>
  </w:footnote>
  <w:footnote w:id="5">
    <w:p w14:paraId="32A8A564" w14:textId="77777777" w:rsidR="001F58DD" w:rsidRDefault="001F58DD" w:rsidP="001F58DD">
      <w:pPr>
        <w:pStyle w:val="FootnoteText"/>
      </w:pPr>
      <w:r>
        <w:t>*  Η ονομασία αυτή χρησιμοποιείται με την επιφύλαξη των θέσεων ως προς το καθεστώς και συνάδει με την απόφαση 1244/1999 του Συμβουλίου Ασφαλείας των Ηνωμένων Εθνών και τη γνωμοδότηση του Διεθνούς Δικαστηρίου σχετικά με τη διακήρυξη της ανεξαρτησίας του Κοσόβου.</w:t>
      </w:r>
    </w:p>
    <w:p w14:paraId="49F65932" w14:textId="776B9CED" w:rsidR="003C39C4" w:rsidRPr="00547D76" w:rsidRDefault="003C39C4" w:rsidP="003C39C4">
      <w:pPr>
        <w:pStyle w:val="FootnoteText"/>
        <w:rPr>
          <w:lang w:val="en-IE"/>
        </w:rPr>
      </w:pPr>
      <w:r>
        <w:rPr>
          <w:rStyle w:val="FootnoteReference"/>
        </w:rPr>
        <w:footnoteRef/>
      </w:r>
      <w:r w:rsidRPr="00547D76">
        <w:rPr>
          <w:lang w:val="en-IE"/>
        </w:rPr>
        <w:t xml:space="preserve"> </w:t>
      </w:r>
      <w:hyperlink r:id="rId1" w:history="1">
        <w:r w:rsidRPr="00547D76">
          <w:rPr>
            <w:rStyle w:val="Hyperlink"/>
            <w:lang w:val="en-IE"/>
          </w:rPr>
          <w:t>ST-7371-2022-INIT_el.pdf (SECURED) (europa.eu)</w:t>
        </w:r>
      </w:hyperlink>
    </w:p>
  </w:footnote>
  <w:footnote w:id="6">
    <w:p w14:paraId="24FAC23C" w14:textId="070196A6" w:rsidR="00C76A42" w:rsidRPr="003D6360" w:rsidRDefault="00C76A42">
      <w:pPr>
        <w:pStyle w:val="FootnoteText"/>
      </w:pPr>
      <w:r>
        <w:rPr>
          <w:rStyle w:val="FootnoteReference"/>
        </w:rPr>
        <w:footnoteRef/>
      </w:r>
      <w:r>
        <w:t xml:space="preserve"> ΕΕ L 361 της 31.12.1977, σ. 29.</w:t>
      </w:r>
    </w:p>
  </w:footnote>
  <w:footnote w:id="7">
    <w:p w14:paraId="7837B359" w14:textId="0F9AC0D7" w:rsidR="00660A0F" w:rsidRPr="003D6360" w:rsidRDefault="00660A0F">
      <w:pPr>
        <w:pStyle w:val="FootnoteText"/>
      </w:pPr>
      <w:r>
        <w:rPr>
          <w:rStyle w:val="FootnoteReference"/>
        </w:rPr>
        <w:footnoteRef/>
      </w:r>
      <w:r>
        <w:t xml:space="preserve"> </w:t>
      </w:r>
      <w:hyperlink r:id="rId2" w:history="1">
        <w:r>
          <w:rPr>
            <w:rStyle w:val="Hyperlink"/>
          </w:rPr>
          <w:t>https://data.consilium.europa.eu/doc/document/ST-15935-2022-INIT/el/pdf</w:t>
        </w:r>
      </w:hyperlink>
      <w:r>
        <w:t xml:space="preserve"> </w:t>
      </w:r>
    </w:p>
  </w:footnote>
  <w:footnote w:id="8">
    <w:p w14:paraId="10E276D8" w14:textId="394968FC" w:rsidR="00794972" w:rsidRPr="003D6360" w:rsidRDefault="00794972" w:rsidP="00D00346">
      <w:pPr>
        <w:pStyle w:val="FootnoteText"/>
        <w:spacing w:after="60"/>
      </w:pPr>
      <w:r>
        <w:rPr>
          <w:rStyle w:val="FootnoteReference"/>
        </w:rPr>
        <w:footnoteRef/>
      </w:r>
      <w:r>
        <w:t xml:space="preserve"> </w:t>
      </w:r>
      <w:hyperlink r:id="rId3" w:history="1">
        <w:r>
          <w:rPr>
            <w:rStyle w:val="Hyperlink"/>
          </w:rPr>
          <w:t>https://www.consilium.europa.eu/el/press/press-releases/2016/03/18/eu-turkey-statement/</w:t>
        </w:r>
      </w:hyperlink>
    </w:p>
  </w:footnote>
  <w:footnote w:id="9">
    <w:p w14:paraId="3C949766" w14:textId="1812231E" w:rsidR="008A2BE4" w:rsidRPr="008A2BE4" w:rsidRDefault="008A2BE4">
      <w:pPr>
        <w:pStyle w:val="FootnoteText"/>
      </w:pPr>
      <w:r>
        <w:rPr>
          <w:rStyle w:val="FootnoteReference"/>
        </w:rPr>
        <w:footnoteRef/>
      </w:r>
      <w:r>
        <w:t xml:space="preserve"> COM(2023) 336 final της 20.6.2023.</w:t>
      </w:r>
    </w:p>
  </w:footnote>
  <w:footnote w:id="10">
    <w:p w14:paraId="7FC0F933" w14:textId="4F00291A" w:rsidR="0034578E" w:rsidRPr="0034578E" w:rsidRDefault="0034578E">
      <w:pPr>
        <w:pStyle w:val="FootnoteText"/>
      </w:pPr>
      <w:r>
        <w:rPr>
          <w:rStyle w:val="FootnoteReference"/>
        </w:rPr>
        <w:footnoteRef/>
      </w:r>
      <w:r>
        <w:t xml:space="preserve"> ΕΕ L 134 της 7.5.2014, σ. 3.</w:t>
      </w:r>
    </w:p>
  </w:footnote>
  <w:footnote w:id="11">
    <w:p w14:paraId="0263B08A" w14:textId="2756E869" w:rsidR="00D4050A" w:rsidRPr="00D4050A" w:rsidRDefault="00D4050A" w:rsidP="00D4050A">
      <w:pPr>
        <w:pStyle w:val="FootnoteText"/>
        <w:spacing w:after="60"/>
      </w:pPr>
      <w:r>
        <w:rPr>
          <w:rStyle w:val="FootnoteReference"/>
        </w:rPr>
        <w:footnoteRef/>
      </w:r>
      <w:r>
        <w:t xml:space="preserve"> Τα έξι εκκρεμή κριτήρια αναφοράς είναι: 1) σύναψη συμφωνίας επιχειρησιακής συνεργασίας με την Ευρωπόλ, 2) ευθυγράμμιση της νομοθεσίας για την προστασία των δεδομένων προσωπικού χαρακτήρα με τα πρότυπα της ΕΕ, 3) θέσπιση μέτρων για την πρόληψη της διαφθοράς, 4) παροχή αποτελεσματικής δικαστικής συνεργασίας σε ποινικές υποθέσεις σε όλα τα κράτη μέλη της ΕΕ, 5) αναθεώρηση της νομοθεσίας και των πρακτικών για την καταπολέμηση της τρομοκρατίας σύμφωνα με τα ευρωπαϊκά πρότυπα, 6) εφαρμογή του συνόλου των διατάξεων της συμφωνίας επανεισδοχής ΕΕ-Τουρκίας, συμπεριλαμβανομένων εκείνων που αφορούν την επανεισδοχή υπηκόων τρίτων χωρών.</w:t>
      </w:r>
    </w:p>
  </w:footnote>
  <w:footnote w:id="12">
    <w:p w14:paraId="4BBD98DD" w14:textId="77777777" w:rsidR="000A369F" w:rsidRDefault="000A369F" w:rsidP="000A369F">
      <w:pPr>
        <w:pStyle w:val="FootnoteText"/>
        <w:spacing w:after="60"/>
      </w:pPr>
      <w:r>
        <w:rPr>
          <w:rStyle w:val="FootnoteReference"/>
        </w:rPr>
        <w:footnoteRef/>
      </w:r>
      <w:r>
        <w:t xml:space="preserve"> Αφορούν έναν αντιπρόεδρο και έναν αναπληρωτή διευθυντή της εταιρείας Turkish Petroleum Corporation (TPAO), δεδομένου ότι η TPAO σχεδιάζει, διευθύνει και υλοποιεί τις παράνομες γεωτρήσεις.</w:t>
      </w:r>
    </w:p>
  </w:footnote>
  <w:footnote w:id="13">
    <w:p w14:paraId="69A920A2" w14:textId="4359EE7D" w:rsidR="00BD00D7" w:rsidRPr="00BD00D7" w:rsidRDefault="00BD00D7">
      <w:pPr>
        <w:pStyle w:val="FootnoteText"/>
      </w:pPr>
      <w:r>
        <w:rPr>
          <w:rStyle w:val="FootnoteReference"/>
        </w:rPr>
        <w:footnoteRef/>
      </w:r>
      <w:r>
        <w:t xml:space="preserve"> Όπως αναφέρονται στη βάση δεδομένων της Επιτροπής για την πρόσβαση στην αγορά.</w:t>
      </w:r>
    </w:p>
  </w:footnote>
  <w:footnote w:id="14">
    <w:p w14:paraId="42F453CB" w14:textId="129910D1" w:rsidR="00B052E2" w:rsidRPr="00B052E2" w:rsidRDefault="00B052E2">
      <w:pPr>
        <w:pStyle w:val="FootnoteText"/>
      </w:pPr>
      <w:r>
        <w:rPr>
          <w:rStyle w:val="FootnoteReference"/>
        </w:rPr>
        <w:footnoteRef/>
      </w:r>
      <w:r>
        <w:t xml:space="preserve"> Το τουρκικό Υπουργείο Εμπορίου συμφώνησε με τις ακόλουθες ενέργειες: πρώτον, να επιληφθεί σε υπουργικό επίπεδο των ζητημάτων που σχετίζονται με τους φόρους εξαγωγής δορών, δερμάτων και δερμάτων wet-blue. Δεύτερον, να επιληφθεί σε υπουργικό επίπεδο των απαιτήσεων καταχώρισης των εξαγωγών θραυσμάτων χαλκού, αργίλου και άστριου. Τρίτον, να διεξαγάγει τεχνικές συζητήσεις με τη συμμετοχή του Υπουργείου Γεωργίας και Δασοκομίας προκειμένου να καταστεί δυνατή η διαφανής διαχείριση των ποσοστώσεων για ζώντα βοοειδή και βόειο κρέας για τις επιχειρήσεις της ΕΕ. Τέταρτον, να πραγματοποιήσει τεχνική συνεδρίαση με την EUDEL στην Άγκυρα σχετικά με τις διαδικασίες αξιολόγησης της συμμόρφωσης και την εφαρμογή του συστήματος TAREKS βάσει κινδύνου, με σκοπό τον προσδιορισμό των ζητημάτων προτεραιότητας που πρέπει να αντιμετωπιστούν· και να καταρτίσει χάρτη πορείας που θα αντιμετωπίζει με πιο συστημικό τρόπο τις πιθανές δυσκολίες με τις οποίες έρχονται αντιμέτωπες οι επιχειρήσεις της ΕΕ. Τέλος, το τουρκικό Υπουργείο Εμπορίου συμφώνησε να καταρτίσει κατάλογο προτεραιοτήτων με προϊόντα της ΕΕ που μπορούν να εξαιρεθούν από το πεδίο εφαρμογής του καθεστώτος επιτήρησης εισαγωγών και να επεξεργαστεί εναλλακτικούς τρόπους επίλυσης των ειδικών προβλημάτων που αντιμετωπίζουν οι εταιρείες της ΕΕ.</w:t>
      </w:r>
    </w:p>
  </w:footnote>
  <w:footnote w:id="15">
    <w:p w14:paraId="7A0FF882" w14:textId="29E35642" w:rsidR="00F73680" w:rsidRPr="00F73680" w:rsidRDefault="00F73680">
      <w:pPr>
        <w:pStyle w:val="FootnoteText"/>
      </w:pPr>
      <w:r>
        <w:rPr>
          <w:rStyle w:val="FootnoteReference"/>
        </w:rPr>
        <w:footnoteRef/>
      </w:r>
      <w:r>
        <w:t xml:space="preserve"> </w:t>
      </w:r>
      <w:hyperlink r:id="rId4" w:anchor="/main" w:history="1">
        <w:r>
          <w:rPr>
            <w:rStyle w:val="Hyperlink"/>
          </w:rPr>
          <w:t>https://www.sanctionsmap.eu/#/main</w:t>
        </w:r>
      </w:hyperlink>
    </w:p>
  </w:footnote>
  <w:footnote w:id="16">
    <w:p w14:paraId="3BCF8E48" w14:textId="23DBCE54" w:rsidR="00F73680" w:rsidRPr="00F73680" w:rsidRDefault="00F73680">
      <w:pPr>
        <w:pStyle w:val="FootnoteText"/>
      </w:pPr>
      <w:r>
        <w:rPr>
          <w:rStyle w:val="FootnoteReference"/>
        </w:rPr>
        <w:footnoteRef/>
      </w:r>
      <w:r>
        <w:t xml:space="preserve"> </w:t>
      </w:r>
      <w:hyperlink r:id="rId5" w:history="1">
        <w:r>
          <w:rPr>
            <w:rStyle w:val="Hyperlink"/>
          </w:rPr>
          <w:t>Κατάλογος κοινών ειδών υψηλής προτεραιότητας (europa.eu)</w:t>
        </w:r>
      </w:hyperlink>
      <w:r>
        <w:t xml:space="preserve"> — Τα εν λόγω εμπορεύματα υψηλής προτεραιότητας, όπως ορίζονται από την Επιτροπή σε συντονισμό με τις ΗΠΑ, το Ηνωμένο Βασίλειο και την Ιαπωνία, περιλαμβάνουν απαγορευμένα αγαθά διπλής χρήσης και είδη προηγμένης τεχνολογίας που χρησιμοποιούνται σε ρωσικά στρατιωτικά συστήματα και βρίσκονται στο πεδίο μάχης στην Ουκρανία, καθώς και είδη ζωτικής σημασίας για την ανάπτυξη, την παραγωγή ή τη χρήση των εν λόγω συστημάτων.</w:t>
      </w:r>
    </w:p>
  </w:footnote>
  <w:footnote w:id="17">
    <w:p w14:paraId="33CE0065" w14:textId="2C09C645" w:rsidR="00F73680" w:rsidRPr="00F73680" w:rsidRDefault="00F73680">
      <w:pPr>
        <w:pStyle w:val="FootnoteText"/>
      </w:pPr>
      <w:r>
        <w:rPr>
          <w:rStyle w:val="FootnoteReference"/>
        </w:rPr>
        <w:footnoteRef/>
      </w:r>
      <w:r>
        <w:t xml:space="preserve"> Οι διαφορές αυτές δείχνουν πιθανή τάση καταστρατήγησης με ψευδή δήλωση της χώρας προορισμού.</w:t>
      </w:r>
    </w:p>
  </w:footnote>
  <w:footnote w:id="18">
    <w:p w14:paraId="7E2F64EA" w14:textId="065321FC" w:rsidR="00F73680" w:rsidRPr="00F73680" w:rsidRDefault="00F73680">
      <w:pPr>
        <w:pStyle w:val="FootnoteText"/>
      </w:pPr>
      <w:r>
        <w:rPr>
          <w:rStyle w:val="FootnoteReference"/>
        </w:rPr>
        <w:footnoteRef/>
      </w:r>
      <w:r>
        <w:t xml:space="preserve"> Επισημαίνεται ότι η καταχώριση εταιρειών στο παράρτημα IV του κανονισμού για τις οικονομικές κυρώσεις δεν συνεπάγεται καμία απόδοση ευθύνης για τις ενέργειές τους στη δικαιοδοσία στην οποία δραστηριοποιούνται.</w:t>
      </w:r>
    </w:p>
  </w:footnote>
  <w:footnote w:id="19">
    <w:p w14:paraId="1F90EBE8" w14:textId="033D24E1" w:rsidR="00B92405" w:rsidRPr="007A7422" w:rsidRDefault="00B92405" w:rsidP="00B92405">
      <w:pPr>
        <w:pStyle w:val="FootnoteText"/>
      </w:pPr>
      <w:r>
        <w:rPr>
          <w:rStyle w:val="FootnoteReference"/>
        </w:rPr>
        <w:footnoteRef/>
      </w:r>
      <w:r>
        <w:t xml:space="preserve"> Η ΕΤΕπ δραστηριοποιείται στη χώρα από το 1965 και έκτοτε έχει χρηματοδοτήσει πράξεις άνω των 30 δισ. EUR. Τα δάνεια της ΕΤΕπ προς την Τουρκία μειώθηκαν σημαντικά από το 2016 και έπειτα, ενώ μετά τα περιοριστικά μέτρα της ΕΕ του 2019 δεν υπογράφηκαν δάνεια προς την Τουρκία (με εξαίρεση μια πολυπεριφερειακή πιστωτική γραμμή διευκόλυνσης η οποία περιλάμβανε τη χώρα το 2022). Τον Ιούλιο του 2023, η ΕΤΕπ ενέκρινε δάνειο-πλαίσιο για τη στήριξη των περιοχών που επλήγησαν από τους σεισμούς.</w:t>
      </w:r>
    </w:p>
  </w:footnote>
  <w:footnote w:id="20">
    <w:p w14:paraId="15B6E466" w14:textId="77777777" w:rsidR="00B92405" w:rsidRPr="007A7422" w:rsidRDefault="00B92405" w:rsidP="00B92405">
      <w:pPr>
        <w:pStyle w:val="FootnoteText"/>
      </w:pPr>
      <w:r>
        <w:rPr>
          <w:rStyle w:val="FootnoteReference"/>
        </w:rPr>
        <w:footnoteRef/>
      </w:r>
      <w:r>
        <w:t xml:space="preserve"> Η ΕΤΑΑ συνέχισε να στηρίζει πράξεις του ιδιωτικού τομέα στην Τουρκία το 2022 με συνολικές επενδύσεις ύψους 1,6 δισ. EUR. Το 2023 η ΕΤΑΑ δρομολόγησε επίσης εξαιρετικά επιλεκτικά δάνεια για την ανασυγκρότηση βιώσιμων υποδομών σε δήμους, π.χ. Hatay και Gaziantep, που επλήγησαν από τον σεισμό του Φεβρουαρίου του 2023.</w:t>
      </w:r>
    </w:p>
  </w:footnote>
  <w:footnote w:id="21">
    <w:p w14:paraId="061CE689" w14:textId="1D7A8A3C" w:rsidR="00077E09" w:rsidRPr="00077E09" w:rsidRDefault="00077E09" w:rsidP="002933C6">
      <w:pPr>
        <w:pStyle w:val="FootnoteText"/>
      </w:pPr>
      <w:r>
        <w:rPr>
          <w:rStyle w:val="FootnoteReference"/>
        </w:rPr>
        <w:footnoteRef/>
      </w:r>
      <w:r>
        <w:t xml:space="preserve"> </w:t>
      </w:r>
      <w:hyperlink r:id="rId6" w:history="1">
        <w:r>
          <w:rPr>
            <w:rStyle w:val="Hyperlink"/>
          </w:rPr>
          <w:t>https://data.consilium.europa.eu/doc/document/ST-6329-2021-INIT/el/pdf</w:t>
        </w:r>
      </w:hyperlink>
    </w:p>
  </w:footnote>
  <w:footnote w:id="22">
    <w:p w14:paraId="24BE3611" w14:textId="72D74546" w:rsidR="00C60BBB" w:rsidRPr="00B32C2C" w:rsidRDefault="00C87171" w:rsidP="002933C6">
      <w:pPr>
        <w:pStyle w:val="FootnoteText"/>
      </w:pPr>
      <w:r>
        <w:rPr>
          <w:rStyle w:val="FootnoteReference"/>
        </w:rPr>
        <w:footnoteRef/>
      </w:r>
      <w:r>
        <w:t xml:space="preserve"> </w:t>
      </w:r>
      <w:hyperlink r:id="rId7" w:history="1">
        <w:r>
          <w:rPr>
            <w:rStyle w:val="Hyperlink"/>
          </w:rPr>
          <w:t>https://data.consilium.europa.eu/doc/document/ST-6375-2023-INIT/el/pdf</w:t>
        </w:r>
      </w:hyperlink>
    </w:p>
  </w:footnote>
  <w:footnote w:id="23">
    <w:p w14:paraId="6E3CC066" w14:textId="7D20D420" w:rsidR="00201192" w:rsidRPr="0011712E" w:rsidRDefault="00201192" w:rsidP="002933C6">
      <w:pPr>
        <w:pStyle w:val="FootnoteText"/>
      </w:pPr>
      <w:r>
        <w:rPr>
          <w:rStyle w:val="FootnoteReference"/>
        </w:rPr>
        <w:footnoteRef/>
      </w:r>
      <w:r>
        <w:t xml:space="preserve"> Συμβούλιο 13879/23 FISC 221 ECOFIN 976.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E1C6A" w14:textId="77777777" w:rsidR="00AB1F65" w:rsidRPr="00AB1F65" w:rsidRDefault="00AB1F65" w:rsidP="00AB1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7619" w14:textId="77777777" w:rsidR="00AB1F65" w:rsidRPr="00AB1F65" w:rsidRDefault="00AB1F65" w:rsidP="00AB1F6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7F70" w14:textId="77777777" w:rsidR="00AB1F65" w:rsidRPr="00AB1F65" w:rsidRDefault="00AB1F65" w:rsidP="00AB1F6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0E66" w14:textId="77777777" w:rsidR="002766D5" w:rsidRDefault="002766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6ECB" w14:textId="77777777" w:rsidR="002766D5" w:rsidRDefault="002766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AFAF" w14:textId="77777777" w:rsidR="002766D5" w:rsidRDefault="00276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9AA"/>
    <w:multiLevelType w:val="hybridMultilevel"/>
    <w:tmpl w:val="5B1CAFAA"/>
    <w:lvl w:ilvl="0" w:tplc="08090017">
      <w:start w:val="1"/>
      <w:numFmt w:val="lowerLetter"/>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6A803CC"/>
    <w:multiLevelType w:val="hybridMultilevel"/>
    <w:tmpl w:val="692E97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338C1"/>
    <w:multiLevelType w:val="hybridMultilevel"/>
    <w:tmpl w:val="E90CF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32734D"/>
    <w:multiLevelType w:val="hybridMultilevel"/>
    <w:tmpl w:val="AB7C639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451C49"/>
    <w:multiLevelType w:val="hybridMultilevel"/>
    <w:tmpl w:val="D6505930"/>
    <w:lvl w:ilvl="0" w:tplc="FFFFFFFF">
      <w:start w:val="1"/>
      <w:numFmt w:val="lowerLetter"/>
      <w:lvlText w:val="%1)"/>
      <w:lvlJc w:val="left"/>
      <w:pPr>
        <w:ind w:left="357" w:hanging="360"/>
      </w:pPr>
      <w:rPr>
        <w:rFonts w:hint="default"/>
      </w:rPr>
    </w:lvl>
    <w:lvl w:ilvl="1" w:tplc="18090001">
      <w:start w:val="1"/>
      <w:numFmt w:val="bullet"/>
      <w:lvlText w:val=""/>
      <w:lvlJc w:val="left"/>
      <w:pPr>
        <w:ind w:left="71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F827CC"/>
    <w:multiLevelType w:val="hybridMultilevel"/>
    <w:tmpl w:val="024C870C"/>
    <w:lvl w:ilvl="0" w:tplc="1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6630BE"/>
    <w:multiLevelType w:val="hybridMultilevel"/>
    <w:tmpl w:val="86CCA988"/>
    <w:lvl w:ilvl="0" w:tplc="FFFFFFFF">
      <w:start w:val="1"/>
      <w:numFmt w:val="lowerLetter"/>
      <w:lvlText w:val="%1)"/>
      <w:lvlJc w:val="left"/>
      <w:pPr>
        <w:ind w:left="357" w:hanging="360"/>
      </w:pPr>
      <w:rPr>
        <w:rFonts w:hint="default"/>
      </w:rPr>
    </w:lvl>
    <w:lvl w:ilvl="1" w:tplc="18090001">
      <w:start w:val="1"/>
      <w:numFmt w:val="bullet"/>
      <w:lvlText w:val=""/>
      <w:lvlJc w:val="left"/>
      <w:pPr>
        <w:ind w:left="78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6D1768"/>
    <w:multiLevelType w:val="hybridMultilevel"/>
    <w:tmpl w:val="C61A473C"/>
    <w:lvl w:ilvl="0" w:tplc="FFFFFFFF">
      <w:start w:val="1"/>
      <w:numFmt w:val="lowerLetter"/>
      <w:lvlText w:val="%1)"/>
      <w:lvlJc w:val="left"/>
      <w:pPr>
        <w:ind w:left="357" w:hanging="360"/>
      </w:pPr>
      <w:rPr>
        <w:rFonts w:hint="default"/>
      </w:rPr>
    </w:lvl>
    <w:lvl w:ilvl="1" w:tplc="18090001">
      <w:start w:val="1"/>
      <w:numFmt w:val="bullet"/>
      <w:lvlText w:val=""/>
      <w:lvlJc w:val="left"/>
      <w:pPr>
        <w:ind w:left="71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959EB"/>
    <w:multiLevelType w:val="hybridMultilevel"/>
    <w:tmpl w:val="0A9AF6D6"/>
    <w:lvl w:ilvl="0" w:tplc="1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0C3F9A"/>
    <w:multiLevelType w:val="hybridMultilevel"/>
    <w:tmpl w:val="9D80CE02"/>
    <w:lvl w:ilvl="0" w:tplc="C9160800">
      <w:start w:val="1"/>
      <w:numFmt w:val="lowerLetter"/>
      <w:lvlText w:val="%1)"/>
      <w:lvlJc w:val="left"/>
      <w:pPr>
        <w:ind w:left="360" w:hanging="360"/>
      </w:pPr>
      <w:rPr>
        <w:rFonts w:hint="default"/>
        <w:b/>
        <w:bCs/>
        <w:i w:val="0"/>
        <w:i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F95057B"/>
    <w:multiLevelType w:val="hybridMultilevel"/>
    <w:tmpl w:val="26785648"/>
    <w:lvl w:ilvl="0" w:tplc="1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C3746C"/>
    <w:multiLevelType w:val="hybridMultilevel"/>
    <w:tmpl w:val="EF1210CC"/>
    <w:lvl w:ilvl="0" w:tplc="FFFFFFFF">
      <w:start w:val="1"/>
      <w:numFmt w:val="lowerLetter"/>
      <w:lvlText w:val="%1)"/>
      <w:lvlJc w:val="left"/>
      <w:pPr>
        <w:ind w:left="357" w:hanging="360"/>
      </w:pPr>
      <w:rPr>
        <w:rFonts w:hint="default"/>
      </w:rPr>
    </w:lvl>
    <w:lvl w:ilvl="1" w:tplc="1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392941"/>
    <w:multiLevelType w:val="hybridMultilevel"/>
    <w:tmpl w:val="22D48690"/>
    <w:lvl w:ilvl="0" w:tplc="FFFFFFFF">
      <w:start w:val="1"/>
      <w:numFmt w:val="lowerLetter"/>
      <w:lvlText w:val="%1)"/>
      <w:lvlJc w:val="left"/>
      <w:pPr>
        <w:ind w:left="357"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536C93"/>
    <w:multiLevelType w:val="multilevel"/>
    <w:tmpl w:val="11204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5F6634"/>
    <w:multiLevelType w:val="hybridMultilevel"/>
    <w:tmpl w:val="49A21DE8"/>
    <w:lvl w:ilvl="0" w:tplc="0809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B640D56"/>
    <w:multiLevelType w:val="hybridMultilevel"/>
    <w:tmpl w:val="5B1CAFAA"/>
    <w:lvl w:ilvl="0" w:tplc="08090017">
      <w:start w:val="1"/>
      <w:numFmt w:val="lowerLetter"/>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95E2982"/>
    <w:multiLevelType w:val="hybridMultilevel"/>
    <w:tmpl w:val="795A1322"/>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DA01582"/>
    <w:multiLevelType w:val="hybridMultilevel"/>
    <w:tmpl w:val="951A7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59938F8"/>
    <w:multiLevelType w:val="hybridMultilevel"/>
    <w:tmpl w:val="6F080C3C"/>
    <w:lvl w:ilvl="0" w:tplc="FFFFFFFF">
      <w:start w:val="1"/>
      <w:numFmt w:val="lowerLetter"/>
      <w:lvlText w:val="%1)"/>
      <w:lvlJc w:val="left"/>
      <w:pPr>
        <w:ind w:left="357" w:hanging="360"/>
      </w:pPr>
      <w:rPr>
        <w:rFonts w:hint="default"/>
      </w:rPr>
    </w:lvl>
    <w:lvl w:ilvl="1" w:tplc="18090001">
      <w:start w:val="1"/>
      <w:numFmt w:val="bullet"/>
      <w:lvlText w:val=""/>
      <w:lvlJc w:val="left"/>
      <w:pPr>
        <w:ind w:left="-354" w:hanging="360"/>
      </w:pPr>
      <w:rPr>
        <w:rFonts w:ascii="Symbol" w:hAnsi="Symbol" w:hint="default"/>
      </w:rPr>
    </w:lvl>
    <w:lvl w:ilvl="2" w:tplc="FFFFFFFF">
      <w:start w:val="1"/>
      <w:numFmt w:val="lowerRoman"/>
      <w:lvlText w:val="%3."/>
      <w:lvlJc w:val="right"/>
      <w:pPr>
        <w:ind w:left="1797" w:hanging="180"/>
      </w:pPr>
    </w:lvl>
    <w:lvl w:ilvl="3" w:tplc="FFFFFFFF" w:tentative="1">
      <w:start w:val="1"/>
      <w:numFmt w:val="decimal"/>
      <w:lvlText w:val="%4."/>
      <w:lvlJc w:val="left"/>
      <w:pPr>
        <w:ind w:left="2517" w:hanging="360"/>
      </w:p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19" w15:restartNumberingAfterBreak="0">
    <w:nsid w:val="761D78F5"/>
    <w:multiLevelType w:val="hybridMultilevel"/>
    <w:tmpl w:val="4C8E7888"/>
    <w:lvl w:ilvl="0" w:tplc="18090001">
      <w:start w:val="1"/>
      <w:numFmt w:val="bullet"/>
      <w:lvlText w:val=""/>
      <w:lvlJc w:val="left"/>
      <w:pPr>
        <w:ind w:left="789" w:hanging="360"/>
      </w:pPr>
      <w:rPr>
        <w:rFonts w:ascii="Symbol" w:hAnsi="Symbol" w:hint="default"/>
      </w:rPr>
    </w:lvl>
    <w:lvl w:ilvl="1" w:tplc="FFFFFFFF">
      <w:start w:val="1"/>
      <w:numFmt w:val="bullet"/>
      <w:lvlText w:val=""/>
      <w:lvlJc w:val="left"/>
      <w:pPr>
        <w:ind w:left="1872" w:hanging="360"/>
      </w:pPr>
      <w:rPr>
        <w:rFonts w:ascii="Symbol" w:hAnsi="Symbol" w:hint="default"/>
      </w:r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0" w15:restartNumberingAfterBreak="0">
    <w:nsid w:val="7A9A3850"/>
    <w:multiLevelType w:val="hybridMultilevel"/>
    <w:tmpl w:val="8B1C1AF8"/>
    <w:lvl w:ilvl="0" w:tplc="18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5"/>
  </w:num>
  <w:num w:numId="2">
    <w:abstractNumId w:val="14"/>
  </w:num>
  <w:num w:numId="3">
    <w:abstractNumId w:val="9"/>
  </w:num>
  <w:num w:numId="4">
    <w:abstractNumId w:val="0"/>
  </w:num>
  <w:num w:numId="5">
    <w:abstractNumId w:val="1"/>
  </w:num>
  <w:num w:numId="6">
    <w:abstractNumId w:val="18"/>
  </w:num>
  <w:num w:numId="7">
    <w:abstractNumId w:val="19"/>
  </w:num>
  <w:num w:numId="8">
    <w:abstractNumId w:val="11"/>
  </w:num>
  <w:num w:numId="9">
    <w:abstractNumId w:val="6"/>
  </w:num>
  <w:num w:numId="10">
    <w:abstractNumId w:val="4"/>
  </w:num>
  <w:num w:numId="11">
    <w:abstractNumId w:val="7"/>
  </w:num>
  <w:num w:numId="12">
    <w:abstractNumId w:val="12"/>
  </w:num>
  <w:num w:numId="13">
    <w:abstractNumId w:val="10"/>
  </w:num>
  <w:num w:numId="14">
    <w:abstractNumId w:val="5"/>
  </w:num>
  <w:num w:numId="15">
    <w:abstractNumId w:val="20"/>
  </w:num>
  <w:num w:numId="16">
    <w:abstractNumId w:val="8"/>
  </w:num>
  <w:num w:numId="17">
    <w:abstractNumId w:val="17"/>
  </w:num>
  <w:num w:numId="18">
    <w:abstractNumId w:val="1"/>
  </w:num>
  <w:num w:numId="19">
    <w:abstractNumId w:val="16"/>
  </w:num>
  <w:num w:numId="20">
    <w:abstractNumId w:val="3"/>
  </w:num>
  <w:num w:numId="21">
    <w:abstractNumId w:val="1"/>
  </w:num>
  <w:num w:numId="22">
    <w:abstractNumId w:val="2"/>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078C5FF-1F73-4E35-887A-D59D0849A585"/>
    <w:docVar w:name="LW_COVERPAGE_TYPE" w:val="1"/>
    <w:docVar w:name="LW_CROSSREFERENCE" w:val="&lt;UNUSED&gt;"/>
    <w:docVar w:name="LW_DocType" w:val="NORMAL"/>
    <w:docVar w:name="LW_EMISSION" w:val="29.11.2023"/>
    <w:docVar w:name="LW_EMISSION_ISODATE" w:val="2023-11-29"/>
    <w:docVar w:name="LW_EMISSION_LOCATION" w:val="BRX"/>
    <w:docVar w:name="LW_EMISSION_PREFIX" w:val="\u914?\u961?\u965?\u958?\u941?\u955?\u955?\u949?\u962?, "/>
    <w:docVar w:name="LW_EMISSION_SUFFIX" w:val=" "/>
    <w:docVar w:name="LW_ID_DOCTYPE_NONLW" w:val="CP-042"/>
    <w:docVar w:name="LW_LANGUE" w:val="EL"/>
    <w:docVar w:name="LW_LEVEL_OF_SENSITIVITY" w:val="Standard treatment"/>
    <w:docVar w:name="LW_NOM.INST" w:val="\u917?\u933?\u929?\u937?\u928?\u913?\u938?\u922?\u919? \u917?\u928?\u921?\u932?\u929?\u927?\u928?\u919?"/>
    <w:docVar w:name="LW_NOM.INST_JOINTDOC" w:val="\u933?\u928?\u913?\u932?\u927?\u931? \u917?\u922?\u928?\u929?\u927?\u931?\u937?\u928?\u927?\u931? \u932?\u919?\u931? _x000b_\u917?\u925?\u937?\u931?\u919?\u931? \u915?\u921?\u913? \u920?\u917?\u924?\u913?\u932?\u913? _x000b_\u922?\u927?\u921?\u925?\u919?\u931? \u917?\u926?\u937?\u932?\u917?\u929?\u921?\u922?\u919?\u931? \u928?\u927?\u923?\u921?\u932?\u921?\u922?\u919?\u931?_x000b_ \u922?\u913?\u921? \u928?\u927?\u923?\u921?\u932?\u921?\u922?\u919?\u931? \u913?\u931?\u934?\u913?\u923?\u917?\u921?\u913?\u931?"/>
    <w:docVar w:name="LW_PART_NBR" w:val="1"/>
    <w:docVar w:name="LW_PART_NBR_TOTAL" w:val="1"/>
    <w:docVar w:name="LW_REF.II.NEW.CP" w:val="&lt;UNUSED&gt;"/>
    <w:docVar w:name="LW_REF.II.NEW.CP_NUMBER" w:val="&lt;UNUSED&gt;"/>
    <w:docVar w:name="LW_REF.II.NEW.CP_YEAR" w:val="2023"/>
    <w:docVar w:name="LW_REF.INST.NEW" w:val="JOIN"/>
    <w:docVar w:name="LW_REF.INST.NEW_ADOPTED" w:val="final"/>
    <w:docVar w:name="LW_REF.INST.NEW_TEXT" w:val="(2023)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Η τρέχουσα κατάσταση των πολιτικών, οικονομικών και εμπορικών σχέσεων ΕΕ-Τουρκίας"/>
    <w:docVar w:name="LW_TYPE.DOC.CP" w:val="ΚΟΙΝΗ ΑΝΑΚΟΙΝΩΣΗ ΠΡΟΣ ΤΟ ΕΥΡΩΠΑΪΚΟ ΣΥΜΒΟΥΛΙΟ"/>
    <w:docVar w:name="LwApiVersions" w:val="LW4CoDe 1.23.2.0; LW 8.0, Build 20211117"/>
  </w:docVars>
  <w:rsids>
    <w:rsidRoot w:val="004A033B"/>
    <w:rsid w:val="00000A5A"/>
    <w:rsid w:val="0000232F"/>
    <w:rsid w:val="00002880"/>
    <w:rsid w:val="00002AA0"/>
    <w:rsid w:val="000128CC"/>
    <w:rsid w:val="00012E24"/>
    <w:rsid w:val="000212E0"/>
    <w:rsid w:val="00026FCF"/>
    <w:rsid w:val="00034E71"/>
    <w:rsid w:val="00035A2F"/>
    <w:rsid w:val="0004062C"/>
    <w:rsid w:val="00040C7B"/>
    <w:rsid w:val="00042BDE"/>
    <w:rsid w:val="0004597C"/>
    <w:rsid w:val="00047E59"/>
    <w:rsid w:val="00060905"/>
    <w:rsid w:val="00063EB2"/>
    <w:rsid w:val="0006430A"/>
    <w:rsid w:val="00064C75"/>
    <w:rsid w:val="00064E31"/>
    <w:rsid w:val="0007234B"/>
    <w:rsid w:val="00075087"/>
    <w:rsid w:val="00077E09"/>
    <w:rsid w:val="00084E78"/>
    <w:rsid w:val="00092B5C"/>
    <w:rsid w:val="00094685"/>
    <w:rsid w:val="000A369F"/>
    <w:rsid w:val="000B1865"/>
    <w:rsid w:val="000B1D07"/>
    <w:rsid w:val="000B2165"/>
    <w:rsid w:val="000B794C"/>
    <w:rsid w:val="000C117A"/>
    <w:rsid w:val="000C1DF4"/>
    <w:rsid w:val="000C3A7E"/>
    <w:rsid w:val="000C3C49"/>
    <w:rsid w:val="000C46F7"/>
    <w:rsid w:val="000C5ED4"/>
    <w:rsid w:val="000C7658"/>
    <w:rsid w:val="000C79A6"/>
    <w:rsid w:val="000D047D"/>
    <w:rsid w:val="000D06E4"/>
    <w:rsid w:val="000D7279"/>
    <w:rsid w:val="000E336D"/>
    <w:rsid w:val="000E582B"/>
    <w:rsid w:val="000E6C1F"/>
    <w:rsid w:val="000F035A"/>
    <w:rsid w:val="000F09D8"/>
    <w:rsid w:val="00101B21"/>
    <w:rsid w:val="00103466"/>
    <w:rsid w:val="00103F09"/>
    <w:rsid w:val="00104157"/>
    <w:rsid w:val="00113629"/>
    <w:rsid w:val="00115A3D"/>
    <w:rsid w:val="0011712E"/>
    <w:rsid w:val="0012578F"/>
    <w:rsid w:val="00125ECB"/>
    <w:rsid w:val="00127A8C"/>
    <w:rsid w:val="00131E47"/>
    <w:rsid w:val="00133D60"/>
    <w:rsid w:val="00135AE6"/>
    <w:rsid w:val="001405B7"/>
    <w:rsid w:val="00145BFA"/>
    <w:rsid w:val="00153015"/>
    <w:rsid w:val="0015393A"/>
    <w:rsid w:val="001559A4"/>
    <w:rsid w:val="00156AA0"/>
    <w:rsid w:val="0015707E"/>
    <w:rsid w:val="00161214"/>
    <w:rsid w:val="00173D92"/>
    <w:rsid w:val="00184821"/>
    <w:rsid w:val="001949E5"/>
    <w:rsid w:val="00194EA4"/>
    <w:rsid w:val="001A05E1"/>
    <w:rsid w:val="001A1FBD"/>
    <w:rsid w:val="001B246E"/>
    <w:rsid w:val="001B2745"/>
    <w:rsid w:val="001B5778"/>
    <w:rsid w:val="001B7F18"/>
    <w:rsid w:val="001C117A"/>
    <w:rsid w:val="001C2208"/>
    <w:rsid w:val="001C67EF"/>
    <w:rsid w:val="001C6A11"/>
    <w:rsid w:val="001D2522"/>
    <w:rsid w:val="001D64F4"/>
    <w:rsid w:val="001D706C"/>
    <w:rsid w:val="001E7E68"/>
    <w:rsid w:val="001F073A"/>
    <w:rsid w:val="001F58DD"/>
    <w:rsid w:val="00201192"/>
    <w:rsid w:val="00206A36"/>
    <w:rsid w:val="00213BCC"/>
    <w:rsid w:val="0021738A"/>
    <w:rsid w:val="00220655"/>
    <w:rsid w:val="002257E9"/>
    <w:rsid w:val="00225ABB"/>
    <w:rsid w:val="00227113"/>
    <w:rsid w:val="00227ADD"/>
    <w:rsid w:val="0023017F"/>
    <w:rsid w:val="002354CE"/>
    <w:rsid w:val="002403BB"/>
    <w:rsid w:val="00242B18"/>
    <w:rsid w:val="0024759D"/>
    <w:rsid w:val="00257D23"/>
    <w:rsid w:val="00260D10"/>
    <w:rsid w:val="00260EDC"/>
    <w:rsid w:val="00261631"/>
    <w:rsid w:val="002625A4"/>
    <w:rsid w:val="00263D2D"/>
    <w:rsid w:val="00264AA9"/>
    <w:rsid w:val="00264B9C"/>
    <w:rsid w:val="00265E0D"/>
    <w:rsid w:val="00267336"/>
    <w:rsid w:val="002678E6"/>
    <w:rsid w:val="00271E28"/>
    <w:rsid w:val="00271E78"/>
    <w:rsid w:val="00274CE4"/>
    <w:rsid w:val="002766D5"/>
    <w:rsid w:val="00277C96"/>
    <w:rsid w:val="00280F35"/>
    <w:rsid w:val="002824A8"/>
    <w:rsid w:val="00282EB6"/>
    <w:rsid w:val="00292F16"/>
    <w:rsid w:val="002933C6"/>
    <w:rsid w:val="00293B3C"/>
    <w:rsid w:val="00294A6B"/>
    <w:rsid w:val="002A088F"/>
    <w:rsid w:val="002A7062"/>
    <w:rsid w:val="002B2308"/>
    <w:rsid w:val="002B2DAB"/>
    <w:rsid w:val="002B3784"/>
    <w:rsid w:val="002B683D"/>
    <w:rsid w:val="002C0E46"/>
    <w:rsid w:val="002C4CDE"/>
    <w:rsid w:val="002D7A2C"/>
    <w:rsid w:val="002E2BE4"/>
    <w:rsid w:val="002E58DD"/>
    <w:rsid w:val="002F0F82"/>
    <w:rsid w:val="002F16F2"/>
    <w:rsid w:val="002F19B8"/>
    <w:rsid w:val="002F46B6"/>
    <w:rsid w:val="002F696E"/>
    <w:rsid w:val="003061F2"/>
    <w:rsid w:val="00310218"/>
    <w:rsid w:val="003117FA"/>
    <w:rsid w:val="003141BA"/>
    <w:rsid w:val="00323FC6"/>
    <w:rsid w:val="0032705F"/>
    <w:rsid w:val="00327734"/>
    <w:rsid w:val="00331E8D"/>
    <w:rsid w:val="00336760"/>
    <w:rsid w:val="00337A48"/>
    <w:rsid w:val="00343162"/>
    <w:rsid w:val="00344CBB"/>
    <w:rsid w:val="0034578E"/>
    <w:rsid w:val="003459E2"/>
    <w:rsid w:val="003515FA"/>
    <w:rsid w:val="00352F1E"/>
    <w:rsid w:val="00355134"/>
    <w:rsid w:val="00361E62"/>
    <w:rsid w:val="003642C6"/>
    <w:rsid w:val="00375F81"/>
    <w:rsid w:val="003811A8"/>
    <w:rsid w:val="003955A1"/>
    <w:rsid w:val="003A3C24"/>
    <w:rsid w:val="003C1976"/>
    <w:rsid w:val="003C39C4"/>
    <w:rsid w:val="003D13E6"/>
    <w:rsid w:val="003D4D32"/>
    <w:rsid w:val="003D6360"/>
    <w:rsid w:val="003E236E"/>
    <w:rsid w:val="003F29AD"/>
    <w:rsid w:val="003F3372"/>
    <w:rsid w:val="00404BDE"/>
    <w:rsid w:val="004075F8"/>
    <w:rsid w:val="004129DA"/>
    <w:rsid w:val="004271F9"/>
    <w:rsid w:val="004361A4"/>
    <w:rsid w:val="00437033"/>
    <w:rsid w:val="004434E7"/>
    <w:rsid w:val="004452DE"/>
    <w:rsid w:val="0044764B"/>
    <w:rsid w:val="0045117B"/>
    <w:rsid w:val="00453BEF"/>
    <w:rsid w:val="004605BB"/>
    <w:rsid w:val="00462E32"/>
    <w:rsid w:val="00464BD6"/>
    <w:rsid w:val="00467464"/>
    <w:rsid w:val="0047136E"/>
    <w:rsid w:val="00485805"/>
    <w:rsid w:val="00486D62"/>
    <w:rsid w:val="0049002D"/>
    <w:rsid w:val="00493408"/>
    <w:rsid w:val="00496918"/>
    <w:rsid w:val="004A033B"/>
    <w:rsid w:val="004A428F"/>
    <w:rsid w:val="004A74E6"/>
    <w:rsid w:val="004B1421"/>
    <w:rsid w:val="004C36DA"/>
    <w:rsid w:val="004D0DBD"/>
    <w:rsid w:val="004D19CD"/>
    <w:rsid w:val="004D2D5F"/>
    <w:rsid w:val="004D41EF"/>
    <w:rsid w:val="004F0B38"/>
    <w:rsid w:val="004F15E9"/>
    <w:rsid w:val="004F46C8"/>
    <w:rsid w:val="00501548"/>
    <w:rsid w:val="00506DFA"/>
    <w:rsid w:val="0051202C"/>
    <w:rsid w:val="00513025"/>
    <w:rsid w:val="005172A7"/>
    <w:rsid w:val="00520047"/>
    <w:rsid w:val="00520EC6"/>
    <w:rsid w:val="00524672"/>
    <w:rsid w:val="00547D76"/>
    <w:rsid w:val="0055423D"/>
    <w:rsid w:val="005565AB"/>
    <w:rsid w:val="005607B7"/>
    <w:rsid w:val="005676FC"/>
    <w:rsid w:val="00567F38"/>
    <w:rsid w:val="005709EF"/>
    <w:rsid w:val="00570B03"/>
    <w:rsid w:val="005722BD"/>
    <w:rsid w:val="005755DE"/>
    <w:rsid w:val="00575D0C"/>
    <w:rsid w:val="00581F4B"/>
    <w:rsid w:val="005825EA"/>
    <w:rsid w:val="00585A08"/>
    <w:rsid w:val="005918FF"/>
    <w:rsid w:val="0059499A"/>
    <w:rsid w:val="005B5D59"/>
    <w:rsid w:val="005C12C2"/>
    <w:rsid w:val="005D05CB"/>
    <w:rsid w:val="005D2FB5"/>
    <w:rsid w:val="005D5EDC"/>
    <w:rsid w:val="005F0143"/>
    <w:rsid w:val="005F2F76"/>
    <w:rsid w:val="00600001"/>
    <w:rsid w:val="00600977"/>
    <w:rsid w:val="006071D4"/>
    <w:rsid w:val="00621018"/>
    <w:rsid w:val="0062150C"/>
    <w:rsid w:val="00623E6F"/>
    <w:rsid w:val="006257CF"/>
    <w:rsid w:val="00631A49"/>
    <w:rsid w:val="0063509E"/>
    <w:rsid w:val="006352ED"/>
    <w:rsid w:val="00636287"/>
    <w:rsid w:val="00637B74"/>
    <w:rsid w:val="00637CE5"/>
    <w:rsid w:val="00642FA2"/>
    <w:rsid w:val="006459EA"/>
    <w:rsid w:val="00646A87"/>
    <w:rsid w:val="006525DD"/>
    <w:rsid w:val="00653460"/>
    <w:rsid w:val="00660A0F"/>
    <w:rsid w:val="00662BBC"/>
    <w:rsid w:val="006647D3"/>
    <w:rsid w:val="006678EF"/>
    <w:rsid w:val="00670466"/>
    <w:rsid w:val="0067198A"/>
    <w:rsid w:val="00674CA9"/>
    <w:rsid w:val="0068660A"/>
    <w:rsid w:val="00686808"/>
    <w:rsid w:val="006960C8"/>
    <w:rsid w:val="0069696D"/>
    <w:rsid w:val="00696A84"/>
    <w:rsid w:val="006A27FE"/>
    <w:rsid w:val="006A3714"/>
    <w:rsid w:val="006A6BE0"/>
    <w:rsid w:val="006B48F8"/>
    <w:rsid w:val="006B7E88"/>
    <w:rsid w:val="006C4286"/>
    <w:rsid w:val="006C5DBE"/>
    <w:rsid w:val="006D21BF"/>
    <w:rsid w:val="006D25C4"/>
    <w:rsid w:val="006D2E2E"/>
    <w:rsid w:val="006D43F4"/>
    <w:rsid w:val="006D678E"/>
    <w:rsid w:val="006D6806"/>
    <w:rsid w:val="006D6F1F"/>
    <w:rsid w:val="006D780E"/>
    <w:rsid w:val="006E23A8"/>
    <w:rsid w:val="006E2FC7"/>
    <w:rsid w:val="006E3CC3"/>
    <w:rsid w:val="006E42A6"/>
    <w:rsid w:val="006E44E8"/>
    <w:rsid w:val="006E593E"/>
    <w:rsid w:val="006E5F2E"/>
    <w:rsid w:val="006E7CA9"/>
    <w:rsid w:val="007005A7"/>
    <w:rsid w:val="007065B7"/>
    <w:rsid w:val="007072C2"/>
    <w:rsid w:val="00714536"/>
    <w:rsid w:val="00715CEE"/>
    <w:rsid w:val="00716C44"/>
    <w:rsid w:val="00717A02"/>
    <w:rsid w:val="00720B18"/>
    <w:rsid w:val="00726D17"/>
    <w:rsid w:val="00736D64"/>
    <w:rsid w:val="00737C58"/>
    <w:rsid w:val="007437D2"/>
    <w:rsid w:val="00750472"/>
    <w:rsid w:val="00754006"/>
    <w:rsid w:val="00754AD2"/>
    <w:rsid w:val="00756610"/>
    <w:rsid w:val="00757233"/>
    <w:rsid w:val="00763453"/>
    <w:rsid w:val="00770FA6"/>
    <w:rsid w:val="0077174B"/>
    <w:rsid w:val="0077348E"/>
    <w:rsid w:val="00780BF2"/>
    <w:rsid w:val="00786041"/>
    <w:rsid w:val="00794442"/>
    <w:rsid w:val="00794972"/>
    <w:rsid w:val="00796E0F"/>
    <w:rsid w:val="007A1691"/>
    <w:rsid w:val="007A1C64"/>
    <w:rsid w:val="007A6D68"/>
    <w:rsid w:val="007B1518"/>
    <w:rsid w:val="007B31AE"/>
    <w:rsid w:val="007B6230"/>
    <w:rsid w:val="007C5304"/>
    <w:rsid w:val="007C6067"/>
    <w:rsid w:val="007C6B1A"/>
    <w:rsid w:val="007D2D40"/>
    <w:rsid w:val="007D76DC"/>
    <w:rsid w:val="007E30F0"/>
    <w:rsid w:val="007E53E6"/>
    <w:rsid w:val="00801B44"/>
    <w:rsid w:val="00811837"/>
    <w:rsid w:val="00813FC9"/>
    <w:rsid w:val="008221C9"/>
    <w:rsid w:val="008279B2"/>
    <w:rsid w:val="00830141"/>
    <w:rsid w:val="00833608"/>
    <w:rsid w:val="008375B5"/>
    <w:rsid w:val="00840723"/>
    <w:rsid w:val="0084156E"/>
    <w:rsid w:val="00841DA1"/>
    <w:rsid w:val="008421F3"/>
    <w:rsid w:val="008450E0"/>
    <w:rsid w:val="008473A1"/>
    <w:rsid w:val="00850416"/>
    <w:rsid w:val="008556E2"/>
    <w:rsid w:val="00855E6F"/>
    <w:rsid w:val="00864653"/>
    <w:rsid w:val="0086701A"/>
    <w:rsid w:val="0087096E"/>
    <w:rsid w:val="0087176F"/>
    <w:rsid w:val="00871B07"/>
    <w:rsid w:val="008737F1"/>
    <w:rsid w:val="00881EE7"/>
    <w:rsid w:val="00885882"/>
    <w:rsid w:val="008920B2"/>
    <w:rsid w:val="00892DA0"/>
    <w:rsid w:val="00894C39"/>
    <w:rsid w:val="008960A3"/>
    <w:rsid w:val="008A26B0"/>
    <w:rsid w:val="008A2BE4"/>
    <w:rsid w:val="008B222B"/>
    <w:rsid w:val="008B3066"/>
    <w:rsid w:val="008B4243"/>
    <w:rsid w:val="008C15B1"/>
    <w:rsid w:val="008C399E"/>
    <w:rsid w:val="008C5E13"/>
    <w:rsid w:val="008C60FE"/>
    <w:rsid w:val="008E00DD"/>
    <w:rsid w:val="009016EC"/>
    <w:rsid w:val="00902B28"/>
    <w:rsid w:val="00903C50"/>
    <w:rsid w:val="0090462D"/>
    <w:rsid w:val="009065B4"/>
    <w:rsid w:val="00907D50"/>
    <w:rsid w:val="00911D54"/>
    <w:rsid w:val="00920919"/>
    <w:rsid w:val="00920DE6"/>
    <w:rsid w:val="0092567F"/>
    <w:rsid w:val="00926AC2"/>
    <w:rsid w:val="00930259"/>
    <w:rsid w:val="00932A19"/>
    <w:rsid w:val="009363E0"/>
    <w:rsid w:val="009404EE"/>
    <w:rsid w:val="00947B97"/>
    <w:rsid w:val="00957F98"/>
    <w:rsid w:val="00961C54"/>
    <w:rsid w:val="00965967"/>
    <w:rsid w:val="00966270"/>
    <w:rsid w:val="00966E9C"/>
    <w:rsid w:val="00972D62"/>
    <w:rsid w:val="0097395B"/>
    <w:rsid w:val="00974C6D"/>
    <w:rsid w:val="009806E3"/>
    <w:rsid w:val="00982B1E"/>
    <w:rsid w:val="0098358F"/>
    <w:rsid w:val="00986AD3"/>
    <w:rsid w:val="00990CB3"/>
    <w:rsid w:val="0099535F"/>
    <w:rsid w:val="009A6A88"/>
    <w:rsid w:val="009A759D"/>
    <w:rsid w:val="009B0BC8"/>
    <w:rsid w:val="009B3244"/>
    <w:rsid w:val="009C2561"/>
    <w:rsid w:val="009C7414"/>
    <w:rsid w:val="009C76E6"/>
    <w:rsid w:val="009D0E76"/>
    <w:rsid w:val="009D32AE"/>
    <w:rsid w:val="009E64FA"/>
    <w:rsid w:val="009E7AF6"/>
    <w:rsid w:val="009F0A92"/>
    <w:rsid w:val="009F5BE3"/>
    <w:rsid w:val="009F66CA"/>
    <w:rsid w:val="009F7BE2"/>
    <w:rsid w:val="00A017C7"/>
    <w:rsid w:val="00A02865"/>
    <w:rsid w:val="00A1293B"/>
    <w:rsid w:val="00A149EC"/>
    <w:rsid w:val="00A16B26"/>
    <w:rsid w:val="00A2684E"/>
    <w:rsid w:val="00A3591D"/>
    <w:rsid w:val="00A463AE"/>
    <w:rsid w:val="00A467E1"/>
    <w:rsid w:val="00A47E99"/>
    <w:rsid w:val="00A51C80"/>
    <w:rsid w:val="00A54610"/>
    <w:rsid w:val="00A556E2"/>
    <w:rsid w:val="00A576DD"/>
    <w:rsid w:val="00A60DDC"/>
    <w:rsid w:val="00A61072"/>
    <w:rsid w:val="00A6254D"/>
    <w:rsid w:val="00A65674"/>
    <w:rsid w:val="00A66D5E"/>
    <w:rsid w:val="00A67244"/>
    <w:rsid w:val="00A71ADE"/>
    <w:rsid w:val="00A84362"/>
    <w:rsid w:val="00A870E0"/>
    <w:rsid w:val="00A94B3D"/>
    <w:rsid w:val="00A954CF"/>
    <w:rsid w:val="00A9563D"/>
    <w:rsid w:val="00A95C5B"/>
    <w:rsid w:val="00AA13C3"/>
    <w:rsid w:val="00AA5A2E"/>
    <w:rsid w:val="00AA5BCB"/>
    <w:rsid w:val="00AB1F65"/>
    <w:rsid w:val="00AB31E2"/>
    <w:rsid w:val="00AC0F3B"/>
    <w:rsid w:val="00AD1582"/>
    <w:rsid w:val="00AD4310"/>
    <w:rsid w:val="00AD45B3"/>
    <w:rsid w:val="00AE1FC4"/>
    <w:rsid w:val="00AE464B"/>
    <w:rsid w:val="00B023C0"/>
    <w:rsid w:val="00B052E2"/>
    <w:rsid w:val="00B054C7"/>
    <w:rsid w:val="00B10A29"/>
    <w:rsid w:val="00B13DC8"/>
    <w:rsid w:val="00B17ABE"/>
    <w:rsid w:val="00B21FF8"/>
    <w:rsid w:val="00B2591E"/>
    <w:rsid w:val="00B32C2C"/>
    <w:rsid w:val="00B35171"/>
    <w:rsid w:val="00B3608C"/>
    <w:rsid w:val="00B3655D"/>
    <w:rsid w:val="00B37CD7"/>
    <w:rsid w:val="00B42F2E"/>
    <w:rsid w:val="00B5107E"/>
    <w:rsid w:val="00B55AA7"/>
    <w:rsid w:val="00B62C57"/>
    <w:rsid w:val="00B63502"/>
    <w:rsid w:val="00B748D1"/>
    <w:rsid w:val="00B74912"/>
    <w:rsid w:val="00B81AE8"/>
    <w:rsid w:val="00B87BB4"/>
    <w:rsid w:val="00B9013B"/>
    <w:rsid w:val="00B92405"/>
    <w:rsid w:val="00BA07C0"/>
    <w:rsid w:val="00BA3C79"/>
    <w:rsid w:val="00BA3FCF"/>
    <w:rsid w:val="00BA4798"/>
    <w:rsid w:val="00BA5CD7"/>
    <w:rsid w:val="00BB5669"/>
    <w:rsid w:val="00BB7920"/>
    <w:rsid w:val="00BD00BD"/>
    <w:rsid w:val="00BD00D7"/>
    <w:rsid w:val="00BD52DA"/>
    <w:rsid w:val="00BD5B69"/>
    <w:rsid w:val="00BE0324"/>
    <w:rsid w:val="00BE0F8C"/>
    <w:rsid w:val="00BE1685"/>
    <w:rsid w:val="00BF6566"/>
    <w:rsid w:val="00C02D1D"/>
    <w:rsid w:val="00C055EE"/>
    <w:rsid w:val="00C05CD9"/>
    <w:rsid w:val="00C10FE0"/>
    <w:rsid w:val="00C2199E"/>
    <w:rsid w:val="00C23717"/>
    <w:rsid w:val="00C27B4B"/>
    <w:rsid w:val="00C3465F"/>
    <w:rsid w:val="00C41D89"/>
    <w:rsid w:val="00C44962"/>
    <w:rsid w:val="00C501D2"/>
    <w:rsid w:val="00C51E41"/>
    <w:rsid w:val="00C52ADB"/>
    <w:rsid w:val="00C533CB"/>
    <w:rsid w:val="00C60BBB"/>
    <w:rsid w:val="00C638CD"/>
    <w:rsid w:val="00C76A42"/>
    <w:rsid w:val="00C853EC"/>
    <w:rsid w:val="00C87171"/>
    <w:rsid w:val="00C90D7C"/>
    <w:rsid w:val="00C953E7"/>
    <w:rsid w:val="00C9717D"/>
    <w:rsid w:val="00CA333A"/>
    <w:rsid w:val="00CA47CD"/>
    <w:rsid w:val="00CB243A"/>
    <w:rsid w:val="00CB70D0"/>
    <w:rsid w:val="00CC0728"/>
    <w:rsid w:val="00CC1657"/>
    <w:rsid w:val="00CC2D45"/>
    <w:rsid w:val="00CC7A36"/>
    <w:rsid w:val="00CD07AF"/>
    <w:rsid w:val="00CD07F8"/>
    <w:rsid w:val="00CD6E57"/>
    <w:rsid w:val="00CD794E"/>
    <w:rsid w:val="00CE00AE"/>
    <w:rsid w:val="00CE3A0F"/>
    <w:rsid w:val="00CE4E22"/>
    <w:rsid w:val="00CF4AC3"/>
    <w:rsid w:val="00D00346"/>
    <w:rsid w:val="00D0034F"/>
    <w:rsid w:val="00D01961"/>
    <w:rsid w:val="00D06B9D"/>
    <w:rsid w:val="00D10E96"/>
    <w:rsid w:val="00D120F9"/>
    <w:rsid w:val="00D13A24"/>
    <w:rsid w:val="00D15B7A"/>
    <w:rsid w:val="00D177AA"/>
    <w:rsid w:val="00D22706"/>
    <w:rsid w:val="00D23F37"/>
    <w:rsid w:val="00D27D57"/>
    <w:rsid w:val="00D31768"/>
    <w:rsid w:val="00D336BF"/>
    <w:rsid w:val="00D36526"/>
    <w:rsid w:val="00D370D4"/>
    <w:rsid w:val="00D37745"/>
    <w:rsid w:val="00D4050A"/>
    <w:rsid w:val="00D44195"/>
    <w:rsid w:val="00D522E0"/>
    <w:rsid w:val="00D54BFE"/>
    <w:rsid w:val="00D55336"/>
    <w:rsid w:val="00D63D6F"/>
    <w:rsid w:val="00D66A85"/>
    <w:rsid w:val="00D72824"/>
    <w:rsid w:val="00D74871"/>
    <w:rsid w:val="00D7727C"/>
    <w:rsid w:val="00D81B09"/>
    <w:rsid w:val="00D8362F"/>
    <w:rsid w:val="00D8488D"/>
    <w:rsid w:val="00D85B0D"/>
    <w:rsid w:val="00D8648D"/>
    <w:rsid w:val="00D87B45"/>
    <w:rsid w:val="00D92377"/>
    <w:rsid w:val="00D9534C"/>
    <w:rsid w:val="00D957DA"/>
    <w:rsid w:val="00D9774C"/>
    <w:rsid w:val="00DA034C"/>
    <w:rsid w:val="00DB4ED3"/>
    <w:rsid w:val="00DB7092"/>
    <w:rsid w:val="00DC14C7"/>
    <w:rsid w:val="00DC73A5"/>
    <w:rsid w:val="00DC7AD3"/>
    <w:rsid w:val="00DD224E"/>
    <w:rsid w:val="00DD64BC"/>
    <w:rsid w:val="00DE08C3"/>
    <w:rsid w:val="00DE1BA2"/>
    <w:rsid w:val="00DE4915"/>
    <w:rsid w:val="00DF614A"/>
    <w:rsid w:val="00DF67FF"/>
    <w:rsid w:val="00E03E8D"/>
    <w:rsid w:val="00E05E41"/>
    <w:rsid w:val="00E13D66"/>
    <w:rsid w:val="00E15E28"/>
    <w:rsid w:val="00E30E54"/>
    <w:rsid w:val="00E322D0"/>
    <w:rsid w:val="00E36EC3"/>
    <w:rsid w:val="00E37056"/>
    <w:rsid w:val="00E43823"/>
    <w:rsid w:val="00E44851"/>
    <w:rsid w:val="00E47A08"/>
    <w:rsid w:val="00E60043"/>
    <w:rsid w:val="00E63EDD"/>
    <w:rsid w:val="00E66704"/>
    <w:rsid w:val="00E70CF5"/>
    <w:rsid w:val="00E7102B"/>
    <w:rsid w:val="00E71ACC"/>
    <w:rsid w:val="00E72DD4"/>
    <w:rsid w:val="00E750A8"/>
    <w:rsid w:val="00E762B1"/>
    <w:rsid w:val="00E7688A"/>
    <w:rsid w:val="00E76A71"/>
    <w:rsid w:val="00E80800"/>
    <w:rsid w:val="00E82B53"/>
    <w:rsid w:val="00E858FE"/>
    <w:rsid w:val="00E85B4E"/>
    <w:rsid w:val="00E87FD9"/>
    <w:rsid w:val="00E9202C"/>
    <w:rsid w:val="00E9669F"/>
    <w:rsid w:val="00E96F50"/>
    <w:rsid w:val="00EA164E"/>
    <w:rsid w:val="00EB1694"/>
    <w:rsid w:val="00EB1C39"/>
    <w:rsid w:val="00EB293A"/>
    <w:rsid w:val="00EB5933"/>
    <w:rsid w:val="00EC04C7"/>
    <w:rsid w:val="00EC0A5C"/>
    <w:rsid w:val="00ED40D0"/>
    <w:rsid w:val="00EE000E"/>
    <w:rsid w:val="00EE411A"/>
    <w:rsid w:val="00EE6888"/>
    <w:rsid w:val="00EF0ACA"/>
    <w:rsid w:val="00EF4855"/>
    <w:rsid w:val="00EF6734"/>
    <w:rsid w:val="00EF7370"/>
    <w:rsid w:val="00F00E7F"/>
    <w:rsid w:val="00F10F22"/>
    <w:rsid w:val="00F117CD"/>
    <w:rsid w:val="00F11843"/>
    <w:rsid w:val="00F17968"/>
    <w:rsid w:val="00F218DE"/>
    <w:rsid w:val="00F31E3F"/>
    <w:rsid w:val="00F4302B"/>
    <w:rsid w:val="00F672B2"/>
    <w:rsid w:val="00F73680"/>
    <w:rsid w:val="00F7456D"/>
    <w:rsid w:val="00F84E8B"/>
    <w:rsid w:val="00F87649"/>
    <w:rsid w:val="00F90A0E"/>
    <w:rsid w:val="00F92D8A"/>
    <w:rsid w:val="00F937DD"/>
    <w:rsid w:val="00F96CAE"/>
    <w:rsid w:val="00FA2BCF"/>
    <w:rsid w:val="00FB3F22"/>
    <w:rsid w:val="00FB4B2D"/>
    <w:rsid w:val="00FB7698"/>
    <w:rsid w:val="00FC071C"/>
    <w:rsid w:val="00FC2CC8"/>
    <w:rsid w:val="00FC4257"/>
    <w:rsid w:val="00FC5182"/>
    <w:rsid w:val="00FC6A67"/>
    <w:rsid w:val="00FD0190"/>
    <w:rsid w:val="00FD05F8"/>
    <w:rsid w:val="00FD5BCE"/>
    <w:rsid w:val="00FD73B4"/>
    <w:rsid w:val="00FE395B"/>
    <w:rsid w:val="00FF0C9F"/>
    <w:rsid w:val="00FF5846"/>
    <w:rsid w:val="00FF7C09"/>
    <w:rsid w:val="07B446CD"/>
    <w:rsid w:val="2982530F"/>
    <w:rsid w:val="3E64AABA"/>
    <w:rsid w:val="493C1324"/>
    <w:rsid w:val="4A58DDB8"/>
    <w:rsid w:val="5428DA3D"/>
    <w:rsid w:val="6A5694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07E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033B"/>
    <w:pPr>
      <w:spacing w:after="240" w:line="240" w:lineRule="auto"/>
      <w:jc w:val="both"/>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Colorful List - Accent 11,F5 List Paragraph,Bullet Points,List Paragraph2,Recommendation,List Paragraph11,L,CV text,Table text,Bullets_1_int,lp1"/>
    <w:basedOn w:val="Normal"/>
    <w:link w:val="ListParagraphChar"/>
    <w:uiPriority w:val="34"/>
    <w:qFormat/>
    <w:rsid w:val="004A033B"/>
    <w:pPr>
      <w:spacing w:after="0"/>
      <w:ind w:left="720"/>
      <w:contextualSpacing/>
      <w:jc w:val="left"/>
    </w:pPr>
    <w:rPr>
      <w:rFonts w:ascii="Calibri" w:eastAsiaTheme="minorHAnsi" w:hAnsi="Calibri" w:cs="Calibri"/>
      <w:sz w:val="22"/>
      <w:szCs w:val="22"/>
      <w:lang w:eastAsia="en-US"/>
    </w:rPr>
  </w:style>
  <w:style w:type="paragraph" w:styleId="BalloonText">
    <w:name w:val="Balloon Text"/>
    <w:basedOn w:val="Normal"/>
    <w:link w:val="BalloonTextChar"/>
    <w:uiPriority w:val="99"/>
    <w:semiHidden/>
    <w:unhideWhenUsed/>
    <w:rsid w:val="004A03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3B"/>
    <w:rPr>
      <w:rFonts w:ascii="Segoe UI" w:eastAsia="Times New Roman" w:hAnsi="Segoe UI" w:cs="Segoe UI"/>
      <w:sz w:val="18"/>
      <w:szCs w:val="18"/>
      <w:lang w:eastAsia="fr-BE"/>
    </w:rPr>
  </w:style>
  <w:style w:type="character" w:styleId="Strong">
    <w:name w:val="Strong"/>
    <w:basedOn w:val="DefaultParagraphFont"/>
    <w:uiPriority w:val="22"/>
    <w:qFormat/>
    <w:rsid w:val="005709EF"/>
    <w:rPr>
      <w:b/>
      <w:bCs/>
    </w:rPr>
  </w:style>
  <w:style w:type="character" w:styleId="CommentReference">
    <w:name w:val="annotation reference"/>
    <w:basedOn w:val="DefaultParagraphFont"/>
    <w:uiPriority w:val="99"/>
    <w:semiHidden/>
    <w:unhideWhenUsed/>
    <w:rsid w:val="001D64F4"/>
    <w:rPr>
      <w:sz w:val="16"/>
      <w:szCs w:val="16"/>
    </w:rPr>
  </w:style>
  <w:style w:type="paragraph" w:customStyle="1" w:styleId="AddressTR">
    <w:name w:val="AddressTR"/>
    <w:basedOn w:val="Normal"/>
    <w:next w:val="Normal"/>
    <w:rsid w:val="00E7102B"/>
    <w:pPr>
      <w:spacing w:after="720"/>
      <w:ind w:left="5103"/>
      <w:jc w:val="left"/>
    </w:pPr>
    <w:rPr>
      <w:lang w:eastAsia="en-GB"/>
    </w:rPr>
  </w:style>
  <w:style w:type="paragraph" w:customStyle="1" w:styleId="s3">
    <w:name w:val="s3"/>
    <w:basedOn w:val="Normal"/>
    <w:rsid w:val="005D2FB5"/>
    <w:pPr>
      <w:spacing w:before="100" w:beforeAutospacing="1" w:after="100" w:afterAutospacing="1"/>
      <w:jc w:val="left"/>
    </w:pPr>
    <w:rPr>
      <w:rFonts w:ascii="Calibri" w:eastAsiaTheme="minorHAnsi" w:hAnsi="Calibri" w:cs="Calibri"/>
      <w:sz w:val="22"/>
      <w:szCs w:val="22"/>
      <w:lang w:eastAsia="en-US"/>
    </w:rPr>
  </w:style>
  <w:style w:type="paragraph" w:customStyle="1" w:styleId="s6">
    <w:name w:val="s6"/>
    <w:basedOn w:val="Normal"/>
    <w:rsid w:val="005D2FB5"/>
    <w:pPr>
      <w:spacing w:before="100" w:beforeAutospacing="1" w:after="100" w:afterAutospacing="1"/>
      <w:jc w:val="left"/>
    </w:pPr>
    <w:rPr>
      <w:rFonts w:ascii="Calibri" w:eastAsiaTheme="minorHAnsi" w:hAnsi="Calibri" w:cs="Calibri"/>
      <w:sz w:val="22"/>
      <w:szCs w:val="22"/>
      <w:lang w:eastAsia="en-US"/>
    </w:rPr>
  </w:style>
  <w:style w:type="paragraph" w:customStyle="1" w:styleId="s9">
    <w:name w:val="s9"/>
    <w:basedOn w:val="Normal"/>
    <w:rsid w:val="005D2FB5"/>
    <w:pPr>
      <w:spacing w:before="100" w:beforeAutospacing="1" w:after="100" w:afterAutospacing="1"/>
      <w:jc w:val="left"/>
    </w:pPr>
    <w:rPr>
      <w:rFonts w:ascii="Calibri" w:eastAsiaTheme="minorHAnsi" w:hAnsi="Calibri" w:cs="Calibri"/>
      <w:sz w:val="22"/>
      <w:szCs w:val="22"/>
      <w:lang w:eastAsia="en-US"/>
    </w:rPr>
  </w:style>
  <w:style w:type="character" w:customStyle="1" w:styleId="bumpedfont15">
    <w:name w:val="bumpedfont15"/>
    <w:basedOn w:val="DefaultParagraphFont"/>
    <w:rsid w:val="005D2FB5"/>
  </w:style>
  <w:style w:type="paragraph" w:styleId="CommentText">
    <w:name w:val="annotation text"/>
    <w:basedOn w:val="Normal"/>
    <w:link w:val="CommentTextChar"/>
    <w:uiPriority w:val="99"/>
    <w:unhideWhenUsed/>
    <w:rsid w:val="003D4D32"/>
    <w:pPr>
      <w:spacing w:after="0"/>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3D4D32"/>
    <w:rPr>
      <w:rFonts w:ascii="Calibri" w:hAnsi="Calibri" w:cs="Calibri"/>
      <w:sz w:val="20"/>
      <w:szCs w:val="20"/>
    </w:rPr>
  </w:style>
  <w:style w:type="paragraph" w:styleId="Header">
    <w:name w:val="header"/>
    <w:basedOn w:val="Normal"/>
    <w:link w:val="HeaderChar"/>
    <w:uiPriority w:val="99"/>
    <w:unhideWhenUsed/>
    <w:rsid w:val="00257D23"/>
    <w:pPr>
      <w:tabs>
        <w:tab w:val="center" w:pos="4513"/>
        <w:tab w:val="right" w:pos="9026"/>
      </w:tabs>
      <w:spacing w:after="0"/>
    </w:pPr>
  </w:style>
  <w:style w:type="character" w:customStyle="1" w:styleId="HeaderChar">
    <w:name w:val="Header Char"/>
    <w:basedOn w:val="DefaultParagraphFont"/>
    <w:link w:val="Header"/>
    <w:uiPriority w:val="99"/>
    <w:rsid w:val="00257D23"/>
    <w:rPr>
      <w:rFonts w:ascii="Times New Roman" w:eastAsia="Times New Roman" w:hAnsi="Times New Roman" w:cs="Times New Roman"/>
      <w:sz w:val="24"/>
      <w:szCs w:val="20"/>
      <w:lang w:eastAsia="fr-BE"/>
    </w:rPr>
  </w:style>
  <w:style w:type="paragraph" w:styleId="Footer">
    <w:name w:val="footer"/>
    <w:basedOn w:val="Normal"/>
    <w:link w:val="FooterChar"/>
    <w:uiPriority w:val="99"/>
    <w:unhideWhenUsed/>
    <w:rsid w:val="00257D23"/>
    <w:pPr>
      <w:tabs>
        <w:tab w:val="center" w:pos="4513"/>
        <w:tab w:val="right" w:pos="9026"/>
      </w:tabs>
      <w:spacing w:after="0"/>
    </w:pPr>
  </w:style>
  <w:style w:type="character" w:customStyle="1" w:styleId="FooterChar">
    <w:name w:val="Footer Char"/>
    <w:basedOn w:val="DefaultParagraphFont"/>
    <w:link w:val="Footer"/>
    <w:uiPriority w:val="99"/>
    <w:rsid w:val="00257D23"/>
    <w:rPr>
      <w:rFonts w:ascii="Times New Roman" w:eastAsia="Times New Roman" w:hAnsi="Times New Roman" w:cs="Times New Roman"/>
      <w:sz w:val="24"/>
      <w:szCs w:val="20"/>
      <w:lang w:eastAsia="fr-BE"/>
    </w:rPr>
  </w:style>
  <w:style w:type="paragraph" w:styleId="Revision">
    <w:name w:val="Revision"/>
    <w:hidden/>
    <w:uiPriority w:val="99"/>
    <w:semiHidden/>
    <w:rsid w:val="00156AA0"/>
    <w:pPr>
      <w:spacing w:after="0" w:line="240" w:lineRule="auto"/>
    </w:pPr>
    <w:rPr>
      <w:rFonts w:ascii="Times New Roman" w:eastAsia="Times New Roman" w:hAnsi="Times New Roman" w:cs="Times New Roman"/>
      <w:sz w:val="24"/>
      <w:szCs w:val="20"/>
      <w:lang w:eastAsia="fr-BE"/>
    </w:rPr>
  </w:style>
  <w:style w:type="paragraph" w:styleId="FootnoteText">
    <w:name w:val="footnote text"/>
    <w:basedOn w:val="Normal"/>
    <w:link w:val="FootnoteTextChar"/>
    <w:uiPriority w:val="99"/>
    <w:semiHidden/>
    <w:unhideWhenUsed/>
    <w:rsid w:val="00794972"/>
    <w:pPr>
      <w:spacing w:after="0"/>
    </w:pPr>
    <w:rPr>
      <w:sz w:val="20"/>
    </w:rPr>
  </w:style>
  <w:style w:type="character" w:customStyle="1" w:styleId="FootnoteTextChar">
    <w:name w:val="Footnote Text Char"/>
    <w:basedOn w:val="DefaultParagraphFont"/>
    <w:link w:val="FootnoteText"/>
    <w:uiPriority w:val="99"/>
    <w:semiHidden/>
    <w:rsid w:val="00794972"/>
    <w:rPr>
      <w:rFonts w:ascii="Times New Roman" w:eastAsia="Times New Roman" w:hAnsi="Times New Roman" w:cs="Times New Roman"/>
      <w:sz w:val="20"/>
      <w:szCs w:val="20"/>
      <w:lang w:eastAsia="fr-BE"/>
    </w:rPr>
  </w:style>
  <w:style w:type="character" w:styleId="FootnoteReference">
    <w:name w:val="footnote reference"/>
    <w:basedOn w:val="DefaultParagraphFont"/>
    <w:uiPriority w:val="99"/>
    <w:semiHidden/>
    <w:unhideWhenUsed/>
    <w:rsid w:val="00794972"/>
    <w:rPr>
      <w:vertAlign w:val="superscript"/>
    </w:rPr>
  </w:style>
  <w:style w:type="character" w:styleId="Hyperlink">
    <w:name w:val="Hyperlink"/>
    <w:basedOn w:val="DefaultParagraphFont"/>
    <w:uiPriority w:val="99"/>
    <w:unhideWhenUsed/>
    <w:rsid w:val="00794972"/>
    <w:rPr>
      <w:color w:val="0563C1" w:themeColor="hyperlink"/>
      <w:u w:val="single"/>
    </w:rPr>
  </w:style>
  <w:style w:type="character" w:customStyle="1" w:styleId="UnresolvedMention1">
    <w:name w:val="Unresolved Mention1"/>
    <w:basedOn w:val="DefaultParagraphFont"/>
    <w:uiPriority w:val="99"/>
    <w:semiHidden/>
    <w:unhideWhenUsed/>
    <w:rsid w:val="00794972"/>
    <w:rPr>
      <w:color w:val="605E5C"/>
      <w:shd w:val="clear" w:color="auto" w:fill="E1DFDD"/>
    </w:rPr>
  </w:style>
  <w:style w:type="paragraph" w:customStyle="1" w:styleId="Default">
    <w:name w:val="Default"/>
    <w:rsid w:val="00794972"/>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CA47CD"/>
    <w:pPr>
      <w:spacing w:after="240"/>
      <w:jc w:val="both"/>
    </w:pPr>
    <w:rPr>
      <w:rFonts w:ascii="Times New Roman" w:eastAsia="Times New Roman" w:hAnsi="Times New Roman" w:cs="Times New Roman"/>
      <w:b/>
      <w:bCs/>
      <w:lang w:eastAsia="fr-BE"/>
    </w:rPr>
  </w:style>
  <w:style w:type="character" w:customStyle="1" w:styleId="CommentSubjectChar">
    <w:name w:val="Comment Subject Char"/>
    <w:basedOn w:val="CommentTextChar"/>
    <w:link w:val="CommentSubject"/>
    <w:uiPriority w:val="99"/>
    <w:semiHidden/>
    <w:rsid w:val="00CA47CD"/>
    <w:rPr>
      <w:rFonts w:ascii="Times New Roman" w:eastAsia="Times New Roman" w:hAnsi="Times New Roman" w:cs="Times New Roman"/>
      <w:b/>
      <w:bCs/>
      <w:sz w:val="20"/>
      <w:szCs w:val="20"/>
      <w:lang w:eastAsia="fr-BE"/>
    </w:rPr>
  </w:style>
  <w:style w:type="character" w:customStyle="1" w:styleId="Bodytext1">
    <w:name w:val="Body text|1_"/>
    <w:basedOn w:val="DefaultParagraphFont"/>
    <w:link w:val="Bodytext10"/>
    <w:rsid w:val="006B7E88"/>
  </w:style>
  <w:style w:type="paragraph" w:customStyle="1" w:styleId="Bodytext10">
    <w:name w:val="Body text|1"/>
    <w:basedOn w:val="Normal"/>
    <w:link w:val="Bodytext1"/>
    <w:rsid w:val="006B7E88"/>
    <w:pPr>
      <w:widowControl w:val="0"/>
      <w:spacing w:after="80"/>
      <w:jc w:val="left"/>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D81B09"/>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Colorful List - Accent 11 Char,F5 List Paragraph Char,Bullet Points Char,List Paragraph2 Char,Recommendation Char"/>
    <w:basedOn w:val="DefaultParagraphFont"/>
    <w:link w:val="ListParagraph"/>
    <w:uiPriority w:val="34"/>
    <w:qFormat/>
    <w:locked/>
    <w:rsid w:val="00404BDE"/>
    <w:rPr>
      <w:rFonts w:ascii="Calibri" w:hAnsi="Calibri" w:cs="Calibri"/>
      <w:lang w:val="el-GR"/>
    </w:rPr>
  </w:style>
  <w:style w:type="character" w:customStyle="1" w:styleId="normaltextrun">
    <w:name w:val="normaltextrun"/>
    <w:basedOn w:val="DefaultParagraphFont"/>
    <w:rsid w:val="004C36DA"/>
  </w:style>
  <w:style w:type="paragraph" w:styleId="PlainText">
    <w:name w:val="Plain Text"/>
    <w:basedOn w:val="Normal"/>
    <w:link w:val="PlainTextChar"/>
    <w:uiPriority w:val="99"/>
    <w:unhideWhenUsed/>
    <w:rsid w:val="00264B9C"/>
    <w:pPr>
      <w:spacing w:after="0"/>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64B9C"/>
    <w:rPr>
      <w:rFonts w:ascii="Calibri" w:hAnsi="Calibri"/>
      <w:szCs w:val="21"/>
      <w:lang w:val="el-GR"/>
    </w:rPr>
  </w:style>
  <w:style w:type="character" w:customStyle="1" w:styleId="cf01">
    <w:name w:val="cf01"/>
    <w:basedOn w:val="DefaultParagraphFont"/>
    <w:rsid w:val="00271E28"/>
    <w:rPr>
      <w:rFonts w:ascii="Segoe UI" w:hAnsi="Segoe UI" w:cs="Segoe UI" w:hint="default"/>
      <w:sz w:val="18"/>
      <w:szCs w:val="18"/>
    </w:rPr>
  </w:style>
  <w:style w:type="character" w:styleId="Emphasis">
    <w:name w:val="Emphasis"/>
    <w:basedOn w:val="DefaultParagraphFont"/>
    <w:uiPriority w:val="20"/>
    <w:qFormat/>
    <w:rsid w:val="006C4286"/>
    <w:rPr>
      <w:i/>
      <w:iCs/>
    </w:rPr>
  </w:style>
  <w:style w:type="character" w:customStyle="1" w:styleId="Marker">
    <w:name w:val="Marker"/>
    <w:basedOn w:val="DefaultParagraphFont"/>
    <w:rsid w:val="002766D5"/>
    <w:rPr>
      <w:color w:val="0000FF"/>
      <w:shd w:val="clear" w:color="auto" w:fill="auto"/>
    </w:rPr>
  </w:style>
  <w:style w:type="paragraph" w:customStyle="1" w:styleId="Pagedecouverture">
    <w:name w:val="Page de couverture"/>
    <w:basedOn w:val="Normal"/>
    <w:next w:val="Normal"/>
    <w:rsid w:val="002766D5"/>
    <w:pPr>
      <w:spacing w:after="0"/>
    </w:pPr>
    <w:rPr>
      <w:rFonts w:eastAsiaTheme="minorHAnsi"/>
      <w:szCs w:val="22"/>
      <w:lang w:eastAsia="en-US"/>
    </w:rPr>
  </w:style>
  <w:style w:type="paragraph" w:customStyle="1" w:styleId="FooterCoverPage">
    <w:name w:val="Footer Cover Page"/>
    <w:basedOn w:val="Normal"/>
    <w:link w:val="FooterCoverPageChar"/>
    <w:rsid w:val="002766D5"/>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2766D5"/>
    <w:rPr>
      <w:rFonts w:ascii="Times New Roman" w:eastAsia="Times New Roman" w:hAnsi="Times New Roman" w:cs="Times New Roman"/>
      <w:sz w:val="24"/>
      <w:szCs w:val="20"/>
      <w:lang w:eastAsia="fr-BE"/>
    </w:rPr>
  </w:style>
  <w:style w:type="paragraph" w:customStyle="1" w:styleId="FooterSensitivity">
    <w:name w:val="Footer Sensitivity"/>
    <w:basedOn w:val="Normal"/>
    <w:link w:val="FooterSensitivityChar"/>
    <w:rsid w:val="002766D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2766D5"/>
    <w:rPr>
      <w:rFonts w:ascii="Times New Roman" w:eastAsia="Times New Roman" w:hAnsi="Times New Roman" w:cs="Times New Roman"/>
      <w:b/>
      <w:sz w:val="32"/>
      <w:szCs w:val="20"/>
      <w:lang w:eastAsia="fr-BE"/>
    </w:rPr>
  </w:style>
  <w:style w:type="paragraph" w:customStyle="1" w:styleId="HeaderCoverPage">
    <w:name w:val="Header Cover Page"/>
    <w:basedOn w:val="Normal"/>
    <w:link w:val="HeaderCoverPageChar"/>
    <w:rsid w:val="002766D5"/>
    <w:pPr>
      <w:tabs>
        <w:tab w:val="center" w:pos="4535"/>
        <w:tab w:val="right" w:pos="9071"/>
      </w:tabs>
      <w:spacing w:after="120"/>
    </w:pPr>
  </w:style>
  <w:style w:type="character" w:customStyle="1" w:styleId="HeaderCoverPageChar">
    <w:name w:val="Header Cover Page Char"/>
    <w:basedOn w:val="DefaultParagraphFont"/>
    <w:link w:val="HeaderCoverPage"/>
    <w:rsid w:val="002766D5"/>
    <w:rPr>
      <w:rFonts w:ascii="Times New Roman" w:eastAsia="Times New Roman" w:hAnsi="Times New Roman" w:cs="Times New Roman"/>
      <w:sz w:val="24"/>
      <w:szCs w:val="20"/>
      <w:lang w:eastAsia="fr-BE"/>
    </w:rPr>
  </w:style>
  <w:style w:type="paragraph" w:customStyle="1" w:styleId="HeaderSensitivity">
    <w:name w:val="Header Sensitivity"/>
    <w:basedOn w:val="Normal"/>
    <w:link w:val="HeaderSensitivityChar"/>
    <w:rsid w:val="002766D5"/>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2766D5"/>
    <w:rPr>
      <w:rFonts w:ascii="Times New Roman" w:eastAsia="Times New Roman" w:hAnsi="Times New Roman" w:cs="Times New Roman"/>
      <w:b/>
      <w:sz w:val="32"/>
      <w:szCs w:val="20"/>
      <w:lang w:eastAsia="fr-BE"/>
    </w:rPr>
  </w:style>
  <w:style w:type="paragraph" w:customStyle="1" w:styleId="HeaderSensitivityRight">
    <w:name w:val="Header Sensitivity Right"/>
    <w:basedOn w:val="Normal"/>
    <w:link w:val="HeaderSensitivityRightChar"/>
    <w:rsid w:val="002766D5"/>
    <w:pPr>
      <w:spacing w:after="120"/>
      <w:jc w:val="right"/>
    </w:pPr>
    <w:rPr>
      <w:sz w:val="28"/>
    </w:rPr>
  </w:style>
  <w:style w:type="character" w:customStyle="1" w:styleId="HeaderSensitivityRightChar">
    <w:name w:val="Header Sensitivity Right Char"/>
    <w:basedOn w:val="DefaultParagraphFont"/>
    <w:link w:val="HeaderSensitivityRight"/>
    <w:rsid w:val="002766D5"/>
    <w:rPr>
      <w:rFonts w:ascii="Times New Roman" w:eastAsia="Times New Roman" w:hAnsi="Times New Roman" w:cs="Times New Roman"/>
      <w:sz w:val="28"/>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7758">
      <w:bodyDiv w:val="1"/>
      <w:marLeft w:val="0"/>
      <w:marRight w:val="0"/>
      <w:marTop w:val="0"/>
      <w:marBottom w:val="0"/>
      <w:divBdr>
        <w:top w:val="none" w:sz="0" w:space="0" w:color="auto"/>
        <w:left w:val="none" w:sz="0" w:space="0" w:color="auto"/>
        <w:bottom w:val="none" w:sz="0" w:space="0" w:color="auto"/>
        <w:right w:val="none" w:sz="0" w:space="0" w:color="auto"/>
      </w:divBdr>
    </w:div>
    <w:div w:id="121968430">
      <w:bodyDiv w:val="1"/>
      <w:marLeft w:val="0"/>
      <w:marRight w:val="0"/>
      <w:marTop w:val="0"/>
      <w:marBottom w:val="0"/>
      <w:divBdr>
        <w:top w:val="none" w:sz="0" w:space="0" w:color="auto"/>
        <w:left w:val="none" w:sz="0" w:space="0" w:color="auto"/>
        <w:bottom w:val="none" w:sz="0" w:space="0" w:color="auto"/>
        <w:right w:val="none" w:sz="0" w:space="0" w:color="auto"/>
      </w:divBdr>
    </w:div>
    <w:div w:id="254679070">
      <w:bodyDiv w:val="1"/>
      <w:marLeft w:val="0"/>
      <w:marRight w:val="0"/>
      <w:marTop w:val="0"/>
      <w:marBottom w:val="0"/>
      <w:divBdr>
        <w:top w:val="none" w:sz="0" w:space="0" w:color="auto"/>
        <w:left w:val="none" w:sz="0" w:space="0" w:color="auto"/>
        <w:bottom w:val="none" w:sz="0" w:space="0" w:color="auto"/>
        <w:right w:val="none" w:sz="0" w:space="0" w:color="auto"/>
      </w:divBdr>
    </w:div>
    <w:div w:id="327828018">
      <w:bodyDiv w:val="1"/>
      <w:marLeft w:val="0"/>
      <w:marRight w:val="0"/>
      <w:marTop w:val="0"/>
      <w:marBottom w:val="0"/>
      <w:divBdr>
        <w:top w:val="none" w:sz="0" w:space="0" w:color="auto"/>
        <w:left w:val="none" w:sz="0" w:space="0" w:color="auto"/>
        <w:bottom w:val="none" w:sz="0" w:space="0" w:color="auto"/>
        <w:right w:val="none" w:sz="0" w:space="0" w:color="auto"/>
      </w:divBdr>
    </w:div>
    <w:div w:id="506335776">
      <w:bodyDiv w:val="1"/>
      <w:marLeft w:val="0"/>
      <w:marRight w:val="0"/>
      <w:marTop w:val="0"/>
      <w:marBottom w:val="0"/>
      <w:divBdr>
        <w:top w:val="none" w:sz="0" w:space="0" w:color="auto"/>
        <w:left w:val="none" w:sz="0" w:space="0" w:color="auto"/>
        <w:bottom w:val="none" w:sz="0" w:space="0" w:color="auto"/>
        <w:right w:val="none" w:sz="0" w:space="0" w:color="auto"/>
      </w:divBdr>
    </w:div>
    <w:div w:id="519783998">
      <w:bodyDiv w:val="1"/>
      <w:marLeft w:val="0"/>
      <w:marRight w:val="0"/>
      <w:marTop w:val="0"/>
      <w:marBottom w:val="0"/>
      <w:divBdr>
        <w:top w:val="none" w:sz="0" w:space="0" w:color="auto"/>
        <w:left w:val="none" w:sz="0" w:space="0" w:color="auto"/>
        <w:bottom w:val="none" w:sz="0" w:space="0" w:color="auto"/>
        <w:right w:val="none" w:sz="0" w:space="0" w:color="auto"/>
      </w:divBdr>
    </w:div>
    <w:div w:id="714350365">
      <w:bodyDiv w:val="1"/>
      <w:marLeft w:val="0"/>
      <w:marRight w:val="0"/>
      <w:marTop w:val="0"/>
      <w:marBottom w:val="0"/>
      <w:divBdr>
        <w:top w:val="none" w:sz="0" w:space="0" w:color="auto"/>
        <w:left w:val="none" w:sz="0" w:space="0" w:color="auto"/>
        <w:bottom w:val="none" w:sz="0" w:space="0" w:color="auto"/>
        <w:right w:val="none" w:sz="0" w:space="0" w:color="auto"/>
      </w:divBdr>
    </w:div>
    <w:div w:id="768551268">
      <w:bodyDiv w:val="1"/>
      <w:marLeft w:val="0"/>
      <w:marRight w:val="0"/>
      <w:marTop w:val="0"/>
      <w:marBottom w:val="0"/>
      <w:divBdr>
        <w:top w:val="none" w:sz="0" w:space="0" w:color="auto"/>
        <w:left w:val="none" w:sz="0" w:space="0" w:color="auto"/>
        <w:bottom w:val="none" w:sz="0" w:space="0" w:color="auto"/>
        <w:right w:val="none" w:sz="0" w:space="0" w:color="auto"/>
      </w:divBdr>
    </w:div>
    <w:div w:id="826938220">
      <w:bodyDiv w:val="1"/>
      <w:marLeft w:val="0"/>
      <w:marRight w:val="0"/>
      <w:marTop w:val="0"/>
      <w:marBottom w:val="0"/>
      <w:divBdr>
        <w:top w:val="none" w:sz="0" w:space="0" w:color="auto"/>
        <w:left w:val="none" w:sz="0" w:space="0" w:color="auto"/>
        <w:bottom w:val="none" w:sz="0" w:space="0" w:color="auto"/>
        <w:right w:val="none" w:sz="0" w:space="0" w:color="auto"/>
      </w:divBdr>
    </w:div>
    <w:div w:id="839350318">
      <w:bodyDiv w:val="1"/>
      <w:marLeft w:val="0"/>
      <w:marRight w:val="0"/>
      <w:marTop w:val="0"/>
      <w:marBottom w:val="0"/>
      <w:divBdr>
        <w:top w:val="none" w:sz="0" w:space="0" w:color="auto"/>
        <w:left w:val="none" w:sz="0" w:space="0" w:color="auto"/>
        <w:bottom w:val="none" w:sz="0" w:space="0" w:color="auto"/>
        <w:right w:val="none" w:sz="0" w:space="0" w:color="auto"/>
      </w:divBdr>
    </w:div>
    <w:div w:id="897012549">
      <w:bodyDiv w:val="1"/>
      <w:marLeft w:val="0"/>
      <w:marRight w:val="0"/>
      <w:marTop w:val="0"/>
      <w:marBottom w:val="0"/>
      <w:divBdr>
        <w:top w:val="none" w:sz="0" w:space="0" w:color="auto"/>
        <w:left w:val="none" w:sz="0" w:space="0" w:color="auto"/>
        <w:bottom w:val="none" w:sz="0" w:space="0" w:color="auto"/>
        <w:right w:val="none" w:sz="0" w:space="0" w:color="auto"/>
      </w:divBdr>
    </w:div>
    <w:div w:id="1114203722">
      <w:bodyDiv w:val="1"/>
      <w:marLeft w:val="0"/>
      <w:marRight w:val="0"/>
      <w:marTop w:val="0"/>
      <w:marBottom w:val="0"/>
      <w:divBdr>
        <w:top w:val="none" w:sz="0" w:space="0" w:color="auto"/>
        <w:left w:val="none" w:sz="0" w:space="0" w:color="auto"/>
        <w:bottom w:val="none" w:sz="0" w:space="0" w:color="auto"/>
        <w:right w:val="none" w:sz="0" w:space="0" w:color="auto"/>
      </w:divBdr>
    </w:div>
    <w:div w:id="1125851895">
      <w:bodyDiv w:val="1"/>
      <w:marLeft w:val="0"/>
      <w:marRight w:val="0"/>
      <w:marTop w:val="0"/>
      <w:marBottom w:val="0"/>
      <w:divBdr>
        <w:top w:val="none" w:sz="0" w:space="0" w:color="auto"/>
        <w:left w:val="none" w:sz="0" w:space="0" w:color="auto"/>
        <w:bottom w:val="none" w:sz="0" w:space="0" w:color="auto"/>
        <w:right w:val="none" w:sz="0" w:space="0" w:color="auto"/>
      </w:divBdr>
    </w:div>
    <w:div w:id="1222253486">
      <w:bodyDiv w:val="1"/>
      <w:marLeft w:val="0"/>
      <w:marRight w:val="0"/>
      <w:marTop w:val="0"/>
      <w:marBottom w:val="0"/>
      <w:divBdr>
        <w:top w:val="none" w:sz="0" w:space="0" w:color="auto"/>
        <w:left w:val="none" w:sz="0" w:space="0" w:color="auto"/>
        <w:bottom w:val="none" w:sz="0" w:space="0" w:color="auto"/>
        <w:right w:val="none" w:sz="0" w:space="0" w:color="auto"/>
      </w:divBdr>
    </w:div>
    <w:div w:id="1297838352">
      <w:bodyDiv w:val="1"/>
      <w:marLeft w:val="0"/>
      <w:marRight w:val="0"/>
      <w:marTop w:val="0"/>
      <w:marBottom w:val="0"/>
      <w:divBdr>
        <w:top w:val="none" w:sz="0" w:space="0" w:color="auto"/>
        <w:left w:val="none" w:sz="0" w:space="0" w:color="auto"/>
        <w:bottom w:val="none" w:sz="0" w:space="0" w:color="auto"/>
        <w:right w:val="none" w:sz="0" w:space="0" w:color="auto"/>
      </w:divBdr>
    </w:div>
    <w:div w:id="1392925195">
      <w:bodyDiv w:val="1"/>
      <w:marLeft w:val="0"/>
      <w:marRight w:val="0"/>
      <w:marTop w:val="0"/>
      <w:marBottom w:val="0"/>
      <w:divBdr>
        <w:top w:val="none" w:sz="0" w:space="0" w:color="auto"/>
        <w:left w:val="none" w:sz="0" w:space="0" w:color="auto"/>
        <w:bottom w:val="none" w:sz="0" w:space="0" w:color="auto"/>
        <w:right w:val="none" w:sz="0" w:space="0" w:color="auto"/>
      </w:divBdr>
    </w:div>
    <w:div w:id="1427917875">
      <w:bodyDiv w:val="1"/>
      <w:marLeft w:val="0"/>
      <w:marRight w:val="0"/>
      <w:marTop w:val="0"/>
      <w:marBottom w:val="0"/>
      <w:divBdr>
        <w:top w:val="none" w:sz="0" w:space="0" w:color="auto"/>
        <w:left w:val="none" w:sz="0" w:space="0" w:color="auto"/>
        <w:bottom w:val="none" w:sz="0" w:space="0" w:color="auto"/>
        <w:right w:val="none" w:sz="0" w:space="0" w:color="auto"/>
      </w:divBdr>
    </w:div>
    <w:div w:id="1625381010">
      <w:bodyDiv w:val="1"/>
      <w:marLeft w:val="0"/>
      <w:marRight w:val="0"/>
      <w:marTop w:val="0"/>
      <w:marBottom w:val="0"/>
      <w:divBdr>
        <w:top w:val="none" w:sz="0" w:space="0" w:color="auto"/>
        <w:left w:val="none" w:sz="0" w:space="0" w:color="auto"/>
        <w:bottom w:val="none" w:sz="0" w:space="0" w:color="auto"/>
        <w:right w:val="none" w:sz="0" w:space="0" w:color="auto"/>
      </w:divBdr>
    </w:div>
    <w:div w:id="1632175553">
      <w:bodyDiv w:val="1"/>
      <w:marLeft w:val="0"/>
      <w:marRight w:val="0"/>
      <w:marTop w:val="0"/>
      <w:marBottom w:val="0"/>
      <w:divBdr>
        <w:top w:val="none" w:sz="0" w:space="0" w:color="auto"/>
        <w:left w:val="none" w:sz="0" w:space="0" w:color="auto"/>
        <w:bottom w:val="none" w:sz="0" w:space="0" w:color="auto"/>
        <w:right w:val="none" w:sz="0" w:space="0" w:color="auto"/>
      </w:divBdr>
    </w:div>
    <w:div w:id="1782412499">
      <w:bodyDiv w:val="1"/>
      <w:marLeft w:val="0"/>
      <w:marRight w:val="0"/>
      <w:marTop w:val="0"/>
      <w:marBottom w:val="0"/>
      <w:divBdr>
        <w:top w:val="none" w:sz="0" w:space="0" w:color="auto"/>
        <w:left w:val="none" w:sz="0" w:space="0" w:color="auto"/>
        <w:bottom w:val="none" w:sz="0" w:space="0" w:color="auto"/>
        <w:right w:val="none" w:sz="0" w:space="0" w:color="auto"/>
      </w:divBdr>
    </w:div>
    <w:div w:id="1931698824">
      <w:bodyDiv w:val="1"/>
      <w:marLeft w:val="0"/>
      <w:marRight w:val="0"/>
      <w:marTop w:val="0"/>
      <w:marBottom w:val="0"/>
      <w:divBdr>
        <w:top w:val="none" w:sz="0" w:space="0" w:color="auto"/>
        <w:left w:val="none" w:sz="0" w:space="0" w:color="auto"/>
        <w:bottom w:val="none" w:sz="0" w:space="0" w:color="auto"/>
        <w:right w:val="none" w:sz="0" w:space="0" w:color="auto"/>
      </w:divBdr>
    </w:div>
    <w:div w:id="2024243010">
      <w:bodyDiv w:val="1"/>
      <w:marLeft w:val="0"/>
      <w:marRight w:val="0"/>
      <w:marTop w:val="0"/>
      <w:marBottom w:val="0"/>
      <w:divBdr>
        <w:top w:val="none" w:sz="0" w:space="0" w:color="auto"/>
        <w:left w:val="none" w:sz="0" w:space="0" w:color="auto"/>
        <w:bottom w:val="none" w:sz="0" w:space="0" w:color="auto"/>
        <w:right w:val="none" w:sz="0" w:space="0" w:color="auto"/>
      </w:divBdr>
    </w:div>
    <w:div w:id="20882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l/press/press-releases/2016/03/18-eu-turkey-statement/" TargetMode="External"/><Relationship Id="rId7" Type="http://schemas.openxmlformats.org/officeDocument/2006/relationships/hyperlink" Target="https://data.consilium.europa.eu/doc/document/ST-6375-2023-INIT/el/pdf" TargetMode="External"/><Relationship Id="rId2" Type="http://schemas.openxmlformats.org/officeDocument/2006/relationships/hyperlink" Target="https://data.consilium.europa.eu/doc/document/ST-15935-2022-INIT/el/pdf" TargetMode="External"/><Relationship Id="rId1" Type="http://schemas.openxmlformats.org/officeDocument/2006/relationships/hyperlink" Target="https://data.consilium.europa.eu/doc/document/ST-7371-2022-INIT/el/pdf" TargetMode="External"/><Relationship Id="rId6" Type="http://schemas.openxmlformats.org/officeDocument/2006/relationships/hyperlink" Target="https://data.consilium.europa.eu/doc/document/ST-6329-2021-INIT/el/pdf" TargetMode="External"/><Relationship Id="rId5" Type="http://schemas.openxmlformats.org/officeDocument/2006/relationships/hyperlink" Target="https://finance.ec.europa.eu/system/files/2023-09/list-common-high-priority-items_en.pdf" TargetMode="External"/><Relationship Id="rId4"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84B1-1F20-41C4-9D65-B23A7FB8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8480</Words>
  <Characters>50206</Characters>
  <Application>Microsoft Office Word</Application>
  <DocSecurity>0</DocSecurity>
  <Lines>784</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58524</CharactersWithSpaces>
  <SharedDoc>false</SharedDoc>
  <HLinks>
    <vt:vector size="36" baseType="variant">
      <vt:variant>
        <vt:i4>7143534</vt:i4>
      </vt:variant>
      <vt:variant>
        <vt:i4>15</vt:i4>
      </vt:variant>
      <vt:variant>
        <vt:i4>0</vt:i4>
      </vt:variant>
      <vt:variant>
        <vt:i4>5</vt:i4>
      </vt:variant>
      <vt:variant>
        <vt:lpwstr>https://data.consilium.europa.eu/doc/document/ST-6375-2023-INIT/en/pdf</vt:lpwstr>
      </vt:variant>
      <vt:variant>
        <vt:lpwstr/>
      </vt:variant>
      <vt:variant>
        <vt:i4>6946914</vt:i4>
      </vt:variant>
      <vt:variant>
        <vt:i4>12</vt:i4>
      </vt:variant>
      <vt:variant>
        <vt:i4>0</vt:i4>
      </vt:variant>
      <vt:variant>
        <vt:i4>5</vt:i4>
      </vt:variant>
      <vt:variant>
        <vt:lpwstr>https://data.consilium.europa.eu/doc/document/ST-6329-2021-INIT/en/pdf</vt:lpwstr>
      </vt:variant>
      <vt:variant>
        <vt:lpwstr/>
      </vt:variant>
      <vt:variant>
        <vt:i4>2228245</vt:i4>
      </vt:variant>
      <vt:variant>
        <vt:i4>9</vt:i4>
      </vt:variant>
      <vt:variant>
        <vt:i4>0</vt:i4>
      </vt:variant>
      <vt:variant>
        <vt:i4>5</vt:i4>
      </vt:variant>
      <vt:variant>
        <vt:lpwstr>https://finance.ec.europa.eu/system/files/2023-09/list-common-high-priority-items_en.pdf</vt:lpwstr>
      </vt:variant>
      <vt:variant>
        <vt:lpwstr/>
      </vt:variant>
      <vt:variant>
        <vt:i4>1966145</vt:i4>
      </vt:variant>
      <vt:variant>
        <vt:i4>6</vt:i4>
      </vt:variant>
      <vt:variant>
        <vt:i4>0</vt:i4>
      </vt:variant>
      <vt:variant>
        <vt:i4>5</vt:i4>
      </vt:variant>
      <vt:variant>
        <vt:lpwstr>https://www.sanctionsmap.eu/</vt:lpwstr>
      </vt:variant>
      <vt:variant>
        <vt:lpwstr>/main</vt:lpwstr>
      </vt:variant>
      <vt:variant>
        <vt:i4>6357101</vt:i4>
      </vt:variant>
      <vt:variant>
        <vt:i4>3</vt:i4>
      </vt:variant>
      <vt:variant>
        <vt:i4>0</vt:i4>
      </vt:variant>
      <vt:variant>
        <vt:i4>5</vt:i4>
      </vt:variant>
      <vt:variant>
        <vt:lpwstr>https://www.consilium.europa.eu/en/press/press-releases/2016/03/18/eu-turkey-statement/</vt:lpwstr>
      </vt:variant>
      <vt:variant>
        <vt:lpwstr/>
      </vt:variant>
      <vt:variant>
        <vt:i4>4325393</vt:i4>
      </vt:variant>
      <vt:variant>
        <vt:i4>0</vt:i4>
      </vt:variant>
      <vt:variant>
        <vt:i4>0</vt:i4>
      </vt:variant>
      <vt:variant>
        <vt:i4>5</vt:i4>
      </vt:variant>
      <vt:variant>
        <vt:lpwstr>https://www.consilium.europa.eu/media/60797/st15935-en22.pdf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2023-11-28T10:35:00Z</dcterms:created>
  <dcterms:modified xsi:type="dcterms:W3CDTF">2023-12-13T08:36:00Z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2023-11-23T20:20:35Z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ca0103b5-0a48-4d87-9c8f-b887ea9b6f10</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CP-042</vt:lpwstr>
  </property>
  <property fmtid="{D5CDD505-2E9C-101B-9397-08002B2CF9AE}" pid="14" name="Last edited using">
    <vt:lpwstr>LW 9.0, Build 20230317</vt:lpwstr>
  </property>
  <property fmtid="{D5CDD505-2E9C-101B-9397-08002B2CF9AE}" pid="15" name="Created using">
    <vt:lpwstr>LW 9.0, Build 20230317</vt:lpwstr>
  </property>
</Properties>
</file>