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35163" w14:textId="3FB80FCC" w:rsidR="0018143B" w:rsidRDefault="00902CBF" w:rsidP="00902CBF">
      <w:pPr>
        <w:pStyle w:val="Pagedecouverture"/>
        <w:rPr>
          <w:noProof/>
        </w:rPr>
      </w:pPr>
      <w:r>
        <w:rPr>
          <w:noProof/>
        </w:rPr>
        <w:pict w14:anchorId="31C556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47818909-7982-4138-9196-D8C3A16B4DD8" style="width:455.35pt;height:413.2pt">
            <v:imagedata r:id="rId11" o:title=""/>
          </v:shape>
        </w:pict>
      </w:r>
    </w:p>
    <w:p w14:paraId="11262101" w14:textId="77777777" w:rsidR="0018143B" w:rsidRDefault="0018143B">
      <w:pPr>
        <w:rPr>
          <w:noProof/>
        </w:rPr>
        <w:sectPr w:rsidR="0018143B" w:rsidSect="00902CBF">
          <w:headerReference w:type="even" r:id="rId12"/>
          <w:headerReference w:type="default" r:id="rId13"/>
          <w:footerReference w:type="even" r:id="rId14"/>
          <w:footerReference w:type="default" r:id="rId15"/>
          <w:headerReference w:type="first" r:id="rId16"/>
          <w:footerReference w:type="first" r:id="rId17"/>
          <w:pgSz w:w="11907" w:h="16839"/>
          <w:pgMar w:top="1134" w:right="1417" w:bottom="1134" w:left="1417" w:header="709" w:footer="709" w:gutter="0"/>
          <w:pgNumType w:start="0"/>
          <w:cols w:space="720"/>
          <w:docGrid w:linePitch="360"/>
        </w:sectPr>
      </w:pPr>
    </w:p>
    <w:p w14:paraId="7ECCD543" w14:textId="77777777" w:rsidR="0018143B" w:rsidRDefault="0091075B">
      <w:pPr>
        <w:pStyle w:val="Exposdesmotifstitre"/>
        <w:rPr>
          <w:noProof/>
        </w:rPr>
      </w:pPr>
      <w:r>
        <w:rPr>
          <w:noProof/>
        </w:rPr>
        <w:lastRenderedPageBreak/>
        <w:t>EXPLANATORY MEMORANDUM</w:t>
      </w:r>
    </w:p>
    <w:p w14:paraId="131E6A7F" w14:textId="77777777" w:rsidR="0018143B" w:rsidRPr="00360678" w:rsidRDefault="0091075B">
      <w:pPr>
        <w:pStyle w:val="ManualHeading1"/>
        <w:rPr>
          <w:noProof/>
          <w:lang w:val="en-IE"/>
        </w:rPr>
      </w:pPr>
      <w:r w:rsidRPr="00360678">
        <w:rPr>
          <w:noProof/>
          <w:lang w:val="en-IE"/>
        </w:rPr>
        <w:t>1.</w:t>
      </w:r>
      <w:r w:rsidRPr="00360678">
        <w:rPr>
          <w:noProof/>
          <w:lang w:val="en-IE"/>
        </w:rPr>
        <w:tab/>
        <w:t>CONTEXT OF THE PROPOSAL</w:t>
      </w:r>
    </w:p>
    <w:p w14:paraId="0B6A5093" w14:textId="47DB2252" w:rsidR="00E1507C" w:rsidRDefault="00E1507C">
      <w:pPr>
        <w:pBdr>
          <w:top w:val="nil"/>
          <w:left w:val="nil"/>
          <w:bottom w:val="nil"/>
          <w:right w:val="nil"/>
          <w:between w:val="nil"/>
          <w:bar w:val="nil"/>
        </w:pBdr>
        <w:spacing w:before="0" w:after="240"/>
        <w:rPr>
          <w:rFonts w:eastAsia="Arial Unicode MS"/>
          <w:noProof/>
          <w:lang w:val="en-IE"/>
        </w:rPr>
      </w:pPr>
      <w:r w:rsidRPr="00360678">
        <w:rPr>
          <w:rFonts w:eastAsia="Arial Unicode MS"/>
          <w:noProof/>
          <w:lang w:val="en-IE"/>
        </w:rPr>
        <w:t>This proposal accompanies the Commission’s proposal for a Directive establishing harmonised requirements in the internal market on transparency of interest representation carried out on behalf of third countries</w:t>
      </w:r>
      <w:r w:rsidRPr="00360678">
        <w:rPr>
          <w:rStyle w:val="FootnoteReference"/>
          <w:rFonts w:eastAsia="Arial Unicode MS"/>
          <w:noProof/>
          <w:lang w:val="en-IE"/>
        </w:rPr>
        <w:footnoteReference w:id="1"/>
      </w:r>
      <w:r w:rsidR="00074F44">
        <w:rPr>
          <w:rFonts w:eastAsia="Calibri"/>
          <w:noProof/>
          <w:szCs w:val="24"/>
          <w:lang w:val="en-IE"/>
        </w:rPr>
        <w:t xml:space="preserve"> </w:t>
      </w:r>
      <w:r w:rsidR="00074F44" w:rsidRPr="004A081B">
        <w:rPr>
          <w:rFonts w:eastAsia="Calibri"/>
          <w:noProof/>
          <w:szCs w:val="24"/>
          <w:lang w:val="en-IE"/>
        </w:rPr>
        <w:t>with a view to improving the functioning of the internal market by achieving a common level of transparency across the Union</w:t>
      </w:r>
      <w:r w:rsidRPr="00360678">
        <w:rPr>
          <w:rFonts w:eastAsia="Arial Unicode MS"/>
          <w:noProof/>
          <w:lang w:val="en-IE"/>
        </w:rPr>
        <w:t>.</w:t>
      </w:r>
    </w:p>
    <w:p w14:paraId="3CC07995" w14:textId="1435A7D5" w:rsidR="00074F44" w:rsidRPr="00360678" w:rsidRDefault="00074F44">
      <w:pPr>
        <w:pBdr>
          <w:top w:val="nil"/>
          <w:left w:val="nil"/>
          <w:bottom w:val="nil"/>
          <w:right w:val="nil"/>
          <w:between w:val="nil"/>
          <w:bar w:val="nil"/>
        </w:pBdr>
        <w:spacing w:before="0" w:after="240"/>
        <w:rPr>
          <w:rFonts w:eastAsia="Arial Unicode MS"/>
          <w:noProof/>
          <w:lang w:val="en-IE"/>
        </w:rPr>
      </w:pPr>
      <w:r>
        <w:rPr>
          <w:rFonts w:eastAsia="Arial Unicode MS"/>
          <w:noProof/>
          <w:lang w:val="en-IE"/>
        </w:rPr>
        <w:t xml:space="preserve">The proposed Directive </w:t>
      </w:r>
      <w:r w:rsidR="006A1C39">
        <w:rPr>
          <w:rFonts w:eastAsia="Arial Unicode MS"/>
          <w:noProof/>
          <w:lang w:val="en-IE"/>
        </w:rPr>
        <w:t xml:space="preserve">would </w:t>
      </w:r>
      <w:r>
        <w:rPr>
          <w:rFonts w:eastAsia="Arial Unicode MS"/>
          <w:noProof/>
          <w:lang w:val="en-IE"/>
        </w:rPr>
        <w:t>require Member States to set up and maintain national registers for t</w:t>
      </w:r>
      <w:r w:rsidRPr="007F50FB">
        <w:rPr>
          <w:noProof/>
          <w:lang w:val="en-IE"/>
        </w:rPr>
        <w:t>he purpose of ensuring transparency of interest representation activities carried out by entities</w:t>
      </w:r>
      <w:r>
        <w:rPr>
          <w:noProof/>
          <w:lang w:val="en-IE"/>
        </w:rPr>
        <w:t xml:space="preserve">, as well as to designate authorities responsible for these registers. In addition, the proposed Directive </w:t>
      </w:r>
      <w:r w:rsidR="006A1C39">
        <w:rPr>
          <w:noProof/>
          <w:lang w:val="en-IE"/>
        </w:rPr>
        <w:t xml:space="preserve">would </w:t>
      </w:r>
      <w:r>
        <w:rPr>
          <w:noProof/>
          <w:lang w:val="en-IE"/>
        </w:rPr>
        <w:t>require Member States to designate</w:t>
      </w:r>
      <w:r>
        <w:rPr>
          <w:rFonts w:eastAsia="Arial Unicode MS"/>
          <w:noProof/>
          <w:lang w:val="en-IE"/>
        </w:rPr>
        <w:t xml:space="preserve"> supervisory authorities having the responsibility to supervise the compliance with and enforcing the obligations set out in the proposed Directive, </w:t>
      </w:r>
      <w:r w:rsidRPr="00ED23FE">
        <w:rPr>
          <w:noProof/>
        </w:rPr>
        <w:t xml:space="preserve">as well as </w:t>
      </w:r>
      <w:r>
        <w:rPr>
          <w:noProof/>
        </w:rPr>
        <w:t>to exchange</w:t>
      </w:r>
      <w:r w:rsidRPr="00ED23FE">
        <w:rPr>
          <w:noProof/>
        </w:rPr>
        <w:t xml:space="preserve"> information with the supervisory authorities in other Member States and the Commission, where authorised to do so under th</w:t>
      </w:r>
      <w:r>
        <w:rPr>
          <w:noProof/>
        </w:rPr>
        <w:t>e proposed Directive.</w:t>
      </w:r>
    </w:p>
    <w:p w14:paraId="55DEACAB" w14:textId="75F15F1F" w:rsidR="00E1507C" w:rsidRPr="00360678" w:rsidRDefault="00074F44">
      <w:pPr>
        <w:pBdr>
          <w:top w:val="nil"/>
          <w:left w:val="nil"/>
          <w:bottom w:val="nil"/>
          <w:right w:val="nil"/>
          <w:between w:val="nil"/>
          <w:bar w:val="nil"/>
        </w:pBdr>
        <w:spacing w:before="0" w:after="240"/>
        <w:rPr>
          <w:rFonts w:eastAsia="Times New Roman"/>
          <w:noProof/>
          <w:szCs w:val="24"/>
          <w:lang w:val="en-IE"/>
        </w:rPr>
      </w:pPr>
      <w:r>
        <w:rPr>
          <w:rFonts w:eastAsia="Times New Roman"/>
          <w:noProof/>
          <w:szCs w:val="24"/>
          <w:lang w:val="en-IE"/>
        </w:rPr>
        <w:t>T</w:t>
      </w:r>
      <w:r w:rsidR="00E1507C" w:rsidRPr="00360678">
        <w:rPr>
          <w:rFonts w:eastAsia="Times New Roman"/>
          <w:noProof/>
          <w:szCs w:val="24"/>
          <w:lang w:val="en-IE"/>
        </w:rPr>
        <w:t xml:space="preserve">he </w:t>
      </w:r>
      <w:r w:rsidR="00E1507C" w:rsidRPr="00360678">
        <w:rPr>
          <w:noProof/>
          <w:szCs w:val="24"/>
          <w:lang w:val="en-IE"/>
        </w:rPr>
        <w:t>administrative</w:t>
      </w:r>
      <w:r w:rsidR="00E1507C" w:rsidRPr="00360678">
        <w:rPr>
          <w:rFonts w:eastAsia="Times New Roman"/>
          <w:noProof/>
          <w:szCs w:val="24"/>
          <w:lang w:val="en-IE"/>
        </w:rPr>
        <w:t xml:space="preserve"> cooperation and the exchange of information between the competent national authorities</w:t>
      </w:r>
      <w:r w:rsidR="003C1337">
        <w:rPr>
          <w:rFonts w:eastAsia="Times New Roman"/>
          <w:noProof/>
          <w:szCs w:val="24"/>
          <w:lang w:val="en-IE"/>
        </w:rPr>
        <w:t>, as well as</w:t>
      </w:r>
      <w:r w:rsidR="00E1507C" w:rsidRPr="00360678">
        <w:rPr>
          <w:rFonts w:eastAsia="Times New Roman"/>
          <w:noProof/>
          <w:szCs w:val="24"/>
          <w:lang w:val="en-IE"/>
        </w:rPr>
        <w:t xml:space="preserve"> the Commission</w:t>
      </w:r>
      <w:r w:rsidR="003C1337">
        <w:rPr>
          <w:rFonts w:eastAsia="Times New Roman"/>
          <w:noProof/>
          <w:szCs w:val="24"/>
          <w:lang w:val="en-IE"/>
        </w:rPr>
        <w:t>,</w:t>
      </w:r>
      <w:r w:rsidR="00E1507C" w:rsidRPr="00360678">
        <w:rPr>
          <w:rFonts w:eastAsia="Times New Roman"/>
          <w:noProof/>
          <w:szCs w:val="24"/>
          <w:lang w:val="en-IE"/>
        </w:rPr>
        <w:t xml:space="preserve"> provided for by </w:t>
      </w:r>
      <w:r w:rsidR="00742D44" w:rsidRPr="00360678">
        <w:rPr>
          <w:noProof/>
          <w:lang w:val="en-IE"/>
        </w:rPr>
        <w:t>the proposed Directive</w:t>
      </w:r>
      <w:r w:rsidR="00E1507C" w:rsidRPr="00360678">
        <w:rPr>
          <w:noProof/>
          <w:lang w:val="en-IE"/>
        </w:rPr>
        <w:t xml:space="preserve"> should</w:t>
      </w:r>
      <w:r w:rsidR="00E1507C" w:rsidRPr="00360678">
        <w:rPr>
          <w:rFonts w:eastAsia="Times New Roman"/>
          <w:noProof/>
          <w:szCs w:val="24"/>
          <w:lang w:val="en-IE"/>
        </w:rPr>
        <w:t xml:space="preserve"> be implemented through the Internal Market Information System (‘IMI system’) established by Regulation (EU) No 1024/2012 of the European Parliament and of the Council</w:t>
      </w:r>
      <w:r w:rsidR="00E1507C" w:rsidRPr="00360678">
        <w:rPr>
          <w:rStyle w:val="FootnoteReference"/>
          <w:noProof/>
          <w:szCs w:val="24"/>
          <w:lang w:val="en-IE"/>
        </w:rPr>
        <w:footnoteReference w:id="2"/>
      </w:r>
      <w:r w:rsidR="00E1507C" w:rsidRPr="00360678">
        <w:rPr>
          <w:rFonts w:eastAsia="Times New Roman"/>
          <w:noProof/>
          <w:szCs w:val="24"/>
          <w:lang w:val="en-IE"/>
        </w:rPr>
        <w:t>. For that reason, the necessary administrative cooperation procedures should be established in the IMI system. Regulation (EU) No 1024/2012 should therefore be amended accordingly.</w:t>
      </w:r>
    </w:p>
    <w:p w14:paraId="5227A562" w14:textId="00F1BAA3" w:rsidR="00E1507C" w:rsidRPr="00360678" w:rsidRDefault="00E1507C">
      <w:pPr>
        <w:pBdr>
          <w:top w:val="nil"/>
          <w:left w:val="nil"/>
          <w:bottom w:val="nil"/>
          <w:right w:val="nil"/>
          <w:between w:val="nil"/>
          <w:bar w:val="nil"/>
        </w:pBdr>
        <w:spacing w:before="0" w:after="240"/>
        <w:rPr>
          <w:rFonts w:eastAsia="Times New Roman"/>
          <w:noProof/>
          <w:szCs w:val="24"/>
          <w:lang w:val="en-IE"/>
        </w:rPr>
      </w:pPr>
      <w:r w:rsidRPr="00360678">
        <w:rPr>
          <w:rFonts w:eastAsia="Times New Roman"/>
          <w:noProof/>
          <w:szCs w:val="24"/>
          <w:lang w:val="en-IE"/>
        </w:rPr>
        <w:t>In addition, in order to minimise the administrative burden on legal entities and natural persons falling within the</w:t>
      </w:r>
      <w:r w:rsidR="00742D44" w:rsidRPr="00360678">
        <w:rPr>
          <w:rFonts w:eastAsia="Times New Roman"/>
          <w:noProof/>
          <w:szCs w:val="24"/>
          <w:lang w:val="en-IE"/>
        </w:rPr>
        <w:t xml:space="preserve"> scope of the</w:t>
      </w:r>
      <w:r w:rsidRPr="00360678">
        <w:rPr>
          <w:rFonts w:eastAsia="Times New Roman"/>
          <w:noProof/>
          <w:szCs w:val="24"/>
          <w:lang w:val="en-IE"/>
        </w:rPr>
        <w:t xml:space="preserve"> </w:t>
      </w:r>
      <w:r w:rsidR="00742D44" w:rsidRPr="00360678">
        <w:rPr>
          <w:rFonts w:eastAsia="Arial Unicode MS"/>
          <w:noProof/>
          <w:lang w:val="en-IE"/>
        </w:rPr>
        <w:t>proposed Directive</w:t>
      </w:r>
      <w:r w:rsidRPr="00360678">
        <w:rPr>
          <w:noProof/>
          <w:lang w:val="en-IE"/>
        </w:rPr>
        <w:t xml:space="preserve">, </w:t>
      </w:r>
      <w:r w:rsidRPr="00360678">
        <w:rPr>
          <w:noProof/>
          <w:szCs w:val="24"/>
          <w:lang w:val="en-IE"/>
        </w:rPr>
        <w:t>Regulation (EU) 2018/1724 of the European Parliament and of the Council</w:t>
      </w:r>
      <w:r w:rsidRPr="00360678">
        <w:rPr>
          <w:rStyle w:val="FootnoteReference"/>
          <w:noProof/>
          <w:szCs w:val="24"/>
          <w:lang w:val="en-IE"/>
        </w:rPr>
        <w:footnoteReference w:id="3"/>
      </w:r>
      <w:r w:rsidRPr="00360678">
        <w:rPr>
          <w:rFonts w:eastAsia="Times New Roman"/>
          <w:noProof/>
          <w:szCs w:val="24"/>
          <w:lang w:val="en-IE"/>
        </w:rPr>
        <w:t xml:space="preserve"> should be amended to provide for easy online access to information on the rights and obligations stemming from </w:t>
      </w:r>
      <w:r w:rsidR="003C1337">
        <w:rPr>
          <w:noProof/>
          <w:lang w:val="en-IE"/>
        </w:rPr>
        <w:t xml:space="preserve">the </w:t>
      </w:r>
      <w:r w:rsidR="00742D44" w:rsidRPr="00360678">
        <w:rPr>
          <w:noProof/>
          <w:lang w:val="en-IE"/>
        </w:rPr>
        <w:t>Directive</w:t>
      </w:r>
      <w:r w:rsidRPr="00360678">
        <w:rPr>
          <w:noProof/>
          <w:lang w:val="en-IE"/>
        </w:rPr>
        <w:t xml:space="preserve">, as well as to ensure that access to and completion of the procedure for registration required by </w:t>
      </w:r>
      <w:r w:rsidR="003C1337">
        <w:rPr>
          <w:noProof/>
          <w:lang w:val="en-IE"/>
        </w:rPr>
        <w:t>the</w:t>
      </w:r>
      <w:r w:rsidR="00742D44" w:rsidRPr="00360678">
        <w:rPr>
          <w:noProof/>
          <w:lang w:val="en-IE"/>
        </w:rPr>
        <w:t xml:space="preserve"> Directive</w:t>
      </w:r>
      <w:r w:rsidRPr="00360678">
        <w:rPr>
          <w:noProof/>
          <w:lang w:val="en-IE"/>
        </w:rPr>
        <w:t xml:space="preserve"> can be made fully online</w:t>
      </w:r>
      <w:r w:rsidR="00742D44" w:rsidRPr="00360678">
        <w:rPr>
          <w:noProof/>
          <w:lang w:val="en-IE"/>
        </w:rPr>
        <w:t>.</w:t>
      </w:r>
    </w:p>
    <w:p w14:paraId="39FAB16A" w14:textId="77777777" w:rsidR="0018143B" w:rsidRPr="00360678" w:rsidRDefault="0091075B">
      <w:pPr>
        <w:pStyle w:val="ManualHeading1"/>
        <w:rPr>
          <w:noProof/>
          <w:lang w:val="en-IE"/>
        </w:rPr>
      </w:pPr>
      <w:r w:rsidRPr="00360678">
        <w:rPr>
          <w:noProof/>
          <w:lang w:val="en-IE"/>
        </w:rPr>
        <w:t>2.</w:t>
      </w:r>
      <w:r w:rsidRPr="00360678">
        <w:rPr>
          <w:noProof/>
          <w:lang w:val="en-IE"/>
        </w:rPr>
        <w:tab/>
        <w:t>LEGAL BASIS, SUBSIDIARITY AND PROPORTIONALITY</w:t>
      </w:r>
    </w:p>
    <w:p w14:paraId="6174F45D" w14:textId="77777777" w:rsidR="0018143B" w:rsidRPr="00360678" w:rsidRDefault="0091075B">
      <w:pPr>
        <w:pStyle w:val="ManualHeading2"/>
        <w:rPr>
          <w:rFonts w:eastAsia="Arial Unicode MS"/>
          <w:noProof/>
          <w:u w:color="000000"/>
          <w:bdr w:val="nil"/>
          <w:lang w:val="en-IE" w:eastAsia="en-GB"/>
        </w:rPr>
      </w:pPr>
      <w:r w:rsidRPr="00360678">
        <w:rPr>
          <w:rFonts w:eastAsia="Arial Unicode MS"/>
          <w:noProof/>
          <w:u w:color="000000"/>
          <w:bdr w:val="nil"/>
          <w:lang w:val="en-IE" w:eastAsia="en-GB"/>
        </w:rPr>
        <w:t>•</w:t>
      </w:r>
      <w:r w:rsidRPr="00360678">
        <w:rPr>
          <w:rFonts w:eastAsia="Arial Unicode MS"/>
          <w:noProof/>
          <w:u w:color="000000"/>
          <w:bdr w:val="nil"/>
          <w:lang w:val="en-IE" w:eastAsia="en-GB"/>
        </w:rPr>
        <w:tab/>
        <w:t>Legal basis</w:t>
      </w:r>
    </w:p>
    <w:p w14:paraId="5ECF9137" w14:textId="73C48DCC" w:rsidR="0018143B" w:rsidRPr="00360678" w:rsidRDefault="007074CE">
      <w:pPr>
        <w:pBdr>
          <w:top w:val="nil"/>
          <w:left w:val="nil"/>
          <w:bottom w:val="nil"/>
          <w:right w:val="nil"/>
          <w:between w:val="nil"/>
          <w:bar w:val="nil"/>
        </w:pBdr>
        <w:spacing w:before="0" w:after="240"/>
        <w:rPr>
          <w:rFonts w:eastAsia="Arial Unicode MS"/>
          <w:noProof/>
          <w:lang w:val="en-IE"/>
        </w:rPr>
      </w:pPr>
      <w:r w:rsidRPr="00360678">
        <w:rPr>
          <w:rFonts w:eastAsia="Times New Roman"/>
          <w:noProof/>
          <w:szCs w:val="24"/>
          <w:lang w:val="en-IE"/>
        </w:rPr>
        <w:t xml:space="preserve">Regulation (EU) No 1024/2012 and </w:t>
      </w:r>
      <w:r w:rsidRPr="00360678">
        <w:rPr>
          <w:noProof/>
          <w:szCs w:val="24"/>
          <w:lang w:val="en-IE"/>
        </w:rPr>
        <w:t>Regulation (EU) 2018/1724 are both based on Article 114 of the Treaty on the Functioning of the European Union (TFEU), which provides for the adoption of measures to ensure the establishment and functioning of the internal market</w:t>
      </w:r>
      <w:r w:rsidR="0091075B" w:rsidRPr="00360678">
        <w:rPr>
          <w:rFonts w:eastAsia="Arial Unicode MS"/>
          <w:noProof/>
          <w:lang w:val="en-IE"/>
        </w:rPr>
        <w:t>.</w:t>
      </w:r>
      <w:r w:rsidRPr="00360678">
        <w:rPr>
          <w:rFonts w:eastAsia="Arial Unicode MS"/>
          <w:noProof/>
          <w:lang w:val="en-IE"/>
        </w:rPr>
        <w:t xml:space="preserve"> </w:t>
      </w:r>
      <w:r w:rsidR="00754448">
        <w:rPr>
          <w:rFonts w:eastAsia="Arial Unicode MS"/>
          <w:noProof/>
          <w:lang w:val="en-IE"/>
        </w:rPr>
        <w:t xml:space="preserve">In accordance with the rule that </w:t>
      </w:r>
      <w:r w:rsidR="00754448" w:rsidRPr="00754448">
        <w:rPr>
          <w:rFonts w:eastAsia="Arial Unicode MS"/>
          <w:noProof/>
          <w:lang w:val="en-IE"/>
        </w:rPr>
        <w:t xml:space="preserve">the legal basis of </w:t>
      </w:r>
      <w:r w:rsidR="00754448">
        <w:rPr>
          <w:rFonts w:eastAsia="Arial Unicode MS"/>
          <w:noProof/>
          <w:lang w:val="en-IE"/>
        </w:rPr>
        <w:t xml:space="preserve">an </w:t>
      </w:r>
      <w:r w:rsidR="00754448" w:rsidRPr="00754448">
        <w:rPr>
          <w:rFonts w:eastAsia="Arial Unicode MS"/>
          <w:noProof/>
          <w:lang w:val="en-IE"/>
        </w:rPr>
        <w:t>amending act must be the same as the legal basis of the act being amended</w:t>
      </w:r>
      <w:r w:rsidR="00754448">
        <w:rPr>
          <w:rFonts w:eastAsia="Arial Unicode MS"/>
          <w:noProof/>
          <w:lang w:val="en-IE"/>
        </w:rPr>
        <w:t xml:space="preserve">, </w:t>
      </w:r>
      <w:r w:rsidR="000C05D2">
        <w:rPr>
          <w:rFonts w:eastAsia="Arial Unicode MS"/>
          <w:noProof/>
          <w:lang w:val="en-IE"/>
        </w:rPr>
        <w:t>this</w:t>
      </w:r>
      <w:r w:rsidRPr="00360678">
        <w:rPr>
          <w:rFonts w:eastAsia="Arial Unicode MS"/>
          <w:noProof/>
          <w:lang w:val="en-IE"/>
        </w:rPr>
        <w:t xml:space="preserve"> proposal </w:t>
      </w:r>
      <w:r w:rsidR="00754448">
        <w:rPr>
          <w:rFonts w:eastAsia="Arial Unicode MS"/>
          <w:noProof/>
          <w:lang w:val="en-IE"/>
        </w:rPr>
        <w:t xml:space="preserve">has the same legal basis as the </w:t>
      </w:r>
      <w:r w:rsidRPr="00360678">
        <w:rPr>
          <w:rFonts w:eastAsia="Arial Unicode MS"/>
          <w:noProof/>
          <w:lang w:val="en-IE"/>
        </w:rPr>
        <w:t>two Regulations</w:t>
      </w:r>
      <w:r w:rsidR="00754448">
        <w:rPr>
          <w:rFonts w:eastAsia="Arial Unicode MS"/>
          <w:noProof/>
          <w:lang w:val="en-IE"/>
        </w:rPr>
        <w:t xml:space="preserve"> it proposes amend</w:t>
      </w:r>
      <w:r w:rsidR="006A1C39">
        <w:rPr>
          <w:rFonts w:eastAsia="Arial Unicode MS"/>
          <w:noProof/>
          <w:lang w:val="en-IE"/>
        </w:rPr>
        <w:t>ing</w:t>
      </w:r>
      <w:r w:rsidRPr="00360678">
        <w:rPr>
          <w:rFonts w:eastAsia="Arial Unicode MS"/>
          <w:noProof/>
          <w:lang w:val="en-IE"/>
        </w:rPr>
        <w:t>.</w:t>
      </w:r>
    </w:p>
    <w:p w14:paraId="5C02C75E" w14:textId="77777777" w:rsidR="0018143B" w:rsidRPr="00360678" w:rsidRDefault="0091075B">
      <w:pPr>
        <w:pStyle w:val="ManualHeading2"/>
        <w:rPr>
          <w:rFonts w:eastAsia="Arial Unicode MS"/>
          <w:noProof/>
          <w:u w:color="000000"/>
          <w:bdr w:val="nil"/>
          <w:lang w:val="en-IE" w:eastAsia="en-GB"/>
        </w:rPr>
      </w:pPr>
      <w:r w:rsidRPr="00360678">
        <w:rPr>
          <w:rFonts w:eastAsia="Arial Unicode MS"/>
          <w:noProof/>
          <w:u w:color="000000"/>
          <w:bdr w:val="nil"/>
          <w:lang w:val="en-IE" w:eastAsia="en-GB"/>
        </w:rPr>
        <w:lastRenderedPageBreak/>
        <w:t>•</w:t>
      </w:r>
      <w:r w:rsidRPr="00360678">
        <w:rPr>
          <w:rFonts w:eastAsia="Arial Unicode MS"/>
          <w:noProof/>
          <w:u w:color="000000"/>
          <w:bdr w:val="nil"/>
          <w:lang w:val="en-IE" w:eastAsia="en-GB"/>
        </w:rPr>
        <w:tab/>
        <w:t xml:space="preserve">Subsidiarity (for non-exclusive competence) </w:t>
      </w:r>
    </w:p>
    <w:p w14:paraId="71A73990" w14:textId="66543A71" w:rsidR="0018143B" w:rsidRPr="00360678" w:rsidRDefault="007074CE">
      <w:pPr>
        <w:pBdr>
          <w:top w:val="nil"/>
          <w:left w:val="nil"/>
          <w:bottom w:val="nil"/>
          <w:right w:val="nil"/>
          <w:between w:val="nil"/>
          <w:bar w:val="nil"/>
        </w:pBdr>
        <w:spacing w:before="0" w:after="240"/>
        <w:rPr>
          <w:rFonts w:eastAsia="Arial Unicode MS"/>
          <w:noProof/>
          <w:lang w:val="en-IE"/>
        </w:rPr>
      </w:pPr>
      <w:r w:rsidRPr="00360678">
        <w:rPr>
          <w:rFonts w:eastAsia="Arial Unicode MS"/>
          <w:noProof/>
          <w:lang w:val="en-IE"/>
        </w:rPr>
        <w:t xml:space="preserve">The objective of this proposal, namely to make use of existing cooperation </w:t>
      </w:r>
      <w:r w:rsidR="00EA6C72" w:rsidRPr="00360678">
        <w:rPr>
          <w:rFonts w:eastAsia="Arial Unicode MS"/>
          <w:noProof/>
          <w:lang w:val="en-IE"/>
        </w:rPr>
        <w:t>tools and digital gateways established at Union level for the purpose of facilitating the implementation of the proposed Directive</w:t>
      </w:r>
      <w:r w:rsidR="006B552F">
        <w:rPr>
          <w:rFonts w:eastAsia="Arial Unicode MS"/>
          <w:noProof/>
          <w:lang w:val="en-IE"/>
        </w:rPr>
        <w:t xml:space="preserve"> </w:t>
      </w:r>
      <w:r w:rsidR="00EA6C72" w:rsidRPr="00360678">
        <w:rPr>
          <w:rFonts w:eastAsia="Arial Unicode MS"/>
          <w:noProof/>
          <w:lang w:val="en-IE"/>
        </w:rPr>
        <w:t>establishing harmonised requirements in the internal market on transparency of interest representation carried out on behalf of third countries, cannot effectively be achieved by the Member States independently. Action at Union level is thus necessary</w:t>
      </w:r>
      <w:r w:rsidR="0091075B" w:rsidRPr="00360678">
        <w:rPr>
          <w:rFonts w:eastAsia="Arial Unicode MS"/>
          <w:noProof/>
          <w:lang w:val="en-IE"/>
        </w:rPr>
        <w:t>.</w:t>
      </w:r>
    </w:p>
    <w:p w14:paraId="3758300A" w14:textId="77777777" w:rsidR="0018143B" w:rsidRPr="00360678" w:rsidRDefault="0091075B">
      <w:pPr>
        <w:pStyle w:val="ManualHeading2"/>
        <w:rPr>
          <w:rFonts w:eastAsia="Arial Unicode MS"/>
          <w:noProof/>
          <w:u w:color="000000"/>
          <w:bdr w:val="nil"/>
          <w:lang w:val="en-IE" w:eastAsia="en-GB"/>
        </w:rPr>
      </w:pPr>
      <w:r w:rsidRPr="00360678">
        <w:rPr>
          <w:rFonts w:eastAsia="Arial Unicode MS"/>
          <w:noProof/>
          <w:u w:color="000000"/>
          <w:bdr w:val="nil"/>
          <w:lang w:val="en-IE" w:eastAsia="en-GB"/>
        </w:rPr>
        <w:t>•</w:t>
      </w:r>
      <w:r w:rsidRPr="00360678">
        <w:rPr>
          <w:rFonts w:eastAsia="Arial Unicode MS"/>
          <w:noProof/>
          <w:u w:color="000000"/>
          <w:bdr w:val="nil"/>
          <w:lang w:val="en-IE" w:eastAsia="en-GB"/>
        </w:rPr>
        <w:tab/>
        <w:t>Proportionality</w:t>
      </w:r>
    </w:p>
    <w:p w14:paraId="4D37CAAC" w14:textId="545C69CB" w:rsidR="0018143B" w:rsidRPr="00360678" w:rsidRDefault="00EA6C72">
      <w:pPr>
        <w:pBdr>
          <w:top w:val="nil"/>
          <w:left w:val="nil"/>
          <w:bottom w:val="nil"/>
          <w:right w:val="nil"/>
          <w:between w:val="nil"/>
          <w:bar w:val="nil"/>
        </w:pBdr>
        <w:spacing w:before="0" w:after="240"/>
        <w:rPr>
          <w:rFonts w:eastAsia="Arial Unicode MS"/>
          <w:noProof/>
          <w:lang w:val="en-IE"/>
        </w:rPr>
      </w:pPr>
      <w:r w:rsidRPr="00360678">
        <w:rPr>
          <w:rFonts w:eastAsia="Arial Unicode MS"/>
          <w:noProof/>
          <w:lang w:val="en-IE"/>
        </w:rPr>
        <w:t xml:space="preserve">This proposal makes use of existing IT </w:t>
      </w:r>
      <w:r w:rsidR="000C05D2">
        <w:rPr>
          <w:rFonts w:eastAsia="Arial Unicode MS"/>
          <w:noProof/>
          <w:lang w:val="en-IE"/>
        </w:rPr>
        <w:t>tools</w:t>
      </w:r>
      <w:r w:rsidRPr="00360678">
        <w:rPr>
          <w:rFonts w:eastAsia="Arial Unicode MS"/>
          <w:noProof/>
          <w:lang w:val="en-IE"/>
        </w:rPr>
        <w:t xml:space="preserve"> and gateways rather than establishing new ones</w:t>
      </w:r>
      <w:r w:rsidR="0091075B" w:rsidRPr="00360678">
        <w:rPr>
          <w:rFonts w:eastAsia="Arial Unicode MS"/>
          <w:noProof/>
          <w:lang w:val="en-IE"/>
        </w:rPr>
        <w:t>.</w:t>
      </w:r>
      <w:r w:rsidRPr="00360678">
        <w:rPr>
          <w:rFonts w:eastAsia="Arial Unicode MS"/>
          <w:noProof/>
          <w:lang w:val="en-IE"/>
        </w:rPr>
        <w:t xml:space="preserve"> As a result, it does not go beyond what is necessary to achieve its objective.</w:t>
      </w:r>
    </w:p>
    <w:p w14:paraId="7066F68F" w14:textId="77777777" w:rsidR="0018143B" w:rsidRPr="00360678" w:rsidRDefault="0091075B">
      <w:pPr>
        <w:pStyle w:val="ManualHeading2"/>
        <w:rPr>
          <w:rFonts w:eastAsia="Arial Unicode MS"/>
          <w:noProof/>
          <w:u w:color="000000"/>
          <w:bdr w:val="nil"/>
          <w:lang w:val="en-IE" w:eastAsia="en-GB"/>
        </w:rPr>
      </w:pPr>
      <w:r w:rsidRPr="00360678">
        <w:rPr>
          <w:rFonts w:eastAsia="Arial Unicode MS"/>
          <w:noProof/>
          <w:u w:color="000000"/>
          <w:bdr w:val="nil"/>
          <w:lang w:val="en-IE" w:eastAsia="en-GB"/>
        </w:rPr>
        <w:t>•</w:t>
      </w:r>
      <w:r w:rsidRPr="00360678">
        <w:rPr>
          <w:rFonts w:eastAsia="Arial Unicode MS"/>
          <w:noProof/>
          <w:u w:color="000000"/>
          <w:bdr w:val="nil"/>
          <w:lang w:val="en-IE" w:eastAsia="en-GB"/>
        </w:rPr>
        <w:tab/>
        <w:t>Choice of the instrument</w:t>
      </w:r>
    </w:p>
    <w:p w14:paraId="390DB021" w14:textId="77777777" w:rsidR="0018143B" w:rsidRPr="00360678" w:rsidRDefault="0091075B">
      <w:pPr>
        <w:pBdr>
          <w:top w:val="nil"/>
          <w:left w:val="nil"/>
          <w:bottom w:val="nil"/>
          <w:right w:val="nil"/>
          <w:between w:val="nil"/>
          <w:bar w:val="nil"/>
        </w:pBdr>
        <w:spacing w:before="0" w:after="240"/>
        <w:rPr>
          <w:rFonts w:eastAsia="Arial Unicode MS"/>
          <w:noProof/>
          <w:lang w:val="en-IE"/>
        </w:rPr>
      </w:pPr>
      <w:r w:rsidRPr="00360678">
        <w:rPr>
          <w:rFonts w:eastAsia="Arial Unicode MS"/>
          <w:noProof/>
          <w:lang w:val="en-IE"/>
        </w:rPr>
        <w:t>Article 114 TFEU grants the legislator the power to adopt regulations and directives.</w:t>
      </w:r>
    </w:p>
    <w:p w14:paraId="5D2AB648" w14:textId="02DAADA4" w:rsidR="0018143B" w:rsidRPr="00360678" w:rsidRDefault="0091075B">
      <w:pPr>
        <w:pBdr>
          <w:top w:val="nil"/>
          <w:left w:val="nil"/>
          <w:bottom w:val="nil"/>
          <w:right w:val="nil"/>
          <w:between w:val="nil"/>
          <w:bar w:val="nil"/>
        </w:pBdr>
        <w:spacing w:before="0" w:after="240"/>
        <w:rPr>
          <w:rFonts w:eastAsia="Arial Unicode MS"/>
          <w:noProof/>
          <w:lang w:val="en-IE"/>
        </w:rPr>
      </w:pPr>
      <w:r w:rsidRPr="00360678">
        <w:rPr>
          <w:rFonts w:eastAsia="Arial Unicode MS"/>
          <w:noProof/>
          <w:lang w:val="en-IE"/>
        </w:rPr>
        <w:t xml:space="preserve">Given that this proposal would amend </w:t>
      </w:r>
      <w:r w:rsidR="00EA6C72" w:rsidRPr="00360678">
        <w:rPr>
          <w:rFonts w:eastAsia="Times New Roman"/>
          <w:noProof/>
          <w:szCs w:val="24"/>
          <w:lang w:val="en-IE"/>
        </w:rPr>
        <w:t xml:space="preserve">Regulation (EU) No 1024/2012 and </w:t>
      </w:r>
      <w:r w:rsidR="00EA6C72" w:rsidRPr="00360678">
        <w:rPr>
          <w:noProof/>
          <w:szCs w:val="24"/>
          <w:lang w:val="en-IE"/>
        </w:rPr>
        <w:t>Regulation (EU) 2018/1724</w:t>
      </w:r>
      <w:r w:rsidRPr="00360678">
        <w:rPr>
          <w:rFonts w:eastAsia="Arial Unicode MS"/>
          <w:noProof/>
          <w:lang w:val="en-IE"/>
        </w:rPr>
        <w:t xml:space="preserve">, </w:t>
      </w:r>
      <w:r w:rsidR="006B552F">
        <w:rPr>
          <w:rFonts w:eastAsia="Arial Unicode MS"/>
          <w:noProof/>
          <w:lang w:val="en-IE"/>
        </w:rPr>
        <w:t xml:space="preserve">and in accordance with the principle that for reasons of legal certainty, an amending act should be of the same type as the original act, </w:t>
      </w:r>
      <w:r w:rsidRPr="00360678">
        <w:rPr>
          <w:rFonts w:eastAsia="Arial Unicode MS"/>
          <w:noProof/>
          <w:lang w:val="en-IE"/>
        </w:rPr>
        <w:t>a regulation is the appropriate legal instrument.</w:t>
      </w:r>
    </w:p>
    <w:p w14:paraId="4A9FCF42" w14:textId="77777777" w:rsidR="0018143B" w:rsidRPr="00360678" w:rsidRDefault="0091075B">
      <w:pPr>
        <w:pStyle w:val="ManualHeading1"/>
        <w:rPr>
          <w:noProof/>
          <w:lang w:val="en-IE"/>
        </w:rPr>
      </w:pPr>
      <w:r w:rsidRPr="00360678">
        <w:rPr>
          <w:noProof/>
          <w:lang w:val="en-IE"/>
        </w:rPr>
        <w:t>3.</w:t>
      </w:r>
      <w:r w:rsidRPr="00360678">
        <w:rPr>
          <w:noProof/>
          <w:lang w:val="en-IE"/>
        </w:rPr>
        <w:tab/>
        <w:t>RESULTS OF EX-POST EVALUATIONS, STAKEHOLDER CONSULTATIONS AND IMPACT ASSESSMENTS</w:t>
      </w:r>
    </w:p>
    <w:p w14:paraId="6FDEEE6A" w14:textId="29D33BFC" w:rsidR="0018143B" w:rsidRPr="00360678" w:rsidRDefault="0091075B">
      <w:pPr>
        <w:pStyle w:val="ManualHeading2"/>
        <w:rPr>
          <w:rFonts w:eastAsia="Arial Unicode MS"/>
          <w:noProof/>
          <w:u w:color="000000"/>
          <w:bdr w:val="nil"/>
          <w:lang w:val="en-IE" w:eastAsia="en-GB"/>
        </w:rPr>
      </w:pPr>
      <w:r w:rsidRPr="00360678">
        <w:rPr>
          <w:rFonts w:eastAsia="Arial Unicode MS"/>
          <w:noProof/>
          <w:u w:color="000000"/>
          <w:bdr w:val="nil"/>
          <w:lang w:val="en-IE" w:eastAsia="en-GB"/>
        </w:rPr>
        <w:t>•</w:t>
      </w:r>
      <w:r w:rsidRPr="00360678">
        <w:rPr>
          <w:rFonts w:eastAsia="Arial Unicode MS"/>
          <w:noProof/>
          <w:u w:color="000000"/>
          <w:bdr w:val="nil"/>
          <w:lang w:val="en-IE" w:eastAsia="en-GB"/>
        </w:rPr>
        <w:tab/>
      </w:r>
      <w:r w:rsidR="00A57005" w:rsidRPr="00360678">
        <w:rPr>
          <w:rFonts w:eastAsia="Arial Unicode MS"/>
          <w:noProof/>
          <w:u w:color="000000"/>
          <w:bdr w:val="nil"/>
          <w:lang w:val="en-IE" w:eastAsia="en-GB"/>
        </w:rPr>
        <w:t>Impact assessment</w:t>
      </w:r>
    </w:p>
    <w:p w14:paraId="661C8A57" w14:textId="7A257A32" w:rsidR="00360678" w:rsidRDefault="00360678">
      <w:pPr>
        <w:pBdr>
          <w:top w:val="nil"/>
          <w:left w:val="nil"/>
          <w:bottom w:val="nil"/>
          <w:right w:val="nil"/>
          <w:between w:val="nil"/>
          <w:bar w:val="nil"/>
        </w:pBdr>
        <w:spacing w:before="0" w:after="240"/>
        <w:rPr>
          <w:rFonts w:eastAsia="Arial Unicode MS"/>
          <w:noProof/>
          <w:lang w:val="en-IE"/>
        </w:rPr>
      </w:pPr>
      <w:r w:rsidRPr="00360678">
        <w:rPr>
          <w:rFonts w:eastAsia="Arial Unicode MS"/>
          <w:noProof/>
          <w:lang w:val="en-IE"/>
        </w:rPr>
        <w:t>An impact assessment</w:t>
      </w:r>
      <w:r>
        <w:rPr>
          <w:rStyle w:val="FootnoteReference"/>
          <w:rFonts w:eastAsia="Arial Unicode MS"/>
          <w:noProof/>
          <w:lang w:val="en-IE"/>
        </w:rPr>
        <w:footnoteReference w:id="4"/>
      </w:r>
      <w:r w:rsidRPr="00360678">
        <w:rPr>
          <w:rFonts w:eastAsia="Arial Unicode MS"/>
          <w:noProof/>
          <w:lang w:val="en-IE"/>
        </w:rPr>
        <w:t xml:space="preserve"> was carried out in context of the </w:t>
      </w:r>
      <w:r>
        <w:rPr>
          <w:rFonts w:eastAsia="Arial Unicode MS"/>
          <w:noProof/>
          <w:lang w:val="en-IE"/>
        </w:rPr>
        <w:t xml:space="preserve">preparation of the </w:t>
      </w:r>
      <w:r w:rsidRPr="00360678">
        <w:rPr>
          <w:rFonts w:eastAsia="Arial Unicode MS"/>
          <w:noProof/>
          <w:lang w:val="en-IE"/>
        </w:rPr>
        <w:t>Commission’s proposal for a Directive establishing harmonised requirements in the internal market on transparency of interest representation carried out on behalf of third countries</w:t>
      </w:r>
      <w:r>
        <w:rPr>
          <w:rFonts w:eastAsia="Arial Unicode MS"/>
          <w:noProof/>
          <w:lang w:val="en-IE"/>
        </w:rPr>
        <w:t>.</w:t>
      </w:r>
    </w:p>
    <w:p w14:paraId="6E432800" w14:textId="7AFFD530" w:rsidR="00360678" w:rsidRDefault="00360678">
      <w:pPr>
        <w:pBdr>
          <w:top w:val="nil"/>
          <w:left w:val="nil"/>
          <w:bottom w:val="nil"/>
          <w:right w:val="nil"/>
          <w:between w:val="nil"/>
          <w:bar w:val="nil"/>
        </w:pBdr>
        <w:spacing w:before="0" w:after="240"/>
        <w:rPr>
          <w:rFonts w:eastAsia="Calibri"/>
          <w:noProof/>
          <w:szCs w:val="24"/>
        </w:rPr>
      </w:pPr>
      <w:r>
        <w:rPr>
          <w:rFonts w:eastAsia="Calibri"/>
          <w:noProof/>
          <w:szCs w:val="24"/>
          <w:lang w:val="en-IE"/>
        </w:rPr>
        <w:t xml:space="preserve">The </w:t>
      </w:r>
      <w:r w:rsidR="00C42EE3">
        <w:rPr>
          <w:rFonts w:eastAsia="Calibri"/>
          <w:noProof/>
          <w:szCs w:val="24"/>
          <w:lang w:val="en-IE"/>
        </w:rPr>
        <w:t xml:space="preserve">preferred </w:t>
      </w:r>
      <w:r w:rsidR="00E70408">
        <w:rPr>
          <w:rFonts w:eastAsia="Calibri"/>
          <w:noProof/>
          <w:szCs w:val="24"/>
          <w:lang w:val="en-IE"/>
        </w:rPr>
        <w:t xml:space="preserve">policy option identified </w:t>
      </w:r>
      <w:r w:rsidR="00C42EE3">
        <w:rPr>
          <w:rFonts w:eastAsia="Calibri"/>
          <w:noProof/>
          <w:szCs w:val="24"/>
          <w:lang w:val="en-IE"/>
        </w:rPr>
        <w:t>by</w:t>
      </w:r>
      <w:r w:rsidR="00E70408">
        <w:rPr>
          <w:rFonts w:eastAsia="Calibri"/>
          <w:noProof/>
          <w:szCs w:val="24"/>
          <w:lang w:val="en-IE"/>
        </w:rPr>
        <w:t xml:space="preserve"> the impact assessment include</w:t>
      </w:r>
      <w:r w:rsidR="00C42EE3">
        <w:rPr>
          <w:rFonts w:eastAsia="Calibri"/>
          <w:noProof/>
          <w:szCs w:val="24"/>
          <w:lang w:val="en-IE"/>
        </w:rPr>
        <w:t>s</w:t>
      </w:r>
      <w:r w:rsidR="00E70408">
        <w:rPr>
          <w:rFonts w:eastAsia="Calibri"/>
          <w:noProof/>
          <w:szCs w:val="24"/>
          <w:lang w:val="en-IE"/>
        </w:rPr>
        <w:t xml:space="preserve"> </w:t>
      </w:r>
      <w:r w:rsidR="00C42EE3">
        <w:rPr>
          <w:rFonts w:eastAsia="Calibri"/>
          <w:noProof/>
          <w:szCs w:val="24"/>
          <w:lang w:val="en-IE"/>
        </w:rPr>
        <w:t xml:space="preserve">a) </w:t>
      </w:r>
      <w:r w:rsidR="00E70408">
        <w:rPr>
          <w:rFonts w:eastAsia="Calibri"/>
          <w:noProof/>
          <w:szCs w:val="24"/>
          <w:lang w:val="en-IE"/>
        </w:rPr>
        <w:t xml:space="preserve">amending </w:t>
      </w:r>
      <w:r>
        <w:rPr>
          <w:rFonts w:eastAsia="Calibri"/>
          <w:noProof/>
          <w:szCs w:val="24"/>
          <w:lang w:val="en-IE"/>
        </w:rPr>
        <w:t xml:space="preserve"> </w:t>
      </w:r>
      <w:r w:rsidRPr="00360678">
        <w:rPr>
          <w:rFonts w:eastAsia="Times New Roman"/>
          <w:noProof/>
          <w:szCs w:val="24"/>
          <w:lang w:val="en-IE"/>
        </w:rPr>
        <w:t xml:space="preserve">Regulation (EU) No 1024/2012 </w:t>
      </w:r>
      <w:r w:rsidR="00E70408" w:rsidRPr="00532C20">
        <w:rPr>
          <w:rFonts w:eastAsia="Calibri"/>
          <w:noProof/>
          <w:szCs w:val="24"/>
          <w:lang w:val="en-IE"/>
        </w:rPr>
        <w:t xml:space="preserve">to implement the administrative cooperation and the exchange of information provided for by </w:t>
      </w:r>
      <w:r w:rsidR="00E70408">
        <w:rPr>
          <w:rFonts w:eastAsia="Calibri"/>
          <w:noProof/>
          <w:szCs w:val="24"/>
          <w:lang w:val="en-IE"/>
        </w:rPr>
        <w:t>the</w:t>
      </w:r>
      <w:r w:rsidR="00E70408" w:rsidRPr="00532C20">
        <w:rPr>
          <w:rFonts w:eastAsia="Calibri"/>
          <w:noProof/>
          <w:szCs w:val="24"/>
          <w:lang w:val="en-IE"/>
        </w:rPr>
        <w:t xml:space="preserve"> initiative </w:t>
      </w:r>
      <w:r w:rsidR="00E70408" w:rsidRPr="00532C20">
        <w:rPr>
          <w:rFonts w:eastAsia="Times"/>
          <w:noProof/>
          <w:szCs w:val="24"/>
          <w:lang w:val="en-IE"/>
        </w:rPr>
        <w:t>using existing IT tools</w:t>
      </w:r>
      <w:r w:rsidR="00E70408">
        <w:rPr>
          <w:rFonts w:eastAsia="Times"/>
          <w:noProof/>
          <w:szCs w:val="24"/>
          <w:lang w:val="en-IE"/>
        </w:rPr>
        <w:t xml:space="preserve"> </w:t>
      </w:r>
      <w:r w:rsidRPr="00360678">
        <w:rPr>
          <w:rFonts w:eastAsia="Times New Roman"/>
          <w:noProof/>
          <w:szCs w:val="24"/>
          <w:lang w:val="en-IE"/>
        </w:rPr>
        <w:t xml:space="preserve">and </w:t>
      </w:r>
      <w:r w:rsidR="00C42EE3">
        <w:rPr>
          <w:rFonts w:eastAsia="Times New Roman"/>
          <w:noProof/>
          <w:szCs w:val="24"/>
          <w:lang w:val="en-IE"/>
        </w:rPr>
        <w:t xml:space="preserve">b) </w:t>
      </w:r>
      <w:r w:rsidR="00E70408">
        <w:rPr>
          <w:rFonts w:eastAsia="Times New Roman"/>
          <w:noProof/>
          <w:szCs w:val="24"/>
          <w:lang w:val="en-IE"/>
        </w:rPr>
        <w:t xml:space="preserve">amending </w:t>
      </w:r>
      <w:r w:rsidRPr="00360678">
        <w:rPr>
          <w:noProof/>
          <w:szCs w:val="24"/>
          <w:lang w:val="en-IE"/>
        </w:rPr>
        <w:t>Regulation (EU) 2018/1724</w:t>
      </w:r>
      <w:r w:rsidR="00E70408">
        <w:rPr>
          <w:noProof/>
          <w:szCs w:val="24"/>
          <w:lang w:val="en-IE"/>
        </w:rPr>
        <w:t xml:space="preserve"> </w:t>
      </w:r>
      <w:r w:rsidR="00E70408">
        <w:rPr>
          <w:rFonts w:eastAsia="Times"/>
          <w:noProof/>
          <w:szCs w:val="24"/>
          <w:lang w:val="en-IE"/>
        </w:rPr>
        <w:t xml:space="preserve"> to </w:t>
      </w:r>
      <w:r w:rsidR="00E70408" w:rsidRPr="00532C20">
        <w:rPr>
          <w:rFonts w:eastAsia="Calibri"/>
          <w:noProof/>
          <w:szCs w:val="24"/>
          <w:lang w:val="en-IE"/>
        </w:rPr>
        <w:t xml:space="preserve">provide for easy online access to information on the rights and obligations stemming from </w:t>
      </w:r>
      <w:r w:rsidR="00E70408">
        <w:rPr>
          <w:rFonts w:eastAsia="Calibri"/>
          <w:noProof/>
          <w:szCs w:val="24"/>
          <w:lang w:val="en-IE"/>
        </w:rPr>
        <w:t>that policy</w:t>
      </w:r>
      <w:r w:rsidR="00E70408" w:rsidRPr="00532C20">
        <w:rPr>
          <w:rFonts w:eastAsia="Calibri"/>
          <w:noProof/>
          <w:szCs w:val="24"/>
          <w:lang w:val="en-IE"/>
        </w:rPr>
        <w:t xml:space="preserve"> option</w:t>
      </w:r>
      <w:r w:rsidR="00E70408" w:rsidRPr="00532C20">
        <w:rPr>
          <w:rFonts w:eastAsia="Calibri"/>
          <w:noProof/>
          <w:szCs w:val="24"/>
        </w:rPr>
        <w:t xml:space="preserve"> as well as to ensure that access to and completion of the procedure for registration required by </w:t>
      </w:r>
      <w:r w:rsidR="00E70408">
        <w:rPr>
          <w:rFonts w:eastAsia="Calibri"/>
          <w:noProof/>
          <w:szCs w:val="24"/>
        </w:rPr>
        <w:t>that policy</w:t>
      </w:r>
      <w:r w:rsidR="00E70408" w:rsidRPr="00532C20">
        <w:rPr>
          <w:rFonts w:eastAsia="Calibri"/>
          <w:noProof/>
          <w:szCs w:val="24"/>
        </w:rPr>
        <w:t xml:space="preserve"> option is fully onlin</w:t>
      </w:r>
      <w:r w:rsidR="00E70408">
        <w:rPr>
          <w:rFonts w:eastAsia="Calibri"/>
          <w:noProof/>
          <w:szCs w:val="24"/>
        </w:rPr>
        <w:t>e.</w:t>
      </w:r>
    </w:p>
    <w:p w14:paraId="03BFFCAF" w14:textId="49D6D5F2" w:rsidR="00A57005" w:rsidRDefault="00A57005" w:rsidP="00A57005">
      <w:pPr>
        <w:pStyle w:val="ManualHeading2"/>
        <w:rPr>
          <w:rFonts w:eastAsia="Arial Unicode MS"/>
          <w:noProof/>
          <w:u w:color="000000"/>
          <w:bdr w:val="nil"/>
          <w:lang w:val="en-IE" w:eastAsia="en-GB"/>
        </w:rPr>
      </w:pPr>
      <w:r w:rsidRPr="00360678">
        <w:rPr>
          <w:rFonts w:eastAsia="Arial Unicode MS"/>
          <w:noProof/>
          <w:u w:color="000000"/>
          <w:bdr w:val="nil"/>
          <w:lang w:val="en-IE" w:eastAsia="en-GB"/>
        </w:rPr>
        <w:t>•</w:t>
      </w:r>
      <w:r w:rsidRPr="00360678">
        <w:rPr>
          <w:rFonts w:eastAsia="Arial Unicode MS"/>
          <w:noProof/>
          <w:u w:color="000000"/>
          <w:bdr w:val="nil"/>
          <w:lang w:val="en-IE" w:eastAsia="en-GB"/>
        </w:rPr>
        <w:tab/>
        <w:t>Fundamental rights</w:t>
      </w:r>
    </w:p>
    <w:p w14:paraId="68EA32C3" w14:textId="50B2CE16" w:rsidR="00E70408" w:rsidRDefault="00E70408" w:rsidP="00E70408">
      <w:pPr>
        <w:pStyle w:val="Text1"/>
        <w:ind w:left="0"/>
        <w:rPr>
          <w:rFonts w:eastAsia="Arial Unicode MS"/>
          <w:noProof/>
          <w:lang w:val="en-IE"/>
        </w:rPr>
      </w:pPr>
      <w:r>
        <w:rPr>
          <w:noProof/>
          <w:lang w:val="en-IE" w:eastAsia="en-GB"/>
        </w:rPr>
        <w:t xml:space="preserve">This proposal has no impact on fundamental rights separate from any impact that may result from </w:t>
      </w:r>
      <w:r>
        <w:rPr>
          <w:rFonts w:eastAsia="Arial Unicode MS"/>
          <w:noProof/>
          <w:lang w:val="en-IE"/>
        </w:rPr>
        <w:t xml:space="preserve">the </w:t>
      </w:r>
      <w:r w:rsidR="00C42EE3">
        <w:rPr>
          <w:rFonts w:eastAsia="Arial Unicode MS"/>
          <w:noProof/>
          <w:lang w:val="en-IE"/>
        </w:rPr>
        <w:t>proposed</w:t>
      </w:r>
      <w:r w:rsidRPr="00360678">
        <w:rPr>
          <w:rFonts w:eastAsia="Arial Unicode MS"/>
          <w:noProof/>
          <w:lang w:val="en-IE"/>
        </w:rPr>
        <w:t xml:space="preserve"> Directive establishing harmonised requirements in the internal market on transparency of interest representation carried out on behalf of third countries</w:t>
      </w:r>
      <w:r>
        <w:rPr>
          <w:rFonts w:eastAsia="Arial Unicode MS"/>
          <w:noProof/>
          <w:lang w:val="en-IE"/>
        </w:rPr>
        <w:t>.</w:t>
      </w:r>
    </w:p>
    <w:p w14:paraId="566FF443" w14:textId="61E167B4" w:rsidR="00E70408" w:rsidRPr="00502656" w:rsidRDefault="00E70408" w:rsidP="00502656">
      <w:pPr>
        <w:pStyle w:val="Text1"/>
        <w:ind w:left="0"/>
        <w:rPr>
          <w:noProof/>
          <w:lang w:val="en-IE" w:eastAsia="en-GB"/>
        </w:rPr>
      </w:pPr>
      <w:r>
        <w:rPr>
          <w:rFonts w:eastAsia="Arial Unicode MS"/>
          <w:noProof/>
          <w:lang w:val="en-IE"/>
        </w:rPr>
        <w:t xml:space="preserve">For an assessment of the fundamental rights impact of that proposal, see </w:t>
      </w:r>
      <w:r w:rsidRPr="00360678">
        <w:rPr>
          <w:rFonts w:eastAsia="Arial Unicode MS"/>
          <w:noProof/>
          <w:lang w:val="en-IE"/>
        </w:rPr>
        <w:t>COM(2023) 637 final</w:t>
      </w:r>
      <w:r>
        <w:rPr>
          <w:rFonts w:eastAsia="Arial Unicode MS"/>
          <w:noProof/>
          <w:lang w:val="en-IE"/>
        </w:rPr>
        <w:t>.</w:t>
      </w:r>
    </w:p>
    <w:p w14:paraId="3BCBB19F" w14:textId="77777777" w:rsidR="0018143B" w:rsidRPr="00360678" w:rsidRDefault="0091075B">
      <w:pPr>
        <w:pStyle w:val="ManualHeading1"/>
        <w:rPr>
          <w:noProof/>
          <w:lang w:val="en-IE"/>
        </w:rPr>
      </w:pPr>
      <w:r w:rsidRPr="00360678">
        <w:rPr>
          <w:noProof/>
          <w:lang w:val="en-IE"/>
        </w:rPr>
        <w:t>4.</w:t>
      </w:r>
      <w:r w:rsidRPr="00360678">
        <w:rPr>
          <w:noProof/>
          <w:lang w:val="en-IE"/>
        </w:rPr>
        <w:tab/>
        <w:t>BUDGETARY IMPLICATIONS</w:t>
      </w:r>
    </w:p>
    <w:p w14:paraId="05990988" w14:textId="344B0946" w:rsidR="00E70408" w:rsidRPr="00F055F6" w:rsidRDefault="00E70408" w:rsidP="00E70408">
      <w:pPr>
        <w:pStyle w:val="Text1"/>
        <w:ind w:left="0"/>
        <w:rPr>
          <w:noProof/>
          <w:lang w:val="en-IE" w:eastAsia="en-GB"/>
        </w:rPr>
      </w:pPr>
      <w:r>
        <w:rPr>
          <w:noProof/>
          <w:lang w:val="en-IE" w:eastAsia="en-GB"/>
        </w:rPr>
        <w:t xml:space="preserve">The costs required for the </w:t>
      </w:r>
      <w:r w:rsidRPr="004A081B">
        <w:rPr>
          <w:noProof/>
          <w:szCs w:val="24"/>
          <w:lang w:val="en-IE"/>
        </w:rPr>
        <w:t xml:space="preserve">extension of the IMI system </w:t>
      </w:r>
      <w:r w:rsidR="00C42EE3">
        <w:rPr>
          <w:noProof/>
          <w:szCs w:val="24"/>
          <w:lang w:val="en-IE"/>
        </w:rPr>
        <w:t>to enable</w:t>
      </w:r>
      <w:r>
        <w:rPr>
          <w:noProof/>
          <w:szCs w:val="24"/>
          <w:lang w:val="en-IE"/>
        </w:rPr>
        <w:t xml:space="preserve"> </w:t>
      </w:r>
      <w:r>
        <w:rPr>
          <w:rFonts w:eastAsia="Times New Roman"/>
          <w:noProof/>
          <w:szCs w:val="24"/>
          <w:lang w:val="en-IE"/>
        </w:rPr>
        <w:t>t</w:t>
      </w:r>
      <w:r w:rsidRPr="00360678">
        <w:rPr>
          <w:rFonts w:eastAsia="Times New Roman"/>
          <w:noProof/>
          <w:szCs w:val="24"/>
          <w:lang w:val="en-IE"/>
        </w:rPr>
        <w:t xml:space="preserve">he </w:t>
      </w:r>
      <w:r w:rsidRPr="00360678">
        <w:rPr>
          <w:noProof/>
          <w:szCs w:val="24"/>
          <w:lang w:val="en-IE"/>
        </w:rPr>
        <w:t>administrative</w:t>
      </w:r>
      <w:r w:rsidRPr="00360678">
        <w:rPr>
          <w:rFonts w:eastAsia="Times New Roman"/>
          <w:noProof/>
          <w:szCs w:val="24"/>
          <w:lang w:val="en-IE"/>
        </w:rPr>
        <w:t xml:space="preserve"> cooperation and the exchange of information </w:t>
      </w:r>
      <w:r>
        <w:rPr>
          <w:rFonts w:eastAsia="Times New Roman"/>
          <w:noProof/>
          <w:szCs w:val="24"/>
          <w:lang w:val="en-IE"/>
        </w:rPr>
        <w:t xml:space="preserve">provided for by the proposed </w:t>
      </w:r>
      <w:r w:rsidRPr="00360678">
        <w:rPr>
          <w:rFonts w:eastAsia="Arial Unicode MS"/>
          <w:noProof/>
          <w:lang w:val="en-IE"/>
        </w:rPr>
        <w:t>Directive establishing harmonised requirements in the internal market on transparency of interest representation carried out on behalf of third countries</w:t>
      </w:r>
      <w:r>
        <w:rPr>
          <w:rFonts w:eastAsia="Arial Unicode MS"/>
          <w:noProof/>
          <w:lang w:val="en-IE"/>
        </w:rPr>
        <w:t xml:space="preserve"> are outlined in </w:t>
      </w:r>
      <w:r w:rsidRPr="00360678">
        <w:rPr>
          <w:rFonts w:eastAsia="Arial Unicode MS"/>
          <w:noProof/>
          <w:lang w:val="en-IE"/>
        </w:rPr>
        <w:t>COM(2023) 637 final</w:t>
      </w:r>
      <w:r>
        <w:rPr>
          <w:rFonts w:eastAsia="Arial Unicode MS"/>
          <w:noProof/>
          <w:lang w:val="en-IE"/>
        </w:rPr>
        <w:t>.</w:t>
      </w:r>
    </w:p>
    <w:p w14:paraId="4B4CE84D" w14:textId="77777777" w:rsidR="0018143B" w:rsidRPr="00360678" w:rsidRDefault="0091075B">
      <w:pPr>
        <w:pStyle w:val="ManualHeading1"/>
        <w:rPr>
          <w:noProof/>
          <w:lang w:val="en-IE"/>
        </w:rPr>
      </w:pPr>
      <w:r w:rsidRPr="00360678">
        <w:rPr>
          <w:noProof/>
          <w:lang w:val="en-IE"/>
        </w:rPr>
        <w:t>5.</w:t>
      </w:r>
      <w:r w:rsidRPr="00360678">
        <w:rPr>
          <w:noProof/>
          <w:lang w:val="en-IE"/>
        </w:rPr>
        <w:tab/>
        <w:t>OTHER ELEMENTS</w:t>
      </w:r>
    </w:p>
    <w:p w14:paraId="4656CD5C" w14:textId="77777777" w:rsidR="0018143B" w:rsidRPr="00360678" w:rsidRDefault="0091075B">
      <w:pPr>
        <w:pStyle w:val="ManualHeading2"/>
        <w:rPr>
          <w:rFonts w:eastAsia="Arial Unicode MS"/>
          <w:noProof/>
          <w:u w:color="000000"/>
          <w:bdr w:val="nil"/>
          <w:lang w:val="en-IE" w:eastAsia="en-GB"/>
        </w:rPr>
      </w:pPr>
      <w:r w:rsidRPr="00360678">
        <w:rPr>
          <w:rFonts w:eastAsia="Arial Unicode MS"/>
          <w:noProof/>
          <w:u w:color="000000"/>
          <w:bdr w:val="nil"/>
          <w:lang w:val="en-IE" w:eastAsia="en-GB"/>
        </w:rPr>
        <w:t>•</w:t>
      </w:r>
      <w:r w:rsidRPr="00360678">
        <w:rPr>
          <w:rFonts w:eastAsia="Arial Unicode MS"/>
          <w:noProof/>
          <w:u w:color="000000"/>
          <w:bdr w:val="nil"/>
          <w:lang w:val="en-IE" w:eastAsia="en-GB"/>
        </w:rPr>
        <w:tab/>
        <w:t>Detailed explanation of the specific provisions of the proposal</w:t>
      </w:r>
    </w:p>
    <w:p w14:paraId="17A9053E" w14:textId="7E05BD03" w:rsidR="00E70408" w:rsidRDefault="00E70408" w:rsidP="00E70408">
      <w:pPr>
        <w:pBdr>
          <w:top w:val="nil"/>
          <w:left w:val="nil"/>
          <w:bottom w:val="nil"/>
          <w:right w:val="nil"/>
          <w:between w:val="nil"/>
        </w:pBdr>
        <w:spacing w:before="0" w:after="240"/>
        <w:rPr>
          <w:rFonts w:eastAsia="Times New Roman"/>
          <w:noProof/>
          <w:szCs w:val="24"/>
        </w:rPr>
      </w:pPr>
      <w:r w:rsidRPr="00F055F6">
        <w:rPr>
          <w:rFonts w:eastAsia="Times New Roman"/>
          <w:noProof/>
          <w:color w:val="333333"/>
          <w:szCs w:val="24"/>
        </w:rPr>
        <w:t>Th</w:t>
      </w:r>
      <w:r>
        <w:rPr>
          <w:rFonts w:eastAsia="Times New Roman"/>
          <w:noProof/>
          <w:color w:val="333333"/>
          <w:szCs w:val="24"/>
        </w:rPr>
        <w:t>e</w:t>
      </w:r>
      <w:r w:rsidRPr="00F055F6">
        <w:rPr>
          <w:rFonts w:eastAsia="Times New Roman"/>
          <w:noProof/>
          <w:color w:val="333333"/>
          <w:szCs w:val="24"/>
        </w:rPr>
        <w:t xml:space="preserve"> proposed </w:t>
      </w:r>
      <w:r>
        <w:rPr>
          <w:rFonts w:eastAsia="Times New Roman"/>
          <w:noProof/>
          <w:color w:val="333333"/>
          <w:szCs w:val="24"/>
        </w:rPr>
        <w:t>r</w:t>
      </w:r>
      <w:r w:rsidRPr="00F055F6">
        <w:rPr>
          <w:rFonts w:eastAsia="Times New Roman"/>
          <w:noProof/>
          <w:color w:val="333333"/>
          <w:szCs w:val="24"/>
        </w:rPr>
        <w:t xml:space="preserve">egulation is of technical nature and accompanies </w:t>
      </w:r>
      <w:r>
        <w:rPr>
          <w:rFonts w:eastAsia="Times New Roman"/>
          <w:noProof/>
          <w:szCs w:val="24"/>
          <w:lang w:val="en-IE"/>
        </w:rPr>
        <w:t xml:space="preserve">the proposed </w:t>
      </w:r>
      <w:r w:rsidRPr="00360678">
        <w:rPr>
          <w:rFonts w:eastAsia="Arial Unicode MS"/>
          <w:noProof/>
          <w:lang w:val="en-IE"/>
        </w:rPr>
        <w:t>Directive establishing harmonised requirements in the internal market on transparency of interest representation carried out on behalf of third countries</w:t>
      </w:r>
      <w:r w:rsidRPr="00F055F6">
        <w:rPr>
          <w:rFonts w:eastAsia="Times New Roman"/>
          <w:noProof/>
          <w:color w:val="333333"/>
          <w:szCs w:val="24"/>
        </w:rPr>
        <w:t>.</w:t>
      </w:r>
      <w:r w:rsidRPr="2296A3A1">
        <w:rPr>
          <w:rFonts w:eastAsia="Times New Roman"/>
          <w:noProof/>
          <w:szCs w:val="24"/>
        </w:rPr>
        <w:t xml:space="preserve"> </w:t>
      </w:r>
    </w:p>
    <w:p w14:paraId="08639BF4" w14:textId="343520C3" w:rsidR="00FB0081" w:rsidRPr="00360678" w:rsidRDefault="0091075B" w:rsidP="00FB0081">
      <w:pPr>
        <w:pBdr>
          <w:top w:val="nil"/>
          <w:left w:val="nil"/>
          <w:bottom w:val="nil"/>
          <w:right w:val="nil"/>
          <w:between w:val="nil"/>
          <w:bar w:val="nil"/>
        </w:pBdr>
        <w:spacing w:before="0" w:after="240"/>
        <w:rPr>
          <w:rFonts w:eastAsia="Arial Unicode MS"/>
          <w:noProof/>
          <w:lang w:val="en-IE"/>
        </w:rPr>
      </w:pPr>
      <w:r w:rsidRPr="00360678">
        <w:rPr>
          <w:noProof/>
          <w:u w:val="single"/>
          <w:lang w:val="en-IE"/>
        </w:rPr>
        <w:t>Article 1</w:t>
      </w:r>
      <w:r w:rsidRPr="00360678">
        <w:rPr>
          <w:noProof/>
          <w:lang w:val="en-IE"/>
        </w:rPr>
        <w:t xml:space="preserve"> amends </w:t>
      </w:r>
      <w:r w:rsidRPr="00360678">
        <w:rPr>
          <w:noProof/>
          <w:szCs w:val="24"/>
          <w:lang w:val="en-IE"/>
        </w:rPr>
        <w:t xml:space="preserve">Regulation (EU) No 1024/2012 as regards </w:t>
      </w:r>
      <w:r w:rsidRPr="00360678">
        <w:rPr>
          <w:rFonts w:eastAsia="Times New Roman"/>
          <w:noProof/>
          <w:szCs w:val="24"/>
          <w:lang w:val="en-IE"/>
        </w:rPr>
        <w:t xml:space="preserve">the use of the </w:t>
      </w:r>
      <w:r w:rsidR="00C42EE3">
        <w:rPr>
          <w:rFonts w:eastAsia="Times New Roman"/>
          <w:noProof/>
          <w:szCs w:val="24"/>
          <w:lang w:val="en-IE"/>
        </w:rPr>
        <w:t>IMI system</w:t>
      </w:r>
      <w:r w:rsidRPr="00360678">
        <w:rPr>
          <w:rFonts w:eastAsia="Times New Roman"/>
          <w:noProof/>
          <w:szCs w:val="24"/>
          <w:lang w:val="en-IE"/>
        </w:rPr>
        <w:t xml:space="preserve"> established by that Regulation for the purpose of the </w:t>
      </w:r>
      <w:r w:rsidR="00E70408">
        <w:rPr>
          <w:rFonts w:eastAsia="Times New Roman"/>
          <w:noProof/>
          <w:szCs w:val="24"/>
          <w:lang w:val="en-IE"/>
        </w:rPr>
        <w:t xml:space="preserve">proposed </w:t>
      </w:r>
      <w:r w:rsidRPr="00360678">
        <w:rPr>
          <w:noProof/>
          <w:lang w:val="en-IE"/>
        </w:rPr>
        <w:t>Directive</w:t>
      </w:r>
      <w:r w:rsidRPr="00360678">
        <w:rPr>
          <w:rFonts w:eastAsia="Arial Unicode MS"/>
          <w:noProof/>
          <w:lang w:val="en-IE"/>
        </w:rPr>
        <w:t>.</w:t>
      </w:r>
      <w:r w:rsidR="00FB0081">
        <w:rPr>
          <w:rFonts w:eastAsia="Arial Unicode MS"/>
          <w:noProof/>
          <w:lang w:val="en-IE"/>
        </w:rPr>
        <w:t xml:space="preserve"> This would allow for t</w:t>
      </w:r>
      <w:r w:rsidR="00FB0081" w:rsidRPr="004A081B">
        <w:rPr>
          <w:noProof/>
          <w:lang w:val="en-IE"/>
        </w:rPr>
        <w:t xml:space="preserve">he administrative cooperation </w:t>
      </w:r>
      <w:r w:rsidR="00FB0081" w:rsidRPr="004A081B">
        <w:rPr>
          <w:rFonts w:eastAsia="Times New Roman"/>
          <w:noProof/>
          <w:lang w:val="en-IE"/>
        </w:rPr>
        <w:t xml:space="preserve">and exchanges of information </w:t>
      </w:r>
      <w:r w:rsidR="00FB0081" w:rsidRPr="004A081B">
        <w:rPr>
          <w:noProof/>
          <w:lang w:val="en-IE"/>
        </w:rPr>
        <w:t>between the</w:t>
      </w:r>
      <w:r w:rsidR="00FB0081">
        <w:rPr>
          <w:noProof/>
          <w:lang w:val="en-IE"/>
        </w:rPr>
        <w:t xml:space="preserve"> competent </w:t>
      </w:r>
      <w:r w:rsidR="00FB0081" w:rsidRPr="004A081B">
        <w:rPr>
          <w:noProof/>
          <w:lang w:val="en-IE"/>
        </w:rPr>
        <w:t>national authorities</w:t>
      </w:r>
      <w:r w:rsidR="00FB0081">
        <w:rPr>
          <w:noProof/>
          <w:lang w:val="en-IE"/>
        </w:rPr>
        <w:t>, as well as</w:t>
      </w:r>
      <w:r w:rsidR="00FB0081" w:rsidRPr="004A081B">
        <w:rPr>
          <w:noProof/>
          <w:lang w:val="en-IE"/>
        </w:rPr>
        <w:t xml:space="preserve"> the Commission, </w:t>
      </w:r>
      <w:r w:rsidR="00FB0081">
        <w:rPr>
          <w:noProof/>
          <w:lang w:val="en-IE"/>
        </w:rPr>
        <w:t xml:space="preserve">provided for by </w:t>
      </w:r>
      <w:r w:rsidR="00FB0081">
        <w:rPr>
          <w:noProof/>
          <w:szCs w:val="24"/>
          <w:lang w:val="en-IE"/>
        </w:rPr>
        <w:t>Article 11(4), Article 16(5) and (6), Article 17(2), (4) and (5) and Article 18 of the proposed Directive to be implemented through the IMI system</w:t>
      </w:r>
      <w:r w:rsidR="00FB0081" w:rsidRPr="004A081B">
        <w:rPr>
          <w:noProof/>
          <w:lang w:val="en-IE"/>
        </w:rPr>
        <w:t xml:space="preserve">. </w:t>
      </w:r>
    </w:p>
    <w:p w14:paraId="1A6D5C4A" w14:textId="5D29FF23" w:rsidR="00FB0081" w:rsidRDefault="0091075B">
      <w:pPr>
        <w:pBdr>
          <w:top w:val="nil"/>
          <w:left w:val="nil"/>
          <w:bottom w:val="nil"/>
          <w:right w:val="nil"/>
          <w:between w:val="nil"/>
          <w:bar w:val="nil"/>
        </w:pBdr>
        <w:spacing w:before="0" w:after="240"/>
        <w:rPr>
          <w:noProof/>
        </w:rPr>
      </w:pPr>
      <w:r w:rsidRPr="00360678">
        <w:rPr>
          <w:rFonts w:eastAsia="Arial Unicode MS"/>
          <w:noProof/>
          <w:u w:val="single"/>
          <w:lang w:val="en-IE"/>
        </w:rPr>
        <w:t>Article 2</w:t>
      </w:r>
      <w:r w:rsidRPr="00360678">
        <w:rPr>
          <w:rFonts w:eastAsia="Arial Unicode MS"/>
          <w:noProof/>
          <w:lang w:val="en-IE"/>
        </w:rPr>
        <w:t xml:space="preserve"> amends </w:t>
      </w:r>
      <w:r w:rsidRPr="00360678">
        <w:rPr>
          <w:noProof/>
          <w:szCs w:val="24"/>
          <w:lang w:val="en-IE"/>
        </w:rPr>
        <w:t xml:space="preserve">Regulation (EU) 2018/1724 as regards the use of the Single Digital Gateway </w:t>
      </w:r>
      <w:r w:rsidRPr="00360678">
        <w:rPr>
          <w:rFonts w:eastAsia="Times New Roman"/>
          <w:noProof/>
          <w:szCs w:val="24"/>
          <w:lang w:val="en-IE"/>
        </w:rPr>
        <w:t xml:space="preserve">for the purpose of the </w:t>
      </w:r>
      <w:r w:rsidR="00FB0081">
        <w:rPr>
          <w:rFonts w:eastAsia="Times New Roman"/>
          <w:noProof/>
          <w:szCs w:val="24"/>
          <w:lang w:val="en-IE"/>
        </w:rPr>
        <w:t xml:space="preserve">proposed </w:t>
      </w:r>
      <w:r w:rsidRPr="00360678">
        <w:rPr>
          <w:noProof/>
          <w:lang w:val="en-IE"/>
        </w:rPr>
        <w:t>Directive</w:t>
      </w:r>
      <w:r w:rsidRPr="00360678">
        <w:rPr>
          <w:rFonts w:eastAsia="Arial Unicode MS"/>
          <w:noProof/>
          <w:lang w:val="en-IE"/>
        </w:rPr>
        <w:t>.</w:t>
      </w:r>
      <w:r w:rsidR="00FB0081">
        <w:rPr>
          <w:rFonts w:eastAsia="Arial Unicode MS"/>
          <w:noProof/>
          <w:lang w:val="en-IE"/>
        </w:rPr>
        <w:t xml:space="preserve"> For this purpose, a point is added to Annex I to that </w:t>
      </w:r>
      <w:r w:rsidR="00FB0081" w:rsidRPr="00360678">
        <w:rPr>
          <w:noProof/>
          <w:szCs w:val="24"/>
          <w:lang w:val="en-IE"/>
        </w:rPr>
        <w:t>Regulation</w:t>
      </w:r>
      <w:r w:rsidR="00AA69BB">
        <w:rPr>
          <w:noProof/>
          <w:szCs w:val="24"/>
          <w:lang w:val="en-IE"/>
        </w:rPr>
        <w:t xml:space="preserve"> to ensure that the Single Digital Gateway gives access to </w:t>
      </w:r>
      <w:r w:rsidR="00AA69BB" w:rsidRPr="00AA69BB">
        <w:rPr>
          <w:noProof/>
          <w:szCs w:val="24"/>
          <w:lang w:val="en-IE"/>
        </w:rPr>
        <w:t xml:space="preserve">information on rights, obligations and rules laid down in </w:t>
      </w:r>
      <w:r w:rsidR="00AA69BB">
        <w:rPr>
          <w:noProof/>
          <w:szCs w:val="24"/>
          <w:lang w:val="en-IE"/>
        </w:rPr>
        <w:t xml:space="preserve">the proposed Directive. In addition, fields are added to the table in Annex II to that Regulation to provide that </w:t>
      </w:r>
      <w:r w:rsidR="00AA69BB" w:rsidRPr="00AA69BB">
        <w:rPr>
          <w:noProof/>
          <w:szCs w:val="24"/>
          <w:lang w:val="en-IE"/>
        </w:rPr>
        <w:t>Member State</w:t>
      </w:r>
      <w:r w:rsidR="00AA69BB">
        <w:rPr>
          <w:noProof/>
          <w:szCs w:val="24"/>
          <w:lang w:val="en-IE"/>
        </w:rPr>
        <w:t>s</w:t>
      </w:r>
      <w:r w:rsidR="00AA69BB" w:rsidRPr="00AA69BB">
        <w:rPr>
          <w:noProof/>
          <w:szCs w:val="24"/>
          <w:lang w:val="en-IE"/>
        </w:rPr>
        <w:t xml:space="preserve"> </w:t>
      </w:r>
      <w:r w:rsidR="00406706">
        <w:rPr>
          <w:noProof/>
          <w:szCs w:val="24"/>
          <w:lang w:val="en-IE"/>
        </w:rPr>
        <w:t xml:space="preserve">are to </w:t>
      </w:r>
      <w:r w:rsidR="00AA69BB" w:rsidRPr="00AA69BB">
        <w:rPr>
          <w:noProof/>
          <w:szCs w:val="24"/>
          <w:lang w:val="en-IE"/>
        </w:rPr>
        <w:t xml:space="preserve">ensure that users can access and complete </w:t>
      </w:r>
      <w:r w:rsidR="00AA69BB">
        <w:rPr>
          <w:noProof/>
          <w:szCs w:val="24"/>
          <w:lang w:val="en-IE"/>
        </w:rPr>
        <w:t>the registration provided for by the proposed Directive fully online.</w:t>
      </w:r>
    </w:p>
    <w:p w14:paraId="15F0158C" w14:textId="77777777" w:rsidR="00FB0081" w:rsidRPr="00360678" w:rsidRDefault="00FB0081">
      <w:pPr>
        <w:pBdr>
          <w:top w:val="nil"/>
          <w:left w:val="nil"/>
          <w:bottom w:val="nil"/>
          <w:right w:val="nil"/>
          <w:between w:val="nil"/>
          <w:bar w:val="nil"/>
        </w:pBdr>
        <w:spacing w:before="0" w:after="240"/>
        <w:rPr>
          <w:rFonts w:eastAsia="Arial Unicode MS"/>
          <w:noProof/>
          <w:lang w:val="en-IE"/>
        </w:rPr>
      </w:pPr>
    </w:p>
    <w:p w14:paraId="518B6835" w14:textId="77777777" w:rsidR="0018143B" w:rsidRDefault="0018143B" w:rsidP="00502656">
      <w:pPr>
        <w:pBdr>
          <w:top w:val="nil"/>
          <w:left w:val="nil"/>
          <w:bottom w:val="nil"/>
          <w:right w:val="nil"/>
          <w:between w:val="nil"/>
          <w:bar w:val="nil"/>
        </w:pBdr>
        <w:spacing w:before="0" w:after="240"/>
        <w:rPr>
          <w:noProof/>
        </w:rPr>
        <w:sectPr w:rsidR="0018143B" w:rsidSect="00902CBF">
          <w:footerReference w:type="default" r:id="rId18"/>
          <w:footerReference w:type="first" r:id="rId19"/>
          <w:pgSz w:w="11907" w:h="16839"/>
          <w:pgMar w:top="1134" w:right="1417" w:bottom="1134" w:left="1417" w:header="709" w:footer="709" w:gutter="0"/>
          <w:cols w:space="708"/>
          <w:docGrid w:linePitch="360"/>
        </w:sectPr>
      </w:pPr>
    </w:p>
    <w:p w14:paraId="77E4397A" w14:textId="6EFB81FC" w:rsidR="0027108B" w:rsidRDefault="00902CBF" w:rsidP="00902CBF">
      <w:pPr>
        <w:pStyle w:val="Rfrenceinterinstitutionnelle"/>
        <w:rPr>
          <w:noProof/>
        </w:rPr>
      </w:pPr>
      <w:r w:rsidRPr="00902CBF">
        <w:t>2023/0462 (COD)</w:t>
      </w:r>
    </w:p>
    <w:p w14:paraId="6C299FAE" w14:textId="134239F4" w:rsidR="0018143B" w:rsidRDefault="00902CBF" w:rsidP="00902CBF">
      <w:pPr>
        <w:pStyle w:val="Statut"/>
        <w:rPr>
          <w:noProof/>
        </w:rPr>
      </w:pPr>
      <w:r w:rsidRPr="00902CBF">
        <w:t>Proposal for a</w:t>
      </w:r>
    </w:p>
    <w:p w14:paraId="13DFBBAB" w14:textId="59FCB936" w:rsidR="0018143B" w:rsidRDefault="00902CBF" w:rsidP="00902CBF">
      <w:pPr>
        <w:pStyle w:val="Typedudocument"/>
        <w:rPr>
          <w:noProof/>
        </w:rPr>
      </w:pPr>
      <w:r w:rsidRPr="00902CBF">
        <w:t>REGULATION OF THE EUROPEAN PARLIAMENT AND OF THE COUNCIL</w:t>
      </w:r>
    </w:p>
    <w:p w14:paraId="092F4081" w14:textId="5156DE9B" w:rsidR="0018143B" w:rsidRDefault="00902CBF" w:rsidP="00902CBF">
      <w:pPr>
        <w:pStyle w:val="Titreobjet"/>
        <w:rPr>
          <w:noProof/>
        </w:rPr>
      </w:pPr>
      <w:r w:rsidRPr="00902CBF">
        <w:t>amending Regulations (EU) No 1024/2012 and (EU) 2018/1724 as regards certain requirements laid down by Directive (EU) XXXX/XXXX</w:t>
      </w:r>
    </w:p>
    <w:p w14:paraId="74CA3CDF" w14:textId="737992E3" w:rsidR="0018143B" w:rsidRDefault="00902CBF" w:rsidP="00902CBF">
      <w:pPr>
        <w:pStyle w:val="IntrtEEE"/>
        <w:rPr>
          <w:noProof/>
        </w:rPr>
      </w:pPr>
      <w:r w:rsidRPr="00902CBF">
        <w:t>(Text with EEA relevance)</w:t>
      </w:r>
    </w:p>
    <w:p w14:paraId="0D8E3711" w14:textId="77777777" w:rsidR="0018143B" w:rsidRDefault="0091075B">
      <w:pPr>
        <w:pStyle w:val="Institutionquiagit"/>
        <w:rPr>
          <w:noProof/>
        </w:rPr>
      </w:pPr>
      <w:r>
        <w:rPr>
          <w:noProof/>
        </w:rPr>
        <w:t xml:space="preserve">THE EUROPEAN PARLIAMENT AND THE COUNCIL OF THE EUROPEAN </w:t>
      </w:r>
      <w:smartTag w:uri="urn:schemas-microsoft-com:office:smarttags" w:element="place">
        <w:r>
          <w:rPr>
            <w:noProof/>
          </w:rPr>
          <w:t>UNION</w:t>
        </w:r>
      </w:smartTag>
      <w:r>
        <w:rPr>
          <w:noProof/>
        </w:rPr>
        <w:t>,</w:t>
      </w:r>
    </w:p>
    <w:p w14:paraId="23E34AFD" w14:textId="77777777" w:rsidR="0018143B" w:rsidRDefault="0091075B">
      <w:pPr>
        <w:rPr>
          <w:noProof/>
        </w:rPr>
      </w:pPr>
      <w:r>
        <w:rPr>
          <w:noProof/>
        </w:rPr>
        <w:t>Having regard to the Treaty on the Functioning of the European Union, and in particular Article 114 thereof,</w:t>
      </w:r>
    </w:p>
    <w:p w14:paraId="61C08E25" w14:textId="77777777" w:rsidR="0018143B" w:rsidRDefault="0091075B">
      <w:pPr>
        <w:rPr>
          <w:noProof/>
        </w:rPr>
      </w:pPr>
      <w:r>
        <w:rPr>
          <w:noProof/>
        </w:rPr>
        <w:t>Having regard to the proposal from the European Commission,</w:t>
      </w:r>
    </w:p>
    <w:p w14:paraId="331A1129" w14:textId="77777777" w:rsidR="0018143B" w:rsidRDefault="0091075B">
      <w:pPr>
        <w:rPr>
          <w:noProof/>
        </w:rPr>
      </w:pPr>
      <w:r>
        <w:rPr>
          <w:noProof/>
        </w:rPr>
        <w:t>After transmission of the draft legislative act to the national parliaments,</w:t>
      </w:r>
    </w:p>
    <w:p w14:paraId="0A112512" w14:textId="77777777" w:rsidR="0018143B" w:rsidRDefault="0091075B">
      <w:pPr>
        <w:rPr>
          <w:noProof/>
        </w:rPr>
      </w:pPr>
      <w:r>
        <w:rPr>
          <w:noProof/>
        </w:rPr>
        <w:t>Having regard to the opinion of the European Economic and Social Committee</w:t>
      </w:r>
      <w:r>
        <w:rPr>
          <w:rStyle w:val="FootnoteReference"/>
          <w:noProof/>
        </w:rPr>
        <w:footnoteReference w:id="5"/>
      </w:r>
      <w:r>
        <w:rPr>
          <w:noProof/>
        </w:rPr>
        <w:t>,</w:t>
      </w:r>
    </w:p>
    <w:p w14:paraId="4EC7C87A" w14:textId="77777777" w:rsidR="0018143B" w:rsidRDefault="0091075B">
      <w:pPr>
        <w:rPr>
          <w:noProof/>
        </w:rPr>
      </w:pPr>
      <w:r>
        <w:rPr>
          <w:noProof/>
        </w:rPr>
        <w:t>Having regard to the opinion of the Committee of the Regions</w:t>
      </w:r>
      <w:r>
        <w:rPr>
          <w:rStyle w:val="FootnoteReference"/>
          <w:noProof/>
        </w:rPr>
        <w:footnoteReference w:id="6"/>
      </w:r>
      <w:r>
        <w:rPr>
          <w:noProof/>
        </w:rPr>
        <w:t>,</w:t>
      </w:r>
    </w:p>
    <w:p w14:paraId="6162DF36" w14:textId="77777777" w:rsidR="0018143B" w:rsidRDefault="0091075B">
      <w:pPr>
        <w:rPr>
          <w:noProof/>
        </w:rPr>
      </w:pPr>
      <w:r>
        <w:rPr>
          <w:noProof/>
        </w:rPr>
        <w:t>Acting in accordance with the ordinary legislative procedure,</w:t>
      </w:r>
    </w:p>
    <w:p w14:paraId="291A143A" w14:textId="77777777" w:rsidR="0018143B" w:rsidRDefault="0091075B">
      <w:pPr>
        <w:rPr>
          <w:noProof/>
        </w:rPr>
      </w:pPr>
      <w:r>
        <w:rPr>
          <w:noProof/>
        </w:rPr>
        <w:t>Whereas:</w:t>
      </w:r>
    </w:p>
    <w:p w14:paraId="6886C757" w14:textId="1AC7610E" w:rsidR="0018143B" w:rsidRDefault="0004054D" w:rsidP="0004054D">
      <w:pPr>
        <w:pStyle w:val="ManualConsidrant"/>
        <w:rPr>
          <w:noProof/>
        </w:rPr>
      </w:pPr>
      <w:r w:rsidRPr="0004054D">
        <w:t>(1)</w:t>
      </w:r>
      <w:r w:rsidRPr="0004054D">
        <w:tab/>
      </w:r>
      <w:r w:rsidR="0091075B">
        <w:rPr>
          <w:noProof/>
        </w:rPr>
        <w:t>Directive (EU) [XXXX/XXXX] of the European Parliament and of the Council</w:t>
      </w:r>
      <w:r w:rsidR="0091075B">
        <w:rPr>
          <w:rStyle w:val="FootnoteReference"/>
          <w:noProof/>
        </w:rPr>
        <w:footnoteReference w:id="7"/>
      </w:r>
      <w:r w:rsidR="0091075B">
        <w:rPr>
          <w:noProof/>
        </w:rPr>
        <w:t xml:space="preserve"> </w:t>
      </w:r>
      <w:r w:rsidR="0091075B">
        <w:rPr>
          <w:noProof/>
          <w:lang w:val="en-IE"/>
        </w:rPr>
        <w:t>lays down harmonised requirements in relation to economic activities of interest representation carried out on behalf of a third country entity, with a view to improving the functioning of the internal market by achieving a common level of transparency across the Union.</w:t>
      </w:r>
    </w:p>
    <w:p w14:paraId="159A3F62" w14:textId="49714DED" w:rsidR="0018143B" w:rsidRDefault="0004054D" w:rsidP="0004054D">
      <w:pPr>
        <w:pStyle w:val="ManualConsidrant"/>
        <w:rPr>
          <w:noProof/>
        </w:rPr>
      </w:pPr>
      <w:r w:rsidRPr="0004054D">
        <w:t>(2)</w:t>
      </w:r>
      <w:r w:rsidRPr="0004054D">
        <w:tab/>
      </w:r>
      <w:r w:rsidR="0091075B">
        <w:rPr>
          <w:noProof/>
          <w:lang w:val="en-IE"/>
        </w:rPr>
        <w:t xml:space="preserve">The administrative cooperation and the exchange of information between the designated national authorities, or the supervisory authorities, and the Commission, provided for by </w:t>
      </w:r>
      <w:r w:rsidR="0091075B">
        <w:rPr>
          <w:noProof/>
        </w:rPr>
        <w:t xml:space="preserve">Directive (EU) XXXX/XXXX </w:t>
      </w:r>
      <w:r w:rsidR="0091075B">
        <w:rPr>
          <w:noProof/>
          <w:lang w:val="en-IE"/>
        </w:rPr>
        <w:t>is to be implemented through the Internal Market Information System (‘IMI system’) established by Regulation (EU) No 1024/2012 of the European Parliament and of the Council</w:t>
      </w:r>
      <w:r w:rsidR="0091075B">
        <w:rPr>
          <w:rStyle w:val="FootnoteReference"/>
          <w:noProof/>
          <w:szCs w:val="24"/>
          <w:lang w:val="en-IE"/>
        </w:rPr>
        <w:footnoteReference w:id="8"/>
      </w:r>
      <w:r w:rsidR="0091075B">
        <w:rPr>
          <w:noProof/>
          <w:lang w:val="en-IE"/>
        </w:rPr>
        <w:t>. For that reason, the necessary administrative cooperation procedures should be established in the IMI system. Regulation (EU) No 1024/2012 should therefore be amended accordingly.</w:t>
      </w:r>
    </w:p>
    <w:p w14:paraId="597E3FDB" w14:textId="4BA9BAD5" w:rsidR="0018143B" w:rsidRDefault="0004054D" w:rsidP="0004054D">
      <w:pPr>
        <w:pStyle w:val="ManualConsidrant"/>
        <w:rPr>
          <w:noProof/>
        </w:rPr>
      </w:pPr>
      <w:r w:rsidRPr="0004054D">
        <w:t>(3)</w:t>
      </w:r>
      <w:r w:rsidRPr="0004054D">
        <w:tab/>
      </w:r>
      <w:r w:rsidR="0091075B">
        <w:rPr>
          <w:noProof/>
          <w:lang w:val="en-IE"/>
        </w:rPr>
        <w:t xml:space="preserve">In addition, in order to minimise the administrative burden on legal entities and natural persons falling within the scope of </w:t>
      </w:r>
      <w:r w:rsidR="0091075B">
        <w:rPr>
          <w:noProof/>
        </w:rPr>
        <w:t>Directive (EU) XXXX/XXXX</w:t>
      </w:r>
      <w:r w:rsidR="0091075B">
        <w:rPr>
          <w:noProof/>
          <w:lang w:val="mt-MT"/>
        </w:rPr>
        <w:t xml:space="preserve">, </w:t>
      </w:r>
      <w:r w:rsidR="0091075B">
        <w:rPr>
          <w:noProof/>
          <w:lang w:val="en-IE"/>
        </w:rPr>
        <w:t>Regulation (EU) 2018/1724 of the European Parliament and of the Council</w:t>
      </w:r>
      <w:r w:rsidR="0091075B">
        <w:rPr>
          <w:rStyle w:val="FootnoteReference"/>
          <w:noProof/>
          <w:szCs w:val="24"/>
          <w:lang w:val="en-IE"/>
        </w:rPr>
        <w:footnoteReference w:id="9"/>
      </w:r>
      <w:r w:rsidR="0091075B">
        <w:rPr>
          <w:noProof/>
          <w:lang w:val="en-IE"/>
        </w:rPr>
        <w:t xml:space="preserve"> should be amended to provide for easy online access to information on the rights and obligations stemming from </w:t>
      </w:r>
      <w:r w:rsidR="0091075B">
        <w:rPr>
          <w:noProof/>
        </w:rPr>
        <w:t>Directive (EU) XXXX/XXXX, as well as to ensure that access to and completion of the procedure for registration required by that Directive can be made fully online,</w:t>
      </w:r>
    </w:p>
    <w:p w14:paraId="5B64A9AC" w14:textId="77777777" w:rsidR="0018143B" w:rsidRDefault="0091075B">
      <w:pPr>
        <w:pStyle w:val="Formuledadoption"/>
        <w:rPr>
          <w:noProof/>
        </w:rPr>
      </w:pPr>
      <w:r>
        <w:rPr>
          <w:noProof/>
        </w:rPr>
        <w:t>HAVE ADOPTED THIS REGULATION:</w:t>
      </w:r>
    </w:p>
    <w:p w14:paraId="3FCE01A7" w14:textId="77777777" w:rsidR="0018143B" w:rsidRDefault="0091075B">
      <w:pPr>
        <w:pStyle w:val="Titrearticle"/>
        <w:rPr>
          <w:noProof/>
          <w:szCs w:val="24"/>
          <w:lang w:val="en-IE"/>
        </w:rPr>
      </w:pPr>
      <w:r>
        <w:rPr>
          <w:noProof/>
        </w:rPr>
        <w:t>Article 1</w:t>
      </w:r>
      <w:r>
        <w:rPr>
          <w:noProof/>
        </w:rPr>
        <w:br/>
      </w:r>
      <w:r>
        <w:rPr>
          <w:noProof/>
          <w:szCs w:val="24"/>
          <w:lang w:val="en-IE"/>
        </w:rPr>
        <w:t>Amendment to Regulation (EU) No 1024/2012</w:t>
      </w:r>
    </w:p>
    <w:p w14:paraId="5D223929" w14:textId="2F2DC1ED" w:rsidR="0018143B" w:rsidRDefault="0091075B">
      <w:pPr>
        <w:rPr>
          <w:noProof/>
          <w:szCs w:val="24"/>
          <w:lang w:val="en-IE"/>
        </w:rPr>
      </w:pPr>
      <w:r>
        <w:rPr>
          <w:noProof/>
          <w:szCs w:val="24"/>
          <w:lang w:val="en-IE"/>
        </w:rPr>
        <w:t>In the Annex to Regulation (EU) No 1024/2012, the following new point (1</w:t>
      </w:r>
      <w:r w:rsidR="001E7018">
        <w:rPr>
          <w:noProof/>
          <w:szCs w:val="24"/>
          <w:lang w:val="en-IE"/>
        </w:rPr>
        <w:t>7</w:t>
      </w:r>
      <w:r>
        <w:rPr>
          <w:noProof/>
          <w:szCs w:val="24"/>
          <w:lang w:val="en-IE"/>
        </w:rPr>
        <w:t>) is added:</w:t>
      </w:r>
    </w:p>
    <w:p w14:paraId="04F7BD67" w14:textId="097568BC" w:rsidR="0018143B" w:rsidRDefault="0091075B">
      <w:pPr>
        <w:pStyle w:val="Text1"/>
        <w:rPr>
          <w:noProof/>
          <w:szCs w:val="24"/>
          <w:lang w:val="en-IE"/>
        </w:rPr>
      </w:pPr>
      <w:r>
        <w:rPr>
          <w:noProof/>
          <w:szCs w:val="24"/>
          <w:lang w:val="en-IE"/>
        </w:rPr>
        <w:t>‘1</w:t>
      </w:r>
      <w:r w:rsidR="001E7018">
        <w:rPr>
          <w:noProof/>
          <w:szCs w:val="24"/>
          <w:lang w:val="en-IE"/>
        </w:rPr>
        <w:t>7</w:t>
      </w:r>
      <w:r>
        <w:rPr>
          <w:noProof/>
          <w:szCs w:val="24"/>
          <w:lang w:val="en-IE"/>
        </w:rPr>
        <w:t>. Directive (EU) [XXXX/XXXX] of the European Parliament and of the Council</w:t>
      </w:r>
      <w:r w:rsidR="00AA2D34">
        <w:rPr>
          <w:noProof/>
          <w:szCs w:val="24"/>
          <w:lang w:val="en-IE"/>
        </w:rPr>
        <w:t xml:space="preserve"> </w:t>
      </w:r>
      <w:r>
        <w:rPr>
          <w:noProof/>
          <w:szCs w:val="24"/>
          <w:lang w:val="en-IE"/>
        </w:rPr>
        <w:t>establishing harmonised requirements in the internal market on transparency of interest representation carried out on behalf of third countries and amending Directive (EU) 2019/1937*: Article 11(4), Article 16(5) and (6), Article 17(2), (4) and (5) and Article 18.</w:t>
      </w:r>
    </w:p>
    <w:p w14:paraId="2F29D449" w14:textId="77777777" w:rsidR="0018143B" w:rsidRDefault="0091075B">
      <w:pPr>
        <w:pStyle w:val="Text1"/>
        <w:rPr>
          <w:noProof/>
          <w:szCs w:val="24"/>
          <w:lang w:val="en-IE"/>
        </w:rPr>
      </w:pPr>
      <w:r>
        <w:rPr>
          <w:noProof/>
          <w:szCs w:val="24"/>
          <w:lang w:val="en-IE"/>
        </w:rPr>
        <w:t>____________________</w:t>
      </w:r>
    </w:p>
    <w:p w14:paraId="72C1D360" w14:textId="77777777" w:rsidR="0018143B" w:rsidRDefault="0091075B">
      <w:pPr>
        <w:pStyle w:val="Text1"/>
        <w:rPr>
          <w:noProof/>
          <w:szCs w:val="24"/>
          <w:lang w:val="en-IE"/>
        </w:rPr>
      </w:pPr>
      <w:r>
        <w:rPr>
          <w:noProof/>
          <w:szCs w:val="24"/>
          <w:lang w:val="en-IE"/>
        </w:rPr>
        <w:t xml:space="preserve">* </w:t>
      </w:r>
      <w:r>
        <w:rPr>
          <w:noProof/>
        </w:rPr>
        <w:t>OJ L […], […], p. […], ELI: …</w:t>
      </w:r>
      <w:r>
        <w:rPr>
          <w:noProof/>
          <w:szCs w:val="24"/>
          <w:lang w:val="en-IE"/>
        </w:rPr>
        <w:t>.’.</w:t>
      </w:r>
    </w:p>
    <w:p w14:paraId="10D7086F" w14:textId="77777777" w:rsidR="0018143B" w:rsidRDefault="0091075B">
      <w:pPr>
        <w:pStyle w:val="Titrearticle"/>
        <w:rPr>
          <w:noProof/>
          <w:szCs w:val="24"/>
          <w:lang w:val="en-IE"/>
        </w:rPr>
      </w:pPr>
      <w:r>
        <w:rPr>
          <w:noProof/>
        </w:rPr>
        <w:t>Article 2</w:t>
      </w:r>
      <w:r>
        <w:rPr>
          <w:noProof/>
        </w:rPr>
        <w:br/>
      </w:r>
      <w:r>
        <w:rPr>
          <w:noProof/>
          <w:szCs w:val="24"/>
          <w:lang w:val="en-IE"/>
        </w:rPr>
        <w:t xml:space="preserve">Amendments to </w:t>
      </w:r>
      <w:r>
        <w:rPr>
          <w:iCs/>
          <w:noProof/>
        </w:rPr>
        <w:t>Regulation (EU) 2018/1724</w:t>
      </w:r>
    </w:p>
    <w:p w14:paraId="246B35DC" w14:textId="77777777" w:rsidR="0018143B" w:rsidRDefault="0091075B">
      <w:pPr>
        <w:rPr>
          <w:noProof/>
          <w:szCs w:val="24"/>
        </w:rPr>
      </w:pPr>
      <w:r>
        <w:rPr>
          <w:noProof/>
          <w:szCs w:val="24"/>
        </w:rPr>
        <w:t>Regulation (EU) 2018/1724 is amended as follows:</w:t>
      </w:r>
    </w:p>
    <w:p w14:paraId="3FFE00DA" w14:textId="7E277B14" w:rsidR="0018143B" w:rsidRDefault="0004054D" w:rsidP="0004054D">
      <w:pPr>
        <w:pStyle w:val="Point0"/>
        <w:rPr>
          <w:noProof/>
        </w:rPr>
      </w:pPr>
      <w:r w:rsidRPr="0004054D">
        <w:t>(1)</w:t>
      </w:r>
      <w:r w:rsidRPr="0004054D">
        <w:tab/>
      </w:r>
      <w:r w:rsidR="0091075B">
        <w:rPr>
          <w:noProof/>
          <w:lang w:val="en-IE"/>
        </w:rPr>
        <w:t>in Annex I, in point ‘J. Starting, running and closing a business’, the following point (12) is added:</w:t>
      </w:r>
    </w:p>
    <w:p w14:paraId="0E73936D" w14:textId="77777777" w:rsidR="0018143B" w:rsidRDefault="0091075B">
      <w:pPr>
        <w:pStyle w:val="Text1"/>
        <w:rPr>
          <w:noProof/>
        </w:rPr>
      </w:pPr>
      <w:r>
        <w:rPr>
          <w:noProof/>
        </w:rPr>
        <w:t xml:space="preserve">‘12. </w:t>
      </w:r>
      <w:r>
        <w:rPr>
          <w:noProof/>
          <w:lang w:val="en-IE"/>
        </w:rPr>
        <w:t>transparency of interest representation’;</w:t>
      </w:r>
    </w:p>
    <w:p w14:paraId="02EB631D" w14:textId="4A10B61E" w:rsidR="0018143B" w:rsidRDefault="0004054D" w:rsidP="0004054D">
      <w:pPr>
        <w:pStyle w:val="Point0"/>
        <w:rPr>
          <w:noProof/>
        </w:rPr>
      </w:pPr>
      <w:r w:rsidRPr="0004054D">
        <w:t>(2)</w:t>
      </w:r>
      <w:r w:rsidRPr="0004054D">
        <w:tab/>
      </w:r>
      <w:r w:rsidR="0091075B">
        <w:rPr>
          <w:noProof/>
          <w:lang w:val="en-IE"/>
        </w:rPr>
        <w:t xml:space="preserve">in Annex II, the table is amended as follows: </w:t>
      </w:r>
    </w:p>
    <w:p w14:paraId="1B4610F3" w14:textId="639E46D8" w:rsidR="0018143B" w:rsidRDefault="0004054D" w:rsidP="0004054D">
      <w:pPr>
        <w:pStyle w:val="Point1"/>
        <w:rPr>
          <w:noProof/>
        </w:rPr>
      </w:pPr>
      <w:r w:rsidRPr="0004054D">
        <w:t>(a)</w:t>
      </w:r>
      <w:r w:rsidRPr="0004054D">
        <w:tab/>
      </w:r>
      <w:r w:rsidR="0091075B">
        <w:rPr>
          <w:noProof/>
          <w:lang w:val="en-IE"/>
        </w:rPr>
        <w:t>the following field is added to the second column ‘Procedures’:</w:t>
      </w:r>
    </w:p>
    <w:p w14:paraId="6A0503B5" w14:textId="77777777" w:rsidR="0018143B" w:rsidRDefault="0091075B">
      <w:pPr>
        <w:pStyle w:val="Text2"/>
        <w:rPr>
          <w:noProof/>
          <w:szCs w:val="24"/>
          <w:lang w:val="en-IE"/>
        </w:rPr>
      </w:pPr>
      <w:r>
        <w:rPr>
          <w:noProof/>
          <w:lang w:val="en-IE"/>
        </w:rPr>
        <w:t>‘Registration of interest representation in accordance with Directive (EU) XXXX/XXXX</w:t>
      </w:r>
      <w:r>
        <w:rPr>
          <w:noProof/>
          <w:szCs w:val="24"/>
          <w:lang w:val="en-IE"/>
        </w:rPr>
        <w:t>*</w:t>
      </w:r>
    </w:p>
    <w:p w14:paraId="5D6C27E5" w14:textId="77777777" w:rsidR="0018143B" w:rsidRDefault="0091075B">
      <w:pPr>
        <w:pStyle w:val="Text2"/>
        <w:rPr>
          <w:noProof/>
          <w:lang w:val="en-IE"/>
        </w:rPr>
      </w:pPr>
      <w:r>
        <w:rPr>
          <w:noProof/>
          <w:lang w:val="en-IE"/>
        </w:rPr>
        <w:t>____________________</w:t>
      </w:r>
    </w:p>
    <w:p w14:paraId="194360AC" w14:textId="77777777" w:rsidR="0018143B" w:rsidRDefault="0091075B">
      <w:pPr>
        <w:pStyle w:val="Text2"/>
        <w:rPr>
          <w:noProof/>
        </w:rPr>
      </w:pPr>
      <w:r>
        <w:rPr>
          <w:noProof/>
          <w:szCs w:val="24"/>
          <w:lang w:val="en-IE"/>
        </w:rPr>
        <w:t>* Directive (EU) XXXX/XXXX of the European Parliament and of the Council of XXXX establishing harmonised requirements in the internal market on transparency of interest representation carried out on behalf of third countries and amending Directive (EU) 2019/1937 (</w:t>
      </w:r>
      <w:r>
        <w:rPr>
          <w:noProof/>
        </w:rPr>
        <w:t>OJ L […], […], p. […], ELI: …</w:t>
      </w:r>
      <w:r>
        <w:rPr>
          <w:noProof/>
          <w:szCs w:val="24"/>
          <w:lang w:val="en-IE"/>
        </w:rPr>
        <w:t>).</w:t>
      </w:r>
      <w:r>
        <w:rPr>
          <w:noProof/>
          <w:lang w:val="en-IE"/>
        </w:rPr>
        <w:t xml:space="preserve">’; </w:t>
      </w:r>
    </w:p>
    <w:p w14:paraId="48E07037" w14:textId="139559AF" w:rsidR="0018143B" w:rsidRDefault="0004054D" w:rsidP="0004054D">
      <w:pPr>
        <w:pStyle w:val="Point1"/>
        <w:rPr>
          <w:noProof/>
        </w:rPr>
      </w:pPr>
      <w:r w:rsidRPr="0004054D">
        <w:t>(b)</w:t>
      </w:r>
      <w:r w:rsidRPr="0004054D">
        <w:tab/>
      </w:r>
      <w:r w:rsidR="0091075B">
        <w:rPr>
          <w:noProof/>
          <w:lang w:val="en-IE"/>
        </w:rPr>
        <w:t>the following field is added to the third column ‘Expected output subject to an assessment of the application by the competent authority in accordance with national law, where relevant’:</w:t>
      </w:r>
    </w:p>
    <w:p w14:paraId="653DBDA1" w14:textId="77777777" w:rsidR="0018143B" w:rsidRDefault="0091075B">
      <w:pPr>
        <w:pStyle w:val="Text2"/>
        <w:rPr>
          <w:noProof/>
        </w:rPr>
      </w:pPr>
      <w:r>
        <w:rPr>
          <w:noProof/>
          <w:lang w:val="en-IE"/>
        </w:rPr>
        <w:t xml:space="preserve">‘Confirmation of registration and issuance of the </w:t>
      </w:r>
      <w:r>
        <w:rPr>
          <w:noProof/>
          <w:szCs w:val="24"/>
          <w:lang w:val="en-IE"/>
        </w:rPr>
        <w:t>European Interest Representation Number</w:t>
      </w:r>
      <w:r>
        <w:rPr>
          <w:noProof/>
          <w:lang w:val="en-IE"/>
        </w:rPr>
        <w:t>’.</w:t>
      </w:r>
    </w:p>
    <w:p w14:paraId="0CA0A68D" w14:textId="77777777" w:rsidR="0018143B" w:rsidRDefault="0091075B">
      <w:pPr>
        <w:pStyle w:val="Titrearticle"/>
        <w:rPr>
          <w:noProof/>
        </w:rPr>
      </w:pPr>
      <w:r>
        <w:rPr>
          <w:noProof/>
        </w:rPr>
        <w:t>Article 3</w:t>
      </w:r>
      <w:r>
        <w:rPr>
          <w:noProof/>
        </w:rPr>
        <w:br/>
        <w:t>Entry into force</w:t>
      </w:r>
    </w:p>
    <w:p w14:paraId="11A31BA1" w14:textId="0134D689" w:rsidR="00AA2D34" w:rsidRDefault="0091075B">
      <w:pPr>
        <w:rPr>
          <w:noProof/>
        </w:rPr>
      </w:pPr>
      <w:r>
        <w:rPr>
          <w:noProof/>
        </w:rPr>
        <w:t xml:space="preserve">This Regulation shall enter into force on the twentieth day following that of its publication in the </w:t>
      </w:r>
      <w:r>
        <w:rPr>
          <w:i/>
          <w:noProof/>
        </w:rPr>
        <w:t>Official Journal of the European Union</w:t>
      </w:r>
      <w:r>
        <w:rPr>
          <w:noProof/>
        </w:rPr>
        <w:t>.</w:t>
      </w:r>
    </w:p>
    <w:p w14:paraId="5E099720" w14:textId="77777777" w:rsidR="0018143B" w:rsidRDefault="0091075B">
      <w:pPr>
        <w:pStyle w:val="Applicationdirecte"/>
        <w:rPr>
          <w:noProof/>
        </w:rPr>
      </w:pPr>
      <w:r>
        <w:rPr>
          <w:noProof/>
        </w:rPr>
        <w:t>This Regulation shall be binding in its entirety and directly applicable in all Member States.</w:t>
      </w:r>
    </w:p>
    <w:p w14:paraId="30F784F6" w14:textId="587F2B2A" w:rsidR="0018143B" w:rsidRDefault="00902CBF" w:rsidP="00902CBF">
      <w:pPr>
        <w:pStyle w:val="Fait"/>
        <w:rPr>
          <w:noProof/>
        </w:rPr>
      </w:pPr>
      <w:r w:rsidRPr="00902CBF">
        <w:t>Done at Strasbourg,</w:t>
      </w:r>
    </w:p>
    <w:p w14:paraId="22B49F25" w14:textId="77777777" w:rsidR="0018143B" w:rsidRDefault="0091075B" w:rsidP="0052531F">
      <w:pPr>
        <w:pStyle w:val="Institutionquisigne"/>
        <w:rPr>
          <w:noProof/>
        </w:rPr>
      </w:pPr>
      <w:r>
        <w:rPr>
          <w:noProof/>
        </w:rPr>
        <w:t>For the European Parliament</w:t>
      </w:r>
      <w:r>
        <w:rPr>
          <w:noProof/>
        </w:rPr>
        <w:tab/>
        <w:t>For the Council</w:t>
      </w:r>
    </w:p>
    <w:p w14:paraId="064A16C0" w14:textId="77777777" w:rsidR="0018143B" w:rsidRDefault="0091075B">
      <w:pPr>
        <w:pStyle w:val="Personnequisigne"/>
        <w:rPr>
          <w:noProof/>
        </w:rPr>
      </w:pPr>
      <w:r>
        <w:rPr>
          <w:noProof/>
        </w:rPr>
        <w:t>The President</w:t>
      </w:r>
      <w:r>
        <w:rPr>
          <w:noProof/>
        </w:rPr>
        <w:tab/>
        <w:t>The President</w:t>
      </w:r>
    </w:p>
    <w:sectPr w:rsidR="0018143B" w:rsidSect="00902CBF">
      <w:footnotePr>
        <w:numRestart w:val="eachSect"/>
      </w:footnote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39EE0" w14:textId="77777777" w:rsidR="0018143B" w:rsidRDefault="0091075B">
      <w:pPr>
        <w:spacing w:before="0" w:after="0"/>
      </w:pPr>
      <w:r>
        <w:separator/>
      </w:r>
    </w:p>
  </w:endnote>
  <w:endnote w:type="continuationSeparator" w:id="0">
    <w:p w14:paraId="38CC1676" w14:textId="77777777" w:rsidR="0018143B" w:rsidRDefault="0091075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772BA" w14:textId="1B2EA58D" w:rsidR="00902CBF" w:rsidRPr="00902CBF" w:rsidRDefault="00902CBF" w:rsidP="00902CBF">
    <w:pPr>
      <w:pStyle w:val="Footer"/>
      <w:rPr>
        <w:rFonts w:ascii="Arial" w:hAnsi="Arial" w:cs="Arial"/>
        <w:b/>
        <w:sz w:val="48"/>
      </w:rPr>
    </w:pPr>
    <w:r w:rsidRPr="00902CBF">
      <w:rPr>
        <w:rFonts w:ascii="Arial" w:hAnsi="Arial" w:cs="Arial"/>
        <w:b/>
        <w:sz w:val="48"/>
      </w:rPr>
      <w:t>EN</w:t>
    </w:r>
    <w:r w:rsidRPr="00902CBF">
      <w:rPr>
        <w:rFonts w:ascii="Arial" w:hAnsi="Arial" w:cs="Arial"/>
        <w:b/>
        <w:sz w:val="48"/>
      </w:rPr>
      <w:tab/>
    </w:r>
    <w:r w:rsidRPr="00902CBF">
      <w:rPr>
        <w:rFonts w:ascii="Arial" w:hAnsi="Arial" w:cs="Arial"/>
        <w:b/>
        <w:sz w:val="48"/>
      </w:rPr>
      <w:tab/>
    </w:r>
    <w:r w:rsidRPr="00902CBF">
      <w:tab/>
    </w:r>
    <w:r w:rsidRPr="00902CBF">
      <w:rPr>
        <w:rFonts w:ascii="Arial" w:hAnsi="Arial" w:cs="Arial"/>
        <w:b/>
        <w:sz w:val="48"/>
      </w:rPr>
      <w:t>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7D4C5" w14:textId="340A8B4A" w:rsidR="00C554FC" w:rsidRPr="00902CBF" w:rsidRDefault="00902CBF" w:rsidP="00902CBF">
    <w:pPr>
      <w:pStyle w:val="Footer"/>
      <w:rPr>
        <w:rFonts w:ascii="Arial" w:hAnsi="Arial" w:cs="Arial"/>
        <w:b/>
        <w:sz w:val="48"/>
      </w:rPr>
    </w:pPr>
    <w:r w:rsidRPr="00902CBF">
      <w:rPr>
        <w:rFonts w:ascii="Arial" w:hAnsi="Arial" w:cs="Arial"/>
        <w:b/>
        <w:sz w:val="48"/>
      </w:rPr>
      <w:t>EN</w:t>
    </w:r>
    <w:r w:rsidRPr="00902CBF">
      <w:rPr>
        <w:rFonts w:ascii="Arial" w:hAnsi="Arial" w:cs="Arial"/>
        <w:b/>
        <w:sz w:val="48"/>
      </w:rPr>
      <w:tab/>
    </w:r>
    <w:r w:rsidRPr="00902CBF">
      <w:rPr>
        <w:rFonts w:ascii="Arial" w:hAnsi="Arial" w:cs="Arial"/>
        <w:b/>
        <w:sz w:val="48"/>
      </w:rPr>
      <w:tab/>
    </w:r>
    <w:r w:rsidRPr="00902CBF">
      <w:tab/>
    </w:r>
    <w:r w:rsidRPr="00902CBF">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B33F4" w14:textId="77777777" w:rsidR="00902CBF" w:rsidRPr="00902CBF" w:rsidRDefault="00902CBF" w:rsidP="00902CB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3F237" w14:textId="282BD638" w:rsidR="00902CBF" w:rsidRPr="00902CBF" w:rsidRDefault="00902CBF" w:rsidP="00902CBF">
    <w:pPr>
      <w:pStyle w:val="Footer"/>
      <w:rPr>
        <w:rFonts w:ascii="Arial" w:hAnsi="Arial" w:cs="Arial"/>
        <w:b/>
        <w:sz w:val="48"/>
      </w:rPr>
    </w:pPr>
    <w:r w:rsidRPr="00902CBF">
      <w:rPr>
        <w:rFonts w:ascii="Arial" w:hAnsi="Arial" w:cs="Arial"/>
        <w:b/>
        <w:sz w:val="48"/>
      </w:rPr>
      <w:t>EN</w:t>
    </w:r>
    <w:r w:rsidRPr="00902CBF">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902CBF">
      <w:tab/>
    </w:r>
    <w:r w:rsidRPr="00902CBF">
      <w:rPr>
        <w:rFonts w:ascii="Arial" w:hAnsi="Arial" w:cs="Arial"/>
        <w:b/>
        <w:sz w:val="48"/>
      </w:rPr>
      <w:t>EN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D0A79" w14:textId="77777777" w:rsidR="00902CBF" w:rsidRPr="00902CBF" w:rsidRDefault="00902CBF" w:rsidP="00902C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EE310" w14:textId="77777777" w:rsidR="0018143B" w:rsidRDefault="0091075B">
      <w:pPr>
        <w:spacing w:before="0" w:after="0"/>
      </w:pPr>
      <w:r>
        <w:separator/>
      </w:r>
    </w:p>
  </w:footnote>
  <w:footnote w:type="continuationSeparator" w:id="0">
    <w:p w14:paraId="5DCA2722" w14:textId="77777777" w:rsidR="0018143B" w:rsidRDefault="0091075B">
      <w:pPr>
        <w:spacing w:before="0" w:after="0"/>
      </w:pPr>
      <w:r>
        <w:continuationSeparator/>
      </w:r>
    </w:p>
  </w:footnote>
  <w:footnote w:id="1">
    <w:p w14:paraId="0FA76292" w14:textId="35D6B1AD" w:rsidR="00E1507C" w:rsidRPr="00360678" w:rsidRDefault="00E1507C">
      <w:pPr>
        <w:pStyle w:val="FootnoteText"/>
        <w:rPr>
          <w:lang w:val="en-IE"/>
        </w:rPr>
      </w:pPr>
      <w:r>
        <w:rPr>
          <w:rStyle w:val="FootnoteReference"/>
        </w:rPr>
        <w:footnoteRef/>
      </w:r>
      <w:r w:rsidRPr="00360678">
        <w:rPr>
          <w:lang w:val="en-IE"/>
        </w:rPr>
        <w:tab/>
      </w:r>
      <w:r>
        <w:rPr>
          <w:rFonts w:eastAsia="Arial Unicode MS"/>
        </w:rPr>
        <w:t>COM(2023) 637 final.</w:t>
      </w:r>
    </w:p>
  </w:footnote>
  <w:footnote w:id="2">
    <w:p w14:paraId="40B05D37" w14:textId="77777777" w:rsidR="00E1507C" w:rsidRDefault="00E1507C" w:rsidP="00E1507C">
      <w:pPr>
        <w:pStyle w:val="FootnoteText"/>
      </w:pPr>
      <w:r>
        <w:rPr>
          <w:rStyle w:val="FootnoteReference"/>
        </w:rPr>
        <w:footnoteRef/>
      </w:r>
      <w:r>
        <w:tab/>
        <w:t>Regulation</w:t>
      </w:r>
      <w:r>
        <w:rPr>
          <w:lang w:val="en-US"/>
        </w:rPr>
        <w:t xml:space="preserve"> (EU) No 1024/2012 of the European Parliament and of the Council of 25 October 2012 on administrative cooperation through the Internal Market Information System and repealing Commission Decision 2008/49/EC (‘the IMI Regulation’) </w:t>
      </w:r>
      <w:r>
        <w:t>(</w:t>
      </w:r>
      <w:r>
        <w:rPr>
          <w:lang w:val="en-US"/>
        </w:rPr>
        <w:t xml:space="preserve">OJ L 316, 14.11.2012, p. 1, </w:t>
      </w:r>
      <w:r>
        <w:t>ELI: </w:t>
      </w:r>
      <w:hyperlink r:id="rId1" w:tooltip="Gives access to this document through its ELI URI." w:history="1">
        <w:r>
          <w:rPr>
            <w:rStyle w:val="Hyperlink"/>
          </w:rPr>
          <w:t>http://data.europa.eu/eli/reg/2012/1024/oj</w:t>
        </w:r>
      </w:hyperlink>
      <w:r>
        <w:t>).</w:t>
      </w:r>
    </w:p>
  </w:footnote>
  <w:footnote w:id="3">
    <w:p w14:paraId="6205CD14" w14:textId="77777777" w:rsidR="00E1507C" w:rsidRDefault="00E1507C" w:rsidP="00E1507C">
      <w:pPr>
        <w:pStyle w:val="FootnoteText"/>
        <w:rPr>
          <w:lang w:val="en-IE"/>
        </w:rPr>
      </w:pPr>
      <w:r>
        <w:rPr>
          <w:rStyle w:val="FootnoteReference"/>
        </w:rPr>
        <w:footnoteRef/>
      </w:r>
      <w:r>
        <w:rPr>
          <w:lang w:val="en-IE"/>
        </w:rPr>
        <w:tab/>
        <w:t xml:space="preserve">Regulation (EU) 2018/1724 of the European Parliament and of the Council of 2 October 2018 </w:t>
      </w:r>
      <w:r>
        <w:rPr>
          <w:lang w:val="en-US"/>
        </w:rPr>
        <w:t>establishing</w:t>
      </w:r>
      <w:r>
        <w:rPr>
          <w:lang w:val="en-IE"/>
        </w:rPr>
        <w:t xml:space="preserve"> a single digital gateway to provide access to information, to procedures and to assistance and problem-solving services and amending Regulation (EU) No 1024/2012 (OJ L 295, 21.11.2018, p. 1, </w:t>
      </w:r>
      <w:r>
        <w:t>ELI: </w:t>
      </w:r>
      <w:hyperlink r:id="rId2" w:tooltip="Gives access to this document through its ELI URI." w:history="1">
        <w:r>
          <w:rPr>
            <w:rStyle w:val="Hyperlink"/>
          </w:rPr>
          <w:t>http://data.europa.eu/eli/reg/2018/1724/oj</w:t>
        </w:r>
      </w:hyperlink>
      <w:r>
        <w:rPr>
          <w:lang w:val="en-IE"/>
        </w:rPr>
        <w:t>).</w:t>
      </w:r>
    </w:p>
  </w:footnote>
  <w:footnote w:id="4">
    <w:p w14:paraId="2BA6C951" w14:textId="68C75277" w:rsidR="00360678" w:rsidRPr="00D96B8C" w:rsidRDefault="00360678">
      <w:pPr>
        <w:pStyle w:val="FootnoteText"/>
        <w:rPr>
          <w:lang w:val="en-IE"/>
        </w:rPr>
      </w:pPr>
      <w:r>
        <w:rPr>
          <w:rStyle w:val="FootnoteReference"/>
        </w:rPr>
        <w:footnoteRef/>
      </w:r>
      <w:r w:rsidRPr="00D96B8C">
        <w:rPr>
          <w:lang w:val="en-IE"/>
        </w:rPr>
        <w:tab/>
      </w:r>
      <w:r w:rsidR="00F01CEE" w:rsidRPr="00F01CEE">
        <w:rPr>
          <w:lang w:val="en-IE"/>
        </w:rPr>
        <w:t>SWD(2023) 663</w:t>
      </w:r>
      <w:r w:rsidR="00C42EE3" w:rsidRPr="00D96B8C">
        <w:rPr>
          <w:lang w:val="en-IE"/>
        </w:rPr>
        <w:t>.</w:t>
      </w:r>
    </w:p>
  </w:footnote>
  <w:footnote w:id="5">
    <w:p w14:paraId="00F93F93" w14:textId="77777777" w:rsidR="0018143B" w:rsidRDefault="0091075B">
      <w:pPr>
        <w:pStyle w:val="FootnoteText"/>
      </w:pPr>
      <w:r>
        <w:rPr>
          <w:rStyle w:val="FootnoteReference"/>
        </w:rPr>
        <w:footnoteRef/>
      </w:r>
      <w:r>
        <w:tab/>
        <w:t>OJ C […], […], p. […].</w:t>
      </w:r>
    </w:p>
  </w:footnote>
  <w:footnote w:id="6">
    <w:p w14:paraId="75089795" w14:textId="77777777" w:rsidR="0018143B" w:rsidRDefault="0091075B">
      <w:pPr>
        <w:pStyle w:val="FootnoteText"/>
      </w:pPr>
      <w:r>
        <w:rPr>
          <w:rStyle w:val="FootnoteReference"/>
        </w:rPr>
        <w:footnoteRef/>
      </w:r>
      <w:r>
        <w:tab/>
        <w:t>OJ C […], […], p. […].</w:t>
      </w:r>
    </w:p>
  </w:footnote>
  <w:footnote w:id="7">
    <w:p w14:paraId="65AC1D46" w14:textId="77777777" w:rsidR="0018143B" w:rsidRDefault="0091075B">
      <w:pPr>
        <w:pStyle w:val="FootnoteText"/>
      </w:pPr>
      <w:r>
        <w:rPr>
          <w:rStyle w:val="FootnoteReference"/>
        </w:rPr>
        <w:footnoteRef/>
      </w:r>
      <w:r>
        <w:tab/>
        <w:t xml:space="preserve">Directive (EU) XXXX/XXXX of the European Parliament and of the Council </w:t>
      </w:r>
      <w:r>
        <w:rPr>
          <w:lang w:val="en-IE"/>
        </w:rPr>
        <w:t>European Parliament and of the Council of XXXX establishing harmonised requirements in the internal market on transparency of interest representation carried out on behalf of third countries and amending Directive (EU) 2019/1937 (</w:t>
      </w:r>
      <w:r>
        <w:t>OJ L […], […], p. […], ELI: …</w:t>
      </w:r>
      <w:r>
        <w:rPr>
          <w:lang w:val="en-IE"/>
        </w:rPr>
        <w:t>).</w:t>
      </w:r>
    </w:p>
  </w:footnote>
  <w:footnote w:id="8">
    <w:p w14:paraId="16EBEC43" w14:textId="77777777" w:rsidR="0018143B" w:rsidRDefault="0091075B">
      <w:pPr>
        <w:pStyle w:val="FootnoteText"/>
      </w:pPr>
      <w:r>
        <w:rPr>
          <w:rStyle w:val="FootnoteReference"/>
        </w:rPr>
        <w:footnoteRef/>
      </w:r>
      <w:r>
        <w:tab/>
        <w:t>Regulation</w:t>
      </w:r>
      <w:r>
        <w:rPr>
          <w:lang w:val="en-US"/>
        </w:rPr>
        <w:t xml:space="preserve"> (EU) No 1024/2012 of the European Parliament and of the Council of 25 October 2012 on administrative cooperation through the Internal Market Information System and repealing Commission Decision 2008/49/EC (‘the IMI Regulation’) </w:t>
      </w:r>
      <w:r>
        <w:t>(</w:t>
      </w:r>
      <w:r>
        <w:rPr>
          <w:lang w:val="en-US"/>
        </w:rPr>
        <w:t xml:space="preserve">OJ L 316, 14.11.2012, p. 1, </w:t>
      </w:r>
      <w:r>
        <w:t>ELI: </w:t>
      </w:r>
      <w:hyperlink r:id="rId3" w:tooltip="Gives access to this document through its ELI URI." w:history="1">
        <w:r>
          <w:rPr>
            <w:rStyle w:val="Hyperlink"/>
          </w:rPr>
          <w:t>http://data.europa.eu/eli/reg/2012/1024/oj</w:t>
        </w:r>
      </w:hyperlink>
      <w:r>
        <w:t>).</w:t>
      </w:r>
    </w:p>
  </w:footnote>
  <w:footnote w:id="9">
    <w:p w14:paraId="73D3740B" w14:textId="77777777" w:rsidR="0018143B" w:rsidRDefault="0091075B">
      <w:pPr>
        <w:pStyle w:val="FootnoteText"/>
        <w:rPr>
          <w:lang w:val="en-IE"/>
        </w:rPr>
      </w:pPr>
      <w:r>
        <w:rPr>
          <w:rStyle w:val="FootnoteReference"/>
        </w:rPr>
        <w:footnoteRef/>
      </w:r>
      <w:r>
        <w:rPr>
          <w:lang w:val="en-IE"/>
        </w:rPr>
        <w:tab/>
        <w:t xml:space="preserve">Regulation (EU) 2018/1724 of the European Parliament and of the Council of 2 October 2018 </w:t>
      </w:r>
      <w:r>
        <w:rPr>
          <w:lang w:val="en-US"/>
        </w:rPr>
        <w:t>establishing</w:t>
      </w:r>
      <w:r>
        <w:rPr>
          <w:lang w:val="en-IE"/>
        </w:rPr>
        <w:t xml:space="preserve"> a single digital gateway to provide access to information, to procedures and to assistance and problem-solving services and amending Regulation (EU) No 1024/2012 (OJ L 295, 21.11.2018, p. 1, </w:t>
      </w:r>
      <w:r>
        <w:t>ELI: </w:t>
      </w:r>
      <w:hyperlink r:id="rId4" w:tooltip="Gives access to this document through its ELI URI." w:history="1">
        <w:r>
          <w:rPr>
            <w:rStyle w:val="Hyperlink"/>
          </w:rPr>
          <w:t>http://data.europa.eu/eli/reg/2018/1724/oj</w:t>
        </w:r>
      </w:hyperlink>
      <w:r>
        <w:rPr>
          <w:lang w:val="en-I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0DAB6" w14:textId="77777777" w:rsidR="00902CBF" w:rsidRPr="00902CBF" w:rsidRDefault="00902CBF" w:rsidP="00902C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3F9B3" w14:textId="77777777" w:rsidR="00902CBF" w:rsidRPr="00902CBF" w:rsidRDefault="00902CBF" w:rsidP="00902C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74808" w14:textId="77777777" w:rsidR="00902CBF" w:rsidRPr="00902CBF" w:rsidRDefault="00902CBF" w:rsidP="00902C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9B36D356"/>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1E38D17C"/>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CE58AE3A"/>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55506126"/>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0"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3"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4"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6"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8"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16cid:durableId="29234423">
    <w:abstractNumId w:val="18"/>
    <w:lvlOverride w:ilvl="0">
      <w:startOverride w:val="1"/>
    </w:lvlOverride>
  </w:num>
  <w:num w:numId="2" w16cid:durableId="335888824">
    <w:abstractNumId w:val="3"/>
  </w:num>
  <w:num w:numId="3" w16cid:durableId="1755391483">
    <w:abstractNumId w:val="2"/>
  </w:num>
  <w:num w:numId="4" w16cid:durableId="350374214">
    <w:abstractNumId w:val="1"/>
  </w:num>
  <w:num w:numId="5" w16cid:durableId="1887445916">
    <w:abstractNumId w:val="0"/>
  </w:num>
  <w:num w:numId="6" w16cid:durableId="1378414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50530880">
    <w:abstractNumId w:val="15"/>
  </w:num>
  <w:num w:numId="8" w16cid:durableId="1040547624">
    <w:abstractNumId w:val="8"/>
  </w:num>
  <w:num w:numId="9" w16cid:durableId="1829133555">
    <w:abstractNumId w:val="17"/>
  </w:num>
  <w:num w:numId="10" w16cid:durableId="153451435">
    <w:abstractNumId w:val="7"/>
  </w:num>
  <w:num w:numId="11" w16cid:durableId="541132715">
    <w:abstractNumId w:val="9"/>
  </w:num>
  <w:num w:numId="12" w16cid:durableId="1515612334">
    <w:abstractNumId w:val="10"/>
  </w:num>
  <w:num w:numId="13" w16cid:durableId="116415876">
    <w:abstractNumId w:val="5"/>
  </w:num>
  <w:num w:numId="14" w16cid:durableId="1333415771">
    <w:abstractNumId w:val="16"/>
  </w:num>
  <w:num w:numId="15" w16cid:durableId="1822457302">
    <w:abstractNumId w:val="4"/>
  </w:num>
  <w:num w:numId="16" w16cid:durableId="912734482">
    <w:abstractNumId w:val="11"/>
  </w:num>
  <w:num w:numId="17" w16cid:durableId="1181318445">
    <w:abstractNumId w:val="13"/>
  </w:num>
  <w:num w:numId="18" w16cid:durableId="595409693">
    <w:abstractNumId w:val="14"/>
  </w:num>
  <w:num w:numId="19" w16cid:durableId="1395201077">
    <w:abstractNumId w:val="6"/>
  </w:num>
  <w:num w:numId="20" w16cid:durableId="914434051">
    <w:abstractNumId w:val="12"/>
  </w:num>
  <w:num w:numId="21" w16cid:durableId="1780292610">
    <w:abstractNumId w:val="18"/>
  </w:num>
  <w:num w:numId="22" w16cid:durableId="797602666">
    <w:abstractNumId w:val="15"/>
  </w:num>
  <w:num w:numId="23" w16cid:durableId="2087802016">
    <w:abstractNumId w:val="8"/>
  </w:num>
  <w:num w:numId="24" w16cid:durableId="705910329">
    <w:abstractNumId w:val="17"/>
  </w:num>
  <w:num w:numId="25" w16cid:durableId="2142267986">
    <w:abstractNumId w:val="7"/>
  </w:num>
  <w:num w:numId="26" w16cid:durableId="912619643">
    <w:abstractNumId w:val="9"/>
  </w:num>
  <w:num w:numId="27" w16cid:durableId="1977448754">
    <w:abstractNumId w:val="10"/>
  </w:num>
  <w:num w:numId="28" w16cid:durableId="1512792237">
    <w:abstractNumId w:val="5"/>
  </w:num>
  <w:num w:numId="29" w16cid:durableId="251401650">
    <w:abstractNumId w:val="16"/>
  </w:num>
  <w:num w:numId="30" w16cid:durableId="17052360">
    <w:abstractNumId w:val="4"/>
  </w:num>
  <w:num w:numId="31" w16cid:durableId="834564294">
    <w:abstractNumId w:val="11"/>
  </w:num>
  <w:num w:numId="32" w16cid:durableId="2111508735">
    <w:abstractNumId w:val="13"/>
  </w:num>
  <w:num w:numId="33" w16cid:durableId="1101412918">
    <w:abstractNumId w:val="14"/>
  </w:num>
  <w:num w:numId="34" w16cid:durableId="393233998">
    <w:abstractNumId w:val="6"/>
  </w:num>
  <w:num w:numId="35" w16cid:durableId="836923705">
    <w:abstractNumId w:val="12"/>
  </w:num>
  <w:num w:numId="36" w16cid:durableId="708920783">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77"/>
  <w:removeDateAndTime/>
  <w:hideSpellingErrors/>
  <w:hideGrammaticalErrors/>
  <w:proofState w:spelling="clean" w:grammar="clean"/>
  <w:attachedTemplate r:id="rId1"/>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R_RefLast" w:val="0"/>
    <w:docVar w:name="DQCDateTime" w:val="2023-12-04 18:04:48"/>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Yellow"/>
    <w:docVar w:name="DQCVersion" w:val="3"/>
    <w:docVar w:name="DQCWithWarnings" w:val="0"/>
    <w:docVar w:name="LW_CORRIGENDUM" w:val="&lt;UNUSED&gt;"/>
    <w:docVar w:name="LW_COVERPAGE_EXISTS" w:val="True"/>
    <w:docVar w:name="LW_COVERPAGE_GUID" w:val="47818909-7982-4138-9196-D8C3A16B4DD8"/>
    <w:docVar w:name="LW_COVERPAGE_TYPE" w:val="1"/>
    <w:docVar w:name="LW_CROSSREFERENCE" w:val="{SWD(2023) 663-664 final}_x000a_{SEC(2023) 637 final}"/>
    <w:docVar w:name="LW_DocType" w:val="COM"/>
    <w:docVar w:name="LW_EMISSION" w:val="12.12.2023"/>
    <w:docVar w:name="LW_EMISSION_ISODATE" w:val="2023-12-12"/>
    <w:docVar w:name="LW_EMISSION_LOCATION" w:val="STR"/>
    <w:docVar w:name="LW_EMISSION_PREFIX" w:val="Strasbourg, "/>
    <w:docVar w:name="LW_EMISSION_SUFFIX" w:val=" "/>
    <w:docVar w:name="LW_ID_DOCMODEL" w:val="SJ-023"/>
    <w:docVar w:name="LW_ID_DOCSIGNATURE" w:val="SJ-023"/>
    <w:docVar w:name="LW_ID_DOCSTRUCTURE" w:val="COM/PL/ORG"/>
    <w:docVar w:name="LW_ID_DOCTYPE" w:val="SJ-023"/>
    <w:docVar w:name="LW_ID_STATUT" w:val="SJ-023"/>
    <w:docVar w:name="LW_INSERT_EXP.MOTIFS.NEW" w:val="1"/>
    <w:docVar w:name="LW_INTERETEEE.CP" w:val="(Text with EEA relevance)"/>
    <w:docVar w:name="LW_LANGUE" w:val="EN"/>
    <w:docVar w:name="LW_LEVEL_OF_SENSITIVITY" w:val="Standard treatment"/>
    <w:docVar w:name="LW_NOM.INST" w:val="EUROPEAN COMMISSION"/>
    <w:docVar w:name="LW_NOM.INST_JOINTDOC" w:val="&lt;EMPTY&gt;"/>
    <w:docVar w:name="LW_PART_NBR" w:val="1"/>
    <w:docVar w:name="LW_PART_NBR_TOTAL" w:val="1"/>
    <w:docVar w:name="LW_REF.II.NEW.CP" w:val="COD"/>
    <w:docVar w:name="LW_REF.II.NEW.CP_NUMBER" w:val="0462"/>
    <w:docVar w:name="LW_REF.II.NEW.CP_YEAR" w:val="2023"/>
    <w:docVar w:name="LW_REF.INST.NEW" w:val="COM"/>
    <w:docVar w:name="LW_REF.INST.NEW_ADOPTED" w:val="final"/>
    <w:docVar w:name="LW_REF.INST.NEW_TEXT" w:val="(2023) 636"/>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roposal for a"/>
    <w:docVar w:name="LW_SUPERTITRE" w:val="&lt;UNUSED&gt;"/>
    <w:docVar w:name="LW_TITRE.OBJ.CP" w:val="amending Regulations (EU) No 1024/2012 and (EU) 2018/1724 as regards certain requirements laid down by Directive (EU) XXXX/XXXX"/>
    <w:docVar w:name="LW_TYPE.DOC.CP" w:val="REGULATION OF THE EUROPEAN PARLIAMENT AND OF THE COUNCIL"/>
    <w:docVar w:name="LwApiVersions" w:val="LW4CoDe 1.23.2.0; LW 8.0, Build 20211117"/>
  </w:docVars>
  <w:rsids>
    <w:rsidRoot w:val="0018143B"/>
    <w:rsid w:val="0004054D"/>
    <w:rsid w:val="00066146"/>
    <w:rsid w:val="00074F44"/>
    <w:rsid w:val="000C05D2"/>
    <w:rsid w:val="000D0802"/>
    <w:rsid w:val="0018143B"/>
    <w:rsid w:val="001D6B0F"/>
    <w:rsid w:val="001E7018"/>
    <w:rsid w:val="00220901"/>
    <w:rsid w:val="0027108B"/>
    <w:rsid w:val="0028016E"/>
    <w:rsid w:val="002B4D05"/>
    <w:rsid w:val="00341F64"/>
    <w:rsid w:val="00360678"/>
    <w:rsid w:val="003C1337"/>
    <w:rsid w:val="00406706"/>
    <w:rsid w:val="00477B21"/>
    <w:rsid w:val="004A6A7E"/>
    <w:rsid w:val="004D6D62"/>
    <w:rsid w:val="004F7CC8"/>
    <w:rsid w:val="00502656"/>
    <w:rsid w:val="0052531F"/>
    <w:rsid w:val="0052547B"/>
    <w:rsid w:val="00531F24"/>
    <w:rsid w:val="0055711B"/>
    <w:rsid w:val="005B42C7"/>
    <w:rsid w:val="005C4501"/>
    <w:rsid w:val="006003EB"/>
    <w:rsid w:val="006A1C39"/>
    <w:rsid w:val="006B552F"/>
    <w:rsid w:val="006B5AFB"/>
    <w:rsid w:val="007014BE"/>
    <w:rsid w:val="007074CE"/>
    <w:rsid w:val="007257A4"/>
    <w:rsid w:val="00742D44"/>
    <w:rsid w:val="007516A1"/>
    <w:rsid w:val="00754448"/>
    <w:rsid w:val="00754C52"/>
    <w:rsid w:val="007C461E"/>
    <w:rsid w:val="00857A06"/>
    <w:rsid w:val="00902CBF"/>
    <w:rsid w:val="0091075B"/>
    <w:rsid w:val="009543A1"/>
    <w:rsid w:val="00A10B7D"/>
    <w:rsid w:val="00A17EF3"/>
    <w:rsid w:val="00A57005"/>
    <w:rsid w:val="00AA2D34"/>
    <w:rsid w:val="00AA69BB"/>
    <w:rsid w:val="00AF1B57"/>
    <w:rsid w:val="00BB0A82"/>
    <w:rsid w:val="00BE46AF"/>
    <w:rsid w:val="00C22C02"/>
    <w:rsid w:val="00C42EE3"/>
    <w:rsid w:val="00C554FC"/>
    <w:rsid w:val="00CC128E"/>
    <w:rsid w:val="00D96B8C"/>
    <w:rsid w:val="00DB2CE3"/>
    <w:rsid w:val="00DC322D"/>
    <w:rsid w:val="00DD206D"/>
    <w:rsid w:val="00E02455"/>
    <w:rsid w:val="00E1507C"/>
    <w:rsid w:val="00E676E0"/>
    <w:rsid w:val="00E70408"/>
    <w:rsid w:val="00E97A64"/>
    <w:rsid w:val="00EA6C72"/>
    <w:rsid w:val="00EB5853"/>
    <w:rsid w:val="00EB6A9C"/>
    <w:rsid w:val="00F01CEE"/>
    <w:rsid w:val="00FB008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51"/>
    <o:shapelayout v:ext="edit">
      <o:idmap v:ext="edit" data="2"/>
    </o:shapelayout>
  </w:shapeDefaults>
  <w:decimalSymbol w:val=","/>
  <w:listSeparator w:val=";"/>
  <w14:docId w14:val="05CBA4F2"/>
  <w15:docId w15:val="{20D04158-BE3C-4288-981F-EB94F8D71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pPr>
      <w:keepNext/>
      <w:numPr>
        <w:numId w:val="29"/>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29"/>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29"/>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29"/>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29"/>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29"/>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29"/>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Pr>
      <w:sz w:val="16"/>
      <w:szCs w:val="16"/>
    </w:rPr>
  </w:style>
  <w:style w:type="paragraph" w:styleId="CommentText">
    <w:name w:val="annotation text"/>
    <w:aliases w:val="Char2"/>
    <w:basedOn w:val="Normal"/>
    <w:link w:val="CommentTextChar"/>
    <w:uiPriority w:val="99"/>
    <w:unhideWhenUsed/>
    <w:pPr>
      <w:spacing w:before="0" w:after="160"/>
      <w:jc w:val="left"/>
    </w:pPr>
    <w:rPr>
      <w:rFonts w:asciiTheme="minorHAnsi" w:hAnsiTheme="minorHAnsi" w:cstheme="minorBidi"/>
      <w:sz w:val="20"/>
      <w:szCs w:val="20"/>
      <w:lang w:val="en-US"/>
    </w:rPr>
  </w:style>
  <w:style w:type="character" w:customStyle="1" w:styleId="CommentTextChar">
    <w:name w:val="Comment Text Char"/>
    <w:aliases w:val="Char2 Char"/>
    <w:basedOn w:val="DefaultParagraphFont"/>
    <w:link w:val="CommentText"/>
    <w:uiPriority w:val="99"/>
    <w:rPr>
      <w:sz w:val="20"/>
      <w:szCs w:val="20"/>
    </w:rPr>
  </w:style>
  <w:style w:type="character" w:customStyle="1" w:styleId="Text1Char">
    <w:name w:val="Text 1 Char"/>
    <w:basedOn w:val="DefaultParagraphFont"/>
    <w:locked/>
    <w:rPr>
      <w:rFonts w:ascii="Times New Roman" w:hAnsi="Times New Roman" w:cs="Times New Roman"/>
      <w:sz w:val="24"/>
      <w:lang w:val="en-GB"/>
    </w:rPr>
  </w:style>
  <w:style w:type="paragraph" w:customStyle="1" w:styleId="FootnotesymbolCharCharCharChar">
    <w:name w:val="Footnote symbol Char Char Char Char"/>
    <w:aliases w:val="Voetnootverwijzing Char Char Char Char,Times 10 Point Char Char Char Char,Exposant 3 Point Char Char Char Char,Footnote Reference Superscript Char Char Char Cha"/>
    <w:basedOn w:val="Normal"/>
    <w:link w:val="FootnoteReference"/>
    <w:uiPriority w:val="99"/>
    <w:pPr>
      <w:spacing w:before="0" w:after="160" w:line="240" w:lineRule="exact"/>
      <w:jc w:val="left"/>
    </w:pPr>
    <w:rPr>
      <w:rFonts w:asciiTheme="minorHAnsi" w:hAnsiTheme="minorHAnsi" w:cstheme="minorBidi"/>
      <w:sz w:val="22"/>
      <w:vertAlign w:val="superscript"/>
      <w:lang w:val="en-US"/>
    </w:rPr>
  </w:style>
  <w:style w:type="paragraph" w:customStyle="1" w:styleId="title-bold">
    <w:name w:val="title-bold"/>
    <w:basedOn w:val="Normal"/>
    <w:pPr>
      <w:spacing w:before="100" w:beforeAutospacing="1" w:after="100" w:afterAutospacing="1"/>
      <w:jc w:val="left"/>
    </w:pPr>
    <w:rPr>
      <w:rFonts w:eastAsia="Times New Roman"/>
      <w:szCs w:val="24"/>
      <w:lang w:val="en-IE" w:eastAsia="en-IE"/>
    </w:rPr>
  </w:style>
  <w:style w:type="character" w:styleId="Hyperlink">
    <w:name w:val="Hyperlink"/>
    <w:basedOn w:val="DefaultParagraphFont"/>
    <w:uiPriority w:val="99"/>
    <w:unhideWhenUsed/>
    <w:rPr>
      <w:color w:val="0000FF" w:themeColor="hyperlink"/>
      <w:u w:val="single"/>
    </w:rPr>
  </w:style>
  <w:style w:type="paragraph" w:styleId="CommentSubject">
    <w:name w:val="annotation subject"/>
    <w:basedOn w:val="CommentText"/>
    <w:next w:val="CommentText"/>
    <w:link w:val="CommentSubjectChar"/>
    <w:uiPriority w:val="99"/>
    <w:semiHidden/>
    <w:unhideWhenUsed/>
    <w:pPr>
      <w:spacing w:before="120" w:after="120"/>
      <w:jc w:val="both"/>
    </w:pPr>
    <w:rPr>
      <w:rFonts w:ascii="Times New Roman" w:hAnsi="Times New Roman" w:cs="Times New Roman"/>
      <w:b/>
      <w:bCs/>
      <w:lang w:val="en-GB"/>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en-GB"/>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Revision">
    <w:name w:val="Revision"/>
    <w:hidden/>
    <w:uiPriority w:val="99"/>
    <w:semiHidden/>
    <w:pPr>
      <w:spacing w:after="0" w:line="240" w:lineRule="auto"/>
    </w:pPr>
    <w:rPr>
      <w:rFonts w:ascii="Times New Roman" w:hAnsi="Times New Roman" w:cs="Times New Roman"/>
      <w:sz w:val="24"/>
      <w:lang w:val="en-GB"/>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en-GB"/>
    </w:rPr>
  </w:style>
  <w:style w:type="paragraph" w:styleId="ListBullet">
    <w:name w:val="List Bullet"/>
    <w:basedOn w:val="Normal"/>
    <w:uiPriority w:val="99"/>
    <w:semiHidden/>
    <w:unhideWhenUsed/>
    <w:pPr>
      <w:numPr>
        <w:numId w:val="2"/>
      </w:numPr>
      <w:contextualSpacing/>
    </w:pPr>
  </w:style>
  <w:style w:type="paragraph" w:styleId="ListBullet2">
    <w:name w:val="List Bullet 2"/>
    <w:basedOn w:val="Normal"/>
    <w:uiPriority w:val="99"/>
    <w:semiHidden/>
    <w:unhideWhenUsed/>
    <w:pPr>
      <w:numPr>
        <w:numId w:val="3"/>
      </w:numPr>
      <w:contextualSpacing/>
    </w:pPr>
  </w:style>
  <w:style w:type="paragraph" w:styleId="ListBullet3">
    <w:name w:val="List Bullet 3"/>
    <w:basedOn w:val="Normal"/>
    <w:uiPriority w:val="99"/>
    <w:semiHidden/>
    <w:unhideWhenUsed/>
    <w:pPr>
      <w:numPr>
        <w:numId w:val="4"/>
      </w:numPr>
      <w:contextualSpacing/>
    </w:pPr>
  </w:style>
  <w:style w:type="paragraph" w:styleId="ListBullet4">
    <w:name w:val="List Bullet 4"/>
    <w:basedOn w:val="Normal"/>
    <w:uiPriority w:val="99"/>
    <w:semiHidden/>
    <w:unhideWhenUsed/>
    <w:pPr>
      <w:numPr>
        <w:numId w:val="5"/>
      </w:numPr>
      <w:contextualSpacing/>
    </w:pPr>
  </w:style>
  <w:style w:type="character" w:customStyle="1" w:styleId="UnresolvedMention2">
    <w:name w:val="Unresolved Mention2"/>
    <w:basedOn w:val="DefaultParagraphFont"/>
    <w:uiPriority w:val="99"/>
    <w:semiHidden/>
    <w:unhideWhenUsed/>
    <w:rPr>
      <w:color w:val="605E5C"/>
      <w:shd w:val="clear" w:color="auto" w:fill="E1DFDD"/>
    </w:rPr>
  </w:style>
  <w:style w:type="paragraph" w:styleId="Header">
    <w:name w:val="header"/>
    <w:basedOn w:val="Normal"/>
    <w:link w:val="HeaderChar"/>
    <w:uiPriority w:val="99"/>
    <w:unhideWhenUsed/>
    <w:rsid w:val="00902CBF"/>
    <w:pPr>
      <w:tabs>
        <w:tab w:val="center" w:pos="4535"/>
        <w:tab w:val="right" w:pos="9071"/>
      </w:tabs>
      <w:spacing w:before="0"/>
    </w:pPr>
  </w:style>
  <w:style w:type="character" w:customStyle="1" w:styleId="HeaderChar">
    <w:name w:val="Header Char"/>
    <w:basedOn w:val="DefaultParagraphFont"/>
    <w:link w:val="Header"/>
    <w:uiPriority w:val="99"/>
    <w:rsid w:val="00902CBF"/>
    <w:rPr>
      <w:rFonts w:ascii="Times New Roman" w:hAnsi="Times New Roman" w:cs="Times New Roman"/>
      <w:sz w:val="24"/>
      <w:lang w:val="en-GB"/>
    </w:rPr>
  </w:style>
  <w:style w:type="paragraph" w:styleId="Footer">
    <w:name w:val="footer"/>
    <w:basedOn w:val="Normal"/>
    <w:link w:val="FooterChar"/>
    <w:uiPriority w:val="99"/>
    <w:unhideWhenUsed/>
    <w:rsid w:val="00902CBF"/>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902CBF"/>
    <w:rPr>
      <w:rFonts w:ascii="Times New Roman" w:hAnsi="Times New Roman" w:cs="Times New Roman"/>
      <w:sz w:val="24"/>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shd w:val="clear" w:color="auto" w:fill="auto"/>
      <w:lang w:val="en-GB"/>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shd w:val="clear" w:color="auto" w:fill="auto"/>
      <w:lang w:val="en-GB"/>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paragraph" w:customStyle="1" w:styleId="HeaderLandscape">
    <w:name w:val="HeaderLandscape"/>
    <w:basedOn w:val="Normal"/>
    <w:rsid w:val="00902CBF"/>
    <w:pPr>
      <w:tabs>
        <w:tab w:val="center" w:pos="7285"/>
        <w:tab w:val="right" w:pos="14003"/>
      </w:tabs>
      <w:spacing w:before="0"/>
    </w:pPr>
  </w:style>
  <w:style w:type="paragraph" w:customStyle="1" w:styleId="FooterLandscape">
    <w:name w:val="FooterLandscape"/>
    <w:basedOn w:val="Normal"/>
    <w:rsid w:val="00902CBF"/>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link w:val="FootnotesymbolCharCharCharChar"/>
    <w:uiPriority w:val="99"/>
    <w:semiHidden/>
    <w:unhideWhenUsed/>
    <w:rPr>
      <w:shd w:val="clear" w:color="auto" w:fill="auto"/>
      <w:vertAlign w:val="superscript"/>
    </w:rPr>
  </w:style>
  <w:style w:type="paragraph" w:customStyle="1" w:styleId="HeaderSensitivity">
    <w:name w:val="Header Sensitivity"/>
    <w:basedOn w:val="Normal"/>
    <w:rsid w:val="00902CBF"/>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902CBF"/>
    <w:pPr>
      <w:spacing w:before="0"/>
      <w:jc w:val="right"/>
    </w:pPr>
    <w:rPr>
      <w:sz w:val="28"/>
    </w:rPr>
  </w:style>
  <w:style w:type="paragraph" w:customStyle="1" w:styleId="FooterSensitivity">
    <w:name w:val="Footer Sensitivity"/>
    <w:basedOn w:val="Normal"/>
    <w:rsid w:val="00902CBF"/>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22"/>
      </w:numPr>
    </w:pPr>
  </w:style>
  <w:style w:type="paragraph" w:customStyle="1" w:styleId="Tiret1">
    <w:name w:val="Tiret 1"/>
    <w:basedOn w:val="Point1"/>
    <w:pPr>
      <w:numPr>
        <w:numId w:val="23"/>
      </w:numPr>
    </w:pPr>
  </w:style>
  <w:style w:type="paragraph" w:customStyle="1" w:styleId="Tiret2">
    <w:name w:val="Tiret 2"/>
    <w:basedOn w:val="Point2"/>
    <w:pPr>
      <w:numPr>
        <w:numId w:val="24"/>
      </w:numPr>
    </w:pPr>
  </w:style>
  <w:style w:type="paragraph" w:customStyle="1" w:styleId="Tiret3">
    <w:name w:val="Tiret 3"/>
    <w:basedOn w:val="Point3"/>
    <w:pPr>
      <w:numPr>
        <w:numId w:val="25"/>
      </w:numPr>
    </w:pPr>
  </w:style>
  <w:style w:type="paragraph" w:customStyle="1" w:styleId="Tiret4">
    <w:name w:val="Tiret 4"/>
    <w:basedOn w:val="Point4"/>
    <w:pPr>
      <w:numPr>
        <w:numId w:val="26"/>
      </w:numPr>
    </w:pPr>
  </w:style>
  <w:style w:type="paragraph" w:customStyle="1" w:styleId="Tiret5">
    <w:name w:val="Tiret 5"/>
    <w:basedOn w:val="Point5"/>
    <w:pPr>
      <w:numPr>
        <w:numId w:val="27"/>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28"/>
      </w:numPr>
    </w:pPr>
  </w:style>
  <w:style w:type="paragraph" w:customStyle="1" w:styleId="NumPar2">
    <w:name w:val="NumPar 2"/>
    <w:basedOn w:val="Normal"/>
    <w:next w:val="Text1"/>
    <w:pPr>
      <w:numPr>
        <w:ilvl w:val="1"/>
        <w:numId w:val="28"/>
      </w:numPr>
    </w:pPr>
  </w:style>
  <w:style w:type="paragraph" w:customStyle="1" w:styleId="NumPar3">
    <w:name w:val="NumPar 3"/>
    <w:basedOn w:val="Normal"/>
    <w:next w:val="Text1"/>
    <w:pPr>
      <w:numPr>
        <w:ilvl w:val="2"/>
        <w:numId w:val="28"/>
      </w:numPr>
    </w:pPr>
  </w:style>
  <w:style w:type="paragraph" w:customStyle="1" w:styleId="NumPar4">
    <w:name w:val="NumPar 4"/>
    <w:basedOn w:val="Normal"/>
    <w:next w:val="Text1"/>
    <w:pPr>
      <w:numPr>
        <w:ilvl w:val="3"/>
        <w:numId w:val="28"/>
      </w:numPr>
    </w:pPr>
  </w:style>
  <w:style w:type="paragraph" w:customStyle="1" w:styleId="NumPar5">
    <w:name w:val="NumPar 5"/>
    <w:basedOn w:val="Normal"/>
    <w:next w:val="Text2"/>
    <w:pPr>
      <w:numPr>
        <w:ilvl w:val="4"/>
        <w:numId w:val="28"/>
      </w:numPr>
    </w:pPr>
  </w:style>
  <w:style w:type="paragraph" w:customStyle="1" w:styleId="NumPar6">
    <w:name w:val="NumPar 6"/>
    <w:basedOn w:val="Normal"/>
    <w:next w:val="Text2"/>
    <w:pPr>
      <w:numPr>
        <w:ilvl w:val="5"/>
        <w:numId w:val="28"/>
      </w:numPr>
    </w:pPr>
  </w:style>
  <w:style w:type="paragraph" w:customStyle="1" w:styleId="NumPar7">
    <w:name w:val="NumPar 7"/>
    <w:basedOn w:val="Normal"/>
    <w:next w:val="Text2"/>
    <w:pPr>
      <w:numPr>
        <w:ilvl w:val="6"/>
        <w:numId w:val="28"/>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0"/>
      </w:numPr>
    </w:pPr>
  </w:style>
  <w:style w:type="paragraph" w:customStyle="1" w:styleId="Point1number">
    <w:name w:val="Point 1 (number)"/>
    <w:basedOn w:val="Normal"/>
    <w:pPr>
      <w:numPr>
        <w:ilvl w:val="2"/>
        <w:numId w:val="30"/>
      </w:numPr>
    </w:pPr>
  </w:style>
  <w:style w:type="paragraph" w:customStyle="1" w:styleId="Point2number">
    <w:name w:val="Point 2 (number)"/>
    <w:basedOn w:val="Normal"/>
    <w:pPr>
      <w:numPr>
        <w:ilvl w:val="4"/>
        <w:numId w:val="30"/>
      </w:numPr>
    </w:pPr>
  </w:style>
  <w:style w:type="paragraph" w:customStyle="1" w:styleId="Point3number">
    <w:name w:val="Point 3 (number)"/>
    <w:basedOn w:val="Normal"/>
    <w:pPr>
      <w:numPr>
        <w:ilvl w:val="6"/>
        <w:numId w:val="30"/>
      </w:numPr>
    </w:pPr>
  </w:style>
  <w:style w:type="paragraph" w:customStyle="1" w:styleId="Point0letter">
    <w:name w:val="Point 0 (letter)"/>
    <w:basedOn w:val="Normal"/>
    <w:pPr>
      <w:numPr>
        <w:ilvl w:val="1"/>
        <w:numId w:val="30"/>
      </w:numPr>
    </w:pPr>
  </w:style>
  <w:style w:type="paragraph" w:customStyle="1" w:styleId="Point1letter">
    <w:name w:val="Point 1 (letter)"/>
    <w:basedOn w:val="Normal"/>
    <w:pPr>
      <w:numPr>
        <w:ilvl w:val="3"/>
        <w:numId w:val="30"/>
      </w:numPr>
    </w:pPr>
  </w:style>
  <w:style w:type="paragraph" w:customStyle="1" w:styleId="Point2letter">
    <w:name w:val="Point 2 (letter)"/>
    <w:basedOn w:val="Normal"/>
    <w:pPr>
      <w:numPr>
        <w:ilvl w:val="5"/>
        <w:numId w:val="30"/>
      </w:numPr>
    </w:pPr>
  </w:style>
  <w:style w:type="paragraph" w:customStyle="1" w:styleId="Point3letter">
    <w:name w:val="Point 3 (letter)"/>
    <w:basedOn w:val="Normal"/>
    <w:pPr>
      <w:numPr>
        <w:ilvl w:val="7"/>
        <w:numId w:val="30"/>
      </w:numPr>
    </w:pPr>
  </w:style>
  <w:style w:type="paragraph" w:customStyle="1" w:styleId="Point4letter">
    <w:name w:val="Point 4 (letter)"/>
    <w:basedOn w:val="Normal"/>
    <w:pPr>
      <w:numPr>
        <w:ilvl w:val="8"/>
        <w:numId w:val="30"/>
      </w:numPr>
    </w:pPr>
  </w:style>
  <w:style w:type="paragraph" w:customStyle="1" w:styleId="Bullet0">
    <w:name w:val="Bullet 0"/>
    <w:basedOn w:val="Normal"/>
    <w:pPr>
      <w:numPr>
        <w:numId w:val="31"/>
      </w:numPr>
    </w:pPr>
  </w:style>
  <w:style w:type="paragraph" w:customStyle="1" w:styleId="Bullet1">
    <w:name w:val="Bullet 1"/>
    <w:basedOn w:val="Normal"/>
    <w:pPr>
      <w:numPr>
        <w:numId w:val="32"/>
      </w:numPr>
    </w:pPr>
  </w:style>
  <w:style w:type="paragraph" w:customStyle="1" w:styleId="Bullet2">
    <w:name w:val="Bullet 2"/>
    <w:basedOn w:val="Normal"/>
    <w:pPr>
      <w:numPr>
        <w:numId w:val="33"/>
      </w:numPr>
    </w:pPr>
  </w:style>
  <w:style w:type="paragraph" w:customStyle="1" w:styleId="Bullet3">
    <w:name w:val="Bullet 3"/>
    <w:basedOn w:val="Normal"/>
    <w:pPr>
      <w:numPr>
        <w:numId w:val="34"/>
      </w:numPr>
    </w:pPr>
  </w:style>
  <w:style w:type="paragraph" w:customStyle="1" w:styleId="Bullet4">
    <w:name w:val="Bullet 4"/>
    <w:basedOn w:val="Normal"/>
    <w:pPr>
      <w:numPr>
        <w:numId w:val="35"/>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6"/>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5337958">
      <w:bodyDiv w:val="1"/>
      <w:marLeft w:val="0"/>
      <w:marRight w:val="0"/>
      <w:marTop w:val="0"/>
      <w:marBottom w:val="0"/>
      <w:divBdr>
        <w:top w:val="none" w:sz="0" w:space="0" w:color="auto"/>
        <w:left w:val="none" w:sz="0" w:space="0" w:color="auto"/>
        <w:bottom w:val="none" w:sz="0" w:space="0" w:color="auto"/>
        <w:right w:val="none" w:sz="0" w:space="0" w:color="auto"/>
      </w:divBdr>
    </w:div>
    <w:div w:id="1194882769">
      <w:bodyDiv w:val="1"/>
      <w:marLeft w:val="0"/>
      <w:marRight w:val="0"/>
      <w:marTop w:val="0"/>
      <w:marBottom w:val="0"/>
      <w:divBdr>
        <w:top w:val="none" w:sz="0" w:space="0" w:color="auto"/>
        <w:left w:val="none" w:sz="0" w:space="0" w:color="auto"/>
        <w:bottom w:val="none" w:sz="0" w:space="0" w:color="auto"/>
        <w:right w:val="none" w:sz="0" w:space="0" w:color="auto"/>
      </w:divBdr>
    </w:div>
    <w:div w:id="1348482191">
      <w:bodyDiv w:val="1"/>
      <w:marLeft w:val="0"/>
      <w:marRight w:val="0"/>
      <w:marTop w:val="0"/>
      <w:marBottom w:val="0"/>
      <w:divBdr>
        <w:top w:val="none" w:sz="0" w:space="0" w:color="auto"/>
        <w:left w:val="none" w:sz="0" w:space="0" w:color="auto"/>
        <w:bottom w:val="none" w:sz="0" w:space="0" w:color="auto"/>
        <w:right w:val="none" w:sz="0" w:space="0" w:color="auto"/>
      </w:divBdr>
      <w:divsChild>
        <w:div w:id="460849264">
          <w:marLeft w:val="0"/>
          <w:marRight w:val="0"/>
          <w:marTop w:val="0"/>
          <w:marBottom w:val="0"/>
          <w:divBdr>
            <w:top w:val="none" w:sz="0" w:space="0" w:color="auto"/>
            <w:left w:val="none" w:sz="0" w:space="0" w:color="auto"/>
            <w:bottom w:val="none" w:sz="0" w:space="0" w:color="auto"/>
            <w:right w:val="none" w:sz="0" w:space="0" w:color="auto"/>
          </w:divBdr>
        </w:div>
      </w:divsChild>
    </w:div>
    <w:div w:id="1460566989">
      <w:bodyDiv w:val="1"/>
      <w:marLeft w:val="0"/>
      <w:marRight w:val="0"/>
      <w:marTop w:val="0"/>
      <w:marBottom w:val="0"/>
      <w:divBdr>
        <w:top w:val="none" w:sz="0" w:space="0" w:color="auto"/>
        <w:left w:val="none" w:sz="0" w:space="0" w:color="auto"/>
        <w:bottom w:val="none" w:sz="0" w:space="0" w:color="auto"/>
        <w:right w:val="none" w:sz="0" w:space="0" w:color="auto"/>
      </w:divBdr>
    </w:div>
    <w:div w:id="1716731715">
      <w:bodyDiv w:val="1"/>
      <w:marLeft w:val="0"/>
      <w:marRight w:val="0"/>
      <w:marTop w:val="0"/>
      <w:marBottom w:val="0"/>
      <w:divBdr>
        <w:top w:val="none" w:sz="0" w:space="0" w:color="auto"/>
        <w:left w:val="none" w:sz="0" w:space="0" w:color="auto"/>
        <w:bottom w:val="none" w:sz="0" w:space="0" w:color="auto"/>
        <w:right w:val="none" w:sz="0" w:space="0" w:color="auto"/>
      </w:divBdr>
      <w:divsChild>
        <w:div w:id="12949920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12/1024/oj" TargetMode="External"/><Relationship Id="rId2" Type="http://schemas.openxmlformats.org/officeDocument/2006/relationships/hyperlink" Target="http://data.europa.eu/eli/reg/2018/1724/oj" TargetMode="External"/><Relationship Id="rId1" Type="http://schemas.openxmlformats.org/officeDocument/2006/relationships/hyperlink" Target="http://data.europa.eu/eli/reg/2012/1024/oj" TargetMode="External"/><Relationship Id="rId4" Type="http://schemas.openxmlformats.org/officeDocument/2006/relationships/hyperlink" Target="http://data.europa.eu/eli/reg/2018/1724/oj"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33285A78CCB54F4DA2ECE5FA2B2AF218" ma:contentTypeVersion="2" ma:contentTypeDescription="Create a new document in this library." ma:contentTypeScope="" ma:versionID="75423994a2259ac637dc03e8133cded3">
  <xsd:schema xmlns:xsd="http://www.w3.org/2001/XMLSchema" xmlns:xs="http://www.w3.org/2001/XMLSchema" xmlns:p="http://schemas.microsoft.com/office/2006/metadata/properties" xmlns:ns2="http://schemas.microsoft.com/sharepoint/v3/fields" xmlns:ns3="39d607b5-3019-4139-86e9-2e131faaffa8" xmlns:ns4="379e0a09-5deb-44c7-a703-b352a170740d" targetNamespace="http://schemas.microsoft.com/office/2006/metadata/properties" ma:root="true" ma:fieldsID="7f417d262b26c14067de857753d6d876" ns2:_="" ns3:_="" ns4:_="">
    <xsd:import namespace="http://schemas.microsoft.com/sharepoint/v3/fields"/>
    <xsd:import namespace="39d607b5-3019-4139-86e9-2e131faaffa8"/>
    <xsd:import namespace="379e0a09-5deb-44c7-a703-b352a170740d"/>
    <xsd:element name="properties">
      <xsd:complexType>
        <xsd:sequence>
          <xsd:element name="documentManagement">
            <xsd:complexType>
              <xsd:all>
                <xsd:element ref="ns3:EC_Collab_Reference" minOccurs="0"/>
                <xsd:element ref="ns2:_Status" minOccurs="0"/>
                <xsd:element ref="ns3:EC_Collab_DocumentLanguage"/>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39d607b5-3019-4139-86e9-2e131faaffa8"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schema>
  <xsd:schema xmlns:xsd="http://www.w3.org/2001/XMLSchema" xmlns:xs="http://www.w3.org/2001/XMLSchema" xmlns:dms="http://schemas.microsoft.com/office/2006/documentManagement/types" xmlns:pc="http://schemas.microsoft.com/office/infopath/2007/PartnerControls" targetNamespace="379e0a09-5deb-44c7-a703-b352a170740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C_Collab_DocumentLanguage xmlns="39d607b5-3019-4139-86e9-2e131faaffa8">EN</EC_Collab_DocumentLanguage>
    <_Status xmlns="http://schemas.microsoft.com/sharepoint/v3/fields">Not Started</_Status>
    <EC_Collab_Reference xmlns="39d607b5-3019-4139-86e9-2e131faaffa8">-</EC_Collab_Refere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CBD0C4-0F39-4CB0-8EAD-6767F8A463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39d607b5-3019-4139-86e9-2e131faaffa8"/>
    <ds:schemaRef ds:uri="379e0a09-5deb-44c7-a703-b352a17074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81CEB0-78C4-4CF7-A235-122287223CF1}">
  <ds:schemaRefs>
    <ds:schemaRef ds:uri="379e0a09-5deb-44c7-a703-b352a170740d"/>
    <ds:schemaRef ds:uri="http://purl.org/dc/terms/"/>
    <ds:schemaRef ds:uri="http://schemas.microsoft.com/office/2006/metadata/properties"/>
    <ds:schemaRef ds:uri="39d607b5-3019-4139-86e9-2e131faaffa8"/>
    <ds:schemaRef ds:uri="http://purl.org/dc/dcmityp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schemas.microsoft.com/sharepoint/v3/fields"/>
    <ds:schemaRef ds:uri="http://www.w3.org/XML/1998/namespace"/>
  </ds:schemaRefs>
</ds:datastoreItem>
</file>

<file path=customXml/itemProps3.xml><?xml version="1.0" encoding="utf-8"?>
<ds:datastoreItem xmlns:ds="http://schemas.openxmlformats.org/officeDocument/2006/customXml" ds:itemID="{5CB61192-7387-4682-A1D5-9BCE0BEEED88}">
  <ds:schemaRefs>
    <ds:schemaRef ds:uri="http://schemas.microsoft.com/sharepoint/v3/contenttype/forms"/>
  </ds:schemaRefs>
</ds:datastoreItem>
</file>

<file path=customXml/itemProps4.xml><?xml version="1.0" encoding="utf-8"?>
<ds:datastoreItem xmlns:ds="http://schemas.openxmlformats.org/officeDocument/2006/customXml" ds:itemID="{8D8C8B87-4390-4053-95A6-3190CD14A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5</TotalTime>
  <Pages>7</Pages>
  <Words>1645</Words>
  <Characters>9216</Characters>
  <Application>Microsoft Office Word</Application>
  <DocSecurity>0</DocSecurity>
  <Lines>170</Lines>
  <Paragraphs>81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dc:subject>
  <dc:creator/>
  <cp:keywords/>
  <dc:description/>
  <cp:lastModifiedBy>PAREDES ECHAURI Cristina (SG)</cp:lastModifiedBy>
  <cp:revision>34</cp:revision>
  <dcterms:created xsi:type="dcterms:W3CDTF">2023-12-05T16:40:00Z</dcterms:created>
  <dcterms:modified xsi:type="dcterms:W3CDTF">2023-12-11T17:11:00Z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2023-11-22T11:00:54Z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5a969eac-bc25-4feb-a18b-1a36d13f223f</vt:lpwstr>
  </property>
  <property fmtid="{D5CDD505-2E9C-101B-9397-08002B2CF9AE}" pid="8" name="MSIP_Label_6bd9ddd1-4d20-43f6-abfa-fc3c07406f94_ContentBits">
    <vt:lpwstr>0</vt:lpwstr>
  </property>
  <property fmtid="{D5CDD505-2E9C-101B-9397-08002B2CF9AE}" pid="9" name="Level of sensitivity">
    <vt:lpwstr>Standard treatment</vt:lpwstr>
  </property>
  <property fmtid="{D5CDD505-2E9C-101B-9397-08002B2CF9AE}" pid="10" name="Category">
    <vt:lpwstr>COM/PL/ORG</vt:lpwstr>
  </property>
  <property fmtid="{D5CDD505-2E9C-101B-9397-08002B2CF9AE}" pid="11" name="Last edited using">
    <vt:lpwstr>LW 9.0, Build 20230317</vt:lpwstr>
  </property>
  <property fmtid="{D5CDD505-2E9C-101B-9397-08002B2CF9AE}" pid="12" name="ContentTypeId">
    <vt:lpwstr>0x010100258AA79CEB83498886A3A086811232500033285A78CCB54F4DA2ECE5FA2B2AF218</vt:lpwstr>
  </property>
  <property fmtid="{D5CDD505-2E9C-101B-9397-08002B2CF9AE}" pid="13" name="DQCStatus">
    <vt:lpwstr>Yellow (DQC version 03)</vt:lpwstr>
  </property>
  <property fmtid="{D5CDD505-2E9C-101B-9397-08002B2CF9AE}" pid="14" name="Part">
    <vt:lpwstr>1</vt:lpwstr>
  </property>
  <property fmtid="{D5CDD505-2E9C-101B-9397-08002B2CF9AE}" pid="15" name="Total parts">
    <vt:lpwstr>1</vt:lpwstr>
  </property>
  <property fmtid="{D5CDD505-2E9C-101B-9397-08002B2CF9AE}" pid="16" name="LWTemplateID">
    <vt:lpwstr>SJ-023</vt:lpwstr>
  </property>
</Properties>
</file>